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6761">
      <w:pPr>
        <w:spacing w:line="400" w:lineRule="exact"/>
        <w:ind w:firstLine="964" w:firstLineChars="200"/>
        <w:jc w:val="center"/>
        <w:rPr>
          <w:rFonts w:ascii="Times New Roman" w:hAnsi="Times New Roman"/>
          <w:b/>
          <w:color w:val="auto"/>
          <w:sz w:val="48"/>
          <w:szCs w:val="48"/>
          <w:highlight w:val="none"/>
        </w:rPr>
      </w:pPr>
      <w:bookmarkStart w:id="201" w:name="_GoBack"/>
    </w:p>
    <w:p w14:paraId="74E2C7B5">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3B1451EE">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1973C28E">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如东县丰利中学校舍维修改造及行政楼出新工程</w:t>
      </w:r>
    </w:p>
    <w:p w14:paraId="2815AACB">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eastAsia="宋体"/>
          <w:b/>
          <w:bCs/>
          <w:color w:val="auto"/>
          <w:kern w:val="0"/>
          <w:sz w:val="32"/>
          <w:szCs w:val="24"/>
          <w:highlight w:val="none"/>
        </w:rPr>
        <w:t>项目编号：</w:t>
      </w:r>
      <w:r>
        <w:rPr>
          <w:rFonts w:hint="eastAsia" w:ascii="Times New Roman" w:hAnsi="Times New Roman" w:eastAsia="宋体"/>
          <w:b/>
          <w:bCs/>
          <w:color w:val="auto"/>
          <w:kern w:val="0"/>
          <w:sz w:val="32"/>
          <w:szCs w:val="24"/>
          <w:highlight w:val="none"/>
        </w:rPr>
        <w:t>JSZC-320623-JDGS-C2025-0031</w:t>
      </w:r>
      <w:r>
        <w:rPr>
          <w:rFonts w:hint="eastAsia" w:ascii="Times New Roman" w:hAnsi="Times New Roman"/>
          <w:b/>
          <w:bCs/>
          <w:color w:val="auto"/>
          <w:kern w:val="0"/>
          <w:sz w:val="32"/>
          <w:szCs w:val="24"/>
          <w:highlight w:val="none"/>
          <w:lang w:val="en-US" w:eastAsia="zh-CN"/>
        </w:rPr>
        <w:t xml:space="preserve">  </w:t>
      </w:r>
    </w:p>
    <w:p w14:paraId="29C2D707">
      <w:pPr>
        <w:adjustRightInd w:val="0"/>
        <w:spacing w:before="120" w:after="120" w:line="360" w:lineRule="auto"/>
        <w:ind w:firstLine="1285" w:firstLineChars="400"/>
        <w:jc w:val="both"/>
        <w:textAlignment w:val="baseline"/>
        <w:rPr>
          <w:rFonts w:ascii="Times New Roman" w:hAnsi="Times New Roman"/>
          <w:b/>
          <w:bCs/>
          <w:color w:val="auto"/>
          <w:kern w:val="0"/>
          <w:sz w:val="32"/>
          <w:szCs w:val="24"/>
          <w:highlight w:val="none"/>
        </w:rPr>
      </w:pPr>
    </w:p>
    <w:p w14:paraId="01C320A1">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35C7808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19B86A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8A897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BC791C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230AEC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0ADCB3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6596B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81B80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E7DD08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BB5280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FCE5B3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A8EBE7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12E123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7D449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7414ED">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lang w:val="en-US" w:eastAsia="zh-CN"/>
        </w:rPr>
        <w:t xml:space="preserve">   </w:t>
      </w:r>
      <w:r>
        <w:rPr>
          <w:rFonts w:hint="eastAsia" w:ascii="Times New Roman" w:hAnsi="Times New Roman"/>
          <w:b/>
          <w:bCs/>
          <w:color w:val="auto"/>
          <w:kern w:val="0"/>
          <w:sz w:val="32"/>
          <w:szCs w:val="24"/>
          <w:highlight w:val="none"/>
          <w:lang w:eastAsia="zh-CN"/>
        </w:rPr>
        <w:t>如东县丰利中学</w:t>
      </w:r>
    </w:p>
    <w:p w14:paraId="2C372DE5">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6</w:t>
      </w:r>
      <w:r>
        <w:rPr>
          <w:rFonts w:ascii="Times New Roman" w:hAnsi="Times New Roman"/>
          <w:b/>
          <w:bCs/>
          <w:color w:val="auto"/>
          <w:kern w:val="0"/>
          <w:sz w:val="32"/>
          <w:szCs w:val="24"/>
          <w:highlight w:val="none"/>
        </w:rPr>
        <w:t>月</w:t>
      </w:r>
    </w:p>
    <w:p w14:paraId="36D1F223">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513029200"/>
      <w:bookmarkStart w:id="2" w:name="_Toc20823272"/>
      <w:bookmarkStart w:id="3" w:name="_Toc479757206"/>
      <w:bookmarkStart w:id="4" w:name="_Toc16938516"/>
      <w:bookmarkStart w:id="5" w:name="_Toc523127445"/>
    </w:p>
    <w:p w14:paraId="0118645A">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FCE7B1B">
      <w:pPr>
        <w:spacing w:line="400" w:lineRule="exact"/>
        <w:ind w:firstLine="562" w:firstLineChars="200"/>
        <w:rPr>
          <w:rFonts w:ascii="Times New Roman" w:hAnsi="Times New Roman" w:eastAsia="仿宋_GB2312"/>
          <w:b/>
          <w:color w:val="auto"/>
          <w:sz w:val="28"/>
          <w:szCs w:val="21"/>
          <w:highlight w:val="none"/>
        </w:rPr>
      </w:pPr>
    </w:p>
    <w:p w14:paraId="4F558D4E">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01ACE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r>
        <w:rPr>
          <w:rFonts w:ascii="Times New Roman" w:hAnsi="Times New Roman" w:eastAsia="黑体"/>
          <w:color w:val="auto"/>
          <w:sz w:val="36"/>
          <w:szCs w:val="21"/>
          <w:highlight w:val="none"/>
        </w:rPr>
        <w:t xml:space="preserve">  </w:t>
      </w:r>
    </w:p>
    <w:p w14:paraId="3F638409">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5</w:t>
      </w:r>
    </w:p>
    <w:p w14:paraId="67CD2D40">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8</w:t>
      </w:r>
    </w:p>
    <w:p w14:paraId="454DE43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2</w:t>
      </w:r>
    </w:p>
    <w:p w14:paraId="5839D8E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5</w:t>
      </w:r>
    </w:p>
    <w:p w14:paraId="3E428FC6">
      <w:pPr>
        <w:spacing w:line="400" w:lineRule="exact"/>
        <w:ind w:firstLine="420" w:firstLineChars="200"/>
        <w:rPr>
          <w:rFonts w:ascii="Times New Roman" w:hAnsi="Times New Roman"/>
          <w:color w:val="auto"/>
          <w:szCs w:val="21"/>
          <w:highlight w:val="none"/>
        </w:rPr>
      </w:pPr>
    </w:p>
    <w:p w14:paraId="1A927CD1">
      <w:pPr>
        <w:spacing w:line="400" w:lineRule="exact"/>
        <w:ind w:firstLine="420" w:firstLineChars="200"/>
        <w:rPr>
          <w:rFonts w:ascii="Times New Roman" w:hAnsi="Times New Roman"/>
          <w:color w:val="auto"/>
          <w:szCs w:val="21"/>
          <w:highlight w:val="none"/>
        </w:rPr>
      </w:pPr>
    </w:p>
    <w:p w14:paraId="00CB2842">
      <w:pPr>
        <w:spacing w:line="400" w:lineRule="exact"/>
        <w:ind w:firstLine="420" w:firstLineChars="200"/>
        <w:rPr>
          <w:rFonts w:ascii="Times New Roman" w:hAnsi="Times New Roman"/>
          <w:color w:val="auto"/>
          <w:szCs w:val="21"/>
          <w:highlight w:val="none"/>
        </w:rPr>
      </w:pPr>
    </w:p>
    <w:p w14:paraId="0CD426A6">
      <w:pPr>
        <w:spacing w:line="400" w:lineRule="exact"/>
        <w:ind w:firstLine="420" w:firstLineChars="200"/>
        <w:rPr>
          <w:rFonts w:ascii="Times New Roman" w:hAnsi="Times New Roman"/>
          <w:color w:val="auto"/>
          <w:szCs w:val="21"/>
          <w:highlight w:val="none"/>
        </w:rPr>
      </w:pPr>
    </w:p>
    <w:p w14:paraId="41DB6A66">
      <w:pPr>
        <w:spacing w:line="400" w:lineRule="exact"/>
        <w:ind w:firstLine="420" w:firstLineChars="200"/>
        <w:rPr>
          <w:rFonts w:ascii="Times New Roman" w:hAnsi="Times New Roman"/>
          <w:color w:val="auto"/>
          <w:szCs w:val="21"/>
          <w:highlight w:val="none"/>
        </w:rPr>
      </w:pPr>
    </w:p>
    <w:p w14:paraId="198DA3F6">
      <w:pPr>
        <w:spacing w:line="400" w:lineRule="exact"/>
        <w:ind w:firstLine="420" w:firstLineChars="200"/>
        <w:rPr>
          <w:rFonts w:ascii="Times New Roman" w:hAnsi="Times New Roman"/>
          <w:color w:val="auto"/>
          <w:szCs w:val="21"/>
          <w:highlight w:val="none"/>
        </w:rPr>
      </w:pPr>
    </w:p>
    <w:p w14:paraId="69D7C884">
      <w:pPr>
        <w:spacing w:line="400" w:lineRule="exact"/>
        <w:ind w:firstLine="420" w:firstLineChars="200"/>
        <w:rPr>
          <w:rFonts w:ascii="Times New Roman" w:hAnsi="Times New Roman"/>
          <w:color w:val="auto"/>
          <w:szCs w:val="21"/>
          <w:highlight w:val="none"/>
        </w:rPr>
      </w:pPr>
    </w:p>
    <w:p w14:paraId="163459FB">
      <w:pPr>
        <w:spacing w:line="400" w:lineRule="exact"/>
        <w:ind w:firstLine="420" w:firstLineChars="200"/>
        <w:rPr>
          <w:rFonts w:ascii="Times New Roman" w:hAnsi="Times New Roman"/>
          <w:color w:val="auto"/>
          <w:szCs w:val="21"/>
          <w:highlight w:val="none"/>
        </w:rPr>
      </w:pPr>
    </w:p>
    <w:p w14:paraId="716CA67B">
      <w:pPr>
        <w:spacing w:line="400" w:lineRule="exact"/>
        <w:ind w:firstLine="420" w:firstLineChars="200"/>
        <w:rPr>
          <w:rFonts w:ascii="Times New Roman" w:hAnsi="Times New Roman"/>
          <w:color w:val="auto"/>
          <w:szCs w:val="21"/>
          <w:highlight w:val="none"/>
        </w:rPr>
      </w:pPr>
    </w:p>
    <w:p w14:paraId="703BB4A4">
      <w:pPr>
        <w:spacing w:line="400" w:lineRule="exact"/>
        <w:ind w:firstLine="420" w:firstLineChars="200"/>
        <w:rPr>
          <w:rFonts w:ascii="Times New Roman" w:hAnsi="Times New Roman"/>
          <w:color w:val="auto"/>
          <w:szCs w:val="21"/>
          <w:highlight w:val="none"/>
        </w:rPr>
      </w:pPr>
    </w:p>
    <w:p w14:paraId="3D8DF070">
      <w:pPr>
        <w:spacing w:line="400" w:lineRule="exact"/>
        <w:ind w:firstLine="420" w:firstLineChars="200"/>
        <w:rPr>
          <w:rFonts w:ascii="Times New Roman" w:hAnsi="Times New Roman"/>
          <w:color w:val="auto"/>
          <w:szCs w:val="21"/>
          <w:highlight w:val="none"/>
        </w:rPr>
      </w:pPr>
    </w:p>
    <w:p w14:paraId="094DD215">
      <w:pPr>
        <w:spacing w:line="400" w:lineRule="exact"/>
        <w:ind w:firstLine="420" w:firstLineChars="200"/>
        <w:rPr>
          <w:rFonts w:ascii="Times New Roman" w:hAnsi="Times New Roman"/>
          <w:color w:val="auto"/>
          <w:szCs w:val="21"/>
          <w:highlight w:val="none"/>
        </w:rPr>
      </w:pPr>
    </w:p>
    <w:p w14:paraId="0981177F">
      <w:pPr>
        <w:spacing w:line="400" w:lineRule="exact"/>
        <w:ind w:firstLine="420" w:firstLineChars="200"/>
        <w:rPr>
          <w:rFonts w:ascii="Times New Roman" w:hAnsi="Times New Roman"/>
          <w:color w:val="auto"/>
          <w:szCs w:val="21"/>
          <w:highlight w:val="none"/>
        </w:rPr>
      </w:pPr>
    </w:p>
    <w:p w14:paraId="386F0887">
      <w:pPr>
        <w:spacing w:line="400" w:lineRule="exact"/>
        <w:ind w:firstLine="420" w:firstLineChars="200"/>
        <w:rPr>
          <w:rFonts w:ascii="Times New Roman" w:hAnsi="Times New Roman"/>
          <w:color w:val="auto"/>
          <w:szCs w:val="21"/>
          <w:highlight w:val="none"/>
        </w:rPr>
      </w:pPr>
    </w:p>
    <w:p w14:paraId="16A6EF06">
      <w:pPr>
        <w:spacing w:line="400" w:lineRule="exact"/>
        <w:ind w:firstLine="420" w:firstLineChars="200"/>
        <w:rPr>
          <w:rFonts w:ascii="Times New Roman" w:hAnsi="Times New Roman"/>
          <w:color w:val="auto"/>
          <w:szCs w:val="21"/>
          <w:highlight w:val="none"/>
        </w:rPr>
      </w:pPr>
    </w:p>
    <w:p w14:paraId="1D2C73B3">
      <w:pPr>
        <w:spacing w:line="400" w:lineRule="exact"/>
        <w:ind w:firstLine="420" w:firstLineChars="200"/>
        <w:rPr>
          <w:rFonts w:ascii="Times New Roman" w:hAnsi="Times New Roman"/>
          <w:color w:val="auto"/>
          <w:szCs w:val="21"/>
          <w:highlight w:val="none"/>
        </w:rPr>
      </w:pPr>
    </w:p>
    <w:p w14:paraId="4D5F6E8C">
      <w:pPr>
        <w:spacing w:line="400" w:lineRule="exact"/>
        <w:ind w:firstLine="420" w:firstLineChars="200"/>
        <w:rPr>
          <w:rFonts w:ascii="Times New Roman" w:hAnsi="Times New Roman"/>
          <w:color w:val="auto"/>
          <w:szCs w:val="21"/>
          <w:highlight w:val="none"/>
        </w:rPr>
      </w:pPr>
    </w:p>
    <w:p w14:paraId="6120C680">
      <w:pPr>
        <w:spacing w:line="400" w:lineRule="exact"/>
        <w:ind w:firstLine="420" w:firstLineChars="200"/>
        <w:rPr>
          <w:rFonts w:ascii="Times New Roman" w:hAnsi="Times New Roman"/>
          <w:color w:val="auto"/>
          <w:szCs w:val="21"/>
          <w:highlight w:val="none"/>
        </w:rPr>
      </w:pPr>
    </w:p>
    <w:p w14:paraId="416C0DF1">
      <w:pPr>
        <w:spacing w:line="400" w:lineRule="exact"/>
        <w:ind w:firstLine="420" w:firstLineChars="200"/>
        <w:rPr>
          <w:rFonts w:ascii="Times New Roman" w:hAnsi="Times New Roman"/>
          <w:color w:val="auto"/>
          <w:szCs w:val="21"/>
          <w:highlight w:val="none"/>
        </w:rPr>
      </w:pPr>
    </w:p>
    <w:p w14:paraId="695FB08A">
      <w:pPr>
        <w:spacing w:line="400" w:lineRule="exact"/>
        <w:ind w:firstLine="420" w:firstLineChars="200"/>
        <w:rPr>
          <w:rFonts w:ascii="Times New Roman" w:hAnsi="Times New Roman"/>
          <w:color w:val="auto"/>
          <w:szCs w:val="21"/>
          <w:highlight w:val="none"/>
        </w:rPr>
      </w:pPr>
    </w:p>
    <w:p w14:paraId="17047DBE">
      <w:pPr>
        <w:spacing w:line="400" w:lineRule="exact"/>
        <w:ind w:firstLine="420" w:firstLineChars="200"/>
        <w:rPr>
          <w:rFonts w:ascii="Times New Roman" w:hAnsi="Times New Roman"/>
          <w:color w:val="auto"/>
          <w:szCs w:val="21"/>
          <w:highlight w:val="none"/>
        </w:rPr>
      </w:pPr>
    </w:p>
    <w:p w14:paraId="2258B32C">
      <w:pPr>
        <w:spacing w:line="400" w:lineRule="exact"/>
        <w:ind w:firstLine="420" w:firstLineChars="200"/>
        <w:rPr>
          <w:rFonts w:ascii="Times New Roman" w:hAnsi="Times New Roman"/>
          <w:color w:val="auto"/>
          <w:szCs w:val="21"/>
          <w:highlight w:val="none"/>
        </w:rPr>
      </w:pPr>
    </w:p>
    <w:p w14:paraId="4671AD3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32D3B13">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09403766">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如东县丰利中学</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如东县丰利中学校舍维修改造及行政楼出新工程</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：JSZC-320623-JDGS-C2025-0031</w:t>
      </w:r>
      <w:r>
        <w:rPr>
          <w:rFonts w:hint="eastAsia" w:ascii="Times New Roman" w:hAnsi="Times New Roman"/>
          <w:color w:val="auto"/>
          <w:sz w:val="24"/>
          <w:szCs w:val="24"/>
          <w:highlight w:val="none"/>
          <w:lang w:val="en-US" w:eastAsia="zh-CN"/>
        </w:rPr>
        <w:t>】</w:t>
      </w:r>
      <w:r>
        <w:rPr>
          <w:rFonts w:ascii="Times New Roman" w:hAnsi="Times New Roman"/>
          <w:color w:val="auto"/>
          <w:sz w:val="24"/>
          <w:szCs w:val="24"/>
          <w:highlight w:val="none"/>
        </w:rPr>
        <w:t>项目进行竞争性磋商采购，欢迎符合条件的供应商参加磋商。</w:t>
      </w:r>
    </w:p>
    <w:p w14:paraId="7F9A0251">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257DB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u w:val="single"/>
        </w:rPr>
        <w:t>如东县丰利中学校舍维修改造及行政楼出新工程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ascii="Times New Roman" w:hAnsi="Times New Roman"/>
          <w:b/>
          <w:bCs/>
          <w:color w:val="auto"/>
          <w:sz w:val="24"/>
          <w:szCs w:val="24"/>
          <w:highlight w:val="none"/>
          <w:u w:val="single"/>
        </w:rPr>
        <w:t xml:space="preserve"> 202</w:t>
      </w:r>
      <w:r>
        <w:rPr>
          <w:rFonts w:hint="eastAsia" w:ascii="Times New Roman" w:hAnsi="Times New Roman"/>
          <w:b/>
          <w:bCs/>
          <w:color w:val="auto"/>
          <w:sz w:val="24"/>
          <w:szCs w:val="24"/>
          <w:highlight w:val="none"/>
          <w:u w:val="single"/>
          <w:lang w:val="en-US" w:eastAsia="zh-CN"/>
        </w:rPr>
        <w:t>5</w:t>
      </w:r>
      <w:r>
        <w:rPr>
          <w:rFonts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6</w:t>
      </w:r>
      <w:r>
        <w:rPr>
          <w:rFonts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20</w:t>
      </w:r>
      <w:r>
        <w:rPr>
          <w:rFonts w:ascii="Times New Roman" w:hAnsi="Times New Roman"/>
          <w:b/>
          <w:bCs/>
          <w:color w:val="auto"/>
          <w:sz w:val="24"/>
          <w:szCs w:val="24"/>
          <w:highlight w:val="none"/>
          <w:u w:val="single"/>
        </w:rPr>
        <w:t>日</w:t>
      </w:r>
      <w:r>
        <w:rPr>
          <w:rFonts w:hint="eastAsia" w:ascii="Times New Roman" w:hAnsi="Times New Roman"/>
          <w:b/>
          <w:bCs/>
          <w:color w:val="auto"/>
          <w:sz w:val="24"/>
          <w:szCs w:val="24"/>
          <w:highlight w:val="none"/>
          <w:u w:val="single"/>
          <w:lang w:val="en-US" w:eastAsia="zh-CN"/>
        </w:rPr>
        <w:t>上午9</w:t>
      </w:r>
      <w:r>
        <w:rPr>
          <w:rFonts w:ascii="Times New Roman" w:hAnsi="Times New Roman"/>
          <w:b/>
          <w:bCs/>
          <w:color w:val="auto"/>
          <w:sz w:val="24"/>
          <w:szCs w:val="24"/>
          <w:highlight w:val="none"/>
          <w:u w:val="single"/>
        </w:rPr>
        <w:t>点</w:t>
      </w:r>
      <w:r>
        <w:rPr>
          <w:rFonts w:hint="eastAsia" w:ascii="Times New Roman" w:hAnsi="Times New Roman"/>
          <w:b/>
          <w:bCs/>
          <w:color w:val="auto"/>
          <w:sz w:val="24"/>
          <w:szCs w:val="24"/>
          <w:highlight w:val="none"/>
          <w:u w:val="single"/>
          <w:lang w:val="en-US" w:eastAsia="zh-CN"/>
        </w:rPr>
        <w:t>00</w:t>
      </w:r>
      <w:r>
        <w:rPr>
          <w:rFonts w:ascii="Times New Roman" w:hAnsi="Times New Roman"/>
          <w:b/>
          <w:bCs/>
          <w:color w:val="auto"/>
          <w:sz w:val="24"/>
          <w:szCs w:val="24"/>
          <w:highlight w:val="none"/>
          <w:u w:val="single"/>
        </w:rPr>
        <w:t>分（</w:t>
      </w:r>
      <w:r>
        <w:rPr>
          <w:rFonts w:ascii="Times New Roman" w:hAnsi="Times New Roman"/>
          <w:b/>
          <w:bCs/>
          <w:color w:val="auto"/>
          <w:sz w:val="24"/>
          <w:szCs w:val="24"/>
          <w:highlight w:val="none"/>
        </w:rPr>
        <w:t>北京时间）前递交响应文件。</w:t>
      </w:r>
    </w:p>
    <w:p w14:paraId="0F8ADF1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28359002"/>
      <w:bookmarkStart w:id="7" w:name="_Toc38985263"/>
      <w:bookmarkStart w:id="8" w:name="_Toc35393621"/>
      <w:bookmarkStart w:id="9" w:name="_Toc35393790"/>
      <w:bookmarkStart w:id="10" w:name="_Toc28359079"/>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BC39E1F">
      <w:pPr>
        <w:snapToGrid w:val="0"/>
        <w:spacing w:line="400" w:lineRule="exact"/>
        <w:ind w:firstLine="480" w:firstLineChars="200"/>
        <w:contextualSpacing/>
        <w:rPr>
          <w:rFonts w:hint="default" w:ascii="Times New Roman" w:hAnsi="Times New Roman" w:eastAsia="宋体"/>
          <w:color w:val="auto"/>
          <w:sz w:val="24"/>
          <w:szCs w:val="24"/>
          <w:highlight w:val="none"/>
          <w:lang w:val="en-US" w:eastAsia="zh-CN"/>
        </w:rPr>
      </w:pPr>
      <w:r>
        <w:rPr>
          <w:rFonts w:hint="default" w:ascii="Times New Roman" w:hAnsi="Times New Roman"/>
          <w:color w:val="auto"/>
          <w:sz w:val="24"/>
          <w:szCs w:val="24"/>
          <w:highlight w:val="none"/>
          <w:lang w:val="zh-CN" w:eastAsia="zh-CN"/>
        </w:rPr>
        <w:t>1.项目编号：JSZC-320623-JDGS-C2025-0031</w:t>
      </w:r>
      <w:r>
        <w:rPr>
          <w:rFonts w:hint="eastAsia" w:ascii="Times New Roman" w:hAnsi="Times New Roman"/>
          <w:color w:val="auto"/>
          <w:sz w:val="24"/>
          <w:szCs w:val="24"/>
          <w:highlight w:val="none"/>
          <w:lang w:val="en-US" w:eastAsia="zh-CN"/>
        </w:rPr>
        <w:t xml:space="preserve">  </w:t>
      </w:r>
    </w:p>
    <w:p w14:paraId="4BA515A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rPr>
        <w:t>如东县丰利中学校舍维修改造及行政楼出新工程</w:t>
      </w:r>
    </w:p>
    <w:p w14:paraId="173C40D9">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D907981">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2A923E4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128</w:t>
      </w:r>
      <w:r>
        <w:rPr>
          <w:rFonts w:hint="eastAsia" w:ascii="Times New Roman" w:hAnsi="Times New Roman"/>
          <w:color w:val="auto"/>
          <w:sz w:val="24"/>
          <w:szCs w:val="24"/>
          <w:highlight w:val="none"/>
          <w:lang w:val="zh-CN"/>
        </w:rPr>
        <w:t>万元</w:t>
      </w:r>
      <w:r>
        <w:rPr>
          <w:rFonts w:hint="eastAsia" w:ascii="宋体" w:hAnsi="宋体" w:cs="宋体"/>
          <w:color w:val="auto"/>
          <w:sz w:val="24"/>
          <w:szCs w:val="24"/>
          <w:highlight w:val="none"/>
          <w:lang w:val="en-US" w:eastAsia="zh-CN"/>
        </w:rPr>
        <w:t>（含暂列金5万元，专业工程暂估价1.04万元）</w:t>
      </w:r>
      <w:r>
        <w:rPr>
          <w:rFonts w:hint="eastAsia" w:ascii="Times New Roman" w:hAnsi="Times New Roman"/>
          <w:color w:val="auto"/>
          <w:sz w:val="24"/>
          <w:szCs w:val="24"/>
          <w:highlight w:val="none"/>
          <w:lang w:val="zh-CN"/>
        </w:rPr>
        <w:t>。</w:t>
      </w:r>
    </w:p>
    <w:p w14:paraId="476CF44D">
      <w:pPr>
        <w:spacing w:line="400" w:lineRule="exact"/>
        <w:ind w:firstLine="480" w:firstLineChars="200"/>
        <w:rPr>
          <w:rFonts w:hint="default" w:ascii="Times New Roman" w:hAnsi="Times New Roman" w:eastAsia="宋体"/>
          <w:b/>
          <w:bCs/>
          <w:color w:val="auto"/>
          <w:kern w:val="0"/>
          <w:sz w:val="28"/>
          <w:szCs w:val="28"/>
          <w:highlight w:val="none"/>
          <w:lang w:val="en-US" w:eastAsia="zh-CN"/>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eastAsia="宋体" w:cs="宋体"/>
          <w:color w:val="auto"/>
          <w:sz w:val="24"/>
          <w:szCs w:val="24"/>
          <w:highlight w:val="none"/>
          <w:lang w:val="en-US" w:eastAsia="zh-CN"/>
        </w:rPr>
        <w:t>本项目最高限价为</w:t>
      </w:r>
      <w:r>
        <w:rPr>
          <w:rFonts w:hint="eastAsia" w:ascii="宋体" w:hAnsi="宋体" w:cs="宋体"/>
          <w:color w:val="auto"/>
          <w:sz w:val="24"/>
          <w:szCs w:val="24"/>
          <w:highlight w:val="none"/>
          <w:lang w:val="en-US" w:eastAsia="zh-CN"/>
        </w:rPr>
        <w:t>128</w:t>
      </w:r>
      <w:r>
        <w:rPr>
          <w:rFonts w:hint="eastAsia" w:ascii="宋体" w:hAnsi="宋体" w:eastAsia="宋体" w:cs="宋体"/>
          <w:color w:val="auto"/>
          <w:sz w:val="24"/>
          <w:szCs w:val="24"/>
          <w:highlight w:val="none"/>
          <w:lang w:val="en-US" w:eastAsia="zh-CN"/>
        </w:rPr>
        <w:t>万元</w:t>
      </w:r>
      <w:r>
        <w:rPr>
          <w:rFonts w:hint="eastAsia" w:ascii="宋体" w:hAnsi="宋体" w:cs="宋体"/>
          <w:color w:val="auto"/>
          <w:sz w:val="24"/>
          <w:szCs w:val="24"/>
          <w:highlight w:val="none"/>
          <w:lang w:val="en-US" w:eastAsia="zh-CN"/>
        </w:rPr>
        <w:t>（含暂列金5万元，专业工程暂估价1.04万元）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lang w:val="en-US" w:eastAsia="zh-CN"/>
        </w:rPr>
        <w:t>投标报价高于最高限价的为无效响应文件。</w:t>
      </w:r>
    </w:p>
    <w:p w14:paraId="39E51021">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lang w:eastAsia="zh-CN"/>
        </w:rPr>
        <w:t>，</w:t>
      </w:r>
      <w:r>
        <w:rPr>
          <w:rFonts w:ascii="Times New Roman" w:hAnsi="Times New Roman"/>
          <w:color w:val="auto"/>
          <w:kern w:val="0"/>
          <w:sz w:val="24"/>
          <w:szCs w:val="24"/>
          <w:highlight w:val="none"/>
        </w:rPr>
        <w:t>请仔细研究。</w:t>
      </w:r>
    </w:p>
    <w:p w14:paraId="23A899E2">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p>
    <w:p w14:paraId="1624290E">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0447A92C">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05687E81">
      <w:pPr>
        <w:snapToGrid w:val="0"/>
        <w:spacing w:line="400" w:lineRule="exact"/>
        <w:ind w:firstLine="480" w:firstLineChars="200"/>
        <w:contextualSpacing/>
        <w:rPr>
          <w:rFonts w:hint="default" w:eastAsia="楷体_GB2312"/>
          <w:color w:val="auto"/>
          <w:highlight w:val="none"/>
          <w:lang w:val="en-US" w:eastAsia="zh-CN"/>
        </w:rPr>
      </w:pP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本项目</w:t>
      </w:r>
      <w:r>
        <w:rPr>
          <w:rFonts w:hint="eastAsia" w:ascii="Times New Roman" w:hAnsi="Times New Roman"/>
          <w:color w:val="auto"/>
          <w:sz w:val="24"/>
          <w:szCs w:val="24"/>
          <w:highlight w:val="none"/>
          <w:lang w:eastAsia="zh-CN"/>
        </w:rPr>
        <w:t>是否</w:t>
      </w:r>
      <w:r>
        <w:rPr>
          <w:rFonts w:hint="eastAsia" w:ascii="Times New Roman" w:hAnsi="Times New Roman"/>
          <w:color w:val="auto"/>
          <w:sz w:val="24"/>
          <w:szCs w:val="24"/>
          <w:highlight w:val="none"/>
        </w:rPr>
        <w:t>接受分包</w:t>
      </w:r>
      <w:r>
        <w:rPr>
          <w:rFonts w:hint="eastAsia" w:ascii="Times New Roman" w:hAnsi="Times New Roman"/>
          <w:color w:val="auto"/>
          <w:sz w:val="24"/>
          <w:szCs w:val="24"/>
          <w:highlight w:val="none"/>
          <w:lang w:eastAsia="zh-CN"/>
        </w:rPr>
        <w:t>：否。</w:t>
      </w:r>
    </w:p>
    <w:p w14:paraId="4C31C17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35393791"/>
      <w:bookmarkStart w:id="13" w:name="_Toc35393622"/>
      <w:bookmarkStart w:id="14" w:name="_Toc28359080"/>
      <w:bookmarkStart w:id="15" w:name="_Toc38985264"/>
      <w:bookmarkStart w:id="16" w:name="_Toc28359003"/>
      <w:r>
        <w:rPr>
          <w:rFonts w:ascii="Times New Roman" w:hAnsi="Times New Roman"/>
          <w:b/>
          <w:bCs/>
          <w:color w:val="auto"/>
          <w:sz w:val="32"/>
          <w:szCs w:val="32"/>
          <w:highlight w:val="none"/>
        </w:rPr>
        <w:t>二、申请人的资格要求：</w:t>
      </w:r>
      <w:bookmarkEnd w:id="12"/>
      <w:bookmarkEnd w:id="13"/>
      <w:bookmarkEnd w:id="14"/>
      <w:bookmarkEnd w:id="15"/>
      <w:bookmarkEnd w:id="16"/>
    </w:p>
    <w:p w14:paraId="2BD7F32F">
      <w:pPr>
        <w:spacing w:line="400" w:lineRule="exact"/>
        <w:ind w:firstLine="480" w:firstLineChars="200"/>
        <w:rPr>
          <w:rFonts w:ascii="Times New Roman" w:hAnsi="Times New Roman"/>
          <w:color w:val="auto"/>
          <w:sz w:val="24"/>
          <w:szCs w:val="24"/>
          <w:highlight w:val="none"/>
        </w:rPr>
      </w:pPr>
      <w:bookmarkStart w:id="17" w:name="_Toc35393623"/>
      <w:bookmarkStart w:id="18" w:name="_Toc28359081"/>
      <w:bookmarkStart w:id="19" w:name="_Toc38985265"/>
      <w:bookmarkStart w:id="20" w:name="_Toc35393792"/>
      <w:bookmarkStart w:id="21" w:name="_Toc28359004"/>
      <w:r>
        <w:rPr>
          <w:rFonts w:ascii="Times New Roman" w:hAnsi="Times New Roman"/>
          <w:color w:val="auto"/>
          <w:sz w:val="24"/>
          <w:szCs w:val="24"/>
          <w:highlight w:val="none"/>
        </w:rPr>
        <w:t>（一）通用资格要求</w:t>
      </w:r>
    </w:p>
    <w:p w14:paraId="16991CB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22495FEF">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val="0"/>
          <w:bCs w:val="0"/>
          <w:color w:val="auto"/>
          <w:sz w:val="24"/>
          <w:szCs w:val="24"/>
          <w:highlight w:val="none"/>
        </w:rPr>
        <w:t>（响应文件中无需提供证明材料）</w:t>
      </w:r>
    </w:p>
    <w:p w14:paraId="13F3B88A">
      <w:pPr>
        <w:keepNext w:val="0"/>
        <w:keepLines w:val="0"/>
        <w:pageBreakBefore w:val="0"/>
        <w:kinsoku/>
        <w:wordWrap/>
        <w:overflowPunct/>
        <w:topLinePunct w:val="0"/>
        <w:autoSpaceDE/>
        <w:autoSpaceDN/>
        <w:bidi w:val="0"/>
        <w:spacing w:line="400" w:lineRule="exact"/>
        <w:ind w:firstLine="482" w:firstLineChars="200"/>
        <w:textAlignment w:val="auto"/>
        <w:rPr>
          <w:rFonts w:ascii="Times New Roman" w:hAnsi="Times New Roman"/>
          <w:b/>
          <w:bCs/>
          <w:color w:val="auto"/>
          <w:sz w:val="24"/>
          <w:szCs w:val="24"/>
          <w:highlight w:val="none"/>
        </w:rPr>
      </w:pPr>
      <w:r>
        <w:rPr>
          <w:rFonts w:hint="eastAsia" w:ascii="Times New Roman" w:hAnsi="Times New Roman" w:eastAsia="宋体" w:cs="Times New Roman"/>
          <w:b/>
          <w:bCs/>
          <w:color w:val="auto"/>
          <w:sz w:val="24"/>
          <w:szCs w:val="24"/>
          <w:highlight w:val="none"/>
        </w:rPr>
        <w:t>3.落实政府采购政策需满足的资格要求：</w:t>
      </w:r>
      <w:r>
        <w:rPr>
          <w:rFonts w:hint="eastAsia" w:ascii="Times New Roman" w:hAnsi="Times New Roman" w:eastAsia="宋体" w:cs="Times New Roman"/>
          <w:b/>
          <w:bCs/>
          <w:color w:val="auto"/>
          <w:sz w:val="24"/>
          <w:szCs w:val="24"/>
          <w:highlight w:val="none"/>
          <w:u w:val="single"/>
        </w:rPr>
        <w:t>本项目属于专门面向中小微型企业采购。残疾人福利性单位、监狱和戒毒企业（简称监狱企业）视同小型、微型企业。</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rPr>
        <w:t>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rPr>
        <w:t>。</w:t>
      </w:r>
    </w:p>
    <w:p w14:paraId="7DD44E0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946F39B">
      <w:pPr>
        <w:spacing w:line="400" w:lineRule="exact"/>
        <w:ind w:firstLine="480"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投标供应商须具备独立法人资格和具有建筑工程施工总承包叁级以上（含叁级）</w:t>
      </w:r>
      <w:r>
        <w:rPr>
          <w:rFonts w:hint="eastAsia" w:ascii="Times New Roman" w:hAnsi="Times New Roman" w:cs="Times New Roman"/>
          <w:b/>
          <w:bCs/>
          <w:color w:val="auto"/>
          <w:sz w:val="24"/>
          <w:szCs w:val="24"/>
          <w:highlight w:val="none"/>
          <w:lang w:val="en-US" w:eastAsia="zh-CN"/>
        </w:rPr>
        <w:t>施工</w:t>
      </w:r>
      <w:r>
        <w:rPr>
          <w:rFonts w:hint="eastAsia" w:ascii="Times New Roman" w:hAnsi="Times New Roman" w:eastAsia="宋体" w:cs="Times New Roman"/>
          <w:b/>
          <w:bCs/>
          <w:color w:val="auto"/>
          <w:sz w:val="24"/>
          <w:szCs w:val="24"/>
          <w:highlight w:val="none"/>
          <w:lang w:eastAsia="zh-CN"/>
        </w:rPr>
        <w:t>资</w:t>
      </w:r>
      <w:r>
        <w:rPr>
          <w:rFonts w:hint="eastAsia" w:ascii="Times New Roman" w:hAnsi="Times New Roman" w:eastAsia="宋体" w:cs="Times New Roman"/>
          <w:b/>
          <w:bCs/>
          <w:color w:val="auto"/>
          <w:sz w:val="24"/>
          <w:szCs w:val="24"/>
          <w:highlight w:val="none"/>
          <w:u w:val="none"/>
          <w:lang w:eastAsia="zh-CN"/>
        </w:rPr>
        <w:t>质（并在有效期内）</w:t>
      </w:r>
      <w:r>
        <w:rPr>
          <w:rFonts w:hint="eastAsia" w:ascii="宋体" w:hAnsi="宋体" w:cs="宋体"/>
          <w:b/>
          <w:bCs/>
          <w:color w:val="auto"/>
          <w:sz w:val="24"/>
          <w:szCs w:val="24"/>
          <w:highlight w:val="none"/>
          <w:u w:val="none"/>
          <w:shd w:val="clear" w:color="auto" w:fill="FFFFFF"/>
        </w:rPr>
        <w:t>并</w:t>
      </w:r>
      <w:r>
        <w:rPr>
          <w:rFonts w:hint="eastAsia" w:ascii="宋体" w:hAnsi="宋体" w:cs="宋体"/>
          <w:b/>
          <w:bCs/>
          <w:color w:val="auto"/>
          <w:sz w:val="24"/>
          <w:szCs w:val="24"/>
          <w:highlight w:val="none"/>
          <w:u w:val="none"/>
          <w:shd w:val="clear" w:color="auto" w:fill="FFFFFF"/>
          <w:lang w:val="en-US" w:eastAsia="zh-CN"/>
        </w:rPr>
        <w:t>同时</w:t>
      </w:r>
      <w:r>
        <w:rPr>
          <w:rFonts w:hint="eastAsia" w:ascii="宋体" w:hAnsi="宋体" w:cs="宋体"/>
          <w:b/>
          <w:bCs/>
          <w:color w:val="auto"/>
          <w:sz w:val="24"/>
          <w:szCs w:val="24"/>
          <w:highlight w:val="none"/>
          <w:u w:val="none"/>
          <w:shd w:val="clear" w:color="auto" w:fill="FFFFFF"/>
        </w:rPr>
        <w:t>取得有效的安全生产许可证</w:t>
      </w:r>
      <w:r>
        <w:rPr>
          <w:rFonts w:hint="eastAsia" w:ascii="Times New Roman" w:hAnsi="Times New Roman" w:eastAsia="宋体" w:cs="Times New Roman"/>
          <w:b/>
          <w:bCs/>
          <w:color w:val="auto"/>
          <w:sz w:val="24"/>
          <w:szCs w:val="24"/>
          <w:highlight w:val="none"/>
          <w:u w:val="none"/>
          <w:lang w:eastAsia="zh-CN"/>
        </w:rPr>
        <w:t>。</w:t>
      </w:r>
    </w:p>
    <w:p w14:paraId="238BF60E">
      <w:pPr>
        <w:spacing w:line="400" w:lineRule="exact"/>
        <w:ind w:firstLine="480" w:firstLineChars="200"/>
        <w:rPr>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rPr>
        <w:t>投标</w:t>
      </w:r>
      <w:r>
        <w:rPr>
          <w:rFonts w:hint="eastAsia" w:ascii="Times New Roman" w:hAnsi="Times New Roman" w:eastAsia="宋体" w:cs="Times New Roman"/>
          <w:b/>
          <w:bCs/>
          <w:color w:val="auto"/>
          <w:sz w:val="24"/>
          <w:szCs w:val="24"/>
          <w:highlight w:val="none"/>
          <w:lang w:eastAsia="zh-CN"/>
        </w:rPr>
        <w:t>供应商</w:t>
      </w:r>
      <w:r>
        <w:rPr>
          <w:rFonts w:hint="eastAsia" w:ascii="Times New Roman" w:hAnsi="Times New Roman" w:eastAsia="宋体" w:cs="Times New Roman"/>
          <w:b/>
          <w:bCs/>
          <w:color w:val="auto"/>
          <w:sz w:val="24"/>
          <w:szCs w:val="24"/>
          <w:highlight w:val="none"/>
        </w:rPr>
        <w:t>拟派项目负责人须具备建筑工程专业二级以上(含二级）注册建造师且同时具有</w:t>
      </w:r>
      <w:r>
        <w:rPr>
          <w:rFonts w:hint="eastAsia" w:ascii="Times New Roman" w:hAnsi="Times New Roman" w:eastAsia="宋体" w:cs="Times New Roman"/>
          <w:b/>
          <w:bCs/>
          <w:color w:val="auto"/>
          <w:sz w:val="24"/>
          <w:szCs w:val="24"/>
          <w:highlight w:val="none"/>
          <w:lang w:eastAsia="zh-CN"/>
        </w:rPr>
        <w:t>有效的</w:t>
      </w:r>
      <w:r>
        <w:rPr>
          <w:rFonts w:hint="eastAsia" w:ascii="Times New Roman" w:hAnsi="Times New Roman" w:eastAsia="宋体" w:cs="Times New Roman"/>
          <w:b/>
          <w:bCs/>
          <w:color w:val="auto"/>
          <w:sz w:val="24"/>
          <w:szCs w:val="24"/>
          <w:highlight w:val="none"/>
        </w:rPr>
        <w:t>安全生产考核合格证（B证），且必须满足下列条件</w:t>
      </w:r>
      <w:r>
        <w:rPr>
          <w:rFonts w:hint="eastAsia"/>
          <w:b/>
          <w:bCs/>
          <w:color w:val="auto"/>
          <w:sz w:val="24"/>
          <w:szCs w:val="24"/>
          <w:highlight w:val="none"/>
        </w:rPr>
        <w:t>：</w:t>
      </w:r>
    </w:p>
    <w:p w14:paraId="773E8EAB">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C5F7DE4">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0FD01C3">
      <w:pPr>
        <w:adjustRightInd w:val="0"/>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①</w:t>
      </w:r>
      <w:r>
        <w:rPr>
          <w:rFonts w:hint="eastAsia"/>
          <w:b/>
          <w:bCs/>
          <w:color w:val="auto"/>
          <w:sz w:val="24"/>
          <w:szCs w:val="24"/>
          <w:highlight w:val="none"/>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r>
        <w:rPr>
          <w:rFonts w:hint="eastAsia" w:eastAsia="宋体" w:cs="Times New Roman"/>
          <w:b/>
          <w:bCs/>
          <w:color w:val="auto"/>
          <w:sz w:val="24"/>
          <w:szCs w:val="24"/>
          <w:highlight w:val="none"/>
          <w:lang w:val="en-US" w:eastAsia="zh-CN"/>
        </w:rPr>
        <w:t>其风险由投标人自行承担。</w:t>
      </w:r>
    </w:p>
    <w:p w14:paraId="3A6F4E19">
      <w:pPr>
        <w:adjustRightInd w:val="0"/>
        <w:snapToGrid w:val="0"/>
        <w:spacing w:line="480" w:lineRule="exact"/>
        <w:ind w:firstLine="482" w:firstLineChars="200"/>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3388BB81">
      <w:pPr>
        <w:adjustRightInd w:val="0"/>
        <w:snapToGrid w:val="0"/>
        <w:spacing w:line="480" w:lineRule="exact"/>
        <w:ind w:firstLine="482" w:firstLineChars="200"/>
        <w:rPr>
          <w:rFonts w:hint="default" w:ascii="Times New Roman" w:hAnsi="Times New Roman" w:eastAsia="宋体"/>
          <w:b/>
          <w:bCs/>
          <w:color w:val="auto"/>
          <w:sz w:val="32"/>
          <w:szCs w:val="32"/>
          <w:highlight w:val="none"/>
          <w:lang w:val="en-US" w:eastAsia="zh-CN"/>
        </w:rPr>
      </w:pPr>
      <w:r>
        <w:rPr>
          <w:rFonts w:hint="eastAsia" w:eastAsia="宋体" w:cs="Times New Roman"/>
          <w:b/>
          <w:bCs/>
          <w:color w:val="auto"/>
          <w:sz w:val="24"/>
          <w:szCs w:val="24"/>
          <w:highlight w:val="none"/>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1F5E66A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039412BF">
      <w:pPr>
        <w:spacing w:line="400" w:lineRule="exact"/>
        <w:ind w:firstLine="480" w:firstLineChars="200"/>
        <w:jc w:val="left"/>
        <w:rPr>
          <w:rFonts w:ascii="Times New Roman" w:hAnsi="Times New Roman"/>
          <w:color w:val="auto"/>
          <w:sz w:val="24"/>
          <w:szCs w:val="24"/>
          <w:highlight w:val="none"/>
        </w:rPr>
      </w:pPr>
      <w:bookmarkStart w:id="22" w:name="_Toc28359005"/>
      <w:bookmarkStart w:id="23" w:name="_Toc38985266"/>
      <w:bookmarkStart w:id="24" w:name="_Toc35393624"/>
      <w:bookmarkStart w:id="25" w:name="_Toc28359082"/>
      <w:bookmarkStart w:id="26" w:name="_Toc35393793"/>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自本公告发布之日起5个工作日</w:t>
      </w:r>
      <w:r>
        <w:rPr>
          <w:rFonts w:ascii="Times New Roman" w:hAnsi="Times New Roman"/>
          <w:b/>
          <w:bCs/>
          <w:color w:val="auto"/>
          <w:sz w:val="24"/>
          <w:szCs w:val="24"/>
          <w:highlight w:val="none"/>
        </w:rPr>
        <w:t>。</w:t>
      </w:r>
    </w:p>
    <w:p w14:paraId="7AE92A5D">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3EFBAEA0">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通过CA锁进行响应确认，并自行在磋商文件有效获取期内及时下载获取。</w:t>
      </w:r>
    </w:p>
    <w:p w14:paraId="495DD791">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3023AEC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35393794"/>
      <w:bookmarkStart w:id="28" w:name="_Toc35393625"/>
      <w:bookmarkStart w:id="29" w:name="_Toc28359084"/>
      <w:bookmarkStart w:id="30" w:name="_Toc38985267"/>
      <w:bookmarkStart w:id="31" w:name="_Toc28359007"/>
      <w:r>
        <w:rPr>
          <w:rFonts w:hint="eastAsia" w:ascii="Times New Roman" w:hAnsi="Times New Roman"/>
          <w:b/>
          <w:bCs/>
          <w:color w:val="auto"/>
          <w:sz w:val="32"/>
          <w:szCs w:val="32"/>
          <w:highlight w:val="none"/>
        </w:rPr>
        <w:t>四、响应文件提交</w:t>
      </w:r>
    </w:p>
    <w:p w14:paraId="63F46DEB">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20</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上午9</w:t>
      </w:r>
      <w:r>
        <w:rPr>
          <w:rFonts w:hint="eastAsia" w:ascii="宋体" w:hAnsi="宋体" w:cs="宋体"/>
          <w:b/>
          <w:bCs/>
          <w:color w:val="auto"/>
          <w:sz w:val="24"/>
          <w:szCs w:val="24"/>
          <w:highlight w:val="none"/>
        </w:rPr>
        <w:t>点</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3329AC9C">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0CFA72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194C4BC7">
      <w:pPr>
        <w:spacing w:line="400" w:lineRule="exact"/>
        <w:ind w:firstLine="480" w:firstLineChars="200"/>
        <w:jc w:val="left"/>
        <w:rPr>
          <w:rFonts w:ascii="Times New Roman" w:hAnsi="Times New Roman"/>
          <w:color w:val="auto"/>
          <w:sz w:val="24"/>
          <w:szCs w:val="24"/>
          <w:highlight w:val="none"/>
        </w:rPr>
      </w:pPr>
      <w:bookmarkStart w:id="32" w:name="_Toc38985268"/>
      <w:bookmarkStart w:id="33" w:name="_Toc35393795"/>
      <w:bookmarkStart w:id="34" w:name="_Toc35393626"/>
      <w:r>
        <w:rPr>
          <w:rFonts w:ascii="Times New Roman" w:hAnsi="Times New Roman"/>
          <w:color w:val="auto"/>
          <w:sz w:val="24"/>
          <w:szCs w:val="24"/>
          <w:highlight w:val="none"/>
        </w:rPr>
        <w:t>自本公告发布之日起3个工作日。</w:t>
      </w:r>
    </w:p>
    <w:p w14:paraId="1F03C52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EAEEA97">
      <w:pPr>
        <w:spacing w:line="400" w:lineRule="exact"/>
        <w:ind w:firstLine="480" w:firstLineChars="200"/>
        <w:jc w:val="left"/>
        <w:rPr>
          <w:rFonts w:ascii="Times New Roman" w:hAnsi="Times New Roman"/>
          <w:color w:val="auto"/>
          <w:sz w:val="24"/>
          <w:szCs w:val="24"/>
          <w:highlight w:val="none"/>
        </w:rPr>
      </w:pPr>
      <w:bookmarkStart w:id="35" w:name="_Toc35393627"/>
      <w:bookmarkStart w:id="36" w:name="_Toc38985269"/>
      <w:bookmarkStart w:id="37" w:name="_Toc35393796"/>
      <w:bookmarkStart w:id="38" w:name="_Toc28359008"/>
      <w:bookmarkStart w:id="39" w:name="_Toc28359085"/>
      <w:r>
        <w:rPr>
          <w:rFonts w:ascii="Times New Roman" w:hAnsi="Times New Roman"/>
          <w:color w:val="auto"/>
          <w:sz w:val="24"/>
          <w:szCs w:val="24"/>
          <w:highlight w:val="none"/>
        </w:rPr>
        <w:t>1.项目磋商活动模式：不见面远程磋商模式。</w:t>
      </w:r>
    </w:p>
    <w:p w14:paraId="476A8E0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5DD68C9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DD2B1F">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61CBEDB2">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676AB0A9">
      <w:pPr>
        <w:spacing w:line="400" w:lineRule="exact"/>
        <w:ind w:firstLine="480" w:firstLineChars="200"/>
        <w:rPr>
          <w:rFonts w:ascii="Times New Roman" w:hAnsi="Times New Roman"/>
          <w:color w:val="auto"/>
          <w:sz w:val="24"/>
          <w:szCs w:val="24"/>
          <w:highlight w:val="none"/>
        </w:rPr>
      </w:pPr>
      <w:bookmarkStart w:id="40" w:name="_Toc35393806"/>
      <w:bookmarkStart w:id="41" w:name="_Toc28359019"/>
      <w:bookmarkStart w:id="42" w:name="_Toc35393637"/>
      <w:bookmarkStart w:id="43" w:name="_Toc28359096"/>
      <w:bookmarkStart w:id="44" w:name="_Toc28359087"/>
      <w:bookmarkStart w:id="45" w:name="_Toc28359010"/>
      <w:r>
        <w:rPr>
          <w:rFonts w:ascii="Times New Roman" w:hAnsi="Times New Roman"/>
          <w:color w:val="auto"/>
          <w:sz w:val="24"/>
          <w:szCs w:val="24"/>
          <w:highlight w:val="none"/>
        </w:rPr>
        <w:t>1.采购人信息</w:t>
      </w:r>
      <w:bookmarkEnd w:id="40"/>
      <w:bookmarkEnd w:id="41"/>
      <w:bookmarkEnd w:id="42"/>
      <w:bookmarkEnd w:id="43"/>
    </w:p>
    <w:p w14:paraId="03082BE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名称：</w:t>
      </w:r>
      <w:r>
        <w:rPr>
          <w:rFonts w:hint="eastAsia" w:ascii="Times New Roman" w:hAnsi="Times New Roman"/>
          <w:color w:val="auto"/>
          <w:sz w:val="24"/>
          <w:szCs w:val="24"/>
          <w:highlight w:val="none"/>
          <w:lang w:val="en-US" w:eastAsia="zh-CN"/>
        </w:rPr>
        <w:t>如东县丰利中学</w:t>
      </w:r>
    </w:p>
    <w:p w14:paraId="2BE325C4">
      <w:pPr>
        <w:spacing w:line="400" w:lineRule="exact"/>
        <w:ind w:firstLine="480" w:firstLineChars="200"/>
        <w:rPr>
          <w:rFonts w:hint="eastAsia" w:ascii="Times New Roman" w:hAnsi="Times New Roman" w:eastAsia="宋体"/>
          <w:color w:val="auto"/>
          <w:sz w:val="24"/>
          <w:szCs w:val="24"/>
          <w:highlight w:val="none"/>
          <w:lang w:eastAsia="zh-CN"/>
        </w:rPr>
      </w:pPr>
      <w:bookmarkStart w:id="46" w:name="_Toc28359020"/>
      <w:bookmarkStart w:id="47" w:name="_Toc35393807"/>
      <w:bookmarkStart w:id="48" w:name="_Toc35393638"/>
      <w:bookmarkStart w:id="49" w:name="_Toc28359097"/>
      <w:r>
        <w:rPr>
          <w:rFonts w:hint="eastAsia" w:ascii="Times New Roman" w:hAnsi="Times New Roman" w:eastAsia="宋体"/>
          <w:color w:val="auto"/>
          <w:sz w:val="24"/>
          <w:szCs w:val="24"/>
          <w:highlight w:val="none"/>
          <w:lang w:eastAsia="zh-CN"/>
        </w:rPr>
        <w:t>地    址：如东县丰利镇新建西路99号‌‌‌‌</w:t>
      </w:r>
    </w:p>
    <w:p w14:paraId="54E12E6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联系方式：</w:t>
      </w:r>
      <w:r>
        <w:rPr>
          <w:rFonts w:hint="eastAsia" w:ascii="Times New Roman" w:hAnsi="Times New Roman"/>
          <w:color w:val="auto"/>
          <w:sz w:val="24"/>
          <w:szCs w:val="24"/>
          <w:highlight w:val="none"/>
          <w:lang w:val="en-US" w:eastAsia="zh-CN"/>
        </w:rPr>
        <w:t>13921477146</w:t>
      </w:r>
    </w:p>
    <w:p w14:paraId="2B0E2C8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2.采购代理机构信息</w:t>
      </w:r>
      <w:bookmarkEnd w:id="46"/>
      <w:bookmarkEnd w:id="47"/>
      <w:bookmarkEnd w:id="48"/>
      <w:bookmarkEnd w:id="49"/>
    </w:p>
    <w:p w14:paraId="59CEAD4D">
      <w:pPr>
        <w:spacing w:line="400" w:lineRule="exact"/>
        <w:ind w:firstLine="480" w:firstLineChars="200"/>
        <w:rPr>
          <w:rFonts w:ascii="Times New Roman" w:hAnsi="Times New Roman"/>
          <w:color w:val="auto"/>
          <w:sz w:val="24"/>
          <w:szCs w:val="24"/>
          <w:highlight w:val="none"/>
        </w:rPr>
      </w:pPr>
      <w:bookmarkStart w:id="50" w:name="_Toc35393639"/>
      <w:bookmarkStart w:id="51" w:name="_Toc28359098"/>
      <w:bookmarkStart w:id="52" w:name="_Toc35393808"/>
      <w:bookmarkStart w:id="53" w:name="_Toc28359021"/>
      <w:r>
        <w:rPr>
          <w:rFonts w:ascii="Times New Roman" w:hAnsi="Times New Roman"/>
          <w:color w:val="auto"/>
          <w:sz w:val="24"/>
          <w:szCs w:val="24"/>
          <w:highlight w:val="none"/>
        </w:rPr>
        <w:t>名称：</w:t>
      </w:r>
      <w:r>
        <w:rPr>
          <w:rFonts w:hint="eastAsia" w:ascii="Times New Roman" w:hAnsi="Times New Roman"/>
          <w:color w:val="auto"/>
          <w:sz w:val="24"/>
          <w:szCs w:val="24"/>
          <w:highlight w:val="none"/>
        </w:rPr>
        <w:t>江苏建达全过程工程咨询有限公司</w:t>
      </w:r>
    </w:p>
    <w:p w14:paraId="68DB4BA5">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地　　址：</w:t>
      </w:r>
      <w:r>
        <w:rPr>
          <w:rFonts w:hint="eastAsia" w:ascii="Times New Roman" w:hAnsi="Times New Roman"/>
          <w:color w:val="auto"/>
          <w:sz w:val="24"/>
          <w:szCs w:val="24"/>
          <w:highlight w:val="none"/>
        </w:rPr>
        <w:t>海安市城东镇宁海南路195号501室</w:t>
      </w:r>
    </w:p>
    <w:p w14:paraId="3FF1EFA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联系方式：</w:t>
      </w:r>
      <w:r>
        <w:rPr>
          <w:rFonts w:hint="eastAsia" w:ascii="Times New Roman" w:hAnsi="Times New Roman"/>
          <w:color w:val="auto"/>
          <w:sz w:val="24"/>
          <w:szCs w:val="24"/>
          <w:highlight w:val="none"/>
        </w:rPr>
        <w:t>18761700616</w:t>
      </w:r>
      <w:r>
        <w:rPr>
          <w:rFonts w:hint="eastAsia" w:ascii="Times New Roman" w:hAnsi="Times New Roman"/>
          <w:color w:val="auto"/>
          <w:sz w:val="24"/>
          <w:szCs w:val="24"/>
          <w:highlight w:val="none"/>
          <w:lang w:val="en-US" w:eastAsia="zh-CN"/>
        </w:rPr>
        <w:t>/15906291850</w:t>
      </w:r>
      <w:r>
        <w:rPr>
          <w:rFonts w:ascii="Times New Roman" w:hAnsi="Times New Roman"/>
          <w:color w:val="auto"/>
          <w:sz w:val="24"/>
          <w:szCs w:val="24"/>
          <w:highlight w:val="none"/>
        </w:rPr>
        <w:t>　</w:t>
      </w:r>
    </w:p>
    <w:p w14:paraId="3F82C28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3.项目联系方式</w:t>
      </w:r>
      <w:bookmarkEnd w:id="50"/>
      <w:bookmarkEnd w:id="51"/>
      <w:bookmarkEnd w:id="52"/>
      <w:bookmarkEnd w:id="53"/>
    </w:p>
    <w:p w14:paraId="166DF3D0">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陈煜</w:t>
      </w:r>
    </w:p>
    <w:p w14:paraId="707C242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　　话：</w:t>
      </w:r>
      <w:r>
        <w:rPr>
          <w:rFonts w:hint="eastAsia" w:ascii="Times New Roman" w:hAnsi="Times New Roman"/>
          <w:color w:val="auto"/>
          <w:sz w:val="24"/>
          <w:szCs w:val="24"/>
          <w:highlight w:val="none"/>
          <w:lang w:val="en-US" w:eastAsia="zh-CN"/>
        </w:rPr>
        <w:t>13921477146</w:t>
      </w:r>
      <w:r>
        <w:rPr>
          <w:rFonts w:ascii="Times New Roman" w:hAnsi="Times New Roman"/>
          <w:color w:val="auto"/>
          <w:sz w:val="24"/>
          <w:szCs w:val="24"/>
          <w:highlight w:val="none"/>
        </w:rPr>
        <w:t>　</w:t>
      </w:r>
    </w:p>
    <w:p w14:paraId="734EF47A">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3CDA2F7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9E73FB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6209CD2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772143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4"/>
    <w:bookmarkEnd w:id="45"/>
    <w:p w14:paraId="1573C10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14C19725">
      <w:pPr>
        <w:tabs>
          <w:tab w:val="left" w:pos="900"/>
        </w:tabs>
        <w:spacing w:line="560" w:lineRule="exact"/>
        <w:ind w:firstLine="480" w:firstLineChars="200"/>
        <w:jc w:val="left"/>
        <w:rPr>
          <w:rFonts w:ascii="Times New Roman" w:hAnsi="Times New Roman"/>
          <w:bCs/>
          <w:color w:val="auto"/>
          <w:sz w:val="24"/>
          <w:szCs w:val="24"/>
          <w:highlight w:val="none"/>
        </w:rPr>
      </w:pPr>
      <w:bookmarkStart w:id="54"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61D0193E">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7653F36">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5236AC5E">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167F835E">
      <w:pPr>
        <w:ind w:right="840"/>
        <w:rPr>
          <w:rFonts w:ascii="Times New Roman" w:hAnsi="Times New Roman"/>
          <w:color w:val="auto"/>
          <w:sz w:val="24"/>
          <w:szCs w:val="24"/>
          <w:highlight w:val="none"/>
        </w:rPr>
      </w:pPr>
    </w:p>
    <w:p w14:paraId="34DF723C">
      <w:pPr>
        <w:ind w:firstLine="883" w:firstLineChars="200"/>
        <w:jc w:val="center"/>
        <w:rPr>
          <w:rFonts w:ascii="Times New Roman" w:hAnsi="Times New Roman"/>
          <w:b/>
          <w:bCs/>
          <w:color w:val="auto"/>
          <w:sz w:val="44"/>
          <w:szCs w:val="44"/>
          <w:highlight w:val="none"/>
        </w:rPr>
      </w:pPr>
    </w:p>
    <w:p w14:paraId="7B2E2D67">
      <w:pPr>
        <w:ind w:firstLine="883" w:firstLineChars="200"/>
        <w:jc w:val="center"/>
        <w:rPr>
          <w:rFonts w:ascii="Times New Roman" w:hAnsi="Times New Roman"/>
          <w:b/>
          <w:bCs/>
          <w:color w:val="auto"/>
          <w:sz w:val="44"/>
          <w:szCs w:val="44"/>
          <w:highlight w:val="none"/>
        </w:rPr>
      </w:pPr>
    </w:p>
    <w:p w14:paraId="3590BECE">
      <w:pPr>
        <w:ind w:firstLine="883" w:firstLineChars="200"/>
        <w:jc w:val="center"/>
        <w:rPr>
          <w:rFonts w:ascii="Times New Roman" w:hAnsi="Times New Roman"/>
          <w:b/>
          <w:bCs/>
          <w:color w:val="auto"/>
          <w:sz w:val="44"/>
          <w:szCs w:val="44"/>
          <w:highlight w:val="none"/>
        </w:rPr>
      </w:pPr>
    </w:p>
    <w:p w14:paraId="0CF4BE61">
      <w:pPr>
        <w:ind w:firstLine="883" w:firstLineChars="200"/>
        <w:jc w:val="center"/>
        <w:rPr>
          <w:rFonts w:ascii="Times New Roman" w:hAnsi="Times New Roman"/>
          <w:b/>
          <w:bCs/>
          <w:color w:val="auto"/>
          <w:sz w:val="44"/>
          <w:szCs w:val="44"/>
          <w:highlight w:val="none"/>
        </w:rPr>
      </w:pPr>
    </w:p>
    <w:p w14:paraId="2438450A">
      <w:pPr>
        <w:ind w:firstLine="883" w:firstLineChars="200"/>
        <w:jc w:val="center"/>
        <w:rPr>
          <w:rFonts w:ascii="Times New Roman" w:hAnsi="Times New Roman"/>
          <w:b/>
          <w:bCs/>
          <w:color w:val="auto"/>
          <w:sz w:val="44"/>
          <w:szCs w:val="44"/>
          <w:highlight w:val="none"/>
        </w:rPr>
      </w:pPr>
    </w:p>
    <w:p w14:paraId="0351DC2C">
      <w:pPr>
        <w:widowControl/>
        <w:jc w:val="left"/>
        <w:rPr>
          <w:rFonts w:ascii="Times New Roman" w:hAnsi="Times New Roman"/>
          <w:b/>
          <w:bCs/>
          <w:color w:val="auto"/>
          <w:sz w:val="44"/>
          <w:szCs w:val="44"/>
          <w:highlight w:val="none"/>
        </w:rPr>
      </w:pPr>
    </w:p>
    <w:p w14:paraId="76783775">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54"/>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7CF47B8A">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55" w:name="_Toc513029203"/>
      <w:bookmarkStart w:id="56" w:name="_Toc120614214"/>
      <w:bookmarkStart w:id="57" w:name="_Toc20823275"/>
      <w:bookmarkStart w:id="58" w:name="_Toc16938519"/>
      <w:r>
        <w:rPr>
          <w:rFonts w:ascii="Times New Roman" w:hAnsi="Times New Roman"/>
          <w:b/>
          <w:bCs/>
          <w:color w:val="auto"/>
          <w:sz w:val="32"/>
          <w:szCs w:val="32"/>
          <w:highlight w:val="none"/>
        </w:rPr>
        <w:t>一、总则</w:t>
      </w:r>
      <w:bookmarkEnd w:id="55"/>
      <w:bookmarkEnd w:id="56"/>
      <w:bookmarkEnd w:id="57"/>
      <w:bookmarkEnd w:id="58"/>
    </w:p>
    <w:p w14:paraId="4A344D9A">
      <w:pPr>
        <w:keepNext/>
        <w:keepLines/>
        <w:spacing w:line="400" w:lineRule="exact"/>
        <w:ind w:firstLine="560" w:firstLineChars="200"/>
        <w:outlineLvl w:val="3"/>
        <w:rPr>
          <w:rFonts w:ascii="Times New Roman" w:hAnsi="Times New Roman" w:eastAsia="黑体"/>
          <w:color w:val="auto"/>
          <w:sz w:val="28"/>
          <w:szCs w:val="28"/>
          <w:highlight w:val="none"/>
        </w:rPr>
      </w:pPr>
      <w:bookmarkStart w:id="59" w:name="_Hlt16619475"/>
      <w:bookmarkEnd w:id="59"/>
      <w:bookmarkStart w:id="60" w:name="_Toc458694821"/>
      <w:bookmarkStart w:id="61" w:name="_Toc20823276"/>
      <w:bookmarkStart w:id="62" w:name="_Toc16938520"/>
      <w:bookmarkStart w:id="63" w:name="_Toc513029204"/>
      <w:r>
        <w:rPr>
          <w:rFonts w:ascii="Times New Roman" w:hAnsi="Times New Roman" w:eastAsia="黑体"/>
          <w:color w:val="auto"/>
          <w:sz w:val="28"/>
          <w:szCs w:val="28"/>
          <w:highlight w:val="none"/>
        </w:rPr>
        <w:t>1</w:t>
      </w:r>
      <w:bookmarkEnd w:id="60"/>
      <w:r>
        <w:rPr>
          <w:rFonts w:ascii="Times New Roman" w:hAnsi="Times New Roman" w:eastAsia="黑体"/>
          <w:color w:val="auto"/>
          <w:sz w:val="28"/>
          <w:szCs w:val="28"/>
          <w:highlight w:val="none"/>
        </w:rPr>
        <w:t>、采购方式</w:t>
      </w:r>
      <w:bookmarkEnd w:id="61"/>
      <w:bookmarkEnd w:id="62"/>
      <w:bookmarkEnd w:id="63"/>
    </w:p>
    <w:p w14:paraId="5391D92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1D44563B">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20823277"/>
      <w:bookmarkStart w:id="65" w:name="_Toc513029205"/>
      <w:bookmarkStart w:id="66" w:name="_Toc16938521"/>
      <w:r>
        <w:rPr>
          <w:rFonts w:ascii="Times New Roman" w:hAnsi="Times New Roman" w:eastAsia="黑体"/>
          <w:color w:val="auto"/>
          <w:sz w:val="28"/>
          <w:szCs w:val="28"/>
          <w:highlight w:val="none"/>
        </w:rPr>
        <w:t>2、合格的</w:t>
      </w:r>
      <w:bookmarkEnd w:id="64"/>
      <w:bookmarkEnd w:id="65"/>
      <w:bookmarkEnd w:id="66"/>
      <w:r>
        <w:rPr>
          <w:rFonts w:ascii="Times New Roman" w:hAnsi="Times New Roman" w:eastAsia="黑体"/>
          <w:color w:val="auto"/>
          <w:sz w:val="28"/>
          <w:szCs w:val="28"/>
          <w:highlight w:val="none"/>
        </w:rPr>
        <w:t>供应商</w:t>
      </w:r>
    </w:p>
    <w:p w14:paraId="61ACDD9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3FBDC09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D937AA3">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16938522"/>
      <w:bookmarkStart w:id="68" w:name="_Toc513029206"/>
      <w:bookmarkStart w:id="69" w:name="_Toc20823278"/>
      <w:r>
        <w:rPr>
          <w:rFonts w:ascii="Times New Roman" w:hAnsi="Times New Roman" w:eastAsia="黑体"/>
          <w:color w:val="auto"/>
          <w:sz w:val="28"/>
          <w:szCs w:val="28"/>
          <w:highlight w:val="none"/>
        </w:rPr>
        <w:t>3、适用法律</w:t>
      </w:r>
      <w:bookmarkEnd w:id="67"/>
      <w:bookmarkEnd w:id="68"/>
      <w:bookmarkEnd w:id="69"/>
    </w:p>
    <w:p w14:paraId="4DD4A81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24245C3">
      <w:pPr>
        <w:keepNext/>
        <w:keepLines/>
        <w:spacing w:line="400" w:lineRule="exact"/>
        <w:ind w:firstLine="560" w:firstLineChars="200"/>
        <w:outlineLvl w:val="3"/>
        <w:rPr>
          <w:rFonts w:ascii="Times New Roman" w:hAnsi="Times New Roman" w:eastAsia="黑体"/>
          <w:color w:val="auto"/>
          <w:sz w:val="28"/>
          <w:szCs w:val="28"/>
          <w:highlight w:val="none"/>
        </w:rPr>
      </w:pPr>
      <w:bookmarkStart w:id="70" w:name="_Toc16938523"/>
      <w:bookmarkStart w:id="71" w:name="_Toc20823279"/>
      <w:bookmarkStart w:id="72" w:name="_Toc462564067"/>
      <w:bookmarkStart w:id="73" w:name="_Toc513029207"/>
      <w:r>
        <w:rPr>
          <w:rFonts w:ascii="Times New Roman" w:hAnsi="Times New Roman" w:eastAsia="黑体"/>
          <w:color w:val="auto"/>
          <w:sz w:val="28"/>
          <w:szCs w:val="28"/>
          <w:highlight w:val="none"/>
        </w:rPr>
        <w:t>4、磋商费用</w:t>
      </w:r>
      <w:bookmarkEnd w:id="70"/>
      <w:bookmarkEnd w:id="71"/>
      <w:bookmarkEnd w:id="72"/>
      <w:bookmarkEnd w:id="73"/>
    </w:p>
    <w:p w14:paraId="737B32E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585C21C7">
      <w:pPr>
        <w:spacing w:line="400" w:lineRule="exact"/>
        <w:ind w:firstLine="480" w:firstLineChars="200"/>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188BE1C">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①如中标价超过100万元，则按</w:t>
      </w:r>
      <w:r>
        <w:rPr>
          <w:rFonts w:hint="eastAsia" w:ascii="Times New Roman" w:hAnsi="Times New Roman"/>
          <w:b/>
          <w:bCs/>
          <w:color w:val="auto"/>
          <w:sz w:val="24"/>
          <w:szCs w:val="24"/>
          <w:highlight w:val="none"/>
          <w:u w:val="single"/>
        </w:rPr>
        <w:t>100*1%*0.5+(中标价-100)*0.7%*0.5</w:t>
      </w:r>
      <w:r>
        <w:rPr>
          <w:rFonts w:hint="eastAsia" w:ascii="Times New Roman" w:hAnsi="Times New Roman"/>
          <w:b/>
          <w:bCs/>
          <w:color w:val="auto"/>
          <w:sz w:val="24"/>
          <w:szCs w:val="24"/>
          <w:highlight w:val="none"/>
          <w:u w:val="single"/>
          <w:lang w:eastAsia="zh-CN"/>
        </w:rPr>
        <w:t>；</w:t>
      </w:r>
      <w:r>
        <w:rPr>
          <w:rFonts w:hint="eastAsia" w:ascii="Times New Roman" w:hAnsi="Times New Roman"/>
          <w:b/>
          <w:bCs/>
          <w:color w:val="auto"/>
          <w:sz w:val="24"/>
          <w:szCs w:val="24"/>
          <w:highlight w:val="none"/>
          <w:u w:val="single"/>
          <w:lang w:val="en-US" w:eastAsia="zh-CN"/>
        </w:rPr>
        <w:t>②如中标价不足100万元，则按</w:t>
      </w:r>
      <w:r>
        <w:rPr>
          <w:rFonts w:hint="eastAsia" w:ascii="宋体" w:hAnsi="宋体" w:eastAsia="宋体" w:cs="宋体"/>
          <w:b/>
          <w:bCs/>
          <w:color w:val="auto"/>
          <w:sz w:val="24"/>
          <w:highlight w:val="none"/>
          <w:u w:val="single"/>
          <w:lang w:val="en-US" w:eastAsia="zh-CN"/>
        </w:rPr>
        <w:t>中标价*1.0%*0.5</w:t>
      </w:r>
      <w:r>
        <w:rPr>
          <w:rFonts w:hint="eastAsia" w:ascii="Times New Roman" w:hAnsi="Times New Roman"/>
          <w:b/>
          <w:bCs/>
          <w:color w:val="auto"/>
          <w:sz w:val="24"/>
          <w:szCs w:val="24"/>
          <w:highlight w:val="none"/>
          <w:lang w:val="en-US" w:eastAsia="zh-CN"/>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55F22AD0">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466143F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1C78D20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4" w:name="_Toc16938525"/>
      <w:bookmarkStart w:id="75" w:name="_Toc120614215"/>
      <w:bookmarkStart w:id="76" w:name="_Toc513029209"/>
      <w:bookmarkStart w:id="77" w:name="_Toc20823281"/>
      <w:r>
        <w:rPr>
          <w:rFonts w:ascii="Times New Roman" w:hAnsi="Times New Roman"/>
          <w:b/>
          <w:bCs/>
          <w:color w:val="auto"/>
          <w:sz w:val="32"/>
          <w:szCs w:val="32"/>
          <w:highlight w:val="none"/>
        </w:rPr>
        <w:t>二、</w:t>
      </w:r>
      <w:bookmarkEnd w:id="74"/>
      <w:bookmarkEnd w:id="75"/>
      <w:bookmarkEnd w:id="76"/>
      <w:bookmarkEnd w:id="77"/>
      <w:r>
        <w:rPr>
          <w:rFonts w:ascii="Times New Roman" w:hAnsi="Times New Roman"/>
          <w:b/>
          <w:bCs/>
          <w:color w:val="auto"/>
          <w:sz w:val="32"/>
          <w:szCs w:val="32"/>
          <w:highlight w:val="none"/>
        </w:rPr>
        <w:t>磋商文件</w:t>
      </w:r>
    </w:p>
    <w:p w14:paraId="621EA0C6">
      <w:pPr>
        <w:keepNext/>
        <w:keepLines/>
        <w:spacing w:line="400" w:lineRule="exact"/>
        <w:ind w:firstLine="560" w:firstLineChars="200"/>
        <w:outlineLvl w:val="3"/>
        <w:rPr>
          <w:rFonts w:ascii="Times New Roman" w:hAnsi="Times New Roman" w:eastAsia="黑体"/>
          <w:color w:val="auto"/>
          <w:sz w:val="28"/>
          <w:szCs w:val="28"/>
          <w:highlight w:val="none"/>
        </w:rPr>
      </w:pPr>
      <w:bookmarkStart w:id="78" w:name="_Toc20823282"/>
      <w:bookmarkStart w:id="79" w:name="_Toc16938526"/>
      <w:bookmarkStart w:id="80" w:name="_Toc513029210"/>
      <w:r>
        <w:rPr>
          <w:rFonts w:ascii="Times New Roman" w:hAnsi="Times New Roman" w:eastAsia="黑体"/>
          <w:color w:val="auto"/>
          <w:sz w:val="28"/>
          <w:szCs w:val="28"/>
          <w:highlight w:val="none"/>
        </w:rPr>
        <w:t>6、磋商文件构成</w:t>
      </w:r>
      <w:bookmarkEnd w:id="78"/>
      <w:bookmarkEnd w:id="79"/>
      <w:bookmarkEnd w:id="80"/>
    </w:p>
    <w:p w14:paraId="4C0AAF4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50F357D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27CADA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241F2A3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AA2BF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095498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6A319C1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0C3E5AC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4F2E3DA4">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BFFAE3F">
      <w:pPr>
        <w:keepNext/>
        <w:keepLines/>
        <w:spacing w:line="400" w:lineRule="exact"/>
        <w:ind w:firstLine="560" w:firstLineChars="200"/>
        <w:outlineLvl w:val="3"/>
        <w:rPr>
          <w:rFonts w:ascii="Times New Roman" w:hAnsi="Times New Roman" w:eastAsia="黑体"/>
          <w:color w:val="auto"/>
          <w:sz w:val="28"/>
          <w:szCs w:val="28"/>
          <w:highlight w:val="none"/>
        </w:rPr>
      </w:pPr>
      <w:bookmarkStart w:id="81" w:name="_Toc513029211"/>
      <w:bookmarkStart w:id="82" w:name="_Toc462564070"/>
      <w:bookmarkStart w:id="83" w:name="_Toc16938527"/>
      <w:bookmarkStart w:id="84" w:name="_Toc20823283"/>
      <w:r>
        <w:rPr>
          <w:rFonts w:ascii="Times New Roman" w:hAnsi="Times New Roman" w:eastAsia="黑体"/>
          <w:color w:val="auto"/>
          <w:sz w:val="28"/>
          <w:szCs w:val="28"/>
          <w:highlight w:val="none"/>
        </w:rPr>
        <w:t>7、磋商文件的澄清</w:t>
      </w:r>
      <w:bookmarkEnd w:id="81"/>
      <w:bookmarkEnd w:id="82"/>
      <w:bookmarkEnd w:id="83"/>
      <w:bookmarkEnd w:id="84"/>
    </w:p>
    <w:p w14:paraId="5ACC6F6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6FDB2F1D">
      <w:pPr>
        <w:keepNext/>
        <w:keepLines/>
        <w:spacing w:line="400" w:lineRule="exact"/>
        <w:ind w:firstLine="560" w:firstLineChars="200"/>
        <w:outlineLvl w:val="3"/>
        <w:rPr>
          <w:rFonts w:ascii="Times New Roman" w:hAnsi="Times New Roman" w:eastAsia="黑体"/>
          <w:color w:val="auto"/>
          <w:sz w:val="28"/>
          <w:szCs w:val="28"/>
          <w:highlight w:val="none"/>
        </w:rPr>
      </w:pPr>
      <w:bookmarkStart w:id="85" w:name="_Toc16938528"/>
      <w:bookmarkStart w:id="86" w:name="_Toc20823284"/>
      <w:bookmarkStart w:id="87" w:name="_Toc513029212"/>
      <w:bookmarkStart w:id="88" w:name="_Toc462564071"/>
      <w:r>
        <w:rPr>
          <w:rFonts w:ascii="Times New Roman" w:hAnsi="Times New Roman" w:eastAsia="黑体"/>
          <w:color w:val="auto"/>
          <w:sz w:val="28"/>
          <w:szCs w:val="28"/>
          <w:highlight w:val="none"/>
        </w:rPr>
        <w:t>8、磋商文件的澄清和修改</w:t>
      </w:r>
      <w:bookmarkEnd w:id="85"/>
      <w:bookmarkEnd w:id="86"/>
      <w:bookmarkEnd w:id="87"/>
      <w:bookmarkEnd w:id="88"/>
    </w:p>
    <w:p w14:paraId="46AB642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382EB08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7237A60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89" w:name="_Toc462564072"/>
      <w:bookmarkStart w:id="90" w:name="_Toc16938529"/>
      <w:bookmarkStart w:id="91" w:name="_Toc20823285"/>
      <w:bookmarkStart w:id="92" w:name="_Toc120614216"/>
      <w:bookmarkStart w:id="93" w:name="_Toc513029213"/>
      <w:r>
        <w:rPr>
          <w:rFonts w:ascii="Times New Roman" w:hAnsi="Times New Roman"/>
          <w:b/>
          <w:bCs/>
          <w:color w:val="auto"/>
          <w:sz w:val="32"/>
          <w:szCs w:val="32"/>
          <w:highlight w:val="none"/>
        </w:rPr>
        <w:t>三、响应文件的编制</w:t>
      </w:r>
      <w:bookmarkEnd w:id="89"/>
      <w:bookmarkEnd w:id="90"/>
      <w:bookmarkEnd w:id="91"/>
      <w:bookmarkEnd w:id="92"/>
      <w:bookmarkEnd w:id="93"/>
    </w:p>
    <w:p w14:paraId="5BEA2D98">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94" w:name="_Toc513029214"/>
      <w:bookmarkStart w:id="95" w:name="_Toc16938530"/>
      <w:bookmarkStart w:id="96" w:name="_Toc20823286"/>
      <w:bookmarkStart w:id="97" w:name="_Toc462564073"/>
      <w:r>
        <w:rPr>
          <w:rFonts w:ascii="Times New Roman" w:hAnsi="Times New Roman" w:eastAsia="黑体"/>
          <w:color w:val="auto"/>
          <w:sz w:val="28"/>
          <w:szCs w:val="28"/>
          <w:highlight w:val="none"/>
        </w:rPr>
        <w:t>9、响应文件的语言及度量衡单位</w:t>
      </w:r>
      <w:bookmarkEnd w:id="94"/>
      <w:bookmarkEnd w:id="95"/>
      <w:bookmarkEnd w:id="96"/>
      <w:bookmarkEnd w:id="97"/>
    </w:p>
    <w:p w14:paraId="41E3F73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18FA80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5F2E3DCE">
      <w:pPr>
        <w:keepNext/>
        <w:keepLines/>
        <w:spacing w:line="400" w:lineRule="exact"/>
        <w:ind w:firstLine="560" w:firstLineChars="200"/>
        <w:outlineLvl w:val="3"/>
        <w:rPr>
          <w:rFonts w:ascii="Times New Roman" w:hAnsi="Times New Roman" w:eastAsia="黑体"/>
          <w:color w:val="auto"/>
          <w:sz w:val="28"/>
          <w:szCs w:val="28"/>
          <w:highlight w:val="none"/>
        </w:rPr>
      </w:pPr>
      <w:bookmarkStart w:id="98" w:name="_Toc513029215"/>
      <w:bookmarkStart w:id="99" w:name="_Toc20823287"/>
      <w:bookmarkStart w:id="100" w:name="_Toc16938531"/>
      <w:bookmarkStart w:id="101" w:name="_Toc462564074"/>
      <w:r>
        <w:rPr>
          <w:rFonts w:ascii="Times New Roman" w:hAnsi="Times New Roman" w:eastAsia="黑体"/>
          <w:color w:val="auto"/>
          <w:sz w:val="28"/>
          <w:szCs w:val="28"/>
          <w:highlight w:val="none"/>
        </w:rPr>
        <w:t>10、响应文件构成</w:t>
      </w:r>
      <w:bookmarkEnd w:id="98"/>
      <w:bookmarkEnd w:id="99"/>
      <w:bookmarkEnd w:id="100"/>
      <w:bookmarkEnd w:id="101"/>
    </w:p>
    <w:p w14:paraId="0C05EE3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5A8F85E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4F118A72">
      <w:pPr>
        <w:keepNext/>
        <w:keepLines/>
        <w:spacing w:line="400" w:lineRule="exact"/>
        <w:ind w:firstLine="560" w:firstLineChars="200"/>
        <w:outlineLvl w:val="3"/>
        <w:rPr>
          <w:rFonts w:ascii="Times New Roman" w:hAnsi="Times New Roman" w:eastAsia="黑体"/>
          <w:color w:val="auto"/>
          <w:sz w:val="28"/>
          <w:szCs w:val="28"/>
          <w:highlight w:val="none"/>
        </w:rPr>
      </w:pPr>
      <w:bookmarkStart w:id="102" w:name="_Hlt26954838"/>
      <w:bookmarkEnd w:id="102"/>
      <w:bookmarkStart w:id="103" w:name="_Hlt26668975"/>
      <w:bookmarkEnd w:id="103"/>
      <w:bookmarkStart w:id="104" w:name="_Hlt26670360"/>
      <w:bookmarkEnd w:id="104"/>
      <w:bookmarkStart w:id="105" w:name="_Toc14577357"/>
      <w:bookmarkStart w:id="106" w:name="_Toc49090509"/>
      <w:bookmarkStart w:id="107" w:name="_Toc513029219"/>
      <w:bookmarkStart w:id="108" w:name="_Toc513029216"/>
      <w:bookmarkStart w:id="109" w:name="_Toc49090507"/>
      <w:bookmarkStart w:id="110" w:name="_Toc14577354"/>
      <w:bookmarkStart w:id="111" w:name="_Toc49090508"/>
      <w:bookmarkStart w:id="112" w:name="_Toc14577355"/>
      <w:r>
        <w:rPr>
          <w:rFonts w:ascii="Times New Roman" w:hAnsi="Times New Roman" w:eastAsia="黑体"/>
          <w:color w:val="auto"/>
          <w:sz w:val="28"/>
          <w:szCs w:val="28"/>
          <w:highlight w:val="none"/>
        </w:rPr>
        <w:t>11、证明磋商响应标的符合磋商文件规定的文件</w:t>
      </w:r>
      <w:bookmarkEnd w:id="105"/>
      <w:bookmarkEnd w:id="106"/>
      <w:bookmarkEnd w:id="107"/>
    </w:p>
    <w:bookmarkEnd w:id="108"/>
    <w:bookmarkEnd w:id="109"/>
    <w:bookmarkEnd w:id="110"/>
    <w:p w14:paraId="6EF91DD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5FAA68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111"/>
    <w:bookmarkEnd w:id="112"/>
    <w:p w14:paraId="5BD493B0">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532BBA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0656B58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477F32DE">
      <w:pPr>
        <w:keepNext/>
        <w:keepLines/>
        <w:spacing w:line="400" w:lineRule="exact"/>
        <w:ind w:firstLine="560" w:firstLineChars="200"/>
        <w:outlineLvl w:val="3"/>
        <w:rPr>
          <w:rFonts w:ascii="Times New Roman" w:hAnsi="Times New Roman" w:eastAsia="黑体"/>
          <w:color w:val="auto"/>
          <w:sz w:val="28"/>
          <w:szCs w:val="28"/>
          <w:highlight w:val="none"/>
        </w:rPr>
      </w:pPr>
      <w:bookmarkStart w:id="113" w:name="_Hlt26954731"/>
      <w:bookmarkEnd w:id="113"/>
      <w:bookmarkStart w:id="114" w:name="_Hlt26954848"/>
      <w:bookmarkEnd w:id="114"/>
      <w:bookmarkStart w:id="115" w:name="_Hlt26670486"/>
      <w:bookmarkEnd w:id="115"/>
      <w:bookmarkStart w:id="116" w:name="_Hlt26954846"/>
      <w:bookmarkEnd w:id="116"/>
      <w:bookmarkStart w:id="117" w:name="_Hlt26670482"/>
      <w:bookmarkEnd w:id="117"/>
      <w:r>
        <w:rPr>
          <w:rFonts w:ascii="Times New Roman" w:hAnsi="Times New Roman" w:eastAsia="黑体"/>
          <w:color w:val="auto"/>
          <w:sz w:val="28"/>
          <w:szCs w:val="28"/>
          <w:highlight w:val="none"/>
        </w:rPr>
        <w:t>13、技术要求响应及偏离表、商务要求响应及偏离表</w:t>
      </w:r>
    </w:p>
    <w:p w14:paraId="75CF504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2D47A7A2">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30F6C4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05E8A2E0">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8BD19E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1997AB6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A976B40">
      <w:pPr>
        <w:keepNext/>
        <w:keepLines/>
        <w:spacing w:line="400" w:lineRule="exact"/>
        <w:ind w:firstLine="560" w:firstLineChars="200"/>
        <w:outlineLvl w:val="3"/>
        <w:rPr>
          <w:rFonts w:ascii="Times New Roman" w:hAnsi="Times New Roman" w:eastAsia="黑体"/>
          <w:color w:val="auto"/>
          <w:sz w:val="28"/>
          <w:szCs w:val="28"/>
          <w:highlight w:val="none"/>
        </w:rPr>
      </w:pPr>
      <w:bookmarkStart w:id="118" w:name="_Toc14577359"/>
      <w:bookmarkStart w:id="119" w:name="_Toc49090510"/>
      <w:r>
        <w:rPr>
          <w:rFonts w:ascii="Times New Roman" w:hAnsi="Times New Roman" w:eastAsia="黑体"/>
          <w:color w:val="auto"/>
          <w:sz w:val="28"/>
          <w:szCs w:val="28"/>
          <w:highlight w:val="none"/>
        </w:rPr>
        <w:t>15、磋商响应函</w:t>
      </w:r>
    </w:p>
    <w:p w14:paraId="4DFA787A">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18"/>
    <w:bookmarkEnd w:id="119"/>
    <w:p w14:paraId="1CECAE53">
      <w:pPr>
        <w:keepNext/>
        <w:keepLines/>
        <w:spacing w:line="400" w:lineRule="exact"/>
        <w:ind w:firstLine="560" w:firstLineChars="200"/>
        <w:outlineLvl w:val="3"/>
        <w:rPr>
          <w:rFonts w:ascii="Times New Roman" w:hAnsi="Times New Roman" w:eastAsia="黑体"/>
          <w:color w:val="auto"/>
          <w:sz w:val="28"/>
          <w:szCs w:val="28"/>
          <w:highlight w:val="none"/>
        </w:rPr>
      </w:pPr>
      <w:bookmarkStart w:id="120" w:name="_Toc49090511"/>
      <w:bookmarkStart w:id="121" w:name="_Toc14577360"/>
      <w:r>
        <w:rPr>
          <w:rFonts w:ascii="Times New Roman" w:hAnsi="Times New Roman" w:eastAsia="黑体"/>
          <w:color w:val="auto"/>
          <w:sz w:val="28"/>
          <w:szCs w:val="28"/>
          <w:highlight w:val="none"/>
        </w:rPr>
        <w:t>16、磋商有效期</w:t>
      </w:r>
      <w:bookmarkEnd w:id="120"/>
      <w:bookmarkEnd w:id="121"/>
    </w:p>
    <w:p w14:paraId="3EE85D0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344A15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2AEE665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6D9DD0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2" w:name="_Hlt26954739"/>
      <w:bookmarkEnd w:id="122"/>
      <w:bookmarkStart w:id="123" w:name="_Hlt26954852"/>
      <w:bookmarkEnd w:id="123"/>
      <w:bookmarkStart w:id="124" w:name="_Toc120614217"/>
      <w:bookmarkStart w:id="125" w:name="_Toc16938540"/>
      <w:bookmarkStart w:id="126" w:name="_Toc513029224"/>
      <w:bookmarkStart w:id="127" w:name="_Toc20823296"/>
      <w:r>
        <w:rPr>
          <w:rFonts w:ascii="Times New Roman" w:hAnsi="Times New Roman"/>
          <w:b/>
          <w:bCs/>
          <w:color w:val="auto"/>
          <w:sz w:val="32"/>
          <w:szCs w:val="32"/>
          <w:highlight w:val="none"/>
        </w:rPr>
        <w:t>四、响应文件的递交</w:t>
      </w:r>
      <w:bookmarkEnd w:id="124"/>
      <w:bookmarkEnd w:id="125"/>
      <w:bookmarkEnd w:id="126"/>
      <w:bookmarkEnd w:id="127"/>
    </w:p>
    <w:p w14:paraId="3F00DD7C">
      <w:pPr>
        <w:keepNext/>
        <w:keepLines/>
        <w:spacing w:line="400" w:lineRule="exact"/>
        <w:ind w:firstLine="560" w:firstLineChars="200"/>
        <w:outlineLvl w:val="3"/>
        <w:rPr>
          <w:rFonts w:ascii="Times New Roman" w:hAnsi="Times New Roman" w:eastAsia="黑体"/>
          <w:color w:val="auto"/>
          <w:sz w:val="28"/>
          <w:szCs w:val="28"/>
          <w:highlight w:val="none"/>
        </w:rPr>
      </w:pPr>
      <w:bookmarkStart w:id="128" w:name="_Toc462564084"/>
      <w:bookmarkStart w:id="129" w:name="_Toc16938541"/>
      <w:bookmarkStart w:id="130" w:name="_Toc513029225"/>
      <w:bookmarkStart w:id="131" w:name="_Toc20823297"/>
      <w:r>
        <w:rPr>
          <w:rFonts w:ascii="Times New Roman" w:hAnsi="Times New Roman" w:eastAsia="黑体"/>
          <w:color w:val="auto"/>
          <w:sz w:val="28"/>
          <w:szCs w:val="28"/>
          <w:highlight w:val="none"/>
        </w:rPr>
        <w:t>18、电子磋商</w:t>
      </w:r>
      <w:bookmarkEnd w:id="128"/>
      <w:bookmarkEnd w:id="129"/>
      <w:bookmarkEnd w:id="130"/>
      <w:bookmarkEnd w:id="131"/>
      <w:r>
        <w:rPr>
          <w:rFonts w:ascii="Times New Roman" w:hAnsi="Times New Roman" w:eastAsia="黑体"/>
          <w:color w:val="auto"/>
          <w:sz w:val="28"/>
          <w:szCs w:val="28"/>
          <w:highlight w:val="none"/>
        </w:rPr>
        <w:t>响应文件的递交</w:t>
      </w:r>
    </w:p>
    <w:p w14:paraId="1F3DC1A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32" w:name="_Toc20823298"/>
      <w:bookmarkStart w:id="133" w:name="_Toc513029226"/>
      <w:bookmarkStart w:id="134" w:name="_Toc16938542"/>
    </w:p>
    <w:p w14:paraId="1F3A0054">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32"/>
      <w:bookmarkEnd w:id="133"/>
      <w:bookmarkEnd w:id="134"/>
    </w:p>
    <w:p w14:paraId="0F2B4AE5">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AE4E56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4121F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7FC1DF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35" w:name="_Toc20823299"/>
      <w:bookmarkStart w:id="136" w:name="_Toc16938543"/>
      <w:bookmarkStart w:id="137" w:name="_Toc513029227"/>
      <w:r>
        <w:rPr>
          <w:rFonts w:ascii="Times New Roman" w:hAnsi="Times New Roman" w:eastAsia="黑体"/>
          <w:color w:val="auto"/>
          <w:sz w:val="28"/>
          <w:szCs w:val="28"/>
          <w:highlight w:val="none"/>
        </w:rPr>
        <w:t>20、响应文件</w:t>
      </w:r>
      <w:bookmarkEnd w:id="135"/>
      <w:bookmarkEnd w:id="136"/>
      <w:bookmarkEnd w:id="137"/>
      <w:r>
        <w:rPr>
          <w:rFonts w:ascii="Times New Roman" w:hAnsi="Times New Roman" w:eastAsia="黑体"/>
          <w:color w:val="auto"/>
          <w:sz w:val="28"/>
          <w:szCs w:val="28"/>
          <w:highlight w:val="none"/>
        </w:rPr>
        <w:t>的拒收</w:t>
      </w:r>
    </w:p>
    <w:p w14:paraId="4BBB017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035201B">
      <w:pPr>
        <w:keepNext/>
        <w:keepLines/>
        <w:spacing w:line="400" w:lineRule="exact"/>
        <w:ind w:firstLine="560" w:firstLineChars="200"/>
        <w:outlineLvl w:val="3"/>
        <w:rPr>
          <w:rFonts w:ascii="Times New Roman" w:hAnsi="Times New Roman" w:eastAsia="黑体"/>
          <w:color w:val="auto"/>
          <w:sz w:val="28"/>
          <w:szCs w:val="28"/>
          <w:highlight w:val="none"/>
        </w:rPr>
      </w:pPr>
      <w:bookmarkStart w:id="138" w:name="_Toc16938544"/>
      <w:bookmarkStart w:id="139" w:name="_Toc513029228"/>
      <w:bookmarkStart w:id="140" w:name="_Toc20823300"/>
      <w:r>
        <w:rPr>
          <w:rFonts w:ascii="Times New Roman" w:hAnsi="Times New Roman" w:eastAsia="黑体"/>
          <w:color w:val="auto"/>
          <w:sz w:val="28"/>
          <w:szCs w:val="28"/>
          <w:highlight w:val="none"/>
        </w:rPr>
        <w:t>21、响应文件的撤回和修改</w:t>
      </w:r>
      <w:bookmarkEnd w:id="138"/>
      <w:bookmarkEnd w:id="139"/>
      <w:bookmarkEnd w:id="140"/>
    </w:p>
    <w:p w14:paraId="711D83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45526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21A7B30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398B92A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3A8596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1FA5F3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6D2408F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A78BDD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2518310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41" w:name="_Toc20823301"/>
      <w:bookmarkStart w:id="142" w:name="_Toc513029229"/>
      <w:bookmarkStart w:id="143" w:name="_Toc16938545"/>
      <w:bookmarkStart w:id="144" w:name="_Toc120614218"/>
      <w:r>
        <w:rPr>
          <w:rFonts w:ascii="Times New Roman" w:hAnsi="Times New Roman"/>
          <w:b/>
          <w:bCs/>
          <w:color w:val="auto"/>
          <w:sz w:val="32"/>
          <w:szCs w:val="32"/>
          <w:highlight w:val="none"/>
        </w:rPr>
        <w:t>五、响应文件的解密与评审</w:t>
      </w:r>
      <w:bookmarkEnd w:id="141"/>
      <w:bookmarkEnd w:id="142"/>
      <w:bookmarkEnd w:id="143"/>
      <w:bookmarkEnd w:id="144"/>
    </w:p>
    <w:p w14:paraId="2C1DDBC5">
      <w:pPr>
        <w:keepNext/>
        <w:keepLines/>
        <w:spacing w:line="400" w:lineRule="exact"/>
        <w:ind w:firstLine="560" w:firstLineChars="200"/>
        <w:outlineLvl w:val="3"/>
        <w:rPr>
          <w:rFonts w:ascii="Times New Roman" w:hAnsi="Times New Roman" w:eastAsia="黑体"/>
          <w:color w:val="auto"/>
          <w:sz w:val="28"/>
          <w:szCs w:val="28"/>
          <w:highlight w:val="none"/>
        </w:rPr>
      </w:pPr>
      <w:bookmarkStart w:id="145" w:name="_Toc513029230"/>
      <w:bookmarkStart w:id="146" w:name="_Toc16938546"/>
      <w:bookmarkStart w:id="147" w:name="_Toc20823302"/>
      <w:r>
        <w:rPr>
          <w:rFonts w:ascii="Times New Roman" w:hAnsi="Times New Roman" w:eastAsia="黑体"/>
          <w:color w:val="auto"/>
          <w:sz w:val="28"/>
          <w:szCs w:val="28"/>
          <w:highlight w:val="none"/>
        </w:rPr>
        <w:t>22、</w:t>
      </w:r>
      <w:bookmarkEnd w:id="145"/>
      <w:bookmarkEnd w:id="146"/>
      <w:bookmarkEnd w:id="147"/>
      <w:r>
        <w:rPr>
          <w:rFonts w:ascii="Times New Roman" w:hAnsi="Times New Roman" w:eastAsia="黑体"/>
          <w:color w:val="auto"/>
          <w:sz w:val="28"/>
          <w:szCs w:val="28"/>
          <w:highlight w:val="none"/>
        </w:rPr>
        <w:t>响应文件解密</w:t>
      </w:r>
    </w:p>
    <w:p w14:paraId="1084E292">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4F4B1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48" w:name="_Toc20823303"/>
      <w:bookmarkStart w:id="149" w:name="_Toc513029231"/>
      <w:bookmarkStart w:id="150" w:name="_Toc16938547"/>
      <w:r>
        <w:rPr>
          <w:rFonts w:ascii="Times New Roman" w:hAnsi="Times New Roman" w:eastAsia="黑体"/>
          <w:color w:val="auto"/>
          <w:sz w:val="28"/>
          <w:szCs w:val="28"/>
          <w:highlight w:val="none"/>
        </w:rPr>
        <w:t>23、磋商小组</w:t>
      </w:r>
    </w:p>
    <w:p w14:paraId="4A5929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59A5A39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4281DD4E">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48"/>
    <w:bookmarkEnd w:id="149"/>
    <w:bookmarkEnd w:id="150"/>
    <w:p w14:paraId="0B13C012">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0FBC38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2BD1A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6B9E9FC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3F644A58">
      <w:pPr>
        <w:keepNext/>
        <w:keepLines/>
        <w:spacing w:line="400" w:lineRule="exact"/>
        <w:ind w:firstLine="560" w:firstLineChars="200"/>
        <w:outlineLvl w:val="3"/>
        <w:rPr>
          <w:rFonts w:ascii="Times New Roman" w:hAnsi="Times New Roman" w:eastAsia="黑体"/>
          <w:color w:val="auto"/>
          <w:sz w:val="28"/>
          <w:szCs w:val="28"/>
          <w:highlight w:val="none"/>
        </w:rPr>
      </w:pPr>
      <w:bookmarkStart w:id="151" w:name="_Toc513029232"/>
      <w:bookmarkStart w:id="152" w:name="_Toc16938548"/>
      <w:bookmarkStart w:id="153" w:name="_Toc20823304"/>
      <w:r>
        <w:rPr>
          <w:rFonts w:ascii="Times New Roman" w:hAnsi="Times New Roman" w:eastAsia="黑体"/>
          <w:color w:val="auto"/>
          <w:sz w:val="28"/>
          <w:szCs w:val="28"/>
          <w:highlight w:val="none"/>
        </w:rPr>
        <w:t>25、评审过程中的的澄清</w:t>
      </w:r>
      <w:bookmarkEnd w:id="151"/>
      <w:bookmarkEnd w:id="152"/>
      <w:bookmarkEnd w:id="153"/>
    </w:p>
    <w:p w14:paraId="0584DC8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0CD04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79E23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CCA54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DED7C6C">
      <w:pPr>
        <w:keepNext/>
        <w:keepLines/>
        <w:spacing w:line="400" w:lineRule="exact"/>
        <w:ind w:firstLine="560" w:firstLineChars="200"/>
        <w:outlineLvl w:val="3"/>
        <w:rPr>
          <w:rFonts w:ascii="Times New Roman" w:hAnsi="Times New Roman" w:eastAsia="黑体"/>
          <w:color w:val="auto"/>
          <w:sz w:val="28"/>
          <w:szCs w:val="28"/>
          <w:highlight w:val="none"/>
        </w:rPr>
      </w:pPr>
      <w:bookmarkStart w:id="154" w:name="_Toc20823305"/>
      <w:bookmarkStart w:id="155" w:name="_Toc513029233"/>
      <w:bookmarkStart w:id="156" w:name="_Toc16938549"/>
      <w:r>
        <w:rPr>
          <w:rFonts w:ascii="Times New Roman" w:hAnsi="Times New Roman" w:eastAsia="黑体"/>
          <w:color w:val="auto"/>
          <w:sz w:val="28"/>
          <w:szCs w:val="28"/>
          <w:highlight w:val="none"/>
        </w:rPr>
        <w:t>26、对响应文件的审</w:t>
      </w:r>
      <w:bookmarkEnd w:id="154"/>
      <w:bookmarkEnd w:id="155"/>
      <w:bookmarkEnd w:id="156"/>
      <w:r>
        <w:rPr>
          <w:rFonts w:ascii="Times New Roman" w:hAnsi="Times New Roman" w:eastAsia="黑体"/>
          <w:color w:val="auto"/>
          <w:sz w:val="28"/>
          <w:szCs w:val="28"/>
          <w:highlight w:val="none"/>
        </w:rPr>
        <w:t>查</w:t>
      </w:r>
    </w:p>
    <w:p w14:paraId="3ACAF6B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17681FF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109E9A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F899AD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D066F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0AFA927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49D2888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CCD331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72E81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bCs w:val="0"/>
          <w:color w:val="auto"/>
          <w:sz w:val="24"/>
          <w:szCs w:val="21"/>
          <w:highlight w:val="none"/>
        </w:rPr>
        <w:t>未实质性响应磋商文件的情形</w:t>
      </w:r>
    </w:p>
    <w:p w14:paraId="2E216A6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52FC29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2EC3329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117926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FCE51F4">
      <w:pPr>
        <w:spacing w:line="400" w:lineRule="exact"/>
        <w:ind w:firstLine="480" w:firstLineChars="200"/>
        <w:rPr>
          <w:rFonts w:ascii="Times New Roman" w:hAnsi="Times New Roman"/>
          <w:b/>
          <w:bCs w:val="0"/>
          <w:color w:val="auto"/>
          <w:sz w:val="24"/>
          <w:szCs w:val="21"/>
          <w:highlight w:val="none"/>
        </w:rPr>
      </w:pPr>
      <w:r>
        <w:rPr>
          <w:rFonts w:ascii="Times New Roman" w:hAnsi="Times New Roman"/>
          <w:bCs/>
          <w:color w:val="auto"/>
          <w:sz w:val="24"/>
          <w:szCs w:val="21"/>
          <w:highlight w:val="none"/>
        </w:rPr>
        <w:t>26.3.5</w:t>
      </w:r>
      <w:r>
        <w:rPr>
          <w:rFonts w:ascii="Times New Roman" w:hAnsi="Times New Roman"/>
          <w:b/>
          <w:bCs w:val="0"/>
          <w:color w:val="auto"/>
          <w:sz w:val="24"/>
          <w:szCs w:val="21"/>
          <w:highlight w:val="none"/>
        </w:rPr>
        <w:t>供应商的最后报价超过了最高限价的。</w:t>
      </w:r>
    </w:p>
    <w:p w14:paraId="592AEEE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5F1D12E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96A033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730A987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788809A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5E61AA4B">
      <w:pPr>
        <w:spacing w:line="400" w:lineRule="exact"/>
        <w:ind w:firstLine="480" w:firstLineChars="200"/>
        <w:rPr>
          <w:rFonts w:ascii="Times New Roman" w:hAnsi="Times New Roman"/>
          <w:b w:val="0"/>
          <w:bCs/>
          <w:color w:val="auto"/>
          <w:sz w:val="24"/>
          <w:szCs w:val="21"/>
          <w:highlight w:val="none"/>
        </w:rPr>
      </w:pPr>
      <w:r>
        <w:rPr>
          <w:rFonts w:hint="eastAsia" w:ascii="Times New Roman" w:hAnsi="Times New Roman"/>
          <w:b w:val="0"/>
          <w:bCs/>
          <w:color w:val="auto"/>
          <w:sz w:val="24"/>
          <w:szCs w:val="21"/>
          <w:highlight w:val="none"/>
          <w:lang w:val="en-US" w:eastAsia="zh-CN"/>
        </w:rPr>
        <w:t>26.3.11响应文件提交的分项报价表中工程量乘以全费用综合单价不等于合价的；或合计之和不等于投标总价的。</w:t>
      </w:r>
    </w:p>
    <w:p w14:paraId="693CA45A">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26.3.12</w:t>
      </w:r>
      <w:r>
        <w:rPr>
          <w:rFonts w:hint="eastAsia" w:ascii="Times New Roman" w:hAnsi="Times New Roman"/>
          <w:bCs/>
          <w:color w:val="auto"/>
          <w:sz w:val="24"/>
          <w:szCs w:val="21"/>
          <w:highlight w:val="none"/>
        </w:rPr>
        <w:t>投标文件中已标价工程量清单与采购文件规定的暂估价、暂列金额及甲供材料价格不一致的；</w:t>
      </w:r>
    </w:p>
    <w:p w14:paraId="225955AD">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26.3.13</w:t>
      </w:r>
      <w:r>
        <w:rPr>
          <w:rFonts w:hint="eastAsia" w:ascii="宋体" w:hAnsi="宋体"/>
          <w:color w:val="auto"/>
          <w:sz w:val="24"/>
          <w:szCs w:val="24"/>
          <w:highlight w:val="none"/>
        </w:rPr>
        <w:t>其他法律、法规及本采购文件规定的属无效投标的情形。</w:t>
      </w:r>
    </w:p>
    <w:p w14:paraId="15E8738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11A53D7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0B32D665">
      <w:pPr>
        <w:spacing w:line="400" w:lineRule="exact"/>
        <w:ind w:firstLine="480" w:firstLineChars="200"/>
        <w:rPr>
          <w:rFonts w:ascii="Times New Roman" w:hAnsi="Times New Roman"/>
          <w:color w:val="auto"/>
          <w:sz w:val="24"/>
          <w:szCs w:val="21"/>
          <w:highlight w:val="none"/>
        </w:rPr>
      </w:pPr>
      <w:bookmarkStart w:id="157" w:name="_Toc20823306"/>
      <w:bookmarkStart w:id="158" w:name="_Toc16938550"/>
      <w:bookmarkStart w:id="159" w:name="_Toc513029234"/>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85798F7">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57"/>
      <w:bookmarkEnd w:id="158"/>
      <w:bookmarkEnd w:id="159"/>
      <w:r>
        <w:rPr>
          <w:rFonts w:ascii="Times New Roman" w:hAnsi="Times New Roman" w:eastAsia="黑体"/>
          <w:color w:val="auto"/>
          <w:sz w:val="28"/>
          <w:szCs w:val="28"/>
          <w:highlight w:val="none"/>
        </w:rPr>
        <w:t>磋商程序及评审方法和评审标准</w:t>
      </w:r>
    </w:p>
    <w:p w14:paraId="1393FF0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AB1A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229C56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876A6C">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110A6E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4A7A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C43D50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14FAE8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8E7541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1D9221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A2A12E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B22CAF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50D0D99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73865B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49A34B5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188D257D">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9E3F5B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9555381">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19714B5D">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60" w:name="_Toc120614219"/>
      <w:bookmarkStart w:id="161" w:name="_Toc16938551"/>
      <w:bookmarkStart w:id="162" w:name="_Toc20823307"/>
      <w:bookmarkStart w:id="163" w:name="_Toc513029235"/>
      <w:r>
        <w:rPr>
          <w:rFonts w:ascii="Times New Roman" w:hAnsi="Times New Roman"/>
          <w:color w:val="auto"/>
          <w:sz w:val="24"/>
          <w:szCs w:val="24"/>
          <w:highlight w:val="none"/>
        </w:rPr>
        <w:t>27.3.5因重大变故，采购任务取消的。</w:t>
      </w:r>
    </w:p>
    <w:p w14:paraId="2A64FDE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7F6DA64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2C914C2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5D2299E1">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13762B4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60"/>
      <w:bookmarkEnd w:id="161"/>
      <w:bookmarkEnd w:id="162"/>
      <w:bookmarkEnd w:id="163"/>
      <w:r>
        <w:rPr>
          <w:rFonts w:ascii="Times New Roman" w:hAnsi="Times New Roman"/>
          <w:b/>
          <w:bCs/>
          <w:color w:val="auto"/>
          <w:sz w:val="32"/>
          <w:szCs w:val="32"/>
          <w:highlight w:val="none"/>
        </w:rPr>
        <w:t>成交</w:t>
      </w:r>
    </w:p>
    <w:p w14:paraId="3767E54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4" w:name="_Toc513029238"/>
      <w:bookmarkStart w:id="165" w:name="_Toc16938554"/>
      <w:bookmarkStart w:id="166" w:name="_Toc20823310"/>
      <w:r>
        <w:rPr>
          <w:rFonts w:ascii="Times New Roman" w:hAnsi="Times New Roman" w:eastAsia="黑体"/>
          <w:bCs/>
          <w:color w:val="auto"/>
          <w:sz w:val="30"/>
          <w:szCs w:val="30"/>
          <w:highlight w:val="none"/>
        </w:rPr>
        <w:t>28、</w:t>
      </w:r>
      <w:bookmarkEnd w:id="164"/>
      <w:r>
        <w:rPr>
          <w:rFonts w:ascii="Times New Roman" w:hAnsi="Times New Roman" w:eastAsia="黑体"/>
          <w:bCs/>
          <w:color w:val="auto"/>
          <w:sz w:val="30"/>
          <w:szCs w:val="30"/>
          <w:highlight w:val="none"/>
        </w:rPr>
        <w:t>确定</w:t>
      </w:r>
      <w:bookmarkEnd w:id="165"/>
      <w:bookmarkEnd w:id="166"/>
      <w:r>
        <w:rPr>
          <w:rFonts w:ascii="Times New Roman" w:hAnsi="Times New Roman" w:eastAsia="黑体"/>
          <w:bCs/>
          <w:color w:val="auto"/>
          <w:sz w:val="30"/>
          <w:szCs w:val="30"/>
          <w:highlight w:val="none"/>
        </w:rPr>
        <w:t>成交单位</w:t>
      </w:r>
    </w:p>
    <w:p w14:paraId="27D42A31">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16359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2B6459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43D4D32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w:t>
      </w:r>
      <w:r>
        <w:rPr>
          <w:rFonts w:hint="eastAsia" w:ascii="Times New Roman" w:hAnsi="Times New Roman"/>
          <w:color w:val="auto"/>
          <w:sz w:val="24"/>
          <w:szCs w:val="21"/>
          <w:highlight w:val="none"/>
          <w:lang w:val="en-US" w:eastAsia="zh-CN"/>
        </w:rPr>
        <w:t>供应商</w:t>
      </w:r>
      <w:r>
        <w:rPr>
          <w:rFonts w:hint="eastAsia" w:ascii="Times New Roman" w:hAnsi="Times New Roman"/>
          <w:color w:val="auto"/>
          <w:sz w:val="24"/>
          <w:szCs w:val="21"/>
          <w:highlight w:val="none"/>
        </w:rPr>
        <w:t>排名顺序依次确定成交供应商。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56B4566E">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5F6491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03674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42A5CE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583A80E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770E5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212A046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63F802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C95A660">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7" w:name="_Toc200451960"/>
      <w:r>
        <w:rPr>
          <w:rFonts w:ascii="Times New Roman" w:hAnsi="Times New Roman" w:eastAsia="黑体"/>
          <w:bCs/>
          <w:color w:val="auto"/>
          <w:sz w:val="30"/>
          <w:szCs w:val="30"/>
          <w:highlight w:val="none"/>
        </w:rPr>
        <w:t>29、质疑处理</w:t>
      </w:r>
      <w:bookmarkEnd w:id="167"/>
    </w:p>
    <w:p w14:paraId="541C8E0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6680DA76">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849C4BE">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410DB21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4576335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629C444E">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1FF54AE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2047C009">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B9EE8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1A4EDCF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5E7F315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093BE8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4F0018A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51BF9F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F541F1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1939B74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56391DA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83330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EDDB4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516AE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5080113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68" w:name="_Toc120614220"/>
      <w:bookmarkStart w:id="169" w:name="_Toc20823308"/>
      <w:bookmarkStart w:id="170" w:name="_Toc16938552"/>
      <w:bookmarkStart w:id="171" w:name="_Toc513029236"/>
      <w:r>
        <w:rPr>
          <w:rFonts w:ascii="Times New Roman" w:hAnsi="Times New Roman"/>
          <w:b/>
          <w:bCs/>
          <w:color w:val="auto"/>
          <w:sz w:val="32"/>
          <w:szCs w:val="32"/>
          <w:highlight w:val="none"/>
        </w:rPr>
        <w:t>七、授予合同</w:t>
      </w:r>
      <w:bookmarkEnd w:id="168"/>
    </w:p>
    <w:bookmarkEnd w:id="169"/>
    <w:bookmarkEnd w:id="170"/>
    <w:bookmarkEnd w:id="171"/>
    <w:p w14:paraId="5C2236C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72" w:name="_Toc16938553"/>
      <w:bookmarkStart w:id="173" w:name="_Toc513029237"/>
      <w:bookmarkStart w:id="174" w:name="_Toc20823309"/>
      <w:r>
        <w:rPr>
          <w:rFonts w:ascii="Times New Roman" w:hAnsi="Times New Roman" w:eastAsia="黑体"/>
          <w:bCs/>
          <w:color w:val="auto"/>
          <w:sz w:val="30"/>
          <w:szCs w:val="30"/>
          <w:highlight w:val="none"/>
        </w:rPr>
        <w:t>31. 签订合同</w:t>
      </w:r>
    </w:p>
    <w:p w14:paraId="279BBC5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1C9640B6">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3D426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2A7E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72"/>
    <w:bookmarkEnd w:id="173"/>
    <w:bookmarkEnd w:id="174"/>
    <w:p w14:paraId="6148CC50">
      <w:pPr>
        <w:snapToGrid w:val="0"/>
        <w:spacing w:line="480" w:lineRule="exact"/>
        <w:ind w:firstLine="600" w:firstLineChars="250"/>
        <w:rPr>
          <w:rFonts w:ascii="Times New Roman" w:hAnsi="Times New Roman"/>
          <w:color w:val="auto"/>
          <w:sz w:val="24"/>
          <w:szCs w:val="24"/>
          <w:highlight w:val="none"/>
        </w:rPr>
      </w:pPr>
      <w:bookmarkStart w:id="175" w:name="_Toc513029242"/>
      <w:bookmarkStart w:id="176" w:name="_Toc16938558"/>
      <w:bookmarkStart w:id="177" w:name="_Toc20823314"/>
      <w:bookmarkStart w:id="178" w:name="_Toc120614221"/>
      <w:bookmarkStart w:id="179" w:name="_Toc479757207"/>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40D3137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C9FC154">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17C8BDB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0B21BA52">
      <w:pPr>
        <w:spacing w:line="400" w:lineRule="exact"/>
        <w:ind w:firstLine="480" w:firstLineChars="200"/>
        <w:rPr>
          <w:rFonts w:ascii="Times New Roman" w:hAnsi="Times New Roman"/>
          <w:bCs/>
          <w:color w:val="auto"/>
          <w:sz w:val="24"/>
          <w:szCs w:val="24"/>
          <w:highlight w:val="none"/>
        </w:rPr>
      </w:pPr>
    </w:p>
    <w:p w14:paraId="27F583CD">
      <w:pPr>
        <w:pStyle w:val="9"/>
        <w:spacing w:line="400" w:lineRule="exact"/>
        <w:ind w:firstLine="482" w:firstLineChars="200"/>
        <w:rPr>
          <w:rFonts w:ascii="Times New Roman" w:hAnsi="Times New Roman" w:cs="Times New Roman"/>
          <w:bCs w:val="0"/>
          <w:color w:val="auto"/>
          <w:sz w:val="24"/>
          <w:szCs w:val="24"/>
          <w:highlight w:val="none"/>
        </w:rPr>
      </w:pPr>
    </w:p>
    <w:p w14:paraId="10CE292A">
      <w:pPr>
        <w:pStyle w:val="9"/>
        <w:spacing w:line="400" w:lineRule="exact"/>
        <w:ind w:firstLine="562" w:firstLineChars="200"/>
        <w:rPr>
          <w:rFonts w:ascii="Times New Roman" w:hAnsi="Times New Roman" w:cs="Times New Roman"/>
          <w:color w:val="auto"/>
          <w:highlight w:val="none"/>
        </w:rPr>
      </w:pPr>
    </w:p>
    <w:p w14:paraId="500DF3FE">
      <w:pPr>
        <w:spacing w:line="400" w:lineRule="exact"/>
        <w:ind w:firstLine="480" w:firstLineChars="200"/>
        <w:rPr>
          <w:rFonts w:ascii="Times New Roman" w:hAnsi="Times New Roman"/>
          <w:bCs/>
          <w:color w:val="auto"/>
          <w:sz w:val="24"/>
          <w:szCs w:val="24"/>
          <w:highlight w:val="none"/>
        </w:rPr>
      </w:pPr>
    </w:p>
    <w:p w14:paraId="425638E8">
      <w:pPr>
        <w:spacing w:line="400" w:lineRule="exact"/>
        <w:ind w:firstLine="723" w:firstLineChars="200"/>
        <w:rPr>
          <w:rFonts w:ascii="Times New Roman" w:hAnsi="Times New Roman"/>
          <w:b/>
          <w:color w:val="auto"/>
          <w:sz w:val="36"/>
          <w:szCs w:val="36"/>
          <w:highlight w:val="none"/>
        </w:rPr>
      </w:pPr>
    </w:p>
    <w:p w14:paraId="00D1E9C3">
      <w:pPr>
        <w:jc w:val="center"/>
        <w:rPr>
          <w:rFonts w:ascii="Times New Roman" w:hAnsi="Times New Roman"/>
          <w:b/>
          <w:bCs/>
          <w:color w:val="auto"/>
          <w:sz w:val="36"/>
          <w:szCs w:val="36"/>
          <w:highlight w:val="none"/>
        </w:rPr>
      </w:pPr>
    </w:p>
    <w:p w14:paraId="10018A47">
      <w:pPr>
        <w:jc w:val="center"/>
        <w:rPr>
          <w:rFonts w:ascii="Times New Roman" w:hAnsi="Times New Roman"/>
          <w:b/>
          <w:bCs/>
          <w:color w:val="auto"/>
          <w:sz w:val="36"/>
          <w:szCs w:val="36"/>
          <w:highlight w:val="none"/>
        </w:rPr>
      </w:pPr>
    </w:p>
    <w:p w14:paraId="26226E42">
      <w:pPr>
        <w:pStyle w:val="2"/>
        <w:ind w:firstLine="723"/>
        <w:rPr>
          <w:rFonts w:ascii="Times New Roman" w:hAnsi="Times New Roman"/>
          <w:b/>
          <w:bCs/>
          <w:color w:val="auto"/>
          <w:sz w:val="36"/>
          <w:szCs w:val="36"/>
          <w:highlight w:val="none"/>
        </w:rPr>
      </w:pPr>
    </w:p>
    <w:p w14:paraId="11EC9C41">
      <w:pPr>
        <w:rPr>
          <w:rFonts w:ascii="Times New Roman" w:hAnsi="Times New Roman"/>
          <w:b/>
          <w:bCs/>
          <w:color w:val="auto"/>
          <w:sz w:val="36"/>
          <w:szCs w:val="36"/>
          <w:highlight w:val="none"/>
        </w:rPr>
      </w:pPr>
    </w:p>
    <w:p w14:paraId="6717FB31">
      <w:pPr>
        <w:pStyle w:val="31"/>
        <w:rPr>
          <w:color w:val="auto"/>
          <w:highlight w:val="none"/>
        </w:rPr>
      </w:pPr>
    </w:p>
    <w:p w14:paraId="7745C5FE">
      <w:pPr>
        <w:rPr>
          <w:color w:val="auto"/>
          <w:highlight w:val="none"/>
        </w:rPr>
      </w:pPr>
    </w:p>
    <w:p w14:paraId="28427D4A">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2F90EE87">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1C3BE35F">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6D6360E4">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75"/>
      <w:bookmarkEnd w:id="176"/>
      <w:bookmarkEnd w:id="177"/>
      <w:bookmarkEnd w:id="178"/>
      <w:bookmarkEnd w:id="179"/>
      <w:r>
        <w:rPr>
          <w:b/>
          <w:bCs/>
          <w:color w:val="auto"/>
          <w:sz w:val="36"/>
          <w:szCs w:val="36"/>
          <w:highlight w:val="none"/>
        </w:rPr>
        <w:t>文本</w:t>
      </w:r>
      <w:bookmarkStart w:id="180" w:name="_Toc16938559"/>
      <w:bookmarkStart w:id="181" w:name="_Toc513029243"/>
      <w:bookmarkStart w:id="182" w:name="_Toc20823315"/>
    </w:p>
    <w:bookmarkEnd w:id="180"/>
    <w:bookmarkEnd w:id="181"/>
    <w:bookmarkEnd w:id="182"/>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firstLine="361" w:firstLineChars="100"/>
        <w:textAlignment w:val="auto"/>
        <w:rPr>
          <w:rFonts w:ascii="宋体" w:hAnsi="宋体"/>
          <w:b/>
          <w:color w:val="auto"/>
          <w:sz w:val="36"/>
          <w:szCs w:val="36"/>
          <w:highlight w:val="none"/>
        </w:rPr>
      </w:pPr>
      <w:bookmarkStart w:id="183" w:name="_Hlt16619350"/>
      <w:bookmarkStart w:id="184" w:name="_Toc120614244"/>
      <w:bookmarkStart w:id="185" w:name="_Toc16938590"/>
      <w:bookmarkStart w:id="186" w:name="_Toc20823346"/>
      <w:bookmarkStart w:id="187" w:name="_Toc462564139"/>
      <w:bookmarkStart w:id="188" w:name="_Toc479757211"/>
      <w:r>
        <w:rPr>
          <w:rFonts w:hint="eastAsia" w:ascii="宋体" w:hAnsi="宋体"/>
          <w:b/>
          <w:color w:val="auto"/>
          <w:sz w:val="36"/>
          <w:szCs w:val="36"/>
          <w:highlight w:val="none"/>
          <w:lang w:val="en-US" w:eastAsia="zh-CN"/>
        </w:rPr>
        <w:t>如东县丰利中学校舍维修改造及行政楼出新工程施工</w:t>
      </w:r>
      <w:r>
        <w:rPr>
          <w:rFonts w:hint="eastAsia" w:ascii="宋体" w:hAnsi="宋体"/>
          <w:b/>
          <w:color w:val="auto"/>
          <w:sz w:val="36"/>
          <w:szCs w:val="36"/>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eastAsia" w:ascii="Times New Roman" w:hAnsi="Times New Roman"/>
                <w:color w:val="auto"/>
                <w:sz w:val="24"/>
                <w:szCs w:val="24"/>
                <w:highlight w:val="none"/>
              </w:rPr>
              <w:t>如东县丰利中学校舍维修改造及行政楼出新工程</w:t>
            </w:r>
            <w:r>
              <w:rPr>
                <w:rFonts w:hint="eastAsia" w:ascii="宋体" w:hAnsi="宋体" w:cs="宋体"/>
                <w:color w:val="auto"/>
                <w:kern w:val="0"/>
                <w:sz w:val="24"/>
                <w:szCs w:val="24"/>
                <w:highlight w:val="none"/>
                <w:lang w:val="en-US" w:eastAsia="zh-CN"/>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color w:val="auto"/>
          <w:sz w:val="24"/>
          <w:szCs w:val="24"/>
          <w:highlight w:val="none"/>
          <w:u w:val="single"/>
        </w:rPr>
        <w:t>如东县</w:t>
      </w:r>
      <w:r>
        <w:rPr>
          <w:rFonts w:hint="eastAsia"/>
          <w:color w:val="auto"/>
          <w:sz w:val="24"/>
          <w:szCs w:val="24"/>
          <w:highlight w:val="none"/>
          <w:u w:val="single"/>
          <w:lang w:val="en-US" w:eastAsia="zh-CN"/>
        </w:rPr>
        <w:t>丰利中学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当年年底支付玖拾陆万元整（扣除暂列金和专业工程暂估价后，如中标价不足玖拾陆万元的，则支付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本工程质保期两年，具体以投标承诺的质保期限为准</w:t>
      </w:r>
      <w:r>
        <w:rPr>
          <w:rFonts w:hint="eastAsia" w:ascii="宋体" w:hAnsi="宋体" w:eastAsia="宋体" w:cs="宋体"/>
          <w:b/>
          <w:color w:val="auto"/>
          <w:kern w:val="0"/>
          <w:sz w:val="24"/>
          <w:szCs w:val="24"/>
          <w:highlight w:val="none"/>
          <w:u w:val="none"/>
          <w:lang w:eastAsia="zh-CN"/>
        </w:rPr>
        <w:t>）</w:t>
      </w:r>
    </w:p>
    <w:p w14:paraId="1622560B">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付款基数=合同价-暂列金-专业工程暂估价</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52F48E7D">
      <w:pPr>
        <w:spacing w:line="480" w:lineRule="auto"/>
        <w:rPr>
          <w:b/>
          <w:bCs/>
          <w:color w:val="auto"/>
          <w:sz w:val="30"/>
          <w:szCs w:val="30"/>
          <w:highlight w:val="none"/>
        </w:rPr>
      </w:pPr>
      <w:r>
        <w:rPr>
          <w:rFonts w:hint="eastAsia" w:ascii="宋体" w:hAnsi="宋体"/>
          <w:color w:val="auto"/>
          <w:sz w:val="24"/>
          <w:szCs w:val="24"/>
          <w:highlight w:val="none"/>
        </w:rPr>
        <w:t>法定（授权）代表人：                  法定（授权）代表人：</w:t>
      </w:r>
    </w:p>
    <w:p w14:paraId="5BE38A60">
      <w:pPr>
        <w:bidi w:val="0"/>
        <w:jc w:val="center"/>
        <w:rPr>
          <w:rFonts w:ascii="Times New Roman" w:hAnsi="Times New Roman"/>
          <w:b/>
          <w:color w:val="auto"/>
          <w:sz w:val="24"/>
          <w:szCs w:val="24"/>
          <w:highlight w:val="none"/>
        </w:rPr>
      </w:pPr>
      <w:r>
        <w:rPr>
          <w:b/>
          <w:bCs/>
          <w:color w:val="auto"/>
          <w:sz w:val="36"/>
          <w:szCs w:val="36"/>
          <w:highlight w:val="none"/>
        </w:rPr>
        <w:t>第</w:t>
      </w:r>
      <w:bookmarkEnd w:id="183"/>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采购需求</w:t>
      </w:r>
      <w:bookmarkEnd w:id="184"/>
      <w:bookmarkEnd w:id="185"/>
      <w:bookmarkEnd w:id="186"/>
      <w:bookmarkStart w:id="189" w:name="_Toc26554093"/>
      <w:bookmarkStart w:id="190" w:name="_Toc49090575"/>
    </w:p>
    <w:p w14:paraId="5AF263A5">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31DAFAD">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供应商不能简单照搬照抄</w:t>
      </w:r>
      <w:r>
        <w:rPr>
          <w:rFonts w:hint="eastAsia" w:ascii="宋体" w:hAnsi="宋体" w:cs="宋体"/>
          <w:b w:val="0"/>
          <w:bCs w:val="0"/>
          <w:color w:val="auto"/>
          <w:sz w:val="24"/>
          <w:szCs w:val="24"/>
          <w:highlight w:val="none"/>
          <w:lang w:eastAsia="zh-CN"/>
        </w:rPr>
        <w:t>磋商</w:t>
      </w:r>
      <w:r>
        <w:rPr>
          <w:rFonts w:hint="eastAsia" w:ascii="宋体" w:hAnsi="宋体" w:cs="宋体"/>
          <w:b w:val="0"/>
          <w:bCs w:val="0"/>
          <w:color w:val="auto"/>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E41A7EC">
      <w:pPr>
        <w:keepNext w:val="0"/>
        <w:keepLines w:val="0"/>
        <w:pageBreakBefore w:val="0"/>
        <w:kinsoku/>
        <w:wordWrap/>
        <w:overflowPunct/>
        <w:topLinePunct w:val="0"/>
        <w:autoSpaceDE/>
        <w:autoSpaceDN/>
        <w:bidi w:val="0"/>
        <w:spacing w:line="400" w:lineRule="exact"/>
        <w:ind w:firstLine="482"/>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（一）采购标的需实现的功能或者目标, 以及为落实政府采购政策需满足的要求</w:t>
      </w:r>
    </w:p>
    <w:p w14:paraId="113D03F1">
      <w:pPr>
        <w:keepNext w:val="0"/>
        <w:keepLines w:val="0"/>
        <w:pageBreakBefore w:val="0"/>
        <w:tabs>
          <w:tab w:val="left" w:pos="0"/>
        </w:tabs>
        <w:kinsoku/>
        <w:wordWrap/>
        <w:overflowPunct/>
        <w:topLinePunct w:val="0"/>
        <w:autoSpaceDE/>
        <w:autoSpaceDN/>
        <w:bidi w:val="0"/>
        <w:spacing w:line="400" w:lineRule="exact"/>
        <w:ind w:firstLine="562"/>
        <w:textAlignment w:val="auto"/>
        <w:rPr>
          <w:color w:val="auto"/>
          <w:highlight w:val="none"/>
          <w:lang w:val="en-US" w:eastAsia="zh-CN"/>
        </w:rPr>
      </w:pPr>
      <w:r>
        <w:rPr>
          <w:rFonts w:hint="eastAsia" w:ascii="宋体" w:hAnsi="宋体" w:cs="宋体"/>
          <w:color w:val="auto"/>
          <w:sz w:val="24"/>
          <w:szCs w:val="24"/>
          <w:highlight w:val="none"/>
          <w:lang w:val="en-US" w:eastAsia="zh-CN"/>
        </w:rPr>
        <w:t>详见分项报价表中的工程量和具体施工内容及编制说明，欢迎符合本工程资格要求的供应商前来投标。</w:t>
      </w:r>
    </w:p>
    <w:p w14:paraId="570775D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2ADB37A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按国家现行相关法律法规和行业标准执行。</w:t>
      </w:r>
    </w:p>
    <w:p w14:paraId="0015496F">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1、工程采用的计价规范</w:t>
      </w:r>
    </w:p>
    <w:p w14:paraId="7CCB01BE">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具体详见附件《如东县丰利中学校舍维修改造及行政楼出新工程编制说明》</w:t>
      </w:r>
    </w:p>
    <w:p w14:paraId="4280CD4A">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、本工程对施工工艺的特殊要求</w:t>
      </w:r>
    </w:p>
    <w:p w14:paraId="3E288EDA">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rPr>
        <w:t>施工期间要注意周边环境，尽量避免或减少对周围居民生活的影响。</w:t>
      </w:r>
    </w:p>
    <w:p w14:paraId="2D7E54E1">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②</w:t>
      </w:r>
      <w:r>
        <w:rPr>
          <w:rFonts w:hint="eastAsia" w:ascii="宋体" w:hAnsi="宋体" w:cs="宋体"/>
          <w:b w:val="0"/>
          <w:bCs w:val="0"/>
          <w:color w:val="auto"/>
          <w:sz w:val="24"/>
          <w:szCs w:val="24"/>
          <w:highlight w:val="none"/>
        </w:rPr>
        <w:t>冬、雨季施工要采取相应的</w:t>
      </w:r>
      <w:r>
        <w:rPr>
          <w:rFonts w:hint="eastAsia" w:ascii="宋体" w:hAnsi="宋体" w:cs="宋体"/>
          <w:b w:val="0"/>
          <w:bCs w:val="0"/>
          <w:color w:val="auto"/>
          <w:sz w:val="24"/>
          <w:szCs w:val="24"/>
          <w:highlight w:val="none"/>
          <w:lang w:val="en-US" w:eastAsia="zh-CN"/>
        </w:rPr>
        <w:t>保护</w:t>
      </w:r>
      <w:r>
        <w:rPr>
          <w:rFonts w:hint="eastAsia" w:ascii="宋体" w:hAnsi="宋体" w:cs="宋体"/>
          <w:b w:val="0"/>
          <w:bCs w:val="0"/>
          <w:color w:val="auto"/>
          <w:sz w:val="24"/>
          <w:szCs w:val="24"/>
          <w:highlight w:val="none"/>
        </w:rPr>
        <w:t>措施。</w:t>
      </w:r>
    </w:p>
    <w:p w14:paraId="7AD12F25">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③</w:t>
      </w:r>
      <w:r>
        <w:rPr>
          <w:rFonts w:hint="eastAsia" w:ascii="宋体" w:hAnsi="宋体" w:cs="宋体"/>
          <w:b w:val="0"/>
          <w:bCs w:val="0"/>
          <w:color w:val="auto"/>
          <w:sz w:val="24"/>
          <w:szCs w:val="24"/>
          <w:highlight w:val="none"/>
        </w:rPr>
        <w:t>工程的主要部位和特殊要求由建设、设计、监理三方讨论后以书面形式通知施工单位实施。</w:t>
      </w:r>
    </w:p>
    <w:p w14:paraId="587BDB7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lang w:val="en-US" w:eastAsia="zh-CN"/>
        </w:rPr>
        <w:t>工程结算及调整价款方式</w:t>
      </w:r>
    </w:p>
    <w:p w14:paraId="24C04F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color w:val="auto"/>
          <w:sz w:val="24"/>
          <w:szCs w:val="24"/>
          <w:highlight w:val="none"/>
          <w:lang w:eastAsia="zh-CN"/>
        </w:rPr>
      </w:pP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359957DE">
      <w:pPr>
        <w:keepNext w:val="0"/>
        <w:keepLines w:val="0"/>
        <w:pageBreakBefore w:val="0"/>
        <w:kinsoku/>
        <w:wordWrap/>
        <w:overflowPunct/>
        <w:topLinePunct w:val="0"/>
        <w:autoSpaceDE/>
        <w:autoSpaceDN/>
        <w:bidi w:val="0"/>
        <w:spacing w:line="400" w:lineRule="exact"/>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30C6C666">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1854EE9">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2145BDB6">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1、采购需求清单：详见</w:t>
      </w:r>
      <w:r>
        <w:rPr>
          <w:rFonts w:hint="eastAsia" w:ascii="宋体" w:hAnsi="宋体" w:cs="宋体"/>
          <w:color w:val="auto"/>
          <w:sz w:val="24"/>
          <w:szCs w:val="24"/>
          <w:highlight w:val="none"/>
          <w:lang w:eastAsia="zh-CN"/>
        </w:rPr>
        <w:t>分项报价表。</w:t>
      </w:r>
    </w:p>
    <w:p w14:paraId="6872B41E">
      <w:pPr>
        <w:keepNext w:val="0"/>
        <w:keepLines w:val="0"/>
        <w:pageBreakBefore w:val="0"/>
        <w:kinsoku/>
        <w:wordWrap/>
        <w:overflowPunct/>
        <w:topLinePunct w:val="0"/>
        <w:autoSpaceDE/>
        <w:autoSpaceDN/>
        <w:bidi w:val="0"/>
        <w:spacing w:line="400" w:lineRule="exact"/>
        <w:ind w:firstLine="56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2、施工工期</w:t>
      </w:r>
      <w:r>
        <w:rPr>
          <w:rFonts w:hint="eastAsia" w:ascii="宋体" w:hAnsi="宋体" w:cs="宋体"/>
          <w:color w:val="auto"/>
          <w:sz w:val="24"/>
          <w:szCs w:val="24"/>
          <w:highlight w:val="none"/>
          <w:lang w:eastAsia="zh-CN"/>
        </w:rPr>
        <w:t>：</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r>
        <w:rPr>
          <w:rFonts w:hint="eastAsia" w:ascii="Times New Roman" w:hAnsi="Times New Roman"/>
          <w:color w:val="auto"/>
          <w:sz w:val="24"/>
          <w:szCs w:val="24"/>
          <w:highlight w:val="none"/>
        </w:rPr>
        <w:t>。</w:t>
      </w:r>
    </w:p>
    <w:p w14:paraId="5098A0C1">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、交付地点：采购人指定的地点。</w:t>
      </w:r>
    </w:p>
    <w:p w14:paraId="3ADE27A4">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（五）采购标的需满足的服务标准、期限、效率等要求</w:t>
      </w:r>
    </w:p>
    <w:p w14:paraId="41C500E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工程质量保修期2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，具体以投标承诺的质保期限为准，质量保修期自工程竣工验收合格之日起计算</w:t>
      </w:r>
      <w:r>
        <w:rPr>
          <w:rFonts w:hint="eastAsia" w:ascii="宋体" w:hAnsi="宋体" w:cs="宋体"/>
          <w:color w:val="auto"/>
          <w:sz w:val="24"/>
          <w:szCs w:val="24"/>
          <w:highlight w:val="none"/>
        </w:rPr>
        <w:t>。</w:t>
      </w:r>
    </w:p>
    <w:p w14:paraId="36B6A96D">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5CA7F2AF">
      <w:pPr>
        <w:keepNext w:val="0"/>
        <w:keepLines w:val="0"/>
        <w:pageBreakBefore w:val="0"/>
        <w:kinsoku/>
        <w:wordWrap/>
        <w:overflowPunct/>
        <w:topLinePunct w:val="0"/>
        <w:autoSpaceDE/>
        <w:autoSpaceDN/>
        <w:bidi w:val="0"/>
        <w:spacing w:line="400" w:lineRule="exact"/>
        <w:ind w:firstLine="560"/>
        <w:textAlignment w:val="auto"/>
        <w:rPr>
          <w:rFonts w:hint="eastAsia" w:hAnsi="宋体"/>
          <w:color w:val="auto"/>
          <w:spacing w:val="7"/>
          <w:sz w:val="24"/>
          <w:szCs w:val="24"/>
          <w:highlight w:val="none"/>
          <w:shd w:val="clear" w:color="auto" w:fill="FFFFFF"/>
        </w:rPr>
      </w:pPr>
      <w:r>
        <w:rPr>
          <w:rFonts w:hint="eastAsia" w:ascii="宋体" w:hAnsi="宋体" w:cs="宋体"/>
          <w:color w:val="auto"/>
          <w:sz w:val="24"/>
          <w:szCs w:val="24"/>
          <w:highlight w:val="none"/>
        </w:rPr>
        <w:t>验收标准根据有关规定及技术要求,验收通过为准。</w:t>
      </w:r>
    </w:p>
    <w:p w14:paraId="6C55CEB3">
      <w:pPr>
        <w:keepNext w:val="0"/>
        <w:keepLines w:val="0"/>
        <w:pageBreakBefore w:val="0"/>
        <w:numPr>
          <w:ilvl w:val="0"/>
          <w:numId w:val="6"/>
        </w:numPr>
        <w:tabs>
          <w:tab w:val="left" w:pos="0"/>
        </w:tabs>
        <w:kinsoku/>
        <w:wordWrap/>
        <w:overflowPunct/>
        <w:topLinePunct w:val="0"/>
        <w:autoSpaceDE/>
        <w:autoSpaceDN/>
        <w:bidi w:val="0"/>
        <w:spacing w:line="400" w:lineRule="exact"/>
        <w:ind w:left="-142" w:leftChars="0" w:firstLine="562"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56DC9AAF">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color w:val="auto"/>
          <w:sz w:val="24"/>
          <w:szCs w:val="24"/>
          <w:highlight w:val="none"/>
        </w:rPr>
      </w:pPr>
      <w:r>
        <w:rPr>
          <w:rFonts w:hint="eastAsia" w:hAnsi="宋体"/>
          <w:color w:val="auto"/>
          <w:sz w:val="24"/>
          <w:szCs w:val="24"/>
          <w:highlight w:val="none"/>
        </w:rPr>
        <w:t>不涉及</w:t>
      </w:r>
    </w:p>
    <w:p w14:paraId="2A1B7DE1">
      <w:pPr>
        <w:pStyle w:val="129"/>
        <w:keepNext w:val="0"/>
        <w:keepLines w:val="0"/>
        <w:pageBreakBefore w:val="0"/>
        <w:kinsoku/>
        <w:wordWrap/>
        <w:overflowPunct/>
        <w:topLinePunct w:val="0"/>
        <w:autoSpaceDE/>
        <w:autoSpaceDN/>
        <w:bidi w:val="0"/>
        <w:spacing w:line="400" w:lineRule="exact"/>
        <w:ind w:firstLine="482" w:firstLineChars="200"/>
        <w:textAlignment w:val="auto"/>
        <w:rPr>
          <w:rFonts w:hint="default" w:hAnsi="宋体"/>
          <w:b/>
          <w:bCs/>
          <w:color w:val="auto"/>
          <w:sz w:val="24"/>
          <w:szCs w:val="24"/>
          <w:highlight w:val="none"/>
          <w:lang w:val="en-US" w:eastAsia="zh-CN"/>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八）其他要求</w:t>
      </w:r>
    </w:p>
    <w:p w14:paraId="41E29A12">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72C9191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（1）商品包装层数不得超过 3 层，空隙率不大于 40%；</w:t>
      </w:r>
    </w:p>
    <w:p w14:paraId="5A1D47D7">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715355F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（3）商品包装中铅、汞、镉、六价铬的总含量应不大于100mg/kg；</w:t>
      </w:r>
    </w:p>
    <w:p w14:paraId="277165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（4）商品包装印刷使用的油墨中挥发性有机化合物(VOCs)含量应不大于 5%（以重量计）；</w:t>
      </w:r>
    </w:p>
    <w:p w14:paraId="12159F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（5）塑料材质商品包装上呈现的印刷颜色不得超过 6 色；</w:t>
      </w:r>
    </w:p>
    <w:p w14:paraId="709C4B9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（6）纸质商品包装应使用 75%以上的可再生纤维原料生产；</w:t>
      </w:r>
    </w:p>
    <w:p w14:paraId="3A58DDF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（7）木质商品包装的原料应来源于可持续性森林。</w:t>
      </w:r>
    </w:p>
    <w:p w14:paraId="66FD33EF">
      <w:pPr>
        <w:keepNext w:val="0"/>
        <w:keepLines w:val="0"/>
        <w:pageBreakBefore w:val="0"/>
        <w:kinsoku/>
        <w:wordWrap/>
        <w:overflowPunct/>
        <w:topLinePunct w:val="0"/>
        <w:autoSpaceDE/>
        <w:autoSpaceDN/>
        <w:bidi w:val="0"/>
        <w:spacing w:line="400" w:lineRule="exact"/>
        <w:ind w:firstLine="482" w:firstLineChars="200"/>
        <w:contextualSpacing/>
        <w:textAlignment w:val="auto"/>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0E825CF4">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（1）快递包装中重金属（铅、汞、镉、六价铬）总量应不大于 100mg/kg；</w:t>
      </w:r>
    </w:p>
    <w:p w14:paraId="01C36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6FB04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（3）快递包装中使用纸基材的包装材料，纸基材中的有机氯的含量应不大于 150 mg/kg；</w:t>
      </w:r>
    </w:p>
    <w:p w14:paraId="050F7E5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0C613FD">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33770B6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659CF28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（7）快递中使用的集装袋应为单一材质制成，其重复使用次数应不小于 80 次；</w:t>
      </w:r>
    </w:p>
    <w:p w14:paraId="3A8E39D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（8）快递中应使用幅宽不大于45mm 的生物降解胶带；</w:t>
      </w:r>
    </w:p>
    <w:p w14:paraId="3A49C13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（9）快递包装中不得使用溶剂型胶粘剂；</w:t>
      </w:r>
    </w:p>
    <w:p w14:paraId="73E0AD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（11）快递应使用电子面单；</w:t>
      </w:r>
    </w:p>
    <w:p w14:paraId="25E5BB6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706E043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（13）快递包装产品质量和封装方式应符合相关国家或行业标准技术指标要求。</w:t>
      </w:r>
    </w:p>
    <w:p w14:paraId="4CBAFAD8">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5294CF0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46F106">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default" w:hAnsi="宋体" w:eastAsia="宋体"/>
          <w:b/>
          <w:bCs/>
          <w:color w:val="auto"/>
          <w:sz w:val="24"/>
          <w:szCs w:val="24"/>
          <w:highlight w:val="none"/>
          <w:lang w:val="en-US" w:eastAsia="zh-CN"/>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0555A064">
      <w:pPr>
        <w:keepNext w:val="0"/>
        <w:keepLines w:val="0"/>
        <w:pageBreakBefore w:val="0"/>
        <w:numPr>
          <w:ilvl w:val="0"/>
          <w:numId w:val="0"/>
        </w:numPr>
        <w:tabs>
          <w:tab w:val="left" w:pos="0"/>
        </w:tabs>
        <w:kinsoku/>
        <w:wordWrap/>
        <w:overflowPunct/>
        <w:topLinePunct w:val="0"/>
        <w:autoSpaceDE/>
        <w:autoSpaceDN/>
        <w:bidi w:val="0"/>
        <w:spacing w:line="400" w:lineRule="exact"/>
        <w:ind w:left="420" w:leftChars="0"/>
        <w:textAlignment w:val="auto"/>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343A2366">
      <w:pPr>
        <w:spacing w:line="500" w:lineRule="exact"/>
        <w:rPr>
          <w:rFonts w:hint="eastAsia" w:ascii="宋体" w:hAnsi="宋体" w:cs="宋体"/>
          <w:b/>
          <w:color w:val="auto"/>
          <w:sz w:val="24"/>
          <w:szCs w:val="24"/>
          <w:highlight w:val="none"/>
        </w:rPr>
      </w:pP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当年年底支付玖拾陆万元整（扣除暂列金和专业工程暂估价后，如中标价不足玖拾陆万元的，则支付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本工程质保期两年，具体以投标承诺的质保期限为准</w:t>
      </w:r>
      <w:r>
        <w:rPr>
          <w:rFonts w:hint="eastAsia" w:ascii="宋体" w:hAnsi="宋体" w:eastAsia="宋体" w:cs="宋体"/>
          <w:b/>
          <w:color w:val="auto"/>
          <w:kern w:val="0"/>
          <w:sz w:val="24"/>
          <w:szCs w:val="24"/>
          <w:highlight w:val="none"/>
          <w:u w:val="none"/>
          <w:lang w:eastAsia="zh-CN"/>
        </w:rPr>
        <w:t>）</w:t>
      </w:r>
    </w:p>
    <w:p w14:paraId="4F4B3E5D">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付款基数=合同价-暂列金-专业工程暂估价</w:t>
      </w:r>
    </w:p>
    <w:p w14:paraId="1E0EADE9">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十</w:t>
      </w:r>
      <w:r>
        <w:rPr>
          <w:rFonts w:hint="eastAsia" w:hAnsi="宋体"/>
          <w:b/>
          <w:bCs/>
          <w:color w:val="auto"/>
          <w:sz w:val="24"/>
          <w:szCs w:val="24"/>
          <w:highlight w:val="none"/>
        </w:rPr>
        <w:t>）履约保证金</w:t>
      </w:r>
    </w:p>
    <w:p w14:paraId="3EDF56C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w:t>
      </w:r>
      <w:r>
        <w:rPr>
          <w:rFonts w:hint="eastAsia" w:ascii="宋体" w:hAnsi="宋体" w:cs="宋体"/>
          <w:b/>
          <w:bCs w:val="0"/>
          <w:color w:val="auto"/>
          <w:sz w:val="24"/>
          <w:szCs w:val="24"/>
          <w:highlight w:val="none"/>
          <w:lang w:eastAsia="zh-CN"/>
        </w:rPr>
        <w:t>本</w:t>
      </w:r>
      <w:r>
        <w:rPr>
          <w:rFonts w:hint="eastAsia" w:ascii="宋体" w:hAnsi="宋体" w:cs="宋体"/>
          <w:b/>
          <w:bCs w:val="0"/>
          <w:color w:val="auto"/>
          <w:sz w:val="24"/>
          <w:szCs w:val="24"/>
          <w:highlight w:val="none"/>
          <w:lang w:val="en-US" w:eastAsia="zh-CN"/>
        </w:rPr>
        <w:t>工程</w:t>
      </w:r>
      <w:r>
        <w:rPr>
          <w:rFonts w:hint="eastAsia" w:ascii="宋体" w:hAnsi="宋体" w:cs="宋体"/>
          <w:b/>
          <w:bCs w:val="0"/>
          <w:color w:val="auto"/>
          <w:sz w:val="24"/>
          <w:szCs w:val="24"/>
          <w:highlight w:val="none"/>
          <w:lang w:eastAsia="zh-CN"/>
        </w:rPr>
        <w:t>中标后的履约保证金为项目中标价的</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eastAsia="zh-CN"/>
        </w:rPr>
        <w:t>%，</w:t>
      </w:r>
      <w:r>
        <w:rPr>
          <w:rFonts w:hint="eastAsia" w:ascii="宋体" w:hAnsi="宋体" w:cs="宋体"/>
          <w:b w:val="0"/>
          <w:bCs/>
          <w:color w:val="auto"/>
          <w:sz w:val="24"/>
          <w:szCs w:val="24"/>
          <w:highlight w:val="none"/>
          <w:lang w:eastAsia="zh-CN"/>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26D3357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2、成交供应商全部履约合同义务，经采购单位验收合格无质量、进度等问题的，采购人在验收合格后一次性退还履约保证金；</w:t>
      </w:r>
    </w:p>
    <w:p w14:paraId="443D5D7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3、发生以下情况的，履约保证金不予退还或部分退还：</w:t>
      </w:r>
    </w:p>
    <w:p w14:paraId="3CDDDAE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DAC0A6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26F26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6F9095D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（http://ggzyjy.nantong.gov.cn/NTdzbhweb/supermarket/）“履约保证保险”模块在线申请履约保证保险投保。</w:t>
      </w:r>
    </w:p>
    <w:p w14:paraId="1696611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安全责任</w:t>
      </w:r>
    </w:p>
    <w:p w14:paraId="2218900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6E060EB">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（十二）其他约定事项</w:t>
      </w:r>
    </w:p>
    <w:p w14:paraId="409870AA">
      <w:pPr>
        <w:keepNext w:val="0"/>
        <w:keepLines w:val="0"/>
        <w:pageBreakBefore w:val="0"/>
        <w:kinsoku/>
        <w:wordWrap/>
        <w:overflowPunct/>
        <w:topLinePunct w:val="0"/>
        <w:autoSpaceDE/>
        <w:autoSpaceDN/>
        <w:bidi w:val="0"/>
        <w:spacing w:line="400" w:lineRule="exact"/>
        <w:ind w:firstLine="480" w:firstLineChars="200"/>
        <w:textAlignment w:val="auto"/>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4D4D251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lang w:val="en-US" w:eastAsia="zh-CN"/>
        </w:rPr>
        <w:t>负责，请各投标人将此项费用自行考虑进投标报价中，中标后采购人不再另行支付任何费用。</w:t>
      </w:r>
    </w:p>
    <w:p w14:paraId="30E9CB5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b/>
          <w:bCs/>
          <w:color w:val="auto"/>
          <w:sz w:val="24"/>
          <w:highlight w:val="none"/>
          <w:lang w:val="en-US" w:eastAsia="zh-CN"/>
        </w:rPr>
      </w:pPr>
      <w:r>
        <w:rPr>
          <w:rFonts w:hint="eastAsia"/>
          <w:color w:val="auto"/>
          <w:sz w:val="24"/>
          <w:szCs w:val="24"/>
          <w:highlight w:val="none"/>
          <w:lang w:val="en-US" w:eastAsia="zh-CN"/>
        </w:rPr>
        <w:t>3、</w:t>
      </w:r>
      <w:r>
        <w:rPr>
          <w:rFonts w:hint="eastAsia" w:ascii="宋体" w:hAnsi="宋体" w:cs="宋体"/>
          <w:b/>
          <w:bCs/>
          <w:color w:val="auto"/>
          <w:sz w:val="24"/>
          <w:highlight w:val="none"/>
          <w:lang w:val="en-US" w:eastAsia="zh-CN"/>
        </w:rPr>
        <w:t>各投标供应商投标前须扫描此二维码。</w:t>
      </w:r>
    </w:p>
    <w:p w14:paraId="235ACF2A">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ascii="Times New Roman" w:hAnsi="Times New Roman"/>
          <w:color w:val="auto"/>
          <w:highlight w:val="none"/>
        </w:rPr>
      </w:pPr>
      <w:r>
        <w:rPr>
          <w:b/>
          <w:bCs/>
          <w:color w:val="auto"/>
          <w:highlight w:val="none"/>
        </w:rPr>
        <w:drawing>
          <wp:anchor distT="0" distB="0" distL="114300" distR="114300" simplePos="0" relativeHeight="251659264" behindDoc="0" locked="0" layoutInCell="1" allowOverlap="1">
            <wp:simplePos x="0" y="0"/>
            <wp:positionH relativeFrom="column">
              <wp:posOffset>377190</wp:posOffset>
            </wp:positionH>
            <wp:positionV relativeFrom="paragraph">
              <wp:posOffset>113030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ascii="宋体" w:hAnsi="宋体" w:cs="宋体"/>
          <w:bCs/>
          <w:color w:val="auto"/>
          <w:sz w:val="24"/>
          <w:szCs w:val="24"/>
          <w:highlight w:val="none"/>
        </w:rPr>
        <w:br w:type="page"/>
      </w:r>
    </w:p>
    <w:p w14:paraId="6DCA3793">
      <w:pPr>
        <w:keepNext/>
        <w:spacing w:line="400" w:lineRule="exact"/>
        <w:ind w:firstLine="2891" w:firstLineChars="800"/>
        <w:outlineLvl w:val="0"/>
        <w:rPr>
          <w:rFonts w:ascii="Times New Roman" w:hAnsi="Times New Roman"/>
          <w:color w:val="auto"/>
          <w:szCs w:val="21"/>
          <w:highlight w:val="none"/>
        </w:rPr>
      </w:pPr>
      <w:bookmarkStart w:id="191"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01C300E3">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3105A8F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412F8417">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56EB42F7">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A74EB0E">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26A2C17">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0E2A241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01B6F62D">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30EC6D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8EEB2D8">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084FF4AB">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7E6A02AF">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43F5E71D">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4BB020F8">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3EEDB757">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09F5800">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3BFFD83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61164BC8">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%的扣除，用扣除后的价格参与评审。</w:t>
      </w:r>
    </w:p>
    <w:p w14:paraId="2F663264">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082B6288">
      <w:pPr>
        <w:pStyle w:val="2"/>
        <w:spacing w:line="400" w:lineRule="exact"/>
        <w:ind w:firstLine="480"/>
        <w:rPr>
          <w:rFonts w:hint="default" w:eastAsia="宋体"/>
          <w:color w:val="auto"/>
          <w:highlight w:val="none"/>
          <w:lang w:val="en-US" w:eastAsia="zh-CN"/>
        </w:rPr>
      </w:pPr>
      <w:r>
        <w:rPr>
          <w:rFonts w:ascii="Times New Roman" w:hAnsi="Times New Roman"/>
          <w:b/>
          <w:bCs/>
          <w:color w:val="auto"/>
          <w:sz w:val="24"/>
          <w:szCs w:val="24"/>
          <w:highlight w:val="none"/>
        </w:rPr>
        <w:t>7、专门面向中小企业采购的项目或者采购包，不再执行价格评审优惠的扶持政策。</w:t>
      </w:r>
    </w:p>
    <w:p w14:paraId="0B63A298">
      <w:pPr>
        <w:pStyle w:val="2"/>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08615419">
      <w:pPr>
        <w:pStyle w:val="2"/>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18E40360">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分（7</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分）</w:t>
      </w:r>
    </w:p>
    <w:p w14:paraId="7E622781">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67"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2"/>
        <w:gridCol w:w="1273"/>
        <w:gridCol w:w="5946"/>
        <w:gridCol w:w="850"/>
        <w:gridCol w:w="846"/>
      </w:tblGrid>
      <w:tr w14:paraId="3C9573F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tblHeader/>
          <w:jc w:val="center"/>
        </w:trPr>
        <w:tc>
          <w:tcPr>
            <w:tcW w:w="2125" w:type="dxa"/>
            <w:gridSpan w:val="2"/>
            <w:tcBorders>
              <w:top w:val="outset" w:color="auto" w:sz="6" w:space="0"/>
              <w:left w:val="outset" w:color="auto" w:sz="6" w:space="0"/>
              <w:bottom w:val="outset" w:color="auto" w:sz="6" w:space="0"/>
              <w:right w:val="outset" w:color="auto" w:sz="6" w:space="0"/>
            </w:tcBorders>
            <w:noWrap w:val="0"/>
            <w:vAlign w:val="center"/>
          </w:tcPr>
          <w:p w14:paraId="2CE18B8A">
            <w:pPr>
              <w:spacing w:line="460" w:lineRule="exact"/>
              <w:jc w:val="center"/>
              <w:rPr>
                <w:rFonts w:ascii="宋体" w:hAnsi="宋体" w:cs="宋体"/>
                <w:color w:val="auto"/>
                <w:highlight w:val="none"/>
              </w:rPr>
            </w:pPr>
            <w:r>
              <w:rPr>
                <w:rFonts w:hint="eastAsia" w:ascii="宋体" w:hAnsi="宋体" w:cs="宋体"/>
                <w:color w:val="auto"/>
                <w:highlight w:val="none"/>
              </w:rPr>
              <w:t>评审因素</w:t>
            </w:r>
          </w:p>
        </w:tc>
        <w:tc>
          <w:tcPr>
            <w:tcW w:w="5946" w:type="dxa"/>
            <w:tcBorders>
              <w:top w:val="outset" w:color="auto" w:sz="6" w:space="0"/>
              <w:left w:val="outset" w:color="auto" w:sz="6" w:space="0"/>
              <w:bottom w:val="outset" w:color="auto" w:sz="6" w:space="0"/>
              <w:right w:val="outset" w:color="auto" w:sz="6" w:space="0"/>
            </w:tcBorders>
            <w:noWrap w:val="0"/>
            <w:vAlign w:val="center"/>
          </w:tcPr>
          <w:p w14:paraId="69952EED">
            <w:pPr>
              <w:spacing w:line="460" w:lineRule="exact"/>
              <w:jc w:val="center"/>
              <w:rPr>
                <w:rFonts w:ascii="宋体" w:hAnsi="宋体" w:cs="宋体"/>
                <w:color w:val="auto"/>
                <w:highlight w:val="none"/>
              </w:rPr>
            </w:pPr>
            <w:r>
              <w:rPr>
                <w:rFonts w:hint="eastAsia" w:ascii="宋体" w:hAnsi="宋体" w:cs="宋体"/>
                <w:color w:val="auto"/>
                <w:highlight w:val="none"/>
              </w:rPr>
              <w:t>评审标准</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3041DD09">
            <w:pPr>
              <w:spacing w:line="280" w:lineRule="exact"/>
              <w:jc w:val="center"/>
              <w:rPr>
                <w:rFonts w:ascii="宋体" w:hAnsi="宋体"/>
                <w:color w:val="auto"/>
                <w:highlight w:val="none"/>
              </w:rPr>
            </w:pPr>
            <w:r>
              <w:rPr>
                <w:rFonts w:hint="eastAsia" w:ascii="宋体" w:hAnsi="宋体"/>
                <w:color w:val="auto"/>
                <w:highlight w:val="none"/>
              </w:rPr>
              <w:t>单项分值</w:t>
            </w:r>
          </w:p>
        </w:tc>
        <w:tc>
          <w:tcPr>
            <w:tcW w:w="846" w:type="dxa"/>
            <w:tcBorders>
              <w:top w:val="outset" w:color="auto" w:sz="6" w:space="0"/>
              <w:left w:val="outset" w:color="auto" w:sz="6" w:space="0"/>
              <w:bottom w:val="outset" w:color="auto" w:sz="6" w:space="0"/>
              <w:right w:val="outset" w:color="auto" w:sz="6" w:space="0"/>
            </w:tcBorders>
            <w:noWrap w:val="0"/>
            <w:vAlign w:val="center"/>
          </w:tcPr>
          <w:p w14:paraId="2F7FA983">
            <w:pPr>
              <w:spacing w:line="280" w:lineRule="exact"/>
              <w:jc w:val="center"/>
              <w:rPr>
                <w:rFonts w:ascii="宋体" w:hAnsi="宋体"/>
                <w:color w:val="auto"/>
                <w:highlight w:val="none"/>
              </w:rPr>
            </w:pPr>
            <w:r>
              <w:rPr>
                <w:rFonts w:hint="eastAsia" w:ascii="宋体" w:hAnsi="宋体"/>
                <w:color w:val="auto"/>
                <w:highlight w:val="none"/>
              </w:rPr>
              <w:t>分值小计</w:t>
            </w:r>
          </w:p>
        </w:tc>
      </w:tr>
      <w:tr w14:paraId="3DC470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498" w:hRule="atLeast"/>
          <w:jc w:val="center"/>
        </w:trPr>
        <w:tc>
          <w:tcPr>
            <w:tcW w:w="852" w:type="dxa"/>
            <w:vMerge w:val="restart"/>
            <w:tcBorders>
              <w:top w:val="outset" w:color="auto" w:sz="6" w:space="0"/>
              <w:left w:val="outset" w:color="auto" w:sz="6" w:space="0"/>
              <w:right w:val="outset" w:color="auto" w:sz="6" w:space="0"/>
            </w:tcBorders>
            <w:noWrap w:val="0"/>
            <w:vAlign w:val="center"/>
          </w:tcPr>
          <w:p w14:paraId="03F9662C">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.类似业绩</w:t>
            </w:r>
          </w:p>
        </w:tc>
        <w:tc>
          <w:tcPr>
            <w:tcW w:w="1273" w:type="dxa"/>
            <w:tcBorders>
              <w:top w:val="outset" w:color="auto" w:sz="6" w:space="0"/>
              <w:left w:val="outset" w:color="auto" w:sz="6" w:space="0"/>
              <w:right w:val="outset" w:color="auto" w:sz="6" w:space="0"/>
            </w:tcBorders>
            <w:noWrap w:val="0"/>
            <w:vAlign w:val="center"/>
          </w:tcPr>
          <w:p w14:paraId="29BC2CF1">
            <w:pPr>
              <w:spacing w:line="460" w:lineRule="exact"/>
              <w:jc w:val="center"/>
              <w:rPr>
                <w:rFonts w:ascii="宋体" w:hAnsi="宋体" w:cs="宋体"/>
                <w:strike/>
                <w:color w:val="auto"/>
                <w:highlight w:val="none"/>
              </w:rPr>
            </w:pPr>
            <w:r>
              <w:rPr>
                <w:rFonts w:hint="eastAsia" w:ascii="宋体" w:hAnsi="宋体" w:cs="宋体"/>
                <w:color w:val="auto"/>
                <w:highlight w:val="none"/>
              </w:rPr>
              <w:t>企业业绩</w:t>
            </w:r>
          </w:p>
        </w:tc>
        <w:tc>
          <w:tcPr>
            <w:tcW w:w="5946" w:type="dxa"/>
            <w:tcBorders>
              <w:top w:val="outset" w:color="auto" w:sz="6" w:space="0"/>
              <w:left w:val="outset" w:color="auto" w:sz="6" w:space="0"/>
              <w:right w:val="outset" w:color="auto" w:sz="6" w:space="0"/>
            </w:tcBorders>
            <w:noWrap w:val="0"/>
            <w:vAlign w:val="center"/>
          </w:tcPr>
          <w:p w14:paraId="3CAA95E4">
            <w:pPr>
              <w:widowControl/>
              <w:spacing w:line="276" w:lineRule="auto"/>
              <w:jc w:val="left"/>
              <w:rPr>
                <w:rFonts w:ascii="宋体" w:hAnsi="宋体"/>
                <w:color w:val="auto"/>
                <w:highlight w:val="none"/>
              </w:rPr>
            </w:pPr>
            <w:r>
              <w:rPr>
                <w:rFonts w:hint="eastAsia" w:ascii="宋体" w:hAnsi="宋体"/>
                <w:color w:val="auto"/>
                <w:highlight w:val="none"/>
              </w:rPr>
              <w:t>投标人需提供自2021年1月1日以来（时间以合同签订日期为准）承担过类似本项目的装修改造业绩，每有一个得</w:t>
            </w:r>
            <w:r>
              <w:rPr>
                <w:rFonts w:hint="eastAsia" w:ascii="宋体" w:hAnsi="宋体"/>
                <w:color w:val="auto"/>
                <w:highlight w:val="none"/>
                <w:lang w:val="en-US" w:eastAsia="zh-CN"/>
              </w:rPr>
              <w:t>0.5</w:t>
            </w:r>
            <w:r>
              <w:rPr>
                <w:rFonts w:hint="eastAsia" w:ascii="宋体" w:hAnsi="宋体"/>
                <w:color w:val="auto"/>
                <w:highlight w:val="none"/>
              </w:rPr>
              <w:t>分，最高得</w:t>
            </w:r>
            <w:r>
              <w:rPr>
                <w:rFonts w:hint="eastAsia" w:ascii="宋体" w:hAnsi="宋体"/>
                <w:color w:val="auto"/>
                <w:highlight w:val="none"/>
                <w:lang w:val="en-US" w:eastAsia="zh-CN"/>
              </w:rPr>
              <w:t>5</w:t>
            </w:r>
            <w:r>
              <w:rPr>
                <w:rFonts w:hint="eastAsia" w:ascii="宋体" w:hAnsi="宋体"/>
                <w:color w:val="auto"/>
                <w:highlight w:val="none"/>
              </w:rPr>
              <w:t xml:space="preserve">分，没有不得分； </w:t>
            </w:r>
          </w:p>
          <w:p w14:paraId="6886F56A">
            <w:pPr>
              <w:jc w:val="left"/>
              <w:rPr>
                <w:b/>
                <w:strike/>
                <w:color w:val="auto"/>
                <w:highlight w:val="none"/>
              </w:rPr>
            </w:pPr>
            <w:r>
              <w:rPr>
                <w:rFonts w:hint="eastAsia" w:ascii="宋体" w:hAnsi="宋体"/>
                <w:color w:val="auto"/>
                <w:highlight w:val="none"/>
              </w:rPr>
              <w:t>注：证明材料需提供网站中标公示截图、中标通知书</w:t>
            </w:r>
            <w:r>
              <w:rPr>
                <w:rFonts w:hint="eastAsia" w:ascii="宋体" w:hAnsi="宋体"/>
                <w:color w:val="auto"/>
                <w:highlight w:val="none"/>
                <w:lang w:val="en-US" w:eastAsia="zh-CN"/>
              </w:rPr>
              <w:t>扫描件</w:t>
            </w:r>
            <w:r>
              <w:rPr>
                <w:rFonts w:hint="eastAsia" w:ascii="宋体" w:hAnsi="宋体"/>
                <w:color w:val="auto"/>
                <w:highlight w:val="none"/>
              </w:rPr>
              <w:t>、施工合同</w:t>
            </w:r>
            <w:r>
              <w:rPr>
                <w:rFonts w:hint="eastAsia" w:ascii="宋体" w:hAnsi="宋体"/>
                <w:color w:val="auto"/>
                <w:highlight w:val="none"/>
                <w:lang w:val="en-US" w:eastAsia="zh-CN"/>
              </w:rPr>
              <w:t>扫描件</w:t>
            </w:r>
            <w:r>
              <w:rPr>
                <w:rFonts w:hint="eastAsia" w:ascii="宋体" w:hAnsi="宋体"/>
                <w:color w:val="auto"/>
                <w:highlight w:val="none"/>
              </w:rPr>
              <w:t>、竣工验收证明</w:t>
            </w:r>
            <w:r>
              <w:rPr>
                <w:rFonts w:hint="eastAsia" w:ascii="宋体" w:hAnsi="宋体"/>
                <w:color w:val="auto"/>
                <w:highlight w:val="none"/>
                <w:lang w:val="en-US" w:eastAsia="zh-CN"/>
              </w:rPr>
              <w:t>扫描件</w:t>
            </w:r>
            <w:r>
              <w:rPr>
                <w:rFonts w:hint="eastAsia" w:ascii="宋体" w:hAnsi="宋体"/>
                <w:color w:val="auto"/>
                <w:highlight w:val="none"/>
              </w:rPr>
              <w:t xml:space="preserve">，四者缺一不可，否则对应项不得分。转包、分包合同无效。未提供、提供不全或提供不清晰的不得分。  企业业绩和项目负责人业绩为同一业绩时，不重复计分。 </w:t>
            </w:r>
          </w:p>
        </w:tc>
        <w:tc>
          <w:tcPr>
            <w:tcW w:w="850" w:type="dxa"/>
            <w:tcBorders>
              <w:top w:val="outset" w:color="auto" w:sz="6" w:space="0"/>
              <w:left w:val="outset" w:color="auto" w:sz="6" w:space="0"/>
              <w:right w:val="outset" w:color="auto" w:sz="6" w:space="0"/>
            </w:tcBorders>
            <w:noWrap w:val="0"/>
            <w:vAlign w:val="center"/>
          </w:tcPr>
          <w:p w14:paraId="01D838E4">
            <w:pPr>
              <w:jc w:val="center"/>
              <w:rPr>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.00分</w:t>
            </w:r>
          </w:p>
        </w:tc>
        <w:tc>
          <w:tcPr>
            <w:tcW w:w="846" w:type="dxa"/>
            <w:tcBorders>
              <w:top w:val="outset" w:color="auto" w:sz="6" w:space="0"/>
              <w:left w:val="outset" w:color="auto" w:sz="6" w:space="0"/>
              <w:right w:val="outset" w:color="auto" w:sz="6" w:space="0"/>
            </w:tcBorders>
            <w:noWrap w:val="0"/>
            <w:vAlign w:val="center"/>
          </w:tcPr>
          <w:p w14:paraId="3DEF89B5">
            <w:pPr>
              <w:jc w:val="center"/>
              <w:rPr>
                <w:color w:val="auto"/>
                <w:highlight w:val="none"/>
              </w:rPr>
            </w:pPr>
            <w:r>
              <w:rPr>
                <w:rFonts w:hint="eastAsia"/>
                <w:color w:val="auto"/>
                <w:highlight w:val="none"/>
                <w:lang w:val="en-US" w:eastAsia="zh-CN"/>
              </w:rPr>
              <w:t>5</w:t>
            </w:r>
            <w:r>
              <w:rPr>
                <w:rFonts w:hint="eastAsia"/>
                <w:color w:val="auto"/>
                <w:highlight w:val="none"/>
              </w:rPr>
              <w:t>.00分</w:t>
            </w:r>
          </w:p>
        </w:tc>
      </w:tr>
      <w:tr w14:paraId="412F10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498" w:hRule="atLeast"/>
          <w:jc w:val="center"/>
        </w:trPr>
        <w:tc>
          <w:tcPr>
            <w:tcW w:w="852" w:type="dxa"/>
            <w:vMerge w:val="continue"/>
            <w:tcBorders>
              <w:left w:val="outset" w:color="auto" w:sz="6" w:space="0"/>
              <w:right w:val="outset" w:color="auto" w:sz="6" w:space="0"/>
            </w:tcBorders>
            <w:noWrap w:val="0"/>
            <w:vAlign w:val="center"/>
          </w:tcPr>
          <w:p w14:paraId="2EA90C8B">
            <w:pPr>
              <w:spacing w:line="460" w:lineRule="exact"/>
              <w:jc w:val="center"/>
              <w:rPr>
                <w:rFonts w:hint="eastAsia" w:ascii="宋体" w:hAnsi="宋体" w:cs="宋体"/>
                <w:color w:val="auto"/>
                <w:highlight w:val="none"/>
              </w:rPr>
            </w:pPr>
          </w:p>
        </w:tc>
        <w:tc>
          <w:tcPr>
            <w:tcW w:w="1273" w:type="dxa"/>
            <w:tcBorders>
              <w:top w:val="outset" w:color="auto" w:sz="6" w:space="0"/>
              <w:left w:val="outset" w:color="auto" w:sz="6" w:space="0"/>
              <w:right w:val="outset" w:color="auto" w:sz="6" w:space="0"/>
            </w:tcBorders>
            <w:noWrap w:val="0"/>
            <w:vAlign w:val="center"/>
          </w:tcPr>
          <w:p w14:paraId="2EC4A4FF">
            <w:pPr>
              <w:spacing w:line="460" w:lineRule="exact"/>
              <w:jc w:val="center"/>
              <w:rPr>
                <w:rFonts w:hint="eastAsia" w:ascii="宋体" w:hAnsi="宋体" w:cs="宋体"/>
                <w:color w:val="auto"/>
                <w:highlight w:val="none"/>
              </w:rPr>
            </w:pPr>
            <w:r>
              <w:rPr>
                <w:rFonts w:hint="eastAsia" w:ascii="宋体" w:hAnsi="宋体" w:cs="宋体"/>
                <w:color w:val="auto"/>
                <w:highlight w:val="none"/>
              </w:rPr>
              <w:t>项目负责人业绩</w:t>
            </w:r>
          </w:p>
        </w:tc>
        <w:tc>
          <w:tcPr>
            <w:tcW w:w="5946" w:type="dxa"/>
            <w:tcBorders>
              <w:top w:val="outset" w:color="auto" w:sz="6" w:space="0"/>
              <w:left w:val="outset" w:color="auto" w:sz="6" w:space="0"/>
              <w:right w:val="outset" w:color="auto" w:sz="6" w:space="0"/>
            </w:tcBorders>
            <w:noWrap w:val="0"/>
            <w:vAlign w:val="center"/>
          </w:tcPr>
          <w:p w14:paraId="125A5FB8">
            <w:pPr>
              <w:widowControl/>
              <w:spacing w:line="276" w:lineRule="auto"/>
              <w:jc w:val="left"/>
              <w:rPr>
                <w:rFonts w:ascii="宋体" w:hAnsi="宋体"/>
                <w:color w:val="auto"/>
                <w:highlight w:val="none"/>
              </w:rPr>
            </w:pPr>
            <w:r>
              <w:rPr>
                <w:rFonts w:hint="eastAsia" w:ascii="宋体" w:hAnsi="宋体" w:cs="宋体"/>
                <w:color w:val="auto"/>
                <w:highlight w:val="none"/>
              </w:rPr>
              <w:t>项目负责人</w:t>
            </w:r>
            <w:r>
              <w:rPr>
                <w:rFonts w:hint="eastAsia" w:ascii="宋体" w:hAnsi="宋体"/>
                <w:color w:val="auto"/>
                <w:highlight w:val="none"/>
              </w:rPr>
              <w:t>需提供自2021年1月1日以来（时间以合同签订日期为准）承担过类似本项目的装修改造业绩，每有一个得</w:t>
            </w:r>
            <w:r>
              <w:rPr>
                <w:rFonts w:hint="eastAsia" w:ascii="宋体" w:hAnsi="宋体"/>
                <w:color w:val="auto"/>
                <w:highlight w:val="none"/>
                <w:lang w:val="en-US" w:eastAsia="zh-CN"/>
              </w:rPr>
              <w:t>1</w:t>
            </w:r>
            <w:r>
              <w:rPr>
                <w:rFonts w:hint="eastAsia" w:ascii="宋体" w:hAnsi="宋体"/>
                <w:color w:val="auto"/>
                <w:highlight w:val="none"/>
              </w:rPr>
              <w:t>分，最高得</w:t>
            </w:r>
            <w:r>
              <w:rPr>
                <w:rFonts w:hint="eastAsia" w:ascii="宋体" w:hAnsi="宋体"/>
                <w:color w:val="auto"/>
                <w:highlight w:val="none"/>
                <w:lang w:val="en-US" w:eastAsia="zh-CN"/>
              </w:rPr>
              <w:t>5</w:t>
            </w:r>
            <w:r>
              <w:rPr>
                <w:rFonts w:hint="eastAsia" w:ascii="宋体" w:hAnsi="宋体"/>
                <w:color w:val="auto"/>
                <w:highlight w:val="none"/>
              </w:rPr>
              <w:t xml:space="preserve">分，没有不得分； </w:t>
            </w:r>
          </w:p>
          <w:p w14:paraId="05C71460">
            <w:pPr>
              <w:jc w:val="left"/>
              <w:rPr>
                <w:rFonts w:hint="eastAsia" w:ascii="宋体" w:hAnsi="宋体"/>
                <w:color w:val="auto"/>
                <w:highlight w:val="none"/>
              </w:rPr>
            </w:pPr>
            <w:r>
              <w:rPr>
                <w:rFonts w:hint="eastAsia" w:ascii="宋体" w:hAnsi="宋体"/>
                <w:color w:val="auto"/>
                <w:highlight w:val="none"/>
              </w:rPr>
              <w:t>注：证明材料需提供网站中标公示截图、中标通知书</w:t>
            </w:r>
            <w:r>
              <w:rPr>
                <w:rFonts w:hint="eastAsia" w:ascii="宋体" w:hAnsi="宋体"/>
                <w:color w:val="auto"/>
                <w:highlight w:val="none"/>
                <w:lang w:val="en-US" w:eastAsia="zh-CN"/>
              </w:rPr>
              <w:t>扫描件</w:t>
            </w:r>
            <w:r>
              <w:rPr>
                <w:rFonts w:hint="eastAsia" w:ascii="宋体" w:hAnsi="宋体"/>
                <w:color w:val="auto"/>
                <w:highlight w:val="none"/>
              </w:rPr>
              <w:t>、施工合同</w:t>
            </w:r>
            <w:r>
              <w:rPr>
                <w:rFonts w:hint="eastAsia" w:ascii="宋体" w:hAnsi="宋体"/>
                <w:color w:val="auto"/>
                <w:highlight w:val="none"/>
                <w:lang w:val="en-US" w:eastAsia="zh-CN"/>
              </w:rPr>
              <w:t>扫描件</w:t>
            </w:r>
            <w:r>
              <w:rPr>
                <w:rFonts w:hint="eastAsia" w:ascii="宋体" w:hAnsi="宋体"/>
                <w:color w:val="auto"/>
                <w:highlight w:val="none"/>
              </w:rPr>
              <w:t>、竣工验收证明</w:t>
            </w:r>
            <w:r>
              <w:rPr>
                <w:rFonts w:hint="eastAsia" w:ascii="宋体" w:hAnsi="宋体"/>
                <w:color w:val="auto"/>
                <w:highlight w:val="none"/>
                <w:lang w:val="en-US" w:eastAsia="zh-CN"/>
              </w:rPr>
              <w:t>扫描件</w:t>
            </w:r>
            <w:r>
              <w:rPr>
                <w:rFonts w:hint="eastAsia" w:ascii="宋体" w:hAnsi="宋体"/>
                <w:color w:val="auto"/>
                <w:highlight w:val="none"/>
              </w:rPr>
              <w:t>，四者缺一不可，否则对应项不得分。转包、分包合同无效。未提供、提供不全或提供不清晰的不得分。 企业业绩和项目负责人业绩为同一业绩时，不重复计分。</w:t>
            </w:r>
            <w:r>
              <w:rPr>
                <w:rFonts w:hint="eastAsia" w:ascii="宋体" w:hAnsi="宋体"/>
                <w:color w:val="auto"/>
                <w:highlight w:val="none"/>
                <w:lang w:val="en-US" w:eastAsia="zh-CN"/>
              </w:rPr>
              <w:t xml:space="preserve">  </w:t>
            </w:r>
            <w:r>
              <w:rPr>
                <w:rFonts w:hint="eastAsia" w:ascii="宋体" w:hAnsi="宋体"/>
                <w:color w:val="auto"/>
                <w:highlight w:val="none"/>
              </w:rPr>
              <w:t xml:space="preserve">  </w:t>
            </w:r>
          </w:p>
        </w:tc>
        <w:tc>
          <w:tcPr>
            <w:tcW w:w="850" w:type="dxa"/>
            <w:tcBorders>
              <w:top w:val="outset" w:color="auto" w:sz="6" w:space="0"/>
              <w:left w:val="outset" w:color="auto" w:sz="6" w:space="0"/>
              <w:right w:val="outset" w:color="auto" w:sz="6" w:space="0"/>
            </w:tcBorders>
            <w:noWrap w:val="0"/>
            <w:vAlign w:val="center"/>
          </w:tcPr>
          <w:p w14:paraId="399A28C1">
            <w:pPr>
              <w:jc w:val="center"/>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.00分</w:t>
            </w:r>
          </w:p>
        </w:tc>
        <w:tc>
          <w:tcPr>
            <w:tcW w:w="846" w:type="dxa"/>
            <w:tcBorders>
              <w:top w:val="outset" w:color="auto" w:sz="6" w:space="0"/>
              <w:left w:val="outset" w:color="auto" w:sz="6" w:space="0"/>
              <w:right w:val="outset" w:color="auto" w:sz="6" w:space="0"/>
            </w:tcBorders>
            <w:noWrap w:val="0"/>
            <w:vAlign w:val="center"/>
          </w:tcPr>
          <w:p w14:paraId="736B336E">
            <w:pPr>
              <w:jc w:val="center"/>
              <w:rPr>
                <w:rFonts w:hint="eastAsia"/>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.00分</w:t>
            </w:r>
          </w:p>
        </w:tc>
      </w:tr>
      <w:tr w14:paraId="2A576D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31" w:hRule="atLeast"/>
          <w:jc w:val="center"/>
        </w:trPr>
        <w:tc>
          <w:tcPr>
            <w:tcW w:w="852" w:type="dxa"/>
            <w:vMerge w:val="restart"/>
            <w:tcBorders>
              <w:top w:val="outset" w:color="auto" w:sz="6" w:space="0"/>
              <w:left w:val="outset" w:color="auto" w:sz="6" w:space="0"/>
              <w:right w:val="outset" w:color="auto" w:sz="6" w:space="0"/>
            </w:tcBorders>
            <w:noWrap w:val="0"/>
            <w:vAlign w:val="center"/>
          </w:tcPr>
          <w:p w14:paraId="32164308">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.企业综合实力</w:t>
            </w:r>
          </w:p>
        </w:tc>
        <w:tc>
          <w:tcPr>
            <w:tcW w:w="1273" w:type="dxa"/>
            <w:tcBorders>
              <w:top w:val="outset" w:color="auto" w:sz="6" w:space="0"/>
              <w:left w:val="outset" w:color="auto" w:sz="6" w:space="0"/>
              <w:right w:val="outset" w:color="auto" w:sz="6" w:space="0"/>
            </w:tcBorders>
            <w:noWrap w:val="0"/>
            <w:vAlign w:val="center"/>
          </w:tcPr>
          <w:p w14:paraId="024C7297">
            <w:pPr>
              <w:spacing w:line="460" w:lineRule="exact"/>
              <w:jc w:val="center"/>
              <w:rPr>
                <w:rFonts w:ascii="宋体" w:hAnsi="宋体" w:cs="宋体"/>
                <w:color w:val="auto"/>
                <w:highlight w:val="none"/>
              </w:rPr>
            </w:pPr>
            <w:r>
              <w:rPr>
                <w:rFonts w:hint="eastAsia" w:ascii="宋体" w:hAnsi="宋体" w:cs="宋体"/>
                <w:color w:val="auto"/>
                <w:highlight w:val="none"/>
              </w:rPr>
              <w:t>认证证书</w:t>
            </w:r>
          </w:p>
        </w:tc>
        <w:tc>
          <w:tcPr>
            <w:tcW w:w="5946" w:type="dxa"/>
            <w:tcBorders>
              <w:top w:val="outset" w:color="auto" w:sz="6" w:space="0"/>
              <w:left w:val="outset" w:color="auto" w:sz="6" w:space="0"/>
              <w:right w:val="outset" w:color="auto" w:sz="6" w:space="0"/>
            </w:tcBorders>
            <w:noWrap w:val="0"/>
            <w:vAlign w:val="center"/>
          </w:tcPr>
          <w:p w14:paraId="2BF1ED1F">
            <w:pPr>
              <w:textAlignment w:val="baseline"/>
              <w:rPr>
                <w:rFonts w:hint="eastAsia"/>
                <w:color w:val="auto"/>
                <w:highlight w:val="none"/>
              </w:rPr>
            </w:pPr>
            <w:r>
              <w:rPr>
                <w:rFonts w:hint="eastAsia" w:ascii="宋体" w:hAnsi="宋体" w:cs="宋体"/>
                <w:bCs/>
                <w:color w:val="auto"/>
                <w:szCs w:val="21"/>
                <w:highlight w:val="none"/>
              </w:rPr>
              <w:t>投标人具有</w:t>
            </w:r>
            <w:r>
              <w:rPr>
                <w:rFonts w:hint="eastAsia" w:ascii="宋体" w:hAnsi="宋体"/>
                <w:color w:val="auto"/>
                <w:sz w:val="22"/>
                <w:szCs w:val="22"/>
                <w:highlight w:val="none"/>
              </w:rPr>
              <w:t>有效期内的ISO9001</w:t>
            </w:r>
            <w:r>
              <w:rPr>
                <w:rFonts w:hint="eastAsia" w:ascii="宋体" w:hAnsi="宋体" w:cs="宋体"/>
                <w:bCs/>
                <w:color w:val="auto"/>
                <w:szCs w:val="21"/>
                <w:highlight w:val="none"/>
              </w:rPr>
              <w:t>质量管理体系、</w:t>
            </w:r>
            <w:r>
              <w:rPr>
                <w:rFonts w:hint="eastAsia" w:ascii="宋体" w:hAnsi="宋体"/>
                <w:color w:val="auto"/>
                <w:sz w:val="22"/>
                <w:highlight w:val="none"/>
              </w:rPr>
              <w:t>ISO45001职业健康安全管理体系、</w:t>
            </w:r>
            <w:r>
              <w:rPr>
                <w:rFonts w:hint="eastAsia" w:ascii="宋体" w:hAnsi="宋体"/>
                <w:color w:val="auto"/>
                <w:sz w:val="22"/>
                <w:szCs w:val="22"/>
                <w:highlight w:val="none"/>
              </w:rPr>
              <w:t>ISO14001环境管理体系认</w:t>
            </w:r>
            <w:r>
              <w:rPr>
                <w:rFonts w:hint="eastAsia" w:ascii="宋体" w:hAnsi="宋体" w:cs="宋体"/>
                <w:bCs/>
                <w:color w:val="auto"/>
                <w:szCs w:val="21"/>
                <w:highlight w:val="none"/>
              </w:rPr>
              <w:t>认证证书，每有一项得1分，</w:t>
            </w:r>
            <w:r>
              <w:rPr>
                <w:rFonts w:hint="eastAsia" w:ascii="宋体" w:hAnsi="宋体"/>
                <w:color w:val="auto"/>
                <w:highlight w:val="none"/>
              </w:rPr>
              <w:t>最高得3</w:t>
            </w:r>
            <w:r>
              <w:rPr>
                <w:rFonts w:hint="eastAsia" w:ascii="宋体" w:hAnsi="宋体" w:cs="宋体"/>
                <w:bCs/>
                <w:color w:val="auto"/>
                <w:szCs w:val="21"/>
                <w:highlight w:val="none"/>
              </w:rPr>
              <w:t>分，没有不得分。</w:t>
            </w:r>
          </w:p>
          <w:p w14:paraId="59C6C934">
            <w:pPr>
              <w:textAlignment w:val="baseline"/>
              <w:rPr>
                <w:rFonts w:ascii="宋体" w:hAnsi="宋体"/>
                <w:b/>
                <w:color w:val="auto"/>
                <w:highlight w:val="none"/>
              </w:rPr>
            </w:pPr>
            <w:r>
              <w:rPr>
                <w:rFonts w:hint="eastAsia" w:ascii="宋体" w:hAnsi="宋体" w:cs="宋体"/>
                <w:color w:val="auto"/>
                <w:szCs w:val="21"/>
                <w:highlight w:val="none"/>
              </w:rPr>
              <w:t>注：需提供以上相关证书</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，同时需提供证书在国家市场监督管理总局全国认证认可信息公共服务平台查询的网页截图</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 xml:space="preserve">，否则不得分。    </w:t>
            </w:r>
          </w:p>
        </w:tc>
        <w:tc>
          <w:tcPr>
            <w:tcW w:w="850" w:type="dxa"/>
            <w:tcBorders>
              <w:top w:val="outset" w:color="auto" w:sz="6" w:space="0"/>
              <w:left w:val="outset" w:color="auto" w:sz="6" w:space="0"/>
              <w:right w:val="outset" w:color="auto" w:sz="6" w:space="0"/>
            </w:tcBorders>
            <w:noWrap w:val="0"/>
            <w:vAlign w:val="center"/>
          </w:tcPr>
          <w:p w14:paraId="7A15E767">
            <w:pPr>
              <w:jc w:val="center"/>
              <w:rPr>
                <w:rFonts w:ascii="宋体" w:hAnsi="宋体" w:cs="宋体"/>
                <w:color w:val="auto"/>
                <w:highlight w:val="none"/>
              </w:rPr>
            </w:pPr>
            <w:r>
              <w:rPr>
                <w:rFonts w:hint="eastAsia" w:ascii="宋体" w:hAnsi="宋体" w:cs="宋体"/>
                <w:color w:val="auto"/>
                <w:highlight w:val="none"/>
              </w:rPr>
              <w:t>3.00分</w:t>
            </w:r>
          </w:p>
        </w:tc>
        <w:tc>
          <w:tcPr>
            <w:tcW w:w="846" w:type="dxa"/>
            <w:tcBorders>
              <w:top w:val="outset" w:color="auto" w:sz="6" w:space="0"/>
              <w:left w:val="outset" w:color="auto" w:sz="6" w:space="0"/>
              <w:right w:val="outset" w:color="auto" w:sz="6" w:space="0"/>
            </w:tcBorders>
            <w:noWrap w:val="0"/>
            <w:vAlign w:val="center"/>
          </w:tcPr>
          <w:p w14:paraId="5F410F8A">
            <w:pPr>
              <w:jc w:val="center"/>
              <w:rPr>
                <w:color w:val="auto"/>
                <w:highlight w:val="none"/>
              </w:rPr>
            </w:pPr>
            <w:r>
              <w:rPr>
                <w:rFonts w:hint="eastAsia"/>
                <w:color w:val="auto"/>
                <w:highlight w:val="none"/>
              </w:rPr>
              <w:t>3.00分</w:t>
            </w:r>
          </w:p>
        </w:tc>
      </w:tr>
      <w:tr w14:paraId="23E261E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852" w:type="dxa"/>
            <w:vMerge w:val="continue"/>
            <w:tcBorders>
              <w:left w:val="outset" w:color="auto" w:sz="6" w:space="0"/>
              <w:right w:val="outset" w:color="auto" w:sz="6" w:space="0"/>
            </w:tcBorders>
            <w:noWrap w:val="0"/>
            <w:vAlign w:val="center"/>
          </w:tcPr>
          <w:p w14:paraId="7C66AEEA">
            <w:pPr>
              <w:spacing w:line="460" w:lineRule="exact"/>
              <w:jc w:val="center"/>
              <w:rPr>
                <w:rFonts w:hint="eastAsia" w:ascii="宋体" w:hAnsi="宋体" w:cs="宋体"/>
                <w:color w:val="auto"/>
                <w:highlight w:val="none"/>
              </w:rPr>
            </w:pPr>
          </w:p>
        </w:tc>
        <w:tc>
          <w:tcPr>
            <w:tcW w:w="1273" w:type="dxa"/>
            <w:tcBorders>
              <w:top w:val="outset" w:color="auto" w:sz="6" w:space="0"/>
              <w:left w:val="outset" w:color="auto" w:sz="6" w:space="0"/>
              <w:right w:val="outset" w:color="auto" w:sz="6" w:space="0"/>
            </w:tcBorders>
            <w:noWrap w:val="0"/>
            <w:vAlign w:val="center"/>
          </w:tcPr>
          <w:p w14:paraId="54B19F95">
            <w:pPr>
              <w:spacing w:line="460" w:lineRule="exact"/>
              <w:jc w:val="center"/>
              <w:rPr>
                <w:rFonts w:ascii="宋体" w:hAnsi="宋体" w:cs="宋体"/>
                <w:color w:val="auto"/>
                <w:highlight w:val="none"/>
              </w:rPr>
            </w:pPr>
            <w:r>
              <w:rPr>
                <w:rFonts w:hint="eastAsia" w:ascii="宋体" w:hAnsi="宋体" w:cs="宋体"/>
                <w:color w:val="auto"/>
                <w:highlight w:val="none"/>
              </w:rPr>
              <w:t>拟投入项目技术力量</w:t>
            </w:r>
          </w:p>
        </w:tc>
        <w:tc>
          <w:tcPr>
            <w:tcW w:w="5946" w:type="dxa"/>
            <w:tcBorders>
              <w:top w:val="outset" w:color="auto" w:sz="6" w:space="0"/>
              <w:left w:val="outset" w:color="auto" w:sz="6" w:space="0"/>
              <w:right w:val="outset" w:color="auto" w:sz="6" w:space="0"/>
            </w:tcBorders>
            <w:noWrap w:val="0"/>
            <w:vAlign w:val="center"/>
          </w:tcPr>
          <w:p w14:paraId="59704BC0">
            <w:pPr>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1、项目负责人：项目负责人具有高级工程师（建设工程类专业）职称的得2分，</w:t>
            </w:r>
            <w:r>
              <w:rPr>
                <w:rFonts w:hint="eastAsia" w:ascii="宋体" w:hAnsi="宋体" w:cs="宋体"/>
                <w:bCs/>
                <w:color w:val="auto"/>
                <w:szCs w:val="21"/>
                <w:highlight w:val="none"/>
              </w:rPr>
              <w:t>没有不得分</w:t>
            </w:r>
            <w:r>
              <w:rPr>
                <w:rFonts w:hint="eastAsia" w:ascii="宋体" w:hAnsi="宋体" w:cs="宋体"/>
                <w:bCs/>
                <w:color w:val="auto"/>
                <w:szCs w:val="21"/>
                <w:highlight w:val="none"/>
                <w:lang w:eastAsia="zh-CN"/>
              </w:rPr>
              <w:t>；</w:t>
            </w:r>
          </w:p>
          <w:p w14:paraId="2884A99F">
            <w:pPr>
              <w:textAlignment w:val="baseline"/>
              <w:rPr>
                <w:rFonts w:hint="eastAsia" w:ascii="宋体" w:hAnsi="宋体" w:cs="宋体"/>
                <w:color w:val="auto"/>
                <w:szCs w:val="21"/>
                <w:highlight w:val="none"/>
              </w:rPr>
            </w:pPr>
            <w:r>
              <w:rPr>
                <w:rFonts w:hint="eastAsia" w:ascii="宋体" w:hAnsi="宋体" w:cs="宋体"/>
                <w:color w:val="auto"/>
                <w:szCs w:val="21"/>
                <w:highlight w:val="none"/>
              </w:rPr>
              <w:t>2、技术负责人：具有高级工程师（建设工程类专业）职称的得2分，</w:t>
            </w:r>
            <w:r>
              <w:rPr>
                <w:rFonts w:hint="eastAsia" w:ascii="宋体" w:hAnsi="宋体" w:cs="宋体"/>
                <w:bCs/>
                <w:color w:val="auto"/>
                <w:szCs w:val="21"/>
                <w:highlight w:val="none"/>
              </w:rPr>
              <w:t>没有不得分</w:t>
            </w:r>
            <w:r>
              <w:rPr>
                <w:rFonts w:hint="eastAsia" w:ascii="宋体" w:hAnsi="宋体" w:cs="宋体"/>
                <w:bCs/>
                <w:color w:val="auto"/>
                <w:szCs w:val="21"/>
                <w:highlight w:val="none"/>
                <w:lang w:eastAsia="zh-CN"/>
              </w:rPr>
              <w:t>；</w:t>
            </w:r>
          </w:p>
          <w:p w14:paraId="5D865592">
            <w:pPr>
              <w:textAlignment w:val="baseline"/>
              <w:rPr>
                <w:rFonts w:hint="eastAsia" w:ascii="宋体" w:hAnsi="宋体" w:cs="宋体"/>
                <w:color w:val="auto"/>
                <w:szCs w:val="21"/>
                <w:highlight w:val="none"/>
              </w:rPr>
            </w:pPr>
            <w:r>
              <w:rPr>
                <w:rFonts w:hint="eastAsia" w:ascii="宋体" w:hAnsi="宋体" w:cs="宋体"/>
                <w:color w:val="auto"/>
                <w:szCs w:val="21"/>
                <w:highlight w:val="none"/>
              </w:rPr>
              <w:t>3、项目组成员：项目组成员中（不含技术负责人和项目负责人），具有工程师及以上职称的，每提供一名的得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分。没有不得分。 </w:t>
            </w:r>
          </w:p>
          <w:p w14:paraId="114EA02D">
            <w:pPr>
              <w:textAlignment w:val="baseline"/>
              <w:rPr>
                <w:rFonts w:ascii="宋体" w:hAnsi="宋体" w:cs="宋体"/>
                <w:color w:val="auto"/>
                <w:szCs w:val="21"/>
                <w:highlight w:val="none"/>
              </w:rPr>
            </w:pPr>
            <w:r>
              <w:rPr>
                <w:rFonts w:hint="eastAsia" w:ascii="宋体" w:hAnsi="宋体" w:cs="宋体"/>
                <w:color w:val="auto"/>
                <w:szCs w:val="21"/>
                <w:highlight w:val="none"/>
              </w:rPr>
              <w:t>注：以上</w:t>
            </w:r>
            <w:r>
              <w:rPr>
                <w:rFonts w:hint="eastAsia" w:ascii="宋体" w:hAnsi="宋体" w:cs="宋体"/>
                <w:color w:val="auto"/>
                <w:szCs w:val="21"/>
                <w:highlight w:val="none"/>
                <w:lang w:val="en-US" w:eastAsia="zh-CN"/>
              </w:rPr>
              <w:t>所有</w:t>
            </w:r>
            <w:r>
              <w:rPr>
                <w:rFonts w:hint="eastAsia" w:ascii="宋体" w:hAnsi="宋体" w:cs="宋体"/>
                <w:color w:val="auto"/>
                <w:szCs w:val="21"/>
                <w:highlight w:val="none"/>
              </w:rPr>
              <w:t>人员均不重复计分，专业以职称证或毕业证为准，以上所有人员须提供证书</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或证明材料</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及投标人本单位为其缴纳</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中任意一个月的</w:t>
            </w:r>
            <w:r>
              <w:rPr>
                <w:rFonts w:hint="eastAsia" w:ascii="宋体" w:hAnsi="宋体" w:cs="宋体"/>
                <w:color w:val="auto"/>
                <w:szCs w:val="21"/>
                <w:highlight w:val="none"/>
              </w:rPr>
              <w:t>养老保险证明材料</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。否则对应项不得分。</w:t>
            </w:r>
          </w:p>
        </w:tc>
        <w:tc>
          <w:tcPr>
            <w:tcW w:w="850" w:type="dxa"/>
            <w:tcBorders>
              <w:top w:val="outset" w:color="auto" w:sz="6" w:space="0"/>
              <w:left w:val="outset" w:color="auto" w:sz="6" w:space="0"/>
              <w:right w:val="outset" w:color="auto" w:sz="6" w:space="0"/>
            </w:tcBorders>
            <w:noWrap w:val="0"/>
            <w:vAlign w:val="center"/>
          </w:tcPr>
          <w:p w14:paraId="6B59F5C7">
            <w:pPr>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.00分</w:t>
            </w:r>
          </w:p>
        </w:tc>
        <w:tc>
          <w:tcPr>
            <w:tcW w:w="846" w:type="dxa"/>
            <w:tcBorders>
              <w:top w:val="outset" w:color="auto" w:sz="6" w:space="0"/>
              <w:left w:val="outset" w:color="auto" w:sz="6" w:space="0"/>
              <w:right w:val="outset" w:color="auto" w:sz="6" w:space="0"/>
            </w:tcBorders>
            <w:noWrap w:val="0"/>
            <w:vAlign w:val="center"/>
          </w:tcPr>
          <w:p w14:paraId="1BDC84D4">
            <w:pPr>
              <w:jc w:val="center"/>
              <w:rPr>
                <w:rFonts w:hint="eastAsia"/>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.00分</w:t>
            </w:r>
          </w:p>
        </w:tc>
      </w:tr>
      <w:tr w14:paraId="12030E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2" w:type="dxa"/>
            <w:vMerge w:val="restart"/>
            <w:tcBorders>
              <w:top w:val="outset" w:color="auto" w:sz="6" w:space="0"/>
              <w:left w:val="outset" w:color="auto" w:sz="6" w:space="0"/>
              <w:right w:val="outset" w:color="auto" w:sz="6" w:space="0"/>
            </w:tcBorders>
            <w:noWrap w:val="0"/>
            <w:vAlign w:val="center"/>
          </w:tcPr>
          <w:p w14:paraId="60718015">
            <w:pPr>
              <w:spacing w:line="460" w:lineRule="exact"/>
              <w:jc w:val="center"/>
              <w:rPr>
                <w:rFonts w:hint="eastAsia" w:ascii="宋体" w:hAnsi="宋体" w:cs="宋体"/>
                <w:color w:val="auto"/>
                <w:highlight w:val="none"/>
                <w:lang w:val="en-US" w:eastAsia="zh-CN"/>
              </w:rPr>
            </w:pPr>
          </w:p>
          <w:p w14:paraId="417B1984">
            <w:pPr>
              <w:spacing w:line="460" w:lineRule="exact"/>
              <w:jc w:val="center"/>
              <w:rPr>
                <w:rFonts w:hint="eastAsia" w:ascii="宋体" w:hAnsi="宋体" w:cs="宋体"/>
                <w:color w:val="auto"/>
                <w:highlight w:val="none"/>
                <w:lang w:val="en-US" w:eastAsia="zh-CN"/>
              </w:rPr>
            </w:pPr>
          </w:p>
          <w:p w14:paraId="050ECFCD">
            <w:pPr>
              <w:spacing w:line="460" w:lineRule="exact"/>
              <w:jc w:val="center"/>
              <w:rPr>
                <w:rFonts w:hint="eastAsia" w:ascii="宋体" w:hAnsi="宋体" w:cs="宋体"/>
                <w:color w:val="auto"/>
                <w:highlight w:val="none"/>
                <w:lang w:val="en-US" w:eastAsia="zh-CN"/>
              </w:rPr>
            </w:pPr>
          </w:p>
          <w:p w14:paraId="7DE77D43">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项目实施方案</w:t>
            </w:r>
          </w:p>
        </w:tc>
        <w:tc>
          <w:tcPr>
            <w:tcW w:w="1273" w:type="dxa"/>
            <w:tcBorders>
              <w:top w:val="outset" w:color="auto" w:sz="6" w:space="0"/>
              <w:left w:val="outset" w:color="auto" w:sz="6" w:space="0"/>
              <w:bottom w:val="outset" w:color="auto" w:sz="6" w:space="0"/>
              <w:right w:val="outset" w:color="auto" w:sz="6" w:space="0"/>
            </w:tcBorders>
            <w:noWrap w:val="0"/>
            <w:vAlign w:val="center"/>
          </w:tcPr>
          <w:p w14:paraId="02207EFE">
            <w:pPr>
              <w:spacing w:line="460" w:lineRule="exact"/>
              <w:jc w:val="center"/>
              <w:rPr>
                <w:rFonts w:ascii="宋体" w:hAnsi="宋体" w:cs="宋体"/>
                <w:color w:val="auto"/>
                <w:highlight w:val="none"/>
              </w:rPr>
            </w:pPr>
            <w:r>
              <w:rPr>
                <w:rFonts w:hint="eastAsia" w:ascii="宋体" w:hAnsi="宋体" w:cs="宋体"/>
                <w:color w:val="auto"/>
                <w:highlight w:val="none"/>
              </w:rPr>
              <w:t>施工方案、技术措施</w:t>
            </w:r>
          </w:p>
        </w:tc>
        <w:tc>
          <w:tcPr>
            <w:tcW w:w="5946" w:type="dxa"/>
            <w:tcBorders>
              <w:top w:val="outset" w:color="auto" w:sz="6" w:space="0"/>
              <w:left w:val="outset" w:color="auto" w:sz="6" w:space="0"/>
              <w:bottom w:val="outset" w:color="auto" w:sz="6" w:space="0"/>
              <w:right w:val="outset" w:color="auto" w:sz="6" w:space="0"/>
            </w:tcBorders>
            <w:noWrap w:val="0"/>
            <w:vAlign w:val="center"/>
          </w:tcPr>
          <w:p w14:paraId="7AC062A2">
            <w:pPr>
              <w:jc w:val="left"/>
              <w:rPr>
                <w:rFonts w:hint="eastAsia"/>
                <w:color w:val="auto"/>
                <w:highlight w:val="none"/>
              </w:rPr>
            </w:pPr>
            <w:r>
              <w:rPr>
                <w:rFonts w:hint="eastAsia"/>
                <w:color w:val="auto"/>
                <w:highlight w:val="none"/>
              </w:rPr>
              <w:t>根据投标单位丰富的施工经验及施工能力证明等且针对本项目进行编制的施工方案、技术措施进行打分。</w:t>
            </w:r>
          </w:p>
          <w:p w14:paraId="3BC79873">
            <w:pPr>
              <w:jc w:val="left"/>
              <w:rPr>
                <w:rFonts w:hint="eastAsia"/>
                <w:color w:val="auto"/>
                <w:highlight w:val="none"/>
              </w:rPr>
            </w:pPr>
            <w:r>
              <w:rPr>
                <w:rFonts w:hint="eastAsia"/>
                <w:color w:val="auto"/>
                <w:highlight w:val="none"/>
              </w:rPr>
              <w:t>1、总体概述：施工组织总体设想、方案针对性及施工段划分；</w:t>
            </w:r>
          </w:p>
          <w:p w14:paraId="06D3D7B2">
            <w:pPr>
              <w:jc w:val="left"/>
              <w:rPr>
                <w:rFonts w:hint="eastAsia"/>
                <w:color w:val="auto"/>
                <w:highlight w:val="none"/>
              </w:rPr>
            </w:pPr>
            <w:r>
              <w:rPr>
                <w:rFonts w:hint="eastAsia"/>
                <w:color w:val="auto"/>
                <w:highlight w:val="none"/>
              </w:rPr>
              <w:t>2、施工现场平面布置图和临时设施布置图；</w:t>
            </w:r>
          </w:p>
          <w:p w14:paraId="683D3B96">
            <w:pPr>
              <w:jc w:val="left"/>
              <w:rPr>
                <w:rFonts w:hint="eastAsia"/>
                <w:color w:val="auto"/>
                <w:highlight w:val="none"/>
              </w:rPr>
            </w:pPr>
            <w:r>
              <w:rPr>
                <w:rFonts w:hint="eastAsia"/>
                <w:color w:val="auto"/>
                <w:highlight w:val="none"/>
              </w:rPr>
              <w:t>3、各分部项工程的施工组织设计及质量保证措施；</w:t>
            </w:r>
          </w:p>
          <w:p w14:paraId="5B29C3B1">
            <w:pPr>
              <w:jc w:val="left"/>
              <w:rPr>
                <w:rFonts w:hint="eastAsia"/>
                <w:color w:val="auto"/>
                <w:highlight w:val="none"/>
              </w:rPr>
            </w:pPr>
            <w:r>
              <w:rPr>
                <w:rFonts w:hint="eastAsia"/>
                <w:color w:val="auto"/>
                <w:highlight w:val="none"/>
              </w:rPr>
              <w:t>4、安全文明施工及环境保护措施；</w:t>
            </w:r>
          </w:p>
          <w:p w14:paraId="3C79B045">
            <w:pPr>
              <w:jc w:val="left"/>
              <w:rPr>
                <w:rFonts w:hint="eastAsia"/>
                <w:color w:val="auto"/>
                <w:highlight w:val="none"/>
              </w:rPr>
            </w:pPr>
            <w:r>
              <w:rPr>
                <w:rFonts w:hint="eastAsia"/>
                <w:color w:val="auto"/>
                <w:highlight w:val="none"/>
              </w:rPr>
              <w:t>5、季节性施工措施，成品、半成品保护措施；</w:t>
            </w:r>
          </w:p>
          <w:p w14:paraId="4E9C3B1E">
            <w:pPr>
              <w:jc w:val="left"/>
              <w:rPr>
                <w:color w:val="auto"/>
                <w:highlight w:val="none"/>
              </w:rPr>
            </w:pPr>
            <w:r>
              <w:rPr>
                <w:rFonts w:hint="eastAsia"/>
                <w:color w:val="auto"/>
                <w:highlight w:val="none"/>
              </w:rPr>
              <w:t>（方案细致全面、合理、施工经验丰富、能力突出、完全响应项目需求的得</w:t>
            </w:r>
            <w:r>
              <w:rPr>
                <w:rFonts w:hint="eastAsia"/>
                <w:color w:val="auto"/>
                <w:highlight w:val="none"/>
                <w:lang w:val="en-US" w:eastAsia="zh-CN"/>
              </w:rPr>
              <w:t>10</w:t>
            </w:r>
            <w:r>
              <w:rPr>
                <w:rFonts w:hint="eastAsia"/>
                <w:color w:val="auto"/>
                <w:highlight w:val="none"/>
              </w:rPr>
              <w:t>分；方案较为完整、施工经验较丰富、能力较突出、基本响应项目需求的得6分</w:t>
            </w:r>
            <w:r>
              <w:rPr>
                <w:rFonts w:hint="eastAsia"/>
                <w:color w:val="auto"/>
                <w:highlight w:val="none"/>
                <w:lang w:eastAsia="zh-CN"/>
              </w:rPr>
              <w:t>；</w:t>
            </w:r>
            <w:r>
              <w:rPr>
                <w:rFonts w:hint="eastAsia"/>
                <w:color w:val="auto"/>
                <w:highlight w:val="none"/>
              </w:rPr>
              <w:t>方案</w:t>
            </w:r>
            <w:r>
              <w:rPr>
                <w:rFonts w:hint="eastAsia"/>
                <w:color w:val="auto"/>
                <w:highlight w:val="none"/>
                <w:lang w:val="en-US" w:eastAsia="zh-CN"/>
              </w:rPr>
              <w:t>一般</w:t>
            </w:r>
            <w:r>
              <w:rPr>
                <w:rFonts w:hint="eastAsia"/>
                <w:color w:val="auto"/>
                <w:highlight w:val="none"/>
              </w:rPr>
              <w:t>、经验能力一般、可行性一般得3分，没有内容不得分。）</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42916D6F">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6" w:type="dxa"/>
            <w:vMerge w:val="restart"/>
            <w:tcBorders>
              <w:top w:val="outset" w:color="auto" w:sz="6" w:space="0"/>
              <w:left w:val="outset" w:color="auto" w:sz="6" w:space="0"/>
              <w:right w:val="outset" w:color="auto" w:sz="6" w:space="0"/>
            </w:tcBorders>
            <w:noWrap w:val="0"/>
            <w:vAlign w:val="center"/>
          </w:tcPr>
          <w:p w14:paraId="08B2E9D5">
            <w:pPr>
              <w:jc w:val="center"/>
              <w:rPr>
                <w:color w:val="auto"/>
                <w:highlight w:val="none"/>
              </w:rPr>
            </w:pPr>
            <w:r>
              <w:rPr>
                <w:rFonts w:hint="eastAsia"/>
                <w:color w:val="auto"/>
                <w:highlight w:val="none"/>
                <w:lang w:val="en-US" w:eastAsia="zh-CN"/>
              </w:rPr>
              <w:t>50</w:t>
            </w:r>
            <w:r>
              <w:rPr>
                <w:rFonts w:hint="eastAsia"/>
                <w:color w:val="auto"/>
                <w:highlight w:val="none"/>
              </w:rPr>
              <w:t>.00分</w:t>
            </w:r>
          </w:p>
        </w:tc>
      </w:tr>
      <w:tr w14:paraId="37A55B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2" w:type="dxa"/>
            <w:vMerge w:val="continue"/>
            <w:tcBorders>
              <w:left w:val="outset" w:color="auto" w:sz="6" w:space="0"/>
              <w:right w:val="outset" w:color="auto" w:sz="6" w:space="0"/>
            </w:tcBorders>
            <w:noWrap w:val="0"/>
            <w:vAlign w:val="center"/>
          </w:tcPr>
          <w:p w14:paraId="0737EB07">
            <w:pPr>
              <w:spacing w:line="460" w:lineRule="exact"/>
              <w:jc w:val="center"/>
              <w:rPr>
                <w:rFonts w:ascii="宋体" w:hAnsi="宋体" w:cs="宋体"/>
                <w:color w:val="auto"/>
                <w:highlight w:val="none"/>
              </w:rPr>
            </w:pPr>
          </w:p>
        </w:tc>
        <w:tc>
          <w:tcPr>
            <w:tcW w:w="1273" w:type="dxa"/>
            <w:tcBorders>
              <w:top w:val="outset" w:color="auto" w:sz="6" w:space="0"/>
              <w:left w:val="outset" w:color="auto" w:sz="6" w:space="0"/>
              <w:bottom w:val="outset" w:color="auto" w:sz="6" w:space="0"/>
              <w:right w:val="outset" w:color="auto" w:sz="6" w:space="0"/>
            </w:tcBorders>
            <w:noWrap w:val="0"/>
            <w:vAlign w:val="center"/>
          </w:tcPr>
          <w:p w14:paraId="5CACC492">
            <w:pPr>
              <w:spacing w:line="460" w:lineRule="exact"/>
              <w:jc w:val="center"/>
              <w:rPr>
                <w:rFonts w:ascii="宋体" w:hAnsi="宋体" w:cs="宋体"/>
                <w:color w:val="auto"/>
                <w:highlight w:val="none"/>
              </w:rPr>
            </w:pPr>
            <w:r>
              <w:rPr>
                <w:rFonts w:hint="eastAsia" w:ascii="宋体" w:hAnsi="宋体" w:cs="宋体"/>
                <w:color w:val="auto"/>
                <w:highlight w:val="none"/>
              </w:rPr>
              <w:t>工程进度计划与措施</w:t>
            </w:r>
          </w:p>
        </w:tc>
        <w:tc>
          <w:tcPr>
            <w:tcW w:w="5946" w:type="dxa"/>
            <w:tcBorders>
              <w:top w:val="outset" w:color="auto" w:sz="6" w:space="0"/>
              <w:left w:val="outset" w:color="auto" w:sz="6" w:space="0"/>
              <w:bottom w:val="outset" w:color="auto" w:sz="6" w:space="0"/>
              <w:right w:val="outset" w:color="auto" w:sz="6" w:space="0"/>
            </w:tcBorders>
            <w:noWrap w:val="0"/>
            <w:vAlign w:val="center"/>
          </w:tcPr>
          <w:p w14:paraId="5B37D28E">
            <w:pPr>
              <w:jc w:val="left"/>
              <w:rPr>
                <w:rFonts w:hint="eastAsia"/>
                <w:color w:val="auto"/>
                <w:highlight w:val="none"/>
              </w:rPr>
            </w:pPr>
            <w:r>
              <w:rPr>
                <w:rFonts w:hint="eastAsia"/>
                <w:color w:val="auto"/>
                <w:highlight w:val="none"/>
              </w:rPr>
              <w:t>工程进度计划与措施详细全面且先进科学。</w:t>
            </w:r>
          </w:p>
          <w:p w14:paraId="4DEB0B93">
            <w:pPr>
              <w:jc w:val="left"/>
              <w:rPr>
                <w:color w:val="auto"/>
                <w:highlight w:val="none"/>
              </w:rPr>
            </w:pPr>
            <w:r>
              <w:rPr>
                <w:rFonts w:hint="eastAsia"/>
                <w:color w:val="auto"/>
                <w:highlight w:val="none"/>
              </w:rPr>
              <w:t>（计划细致全面、合理、先进科学、完全响应项目需求，相关工作服务及进度安排合理、分工明确的得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rPr>
              <w:t>计划较为完整，较合理、分工较明确、基本响应项目需求的得6分</w:t>
            </w:r>
            <w:r>
              <w:rPr>
                <w:rFonts w:hint="eastAsia"/>
                <w:color w:val="auto"/>
                <w:highlight w:val="none"/>
                <w:lang w:eastAsia="zh-CN"/>
              </w:rPr>
              <w:t>；</w:t>
            </w:r>
            <w:r>
              <w:rPr>
                <w:rFonts w:hint="eastAsia"/>
                <w:color w:val="auto"/>
                <w:highlight w:val="none"/>
              </w:rPr>
              <w:t>方案</w:t>
            </w:r>
            <w:r>
              <w:rPr>
                <w:rFonts w:hint="eastAsia"/>
                <w:color w:val="auto"/>
                <w:highlight w:val="none"/>
                <w:lang w:val="en-US" w:eastAsia="zh-CN"/>
              </w:rPr>
              <w:t>一般</w:t>
            </w:r>
            <w:r>
              <w:rPr>
                <w:rFonts w:hint="eastAsia"/>
                <w:color w:val="auto"/>
                <w:highlight w:val="none"/>
              </w:rPr>
              <w:t>、响应度一般、可行性一般得3分。）没有内容不得分。</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1B4547A5">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6" w:type="dxa"/>
            <w:vMerge w:val="continue"/>
            <w:tcBorders>
              <w:left w:val="outset" w:color="auto" w:sz="6" w:space="0"/>
              <w:right w:val="outset" w:color="auto" w:sz="6" w:space="0"/>
            </w:tcBorders>
            <w:noWrap w:val="0"/>
            <w:vAlign w:val="top"/>
          </w:tcPr>
          <w:p w14:paraId="0F0687FF">
            <w:pPr>
              <w:jc w:val="center"/>
              <w:rPr>
                <w:color w:val="auto"/>
                <w:highlight w:val="none"/>
              </w:rPr>
            </w:pPr>
          </w:p>
        </w:tc>
      </w:tr>
      <w:tr w14:paraId="2D7CA9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2" w:type="dxa"/>
            <w:vMerge w:val="continue"/>
            <w:tcBorders>
              <w:left w:val="outset" w:color="auto" w:sz="6" w:space="0"/>
              <w:right w:val="outset" w:color="auto" w:sz="6" w:space="0"/>
            </w:tcBorders>
            <w:noWrap w:val="0"/>
            <w:vAlign w:val="center"/>
          </w:tcPr>
          <w:p w14:paraId="01EC534C">
            <w:pPr>
              <w:spacing w:line="460" w:lineRule="exact"/>
              <w:jc w:val="center"/>
              <w:rPr>
                <w:rFonts w:ascii="宋体" w:hAnsi="宋体" w:cs="宋体"/>
                <w:color w:val="auto"/>
                <w:highlight w:val="none"/>
              </w:rPr>
            </w:pPr>
          </w:p>
        </w:tc>
        <w:tc>
          <w:tcPr>
            <w:tcW w:w="1273" w:type="dxa"/>
            <w:tcBorders>
              <w:top w:val="outset" w:color="auto" w:sz="6" w:space="0"/>
              <w:left w:val="outset" w:color="auto" w:sz="6" w:space="0"/>
              <w:bottom w:val="outset" w:color="auto" w:sz="6" w:space="0"/>
              <w:right w:val="outset" w:color="auto" w:sz="6" w:space="0"/>
            </w:tcBorders>
            <w:noWrap w:val="0"/>
            <w:vAlign w:val="center"/>
          </w:tcPr>
          <w:p w14:paraId="288D1300">
            <w:pPr>
              <w:spacing w:line="460" w:lineRule="exact"/>
              <w:jc w:val="center"/>
              <w:rPr>
                <w:rFonts w:ascii="宋体" w:hAnsi="宋体" w:cs="宋体"/>
                <w:color w:val="auto"/>
                <w:highlight w:val="none"/>
              </w:rPr>
            </w:pPr>
            <w:r>
              <w:rPr>
                <w:rFonts w:hint="eastAsia" w:ascii="宋体" w:hAnsi="宋体" w:cs="宋体"/>
                <w:color w:val="auto"/>
                <w:highlight w:val="none"/>
              </w:rPr>
              <w:t>资源配备计划</w:t>
            </w:r>
          </w:p>
        </w:tc>
        <w:tc>
          <w:tcPr>
            <w:tcW w:w="5946" w:type="dxa"/>
            <w:tcBorders>
              <w:top w:val="outset" w:color="auto" w:sz="6" w:space="0"/>
              <w:left w:val="outset" w:color="auto" w:sz="6" w:space="0"/>
              <w:bottom w:val="outset" w:color="auto" w:sz="6" w:space="0"/>
              <w:right w:val="outset" w:color="auto" w:sz="6" w:space="0"/>
            </w:tcBorders>
            <w:noWrap w:val="0"/>
            <w:vAlign w:val="center"/>
          </w:tcPr>
          <w:p w14:paraId="05684942">
            <w:pPr>
              <w:jc w:val="left"/>
              <w:rPr>
                <w:color w:val="auto"/>
                <w:highlight w:val="none"/>
              </w:rPr>
            </w:pPr>
            <w:r>
              <w:rPr>
                <w:rFonts w:hint="eastAsia"/>
                <w:color w:val="auto"/>
                <w:highlight w:val="none"/>
              </w:rPr>
              <w:t>资源配备计划（含</w:t>
            </w:r>
            <w:r>
              <w:rPr>
                <w:color w:val="auto"/>
                <w:highlight w:val="none"/>
              </w:rPr>
              <w:t>人员配备、劳动力、机械设备和材料投入计划</w:t>
            </w:r>
            <w:r>
              <w:rPr>
                <w:rFonts w:hint="eastAsia"/>
                <w:color w:val="auto"/>
                <w:highlight w:val="none"/>
              </w:rPr>
              <w:t>等附相关证明材料）人员配备安排合理、施工机械设备选用的合理、施工机械布置的合理等。</w:t>
            </w:r>
          </w:p>
          <w:p w14:paraId="43384D11">
            <w:pPr>
              <w:jc w:val="left"/>
              <w:rPr>
                <w:color w:val="auto"/>
                <w:highlight w:val="none"/>
              </w:rPr>
            </w:pPr>
            <w:r>
              <w:rPr>
                <w:rFonts w:hint="eastAsia"/>
                <w:color w:val="auto"/>
                <w:highlight w:val="none"/>
              </w:rPr>
              <w:t>（方案计划细致全面、合理，证明材料齐全、技术可行性强的得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rPr>
              <w:t>方案计划较为完整合理，技术可行性较强的得6分</w:t>
            </w:r>
            <w:r>
              <w:rPr>
                <w:rFonts w:hint="eastAsia"/>
                <w:color w:val="auto"/>
                <w:highlight w:val="none"/>
                <w:lang w:eastAsia="zh-CN"/>
              </w:rPr>
              <w:t>；</w:t>
            </w:r>
            <w:r>
              <w:rPr>
                <w:rFonts w:hint="eastAsia"/>
                <w:color w:val="auto"/>
                <w:highlight w:val="none"/>
              </w:rPr>
              <w:t>方案计划</w:t>
            </w:r>
            <w:r>
              <w:rPr>
                <w:rFonts w:hint="eastAsia"/>
                <w:color w:val="auto"/>
                <w:highlight w:val="none"/>
                <w:lang w:val="en-US" w:eastAsia="zh-CN"/>
              </w:rPr>
              <w:t>一般</w:t>
            </w:r>
            <w:r>
              <w:rPr>
                <w:rFonts w:hint="eastAsia"/>
                <w:color w:val="auto"/>
                <w:highlight w:val="none"/>
              </w:rPr>
              <w:t>、可行性一般得3分。）  没有内容不得分。</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19DEF711">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6" w:type="dxa"/>
            <w:vMerge w:val="continue"/>
            <w:tcBorders>
              <w:left w:val="outset" w:color="auto" w:sz="6" w:space="0"/>
              <w:right w:val="outset" w:color="auto" w:sz="6" w:space="0"/>
            </w:tcBorders>
            <w:noWrap w:val="0"/>
            <w:vAlign w:val="top"/>
          </w:tcPr>
          <w:p w14:paraId="6C17263A">
            <w:pPr>
              <w:jc w:val="center"/>
              <w:rPr>
                <w:color w:val="auto"/>
                <w:highlight w:val="none"/>
              </w:rPr>
            </w:pPr>
          </w:p>
        </w:tc>
      </w:tr>
      <w:tr w14:paraId="63E677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2" w:type="dxa"/>
            <w:vMerge w:val="continue"/>
            <w:tcBorders>
              <w:left w:val="outset" w:color="auto" w:sz="6" w:space="0"/>
              <w:right w:val="outset" w:color="auto" w:sz="6" w:space="0"/>
            </w:tcBorders>
            <w:noWrap w:val="0"/>
            <w:vAlign w:val="center"/>
          </w:tcPr>
          <w:p w14:paraId="12E21BFE">
            <w:pPr>
              <w:spacing w:line="460" w:lineRule="exact"/>
              <w:jc w:val="center"/>
              <w:rPr>
                <w:rFonts w:ascii="宋体" w:hAnsi="宋体" w:cs="宋体"/>
                <w:color w:val="auto"/>
                <w:highlight w:val="none"/>
              </w:rPr>
            </w:pPr>
          </w:p>
        </w:tc>
        <w:tc>
          <w:tcPr>
            <w:tcW w:w="1273" w:type="dxa"/>
            <w:tcBorders>
              <w:top w:val="outset" w:color="auto" w:sz="6" w:space="0"/>
              <w:left w:val="outset" w:color="auto" w:sz="6" w:space="0"/>
              <w:bottom w:val="outset" w:color="auto" w:sz="6" w:space="0"/>
              <w:right w:val="outset" w:color="auto" w:sz="6" w:space="0"/>
            </w:tcBorders>
            <w:noWrap w:val="0"/>
            <w:vAlign w:val="center"/>
          </w:tcPr>
          <w:p w14:paraId="5DDC201C">
            <w:pPr>
              <w:spacing w:line="460" w:lineRule="exact"/>
              <w:jc w:val="center"/>
              <w:rPr>
                <w:rFonts w:ascii="宋体" w:hAnsi="宋体" w:cs="宋体"/>
                <w:color w:val="auto"/>
                <w:highlight w:val="none"/>
              </w:rPr>
            </w:pPr>
            <w:r>
              <w:rPr>
                <w:rFonts w:hint="eastAsia" w:ascii="宋体" w:hAnsi="宋体" w:cs="宋体"/>
                <w:color w:val="auto"/>
                <w:highlight w:val="none"/>
              </w:rPr>
              <w:t>关键施工技术、工艺及工程项目实施的重点、难点和解决方案</w:t>
            </w:r>
          </w:p>
        </w:tc>
        <w:tc>
          <w:tcPr>
            <w:tcW w:w="5946" w:type="dxa"/>
            <w:tcBorders>
              <w:top w:val="outset" w:color="auto" w:sz="6" w:space="0"/>
              <w:left w:val="outset" w:color="auto" w:sz="6" w:space="0"/>
              <w:bottom w:val="outset" w:color="auto" w:sz="6" w:space="0"/>
              <w:right w:val="outset" w:color="auto" w:sz="6" w:space="0"/>
            </w:tcBorders>
            <w:noWrap w:val="0"/>
            <w:vAlign w:val="center"/>
          </w:tcPr>
          <w:p w14:paraId="250850BA">
            <w:pPr>
              <w:jc w:val="left"/>
              <w:rPr>
                <w:color w:val="auto"/>
                <w:highlight w:val="none"/>
              </w:rPr>
            </w:pPr>
            <w:r>
              <w:rPr>
                <w:rFonts w:hint="eastAsia" w:ascii="宋体" w:hAnsi="宋体" w:cs="宋体"/>
                <w:color w:val="auto"/>
                <w:highlight w:val="none"/>
              </w:rPr>
              <w:t>关键施工技术、工艺及工程项目实施的重点、难点和解决方案。</w:t>
            </w:r>
            <w:r>
              <w:rPr>
                <w:rFonts w:hint="eastAsia"/>
                <w:color w:val="auto"/>
                <w:highlight w:val="none"/>
              </w:rPr>
              <w:t>（方案计划细致全面、合理，技术可行性强的得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rPr>
              <w:t>方案计划较为完整合理，技术可行性较强的得6分</w:t>
            </w:r>
            <w:r>
              <w:rPr>
                <w:rFonts w:hint="eastAsia"/>
                <w:color w:val="auto"/>
                <w:highlight w:val="none"/>
                <w:lang w:eastAsia="zh-CN"/>
              </w:rPr>
              <w:t>；</w:t>
            </w:r>
            <w:r>
              <w:rPr>
                <w:rFonts w:hint="eastAsia"/>
                <w:color w:val="auto"/>
                <w:highlight w:val="none"/>
              </w:rPr>
              <w:t>方案计划</w:t>
            </w:r>
            <w:r>
              <w:rPr>
                <w:rFonts w:hint="eastAsia"/>
                <w:color w:val="auto"/>
                <w:highlight w:val="none"/>
                <w:lang w:val="en-US" w:eastAsia="zh-CN"/>
              </w:rPr>
              <w:t>一般</w:t>
            </w:r>
            <w:r>
              <w:rPr>
                <w:rFonts w:hint="eastAsia"/>
                <w:color w:val="auto"/>
                <w:highlight w:val="none"/>
              </w:rPr>
              <w:t>、可行性一般得3分。）没有内容不得分。</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4D69AF64">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6" w:type="dxa"/>
            <w:vMerge w:val="continue"/>
            <w:tcBorders>
              <w:left w:val="outset" w:color="auto" w:sz="6" w:space="0"/>
              <w:right w:val="outset" w:color="auto" w:sz="6" w:space="0"/>
            </w:tcBorders>
            <w:noWrap w:val="0"/>
            <w:vAlign w:val="top"/>
          </w:tcPr>
          <w:p w14:paraId="20D1F5D8">
            <w:pPr>
              <w:jc w:val="center"/>
              <w:rPr>
                <w:color w:val="auto"/>
                <w:highlight w:val="none"/>
              </w:rPr>
            </w:pPr>
          </w:p>
        </w:tc>
      </w:tr>
      <w:tr w14:paraId="4D3637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2" w:type="dxa"/>
            <w:vMerge w:val="continue"/>
            <w:tcBorders>
              <w:left w:val="outset" w:color="auto" w:sz="6" w:space="0"/>
              <w:right w:val="outset" w:color="auto" w:sz="6" w:space="0"/>
            </w:tcBorders>
            <w:noWrap w:val="0"/>
            <w:vAlign w:val="center"/>
          </w:tcPr>
          <w:p w14:paraId="3453DB13">
            <w:pPr>
              <w:spacing w:line="460" w:lineRule="exact"/>
              <w:jc w:val="center"/>
              <w:rPr>
                <w:rFonts w:ascii="宋体" w:hAnsi="宋体" w:cs="宋体"/>
                <w:color w:val="auto"/>
                <w:highlight w:val="none"/>
              </w:rPr>
            </w:pPr>
          </w:p>
        </w:tc>
        <w:tc>
          <w:tcPr>
            <w:tcW w:w="1273" w:type="dxa"/>
            <w:tcBorders>
              <w:top w:val="outset" w:color="auto" w:sz="6" w:space="0"/>
              <w:left w:val="outset" w:color="auto" w:sz="6" w:space="0"/>
              <w:bottom w:val="outset" w:color="auto" w:sz="6" w:space="0"/>
              <w:right w:val="outset" w:color="auto" w:sz="6" w:space="0"/>
            </w:tcBorders>
            <w:noWrap w:val="0"/>
            <w:vAlign w:val="center"/>
          </w:tcPr>
          <w:p w14:paraId="2556EF20">
            <w:pPr>
              <w:spacing w:line="460" w:lineRule="exact"/>
              <w:jc w:val="center"/>
              <w:rPr>
                <w:rFonts w:ascii="宋体" w:hAnsi="宋体" w:cs="宋体"/>
                <w:color w:val="auto"/>
                <w:highlight w:val="none"/>
              </w:rPr>
            </w:pPr>
            <w:r>
              <w:rPr>
                <w:rFonts w:hint="eastAsia" w:ascii="宋体" w:hAnsi="宋体" w:cs="宋体"/>
                <w:color w:val="auto"/>
                <w:highlight w:val="none"/>
              </w:rPr>
              <w:t>售后服务方案</w:t>
            </w:r>
          </w:p>
        </w:tc>
        <w:tc>
          <w:tcPr>
            <w:tcW w:w="5946" w:type="dxa"/>
            <w:tcBorders>
              <w:top w:val="outset" w:color="auto" w:sz="6" w:space="0"/>
              <w:left w:val="outset" w:color="auto" w:sz="6" w:space="0"/>
              <w:bottom w:val="outset" w:color="auto" w:sz="6" w:space="0"/>
              <w:right w:val="outset" w:color="auto" w:sz="6" w:space="0"/>
            </w:tcBorders>
            <w:noWrap w:val="0"/>
            <w:vAlign w:val="center"/>
          </w:tcPr>
          <w:p w14:paraId="266BA4C3">
            <w:pPr>
              <w:jc w:val="left"/>
              <w:rPr>
                <w:color w:val="auto"/>
                <w:highlight w:val="none"/>
              </w:rPr>
            </w:pPr>
            <w:r>
              <w:rPr>
                <w:rFonts w:hint="eastAsia" w:ascii="宋体" w:hAnsi="宋体" w:cs="宋体"/>
                <w:color w:val="auto"/>
                <w:highlight w:val="none"/>
                <w:lang w:val="zh-CN"/>
              </w:rPr>
              <w:t>供应商</w:t>
            </w:r>
            <w:r>
              <w:rPr>
                <w:rFonts w:hint="eastAsia" w:ascii="宋体" w:hAnsi="宋体" w:cs="宋体"/>
                <w:color w:val="auto"/>
                <w:highlight w:val="none"/>
              </w:rPr>
              <w:t>提供售后服务方案，</w:t>
            </w:r>
            <w:r>
              <w:rPr>
                <w:rFonts w:hint="eastAsia" w:ascii="宋体" w:hAnsi="宋体" w:cs="宋体"/>
                <w:color w:val="auto"/>
                <w:highlight w:val="none"/>
                <w:lang w:val="zh-CN"/>
              </w:rPr>
              <w:t>具有完善的售后服务管理体系、售后服务方案全面、可行性强</w:t>
            </w:r>
            <w:r>
              <w:rPr>
                <w:rFonts w:hint="eastAsia" w:ascii="宋体" w:hAnsi="宋体" w:cs="宋体"/>
                <w:color w:val="auto"/>
                <w:highlight w:val="none"/>
              </w:rPr>
              <w:t>的</w:t>
            </w:r>
            <w:r>
              <w:rPr>
                <w:rFonts w:hint="eastAsia" w:ascii="宋体" w:hAnsi="宋体" w:cs="宋体"/>
                <w:color w:val="auto"/>
                <w:highlight w:val="none"/>
                <w:lang w:val="zh-CN"/>
              </w:rPr>
              <w:t>得</w:t>
            </w:r>
            <w:r>
              <w:rPr>
                <w:rFonts w:hint="eastAsia" w:ascii="宋体" w:hAnsi="宋体" w:cs="宋体"/>
                <w:color w:val="auto"/>
                <w:highlight w:val="none"/>
                <w:lang w:val="en-US" w:eastAsia="zh-CN"/>
              </w:rPr>
              <w:t>7</w:t>
            </w:r>
            <w:r>
              <w:rPr>
                <w:rFonts w:hint="eastAsia" w:ascii="宋体" w:hAnsi="宋体" w:cs="宋体"/>
                <w:color w:val="auto"/>
                <w:highlight w:val="none"/>
                <w:lang w:val="zh-CN"/>
              </w:rPr>
              <w:t>分；供应商具有较为完善的售后服务管理体系、售后服务方案较为全面、可行性较强</w:t>
            </w:r>
            <w:r>
              <w:rPr>
                <w:rFonts w:hint="eastAsia" w:ascii="宋体" w:hAnsi="宋体" w:cs="宋体"/>
                <w:color w:val="auto"/>
                <w:highlight w:val="none"/>
              </w:rPr>
              <w:t>的得</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highlight w:val="none"/>
                <w:lang w:val="zh-CN"/>
              </w:rPr>
              <w:t>；供应商售后服务管理体系一般、售后服务方案</w:t>
            </w:r>
            <w:r>
              <w:rPr>
                <w:rFonts w:hint="eastAsia" w:ascii="宋体" w:hAnsi="宋体" w:cs="宋体"/>
                <w:color w:val="auto"/>
                <w:highlight w:val="none"/>
                <w:lang w:val="en-US" w:eastAsia="zh-CN"/>
              </w:rPr>
              <w:t>一般</w:t>
            </w:r>
            <w:r>
              <w:rPr>
                <w:rFonts w:hint="eastAsia" w:ascii="宋体" w:hAnsi="宋体" w:cs="宋体"/>
                <w:color w:val="auto"/>
                <w:highlight w:val="none"/>
                <w:lang w:val="zh-CN"/>
              </w:rPr>
              <w:t>、可行性</w:t>
            </w:r>
            <w:r>
              <w:rPr>
                <w:rFonts w:hint="eastAsia" w:ascii="宋体" w:hAnsi="宋体" w:cs="宋体"/>
                <w:color w:val="auto"/>
                <w:highlight w:val="none"/>
              </w:rPr>
              <w:t>一般的得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color w:val="auto"/>
                <w:highlight w:val="none"/>
              </w:rPr>
              <w:t>没有内容不得分。</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733429B7">
            <w:pPr>
              <w:jc w:val="center"/>
              <w:rPr>
                <w:rFonts w:hint="eastAsia" w:eastAsia="宋体"/>
                <w:color w:val="auto"/>
                <w:highlight w:val="none"/>
                <w:lang w:eastAsia="zh-CN"/>
              </w:rPr>
            </w:pPr>
            <w:r>
              <w:rPr>
                <w:rFonts w:hint="eastAsia" w:ascii="宋体" w:hAnsi="宋体" w:cs="宋体"/>
                <w:color w:val="auto"/>
                <w:highlight w:val="none"/>
                <w:lang w:val="en-US" w:eastAsia="zh-CN"/>
              </w:rPr>
              <w:t>7</w:t>
            </w:r>
            <w:r>
              <w:rPr>
                <w:rFonts w:hint="eastAsia" w:ascii="宋体" w:hAnsi="宋体" w:cs="宋体"/>
                <w:color w:val="auto"/>
                <w:highlight w:val="none"/>
              </w:rPr>
              <w:t>.00分</w:t>
            </w:r>
          </w:p>
        </w:tc>
        <w:tc>
          <w:tcPr>
            <w:tcW w:w="846" w:type="dxa"/>
            <w:vMerge w:val="continue"/>
            <w:tcBorders>
              <w:left w:val="outset" w:color="auto" w:sz="6" w:space="0"/>
              <w:right w:val="outset" w:color="auto" w:sz="6" w:space="0"/>
            </w:tcBorders>
            <w:noWrap w:val="0"/>
            <w:vAlign w:val="top"/>
          </w:tcPr>
          <w:p w14:paraId="224D5370">
            <w:pPr>
              <w:jc w:val="center"/>
              <w:rPr>
                <w:color w:val="auto"/>
                <w:highlight w:val="none"/>
              </w:rPr>
            </w:pPr>
          </w:p>
        </w:tc>
      </w:tr>
      <w:tr w14:paraId="725E05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852" w:type="dxa"/>
            <w:vMerge w:val="continue"/>
            <w:tcBorders>
              <w:left w:val="outset" w:color="auto" w:sz="6" w:space="0"/>
              <w:bottom w:val="outset" w:color="auto" w:sz="6" w:space="0"/>
              <w:right w:val="outset" w:color="auto" w:sz="6" w:space="0"/>
            </w:tcBorders>
            <w:noWrap w:val="0"/>
            <w:vAlign w:val="center"/>
          </w:tcPr>
          <w:p w14:paraId="00C61994">
            <w:pPr>
              <w:spacing w:line="460" w:lineRule="exact"/>
              <w:jc w:val="center"/>
              <w:rPr>
                <w:rFonts w:ascii="宋体" w:hAnsi="宋体" w:cs="宋体"/>
                <w:color w:val="auto"/>
                <w:highlight w:val="none"/>
              </w:rPr>
            </w:pPr>
          </w:p>
        </w:tc>
        <w:tc>
          <w:tcPr>
            <w:tcW w:w="1273" w:type="dxa"/>
            <w:tcBorders>
              <w:top w:val="outset" w:color="auto" w:sz="6" w:space="0"/>
              <w:left w:val="outset" w:color="auto" w:sz="6" w:space="0"/>
              <w:bottom w:val="outset" w:color="auto" w:sz="6" w:space="0"/>
              <w:right w:val="outset" w:color="auto" w:sz="6" w:space="0"/>
            </w:tcBorders>
            <w:noWrap w:val="0"/>
            <w:vAlign w:val="center"/>
          </w:tcPr>
          <w:p w14:paraId="22F1A419">
            <w:pPr>
              <w:spacing w:line="460" w:lineRule="exact"/>
              <w:jc w:val="center"/>
              <w:rPr>
                <w:rFonts w:hint="eastAsia" w:ascii="宋体" w:hAnsi="宋体" w:cs="宋体"/>
                <w:color w:val="auto"/>
                <w:highlight w:val="none"/>
              </w:rPr>
            </w:pPr>
            <w:r>
              <w:rPr>
                <w:rFonts w:hint="eastAsia" w:ascii="宋体" w:hAnsi="宋体" w:cs="宋体"/>
                <w:color w:val="auto"/>
                <w:highlight w:val="none"/>
              </w:rPr>
              <w:t>免费质保期</w:t>
            </w:r>
          </w:p>
        </w:tc>
        <w:tc>
          <w:tcPr>
            <w:tcW w:w="5946" w:type="dxa"/>
            <w:tcBorders>
              <w:top w:val="outset" w:color="auto" w:sz="6" w:space="0"/>
              <w:left w:val="outset" w:color="auto" w:sz="6" w:space="0"/>
              <w:bottom w:val="outset" w:color="auto" w:sz="6" w:space="0"/>
              <w:right w:val="outset" w:color="auto" w:sz="6" w:space="0"/>
            </w:tcBorders>
            <w:noWrap w:val="0"/>
            <w:vAlign w:val="center"/>
          </w:tcPr>
          <w:p w14:paraId="6395B734">
            <w:pPr>
              <w:jc w:val="left"/>
              <w:rPr>
                <w:rFonts w:hint="eastAsia" w:ascii="宋体" w:hAnsi="宋体" w:cs="宋体"/>
                <w:color w:val="auto"/>
                <w:highlight w:val="none"/>
              </w:rPr>
            </w:pPr>
            <w:r>
              <w:rPr>
                <w:rFonts w:hint="eastAsia" w:ascii="宋体" w:hAnsi="宋体" w:cs="宋体"/>
                <w:color w:val="auto"/>
                <w:highlight w:val="none"/>
              </w:rPr>
              <w:t>在</w:t>
            </w:r>
            <w:r>
              <w:rPr>
                <w:rFonts w:hint="eastAsia" w:ascii="宋体" w:hAnsi="宋体" w:cs="宋体"/>
                <w:color w:val="auto"/>
                <w:highlight w:val="none"/>
                <w:lang w:val="en-US" w:eastAsia="zh-CN"/>
              </w:rPr>
              <w:t>本工程</w:t>
            </w:r>
            <w:r>
              <w:rPr>
                <w:rFonts w:hint="eastAsia" w:ascii="宋体" w:hAnsi="宋体" w:cs="宋体"/>
                <w:color w:val="auto"/>
                <w:highlight w:val="none"/>
              </w:rPr>
              <w:t>原有</w:t>
            </w:r>
            <w:r>
              <w:rPr>
                <w:rFonts w:hint="eastAsia" w:ascii="宋体" w:hAnsi="宋体" w:cs="宋体"/>
                <w:color w:val="auto"/>
                <w:highlight w:val="none"/>
                <w:lang w:val="en-US" w:eastAsia="zh-CN"/>
              </w:rPr>
              <w:t>两</w:t>
            </w:r>
            <w:r>
              <w:rPr>
                <w:rFonts w:hint="eastAsia" w:ascii="宋体" w:hAnsi="宋体" w:cs="宋体"/>
                <w:color w:val="auto"/>
                <w:highlight w:val="none"/>
              </w:rPr>
              <w:t>年质保期的基础上，每多延保一年加1分，最高得3分。没有承诺不得分（承诺书格式自拟）</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16BA7152">
            <w:pPr>
              <w:jc w:val="center"/>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.00分</w:t>
            </w:r>
          </w:p>
        </w:tc>
        <w:tc>
          <w:tcPr>
            <w:tcW w:w="846" w:type="dxa"/>
            <w:tcBorders>
              <w:left w:val="outset" w:color="auto" w:sz="6" w:space="0"/>
              <w:right w:val="outset" w:color="auto" w:sz="6" w:space="0"/>
            </w:tcBorders>
            <w:noWrap w:val="0"/>
            <w:vAlign w:val="top"/>
          </w:tcPr>
          <w:p w14:paraId="74B24209">
            <w:pPr>
              <w:jc w:val="center"/>
              <w:rPr>
                <w:color w:val="auto"/>
                <w:highlight w:val="none"/>
              </w:rPr>
            </w:pPr>
          </w:p>
        </w:tc>
      </w:tr>
    </w:tbl>
    <w:p w14:paraId="3697E2A5">
      <w:pPr>
        <w:pStyle w:val="2"/>
        <w:spacing w:line="420" w:lineRule="exact"/>
        <w:ind w:firstLine="0" w:firstLineChars="0"/>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7BDE9B0C">
      <w:pPr>
        <w:snapToGrid w:val="0"/>
        <w:spacing w:line="440" w:lineRule="exact"/>
        <w:ind w:firstLine="241" w:firstLineChars="1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lang w:val="en-US" w:eastAsia="zh-CN"/>
        </w:rPr>
        <w:t>30</w:t>
      </w:r>
      <w:r>
        <w:rPr>
          <w:rFonts w:ascii="Times New Roman" w:hAnsi="Times New Roman"/>
          <w:b/>
          <w:color w:val="auto"/>
          <w:kern w:val="0"/>
          <w:sz w:val="24"/>
          <w:szCs w:val="24"/>
          <w:highlight w:val="none"/>
        </w:rPr>
        <w:t>分</w:t>
      </w:r>
    </w:p>
    <w:p w14:paraId="25EF03A9">
      <w:pPr>
        <w:snapToGrid w:val="0"/>
        <w:spacing w:line="440" w:lineRule="exact"/>
        <w:ind w:firstLine="555"/>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9C8DD1">
      <w:pPr>
        <w:snapToGrid w:val="0"/>
        <w:spacing w:line="440" w:lineRule="exact"/>
        <w:ind w:firstLine="555"/>
        <w:rPr>
          <w:rFonts w:hint="eastAsia"/>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30</w:t>
      </w:r>
    </w:p>
    <w:p w14:paraId="56B885EC">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4434608D">
      <w:pPr>
        <w:keepNext/>
        <w:spacing w:line="400" w:lineRule="exact"/>
        <w:ind w:firstLine="3253" w:firstLineChars="900"/>
        <w:jc w:val="both"/>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89"/>
      <w:bookmarkEnd w:id="190"/>
      <w:bookmarkEnd w:id="191"/>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2868DA2A">
      <w:pPr>
        <w:rPr>
          <w:rFonts w:ascii="Times New Roman" w:hAnsi="Times New Roman"/>
          <w:color w:val="auto"/>
          <w:highlight w:val="none"/>
        </w:rPr>
      </w:pPr>
      <w:bookmarkStart w:id="192" w:name="_Hlt26671244"/>
      <w:bookmarkEnd w:id="192"/>
      <w:bookmarkStart w:id="193" w:name="_Hlt26955039"/>
      <w:bookmarkEnd w:id="193"/>
      <w:bookmarkStart w:id="194" w:name="_Toc26554094"/>
      <w:bookmarkStart w:id="195" w:name="_Toc49090576"/>
      <w:bookmarkStart w:id="196" w:name="_Toc120614282"/>
    </w:p>
    <w:p w14:paraId="59864809">
      <w:pPr>
        <w:spacing w:line="400" w:lineRule="exact"/>
        <w:ind w:firstLine="883" w:firstLineChars="200"/>
        <w:jc w:val="center"/>
        <w:rPr>
          <w:rFonts w:ascii="Times New Roman" w:hAnsi="Times New Roman"/>
          <w:b/>
          <w:color w:val="auto"/>
          <w:sz w:val="44"/>
          <w:szCs w:val="44"/>
          <w:highlight w:val="none"/>
        </w:rPr>
      </w:pPr>
    </w:p>
    <w:p w14:paraId="0F8665C0">
      <w:pPr>
        <w:spacing w:line="400" w:lineRule="exact"/>
        <w:ind w:firstLine="883" w:firstLineChars="200"/>
        <w:jc w:val="center"/>
        <w:rPr>
          <w:rFonts w:ascii="Times New Roman" w:hAnsi="Times New Roman"/>
          <w:b/>
          <w:color w:val="auto"/>
          <w:sz w:val="44"/>
          <w:szCs w:val="44"/>
          <w:highlight w:val="none"/>
        </w:rPr>
      </w:pPr>
    </w:p>
    <w:p w14:paraId="31FA407B">
      <w:pPr>
        <w:spacing w:line="400" w:lineRule="exact"/>
        <w:ind w:firstLine="723" w:firstLineChars="200"/>
        <w:jc w:val="center"/>
        <w:rPr>
          <w:rFonts w:ascii="Times New Roman" w:hAnsi="Times New Roman"/>
          <w:b/>
          <w:color w:val="auto"/>
          <w:sz w:val="36"/>
          <w:szCs w:val="36"/>
          <w:highlight w:val="none"/>
        </w:rPr>
      </w:pPr>
    </w:p>
    <w:p w14:paraId="68887E55">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57635FF0">
      <w:pPr>
        <w:spacing w:line="400" w:lineRule="exact"/>
        <w:ind w:firstLine="1446" w:firstLineChars="200"/>
        <w:jc w:val="center"/>
        <w:rPr>
          <w:rFonts w:ascii="Times New Roman" w:hAnsi="Times New Roman"/>
          <w:b/>
          <w:color w:val="auto"/>
          <w:sz w:val="72"/>
          <w:szCs w:val="21"/>
          <w:highlight w:val="none"/>
        </w:rPr>
      </w:pPr>
    </w:p>
    <w:p w14:paraId="1A646AF5">
      <w:pPr>
        <w:spacing w:line="400" w:lineRule="exact"/>
        <w:ind w:firstLine="1446" w:firstLineChars="200"/>
        <w:jc w:val="center"/>
        <w:rPr>
          <w:rFonts w:ascii="Times New Roman" w:hAnsi="Times New Roman"/>
          <w:b/>
          <w:color w:val="auto"/>
          <w:sz w:val="72"/>
          <w:szCs w:val="21"/>
          <w:highlight w:val="none"/>
        </w:rPr>
      </w:pPr>
    </w:p>
    <w:p w14:paraId="1967FAA5">
      <w:pPr>
        <w:spacing w:line="400" w:lineRule="exact"/>
        <w:ind w:firstLine="723" w:firstLineChars="200"/>
        <w:jc w:val="center"/>
        <w:rPr>
          <w:rFonts w:ascii="Times New Roman" w:hAnsi="Times New Roman"/>
          <w:b/>
          <w:color w:val="auto"/>
          <w:sz w:val="36"/>
          <w:szCs w:val="21"/>
          <w:highlight w:val="none"/>
        </w:rPr>
      </w:pPr>
    </w:p>
    <w:p w14:paraId="450743EA">
      <w:pPr>
        <w:spacing w:line="400" w:lineRule="exact"/>
        <w:ind w:firstLine="723" w:firstLineChars="200"/>
        <w:jc w:val="center"/>
        <w:rPr>
          <w:rFonts w:ascii="Times New Roman" w:hAnsi="Times New Roman"/>
          <w:b/>
          <w:color w:val="auto"/>
          <w:sz w:val="36"/>
          <w:szCs w:val="21"/>
          <w:highlight w:val="none"/>
        </w:rPr>
      </w:pPr>
    </w:p>
    <w:p w14:paraId="42C535C9">
      <w:pPr>
        <w:spacing w:line="400" w:lineRule="exact"/>
        <w:ind w:firstLine="723" w:firstLineChars="200"/>
        <w:jc w:val="center"/>
        <w:rPr>
          <w:rFonts w:ascii="Times New Roman" w:hAnsi="Times New Roman"/>
          <w:b/>
          <w:color w:val="auto"/>
          <w:sz w:val="36"/>
          <w:szCs w:val="21"/>
          <w:highlight w:val="none"/>
        </w:rPr>
      </w:pPr>
    </w:p>
    <w:p w14:paraId="22AD2854">
      <w:pPr>
        <w:spacing w:line="400" w:lineRule="exact"/>
        <w:ind w:firstLine="723" w:firstLineChars="200"/>
        <w:jc w:val="center"/>
        <w:rPr>
          <w:rFonts w:ascii="Times New Roman" w:hAnsi="Times New Roman"/>
          <w:b/>
          <w:color w:val="auto"/>
          <w:sz w:val="36"/>
          <w:szCs w:val="21"/>
          <w:highlight w:val="none"/>
        </w:rPr>
      </w:pPr>
    </w:p>
    <w:p w14:paraId="67F0DCDB">
      <w:pPr>
        <w:pStyle w:val="2"/>
        <w:ind w:firstLine="723"/>
        <w:rPr>
          <w:rFonts w:ascii="Times New Roman" w:hAnsi="Times New Roman"/>
          <w:b/>
          <w:color w:val="auto"/>
          <w:sz w:val="36"/>
          <w:szCs w:val="21"/>
          <w:highlight w:val="none"/>
        </w:rPr>
      </w:pPr>
    </w:p>
    <w:p w14:paraId="1E559C32">
      <w:pPr>
        <w:rPr>
          <w:rFonts w:ascii="Times New Roman" w:hAnsi="Times New Roman"/>
          <w:b/>
          <w:color w:val="auto"/>
          <w:sz w:val="36"/>
          <w:szCs w:val="21"/>
          <w:highlight w:val="none"/>
        </w:rPr>
      </w:pPr>
    </w:p>
    <w:p w14:paraId="5555ED73">
      <w:pPr>
        <w:pStyle w:val="2"/>
        <w:ind w:firstLine="723"/>
        <w:rPr>
          <w:rFonts w:ascii="Times New Roman" w:hAnsi="Times New Roman"/>
          <w:b/>
          <w:color w:val="auto"/>
          <w:sz w:val="36"/>
          <w:szCs w:val="21"/>
          <w:highlight w:val="none"/>
        </w:rPr>
      </w:pPr>
    </w:p>
    <w:p w14:paraId="5C8332F6">
      <w:pPr>
        <w:rPr>
          <w:color w:val="auto"/>
          <w:highlight w:val="none"/>
        </w:rPr>
      </w:pPr>
    </w:p>
    <w:p w14:paraId="3046ED92">
      <w:pPr>
        <w:spacing w:line="400" w:lineRule="exact"/>
        <w:ind w:firstLine="723" w:firstLineChars="200"/>
        <w:jc w:val="center"/>
        <w:rPr>
          <w:rFonts w:ascii="Times New Roman" w:hAnsi="Times New Roman"/>
          <w:b/>
          <w:color w:val="auto"/>
          <w:sz w:val="36"/>
          <w:szCs w:val="21"/>
          <w:highlight w:val="none"/>
        </w:rPr>
      </w:pPr>
    </w:p>
    <w:p w14:paraId="2C14CA97">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4ACC073">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625FBB1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0D994DDB">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669F1368">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27DA7611">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02F03B6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5238DFF">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500B569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lang w:val="en-US" w:eastAsia="zh-CN"/>
        </w:rPr>
        <w:t>分项报价表</w:t>
      </w:r>
      <w:r>
        <w:rPr>
          <w:rFonts w:ascii="Times New Roman" w:hAnsi="Times New Roman"/>
          <w:color w:val="auto"/>
          <w:sz w:val="24"/>
          <w:szCs w:val="21"/>
          <w:highlight w:val="none"/>
        </w:rPr>
        <w:t>（格式见附件1）</w:t>
      </w:r>
    </w:p>
    <w:p w14:paraId="5E05BF5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0A17547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50E5C6E">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4059A122">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265469F0">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szCs w:val="24"/>
          <w:highlight w:val="none"/>
          <w:lang w:val="zh-CN"/>
        </w:rPr>
        <w:t>代理机构现场查询，截图留存并归档）；</w:t>
      </w:r>
    </w:p>
    <w:p w14:paraId="19DAC196">
      <w:pPr>
        <w:pStyle w:val="134"/>
        <w:keepNext w:val="0"/>
        <w:keepLines w:val="0"/>
        <w:pageBreakBefore w:val="0"/>
        <w:widowControl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rPr>
        <w:t>营业执照扫描件；</w:t>
      </w:r>
    </w:p>
    <w:p w14:paraId="18FC3D5C">
      <w:pPr>
        <w:pStyle w:val="134"/>
        <w:keepNext w:val="0"/>
        <w:keepLines w:val="0"/>
        <w:pageBreakBefore w:val="0"/>
        <w:widowControl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lang w:val="en-US" w:eastAsia="zh-CN"/>
        </w:rPr>
        <w:t>企业资质</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安全生产许可证扫描件；</w:t>
      </w:r>
    </w:p>
    <w:p w14:paraId="4CE05287">
      <w:pPr>
        <w:pStyle w:val="134"/>
        <w:keepNext w:val="0"/>
        <w:keepLines w:val="0"/>
        <w:pageBreakBefore w:val="0"/>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w:t>
      </w:r>
      <w:r>
        <w:rPr>
          <w:rFonts w:hint="eastAsia" w:ascii="宋体" w:hAnsi="宋体" w:eastAsia="宋体" w:cs="宋体"/>
          <w:color w:val="auto"/>
          <w:sz w:val="24"/>
          <w:szCs w:val="24"/>
          <w:highlight w:val="none"/>
          <w:lang w:val="zh-CN"/>
        </w:rPr>
        <w:t>供应商拟派项目负责人的身份证、注册建造师</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zh-CN"/>
        </w:rPr>
        <w:t>、有效的安全生产考核合格证书（B证）</w:t>
      </w:r>
      <w:r>
        <w:rPr>
          <w:rFonts w:hint="eastAsia" w:ascii="宋体" w:hAnsi="宋体" w:eastAsia="宋体" w:cs="宋体"/>
          <w:color w:val="auto"/>
          <w:sz w:val="24"/>
          <w:szCs w:val="24"/>
          <w:highlight w:val="none"/>
          <w:lang w:val="zh-CN" w:eastAsia="zh-CN"/>
        </w:rPr>
        <w:t>及由社保部门出具的投标单位为其缴纳的</w:t>
      </w:r>
      <w:r>
        <w:rPr>
          <w:rFonts w:hint="eastAsia" w:ascii="宋体" w:hAnsi="宋体" w:eastAsia="宋体" w:cs="宋体"/>
          <w:color w:val="auto"/>
          <w:sz w:val="24"/>
          <w:szCs w:val="24"/>
          <w:highlight w:val="none"/>
          <w:lang w:val="en-US" w:eastAsia="zh-CN"/>
        </w:rPr>
        <w:t>2025年4月至2025年6月中任意一个月的养老保险证明材料</w:t>
      </w:r>
      <w:r>
        <w:rPr>
          <w:rFonts w:hint="eastAsia" w:ascii="宋体" w:hAnsi="宋体" w:eastAsia="宋体" w:cs="宋体"/>
          <w:color w:val="auto"/>
          <w:sz w:val="24"/>
          <w:szCs w:val="24"/>
          <w:highlight w:val="none"/>
        </w:rPr>
        <w:t>扫描件（如为退休人员，须提供退休证原件和用人单位聘用合同扫描件）；</w:t>
      </w:r>
    </w:p>
    <w:p w14:paraId="10622A70">
      <w:pPr>
        <w:keepNext w:val="0"/>
        <w:keepLines w:val="0"/>
        <w:pageBreakBefore w:val="0"/>
        <w:widowControl w:val="0"/>
        <w:spacing w:line="460" w:lineRule="exact"/>
        <w:ind w:firstLine="480"/>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w:t>
      </w:r>
      <w:r>
        <w:rPr>
          <w:rFonts w:hint="eastAsia" w:asciiTheme="minorEastAsia" w:hAnsiTheme="minorEastAsia" w:eastAsiaTheme="minorEastAsia" w:cstheme="minorEastAsia"/>
          <w:color w:val="auto"/>
          <w:sz w:val="24"/>
          <w:szCs w:val="21"/>
          <w:highlight w:val="none"/>
          <w:lang w:val="en-US" w:eastAsia="zh-CN"/>
        </w:rPr>
        <w:t>5</w:t>
      </w:r>
      <w:r>
        <w:rPr>
          <w:rFonts w:hint="eastAsia" w:asciiTheme="minorEastAsia" w:hAnsiTheme="minorEastAsia" w:eastAsiaTheme="minorEastAsia" w:cstheme="minorEastAsia"/>
          <w:color w:val="auto"/>
          <w:sz w:val="24"/>
          <w:szCs w:val="21"/>
          <w:highlight w:val="none"/>
        </w:rPr>
        <w:t>）</w:t>
      </w:r>
      <w:r>
        <w:rPr>
          <w:rFonts w:hint="eastAsia" w:ascii="宋体" w:hAnsi="宋体" w:cs="宋体"/>
          <w:color w:val="auto"/>
          <w:sz w:val="24"/>
          <w:szCs w:val="24"/>
          <w:highlight w:val="none"/>
          <w:lang w:val="en-US" w:eastAsia="zh-CN"/>
        </w:rPr>
        <w:t>；</w:t>
      </w:r>
    </w:p>
    <w:p w14:paraId="6B5A2AC3">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p>
    <w:p w14:paraId="13DF111B">
      <w:pPr>
        <w:keepNext w:val="0"/>
        <w:keepLines w:val="0"/>
        <w:pageBreakBefore w:val="0"/>
        <w:widowControl w:val="0"/>
        <w:spacing w:line="460" w:lineRule="exact"/>
        <w:ind w:firstLine="48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highlight w:val="none"/>
        </w:rPr>
        <w:t>代理机构</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lang w:eastAsia="zh-CN"/>
        </w:rPr>
        <w:t>登录</w:t>
      </w:r>
      <w:r>
        <w:rPr>
          <w:rFonts w:hint="eastAsia" w:ascii="宋体" w:hAnsi="宋体" w:cs="宋体"/>
          <w:color w:val="auto"/>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cs="宋体"/>
          <w:color w:val="auto"/>
          <w:sz w:val="24"/>
          <w:highlight w:val="none"/>
          <w:lang w:eastAsia="zh-CN"/>
        </w:rPr>
        <w:t>；</w:t>
      </w:r>
    </w:p>
    <w:p w14:paraId="25471155">
      <w:pPr>
        <w:pStyle w:val="134"/>
        <w:keepNext w:val="0"/>
        <w:keepLines w:val="0"/>
        <w:pageBreakBefore w:val="0"/>
        <w:widowControl w:val="0"/>
        <w:spacing w:line="46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11.投标经办人的身份证及</w:t>
      </w:r>
      <w:r>
        <w:rPr>
          <w:rFonts w:hint="eastAsia" w:ascii="宋体" w:hAnsi="宋体" w:eastAsia="宋体" w:cs="宋体"/>
          <w:color w:val="auto"/>
          <w:kern w:val="2"/>
          <w:sz w:val="24"/>
          <w:szCs w:val="24"/>
          <w:highlight w:val="none"/>
          <w:lang w:val="zh-CN" w:eastAsia="zh-CN" w:bidi="ar-SA"/>
        </w:rPr>
        <w:t>由社保部门出具的投标单位为其缴纳的</w:t>
      </w:r>
      <w:r>
        <w:rPr>
          <w:rFonts w:hint="eastAsia" w:ascii="宋体" w:hAnsi="宋体" w:eastAsia="宋体" w:cs="宋体"/>
          <w:color w:val="auto"/>
          <w:kern w:val="2"/>
          <w:sz w:val="24"/>
          <w:szCs w:val="24"/>
          <w:highlight w:val="none"/>
          <w:lang w:val="en-US" w:eastAsia="zh-CN" w:bidi="ar-SA"/>
        </w:rPr>
        <w:t>2025年4月至2025年6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0A390791">
      <w:pPr>
        <w:spacing w:line="400" w:lineRule="exact"/>
        <w:ind w:firstLine="480" w:firstLineChars="200"/>
        <w:rPr>
          <w:rFonts w:hint="default"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lang w:val="en-US" w:eastAsia="zh-CN"/>
        </w:rPr>
        <w:t>12.</w:t>
      </w:r>
      <w:r>
        <w:rPr>
          <w:rFonts w:hint="eastAsia" w:ascii="宋体" w:hAnsi="宋体" w:cs="宋体"/>
          <w:b w:val="0"/>
          <w:bCs w:val="0"/>
          <w:color w:val="auto"/>
          <w:sz w:val="24"/>
          <w:highlight w:val="none"/>
        </w:rPr>
        <w:t>“教育体育系统公共资源交易” 扫描二维码并填写完成后的截图</w:t>
      </w:r>
      <w:r>
        <w:rPr>
          <w:rFonts w:hint="eastAsia" w:ascii="宋体" w:hAnsi="宋体" w:cs="宋体"/>
          <w:b w:val="0"/>
          <w:bCs w:val="0"/>
          <w:color w:val="auto"/>
          <w:sz w:val="24"/>
          <w:highlight w:val="none"/>
          <w:lang w:val="en-US" w:eastAsia="zh-CN"/>
        </w:rPr>
        <w:t>扫描件</w:t>
      </w:r>
      <w:r>
        <w:rPr>
          <w:rFonts w:hint="eastAsia" w:ascii="宋体" w:hAnsi="宋体" w:cs="宋体"/>
          <w:b w:val="0"/>
          <w:bCs w:val="0"/>
          <w:color w:val="auto"/>
          <w:sz w:val="24"/>
          <w:highlight w:val="none"/>
        </w:rPr>
        <w:t>。</w:t>
      </w:r>
    </w:p>
    <w:p w14:paraId="5B428C4B">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13</w:t>
      </w:r>
      <w:r>
        <w:rPr>
          <w:rFonts w:hint="eastAsia" w:ascii="宋体" w:hAnsi="宋体"/>
          <w:color w:val="auto"/>
          <w:sz w:val="24"/>
          <w:szCs w:val="21"/>
          <w:highlight w:val="none"/>
        </w:rPr>
        <w:t>.中小企业声明函（如果本项目专门面向中小微型企业采购，则必须提供。格式见附件</w:t>
      </w:r>
      <w:r>
        <w:rPr>
          <w:rFonts w:hint="eastAsia" w:ascii="宋体" w:hAnsi="宋体"/>
          <w:color w:val="auto"/>
          <w:sz w:val="24"/>
          <w:szCs w:val="21"/>
          <w:highlight w:val="none"/>
          <w:lang w:val="en-US" w:eastAsia="zh-CN"/>
        </w:rPr>
        <w:t>9</w:t>
      </w:r>
      <w:r>
        <w:rPr>
          <w:rFonts w:hint="eastAsia" w:ascii="宋体" w:hAnsi="宋体"/>
          <w:color w:val="auto"/>
          <w:sz w:val="24"/>
          <w:szCs w:val="21"/>
          <w:highlight w:val="none"/>
        </w:rPr>
        <w:t>）</w:t>
      </w:r>
    </w:p>
    <w:p w14:paraId="4DF84A5F">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.残疾人福利性单位声明函（如果本项目专门面向中小微型企业采购，供应商为残疾人福利性单位并提供本单位制造的货物，或者提供其他残疾人福利性单位制造的货物，则必须提供。格式见附件</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w:t>
      </w:r>
    </w:p>
    <w:p w14:paraId="11C26024">
      <w:pPr>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lang w:val="en-US" w:eastAsia="zh-CN"/>
        </w:rPr>
        <w:t>15</w:t>
      </w:r>
      <w:r>
        <w:rPr>
          <w:rFonts w:hint="eastAsia" w:ascii="宋体" w:hAnsi="宋体"/>
          <w:color w:val="auto"/>
          <w:sz w:val="24"/>
          <w:szCs w:val="21"/>
          <w:highlight w:val="none"/>
        </w:rPr>
        <w:t>.监狱和戒毒企业证明材料（如果本项目专门面向中小微型企业采购，供应商为监狱和戒毒企业的，则必须提供。格式见附件</w:t>
      </w:r>
      <w:r>
        <w:rPr>
          <w:rFonts w:hint="eastAsia" w:ascii="宋体" w:hAnsi="宋体"/>
          <w:color w:val="auto"/>
          <w:sz w:val="24"/>
          <w:szCs w:val="21"/>
          <w:highlight w:val="none"/>
          <w:lang w:val="en-US" w:eastAsia="zh-CN"/>
        </w:rPr>
        <w:t>11</w:t>
      </w:r>
      <w:r>
        <w:rPr>
          <w:rFonts w:hint="eastAsia" w:ascii="宋体" w:hAnsi="宋体"/>
          <w:color w:val="auto"/>
          <w:sz w:val="24"/>
          <w:szCs w:val="21"/>
          <w:highlight w:val="none"/>
        </w:rPr>
        <w:t>）</w:t>
      </w:r>
    </w:p>
    <w:p w14:paraId="66F45095">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.其</w:t>
      </w:r>
      <w:r>
        <w:rPr>
          <w:rFonts w:hint="eastAsia" w:ascii="宋体" w:hAnsi="宋体"/>
          <w:color w:val="auto"/>
          <w:sz w:val="24"/>
          <w:szCs w:val="24"/>
          <w:highlight w:val="none"/>
          <w:lang w:eastAsia="zh-CN"/>
        </w:rPr>
        <w:t>他</w:t>
      </w:r>
      <w:r>
        <w:rPr>
          <w:rFonts w:hint="eastAsia" w:ascii="宋体" w:hAnsi="宋体"/>
          <w:color w:val="auto"/>
          <w:sz w:val="24"/>
          <w:szCs w:val="24"/>
          <w:highlight w:val="none"/>
        </w:rPr>
        <w:t>需要提交的资格审查证明材料。</w:t>
      </w:r>
    </w:p>
    <w:p w14:paraId="4E9160B4">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F92CEC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0E1409C1">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31C6F9F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396F81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5CE654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A0FF456">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11D732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rPr>
        <w:t>）</w:t>
      </w:r>
    </w:p>
    <w:p w14:paraId="51D6F52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10</w:t>
      </w:r>
      <w:r>
        <w:rPr>
          <w:rFonts w:ascii="Times New Roman" w:hAnsi="Times New Roman"/>
          <w:color w:val="auto"/>
          <w:sz w:val="24"/>
          <w:szCs w:val="21"/>
          <w:highlight w:val="none"/>
        </w:rPr>
        <w:t>）</w:t>
      </w:r>
    </w:p>
    <w:p w14:paraId="3E86F703">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11</w:t>
      </w:r>
      <w:r>
        <w:rPr>
          <w:rFonts w:ascii="Times New Roman" w:hAnsi="Times New Roman"/>
          <w:color w:val="auto"/>
          <w:sz w:val="24"/>
          <w:szCs w:val="21"/>
          <w:highlight w:val="none"/>
          <w:lang w:val="zh-CN"/>
        </w:rPr>
        <w:t>）</w:t>
      </w:r>
    </w:p>
    <w:bookmarkEnd w:id="187"/>
    <w:bookmarkEnd w:id="188"/>
    <w:bookmarkEnd w:id="194"/>
    <w:bookmarkEnd w:id="195"/>
    <w:bookmarkEnd w:id="196"/>
    <w:p w14:paraId="19F8B086">
      <w:pPr>
        <w:rPr>
          <w:rFonts w:ascii="Times New Roman" w:hAnsi="Times New Roman"/>
          <w:b/>
          <w:color w:val="auto"/>
          <w:sz w:val="24"/>
          <w:szCs w:val="21"/>
          <w:highlight w:val="none"/>
        </w:rPr>
      </w:pPr>
    </w:p>
    <w:p w14:paraId="46C3D943">
      <w:pPr>
        <w:rPr>
          <w:rFonts w:ascii="Times New Roman" w:hAnsi="Times New Roman"/>
          <w:b/>
          <w:color w:val="auto"/>
          <w:sz w:val="24"/>
          <w:szCs w:val="21"/>
          <w:highlight w:val="none"/>
        </w:rPr>
      </w:pPr>
    </w:p>
    <w:p w14:paraId="2D6DD172">
      <w:pPr>
        <w:rPr>
          <w:rFonts w:ascii="Times New Roman" w:hAnsi="Times New Roman"/>
          <w:b/>
          <w:color w:val="auto"/>
          <w:sz w:val="24"/>
          <w:szCs w:val="21"/>
          <w:highlight w:val="none"/>
        </w:rPr>
      </w:pPr>
    </w:p>
    <w:p w14:paraId="48A59D94">
      <w:pPr>
        <w:rPr>
          <w:rFonts w:ascii="Times New Roman" w:hAnsi="Times New Roman"/>
          <w:b/>
          <w:color w:val="auto"/>
          <w:sz w:val="24"/>
          <w:szCs w:val="21"/>
          <w:highlight w:val="none"/>
        </w:rPr>
      </w:pPr>
    </w:p>
    <w:p w14:paraId="2E5366DD">
      <w:pPr>
        <w:rPr>
          <w:rFonts w:ascii="Times New Roman" w:hAnsi="Times New Roman"/>
          <w:b/>
          <w:color w:val="auto"/>
          <w:sz w:val="24"/>
          <w:szCs w:val="21"/>
          <w:highlight w:val="none"/>
        </w:rPr>
      </w:pPr>
    </w:p>
    <w:p w14:paraId="32A05933">
      <w:pPr>
        <w:rPr>
          <w:rFonts w:ascii="Times New Roman" w:hAnsi="Times New Roman"/>
          <w:b/>
          <w:color w:val="auto"/>
          <w:sz w:val="24"/>
          <w:szCs w:val="21"/>
          <w:highlight w:val="none"/>
        </w:rPr>
      </w:pPr>
    </w:p>
    <w:p w14:paraId="1B3B8B43">
      <w:pPr>
        <w:rPr>
          <w:rFonts w:ascii="Times New Roman" w:hAnsi="Times New Roman"/>
          <w:b/>
          <w:color w:val="auto"/>
          <w:sz w:val="24"/>
          <w:szCs w:val="21"/>
          <w:highlight w:val="none"/>
        </w:rPr>
      </w:pPr>
    </w:p>
    <w:p w14:paraId="70422763">
      <w:pPr>
        <w:rPr>
          <w:rFonts w:ascii="Times New Roman" w:hAnsi="Times New Roman"/>
          <w:b/>
          <w:color w:val="auto"/>
          <w:sz w:val="24"/>
          <w:szCs w:val="21"/>
          <w:highlight w:val="none"/>
        </w:rPr>
      </w:pPr>
    </w:p>
    <w:p w14:paraId="7D49EB6A">
      <w:pPr>
        <w:rPr>
          <w:rFonts w:ascii="Times New Roman" w:hAnsi="Times New Roman"/>
          <w:b/>
          <w:color w:val="auto"/>
          <w:sz w:val="24"/>
          <w:szCs w:val="21"/>
          <w:highlight w:val="none"/>
        </w:rPr>
      </w:pPr>
    </w:p>
    <w:p w14:paraId="6C2AA8AF">
      <w:pPr>
        <w:rPr>
          <w:rFonts w:ascii="Times New Roman" w:hAnsi="Times New Roman"/>
          <w:b/>
          <w:color w:val="auto"/>
          <w:sz w:val="24"/>
          <w:szCs w:val="21"/>
          <w:highlight w:val="none"/>
        </w:rPr>
      </w:pPr>
    </w:p>
    <w:p w14:paraId="51E47B82">
      <w:pPr>
        <w:rPr>
          <w:rFonts w:ascii="Times New Roman" w:hAnsi="Times New Roman"/>
          <w:b/>
          <w:color w:val="auto"/>
          <w:sz w:val="24"/>
          <w:szCs w:val="21"/>
          <w:highlight w:val="none"/>
        </w:rPr>
      </w:pPr>
    </w:p>
    <w:p w14:paraId="3259E9A2">
      <w:pPr>
        <w:rPr>
          <w:rFonts w:ascii="Times New Roman" w:hAnsi="Times New Roman"/>
          <w:b/>
          <w:color w:val="auto"/>
          <w:sz w:val="24"/>
          <w:szCs w:val="21"/>
          <w:highlight w:val="none"/>
        </w:rPr>
      </w:pPr>
    </w:p>
    <w:p w14:paraId="5B125E97">
      <w:pPr>
        <w:rPr>
          <w:rFonts w:ascii="Times New Roman" w:hAnsi="Times New Roman"/>
          <w:b/>
          <w:color w:val="auto"/>
          <w:sz w:val="24"/>
          <w:szCs w:val="21"/>
          <w:highlight w:val="none"/>
        </w:rPr>
      </w:pPr>
    </w:p>
    <w:p w14:paraId="4DF820B7">
      <w:pPr>
        <w:rPr>
          <w:rFonts w:ascii="Times New Roman" w:hAnsi="Times New Roman"/>
          <w:b/>
          <w:color w:val="auto"/>
          <w:sz w:val="24"/>
          <w:szCs w:val="21"/>
          <w:highlight w:val="none"/>
        </w:rPr>
      </w:pPr>
    </w:p>
    <w:p w14:paraId="30E928CD">
      <w:pPr>
        <w:rPr>
          <w:rFonts w:ascii="Times New Roman" w:hAnsi="Times New Roman"/>
          <w:b/>
          <w:color w:val="auto"/>
          <w:sz w:val="24"/>
          <w:szCs w:val="21"/>
          <w:highlight w:val="none"/>
        </w:rPr>
      </w:pPr>
    </w:p>
    <w:p w14:paraId="76FDCADE">
      <w:pPr>
        <w:rPr>
          <w:rFonts w:ascii="Times New Roman" w:hAnsi="Times New Roman"/>
          <w:b/>
          <w:color w:val="auto"/>
          <w:sz w:val="24"/>
          <w:szCs w:val="21"/>
          <w:highlight w:val="none"/>
        </w:rPr>
      </w:pPr>
    </w:p>
    <w:p w14:paraId="09C543CF">
      <w:pPr>
        <w:rPr>
          <w:rFonts w:ascii="Times New Roman" w:hAnsi="Times New Roman"/>
          <w:b/>
          <w:color w:val="auto"/>
          <w:sz w:val="24"/>
          <w:szCs w:val="21"/>
          <w:highlight w:val="none"/>
        </w:rPr>
      </w:pPr>
    </w:p>
    <w:p w14:paraId="1CE92937">
      <w:pPr>
        <w:rPr>
          <w:rFonts w:ascii="Times New Roman" w:hAnsi="Times New Roman"/>
          <w:b/>
          <w:color w:val="auto"/>
          <w:sz w:val="24"/>
          <w:szCs w:val="21"/>
          <w:highlight w:val="none"/>
        </w:rPr>
      </w:pPr>
    </w:p>
    <w:p w14:paraId="42B61ACF">
      <w:pPr>
        <w:rPr>
          <w:rFonts w:ascii="Times New Roman" w:hAnsi="Times New Roman"/>
          <w:b/>
          <w:color w:val="auto"/>
          <w:sz w:val="24"/>
          <w:szCs w:val="21"/>
          <w:highlight w:val="none"/>
        </w:rPr>
      </w:pPr>
    </w:p>
    <w:p w14:paraId="4709AD29">
      <w:pPr>
        <w:rPr>
          <w:rFonts w:ascii="Times New Roman" w:hAnsi="Times New Roman"/>
          <w:b/>
          <w:color w:val="auto"/>
          <w:sz w:val="24"/>
          <w:szCs w:val="21"/>
          <w:highlight w:val="none"/>
        </w:rPr>
      </w:pPr>
    </w:p>
    <w:p w14:paraId="6372B40C">
      <w:pPr>
        <w:rPr>
          <w:rFonts w:ascii="Times New Roman" w:hAnsi="Times New Roman"/>
          <w:b/>
          <w:color w:val="auto"/>
          <w:sz w:val="24"/>
          <w:szCs w:val="21"/>
          <w:highlight w:val="none"/>
        </w:rPr>
      </w:pPr>
    </w:p>
    <w:p w14:paraId="740EAB86">
      <w:pPr>
        <w:rPr>
          <w:rFonts w:ascii="Times New Roman" w:hAnsi="Times New Roman"/>
          <w:b/>
          <w:color w:val="auto"/>
          <w:sz w:val="24"/>
          <w:szCs w:val="21"/>
          <w:highlight w:val="none"/>
        </w:rPr>
      </w:pPr>
    </w:p>
    <w:p w14:paraId="3F54F084">
      <w:pPr>
        <w:rPr>
          <w:rFonts w:ascii="Times New Roman" w:hAnsi="Times New Roman"/>
          <w:b/>
          <w:color w:val="auto"/>
          <w:sz w:val="24"/>
          <w:szCs w:val="21"/>
          <w:highlight w:val="none"/>
        </w:rPr>
      </w:pPr>
    </w:p>
    <w:p w14:paraId="3DE5475E">
      <w:pPr>
        <w:rPr>
          <w:rFonts w:ascii="Times New Roman" w:hAnsi="Times New Roman"/>
          <w:b/>
          <w:color w:val="auto"/>
          <w:sz w:val="24"/>
          <w:szCs w:val="21"/>
          <w:highlight w:val="none"/>
        </w:rPr>
      </w:pPr>
    </w:p>
    <w:p w14:paraId="5EFAC6A6">
      <w:pPr>
        <w:rPr>
          <w:rFonts w:ascii="Times New Roman" w:hAnsi="Times New Roman"/>
          <w:b/>
          <w:color w:val="auto"/>
          <w:sz w:val="24"/>
          <w:szCs w:val="21"/>
          <w:highlight w:val="none"/>
        </w:rPr>
      </w:pPr>
    </w:p>
    <w:p w14:paraId="711A7D20">
      <w:pPr>
        <w:rPr>
          <w:rFonts w:ascii="Times New Roman" w:hAnsi="Times New Roman"/>
          <w:b/>
          <w:color w:val="auto"/>
          <w:sz w:val="24"/>
          <w:szCs w:val="21"/>
          <w:highlight w:val="none"/>
        </w:rPr>
      </w:pPr>
    </w:p>
    <w:p w14:paraId="57518724">
      <w:pPr>
        <w:rPr>
          <w:rFonts w:ascii="Times New Roman" w:hAnsi="Times New Roman"/>
          <w:b/>
          <w:color w:val="auto"/>
          <w:sz w:val="24"/>
          <w:szCs w:val="21"/>
          <w:highlight w:val="none"/>
        </w:rPr>
      </w:pPr>
    </w:p>
    <w:p w14:paraId="04732AC2">
      <w:pPr>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772F09EB">
      <w:pPr>
        <w:spacing w:line="360" w:lineRule="auto"/>
        <w:jc w:val="center"/>
        <w:rPr>
          <w:rFonts w:ascii="Times New Roman" w:hAnsi="Times New Roman" w:eastAsia="宋体"/>
          <w:b/>
          <w:color w:val="auto"/>
          <w:sz w:val="24"/>
          <w:szCs w:val="24"/>
          <w:highlight w:val="none"/>
        </w:rPr>
      </w:pPr>
      <w:r>
        <w:rPr>
          <w:rFonts w:hint="eastAsia" w:ascii="宋体" w:hAnsi="宋体" w:cs="宋体"/>
          <w:b/>
          <w:color w:val="auto"/>
          <w:sz w:val="28"/>
          <w:szCs w:val="28"/>
          <w:highlight w:val="none"/>
        </w:rPr>
        <w:t>分项报价表</w:t>
      </w:r>
    </w:p>
    <w:p w14:paraId="0DDE24B6">
      <w:pPr>
        <w:pStyle w:val="20"/>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 项目名称：如东县丰利中学校舍维修改造及行政楼出新工程【修缮土建】     单位：元                </w:t>
      </w:r>
    </w:p>
    <w:p w14:paraId="6B2350E5">
      <w:pPr>
        <w:pStyle w:val="20"/>
        <w:rPr>
          <w:rFonts w:hint="eastAsia" w:ascii="Times New Roman" w:hAnsi="Times New Roman" w:eastAsia="宋体"/>
          <w:b/>
          <w:color w:val="auto"/>
          <w:sz w:val="24"/>
          <w:szCs w:val="24"/>
          <w:highlight w:val="none"/>
          <w:lang w:val="en-US" w:eastAsia="zh-CN"/>
        </w:rPr>
      </w:pPr>
    </w:p>
    <w:tbl>
      <w:tblPr>
        <w:tblStyle w:val="44"/>
        <w:tblW w:w="8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1466"/>
        <w:gridCol w:w="2124"/>
        <w:gridCol w:w="972"/>
        <w:gridCol w:w="879"/>
        <w:gridCol w:w="1164"/>
        <w:gridCol w:w="1064"/>
      </w:tblGrid>
      <w:tr w14:paraId="708D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972"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672E69C8">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097F55B">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12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700542B">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7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EDBD1D5">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664A9B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228"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43D5B505">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36EF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blHeader/>
          <w:jc w:val="center"/>
        </w:trPr>
        <w:tc>
          <w:tcPr>
            <w:tcW w:w="972"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E920C43">
            <w:pPr>
              <w:jc w:val="center"/>
              <w:rPr>
                <w:rFonts w:hint="eastAsia" w:ascii="黑体" w:hAnsi="宋体" w:eastAsia="黑体" w:cs="黑体"/>
                <w:b/>
                <w:bCs/>
                <w:i w:val="0"/>
                <w:iCs w:val="0"/>
                <w:color w:val="auto"/>
                <w:sz w:val="18"/>
                <w:szCs w:val="18"/>
                <w:highlight w:val="none"/>
                <w:u w:val="none"/>
              </w:rPr>
            </w:pPr>
          </w:p>
        </w:tc>
        <w:tc>
          <w:tcPr>
            <w:tcW w:w="146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1FF8EE8">
            <w:pPr>
              <w:jc w:val="center"/>
              <w:rPr>
                <w:rFonts w:hint="eastAsia" w:ascii="黑体" w:hAnsi="宋体" w:eastAsia="黑体" w:cs="黑体"/>
                <w:b/>
                <w:bCs/>
                <w:i w:val="0"/>
                <w:iCs w:val="0"/>
                <w:color w:val="auto"/>
                <w:sz w:val="18"/>
                <w:szCs w:val="18"/>
                <w:highlight w:val="none"/>
                <w:u w:val="none"/>
              </w:rPr>
            </w:pPr>
          </w:p>
        </w:tc>
        <w:tc>
          <w:tcPr>
            <w:tcW w:w="212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DFEBEA8">
            <w:pPr>
              <w:jc w:val="center"/>
              <w:rPr>
                <w:rFonts w:hint="eastAsia" w:ascii="黑体" w:hAnsi="宋体" w:eastAsia="黑体" w:cs="黑体"/>
                <w:b/>
                <w:bCs/>
                <w:i w:val="0"/>
                <w:iCs w:val="0"/>
                <w:color w:val="auto"/>
                <w:sz w:val="18"/>
                <w:szCs w:val="18"/>
                <w:highlight w:val="none"/>
                <w:u w:val="none"/>
              </w:rPr>
            </w:pPr>
          </w:p>
        </w:tc>
        <w:tc>
          <w:tcPr>
            <w:tcW w:w="97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130AA6E">
            <w:pPr>
              <w:jc w:val="center"/>
              <w:rPr>
                <w:rFonts w:hint="eastAsia" w:ascii="黑体" w:hAnsi="宋体" w:eastAsia="黑体" w:cs="黑体"/>
                <w:b/>
                <w:bCs/>
                <w:i w:val="0"/>
                <w:iCs w:val="0"/>
                <w:color w:val="auto"/>
                <w:sz w:val="18"/>
                <w:szCs w:val="18"/>
                <w:highlight w:val="none"/>
                <w:u w:val="none"/>
              </w:rPr>
            </w:pPr>
          </w:p>
        </w:tc>
        <w:tc>
          <w:tcPr>
            <w:tcW w:w="87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207BECD">
            <w:pPr>
              <w:jc w:val="center"/>
              <w:rPr>
                <w:rFonts w:hint="eastAsia" w:ascii="黑体" w:hAnsi="宋体" w:eastAsia="黑体" w:cs="黑体"/>
                <w:b/>
                <w:bCs/>
                <w:i w:val="0"/>
                <w:iCs w:val="0"/>
                <w:color w:val="auto"/>
                <w:sz w:val="18"/>
                <w:szCs w:val="18"/>
                <w:highlight w:val="none"/>
                <w:u w:val="none"/>
              </w:rPr>
            </w:pP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61EC4">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D790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73E0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72"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15E7417">
            <w:pPr>
              <w:jc w:val="center"/>
              <w:rPr>
                <w:rFonts w:hint="eastAsia" w:ascii="黑体" w:hAnsi="宋体" w:eastAsia="黑体" w:cs="黑体"/>
                <w:b/>
                <w:bCs/>
                <w:i w:val="0"/>
                <w:iCs w:val="0"/>
                <w:color w:val="auto"/>
                <w:sz w:val="18"/>
                <w:szCs w:val="18"/>
                <w:highlight w:val="none"/>
                <w:u w:val="none"/>
              </w:rPr>
            </w:pPr>
          </w:p>
        </w:tc>
        <w:tc>
          <w:tcPr>
            <w:tcW w:w="146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65FC233">
            <w:pPr>
              <w:jc w:val="center"/>
              <w:rPr>
                <w:rFonts w:hint="eastAsia" w:ascii="黑体" w:hAnsi="宋体" w:eastAsia="黑体" w:cs="黑体"/>
                <w:b/>
                <w:bCs/>
                <w:i w:val="0"/>
                <w:iCs w:val="0"/>
                <w:color w:val="auto"/>
                <w:sz w:val="18"/>
                <w:szCs w:val="18"/>
                <w:highlight w:val="none"/>
                <w:u w:val="none"/>
              </w:rPr>
            </w:pPr>
          </w:p>
        </w:tc>
        <w:tc>
          <w:tcPr>
            <w:tcW w:w="212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7CAEF3C">
            <w:pPr>
              <w:jc w:val="center"/>
              <w:rPr>
                <w:rFonts w:hint="eastAsia" w:ascii="黑体" w:hAnsi="宋体" w:eastAsia="黑体" w:cs="黑体"/>
                <w:b/>
                <w:bCs/>
                <w:i w:val="0"/>
                <w:iCs w:val="0"/>
                <w:color w:val="auto"/>
                <w:sz w:val="18"/>
                <w:szCs w:val="18"/>
                <w:highlight w:val="none"/>
                <w:u w:val="none"/>
              </w:rPr>
            </w:pPr>
          </w:p>
        </w:tc>
        <w:tc>
          <w:tcPr>
            <w:tcW w:w="97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D17DEE3">
            <w:pPr>
              <w:jc w:val="center"/>
              <w:rPr>
                <w:rFonts w:hint="eastAsia" w:ascii="黑体" w:hAnsi="宋体" w:eastAsia="黑体" w:cs="黑体"/>
                <w:b/>
                <w:bCs/>
                <w:i w:val="0"/>
                <w:iCs w:val="0"/>
                <w:color w:val="auto"/>
                <w:sz w:val="18"/>
                <w:szCs w:val="18"/>
                <w:highlight w:val="none"/>
                <w:u w:val="none"/>
              </w:rPr>
            </w:pPr>
          </w:p>
        </w:tc>
        <w:tc>
          <w:tcPr>
            <w:tcW w:w="87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8D34E74">
            <w:pPr>
              <w:jc w:val="center"/>
              <w:rPr>
                <w:rFonts w:hint="eastAsia" w:ascii="黑体" w:hAnsi="宋体" w:eastAsia="黑体" w:cs="黑体"/>
                <w:b/>
                <w:bCs/>
                <w:i w:val="0"/>
                <w:iCs w:val="0"/>
                <w:color w:val="auto"/>
                <w:sz w:val="18"/>
                <w:szCs w:val="18"/>
                <w:highlight w:val="none"/>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E6FF7">
            <w:pPr>
              <w:jc w:val="center"/>
              <w:rPr>
                <w:rFonts w:hint="eastAsia" w:ascii="黑体" w:hAnsi="宋体" w:eastAsia="黑体" w:cs="黑体"/>
                <w:b/>
                <w:bCs/>
                <w:i w:val="0"/>
                <w:iCs w:val="0"/>
                <w:color w:val="auto"/>
                <w:sz w:val="18"/>
                <w:szCs w:val="18"/>
                <w:highlight w:val="none"/>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CE33C">
            <w:pPr>
              <w:jc w:val="center"/>
              <w:rPr>
                <w:rFonts w:hint="eastAsia" w:ascii="黑体" w:hAnsi="宋体" w:eastAsia="黑体" w:cs="黑体"/>
                <w:b/>
                <w:bCs/>
                <w:i w:val="0"/>
                <w:iCs w:val="0"/>
                <w:color w:val="auto"/>
                <w:sz w:val="18"/>
                <w:szCs w:val="18"/>
                <w:highlight w:val="none"/>
                <w:u w:val="none"/>
              </w:rPr>
            </w:pPr>
          </w:p>
        </w:tc>
      </w:tr>
      <w:tr w14:paraId="4C47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90B6DA">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89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98BA">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6D66">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7F3F">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9675">
            <w:pPr>
              <w:jc w:val="right"/>
              <w:rPr>
                <w:rFonts w:hint="eastAsia" w:ascii="宋体" w:hAnsi="宋体" w:eastAsia="宋体" w:cs="宋体"/>
                <w:i w:val="0"/>
                <w:iCs w:val="0"/>
                <w:color w:val="auto"/>
                <w:sz w:val="18"/>
                <w:szCs w:val="18"/>
                <w:highlight w:val="none"/>
                <w:u w:val="none"/>
              </w:rPr>
            </w:pPr>
          </w:p>
        </w:tc>
      </w:tr>
      <w:tr w14:paraId="5400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97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BC68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2D7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铝合金段滑门</w:t>
            </w: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7FA0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1、铝合金段滑门，高1.6m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2、上梁：铝合金6063-T5  135*65*（2-5）mm；下梁：铝合金6063-T5  142*65（2-5）mm；立柱：铝合金6063-T5  92*80*2.0mm；竖条：铝合金6063-T5  40*20*2.0mm；底档：铝合金6063-T5  150*80*2.8mm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机、控制器、遥控器、分段门电机专用控制板：产品可通过外置遥控接收或手动控制的控制盒，控制盒接收动作命令后，通过有线输送到电箱内。避免电箱屏蔽或建筑物信号折射弊端，实现动作的准确、及时、门体动作时，当检测到开、关限位信号，门体会自动停止动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4、红外防撞：在关门运行状态下，智能红外线防撞遇人或物可自动停止运行。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5、紧急停止：在运行状态下，遇到紧急情况，可以快速通过紧急停止开关切断电源。实现紧急停止，确保安全。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6、电机热保护：电机温度达到120℃或者运行达到设定时间，电机会停止工作。保护电机使用寿命。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7、手动离合：门体装有手动离合装置，停电或检修时，可打开离合手柄，然后发手动方式推拉门。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8、电机制动安全锁：门体在停止状态，通过减速箱的涡轮蜗杆机构，实现门体自锁，外力不能推开。</w:t>
            </w:r>
            <w:r>
              <w:rPr>
                <w:rFonts w:hint="eastAsia" w:ascii="宋体" w:hAnsi="宋体" w:eastAsia="宋体" w:cs="宋体"/>
                <w:i w:val="0"/>
                <w:iCs w:val="0"/>
                <w:color w:val="auto"/>
                <w:kern w:val="0"/>
                <w:sz w:val="18"/>
                <w:szCs w:val="18"/>
                <w:highlight w:val="none"/>
                <w:u w:val="none"/>
                <w:lang w:val="en-US" w:eastAsia="zh-CN" w:bidi="ar"/>
              </w:rPr>
              <w:br w:type="textWrapping"/>
            </w:r>
          </w:p>
          <w:p w14:paraId="14C438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9、漏电保护系统：产品带有漏电保护功能，能对控制系统接地过流过压保护。（通过国家3C认证）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10、滚动屏：门体机头部分正面装有滚动屏。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11、含安装、调试</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343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84D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5BE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695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E5C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7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974E61">
            <w:pPr>
              <w:jc w:val="center"/>
              <w:rPr>
                <w:rFonts w:hint="eastAsia" w:ascii="宋体" w:hAnsi="宋体" w:eastAsia="宋体" w:cs="宋体"/>
                <w:i w:val="0"/>
                <w:iCs w:val="0"/>
                <w:color w:val="auto"/>
                <w:sz w:val="18"/>
                <w:szCs w:val="18"/>
                <w:highlight w:val="none"/>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D29D">
            <w:pPr>
              <w:jc w:val="left"/>
              <w:rPr>
                <w:rFonts w:hint="eastAsia" w:ascii="宋体" w:hAnsi="宋体" w:eastAsia="宋体" w:cs="宋体"/>
                <w:i w:val="0"/>
                <w:iCs w:val="0"/>
                <w:color w:val="auto"/>
                <w:sz w:val="18"/>
                <w:szCs w:val="18"/>
                <w:highlight w:val="none"/>
                <w:u w:val="none"/>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F8BF">
            <w:pPr>
              <w:jc w:val="left"/>
              <w:rPr>
                <w:rFonts w:hint="eastAsia" w:ascii="宋体" w:hAnsi="宋体" w:eastAsia="宋体" w:cs="宋体"/>
                <w:i w:val="0"/>
                <w:iCs w:val="0"/>
                <w:color w:val="auto"/>
                <w:sz w:val="18"/>
                <w:szCs w:val="18"/>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36FF">
            <w:pPr>
              <w:jc w:val="center"/>
              <w:rPr>
                <w:rFonts w:hint="eastAsia" w:ascii="宋体" w:hAnsi="宋体" w:eastAsia="宋体" w:cs="宋体"/>
                <w:i w:val="0"/>
                <w:iCs w:val="0"/>
                <w:color w:val="auto"/>
                <w:sz w:val="18"/>
                <w:szCs w:val="18"/>
                <w:highlight w:val="none"/>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E7520">
            <w:pPr>
              <w:jc w:val="right"/>
              <w:rPr>
                <w:rFonts w:hint="eastAsia" w:ascii="宋体" w:hAnsi="宋体" w:eastAsia="宋体" w:cs="宋体"/>
                <w:i w:val="0"/>
                <w:iCs w:val="0"/>
                <w:color w:val="auto"/>
                <w:sz w:val="18"/>
                <w:szCs w:val="18"/>
                <w:highlight w:val="none"/>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AEC7">
            <w:pPr>
              <w:jc w:val="right"/>
              <w:rPr>
                <w:rFonts w:hint="eastAsia" w:ascii="宋体" w:hAnsi="宋体" w:eastAsia="宋体" w:cs="宋体"/>
                <w:i w:val="0"/>
                <w:iCs w:val="0"/>
                <w:color w:val="auto"/>
                <w:sz w:val="18"/>
                <w:szCs w:val="18"/>
                <w:highlight w:val="none"/>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8E4D">
            <w:pPr>
              <w:jc w:val="right"/>
              <w:rPr>
                <w:rFonts w:hint="eastAsia" w:ascii="宋体" w:hAnsi="宋体" w:eastAsia="宋体" w:cs="宋体"/>
                <w:i w:val="0"/>
                <w:iCs w:val="0"/>
                <w:color w:val="auto"/>
                <w:sz w:val="18"/>
                <w:szCs w:val="18"/>
                <w:highlight w:val="none"/>
                <w:u w:val="none"/>
              </w:rPr>
            </w:pPr>
          </w:p>
        </w:tc>
      </w:tr>
      <w:tr w14:paraId="562B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D9237F">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2A7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学生公寓、食堂、阅览室、行政楼外立面改造</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04EA">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3DDF">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A490">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835D">
            <w:pPr>
              <w:jc w:val="right"/>
              <w:rPr>
                <w:rFonts w:hint="eastAsia" w:ascii="宋体" w:hAnsi="宋体" w:eastAsia="宋体" w:cs="宋体"/>
                <w:i w:val="0"/>
                <w:iCs w:val="0"/>
                <w:color w:val="auto"/>
                <w:sz w:val="18"/>
                <w:szCs w:val="18"/>
                <w:highlight w:val="none"/>
                <w:u w:val="none"/>
              </w:rPr>
            </w:pPr>
          </w:p>
        </w:tc>
      </w:tr>
      <w:tr w14:paraId="684C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1077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FF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铲除涂料面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70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1、铲除外墙涂料含腻子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3、工程量须现场按实计量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4、部位：阅览室南立面、东西立面；行政楼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6C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9F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2715.69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415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48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7AA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92C5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5F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F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1、空鼓墙砖及粘接层凿除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2、用素水泥加901胶甩浆,20厚1:2.5防水砂浆(防水剂掺量3%-5%)修补找平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2、工程量为暂估，具体工程量按实结算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2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B6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C2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9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486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013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5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D62B">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1、原墙砖墙面基层清理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2、高级柔性外墙瓷砖翻新腻子三遍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3、耐碱玻纤网格布一层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4、防水腻子层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5、锟涂外墙抗碱封闭底漆一遍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6、放样标线、贴线条胶带，水包砂中涂漆一遍，面漆一遍，黑色分隔缝，颜色与现场已施工墙面一致(采用低(无)Vocs含量涂料,涂料燃烧等级为A级)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7、去除线条胶带、打磨，全面喷涂透明罩光面漆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8、部位：原墙面砖外墙面不拆除直接做水包砂部位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9、注：原墙面含窗洞四周、门洞三周、墙身部位线条及外墙立面所有部位。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注：施工过程中所涉及到外墙面空调外机、广播系统、监控系统、排水管等（空调外机的拆除，需要收集好冷冻液，确保施工结束后，恢复安装空调外机后，空调能正常制冷工作）,均在施工完成后恢复至原状，施工单位自行探勘现场，综合考虑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13、工程量须现场按实计量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14、建议品牌：立邦、美涂士、三棵树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15、部位：学生公寓4北立面、东立面；学生公寓2、3东立面；连接学生公寓2、3、4围墙及传达室；食堂西立面</w:t>
            </w:r>
            <w:r>
              <w:rPr>
                <w:rFonts w:hint="eastAsia" w:ascii="宋体" w:hAnsi="宋体" w:cs="宋体"/>
                <w:i w:val="0"/>
                <w:iCs w:val="0"/>
                <w:color w:val="auto"/>
                <w:kern w:val="0"/>
                <w:sz w:val="18"/>
                <w:szCs w:val="18"/>
                <w:highlight w:val="none"/>
                <w:u w:val="none"/>
                <w:lang w:val="en-US" w:eastAsia="zh-CN" w:bidi="ar"/>
              </w:rPr>
              <w:t>，颜色由招标人确定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BD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1757.96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14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FD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8C3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8"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8451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7B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0A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1、防水腻子层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2、外墙抗碱封闭底漆一遍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3、放样标线、贴线条胶带，水包砂中涂漆一遍，面漆一遍，黑色分隔缝，颜色与现场已施工墙面一致(采用低(无)Vocs含量涂料,涂料燃烧等级为A级)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4、去除线条胶带、打磨，全面喷涂透明罩光面漆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5、注：原墙面含窗洞四周、门洞三周、墙身部位线条及外墙立面所有部位。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注：施工过程中所涉及到外墙面空调外机、广播系统、监控系统、排水管等（空调外机的拆除，需要收集好冷冻液，确保施工结束后，恢复安装空调外机后，空调能正常制冷工作）,均在施工完成后恢复至原状，施工单位自行探勘现场，综合考虑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7、工程量须现场按实计量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8、部位：阅览室南立面、东西立面；行政楼</w:t>
            </w:r>
            <w:r>
              <w:rPr>
                <w:rFonts w:hint="eastAsia" w:ascii="宋体" w:hAnsi="宋体" w:cs="宋体"/>
                <w:i w:val="0"/>
                <w:iCs w:val="0"/>
                <w:color w:val="auto"/>
                <w:kern w:val="0"/>
                <w:sz w:val="18"/>
                <w:szCs w:val="18"/>
                <w:highlight w:val="none"/>
                <w:u w:val="none"/>
                <w:lang w:val="en-US" w:eastAsia="zh-CN" w:bidi="ar"/>
              </w:rPr>
              <w:t>，颜色由招标人确定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2B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F6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2715.69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2E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D22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6D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AF5B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91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8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1、基层类型:原乳胶漆天棚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2、腻子种类:剥落基层处理，补刮白水泥腻子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3、涂料品种、喷刷遍数:外墙乳胶漆二道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4、部位：外墙雨蓬、檐沟底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5、建议品牌：立邦、多乐士、三棵树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6、工程量须现场按实计量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8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B8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55.74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1A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1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DF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123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A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玻璃幕墙及玻璃雨篷清洗</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6F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1、玻璃幕墙及玻璃雨篷清洗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2、含结构检修与清洗，检查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2、清洗过程中注意安全防护及幕墙保护，施工单位自行踏勘现场后综合考虑施工方案报价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8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8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174.35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F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78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226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BB0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20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网架油漆出新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15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1、网架钢结构出新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2、原表面未剥落油漆层清除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3、砂纸打磨钢结构面层，除锈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4、环氧带锈防锈漆双组份防腐涂料二道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5、聚氨酯(双组份)面漆一遍（颜色由招标人指定）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6、计量:以雨篷垂直投影面积为清单工程量，各投标人报价时踏勘现场，综合考虑网架出新费用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F4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4C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85.67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DB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CE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4F6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0B8A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DB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混凝土构件拆除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6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1、拆除食堂顶构架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3、拆除过程中注意安全防护及外窗保护</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E9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FB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2E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65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A11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B90E21">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EF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行政楼屋面防水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38F3">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E76">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D88A">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D724">
            <w:pPr>
              <w:jc w:val="right"/>
              <w:rPr>
                <w:rFonts w:hint="eastAsia" w:ascii="宋体" w:hAnsi="宋体" w:eastAsia="宋体" w:cs="宋体"/>
                <w:i w:val="0"/>
                <w:iCs w:val="0"/>
                <w:color w:val="auto"/>
                <w:sz w:val="18"/>
                <w:szCs w:val="18"/>
                <w:highlight w:val="none"/>
                <w:u w:val="none"/>
              </w:rPr>
            </w:pPr>
          </w:p>
        </w:tc>
      </w:tr>
      <w:tr w14:paraId="4131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1B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EA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22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1、防水层种类:防水卷材拆除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D1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C5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565.78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B7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21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F5B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283F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7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屋面卷材防水</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7F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1、卷材品种、规格、厚度:3厚SBS改性沥青防水卷材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2、热熔满铺，铺贴前屋面清理干净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3、建议品牌：科顺、德高、雨虹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F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3A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565.78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B9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82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0B6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CD085E">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EAC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启航楼防水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37EE">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017C">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E3A9">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04BE">
            <w:pPr>
              <w:jc w:val="right"/>
              <w:rPr>
                <w:rFonts w:hint="eastAsia" w:ascii="宋体" w:hAnsi="宋体" w:eastAsia="宋体" w:cs="宋体"/>
                <w:i w:val="0"/>
                <w:iCs w:val="0"/>
                <w:color w:val="auto"/>
                <w:sz w:val="18"/>
                <w:szCs w:val="18"/>
                <w:highlight w:val="none"/>
                <w:u w:val="none"/>
              </w:rPr>
            </w:pPr>
          </w:p>
        </w:tc>
      </w:tr>
      <w:tr w14:paraId="63DB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8476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74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平面抹灰层拆除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36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1、凿除松动空鼓屋面保护层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6C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70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143.45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E4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F6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828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F150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4F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立面抹灰层拆除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D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1、凿除松动空鼓屋面保护层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E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FE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59.85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E1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C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27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46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B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B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1、女儿墙裸露钢筋除锈处理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2、界面剂一道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3、15厚1:3水泥砂浆找平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4、部位：女儿墙</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95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A8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59.85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F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5D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824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3FF9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96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屋面修补</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2B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1、道路快速修补料修补屋面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B4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05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239.08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0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03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2E5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38B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2C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屋面卷材防水</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62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1、卷材品种、规格、厚度:3厚SBS改性沥青防水卷材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2、热熔满铺，铺贴前屋面清理干净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3、建议品牌：科顺、德高、雨虹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3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0C1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05C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1C2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1E5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A75CB0">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2BF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塑德楼门更换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FECD">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98A">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B17B">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CB43">
            <w:pPr>
              <w:jc w:val="right"/>
              <w:rPr>
                <w:rFonts w:hint="eastAsia" w:ascii="宋体" w:hAnsi="宋体" w:eastAsia="宋体" w:cs="宋体"/>
                <w:i w:val="0"/>
                <w:iCs w:val="0"/>
                <w:color w:val="auto"/>
                <w:sz w:val="18"/>
                <w:szCs w:val="18"/>
                <w:highlight w:val="none"/>
                <w:u w:val="none"/>
              </w:rPr>
            </w:pPr>
          </w:p>
        </w:tc>
      </w:tr>
      <w:tr w14:paraId="0CF2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A100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2C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1A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1、拆除需更换的钢质门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3、部位：教学楼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8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792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6A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67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1DB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6DD0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8D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钢质门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9D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1、成品钢木套装门，带透视窗口，钢板厚度不小于2mm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2、含门五金配件、锁具等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3、备注：门1000mm*2200mm，门上侧单层钢化玻璃固定窗，压条采用铝合金，与外立面同色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4、具体颜色、样式等根据招标人指定，施工前需送样确认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5、包含拆除及安装门时损坏瓷砖及墙面的修补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6、部位：教学楼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7、建议品牌：盼盼、顾好、跃龙门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E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64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D0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4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50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FA2463">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FA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行政楼改造</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1141">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B278">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4EF2">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CE67">
            <w:pPr>
              <w:jc w:val="right"/>
              <w:rPr>
                <w:rFonts w:hint="eastAsia" w:ascii="宋体" w:hAnsi="宋体" w:eastAsia="宋体" w:cs="宋体"/>
                <w:i w:val="0"/>
                <w:iCs w:val="0"/>
                <w:color w:val="auto"/>
                <w:sz w:val="18"/>
                <w:szCs w:val="18"/>
                <w:highlight w:val="none"/>
                <w:u w:val="none"/>
              </w:rPr>
            </w:pPr>
          </w:p>
        </w:tc>
      </w:tr>
      <w:tr w14:paraId="5B35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BB2E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B5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金属门窗拆除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34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1、拆除金属卷帘门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2、垃圾外运，残值抵扣外运费用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57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32A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86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7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53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3A84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B6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砌块墙（无水房间）</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1B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1、砌块品种、规格、强度等级:A3.5 B05蒸压粉煤灰加气混凝土砌块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2、墙体类型:外墙200厚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3、砂浆强度等级:M5.0专用砂浆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72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4A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58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E5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1DB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A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EF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1、墙体类型:外墙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2、底层厚度、砂浆配合比:12mm 1:3水泥砂浆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3、面层厚度、砂浆配合比:8mm 1:2.5水泥砂浆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C4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45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E3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9F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3CD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9BC0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9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06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1、部位：砖内墙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2、5厚1：0.3：3水泥石膏砂浆找平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3、12厚1：1：6水泥石膏砂浆打底扫毛</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3F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F3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4B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95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2C5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0F9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FC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抹灰面油漆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16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1、内墙抹灰面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2、901胶白水泥腻子两遍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3、刷乳胶漆两遍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C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F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38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8C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3EE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7E58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A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金属门窗拆除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AA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1、拆除原塑钢窗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2、垃圾外运，残值抵扣外运费用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B0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0B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49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709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9"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91E6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42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金属窗</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08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1、铝合金推拉窗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2、框、扇材质:普通铝合金型材，壁厚不小于1.4mm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3、玻璃品种、厚度:普通中空玻璃（6+9A+6）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4、包含五金配件等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5、部位：南立面所有窗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6、拆除窗时洞口的破损处修补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7、建议品牌：季华、兴发、凤铝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4E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A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136.23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0B2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4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4AC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4B2F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98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金属窗门出新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3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1、钢质防火门出新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2、表面未剥落油漆清除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3、砂纸打磨钢门基层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4、防锈漆一道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5、防火漆两道</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85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DC9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23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46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45D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322A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3E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DA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1、拆除需更换的木门及木门套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2、垃圾外运，残值抵扣外运费用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3、部位：行政楼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8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BA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3E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75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64A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DEC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09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木质门带套</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C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1、成品套装门900*2100（含门套及门套线）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2、五金:304不锈钢执手锁、304不锈钢门吸、304不锈钢合页（3个/门扇）等配套五金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3、颜色、款式送样确认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4、部位：行政楼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5、建议品牌：春天、欧派、圣象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6A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59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24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65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1DD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81D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AD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扶手油漆出新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FD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1、木扶手铁艺栏杆出新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2、表面未剥落油漆层清除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3、砂纸打磨木质扶手面层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4、防锈漆一道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5、调和漆两遍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6、护栏高度1.1m 相关档距、管径现场踏勘自行考虑用量报价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6E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8AF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96.26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7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7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DFD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4C19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E1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C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1、原窗帘及轨道拆除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2、更换铝合金百叶窗帘(成品)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3、垃圾外运，残值抵扣外运费用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8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B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8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58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675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65B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9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92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1、窗帘材质:麻纹梭织双面绒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2、窗帘层数:单层 高度按现场实际情况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3、布料性能要求：色牢度达到GB/T8427-2008，物理遮光，遮光率达95%、抗老化、垂感好、透气、克重量不小于1100克/m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4、制作要求：10公分高精密有纺带、加厚纳米圈外径8.2cm，内径4.2cm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5、阻燃要求：B1级达到GB5022-2017标准中的B1级，化学成分含量不得超过国家最新颁布的相关标准和要求，出具阻燃检测报告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6、说明:清单工程量为窗帘轨长*窗帘高度（具体窗帘折叠部分自行考虑）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7、旧窗帘拆除，垃圾外运，残值抵扣拆除外运费用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0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D1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B3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C1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EA6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4345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A0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A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1、基层类型:原乳胶漆墙面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2、腻子种类:剥落基层处理，补刮白水泥腻子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3、涂料品种、喷刷遍数:内墙乳胶漆二道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5、建议品牌：立邦、多乐士、三棵树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6、工程量须现场按实计量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38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68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5051.5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AA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F0C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514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F7A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8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E5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1、基层类型:原乳胶漆天棚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2、腻子种类:剥落基层处理，补刮白水泥腻子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3、涂料品种、喷刷遍数:内墙乳胶漆二道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5、建议品牌：立邦、多乐士、三棵树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6、工程量须现场按实计量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2F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C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3781.8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B2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9E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EF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BB25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E0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屋面排水管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36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1、更换Φ110 UPVC落水管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C9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3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E23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73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056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1B2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3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石材楼地面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69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1、石材晶面处理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0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13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7A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D7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DB4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356658">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FC9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行政楼卫生间改造</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86D1">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C85">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37EA">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3D21">
            <w:pPr>
              <w:jc w:val="right"/>
              <w:rPr>
                <w:rFonts w:hint="eastAsia" w:ascii="宋体" w:hAnsi="宋体" w:eastAsia="宋体" w:cs="宋体"/>
                <w:i w:val="0"/>
                <w:iCs w:val="0"/>
                <w:color w:val="auto"/>
                <w:sz w:val="18"/>
                <w:szCs w:val="18"/>
                <w:highlight w:val="none"/>
                <w:u w:val="none"/>
              </w:rPr>
            </w:pPr>
          </w:p>
        </w:tc>
      </w:tr>
      <w:tr w14:paraId="5B90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4E82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C2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18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1、拆除需更换的木门套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6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049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98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2C5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1"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C878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E1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金属门套</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B7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1、门代号及洞口尺寸:800mm*2100mm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2、门窗套展开宽度:0.45m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3、面层材料品种、规格:1.2mm304不锈钢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4、18厚木工板基层</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99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E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46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A3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401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5939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9D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金属门窗拆除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B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1、拆除铝合金门，单扇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2、垃圾外运，残值抵扣外运费用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CA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樘</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3F7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E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78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B09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DF3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6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7B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1、单扇铝合金半玻平开门：700mm*2100mm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2、门窗框、扇材质:普通铝合金门窗框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3、玻璃品种、厚度:下部铝合金板，上部8厚钢化玻璃，上贴磨砂膜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4、包含门套、五金、锁具、门吸等配附件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5、铝合金主型材壁厚门不应小于2.0mm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6、具体做法级要求详图纸及图集02J603-1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7、颜色、款式送样确认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8、建议品牌：季华、兴发、凤铝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7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0D6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A3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5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B98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B139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6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零星砌砖</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28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1、零星砌砖名称、部位:包管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2、砖品种、规格、强度等级:混凝土标准砖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3、砂浆强度等级、配合比:混合M5.0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60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55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2A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5E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E52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DB2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68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砖砌体拆除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34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1、拆除蹲便器蹲台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4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EB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73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56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D9D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606C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3F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立面块料拆除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30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1、拆除墙面块料，含基层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CC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311.54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A3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8B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BF0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775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F2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BB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1、拆除原地面地砖，含粘接层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2、垃圾外运，运距施工单位自行考虑，且不得违反垃圾处置相关规定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03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F8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63.73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1E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B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D06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95D7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21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块料楼地面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D6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1、600*600防滑地砖，干水泥擦缝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2、6厚建筑胶水泥砂浆结合层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3、20厚1:3水泥砂浆找平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4、素水泥浆一道（内掺建筑胶）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5、建议品牌：冠珠、亚细亚、东鹏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2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C0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63.73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464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F13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ACF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5168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36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楼（地）面涂膜防水</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4B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1、聚合物水泥防水层1.5厚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2、建议品牌：科顺、德高、雨虹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5C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1F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96.84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4BA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B8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5E5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5F5A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0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1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1、墙面砖300*600，白水泥擦缝，贴前墙砖充分浸湿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2、8厚1:2建筑胶水泥砂浆粘接层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3、12厚1:3水泥砂浆找平层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4、建议品牌：冠珠、亚细亚、东鹏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0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E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311.54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49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72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1EC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8CA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84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镜面玻璃</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B6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1、镜面玻璃品种、规格:6mm防雾银镜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2、高度0.9米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2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2D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9C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A7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502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BCD9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80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C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1、φ6全丝吊杆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2、主龙骨C38*12@≤900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4、300*300（壁厚0.6）铝扣板吊顶,专用吊扣与暗架龙骨连接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5、吊顶高度:H=3m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7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6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63.73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D38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09E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2D0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9DF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AF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洗漱台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AB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1、20厚白色人造石洗漱台，不靠墙面挂板高度为200，与墙面相接处用60高磨边条做泛水。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2、镀锌角钢支架。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3、包含石材开洞、磨边费用等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4、具体做法根据招标人要求确定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5、石材展开面积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4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82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62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79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AD3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479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E4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成品隔断</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6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1、卫生间隔断:1.8M高12mm抗倍特板,成品隔断，门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2、包含不锈钢五金件等</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92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0F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27.72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66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B9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64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6E0C2">
            <w:pPr>
              <w:jc w:val="center"/>
              <w:rPr>
                <w:rFonts w:hint="eastAsia" w:ascii="宋体" w:hAnsi="宋体" w:eastAsia="宋体" w:cs="宋体"/>
                <w:i w:val="0"/>
                <w:iCs w:val="0"/>
                <w:color w:val="auto"/>
                <w:sz w:val="18"/>
                <w:szCs w:val="18"/>
                <w:highlight w:val="none"/>
                <w:u w:val="none"/>
              </w:rPr>
            </w:pPr>
          </w:p>
        </w:tc>
        <w:tc>
          <w:tcPr>
            <w:tcW w:w="3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3B3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零星项目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6FF2">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9137">
            <w:pPr>
              <w:jc w:val="right"/>
              <w:rPr>
                <w:rFonts w:hint="eastAsia" w:ascii="宋体" w:hAnsi="宋体" w:eastAsia="宋体" w:cs="宋体"/>
                <w:i w:val="0"/>
                <w:iCs w:val="0"/>
                <w:color w:val="auto"/>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FBD">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C59B">
            <w:pPr>
              <w:jc w:val="right"/>
              <w:rPr>
                <w:rFonts w:hint="eastAsia" w:ascii="宋体" w:hAnsi="宋体" w:eastAsia="宋体" w:cs="宋体"/>
                <w:i w:val="0"/>
                <w:iCs w:val="0"/>
                <w:color w:val="auto"/>
                <w:sz w:val="18"/>
                <w:szCs w:val="18"/>
                <w:highlight w:val="none"/>
                <w:u w:val="none"/>
              </w:rPr>
            </w:pPr>
          </w:p>
        </w:tc>
      </w:tr>
      <w:tr w14:paraId="3C26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BEC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16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喷泉维修</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BC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1、喷泉池渗漏处维修，喷泉设备检修恢复使用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2、局部增加灯光，具体根据招标人要求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3、费用包干，各投标人自行踏勘现场后报价，实施前与招标人确认方案</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0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E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B3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A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5A3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BDB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A3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堆砌石假山</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33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1、四处假山吊运，吊运至招标人校内指定地点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2、含假山新建基础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3、费用包干，各投标人自行踏勘现场后报价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1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7D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C4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4C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15F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C4B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9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彩钢板出新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8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1、砂纸打磨面层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2、防锈漆两道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3、专用彩钢瓦翻新水性漆两遍（颜色由招标人指定）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4、各投标人自行踏勘现场，综合考虑施工方案后报价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76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AC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E0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FB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EE4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D5DC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5B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膜结构车棚</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FA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1、计量：长16m，宽2.5m,按水平投影面积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2、膜结构材料：面膜材料采用聚脂纤维基布和聚偏乙烯(PVDF)涂层,颜色为白色；不燃B1级P4类PVDF 3.0米幅宽,膜块经、维向抗拉强度6.5kN/5cm,厚度0.65mm~0.95mm,单平方米重量不小于900克。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3、含土方开挖、地面恢复、基础、钢柱、钢梁、支撑、预埋铁件等，具体根据厂家深化设计后施工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4、包含收边扁铁等安装时所需五金配件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5、施工前需送样确认</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4C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AE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36F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71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E33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578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BD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外脚手架</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0C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1、外墙出新措施费，包含铲除、水包砂出新、雨篷网架出新等措施费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2、投标人根据勘察现场自行考虑脚手架、登高车、吊篮等措施,费用综合考虑,一次包定,结算不调整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EE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5D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8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EF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0D0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80EA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87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里脚手架</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CB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1、装饰脚手架 高3.6m以内，包含铲除、涂料出新等脚手架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2、脚手架须按规定做好安全维护设施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3、施工完毕后根据要求拆卸，拆卸时须文明施工，不得高空抛甩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4、此项为一次性报价，结算时不作调整，投标单位投标前请自行组织踏勘现场，结合自身情况及施工方案自主报价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FD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D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8B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07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44B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E763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89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8CB5">
            <w:pPr>
              <w:jc w:val="left"/>
              <w:rPr>
                <w:rFonts w:hint="eastAsia" w:ascii="宋体" w:hAnsi="宋体" w:eastAsia="宋体" w:cs="宋体"/>
                <w:i w:val="0"/>
                <w:iCs w:val="0"/>
                <w:color w:val="auto"/>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C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736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0F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04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166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735A1A">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A3B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暂列金</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2BA5">
            <w:pPr>
              <w:jc w:val="left"/>
              <w:rPr>
                <w:rFonts w:hint="eastAsia" w:ascii="宋体" w:hAnsi="宋体" w:eastAsia="宋体" w:cs="宋体"/>
                <w:i w:val="0"/>
                <w:iCs w:val="0"/>
                <w:color w:val="auto"/>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468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92B7">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66D8">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1A6E">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50000.00</w:t>
            </w:r>
          </w:p>
        </w:tc>
      </w:tr>
      <w:tr w14:paraId="75A9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36E6E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E029">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办公桌</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01CF">
            <w:pPr>
              <w:jc w:val="left"/>
              <w:rPr>
                <w:rFonts w:hint="eastAsia" w:ascii="宋体" w:hAnsi="宋体" w:eastAsia="宋体" w:cs="宋体"/>
                <w:i w:val="0"/>
                <w:iCs w:val="0"/>
                <w:color w:val="auto"/>
                <w:sz w:val="18"/>
                <w:szCs w:val="18"/>
                <w:highlight w:val="none"/>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87B8">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0FA">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420E">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F52">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10400.00</w:t>
            </w:r>
          </w:p>
        </w:tc>
      </w:tr>
      <w:tr w14:paraId="1269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577"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44E825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（修缮土建）合    计</w:t>
            </w:r>
          </w:p>
        </w:tc>
        <w:tc>
          <w:tcPr>
            <w:tcW w:w="106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59F54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705D26A1">
      <w:pPr>
        <w:rPr>
          <w:rFonts w:hint="eastAsia" w:ascii="Times New Roman" w:hAnsi="Times New Roman" w:eastAsia="宋体"/>
          <w:b/>
          <w:color w:val="auto"/>
          <w:sz w:val="24"/>
          <w:szCs w:val="24"/>
          <w:highlight w:val="none"/>
          <w:lang w:val="en-US" w:eastAsia="zh-CN"/>
        </w:rPr>
      </w:pPr>
    </w:p>
    <w:p w14:paraId="10EF915D">
      <w:pPr>
        <w:pStyle w:val="2"/>
        <w:ind w:left="0" w:leftChars="0" w:firstLine="241" w:firstLineChars="100"/>
        <w:rPr>
          <w:rFonts w:hint="eastAsia" w:ascii="Times New Roman" w:hAnsi="Times New Roman" w:eastAsia="宋体"/>
          <w:b/>
          <w:color w:val="auto"/>
          <w:sz w:val="24"/>
          <w:szCs w:val="24"/>
          <w:highlight w:val="none"/>
          <w:lang w:val="en-US" w:eastAsia="zh-CN"/>
        </w:rPr>
      </w:pPr>
    </w:p>
    <w:p w14:paraId="36B20B8C">
      <w:pPr>
        <w:pStyle w:val="2"/>
        <w:ind w:left="0" w:leftChars="0" w:firstLine="241" w:firstLineChars="100"/>
        <w:rPr>
          <w:rFonts w:hint="eastAsia" w:ascii="Times New Roman" w:hAnsi="Times New Roman" w:eastAsia="宋体"/>
          <w:b/>
          <w:color w:val="auto"/>
          <w:sz w:val="24"/>
          <w:szCs w:val="24"/>
          <w:highlight w:val="none"/>
          <w:lang w:val="en-US" w:eastAsia="zh-CN"/>
        </w:rPr>
      </w:pPr>
    </w:p>
    <w:p w14:paraId="53402B98">
      <w:pPr>
        <w:pStyle w:val="2"/>
        <w:ind w:left="0" w:leftChars="0" w:firstLine="241" w:firstLineChars="100"/>
        <w:rPr>
          <w:rFonts w:hint="eastAsia" w:ascii="Times New Roman" w:hAnsi="Times New Roman" w:eastAsia="宋体"/>
          <w:b/>
          <w:color w:val="auto"/>
          <w:sz w:val="24"/>
          <w:szCs w:val="24"/>
          <w:highlight w:val="none"/>
          <w:lang w:val="en-US" w:eastAsia="zh-CN"/>
        </w:rPr>
      </w:pPr>
    </w:p>
    <w:p w14:paraId="5B3EE4FC">
      <w:pPr>
        <w:pStyle w:val="2"/>
        <w:ind w:left="0" w:leftChars="0" w:firstLine="241" w:firstLineChars="100"/>
        <w:rPr>
          <w:rFonts w:hint="eastAsia" w:ascii="Times New Roman" w:hAnsi="Times New Roman" w:eastAsia="宋体"/>
          <w:b/>
          <w:color w:val="auto"/>
          <w:sz w:val="24"/>
          <w:szCs w:val="24"/>
          <w:highlight w:val="none"/>
          <w:lang w:val="en-US" w:eastAsia="zh-CN"/>
        </w:rPr>
      </w:pPr>
    </w:p>
    <w:p w14:paraId="10ABFC4A">
      <w:pPr>
        <w:pStyle w:val="2"/>
        <w:ind w:left="0" w:leftChars="0" w:firstLine="0" w:firstLineChars="0"/>
        <w:rPr>
          <w:rFonts w:hint="eastAsia" w:ascii="Times New Roman" w:hAnsi="Times New Roman" w:eastAsia="宋体"/>
          <w:b/>
          <w:color w:val="auto"/>
          <w:sz w:val="24"/>
          <w:szCs w:val="24"/>
          <w:highlight w:val="none"/>
          <w:lang w:val="en-US" w:eastAsia="zh-CN"/>
        </w:rPr>
      </w:pPr>
    </w:p>
    <w:p w14:paraId="7E6E7243">
      <w:pPr>
        <w:pStyle w:val="2"/>
        <w:ind w:left="0" w:leftChars="0" w:firstLine="0" w:firstLineChars="0"/>
        <w:rPr>
          <w:rFonts w:hint="eastAsia" w:ascii="Times New Roman" w:hAnsi="Times New Roman" w:eastAsia="宋体"/>
          <w:b/>
          <w:color w:val="auto"/>
          <w:sz w:val="24"/>
          <w:szCs w:val="24"/>
          <w:highlight w:val="none"/>
          <w:lang w:val="en-US" w:eastAsia="zh-CN"/>
        </w:rPr>
      </w:pPr>
    </w:p>
    <w:p w14:paraId="148AD725">
      <w:pPr>
        <w:pStyle w:val="2"/>
        <w:ind w:left="0" w:leftChars="0" w:firstLine="0" w:firstLineChars="0"/>
        <w:rPr>
          <w:rFonts w:hint="eastAsia"/>
          <w:color w:val="auto"/>
          <w:highlight w:val="none"/>
          <w:lang w:val="en-US" w:eastAsia="zh-CN"/>
        </w:rPr>
      </w:pPr>
      <w:r>
        <w:rPr>
          <w:rFonts w:hint="eastAsia" w:ascii="Times New Roman" w:hAnsi="Times New Roman" w:eastAsia="宋体"/>
          <w:b/>
          <w:color w:val="auto"/>
          <w:sz w:val="24"/>
          <w:szCs w:val="24"/>
          <w:highlight w:val="none"/>
          <w:lang w:val="en-US" w:eastAsia="zh-CN"/>
        </w:rPr>
        <w:t>项目名称：如东县丰利中学校舍维修改造及行政楼出新工程【修缮安装】</w:t>
      </w:r>
    </w:p>
    <w:tbl>
      <w:tblPr>
        <w:tblStyle w:val="44"/>
        <w:tblW w:w="9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1048"/>
        <w:gridCol w:w="3684"/>
        <w:gridCol w:w="778"/>
        <w:gridCol w:w="879"/>
        <w:gridCol w:w="1344"/>
        <w:gridCol w:w="1064"/>
      </w:tblGrid>
      <w:tr w14:paraId="2A5F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695"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5EBF7145">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04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E534731">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368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08825E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77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0783A4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2F73B2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408"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5182572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01DE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695"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3859D65A">
            <w:pPr>
              <w:jc w:val="center"/>
              <w:rPr>
                <w:rFonts w:hint="eastAsia" w:ascii="黑体" w:hAnsi="宋体" w:eastAsia="黑体" w:cs="黑体"/>
                <w:b/>
                <w:bCs/>
                <w:i w:val="0"/>
                <w:iCs w:val="0"/>
                <w:color w:val="auto"/>
                <w:sz w:val="18"/>
                <w:szCs w:val="18"/>
                <w:highlight w:val="none"/>
                <w:u w:val="none"/>
              </w:rPr>
            </w:pPr>
          </w:p>
        </w:tc>
        <w:tc>
          <w:tcPr>
            <w:tcW w:w="104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0F28669">
            <w:pPr>
              <w:jc w:val="center"/>
              <w:rPr>
                <w:rFonts w:hint="eastAsia" w:ascii="黑体" w:hAnsi="宋体" w:eastAsia="黑体" w:cs="黑体"/>
                <w:b/>
                <w:bCs/>
                <w:i w:val="0"/>
                <w:iCs w:val="0"/>
                <w:color w:val="auto"/>
                <w:sz w:val="18"/>
                <w:szCs w:val="18"/>
                <w:highlight w:val="none"/>
                <w:u w:val="none"/>
              </w:rPr>
            </w:pPr>
          </w:p>
        </w:tc>
        <w:tc>
          <w:tcPr>
            <w:tcW w:w="368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85664CE">
            <w:pPr>
              <w:jc w:val="center"/>
              <w:rPr>
                <w:rFonts w:hint="eastAsia" w:ascii="黑体" w:hAnsi="宋体" w:eastAsia="黑体" w:cs="黑体"/>
                <w:b/>
                <w:bCs/>
                <w:i w:val="0"/>
                <w:iCs w:val="0"/>
                <w:color w:val="auto"/>
                <w:sz w:val="18"/>
                <w:szCs w:val="18"/>
                <w:highlight w:val="none"/>
                <w:u w:val="none"/>
              </w:rPr>
            </w:pPr>
          </w:p>
        </w:tc>
        <w:tc>
          <w:tcPr>
            <w:tcW w:w="77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BE4B9FC">
            <w:pPr>
              <w:jc w:val="center"/>
              <w:rPr>
                <w:rFonts w:hint="eastAsia" w:ascii="黑体" w:hAnsi="宋体" w:eastAsia="黑体" w:cs="黑体"/>
                <w:b/>
                <w:bCs/>
                <w:i w:val="0"/>
                <w:iCs w:val="0"/>
                <w:color w:val="auto"/>
                <w:sz w:val="18"/>
                <w:szCs w:val="18"/>
                <w:highlight w:val="none"/>
                <w:u w:val="none"/>
              </w:rPr>
            </w:pPr>
          </w:p>
        </w:tc>
        <w:tc>
          <w:tcPr>
            <w:tcW w:w="87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9F27719">
            <w:pPr>
              <w:jc w:val="center"/>
              <w:rPr>
                <w:rFonts w:hint="eastAsia" w:ascii="黑体" w:hAnsi="宋体" w:eastAsia="黑体" w:cs="黑体"/>
                <w:b/>
                <w:bCs/>
                <w:i w:val="0"/>
                <w:iCs w:val="0"/>
                <w:color w:val="auto"/>
                <w:sz w:val="18"/>
                <w:szCs w:val="18"/>
                <w:highlight w:val="none"/>
                <w:u w:val="none"/>
              </w:rPr>
            </w:pP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53DEC">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DDA91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02D1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95"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1ABF0575">
            <w:pPr>
              <w:jc w:val="center"/>
              <w:rPr>
                <w:rFonts w:hint="eastAsia" w:ascii="黑体" w:hAnsi="宋体" w:eastAsia="黑体" w:cs="黑体"/>
                <w:b/>
                <w:bCs/>
                <w:i w:val="0"/>
                <w:iCs w:val="0"/>
                <w:color w:val="auto"/>
                <w:sz w:val="18"/>
                <w:szCs w:val="18"/>
                <w:highlight w:val="none"/>
                <w:u w:val="none"/>
              </w:rPr>
            </w:pPr>
          </w:p>
        </w:tc>
        <w:tc>
          <w:tcPr>
            <w:tcW w:w="104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FCE0316">
            <w:pPr>
              <w:jc w:val="center"/>
              <w:rPr>
                <w:rFonts w:hint="eastAsia" w:ascii="黑体" w:hAnsi="宋体" w:eastAsia="黑体" w:cs="黑体"/>
                <w:b/>
                <w:bCs/>
                <w:i w:val="0"/>
                <w:iCs w:val="0"/>
                <w:color w:val="auto"/>
                <w:sz w:val="18"/>
                <w:szCs w:val="18"/>
                <w:highlight w:val="none"/>
                <w:u w:val="none"/>
              </w:rPr>
            </w:pPr>
          </w:p>
        </w:tc>
        <w:tc>
          <w:tcPr>
            <w:tcW w:w="368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E350E9D">
            <w:pPr>
              <w:jc w:val="center"/>
              <w:rPr>
                <w:rFonts w:hint="eastAsia" w:ascii="黑体" w:hAnsi="宋体" w:eastAsia="黑体" w:cs="黑体"/>
                <w:b/>
                <w:bCs/>
                <w:i w:val="0"/>
                <w:iCs w:val="0"/>
                <w:color w:val="auto"/>
                <w:sz w:val="18"/>
                <w:szCs w:val="18"/>
                <w:highlight w:val="none"/>
                <w:u w:val="none"/>
              </w:rPr>
            </w:pPr>
          </w:p>
        </w:tc>
        <w:tc>
          <w:tcPr>
            <w:tcW w:w="77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0B26722">
            <w:pPr>
              <w:jc w:val="center"/>
              <w:rPr>
                <w:rFonts w:hint="eastAsia" w:ascii="黑体" w:hAnsi="宋体" w:eastAsia="黑体" w:cs="黑体"/>
                <w:b/>
                <w:bCs/>
                <w:i w:val="0"/>
                <w:iCs w:val="0"/>
                <w:color w:val="auto"/>
                <w:sz w:val="18"/>
                <w:szCs w:val="18"/>
                <w:highlight w:val="none"/>
                <w:u w:val="none"/>
              </w:rPr>
            </w:pPr>
          </w:p>
        </w:tc>
        <w:tc>
          <w:tcPr>
            <w:tcW w:w="87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3C299C1">
            <w:pPr>
              <w:jc w:val="center"/>
              <w:rPr>
                <w:rFonts w:hint="eastAsia" w:ascii="黑体" w:hAnsi="宋体" w:eastAsia="黑体" w:cs="黑体"/>
                <w:b/>
                <w:bCs/>
                <w:i w:val="0"/>
                <w:iCs w:val="0"/>
                <w:color w:val="auto"/>
                <w:sz w:val="18"/>
                <w:szCs w:val="18"/>
                <w:highlight w:val="none"/>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1354A">
            <w:pPr>
              <w:jc w:val="center"/>
              <w:rPr>
                <w:rFonts w:hint="eastAsia" w:ascii="黑体" w:hAnsi="宋体" w:eastAsia="黑体" w:cs="黑体"/>
                <w:b/>
                <w:bCs/>
                <w:i w:val="0"/>
                <w:iCs w:val="0"/>
                <w:color w:val="auto"/>
                <w:sz w:val="18"/>
                <w:szCs w:val="18"/>
                <w:highlight w:val="none"/>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FE2ED">
            <w:pPr>
              <w:jc w:val="center"/>
              <w:rPr>
                <w:rFonts w:hint="eastAsia" w:ascii="黑体" w:hAnsi="宋体" w:eastAsia="黑体" w:cs="黑体"/>
                <w:b/>
                <w:bCs/>
                <w:i w:val="0"/>
                <w:iCs w:val="0"/>
                <w:color w:val="auto"/>
                <w:sz w:val="18"/>
                <w:szCs w:val="18"/>
                <w:highlight w:val="none"/>
                <w:u w:val="none"/>
              </w:rPr>
            </w:pPr>
          </w:p>
        </w:tc>
      </w:tr>
      <w:tr w14:paraId="522D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2C0CBB">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5C0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学校大门处显示屏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977">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5725">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BD28">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066">
            <w:pPr>
              <w:jc w:val="right"/>
              <w:rPr>
                <w:rFonts w:hint="eastAsia" w:ascii="宋体" w:hAnsi="宋体" w:eastAsia="宋体" w:cs="宋体"/>
                <w:i w:val="0"/>
                <w:iCs w:val="0"/>
                <w:color w:val="auto"/>
                <w:sz w:val="18"/>
                <w:szCs w:val="18"/>
                <w:highlight w:val="none"/>
                <w:u w:val="none"/>
              </w:rPr>
            </w:pPr>
          </w:p>
        </w:tc>
      </w:tr>
      <w:tr w14:paraId="370E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E4D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41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显示设备（高度超过5米）</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C1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1、名称:下挂式室外单式电子屏（含电源）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2、参数:1）显示尺寸：10.56*0.64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2）像素点间距：≤10MM、像素密度：≥10000Dots/m2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3）单元板分辨率：≥512Dots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4）像素构成：1R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5）显示效果：色温均匀性好、亮度匀性好，对比度高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6）驱动方式：恒流驱动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7）供电方式：支持电源均流DC4.2V～DC5V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8）整屏平整度：≤0.01mm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9）模组平整度：≤0.01mm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10）拼接缝：≤0.01mm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11）模组套件:无螺丝工艺套件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12）白平衡亮度：≥270Cd/m²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13）亮度均匀性：≥98%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3、备注:成套型，包含异步控制卡，配管、配线等所有内容。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F7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42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97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1CE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A65F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E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视频系统设备</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A9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1、名称:LED显示屏钢结构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2、备注:配套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8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F5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40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FC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EA4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81A2A">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FDB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79B">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E628">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3E7F">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B6F1">
            <w:pPr>
              <w:jc w:val="right"/>
              <w:rPr>
                <w:rFonts w:hint="eastAsia" w:ascii="宋体" w:hAnsi="宋体" w:eastAsia="宋体" w:cs="宋体"/>
                <w:i w:val="0"/>
                <w:iCs w:val="0"/>
                <w:color w:val="auto"/>
                <w:sz w:val="18"/>
                <w:szCs w:val="18"/>
                <w:highlight w:val="none"/>
                <w:u w:val="none"/>
              </w:rPr>
            </w:pPr>
          </w:p>
        </w:tc>
      </w:tr>
      <w:tr w14:paraId="2762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29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A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实验水池水龙头拆、换</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5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2、规格、类型:冷水 三联三口龙头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3、工作内容:按序拆除、换新。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DD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B9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F2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6D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962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8AAD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A3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实验水池落水拆、换</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2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1、名称:实验水池落水软管拆、换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2、材质:塑料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3、工作内容:按序拆除、换新。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C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A4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46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6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7FC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8FB0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04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下水S弯拆、换</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F5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1、材质:UPVC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3、连接形式:承插粘接</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89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6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F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7BA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77B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EE7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1E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三角阀拆换</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F7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1、类型:三角阀拆、换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3、规格:DN15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4、连接形式:螺纹连接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5、工作内容:按序拆除、换新。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6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FC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CA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FD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433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C7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给水金属软管拆、换</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04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1、材质:不锈钢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2、规格、类型:DN15 给水金属软管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3、工作内容:按序拆除、换新。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39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5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1B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7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419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95E3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2E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84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2、灯具种类:荧光灯 双火以内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3F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97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76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DB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B29D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30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3E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1、名称:集成平板灯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600*600/45W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5、备注:包含灯具支架、金属软管等所有附件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9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F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0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2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033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A4B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5B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7D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1、名称:集成平板灯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300*1200/45W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5、备注:包含灯具支架、金属软管等所有附件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19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25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31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461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8380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AA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7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2、灯具种类:筒灯 嵌入式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78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F31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E5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0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AE3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DDE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1E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00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1、名称:筒灯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 开孔9公分左右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18W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08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81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82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45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839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AD7B0">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E69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行政楼-外立面</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C200">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61F3">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8C16">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1D5B">
            <w:pPr>
              <w:jc w:val="right"/>
              <w:rPr>
                <w:rFonts w:hint="eastAsia" w:ascii="宋体" w:hAnsi="宋体" w:eastAsia="宋体" w:cs="宋体"/>
                <w:i w:val="0"/>
                <w:iCs w:val="0"/>
                <w:color w:val="auto"/>
                <w:sz w:val="18"/>
                <w:szCs w:val="18"/>
                <w:highlight w:val="none"/>
                <w:u w:val="none"/>
              </w:rPr>
            </w:pPr>
          </w:p>
        </w:tc>
      </w:tr>
      <w:tr w14:paraId="536F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F36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93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DD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1、名称:空调室内外机拆除（含空调室外支架）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2、规格:制冷量10KW以内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3、备注:按序拆除、分类归堆、退库招标人指定地方。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3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985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2A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F4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0F1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CCD4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7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0D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1、名称:空调器安装（室外机）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2、规格:利用原有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3、安装形式:墙上式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4、备注:包含空调室外支架换不锈钢支架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47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12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6B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35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F0D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40B1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D4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显示设备</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30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1、名称:LED显示单元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2、参数:室外模组P4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画面均匀一致，无黑线，实现真正无缝拼接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超高刷新频率，使视频画面更细腻流畅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全自主开发模组套件，采用横纵加强筋对称式结构设计，有效保障模组强度和拼装精度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采用优质高分子耐候PC料，有效保障宽温环境下尺寸稳定性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可保证屏幕上每个像素点的亮度、色温等要素控制在一个范围之内，实现画面显示的一致性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产品型号：DS-D4340CA-1PH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像素结构：表贴三合一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像素间距：4MM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灯珠尺寸：SMD1921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模组尺寸：320 × 160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模组分辨率：80 × 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模组重量：0.5kg/块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像素密度：62500 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信号接口：HUB 75E * 12，推荐单口带载3张灯板；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推荐初级信号排线≤80cm，级联信号排线≤22cm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防护等级：正面IP65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套件材质：塑底壳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灯珠封装：SMD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封装品牌：国产铜线              白平衡亮度：≥4500cd/㎡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色温：2000K~14000K可调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可视角：160°°(H)/140°°(V)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亮度均匀性：≥97％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色度均匀性：±0.003Cx，Cy之内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对比度：3000：1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电源接口：VH4PIN，电源300W推荐带载6张灯板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驱动方式：恒流驱动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扫描数：10S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换帧频率：60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刷新率：H: ≥3840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灰度等级：红、绿、蓝各12-16bits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峰值功耗：≤ 645W/平米（4500nits）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考虑电源功率因素，建议项目评估按峰值功率1.2倍去评估配电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平均功耗：≤ 323W/平米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供电要求：AC:200-240V~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模组供电电压：DC：4.5-5V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工作温度：-20 ℃ ~ +60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工作湿度：10% RH~80% RH（无冷凝水）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存储温度：-20 ℃ ~ +60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存储湿度：10%~80% RH（无冷凝水）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包装尺寸：626 (W) mm × 372(H) mm × 402 (D) 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包装方式：1包40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3、备注:成套型，包含接收卡、配管、配线等所有内容。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50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6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6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CD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919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D7F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30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FA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1、名称:LED视频处理器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2、参数:2网口 2K LED二合一拼控卡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机箱具备全彩OLED非触摸屏 分辨率128x64，可随时查看设备状态信息，方便设备维护。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1U高度半宽机箱 机架式设计，工业级机箱系统。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设备前面板具备按键，可支持亮度调节、信源切换。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前面板具备指示灯，可提示设备上电状态、信号接入状态、运行状态等信息。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支持3路视频信号输入，支持HDMI1.4 分辨率1920*1200@60Hz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支持帧率自适应，图像采集可支持25HZ~60HZ自适应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图像带载输出支持RGB444 无损画质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支持2路网口带载输出，带载高达130万像素，单台设备最大带载最大宽度5120，最大高度5120，每网口最大65W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支持HDMI音视频复合流输入，支持3.5mm音频输出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支持视频信号输入全屏缩放及自定义缩放.支持任意切换，拼接。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支持信源开窗和漫游功能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支持1路虚拟条屏内容显示，支持颜色、字体、文字大小、滚动速度的设置，支持图片和时钟添加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支持电视墙编辑和窗口可视化操作。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支持最多 10个用户场景,可作为模板保存，可直接调用，方便使用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支持多窗口显示：支持7个窗口任意布局，其中3个信源窗口、2个图片窗口、1个滚动文字窗口、1个底图窗口；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支持多发送卡通过网络进行级联管理和统一控制。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支持HDCP 2.2协议的高带宽数字内容保护技术。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支持自定义EDID设置。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支持热备份、支持设备间备份和网口间备份。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支持任意走线、无矩形框架限制。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支持通过客户端等多软件端进行操作支持。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支持无信号模式下保留最后一帧。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支持屏幕底图配置设置和更换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支持屏保和开机logo配置。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支持屏幕除湿配置。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支持遥控器扩展，支持通过遥控器操作控制屏幕显示遥控UI菜单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支持通过按键进行亮度调节、信源切换等操作。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支持输出画面的亮度、对比度、饱和度等参数的调整。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支持对屏幕进行逐点校正配置有效消除色差，有效提高显示屏的画质。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支持常规、文稿、广告、视讯、影院、安防等显示模式切换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支持HDR输出，能够极大地增强显示屏的画质，使画面色彩更加真实生动，细节更加清晰。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支持标准、暖色、冷色等色温模式调节同时可支持自定义色温调节。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支持护眼模式，有效保护观看者视力。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支持3840 Hz 高刷新率输出，纳秒级响应时间，视频画面更细腻流畅。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支持查看设备与LED屏幕的带载关系。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支持查看运行过程中屏幕异常的定位。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支持查看设备运行状态、设备内存、CPU使用率、设备运行温度和网口使用率等参数。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支持异常箱体电压检测、箱体温度检测、设备温度检测。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支持通过RS485接口进行中控及物联网设备对接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支持通过控制网口，通过网络SDK、ISAPI、OTAP等协议进行控制指令对接和设备管理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支持通过控制网口链接多功能卡 实现环境温度检测、环境湿度检测、人体温度传感配合屏幕控制等功能。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开窗数量：3信源窗口+2分屏窗口+1条屏窗口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整机图层数：7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场景数量：10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底图数量：2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底图分辨率：最小640×480，最大1920×1200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底图格式：JGP/JPEG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字幕数量：1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字幕宽度：5120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字幕字体：支持小米+自定义（小于2M）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音频输入接口数：3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音频输入接口类型：3路HDMI输入内嵌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音频输出接口数：1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音频输出接口类型：3.5mm 音频输出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视频输入接口数：3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视频输入接口类型：HDMI1.4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视频输入最大分辨率：1080P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视频输入分辨率：HDMI1.4接口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最大支持分辨率：1920*1200@60Hz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最小支持分辨率：320*180@60Hz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支持自定义分辨率，总分辨率不超过 260W@60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极限宽度：144~4096 对齐方式：2对齐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极限高度：144~4096 对齐方式：1对齐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支持HDCP1.4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不支持隔行信号输入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视频输入处理特性：处理深度 8 bit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采样格式：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RGB:444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YUV:444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YUV:422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视频输出最大分辨率：130W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视频输出LED带载能力：单网口带载65W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极限宽度：144~5120 对齐方式：2对齐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极限高度：64~5120 对齐方式：1对齐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最大网口带载不超过130W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LED带载接口数：2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LED带载接口类型：RJ45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视频预监输出接口数：1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视频预监输出接口类型：HDMI 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视频预监输出分辨率：720P@60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遥控器：支持红外遥控器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控制网口：2个RJ45，10M/100M/1000M自适应以太网口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用于连接外部网络，可支持多设备网络级联管理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IR 输入：1个 3.5mm座子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支持红外遥控器接入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串行接口：1个调试串口（4Pin座子）+1个RS485中控控制串口（凤凰端子绿头插座）波特率：115200 数据位：8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开关键：船型开关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58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403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AE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93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360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D2D386">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E9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行政楼-楼梯间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8E82">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16A6">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067E">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FB60">
            <w:pPr>
              <w:jc w:val="right"/>
              <w:rPr>
                <w:rFonts w:hint="eastAsia" w:ascii="宋体" w:hAnsi="宋体" w:eastAsia="宋体" w:cs="宋体"/>
                <w:i w:val="0"/>
                <w:iCs w:val="0"/>
                <w:color w:val="auto"/>
                <w:sz w:val="18"/>
                <w:szCs w:val="18"/>
                <w:highlight w:val="none"/>
                <w:u w:val="none"/>
              </w:rPr>
            </w:pPr>
          </w:p>
        </w:tc>
      </w:tr>
      <w:tr w14:paraId="6D5A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E083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F2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0B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2、灯具种类:吸顶灯 双火以内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4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31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0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E0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BB2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D5D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32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普通灯具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98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1、名称:半圆球吸顶灯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2、型号:灯罩直径 350mm以内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 光源 24W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4、类型:成套型，吸顶安装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E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01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36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F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C58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581A77">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5A0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行政楼-公共区域（过道、大厅）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D39">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76B0">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34BF">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61D2">
            <w:pPr>
              <w:jc w:val="right"/>
              <w:rPr>
                <w:rFonts w:hint="eastAsia" w:ascii="宋体" w:hAnsi="宋体" w:eastAsia="宋体" w:cs="宋体"/>
                <w:i w:val="0"/>
                <w:iCs w:val="0"/>
                <w:color w:val="auto"/>
                <w:sz w:val="18"/>
                <w:szCs w:val="18"/>
                <w:highlight w:val="none"/>
                <w:u w:val="none"/>
              </w:rPr>
            </w:pPr>
          </w:p>
        </w:tc>
      </w:tr>
      <w:tr w14:paraId="07C0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AC71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E0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44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2、灯具种类:吸顶灯 双火以内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E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D00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3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7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95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AC4B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4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普通灯具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AE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1、名称:半圆球吸顶灯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2、型号:灯罩直径 350mm以内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 光源 24W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4、类型:成套型，吸顶安装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F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B84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B39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32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247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5F62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D4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A7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2、灯具种类:筒灯 嵌入式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2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16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49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EF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6A8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E7B7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2B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71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1、名称:筒灯（超高）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 LED光源（边框优质铝合金）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3、规格:5'/15W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5、备注:包含灯具金属软管等相关内容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61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3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B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34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028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41B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5B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CE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2、灯具种类:筒灯 嵌入式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10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A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86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7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2B6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C287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91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34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1、名称:筒灯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 LED光源（边框优质铝合金）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3、规格:3~3.5'/9W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5、备注:包含灯具金属软管等相关内容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2C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D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16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8E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A8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BF58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DF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DC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2、灯具种类:矩形嵌入式荧光灯 1500*400mm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12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AE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B6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95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805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5D6C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B4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F6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1、名称:矩形吸顶灯（超高）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2、型号:吸顶式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1500*400mm 48W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4、安装形式:成套型，吸顶式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EF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64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47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43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F0E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3147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B7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97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2、灯具种类:矩形吸顶灯300*300mm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B3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7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AB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60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F85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BA0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C6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45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1、名称:平板灯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600*600/36W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5、备注:包含灯具金属软管等所有附件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F5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BF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DC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53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9EE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28DE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15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直饮水设备</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14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1、名称:直饮一体机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2、规格:一温一热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3、参数:1）RO反渗透净水器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2)四级过滤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3)二、三级水效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4)取水方式:触摸取水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4、备注:适用人数10~30人</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B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D5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723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10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C5B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B3A9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D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插座箱</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6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1、名称:一层插座总箱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3、安装方式:成套型，包含所有电气元件、接地、接线等相关内容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DD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A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36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17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AE4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875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1A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插座箱</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13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1、名称:2~5层插座箱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2、型号:非标箱 凿墙暗敷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3、安装方式:成套型，包含所有电气元件、接地、接线等相关内容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6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AA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9A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0B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2F5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BC3E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9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6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3、规格:Φ40mm内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4、配置形式:埋地敷设</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A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65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DE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27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162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16BB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04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FA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1、名称:焊接钢管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3、规格:Φ40mm内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4、配置形式:砖、混凝土结构开槽暗配，抹砂浆保护层。</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E7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2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F6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B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6C1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B52C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8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31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1、名称:刚性阻燃管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2、材质:PC管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3、规格:Φ25mm内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4、配置形式:砖、混凝土结构开槽暗配，抹砂浆保护层。</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24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A8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66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91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A30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BE1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F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12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2、型号、规格:WDZ-YJV-5*10mm2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4、敷设方式、部位:管道敷设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5、电压等级（kV）:0.6/1kv</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F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F21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35.98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AC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B9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17D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929A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EF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26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1、名称:塑料铜芯线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2、配线形式:管内穿线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3、型号、规格:WDZ-BYJ-4mm2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4、材质:铜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5、配线部位:砖混凝土结构</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7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FA1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89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AF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80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7A15B3">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01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行政楼-卫生间（1~5层含直饮机预留给水）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69B5">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DC86">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41CD">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C1C">
            <w:pPr>
              <w:jc w:val="right"/>
              <w:rPr>
                <w:rFonts w:hint="eastAsia" w:ascii="宋体" w:hAnsi="宋体" w:eastAsia="宋体" w:cs="宋体"/>
                <w:i w:val="0"/>
                <w:iCs w:val="0"/>
                <w:color w:val="auto"/>
                <w:sz w:val="18"/>
                <w:szCs w:val="18"/>
                <w:highlight w:val="none"/>
                <w:u w:val="none"/>
              </w:rPr>
            </w:pPr>
          </w:p>
        </w:tc>
      </w:tr>
      <w:tr w14:paraId="7B7B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5B5D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2B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卫生洁具拆除（含附件）</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4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1、卫生洁具种类:洗手盆拆除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2、规格:柜式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3、备注:残值抵外运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E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8C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91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A5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B14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90C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1E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卫生洁具拆除（含附件）</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8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1、卫生洁具种类:座便器拆除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2、规格:连体水箱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3、备注:残值抵外运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C2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FCF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39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B11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A6A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0C4C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3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卫生洁具拆除（含附件）</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09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1、卫生洁具种类:蹲便器拆除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2、规格:低水箱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3、备注:残值抵外运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1F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A0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1FB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D8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FCE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B9F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BC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卫生洁具拆除（含附件）</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7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1、卫生洁具种类:小便器拆除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2、规格:立式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3、备注:残值抵外运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01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2B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4E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36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88A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18C2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E5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卫生洁具拆除（含附件）</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40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1、卫生洁具种类:拖把池拆除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2、规格:落地式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3、备注:残值抵外运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2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B8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2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FC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0A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2C0C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AB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24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1、管道种类、材质:给排水 塑料管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2、管道上的附着物种类:管道托钩、管卡等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4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B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41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4A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A89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5236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A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2D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2、灯具种类:吸顶灯 双火以内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3、备注:残值抵外运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B4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E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06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A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5F8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CC71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97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灯具开关拆除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28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1、拆除灯具开关高度:5m以下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2、开关种类:暗开关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3、备注:残值抵外运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4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AF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D6B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17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00C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15C1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15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14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1、名称:集成吸顶灯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300*300/15W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5、备注:包含灯具金属软管等所有附件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8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FA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C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D1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A34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CBD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C5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46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1、名称:集成吸顶灯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300*600/24W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5、备注:包含灯具金属软管等所有附件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3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311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0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51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4CE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8E0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58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F0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1、名称:单联单控开关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3、规格:10A 250v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4、安装方式:嵌入式壁装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3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E0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33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9B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F5B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1ED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34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照明开关</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83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1、名称:三联单控开关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3、规格:10A 250v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4、安装方式:嵌入式壁装</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2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33E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4E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9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92D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6FB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DE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88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de63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B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772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B0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2F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4D8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1553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23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4C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de32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B3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44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8A7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12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278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329E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EF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92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3、材质、规格:PP-R(S5) de25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1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8F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CC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70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C3F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77E4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CD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A4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3、材质、规格:PP-R(S5) de20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F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5C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97.75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ED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59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B06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F02D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3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凿（压）槽</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78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1、名称:给水管开槽（暗敷）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3、填充（恢复）方式:砂浆抹平</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04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45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76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C8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95D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0D0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4D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0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1、类型:螺纹截止阀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2、材质:全铜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3、规格、压力等级:DN50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4、连接形式:螺纹连接</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7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B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7B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67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400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59F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85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C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1、类型:螺纹截止阀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2、材质:全铜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3、规格、压力等级:DN25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4、连接形式:螺纹连接</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1D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BD9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6D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CE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36B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E0B8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BB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螺纹阀门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3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1、类型:螺纹角阀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2、材质:全铜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3、规格、压力等级:DN15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4、连接形式:螺纹连接</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A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E3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0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0E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67E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9B36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F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大便器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1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2、规格、类型:坐式 连体水箱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3、组装形式:冷水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4、附件名称、数量:不锈钢给水角阀，不锈钢给水金属软管等相关附件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C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4B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8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59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65D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0AE9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A5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小便器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BB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2、规格、类型:感应式冲洗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3、组装形式:冷水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4、附件名称、数量:不锈钢感应式冲水器（含冲水器配件）、排水栓等所有附件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71E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6B7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2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F3E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ACD2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71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洗脸盆</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C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2、规格、类型:台式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3、组装形式:冷水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4、附件名称、数量:不锈钢电加热水嘴、不锈钢给水金属软管、不锈钢给水角阀、不锈钢下水口及下水软管等相关附件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B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20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07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1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4C3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390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8F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洗涤盆</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F1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2、规格、类型:污水池 落地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3、附件名称、数量:不锈钢加长水嘴、不锈钢下水口及下水软管等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D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A0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C6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87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055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3008F2">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DF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行政楼办公室</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FA87">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C4C">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728">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FC8">
            <w:pPr>
              <w:jc w:val="right"/>
              <w:rPr>
                <w:rFonts w:hint="eastAsia" w:ascii="宋体" w:hAnsi="宋体" w:eastAsia="宋体" w:cs="宋体"/>
                <w:i w:val="0"/>
                <w:iCs w:val="0"/>
                <w:color w:val="auto"/>
                <w:sz w:val="18"/>
                <w:szCs w:val="18"/>
                <w:highlight w:val="none"/>
                <w:u w:val="none"/>
              </w:rPr>
            </w:pPr>
          </w:p>
        </w:tc>
      </w:tr>
      <w:tr w14:paraId="26A4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380D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DE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8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1、拆除灯具高度:5m以下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2、灯具种类:荧光灯 双火以内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F6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4A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2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89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416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4AD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8F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91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1、名称:平板灯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2、型号:吸顶式（边框优质铝合金）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3、规格:LED光源 300*1200/48W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5、备注:包含灯具金属软管等所有附件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7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D2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61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0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F05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FD8173">
            <w:pPr>
              <w:jc w:val="center"/>
              <w:rPr>
                <w:rFonts w:hint="eastAsia" w:ascii="宋体" w:hAnsi="宋体" w:eastAsia="宋体" w:cs="宋体"/>
                <w:i w:val="0"/>
                <w:iCs w:val="0"/>
                <w:color w:val="auto"/>
                <w:sz w:val="18"/>
                <w:szCs w:val="18"/>
                <w:highlight w:val="none"/>
                <w:u w:val="none"/>
              </w:rPr>
            </w:pPr>
          </w:p>
        </w:tc>
        <w:tc>
          <w:tcPr>
            <w:tcW w:w="4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3B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宿舍楼东侧换阀门</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F1BC">
            <w:pPr>
              <w:jc w:val="center"/>
              <w:rPr>
                <w:rFonts w:hint="eastAsia" w:ascii="宋体" w:hAnsi="宋体" w:eastAsia="宋体" w:cs="宋体"/>
                <w:i w:val="0"/>
                <w:iCs w:val="0"/>
                <w:color w:val="auto"/>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518B">
            <w:pPr>
              <w:jc w:val="right"/>
              <w:rPr>
                <w:rFonts w:hint="eastAsia" w:ascii="宋体" w:hAnsi="宋体" w:eastAsia="宋体" w:cs="宋体"/>
                <w:i w:val="0"/>
                <w:iCs w:val="0"/>
                <w:color w:val="auto"/>
                <w:sz w:val="18"/>
                <w:szCs w:val="18"/>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2897">
            <w:pPr>
              <w:jc w:val="right"/>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745F">
            <w:pPr>
              <w:jc w:val="right"/>
              <w:rPr>
                <w:rFonts w:hint="eastAsia" w:ascii="宋体" w:hAnsi="宋体" w:eastAsia="宋体" w:cs="宋体"/>
                <w:i w:val="0"/>
                <w:iCs w:val="0"/>
                <w:color w:val="auto"/>
                <w:sz w:val="18"/>
                <w:szCs w:val="18"/>
                <w:highlight w:val="none"/>
                <w:u w:val="none"/>
              </w:rPr>
            </w:pPr>
          </w:p>
        </w:tc>
      </w:tr>
      <w:tr w14:paraId="117B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51D9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3E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法兰阀门拆除</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9E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1、类型:法兰闸阀拆除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2、材质:碳钢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3、规格、压力等级:DN100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4、连接形式:法兰连接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5、备注:投标人考虑部分残值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5A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5C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88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26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643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73EA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12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法兰阀门</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29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1、类型:法兰闸阀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2、材质:球墨铸铁（不锈钢阀芯）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3、规格、压力等级:DN100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4、连接形式:法兰连接</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4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F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41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B3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736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D12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34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4BC8">
            <w:pPr>
              <w:jc w:val="left"/>
              <w:rPr>
                <w:rFonts w:hint="eastAsia" w:ascii="宋体" w:hAnsi="宋体" w:eastAsia="宋体" w:cs="宋体"/>
                <w:i w:val="0"/>
                <w:iCs w:val="0"/>
                <w:color w:val="auto"/>
                <w:sz w:val="18"/>
                <w:szCs w:val="18"/>
                <w:highlight w:val="none"/>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BE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6C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73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69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51E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8428"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229FA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（修缮安装）合    计</w:t>
            </w:r>
          </w:p>
        </w:tc>
        <w:tc>
          <w:tcPr>
            <w:tcW w:w="106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FDE5B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58B8C7E9">
      <w:pPr>
        <w:pStyle w:val="2"/>
        <w:ind w:left="0" w:leftChars="0" w:firstLine="0" w:firstLineChars="0"/>
        <w:rPr>
          <w:rFonts w:hint="eastAsia"/>
          <w:color w:val="auto"/>
          <w:highlight w:val="none"/>
          <w:lang w:val="en-US" w:eastAsia="zh-CN"/>
        </w:rPr>
      </w:pPr>
    </w:p>
    <w:p w14:paraId="6E5A3738">
      <w:pPr>
        <w:pStyle w:val="20"/>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投标总价（修缮土建+修缮安装）：（大写）</w:t>
      </w:r>
      <w:r>
        <w:rPr>
          <w:rFonts w:hint="eastAsia" w:ascii="Times New Roman" w:hAnsi="Times New Roman" w:eastAsia="宋体"/>
          <w:b/>
          <w:color w:val="auto"/>
          <w:sz w:val="24"/>
          <w:szCs w:val="24"/>
          <w:highlight w:val="none"/>
          <w:u w:val="single"/>
          <w:lang w:val="en-US" w:eastAsia="zh-CN"/>
        </w:rPr>
        <w:t xml:space="preserve">                  </w:t>
      </w:r>
    </w:p>
    <w:p w14:paraId="3436A7B0">
      <w:pPr>
        <w:pStyle w:val="20"/>
        <w:jc w:val="left"/>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                               （小写）</w:t>
      </w:r>
      <w:r>
        <w:rPr>
          <w:rFonts w:hint="eastAsia" w:ascii="Times New Roman" w:hAnsi="Times New Roman" w:eastAsia="宋体"/>
          <w:b/>
          <w:color w:val="auto"/>
          <w:sz w:val="24"/>
          <w:szCs w:val="24"/>
          <w:highlight w:val="none"/>
          <w:u w:val="single"/>
          <w:lang w:val="en-US" w:eastAsia="zh-CN"/>
        </w:rPr>
        <w:t xml:space="preserve">                  </w:t>
      </w:r>
    </w:p>
    <w:p w14:paraId="11DD1D7E">
      <w:pPr>
        <w:pStyle w:val="20"/>
        <w:rPr>
          <w:rFonts w:ascii="Times New Roman" w:hAnsi="Times New Roman" w:eastAsia="宋体"/>
          <w:b/>
          <w:color w:val="auto"/>
          <w:sz w:val="24"/>
          <w:szCs w:val="24"/>
          <w:highlight w:val="none"/>
        </w:rPr>
      </w:pPr>
    </w:p>
    <w:p w14:paraId="0BDB3E29">
      <w:pPr>
        <w:pStyle w:val="2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20"/>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报价采用全费用综合单价的报价方式，报价表中的综合单价为包括材料费、人工费、机械费、利润、管理费、税金、规费、招标代理费、风险费、拆除费以及完成相应工作内容的措施项目费用的全费用综合单价，按清单报价。</w:t>
      </w:r>
    </w:p>
    <w:p w14:paraId="0F392715">
      <w:pPr>
        <w:pStyle w:val="20"/>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377EDD89">
      <w:pPr>
        <w:pStyle w:val="20"/>
        <w:adjustRightInd w:val="0"/>
        <w:snapToGrid w:val="0"/>
        <w:ind w:firstLine="480" w:firstLineChars="200"/>
        <w:jc w:val="left"/>
        <w:rPr>
          <w:rFonts w:hint="default"/>
          <w:b w:val="0"/>
          <w:bCs w:val="0"/>
          <w:color w:val="auto"/>
          <w:highlight w:val="none"/>
          <w:lang w:val="en-U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本项目最高限价（已下浮约</w:t>
      </w:r>
      <w:r>
        <w:rPr>
          <w:rFonts w:hint="eastAsia" w:ascii="宋体" w:hAnsi="宋体" w:eastAsia="宋体" w:cs="宋体"/>
          <w:b w:val="0"/>
          <w:bCs w:val="0"/>
          <w:color w:val="auto"/>
          <w:sz w:val="24"/>
          <w:szCs w:val="24"/>
          <w:highlight w:val="none"/>
          <w:u w:val="single"/>
          <w:lang w:val="en-US" w:eastAsia="zh-CN"/>
        </w:rPr>
        <w:t>16.5</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u w:val="single"/>
          <w:lang w:val="en-US" w:eastAsia="zh-CN"/>
        </w:rPr>
        <w:t>128</w:t>
      </w:r>
      <w:r>
        <w:rPr>
          <w:rFonts w:hint="eastAsia" w:ascii="宋体" w:hAnsi="宋体" w:eastAsia="宋体" w:cs="宋体"/>
          <w:b w:val="0"/>
          <w:bCs w:val="0"/>
          <w:color w:val="auto"/>
          <w:sz w:val="24"/>
          <w:szCs w:val="24"/>
          <w:highlight w:val="none"/>
          <w:lang w:val="en-US" w:eastAsia="zh-CN"/>
        </w:rPr>
        <w:t>万元（含暂列金</w:t>
      </w:r>
      <w:r>
        <w:rPr>
          <w:rFonts w:hint="eastAsia" w:ascii="宋体" w:hAnsi="宋体" w:eastAsia="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lang w:val="en-US" w:eastAsia="zh-CN"/>
        </w:rPr>
        <w:t>万元，专业工程暂估价1.04万元）</w:t>
      </w:r>
      <w:r>
        <w:rPr>
          <w:rFonts w:hint="eastAsia" w:ascii="宋体" w:hAnsi="宋体" w:eastAsia="宋体" w:cs="宋体"/>
          <w:b w:val="0"/>
          <w:bCs w:val="0"/>
          <w:color w:val="auto"/>
          <w:sz w:val="24"/>
          <w:szCs w:val="24"/>
          <w:highlight w:val="none"/>
          <w:lang w:val="en-US" w:eastAsia="zh-CN"/>
        </w:rPr>
        <w:t>。投标报价不得高于最高限价，否则按无效投标处理。</w:t>
      </w:r>
      <w:r>
        <w:rPr>
          <w:rFonts w:hint="eastAsia" w:ascii="宋体" w:hAnsi="宋体" w:eastAsia="宋体" w:cs="宋体"/>
          <w:b/>
          <w:bCs/>
          <w:color w:val="auto"/>
          <w:sz w:val="24"/>
          <w:szCs w:val="24"/>
          <w:highlight w:val="none"/>
          <w:lang w:val="en-US" w:eastAsia="zh-CN"/>
        </w:rPr>
        <w:t>本工程暂列金额和专业工程暂估价在投标报价时不得下浮，否则作无效投标处理</w:t>
      </w:r>
      <w:r>
        <w:rPr>
          <w:rFonts w:hint="eastAsia" w:ascii="宋体" w:hAnsi="宋体" w:eastAsia="宋体" w:cs="宋体"/>
          <w:b w:val="0"/>
          <w:bCs w:val="0"/>
          <w:color w:val="auto"/>
          <w:sz w:val="24"/>
          <w:szCs w:val="24"/>
          <w:highlight w:val="none"/>
          <w:lang w:val="en-US" w:eastAsia="zh-CN"/>
        </w:rPr>
        <w:t>。</w:t>
      </w:r>
    </w:p>
    <w:p w14:paraId="2BFA79A9">
      <w:pPr>
        <w:pStyle w:val="20"/>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工程量清单报价表中的建议品牌，只是建议所采购产品（设备）的档次。投标单位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    </w:t>
      </w:r>
    </w:p>
    <w:p w14:paraId="2A12EC2B">
      <w:pPr>
        <w:pStyle w:val="20"/>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5、专业工程暂估价【修缮土建】</w:t>
      </w:r>
    </w:p>
    <w:tbl>
      <w:tblPr>
        <w:tblStyle w:val="44"/>
        <w:tblW w:w="7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1712"/>
        <w:gridCol w:w="1419"/>
        <w:gridCol w:w="1142"/>
        <w:gridCol w:w="1142"/>
        <w:gridCol w:w="1415"/>
      </w:tblGrid>
      <w:tr w14:paraId="64A5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741"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5BA675C">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71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C47A644">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工程名称</w:t>
            </w:r>
          </w:p>
        </w:tc>
        <w:tc>
          <w:tcPr>
            <w:tcW w:w="141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51D8F6C">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工程内容</w:t>
            </w:r>
          </w:p>
        </w:tc>
        <w:tc>
          <w:tcPr>
            <w:tcW w:w="114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97D012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单价(元)</w:t>
            </w:r>
          </w:p>
        </w:tc>
        <w:tc>
          <w:tcPr>
            <w:tcW w:w="114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BE9B465">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数量</w:t>
            </w:r>
          </w:p>
        </w:tc>
        <w:tc>
          <w:tcPr>
            <w:tcW w:w="141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0F8455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暂估金额(元)</w:t>
            </w:r>
          </w:p>
        </w:tc>
      </w:tr>
      <w:tr w14:paraId="1249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7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9A8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93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办公桌</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ADF3">
            <w:pPr>
              <w:jc w:val="center"/>
              <w:rPr>
                <w:rFonts w:hint="eastAsia" w:ascii="宋体" w:hAnsi="宋体" w:eastAsia="宋体" w:cs="宋体"/>
                <w:i w:val="0"/>
                <w:iCs w:val="0"/>
                <w:color w:val="auto"/>
                <w:sz w:val="18"/>
                <w:szCs w:val="18"/>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CD7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59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13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10400.00</w:t>
            </w:r>
          </w:p>
        </w:tc>
      </w:tr>
    </w:tbl>
    <w:p w14:paraId="35E9256E">
      <w:pPr>
        <w:pStyle w:val="20"/>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6、本报价非最后报价，磋商小组将在苏采云系统向实质性响应的供应商发布“最后报价要求函”及最后报价格式表，要求供应商在规定时间内提交最后报价。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6336D8A">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cols w:space="720" w:num="1"/>
        </w:sectPr>
      </w:pPr>
    </w:p>
    <w:p w14:paraId="67892972">
      <w:pPr>
        <w:pStyle w:val="20"/>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1407D8A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0C102BA9">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63679875">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1850A4D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68D0618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D3A9CA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6C98DBB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F31803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69100F73">
      <w:pPr>
        <w:spacing w:line="500" w:lineRule="exact"/>
        <w:ind w:firstLine="482"/>
        <w:rPr>
          <w:rFonts w:ascii="Times New Roman" w:hAnsi="Times New Roman"/>
          <w:color w:val="auto"/>
          <w:sz w:val="24"/>
          <w:highlight w:val="none"/>
        </w:rPr>
      </w:pPr>
    </w:p>
    <w:p w14:paraId="282D9056">
      <w:pPr>
        <w:spacing w:line="500" w:lineRule="exact"/>
        <w:rPr>
          <w:rFonts w:ascii="Times New Roman" w:hAnsi="Times New Roman"/>
          <w:color w:val="auto"/>
          <w:sz w:val="24"/>
          <w:highlight w:val="none"/>
        </w:rPr>
      </w:pPr>
    </w:p>
    <w:p w14:paraId="7706F9BF">
      <w:pPr>
        <w:spacing w:line="500" w:lineRule="exact"/>
        <w:rPr>
          <w:rFonts w:ascii="Times New Roman" w:hAnsi="Times New Roman"/>
          <w:bCs/>
          <w:color w:val="auto"/>
          <w:sz w:val="24"/>
          <w:szCs w:val="21"/>
          <w:highlight w:val="none"/>
        </w:rPr>
      </w:pPr>
    </w:p>
    <w:p w14:paraId="61A811AA">
      <w:pPr>
        <w:spacing w:line="500" w:lineRule="exact"/>
        <w:rPr>
          <w:rFonts w:ascii="Times New Roman" w:hAnsi="Times New Roman"/>
          <w:bCs/>
          <w:color w:val="auto"/>
          <w:sz w:val="24"/>
          <w:szCs w:val="21"/>
          <w:highlight w:val="none"/>
        </w:rPr>
      </w:pPr>
    </w:p>
    <w:p w14:paraId="07BA9B93">
      <w:pPr>
        <w:spacing w:line="500" w:lineRule="exact"/>
        <w:rPr>
          <w:rFonts w:ascii="Times New Roman" w:hAnsi="Times New Roman"/>
          <w:bCs/>
          <w:color w:val="auto"/>
          <w:sz w:val="24"/>
          <w:szCs w:val="21"/>
          <w:highlight w:val="none"/>
        </w:rPr>
      </w:pPr>
    </w:p>
    <w:p w14:paraId="1CEF10B3">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1A6062A5">
      <w:pPr>
        <w:spacing w:line="460" w:lineRule="exact"/>
        <w:jc w:val="right"/>
        <w:rPr>
          <w:rFonts w:ascii="Times New Roman" w:hAnsi="Times New Roman"/>
          <w:bCs/>
          <w:color w:val="auto"/>
          <w:sz w:val="24"/>
          <w:szCs w:val="21"/>
          <w:highlight w:val="none"/>
        </w:rPr>
      </w:pPr>
    </w:p>
    <w:p w14:paraId="7EB50F95">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0323B773">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97"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0C41750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4633FEAA">
      <w:pPr>
        <w:spacing w:line="480" w:lineRule="exact"/>
        <w:rPr>
          <w:rFonts w:ascii="Times New Roman" w:hAnsi="Times New Roman"/>
          <w:color w:val="auto"/>
          <w:sz w:val="24"/>
          <w:szCs w:val="24"/>
          <w:highlight w:val="none"/>
        </w:rPr>
      </w:pPr>
    </w:p>
    <w:p w14:paraId="53BD9E28">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2C69505B">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5F3C7525">
      <w:pPr>
        <w:spacing w:line="480" w:lineRule="exact"/>
        <w:ind w:firstLine="480"/>
        <w:rPr>
          <w:rFonts w:ascii="Times New Roman" w:hAnsi="Times New Roman"/>
          <w:color w:val="auto"/>
          <w:sz w:val="24"/>
          <w:szCs w:val="24"/>
          <w:highlight w:val="none"/>
        </w:rPr>
      </w:pPr>
    </w:p>
    <w:p w14:paraId="2D66EE39">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60CDDC1E">
      <w:pPr>
        <w:spacing w:line="600" w:lineRule="exact"/>
        <w:rPr>
          <w:rFonts w:ascii="Times New Roman" w:hAnsi="Times New Roman"/>
          <w:b/>
          <w:color w:val="auto"/>
          <w:sz w:val="24"/>
          <w:szCs w:val="24"/>
          <w:highlight w:val="none"/>
        </w:rPr>
      </w:pPr>
    </w:p>
    <w:p w14:paraId="54825BD0">
      <w:pPr>
        <w:rPr>
          <w:rFonts w:ascii="Times New Roman" w:hAnsi="Times New Roman"/>
          <w:b/>
          <w:color w:val="auto"/>
          <w:sz w:val="24"/>
          <w:szCs w:val="21"/>
          <w:highlight w:val="none"/>
        </w:rPr>
      </w:pPr>
    </w:p>
    <w:p w14:paraId="28093080">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03967499">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3E03B9BE">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lang w:eastAsia="zh-CN"/>
        </w:rPr>
        <w:t>：</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2FF995A7">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14EEE32A">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2B8D7E4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6E323039">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670F10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5DB1F77">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98" w:name="_Hlt26671380"/>
      <w:bookmarkEnd w:id="198"/>
      <w:bookmarkStart w:id="199" w:name="_Hlt26955070"/>
      <w:bookmarkEnd w:id="199"/>
      <w:bookmarkStart w:id="200" w:name="_格式3__银行出具的资信证明"/>
      <w:bookmarkEnd w:id="200"/>
    </w:p>
    <w:p w14:paraId="4252D91E">
      <w:pPr>
        <w:tabs>
          <w:tab w:val="left" w:pos="360"/>
        </w:tabs>
        <w:ind w:firstLine="480" w:firstLineChars="200"/>
        <w:rPr>
          <w:rFonts w:ascii="Times New Roman" w:hAnsi="Times New Roman"/>
          <w:color w:val="auto"/>
          <w:sz w:val="24"/>
          <w:szCs w:val="24"/>
          <w:highlight w:val="none"/>
          <w:u w:val="single"/>
        </w:rPr>
      </w:pPr>
    </w:p>
    <w:p w14:paraId="7F603946">
      <w:pPr>
        <w:rPr>
          <w:rFonts w:ascii="Times New Roman" w:hAnsi="Times New Roman"/>
          <w:i/>
          <w:color w:val="auto"/>
          <w:sz w:val="24"/>
          <w:szCs w:val="24"/>
          <w:highlight w:val="none"/>
          <w:u w:val="single"/>
        </w:rPr>
      </w:pPr>
    </w:p>
    <w:p w14:paraId="2982296B">
      <w:pPr>
        <w:rPr>
          <w:rFonts w:ascii="Times New Roman" w:hAnsi="Times New Roman"/>
          <w:color w:val="auto"/>
          <w:szCs w:val="21"/>
          <w:highlight w:val="none"/>
        </w:rPr>
      </w:pPr>
    </w:p>
    <w:p w14:paraId="017BB26F">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007FB5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28971CB4">
      <w:pPr>
        <w:tabs>
          <w:tab w:val="left" w:pos="360"/>
        </w:tabs>
        <w:spacing w:line="0" w:lineRule="atLeast"/>
        <w:rPr>
          <w:rFonts w:hint="eastAsia" w:ascii="Times New Roman" w:hAnsi="Times New Roman"/>
          <w:b/>
          <w:color w:val="auto"/>
          <w:sz w:val="24"/>
          <w:szCs w:val="21"/>
          <w:highlight w:val="none"/>
          <w:lang w:eastAsia="zh-CN"/>
        </w:rPr>
      </w:pPr>
      <w:r>
        <w:rPr>
          <w:rFonts w:hint="eastAsia" w:ascii="Times New Roman" w:hAnsi="Times New Roman"/>
          <w:b/>
          <w:bCs/>
          <w:color w:val="auto"/>
          <w:sz w:val="24"/>
          <w:szCs w:val="24"/>
          <w:highlight w:val="none"/>
          <w:lang w:eastAsia="zh-CN"/>
        </w:rPr>
        <w:t>附件</w:t>
      </w:r>
      <w:r>
        <w:rPr>
          <w:rFonts w:hint="eastAsia" w:ascii="Times New Roman" w:hAnsi="Times New Roman"/>
          <w:b/>
          <w:bCs/>
          <w:color w:val="auto"/>
          <w:sz w:val="24"/>
          <w:szCs w:val="24"/>
          <w:highlight w:val="none"/>
          <w:lang w:val="en-US" w:eastAsia="zh-CN"/>
        </w:rPr>
        <w:t>5</w:t>
      </w:r>
    </w:p>
    <w:p w14:paraId="49124D19">
      <w:pPr>
        <w:spacing w:line="360" w:lineRule="auto"/>
        <w:ind w:firstLine="64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磋商响应函</w:t>
      </w:r>
    </w:p>
    <w:p w14:paraId="2D002694">
      <w:pPr>
        <w:spacing w:line="420" w:lineRule="exact"/>
        <w:jc w:val="left"/>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致：</w:t>
      </w:r>
      <w:r>
        <w:rPr>
          <w:rFonts w:hint="eastAsia" w:ascii="宋体" w:hAnsi="宋体" w:cs="宋体"/>
          <w:color w:val="auto"/>
          <w:sz w:val="24"/>
          <w:szCs w:val="21"/>
          <w:highlight w:val="none"/>
          <w:u w:val="single"/>
          <w:lang w:val="en-US" w:eastAsia="zh-CN"/>
        </w:rPr>
        <w:t>如东县丰利中学</w:t>
      </w:r>
    </w:p>
    <w:p w14:paraId="059D9BE2">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（项目编号</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）磋商文件，正式授权下述被授权人______(姓名)代表我方______________（供应商的名称），全权处理本次项目磋商的有关事宜。</w:t>
      </w:r>
    </w:p>
    <w:p w14:paraId="3DB35FE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据此函，被授权人__________（姓名）兹宣布同意如下：</w:t>
      </w:r>
    </w:p>
    <w:p w14:paraId="618EC41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1.按磋商文件规定的各项要求，向买方提供所需货物、服务（包含与货物相关的服务及与服务相关的货物）</w:t>
      </w:r>
      <w:r>
        <w:rPr>
          <w:rFonts w:hint="eastAsia" w:ascii="宋体" w:hAnsi="宋体" w:eastAsia="宋体" w:cs="宋体"/>
          <w:color w:val="auto"/>
          <w:sz w:val="24"/>
          <w:szCs w:val="21"/>
          <w:highlight w:val="none"/>
          <w:lang w:eastAsia="zh-CN"/>
        </w:rPr>
        <w:t>、工程等</w:t>
      </w:r>
      <w:r>
        <w:rPr>
          <w:rFonts w:hint="eastAsia" w:ascii="宋体" w:hAnsi="宋体" w:eastAsia="宋体" w:cs="宋体"/>
          <w:color w:val="auto"/>
          <w:sz w:val="24"/>
          <w:szCs w:val="21"/>
          <w:highlight w:val="none"/>
        </w:rPr>
        <w:t>。</w:t>
      </w:r>
    </w:p>
    <w:p w14:paraId="0B56C3D6">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2.我们完全理解贵方不一定将合同授予最低报价的供应商。</w:t>
      </w:r>
    </w:p>
    <w:p w14:paraId="1D6C13E8">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3.我们已详细审核全部磋商文件及其有效补充文件，我们知道必须放弃提出含糊不清或误解问题的权利。</w:t>
      </w:r>
    </w:p>
    <w:p w14:paraId="15F10021">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4.我们同意从规定的开标日期起遵循本响应文件，并在规定的磋商有效期期满之前均具有约束力。</w:t>
      </w:r>
    </w:p>
    <w:p w14:paraId="3E14A12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5.同意向贵方提供贵方可能另外要求的与磋商有关的任何证据或资料，并保证我方已提供和将要提供的文件是真实的、准确的。</w:t>
      </w:r>
    </w:p>
    <w:p w14:paraId="1F95A400">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6.一旦我方成交,我方将根据磋商文件的规定，严格履行合同的责任和义务,并保证在磋商文件规定的时间完成项目，交付买方验收、使用。</w:t>
      </w:r>
    </w:p>
    <w:p w14:paraId="24172F69">
      <w:pPr>
        <w:spacing w:line="420" w:lineRule="exact"/>
        <w:ind w:left="425"/>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7.我方与本磋商有关的正式通讯地址为：</w:t>
      </w:r>
    </w:p>
    <w:p w14:paraId="499A7219">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p>
    <w:p w14:paraId="27A593DB">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          编：</w:t>
      </w:r>
    </w:p>
    <w:p w14:paraId="169D2D8C">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14:paraId="2413AB95">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14:paraId="49C97036">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供应商开户行：</w:t>
      </w:r>
    </w:p>
    <w:p w14:paraId="2DBDD9E2">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账          号： </w:t>
      </w:r>
    </w:p>
    <w:p w14:paraId="08936915">
      <w:pPr>
        <w:spacing w:line="560" w:lineRule="exact"/>
        <w:rPr>
          <w:rFonts w:hint="eastAsia" w:ascii="宋体" w:hAnsi="宋体" w:eastAsia="宋体" w:cs="宋体"/>
          <w:bCs/>
          <w:color w:val="auto"/>
          <w:sz w:val="24"/>
          <w:szCs w:val="21"/>
          <w:highlight w:val="none"/>
        </w:rPr>
      </w:pPr>
    </w:p>
    <w:p w14:paraId="78F4B693">
      <w:pPr>
        <w:spacing w:line="600" w:lineRule="exact"/>
        <w:ind w:firstLine="4454" w:firstLineChars="1856"/>
        <w:rPr>
          <w:rFonts w:hint="eastAsia" w:ascii="宋体" w:hAnsi="宋体" w:eastAsia="宋体" w:cs="宋体"/>
          <w:color w:val="auto"/>
          <w:highlight w:val="none"/>
        </w:rPr>
      </w:pPr>
      <w:r>
        <w:rPr>
          <w:rFonts w:hint="eastAsia" w:ascii="宋体" w:hAnsi="宋体" w:eastAsia="宋体" w:cs="宋体"/>
          <w:bCs/>
          <w:color w:val="auto"/>
          <w:sz w:val="24"/>
          <w:szCs w:val="21"/>
          <w:highlight w:val="none"/>
        </w:rPr>
        <w:t>投标人名称（加盖CA电子公章）：</w:t>
      </w:r>
    </w:p>
    <w:p w14:paraId="17DDF787">
      <w:pPr>
        <w:pStyle w:val="20"/>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D330DF8">
      <w:pPr>
        <w:rPr>
          <w:rFonts w:hint="eastAsia" w:ascii="Times New Roman" w:hAnsi="Times New Roman"/>
          <w:b/>
          <w:color w:val="auto"/>
          <w:sz w:val="24"/>
          <w:szCs w:val="21"/>
          <w:highlight w:val="none"/>
          <w:lang w:eastAsia="zh-CN"/>
        </w:rPr>
      </w:pPr>
    </w:p>
    <w:p w14:paraId="281A08DE">
      <w:pPr>
        <w:rPr>
          <w:rFonts w:hint="eastAsia" w:ascii="Times New Roman" w:hAnsi="Times New Roman"/>
          <w:b/>
          <w:color w:val="auto"/>
          <w:sz w:val="24"/>
          <w:szCs w:val="21"/>
          <w:highlight w:val="none"/>
          <w:lang w:eastAsia="zh-CN"/>
        </w:rPr>
      </w:pPr>
    </w:p>
    <w:p w14:paraId="7881E04B">
      <w:pPr>
        <w:rPr>
          <w:rFonts w:hint="eastAsia" w:ascii="Times New Roman" w:hAnsi="Times New Roman"/>
          <w:b/>
          <w:color w:val="auto"/>
          <w:sz w:val="24"/>
          <w:szCs w:val="21"/>
          <w:highlight w:val="none"/>
          <w:lang w:eastAsia="zh-CN"/>
        </w:rPr>
      </w:pPr>
    </w:p>
    <w:p w14:paraId="06E6C231">
      <w:pPr>
        <w:rPr>
          <w:rFonts w:hint="eastAsia" w:ascii="Times New Roman" w:hAnsi="Times New Roman"/>
          <w:b/>
          <w:color w:val="auto"/>
          <w:sz w:val="24"/>
          <w:szCs w:val="21"/>
          <w:highlight w:val="none"/>
          <w:lang w:eastAsia="zh-CN"/>
        </w:rPr>
      </w:pPr>
    </w:p>
    <w:p w14:paraId="4BD3765B">
      <w:pPr>
        <w:spacing w:line="360" w:lineRule="auto"/>
        <w:ind w:firstLine="640"/>
        <w:jc w:val="center"/>
        <w:rPr>
          <w:rFonts w:hint="eastAsia" w:ascii="宋体" w:hAnsi="宋体" w:cs="宋体"/>
          <w:b/>
          <w:bCs w:val="0"/>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5EBED">
      <w:pPr>
        <w:spacing w:before="240" w:line="312" w:lineRule="auto"/>
        <w:jc w:val="center"/>
        <w:rPr>
          <w:rFonts w:ascii="Times New Roman"/>
          <w:b/>
          <w:color w:val="auto"/>
          <w:sz w:val="32"/>
          <w:szCs w:val="32"/>
          <w:highlight w:val="none"/>
          <w:lang w:bidi="ar"/>
        </w:rPr>
      </w:pPr>
    </w:p>
    <w:p w14:paraId="551EA96C">
      <w:pPr>
        <w:spacing w:before="240" w:line="312" w:lineRule="auto"/>
        <w:jc w:val="center"/>
        <w:rPr>
          <w:rFonts w:ascii="Times New Roman"/>
          <w:b/>
          <w:color w:val="auto"/>
          <w:sz w:val="32"/>
          <w:szCs w:val="32"/>
          <w:highlight w:val="none"/>
          <w:lang w:bidi="ar"/>
        </w:rPr>
      </w:pPr>
    </w:p>
    <w:p w14:paraId="60258E77">
      <w:pPr>
        <w:spacing w:before="240" w:line="312" w:lineRule="auto"/>
        <w:jc w:val="center"/>
        <w:rPr>
          <w:rFonts w:ascii="Times New Roman"/>
          <w:b/>
          <w:color w:val="auto"/>
          <w:sz w:val="32"/>
          <w:szCs w:val="32"/>
          <w:highlight w:val="none"/>
          <w:lang w:bidi="ar"/>
        </w:rPr>
      </w:pPr>
    </w:p>
    <w:p w14:paraId="66BC8C98">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2DC7F6FE">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r>
        <w:rPr>
          <w:rFonts w:ascii="Times New Roman" w:hAnsi="Times New Roman"/>
          <w:b/>
          <w:color w:val="auto"/>
          <w:sz w:val="24"/>
          <w:szCs w:val="21"/>
          <w:highlight w:val="none"/>
        </w:rPr>
        <w:t xml:space="preserve"> </w:t>
      </w:r>
    </w:p>
    <w:p w14:paraId="6ECEA9E3">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57B73939">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BA7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69E67EA">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ABBAE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84E05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4D1398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6640A">
            <w:pPr>
              <w:spacing w:line="340" w:lineRule="exact"/>
              <w:jc w:val="center"/>
              <w:rPr>
                <w:rFonts w:ascii="Times New Roman" w:hAnsi="Times New Roman"/>
                <w:color w:val="auto"/>
                <w:sz w:val="24"/>
                <w:highlight w:val="none"/>
              </w:rPr>
            </w:pPr>
          </w:p>
          <w:p w14:paraId="470663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47EF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ACD3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1DE2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43A29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9252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3934B1F">
            <w:pPr>
              <w:spacing w:line="340" w:lineRule="exact"/>
              <w:jc w:val="left"/>
              <w:rPr>
                <w:rFonts w:ascii="Times New Roman" w:hAnsi="Times New Roman"/>
                <w:color w:val="auto"/>
                <w:sz w:val="24"/>
                <w:highlight w:val="none"/>
              </w:rPr>
            </w:pPr>
          </w:p>
        </w:tc>
      </w:tr>
      <w:tr w14:paraId="59BA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C4FE2B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8F5098B">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EF32D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6C0AF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AC9AAD">
            <w:pPr>
              <w:spacing w:line="340" w:lineRule="exact"/>
              <w:jc w:val="left"/>
              <w:rPr>
                <w:rFonts w:ascii="Times New Roman" w:hAnsi="Times New Roman"/>
                <w:color w:val="auto"/>
                <w:sz w:val="24"/>
                <w:highlight w:val="none"/>
              </w:rPr>
            </w:pPr>
          </w:p>
        </w:tc>
      </w:tr>
      <w:tr w14:paraId="7B2D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84D65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84D62D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EBFF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2B7A5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FBC0D">
            <w:pPr>
              <w:spacing w:line="340" w:lineRule="exact"/>
              <w:jc w:val="left"/>
              <w:rPr>
                <w:rFonts w:ascii="Times New Roman" w:hAnsi="Times New Roman"/>
                <w:color w:val="auto"/>
                <w:sz w:val="24"/>
                <w:highlight w:val="none"/>
              </w:rPr>
            </w:pPr>
          </w:p>
        </w:tc>
      </w:tr>
      <w:tr w14:paraId="128F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50FB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E25A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CFA67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4C76D0">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69155">
            <w:pPr>
              <w:spacing w:line="340" w:lineRule="exact"/>
              <w:jc w:val="left"/>
              <w:rPr>
                <w:rFonts w:ascii="Times New Roman" w:hAnsi="Times New Roman"/>
                <w:color w:val="auto"/>
                <w:sz w:val="24"/>
                <w:highlight w:val="none"/>
              </w:rPr>
            </w:pPr>
          </w:p>
        </w:tc>
      </w:tr>
    </w:tbl>
    <w:p w14:paraId="00F78BC6">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6AE1BE5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A7E40A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6DFE10B">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18C0BEA1">
      <w:pPr>
        <w:snapToGrid w:val="0"/>
        <w:spacing w:line="300" w:lineRule="auto"/>
        <w:contextualSpacing/>
        <w:rPr>
          <w:rFonts w:ascii="Times New Roman" w:hAnsi="Times New Roman"/>
          <w:b w:val="0"/>
          <w:bCs/>
          <w:color w:val="auto"/>
          <w:sz w:val="24"/>
          <w:szCs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13276E6C">
      <w:pPr>
        <w:spacing w:before="83" w:line="472" w:lineRule="auto"/>
        <w:ind w:left="57" w:right="5365" w:hanging="36"/>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C39A63F">
      <w:pPr>
        <w:snapToGrid w:val="0"/>
        <w:spacing w:line="300" w:lineRule="auto"/>
        <w:contextualSpacing/>
        <w:rPr>
          <w:rFonts w:ascii="Times New Roman" w:hAnsi="Times New Roman"/>
          <w:b/>
          <w:color w:val="auto"/>
          <w:sz w:val="24"/>
          <w:szCs w:val="24"/>
          <w:highlight w:val="none"/>
        </w:rPr>
      </w:pPr>
    </w:p>
    <w:p w14:paraId="0619AC27">
      <w:pPr>
        <w:snapToGrid w:val="0"/>
        <w:spacing w:line="300" w:lineRule="auto"/>
        <w:contextualSpacing/>
        <w:rPr>
          <w:rFonts w:ascii="Times New Roman" w:hAnsi="Times New Roman"/>
          <w:b/>
          <w:color w:val="auto"/>
          <w:sz w:val="24"/>
          <w:szCs w:val="24"/>
          <w:highlight w:val="none"/>
        </w:rPr>
      </w:pPr>
    </w:p>
    <w:p w14:paraId="19134D41">
      <w:pPr>
        <w:snapToGrid w:val="0"/>
        <w:spacing w:line="300" w:lineRule="auto"/>
        <w:contextualSpacing/>
        <w:rPr>
          <w:rFonts w:ascii="Times New Roman" w:hAnsi="Times New Roman"/>
          <w:b/>
          <w:color w:val="auto"/>
          <w:sz w:val="24"/>
          <w:szCs w:val="24"/>
          <w:highlight w:val="none"/>
        </w:rPr>
      </w:pPr>
    </w:p>
    <w:p w14:paraId="3C6D4BBA">
      <w:pPr>
        <w:snapToGrid w:val="0"/>
        <w:spacing w:line="300" w:lineRule="auto"/>
        <w:contextualSpacing/>
        <w:rPr>
          <w:rFonts w:ascii="Times New Roman" w:hAnsi="Times New Roman"/>
          <w:b/>
          <w:color w:val="auto"/>
          <w:sz w:val="24"/>
          <w:szCs w:val="24"/>
          <w:highlight w:val="none"/>
        </w:rPr>
      </w:pPr>
    </w:p>
    <w:p w14:paraId="1A2011EF">
      <w:pPr>
        <w:snapToGrid w:val="0"/>
        <w:spacing w:line="300" w:lineRule="auto"/>
        <w:contextualSpacing/>
        <w:rPr>
          <w:rFonts w:ascii="Times New Roman" w:hAnsi="Times New Roman"/>
          <w:b/>
          <w:color w:val="auto"/>
          <w:sz w:val="24"/>
          <w:szCs w:val="24"/>
          <w:highlight w:val="none"/>
        </w:rPr>
      </w:pPr>
    </w:p>
    <w:p w14:paraId="786037D4">
      <w:pPr>
        <w:snapToGrid w:val="0"/>
        <w:spacing w:line="300" w:lineRule="auto"/>
        <w:contextualSpacing/>
        <w:rPr>
          <w:rFonts w:ascii="Times New Roman" w:hAnsi="Times New Roman"/>
          <w:b/>
          <w:color w:val="auto"/>
          <w:sz w:val="24"/>
          <w:szCs w:val="24"/>
          <w:highlight w:val="none"/>
        </w:rPr>
      </w:pPr>
    </w:p>
    <w:p w14:paraId="25BC1AE4">
      <w:pPr>
        <w:snapToGrid w:val="0"/>
        <w:spacing w:line="300" w:lineRule="auto"/>
        <w:contextualSpacing/>
        <w:rPr>
          <w:rFonts w:ascii="Times New Roman" w:hAnsi="Times New Roman"/>
          <w:color w:val="auto"/>
          <w:sz w:val="24"/>
          <w:highlight w:val="none"/>
        </w:rPr>
      </w:pPr>
    </w:p>
    <w:p w14:paraId="42B6C575">
      <w:pPr>
        <w:pStyle w:val="2"/>
        <w:rPr>
          <w:rFonts w:ascii="Times New Roman" w:hAnsi="Times New Roman"/>
          <w:color w:val="auto"/>
          <w:highlight w:val="none"/>
        </w:rPr>
      </w:pPr>
    </w:p>
    <w:p w14:paraId="1E19F941">
      <w:pPr>
        <w:ind w:left="480"/>
        <w:rPr>
          <w:rFonts w:ascii="Times New Roman" w:hAnsi="Times New Roman"/>
          <w:b/>
          <w:i/>
          <w:color w:val="auto"/>
          <w:sz w:val="24"/>
          <w:szCs w:val="21"/>
          <w:highlight w:val="none"/>
          <w:u w:val="single"/>
        </w:rPr>
      </w:pPr>
    </w:p>
    <w:p w14:paraId="53B76141">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8</w:t>
      </w:r>
    </w:p>
    <w:p w14:paraId="03142A12">
      <w:pPr>
        <w:rPr>
          <w:rFonts w:ascii="Times New Roman" w:hAnsi="Times New Roman"/>
          <w:b/>
          <w:color w:val="auto"/>
          <w:sz w:val="24"/>
          <w:szCs w:val="21"/>
          <w:highlight w:val="none"/>
        </w:rPr>
      </w:pPr>
    </w:p>
    <w:p w14:paraId="79D1F36F">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1BC557D">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704E2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D44267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84B7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6BACA5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12F5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E82C21">
            <w:pPr>
              <w:spacing w:line="340" w:lineRule="exact"/>
              <w:jc w:val="center"/>
              <w:rPr>
                <w:rFonts w:ascii="Times New Roman" w:hAnsi="Times New Roman"/>
                <w:color w:val="auto"/>
                <w:sz w:val="24"/>
                <w:highlight w:val="none"/>
              </w:rPr>
            </w:pPr>
          </w:p>
          <w:p w14:paraId="30F558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6D97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09B0CF7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2DD279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66A7A7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E3E7D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CF3504">
            <w:pPr>
              <w:spacing w:line="340" w:lineRule="exact"/>
              <w:jc w:val="left"/>
              <w:rPr>
                <w:rFonts w:ascii="Times New Roman" w:hAnsi="Times New Roman"/>
                <w:color w:val="auto"/>
                <w:sz w:val="24"/>
                <w:highlight w:val="none"/>
              </w:rPr>
            </w:pPr>
          </w:p>
        </w:tc>
      </w:tr>
      <w:tr w14:paraId="76CE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87BB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A999FB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12049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6A36C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AC3109A">
            <w:pPr>
              <w:spacing w:line="340" w:lineRule="exact"/>
              <w:jc w:val="left"/>
              <w:rPr>
                <w:rFonts w:ascii="Times New Roman" w:hAnsi="Times New Roman"/>
                <w:color w:val="auto"/>
                <w:sz w:val="24"/>
                <w:highlight w:val="none"/>
              </w:rPr>
            </w:pPr>
          </w:p>
        </w:tc>
      </w:tr>
      <w:tr w14:paraId="4831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6B9BB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95EF6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98BA002">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6801A0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EB51483">
            <w:pPr>
              <w:spacing w:line="340" w:lineRule="exact"/>
              <w:jc w:val="left"/>
              <w:rPr>
                <w:rFonts w:ascii="Times New Roman" w:hAnsi="Times New Roman"/>
                <w:color w:val="auto"/>
                <w:sz w:val="24"/>
                <w:highlight w:val="none"/>
              </w:rPr>
            </w:pPr>
          </w:p>
        </w:tc>
      </w:tr>
      <w:tr w14:paraId="1EAF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EF3CBF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CBA32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FD323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D6C5E3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FD22CD">
            <w:pPr>
              <w:spacing w:line="340" w:lineRule="exact"/>
              <w:jc w:val="left"/>
              <w:rPr>
                <w:rFonts w:ascii="Times New Roman" w:hAnsi="Times New Roman"/>
                <w:color w:val="auto"/>
                <w:sz w:val="24"/>
                <w:highlight w:val="none"/>
              </w:rPr>
            </w:pPr>
          </w:p>
        </w:tc>
      </w:tr>
    </w:tbl>
    <w:p w14:paraId="1EC8C2B1">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5E414B0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w:t>
      </w:r>
      <w:r>
        <w:rPr>
          <w:rFonts w:hint="eastAsia" w:ascii="宋体" w:hAnsi="宋体"/>
          <w:color w:val="auto"/>
          <w:sz w:val="24"/>
          <w:highlight w:val="none"/>
          <w:lang w:val="en-US" w:eastAsia="zh-CN"/>
        </w:rPr>
        <w:t>章</w:t>
      </w:r>
      <w:r>
        <w:rPr>
          <w:rFonts w:hint="eastAsia" w:ascii="宋体" w:hAnsi="宋体"/>
          <w:color w:val="auto"/>
          <w:sz w:val="24"/>
          <w:highlight w:val="none"/>
        </w:rPr>
        <w:t>“采购需求”中的技术部分的要求如有偏离的，应逐条填列在偏离表中。如果磋商文件要求提供证明材料，供应商需将证明材料列于该表之下。</w:t>
      </w:r>
    </w:p>
    <w:p w14:paraId="108698E6">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5E4AA7C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9D7CEE0">
      <w:pPr>
        <w:rPr>
          <w:rFonts w:hint="eastAsia" w:ascii="宋体" w:hAnsi="宋体"/>
          <w:b/>
          <w:color w:val="auto"/>
          <w:sz w:val="24"/>
          <w:szCs w:val="21"/>
          <w:highlight w:val="non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E2191EB">
      <w:pPr>
        <w:spacing w:before="83" w:line="472" w:lineRule="auto"/>
        <w:ind w:left="57" w:right="5365" w:hanging="36"/>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2DCE2514">
      <w:pPr>
        <w:rPr>
          <w:rFonts w:ascii="Times New Roman" w:hAnsi="Times New Roman"/>
          <w:b/>
          <w:color w:val="auto"/>
          <w:sz w:val="24"/>
          <w:szCs w:val="21"/>
          <w:highlight w:val="none"/>
        </w:rPr>
      </w:pPr>
    </w:p>
    <w:p w14:paraId="04928AE2">
      <w:pPr>
        <w:rPr>
          <w:rFonts w:ascii="Times New Roman" w:hAnsi="Times New Roman"/>
          <w:b/>
          <w:color w:val="auto"/>
          <w:sz w:val="24"/>
          <w:szCs w:val="21"/>
          <w:highlight w:val="none"/>
        </w:rPr>
      </w:pPr>
    </w:p>
    <w:p w14:paraId="1B16B749">
      <w:pPr>
        <w:rPr>
          <w:rFonts w:ascii="Times New Roman" w:hAnsi="Times New Roman"/>
          <w:b/>
          <w:color w:val="auto"/>
          <w:sz w:val="24"/>
          <w:szCs w:val="21"/>
          <w:highlight w:val="none"/>
        </w:rPr>
      </w:pPr>
    </w:p>
    <w:p w14:paraId="6FB9386C">
      <w:pPr>
        <w:jc w:val="center"/>
        <w:rPr>
          <w:rFonts w:ascii="Times New Roman" w:hAnsi="Times New Roman"/>
          <w:b/>
          <w:color w:val="auto"/>
          <w:sz w:val="24"/>
          <w:szCs w:val="21"/>
          <w:highlight w:val="none"/>
        </w:rPr>
      </w:pPr>
    </w:p>
    <w:p w14:paraId="3857BBAC">
      <w:pPr>
        <w:jc w:val="center"/>
        <w:rPr>
          <w:rFonts w:ascii="Times New Roman" w:hAnsi="Times New Roman"/>
          <w:b/>
          <w:color w:val="auto"/>
          <w:sz w:val="24"/>
          <w:szCs w:val="21"/>
          <w:highlight w:val="none"/>
        </w:rPr>
      </w:pPr>
    </w:p>
    <w:p w14:paraId="41C5017A">
      <w:pPr>
        <w:jc w:val="center"/>
        <w:rPr>
          <w:rFonts w:ascii="Times New Roman" w:hAnsi="Times New Roman"/>
          <w:b/>
          <w:color w:val="auto"/>
          <w:sz w:val="24"/>
          <w:szCs w:val="21"/>
          <w:highlight w:val="none"/>
        </w:rPr>
      </w:pPr>
    </w:p>
    <w:p w14:paraId="1D381BE8">
      <w:pPr>
        <w:jc w:val="center"/>
        <w:rPr>
          <w:rFonts w:ascii="Times New Roman" w:hAnsi="Times New Roman"/>
          <w:b/>
          <w:color w:val="auto"/>
          <w:sz w:val="24"/>
          <w:szCs w:val="21"/>
          <w:highlight w:val="none"/>
        </w:rPr>
      </w:pPr>
    </w:p>
    <w:p w14:paraId="3650DE06">
      <w:pPr>
        <w:rPr>
          <w:rFonts w:ascii="Times New Roman" w:hAnsi="Times New Roman"/>
          <w:b/>
          <w:color w:val="auto"/>
          <w:sz w:val="24"/>
          <w:szCs w:val="21"/>
          <w:highlight w:val="none"/>
        </w:rPr>
      </w:pPr>
    </w:p>
    <w:p w14:paraId="38EA0B77">
      <w:pPr>
        <w:pStyle w:val="2"/>
        <w:rPr>
          <w:rFonts w:hint="eastAsia"/>
          <w:color w:val="auto"/>
          <w:highlight w:val="none"/>
        </w:rPr>
      </w:pPr>
    </w:p>
    <w:p w14:paraId="1B71121F">
      <w:pPr>
        <w:rPr>
          <w:color w:val="auto"/>
          <w:highlight w:val="none"/>
        </w:rPr>
      </w:pPr>
    </w:p>
    <w:p w14:paraId="0436EC10">
      <w:pPr>
        <w:pStyle w:val="2"/>
        <w:rPr>
          <w:rFonts w:hint="eastAsia"/>
          <w:color w:val="auto"/>
          <w:highlight w:val="none"/>
        </w:rPr>
      </w:pPr>
    </w:p>
    <w:p w14:paraId="4AC8145D">
      <w:pPr>
        <w:rPr>
          <w:color w:val="auto"/>
          <w:highlight w:val="none"/>
        </w:rPr>
      </w:pPr>
    </w:p>
    <w:p w14:paraId="1B588669">
      <w:pPr>
        <w:pStyle w:val="2"/>
        <w:rPr>
          <w:rFonts w:hint="eastAsia"/>
          <w:color w:val="auto"/>
          <w:highlight w:val="none"/>
        </w:rPr>
      </w:pPr>
    </w:p>
    <w:p w14:paraId="4BB9EB1F">
      <w:pPr>
        <w:rPr>
          <w:color w:val="auto"/>
          <w:highlight w:val="none"/>
        </w:rPr>
      </w:pPr>
    </w:p>
    <w:p w14:paraId="4F46DB64">
      <w:pPr>
        <w:snapToGrid w:val="0"/>
        <w:spacing w:line="300" w:lineRule="auto"/>
        <w:contextualSpacing/>
        <w:rPr>
          <w:rFonts w:ascii="Times New Roman" w:hAnsi="Times New Roman"/>
          <w:b/>
          <w:color w:val="auto"/>
          <w:sz w:val="24"/>
          <w:szCs w:val="21"/>
          <w:highlight w:val="none"/>
        </w:rPr>
      </w:pPr>
    </w:p>
    <w:p w14:paraId="25707B07">
      <w:pPr>
        <w:snapToGrid w:val="0"/>
        <w:spacing w:line="300" w:lineRule="auto"/>
        <w:contextualSpacing/>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9</w:t>
      </w:r>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spacing w:line="400" w:lineRule="exact"/>
        <w:ind w:right="720"/>
        <w:rPr>
          <w:rFonts w:hint="eastAsia" w:ascii="宋体" w:hAnsi="宋体" w:cs="宋体"/>
          <w:color w:val="auto"/>
          <w:sz w:val="24"/>
          <w:szCs w:val="24"/>
          <w:highlight w:val="none"/>
        </w:rPr>
      </w:pPr>
    </w:p>
    <w:p w14:paraId="39CF4F8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006551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1、参照《政府采购促进中小企业发展管理办法》（财库﹝2020﹞46 号）的第四条，本次采购的</w:t>
      </w:r>
      <w:r>
        <w:rPr>
          <w:rFonts w:hint="eastAsia" w:ascii="宋体" w:hAnsi="宋体" w:eastAsia="宋体" w:cs="宋体"/>
          <w:color w:val="auto"/>
          <w:sz w:val="24"/>
          <w:szCs w:val="24"/>
          <w:highlight w:val="none"/>
          <w:u w:val="single"/>
        </w:rPr>
        <w:t xml:space="preserve"> 工程 </w:t>
      </w:r>
      <w:r>
        <w:rPr>
          <w:rFonts w:hint="eastAsia" w:ascii="宋体" w:hAnsi="宋体" w:eastAsia="宋体" w:cs="宋体"/>
          <w:color w:val="auto"/>
          <w:sz w:val="24"/>
          <w:szCs w:val="24"/>
          <w:highlight w:val="none"/>
        </w:rPr>
        <w:t>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B02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4921B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27B1EDAE">
      <w:pPr>
        <w:spacing w:line="400" w:lineRule="exact"/>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10</w:t>
      </w:r>
    </w:p>
    <w:p w14:paraId="5DEDA3C9">
      <w:pPr>
        <w:spacing w:line="460" w:lineRule="exact"/>
        <w:jc w:val="center"/>
        <w:rPr>
          <w:rFonts w:ascii="Times New Roman" w:hAnsi="Times New Roman"/>
          <w:b/>
          <w:color w:val="auto"/>
          <w:kern w:val="0"/>
          <w:sz w:val="32"/>
          <w:szCs w:val="32"/>
          <w:highlight w:val="none"/>
        </w:rPr>
      </w:pP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2"/>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2"/>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6D264590">
      <w:pPr>
        <w:snapToGrid w:val="0"/>
        <w:spacing w:line="420" w:lineRule="exact"/>
        <w:outlineLvl w:val="3"/>
        <w:rPr>
          <w:rFonts w:hint="eastAsia" w:ascii="宋体" w:hAnsi="宋体" w:cs="宋体"/>
          <w:b/>
          <w:color w:val="auto"/>
          <w:sz w:val="24"/>
          <w:szCs w:val="24"/>
          <w:highlight w:val="none"/>
        </w:rPr>
      </w:pPr>
    </w:p>
    <w:p w14:paraId="529C2341">
      <w:pPr>
        <w:snapToGrid w:val="0"/>
        <w:spacing w:line="420" w:lineRule="exact"/>
        <w:outlineLvl w:val="3"/>
        <w:rPr>
          <w:rFonts w:hint="eastAsia" w:ascii="宋体" w:hAnsi="宋体" w:cs="宋体"/>
          <w:b/>
          <w:color w:val="auto"/>
          <w:sz w:val="24"/>
          <w:szCs w:val="24"/>
          <w:highlight w:val="none"/>
        </w:rPr>
      </w:pPr>
    </w:p>
    <w:p w14:paraId="1D4CA19A">
      <w:pPr>
        <w:snapToGrid w:val="0"/>
        <w:spacing w:line="420" w:lineRule="exact"/>
        <w:outlineLvl w:val="3"/>
        <w:rPr>
          <w:rFonts w:hint="eastAsia" w:ascii="宋体" w:hAnsi="宋体" w:cs="宋体"/>
          <w:b/>
          <w:color w:val="auto"/>
          <w:sz w:val="24"/>
          <w:szCs w:val="24"/>
          <w:highlight w:val="none"/>
        </w:rPr>
      </w:pPr>
    </w:p>
    <w:p w14:paraId="6494BF75">
      <w:pPr>
        <w:snapToGrid w:val="0"/>
        <w:spacing w:line="420" w:lineRule="exact"/>
        <w:outlineLvl w:val="3"/>
        <w:rPr>
          <w:rFonts w:ascii="Times New Roman" w:hAnsi="Times New Roman"/>
          <w:b/>
          <w:color w:val="auto"/>
          <w:sz w:val="24"/>
          <w:szCs w:val="24"/>
          <w:highlight w:val="none"/>
        </w:rPr>
      </w:pPr>
    </w:p>
    <w:p w14:paraId="27933E64">
      <w:pPr>
        <w:snapToGrid w:val="0"/>
        <w:spacing w:line="420" w:lineRule="exact"/>
        <w:outlineLvl w:val="3"/>
        <w:rPr>
          <w:rFonts w:ascii="Times New Roman" w:hAnsi="Times New Roman"/>
          <w:b/>
          <w:color w:val="auto"/>
          <w:sz w:val="24"/>
          <w:szCs w:val="24"/>
          <w:highlight w:val="none"/>
        </w:rPr>
      </w:pPr>
    </w:p>
    <w:p w14:paraId="7912897C">
      <w:pPr>
        <w:snapToGrid w:val="0"/>
        <w:spacing w:line="420" w:lineRule="exact"/>
        <w:outlineLvl w:val="3"/>
        <w:rPr>
          <w:rFonts w:ascii="Times New Roman" w:hAnsi="Times New Roman"/>
          <w:b/>
          <w:color w:val="auto"/>
          <w:sz w:val="24"/>
          <w:szCs w:val="24"/>
          <w:highlight w:val="none"/>
        </w:rPr>
      </w:pPr>
    </w:p>
    <w:p w14:paraId="42BA49CF">
      <w:pPr>
        <w:snapToGrid w:val="0"/>
        <w:spacing w:line="420" w:lineRule="exact"/>
        <w:outlineLvl w:val="3"/>
        <w:rPr>
          <w:rFonts w:ascii="Times New Roman" w:hAnsi="Times New Roman"/>
          <w:b/>
          <w:color w:val="auto"/>
          <w:sz w:val="24"/>
          <w:szCs w:val="24"/>
          <w:highlight w:val="none"/>
        </w:rPr>
      </w:pPr>
    </w:p>
    <w:p w14:paraId="26C0DD09">
      <w:pPr>
        <w:snapToGrid w:val="0"/>
        <w:spacing w:line="420" w:lineRule="exact"/>
        <w:outlineLvl w:val="3"/>
        <w:rPr>
          <w:rFonts w:ascii="Times New Roman" w:hAnsi="Times New Roman"/>
          <w:b/>
          <w:color w:val="auto"/>
          <w:sz w:val="24"/>
          <w:szCs w:val="24"/>
          <w:highlight w:val="none"/>
        </w:rPr>
      </w:pPr>
    </w:p>
    <w:p w14:paraId="3297DEAC">
      <w:pPr>
        <w:snapToGrid w:val="0"/>
        <w:spacing w:line="420" w:lineRule="exact"/>
        <w:outlineLvl w:val="3"/>
        <w:rPr>
          <w:rFonts w:ascii="Times New Roman" w:hAnsi="Times New Roman"/>
          <w:b/>
          <w:color w:val="auto"/>
          <w:sz w:val="24"/>
          <w:szCs w:val="24"/>
          <w:highlight w:val="none"/>
        </w:rPr>
      </w:pPr>
    </w:p>
    <w:p w14:paraId="10AAAD5F">
      <w:pPr>
        <w:snapToGrid w:val="0"/>
        <w:spacing w:line="420" w:lineRule="exact"/>
        <w:outlineLvl w:val="3"/>
        <w:rPr>
          <w:rFonts w:ascii="Times New Roman" w:hAnsi="Times New Roman"/>
          <w:b/>
          <w:color w:val="auto"/>
          <w:sz w:val="24"/>
          <w:szCs w:val="24"/>
          <w:highlight w:val="none"/>
        </w:rPr>
      </w:pPr>
    </w:p>
    <w:p w14:paraId="18F08267">
      <w:pPr>
        <w:snapToGrid w:val="0"/>
        <w:spacing w:line="420" w:lineRule="exact"/>
        <w:outlineLvl w:val="3"/>
        <w:rPr>
          <w:rFonts w:ascii="Times New Roman" w:hAnsi="Times New Roman"/>
          <w:b/>
          <w:color w:val="auto"/>
          <w:sz w:val="24"/>
          <w:szCs w:val="24"/>
          <w:highlight w:val="none"/>
        </w:rPr>
      </w:pPr>
    </w:p>
    <w:p w14:paraId="781F7E1E">
      <w:pPr>
        <w:snapToGrid w:val="0"/>
        <w:spacing w:line="420" w:lineRule="exact"/>
        <w:outlineLvl w:val="3"/>
        <w:rPr>
          <w:rFonts w:ascii="Times New Roman" w:hAnsi="Times New Roman"/>
          <w:b/>
          <w:color w:val="auto"/>
          <w:sz w:val="24"/>
          <w:szCs w:val="24"/>
          <w:highlight w:val="none"/>
        </w:rPr>
      </w:pPr>
    </w:p>
    <w:p w14:paraId="35C35A5F">
      <w:pPr>
        <w:snapToGrid w:val="0"/>
        <w:spacing w:line="420" w:lineRule="exact"/>
        <w:outlineLvl w:val="3"/>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46DAE033">
      <w:pPr>
        <w:spacing w:line="560" w:lineRule="exact"/>
        <w:jc w:val="center"/>
        <w:rPr>
          <w:rFonts w:ascii="Times New Roman" w:hAnsi="Times New Roman"/>
          <w:b/>
          <w:color w:val="auto"/>
          <w:sz w:val="24"/>
          <w:szCs w:val="24"/>
          <w:highlight w:val="none"/>
        </w:rPr>
      </w:pPr>
    </w:p>
    <w:p w14:paraId="6C9E1782">
      <w:pPr>
        <w:spacing w:line="560" w:lineRule="exact"/>
        <w:jc w:val="center"/>
        <w:rPr>
          <w:rFonts w:ascii="Times New Roman" w:hAnsi="Times New Roman"/>
          <w:b/>
          <w:color w:val="auto"/>
          <w:sz w:val="24"/>
          <w:szCs w:val="24"/>
          <w:highlight w:val="none"/>
        </w:rPr>
      </w:pPr>
    </w:p>
    <w:p w14:paraId="183CA9EA">
      <w:pPr>
        <w:spacing w:line="560" w:lineRule="exact"/>
        <w:rPr>
          <w:rFonts w:ascii="Times New Roman" w:hAnsi="Times New Roman"/>
          <w:b/>
          <w:color w:val="auto"/>
          <w:sz w:val="24"/>
          <w:szCs w:val="24"/>
          <w:highlight w:val="none"/>
        </w:rPr>
      </w:pPr>
    </w:p>
    <w:p w14:paraId="7E21BBBC">
      <w:pPr>
        <w:rPr>
          <w:rFonts w:hint="default" w:ascii="Times New Roman" w:hAnsi="Times New Roman" w:eastAsia="宋体"/>
          <w:b/>
          <w:bCs/>
          <w:color w:val="auto"/>
          <w:sz w:val="32"/>
          <w:szCs w:val="32"/>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97"/>
      <w:r>
        <w:rPr>
          <w:rFonts w:hint="eastAsia" w:ascii="Times New Roman" w:hAnsi="Times New Roman"/>
          <w:b/>
          <w:color w:val="auto"/>
          <w:sz w:val="24"/>
          <w:szCs w:val="24"/>
          <w:highlight w:val="none"/>
          <w:lang w:val="en-US" w:eastAsia="zh-CN"/>
        </w:rPr>
        <w:t>12</w:t>
      </w:r>
    </w:p>
    <w:p w14:paraId="6F2C20AB">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0AEE2640">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6D3E2EE7">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059A42F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A07B8B4">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4582F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36BF2D8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5F436DE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38DC6E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9611B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473275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75E09E2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451F92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7409CF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34D35D6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2BB2AA1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034B36A">
      <w:pPr>
        <w:adjustRightInd w:val="0"/>
        <w:snapToGrid w:val="0"/>
        <w:spacing w:line="360" w:lineRule="auto"/>
        <w:rPr>
          <w:rFonts w:ascii="Times New Roman" w:hAnsi="Times New Roman"/>
          <w:color w:val="auto"/>
          <w:sz w:val="24"/>
          <w:szCs w:val="24"/>
          <w:highlight w:val="none"/>
        </w:rPr>
      </w:pPr>
    </w:p>
    <w:p w14:paraId="00D3A8A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2FAAD0B">
      <w:pPr>
        <w:adjustRightInd w:val="0"/>
        <w:snapToGrid w:val="0"/>
        <w:spacing w:line="360" w:lineRule="auto"/>
        <w:rPr>
          <w:rFonts w:ascii="Times New Roman" w:hAnsi="Times New Roman"/>
          <w:color w:val="auto"/>
          <w:sz w:val="24"/>
          <w:szCs w:val="24"/>
          <w:highlight w:val="none"/>
          <w:u w:val="dotted"/>
        </w:rPr>
      </w:pPr>
    </w:p>
    <w:p w14:paraId="75CD700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655074D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5A9F5F4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2F180F3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90BE587">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68714940">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5D141AF4">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675AE26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4AC4224">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7F7225C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921620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0BA4257">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348FEC5B">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06B3681">
      <w:pPr>
        <w:ind w:firstLine="420"/>
        <w:rPr>
          <w:rFonts w:ascii="Times New Roman" w:hAnsi="Times New Roman"/>
          <w:color w:val="auto"/>
          <w:sz w:val="24"/>
          <w:szCs w:val="24"/>
          <w:highlight w:val="none"/>
        </w:rPr>
      </w:pPr>
    </w:p>
    <w:p w14:paraId="7C16A55D">
      <w:pPr>
        <w:ind w:firstLine="420"/>
        <w:rPr>
          <w:rFonts w:ascii="Times New Roman" w:hAnsi="Times New Roman"/>
          <w:color w:val="auto"/>
          <w:sz w:val="24"/>
          <w:szCs w:val="24"/>
          <w:highlight w:val="none"/>
        </w:rPr>
      </w:pPr>
    </w:p>
    <w:p w14:paraId="0BD2CAF6">
      <w:pPr>
        <w:ind w:firstLine="420"/>
        <w:rPr>
          <w:rFonts w:ascii="Times New Roman" w:hAnsi="Times New Roman"/>
          <w:color w:val="auto"/>
          <w:sz w:val="24"/>
          <w:szCs w:val="24"/>
          <w:highlight w:val="none"/>
        </w:rPr>
      </w:pPr>
    </w:p>
    <w:p w14:paraId="30C101AE">
      <w:pPr>
        <w:ind w:firstLine="420"/>
        <w:rPr>
          <w:rFonts w:ascii="Times New Roman" w:hAnsi="Times New Roman"/>
          <w:color w:val="auto"/>
          <w:sz w:val="24"/>
          <w:szCs w:val="24"/>
          <w:highlight w:val="none"/>
        </w:rPr>
      </w:pPr>
    </w:p>
    <w:p w14:paraId="776A4088">
      <w:pPr>
        <w:ind w:firstLine="420"/>
        <w:rPr>
          <w:rFonts w:ascii="Times New Roman" w:hAnsi="Times New Roman"/>
          <w:color w:val="auto"/>
          <w:sz w:val="24"/>
          <w:szCs w:val="24"/>
          <w:highlight w:val="none"/>
        </w:rPr>
      </w:pPr>
    </w:p>
    <w:p w14:paraId="423A96D2">
      <w:pPr>
        <w:ind w:firstLine="420"/>
        <w:rPr>
          <w:rFonts w:ascii="Times New Roman" w:hAnsi="Times New Roman"/>
          <w:color w:val="auto"/>
          <w:sz w:val="24"/>
          <w:szCs w:val="24"/>
          <w:highlight w:val="none"/>
        </w:rPr>
      </w:pPr>
    </w:p>
    <w:p w14:paraId="5CB8C20A">
      <w:pPr>
        <w:ind w:firstLine="420"/>
        <w:rPr>
          <w:rFonts w:ascii="Times New Roman" w:hAnsi="Times New Roman"/>
          <w:color w:val="auto"/>
          <w:sz w:val="24"/>
          <w:szCs w:val="24"/>
          <w:highlight w:val="none"/>
        </w:rPr>
      </w:pPr>
    </w:p>
    <w:p w14:paraId="36F8EBF9">
      <w:pPr>
        <w:ind w:firstLine="420"/>
        <w:rPr>
          <w:rFonts w:ascii="Times New Roman" w:hAnsi="Times New Roman"/>
          <w:color w:val="auto"/>
          <w:sz w:val="24"/>
          <w:szCs w:val="24"/>
          <w:highlight w:val="none"/>
        </w:rPr>
      </w:pPr>
    </w:p>
    <w:p w14:paraId="06819058">
      <w:pPr>
        <w:ind w:firstLine="420"/>
        <w:rPr>
          <w:rFonts w:ascii="Times New Roman" w:hAnsi="Times New Roman"/>
          <w:color w:val="auto"/>
          <w:sz w:val="24"/>
          <w:szCs w:val="24"/>
          <w:highlight w:val="none"/>
        </w:rPr>
      </w:pPr>
    </w:p>
    <w:p w14:paraId="338B2E20">
      <w:pPr>
        <w:ind w:firstLine="420"/>
        <w:rPr>
          <w:rFonts w:ascii="Times New Roman" w:hAnsi="Times New Roman"/>
          <w:color w:val="auto"/>
          <w:sz w:val="24"/>
          <w:szCs w:val="24"/>
          <w:highlight w:val="none"/>
        </w:rPr>
      </w:pPr>
    </w:p>
    <w:p w14:paraId="7D755744">
      <w:pPr>
        <w:ind w:firstLine="420"/>
        <w:rPr>
          <w:rFonts w:ascii="Times New Roman" w:hAnsi="Times New Roman"/>
          <w:color w:val="auto"/>
          <w:sz w:val="24"/>
          <w:szCs w:val="24"/>
          <w:highlight w:val="none"/>
        </w:rPr>
      </w:pPr>
    </w:p>
    <w:p w14:paraId="19A1BD26">
      <w:pPr>
        <w:ind w:firstLine="420"/>
        <w:rPr>
          <w:rFonts w:ascii="Times New Roman" w:hAnsi="Times New Roman"/>
          <w:color w:val="auto"/>
          <w:sz w:val="24"/>
          <w:szCs w:val="24"/>
          <w:highlight w:val="none"/>
        </w:rPr>
      </w:pPr>
    </w:p>
    <w:p w14:paraId="6CE20E94">
      <w:pPr>
        <w:ind w:firstLine="420"/>
        <w:rPr>
          <w:rFonts w:ascii="Times New Roman" w:hAnsi="Times New Roman"/>
          <w:color w:val="auto"/>
          <w:sz w:val="24"/>
          <w:szCs w:val="24"/>
          <w:highlight w:val="none"/>
        </w:rPr>
      </w:pPr>
    </w:p>
    <w:p w14:paraId="37563150">
      <w:pPr>
        <w:ind w:firstLine="420"/>
        <w:rPr>
          <w:rFonts w:ascii="Times New Roman" w:hAnsi="Times New Roman"/>
          <w:color w:val="auto"/>
          <w:sz w:val="24"/>
          <w:szCs w:val="24"/>
          <w:highlight w:val="none"/>
        </w:rPr>
      </w:pPr>
    </w:p>
    <w:p w14:paraId="00AE931F">
      <w:pPr>
        <w:ind w:firstLine="420"/>
        <w:rPr>
          <w:rFonts w:ascii="Times New Roman" w:hAnsi="Times New Roman"/>
          <w:color w:val="auto"/>
          <w:sz w:val="24"/>
          <w:szCs w:val="24"/>
          <w:highlight w:val="none"/>
        </w:rPr>
      </w:pPr>
    </w:p>
    <w:p w14:paraId="444EC38F">
      <w:pPr>
        <w:ind w:firstLine="420"/>
        <w:rPr>
          <w:rFonts w:ascii="Times New Roman" w:hAnsi="Times New Roman"/>
          <w:color w:val="auto"/>
          <w:sz w:val="24"/>
          <w:szCs w:val="24"/>
          <w:highlight w:val="none"/>
        </w:rPr>
      </w:pPr>
    </w:p>
    <w:p w14:paraId="1CB120BD">
      <w:pPr>
        <w:ind w:firstLine="420"/>
        <w:rPr>
          <w:rFonts w:ascii="Times New Roman" w:hAnsi="Times New Roman"/>
          <w:color w:val="auto"/>
          <w:sz w:val="24"/>
          <w:szCs w:val="24"/>
          <w:highlight w:val="none"/>
        </w:rPr>
      </w:pPr>
    </w:p>
    <w:p w14:paraId="5241C528">
      <w:pPr>
        <w:ind w:firstLine="420"/>
        <w:rPr>
          <w:rFonts w:ascii="Times New Roman" w:hAnsi="Times New Roman"/>
          <w:color w:val="auto"/>
          <w:sz w:val="24"/>
          <w:szCs w:val="24"/>
          <w:highlight w:val="none"/>
        </w:rPr>
      </w:pPr>
    </w:p>
    <w:p w14:paraId="403568D9">
      <w:pPr>
        <w:ind w:firstLine="420"/>
        <w:rPr>
          <w:rFonts w:ascii="Times New Roman" w:hAnsi="Times New Roman"/>
          <w:color w:val="auto"/>
          <w:sz w:val="24"/>
          <w:szCs w:val="24"/>
          <w:highlight w:val="none"/>
        </w:rPr>
      </w:pPr>
    </w:p>
    <w:p w14:paraId="5C041416">
      <w:pPr>
        <w:ind w:firstLine="420"/>
        <w:rPr>
          <w:rFonts w:ascii="Times New Roman" w:hAnsi="Times New Roman"/>
          <w:color w:val="auto"/>
          <w:sz w:val="24"/>
          <w:szCs w:val="24"/>
          <w:highlight w:val="none"/>
        </w:rPr>
      </w:pPr>
    </w:p>
    <w:p w14:paraId="2383863B">
      <w:pPr>
        <w:ind w:firstLine="420"/>
        <w:rPr>
          <w:rFonts w:ascii="Times New Roman" w:hAnsi="Times New Roman"/>
          <w:color w:val="auto"/>
          <w:sz w:val="24"/>
          <w:szCs w:val="24"/>
          <w:highlight w:val="none"/>
        </w:rPr>
      </w:pPr>
    </w:p>
    <w:p w14:paraId="07C1510A">
      <w:pPr>
        <w:ind w:firstLine="420"/>
        <w:rPr>
          <w:rFonts w:ascii="Times New Roman" w:hAnsi="Times New Roman"/>
          <w:color w:val="auto"/>
          <w:sz w:val="24"/>
          <w:szCs w:val="24"/>
          <w:highlight w:val="none"/>
        </w:rPr>
      </w:pPr>
    </w:p>
    <w:p w14:paraId="1E4EAAAD">
      <w:pPr>
        <w:ind w:firstLine="420"/>
        <w:rPr>
          <w:rFonts w:ascii="Times New Roman" w:hAnsi="Times New Roman"/>
          <w:color w:val="auto"/>
          <w:sz w:val="24"/>
          <w:szCs w:val="24"/>
          <w:highlight w:val="none"/>
        </w:rPr>
      </w:pPr>
    </w:p>
    <w:p w14:paraId="4AF6719C">
      <w:pPr>
        <w:ind w:firstLine="420"/>
        <w:rPr>
          <w:rFonts w:ascii="Times New Roman" w:hAnsi="Times New Roman"/>
          <w:color w:val="auto"/>
          <w:sz w:val="24"/>
          <w:szCs w:val="24"/>
          <w:highlight w:val="none"/>
        </w:rPr>
      </w:pPr>
    </w:p>
    <w:p w14:paraId="6B714170">
      <w:pPr>
        <w:ind w:firstLine="420"/>
        <w:rPr>
          <w:rFonts w:ascii="Times New Roman" w:hAnsi="Times New Roman"/>
          <w:color w:val="auto"/>
          <w:sz w:val="24"/>
          <w:szCs w:val="24"/>
          <w:highlight w:val="none"/>
        </w:rPr>
      </w:pPr>
    </w:p>
    <w:p w14:paraId="72E868BC">
      <w:pPr>
        <w:ind w:firstLine="420"/>
        <w:rPr>
          <w:rFonts w:ascii="Times New Roman" w:hAnsi="Times New Roman"/>
          <w:color w:val="auto"/>
          <w:sz w:val="24"/>
          <w:szCs w:val="24"/>
          <w:highlight w:val="none"/>
        </w:rPr>
      </w:pPr>
    </w:p>
    <w:p w14:paraId="5906E8A9">
      <w:pPr>
        <w:ind w:firstLine="420"/>
        <w:rPr>
          <w:rFonts w:ascii="Times New Roman" w:hAnsi="Times New Roman"/>
          <w:color w:val="auto"/>
          <w:sz w:val="24"/>
          <w:szCs w:val="24"/>
          <w:highlight w:val="none"/>
        </w:rPr>
      </w:pPr>
    </w:p>
    <w:p w14:paraId="791878AD">
      <w:pPr>
        <w:ind w:firstLine="420"/>
        <w:rPr>
          <w:rFonts w:ascii="Times New Roman" w:hAnsi="Times New Roman"/>
          <w:color w:val="auto"/>
          <w:sz w:val="24"/>
          <w:szCs w:val="24"/>
          <w:highlight w:val="none"/>
        </w:rPr>
      </w:pPr>
    </w:p>
    <w:p w14:paraId="3ADA8A85">
      <w:pPr>
        <w:ind w:firstLine="420"/>
        <w:rPr>
          <w:rFonts w:ascii="Times New Roman" w:hAnsi="Times New Roman"/>
          <w:color w:val="auto"/>
          <w:sz w:val="24"/>
          <w:szCs w:val="24"/>
          <w:highlight w:val="none"/>
        </w:rPr>
      </w:pPr>
    </w:p>
    <w:p w14:paraId="6D00EBF4">
      <w:pPr>
        <w:ind w:firstLine="420"/>
        <w:rPr>
          <w:rFonts w:ascii="Times New Roman" w:hAnsi="Times New Roman"/>
          <w:color w:val="auto"/>
          <w:sz w:val="24"/>
          <w:szCs w:val="24"/>
          <w:highlight w:val="none"/>
        </w:rPr>
      </w:pPr>
    </w:p>
    <w:p w14:paraId="5768CF19">
      <w:pPr>
        <w:ind w:firstLine="420"/>
        <w:rPr>
          <w:rFonts w:ascii="Times New Roman" w:hAnsi="Times New Roman"/>
          <w:color w:val="auto"/>
          <w:sz w:val="24"/>
          <w:szCs w:val="24"/>
          <w:highlight w:val="none"/>
        </w:rPr>
      </w:pPr>
    </w:p>
    <w:p w14:paraId="6ADDDBCE">
      <w:pPr>
        <w:ind w:firstLine="420"/>
        <w:rPr>
          <w:rFonts w:ascii="Times New Roman" w:hAnsi="Times New Roman"/>
          <w:color w:val="auto"/>
          <w:sz w:val="24"/>
          <w:szCs w:val="24"/>
          <w:highlight w:val="none"/>
        </w:rPr>
      </w:pPr>
    </w:p>
    <w:p w14:paraId="5C4652FD">
      <w:pPr>
        <w:ind w:firstLine="420"/>
        <w:rPr>
          <w:rFonts w:ascii="Times New Roman" w:hAnsi="Times New Roman"/>
          <w:color w:val="auto"/>
          <w:sz w:val="24"/>
          <w:szCs w:val="24"/>
          <w:highlight w:val="none"/>
        </w:rPr>
      </w:pPr>
    </w:p>
    <w:p w14:paraId="10EA9625">
      <w:pPr>
        <w:rPr>
          <w:rFonts w:ascii="Times New Roman" w:hAnsi="Times New Roman"/>
          <w:color w:val="auto"/>
          <w:sz w:val="28"/>
          <w:szCs w:val="28"/>
          <w:highlight w:val="none"/>
        </w:rPr>
      </w:pPr>
    </w:p>
    <w:p w14:paraId="169A236D">
      <w:pPr>
        <w:rPr>
          <w:rFonts w:ascii="Times New Roman" w:hAnsi="Times New Roman"/>
          <w:b/>
          <w:color w:val="auto"/>
          <w:sz w:val="24"/>
          <w:szCs w:val="24"/>
          <w:highlight w:val="none"/>
        </w:rPr>
      </w:pPr>
    </w:p>
    <w:p w14:paraId="5192D3BC">
      <w:pPr>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lang w:val="en-US" w:eastAsia="zh-CN"/>
        </w:rPr>
        <w:t>3</w:t>
      </w:r>
    </w:p>
    <w:p w14:paraId="45FE5F5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办理政采贷和履约保函（保险）告知函</w:t>
      </w:r>
    </w:p>
    <w:p w14:paraId="308E4452">
      <w:pPr>
        <w:rPr>
          <w:rFonts w:hint="eastAsia" w:ascii="宋体" w:hAnsi="宋体" w:eastAsia="宋体" w:cs="宋体"/>
          <w:color w:val="auto"/>
          <w:sz w:val="24"/>
          <w:szCs w:val="24"/>
          <w:highlight w:val="none"/>
        </w:rPr>
      </w:pPr>
    </w:p>
    <w:p w14:paraId="407FF3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各政府采购供应商：</w:t>
      </w:r>
    </w:p>
    <w:p w14:paraId="57242C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欢迎贵公司参与南通市政府采购活动！</w:t>
      </w:r>
    </w:p>
    <w:p w14:paraId="0BC4F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3D39375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号）和《关于深入开展南通市政府采购线上合同信用融资业务的通知》（通财购〔2022〕68号），按照双方自愿的原则提供便捷、优惠的服务。</w:t>
      </w:r>
    </w:p>
    <w:p w14:paraId="798797B6">
      <w:pPr>
        <w:rPr>
          <w:rFonts w:hint="eastAsia" w:ascii="宋体" w:hAnsi="宋体" w:eastAsia="宋体" w:cs="宋体"/>
          <w:color w:val="auto"/>
          <w:sz w:val="24"/>
          <w:szCs w:val="24"/>
          <w:highlight w:val="none"/>
        </w:rPr>
      </w:pPr>
    </w:p>
    <w:p w14:paraId="00425ACE">
      <w:pPr>
        <w:snapToGrid w:val="0"/>
        <w:spacing w:line="300" w:lineRule="auto"/>
        <w:outlineLvl w:val="9"/>
        <w:rPr>
          <w:rFonts w:hint="eastAsia" w:ascii="仿宋" w:hAnsi="仿宋" w:eastAsia="仿宋" w:cs="仿宋"/>
          <w:color w:val="auto"/>
          <w:sz w:val="24"/>
          <w:szCs w:val="24"/>
          <w:highlight w:val="none"/>
        </w:rPr>
      </w:pPr>
    </w:p>
    <w:p w14:paraId="2ABFBC6F">
      <w:pPr>
        <w:spacing w:line="400" w:lineRule="exact"/>
        <w:ind w:firstLine="420" w:firstLineChars="200"/>
        <w:rPr>
          <w:rFonts w:ascii="Times New Roman" w:hAnsi="Times New Roman"/>
          <w:color w:val="auto"/>
          <w:highlight w:val="none"/>
        </w:rPr>
      </w:pPr>
    </w:p>
    <w:bookmarkEnd w:id="201"/>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E5C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3F31">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D8F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75D8F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23E9">
    <w:pPr>
      <w:pStyle w:val="29"/>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E700">
                          <w:pPr>
                            <w:pStyle w:val="2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B4E700">
                    <w:pPr>
                      <w:pStyle w:val="2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BF8">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39C6EC7F">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86EC">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AC1DB">
                          <w:pPr>
                            <w:pStyle w:val="2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9AC1DB">
                    <w:pPr>
                      <w:pStyle w:val="2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2EF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4B438AB"/>
    <w:multiLevelType w:val="singleLevel"/>
    <w:tmpl w:val="24B438AB"/>
    <w:lvl w:ilvl="0" w:tentative="0">
      <w:start w:val="4"/>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5D14"/>
    <w:rsid w:val="000264B7"/>
    <w:rsid w:val="00027039"/>
    <w:rsid w:val="00032CC0"/>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70367"/>
    <w:rsid w:val="00173852"/>
    <w:rsid w:val="0017477D"/>
    <w:rsid w:val="00180B9A"/>
    <w:rsid w:val="00184803"/>
    <w:rsid w:val="001969FD"/>
    <w:rsid w:val="001A11D6"/>
    <w:rsid w:val="001B5590"/>
    <w:rsid w:val="001D5FB4"/>
    <w:rsid w:val="001E3797"/>
    <w:rsid w:val="001F41F3"/>
    <w:rsid w:val="0020504B"/>
    <w:rsid w:val="00207469"/>
    <w:rsid w:val="002235A0"/>
    <w:rsid w:val="002255F2"/>
    <w:rsid w:val="00233A55"/>
    <w:rsid w:val="00235799"/>
    <w:rsid w:val="00266D94"/>
    <w:rsid w:val="00272473"/>
    <w:rsid w:val="00273386"/>
    <w:rsid w:val="00277D22"/>
    <w:rsid w:val="00285793"/>
    <w:rsid w:val="00296707"/>
    <w:rsid w:val="002A555B"/>
    <w:rsid w:val="002B289A"/>
    <w:rsid w:val="002C799B"/>
    <w:rsid w:val="002D3245"/>
    <w:rsid w:val="0030198B"/>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400C"/>
    <w:rsid w:val="0039694C"/>
    <w:rsid w:val="003B4718"/>
    <w:rsid w:val="003E43B2"/>
    <w:rsid w:val="003F424C"/>
    <w:rsid w:val="003F634F"/>
    <w:rsid w:val="004020F4"/>
    <w:rsid w:val="00417EF4"/>
    <w:rsid w:val="00424EF3"/>
    <w:rsid w:val="00446202"/>
    <w:rsid w:val="00455355"/>
    <w:rsid w:val="00457B13"/>
    <w:rsid w:val="00463653"/>
    <w:rsid w:val="00463674"/>
    <w:rsid w:val="00465F99"/>
    <w:rsid w:val="00484935"/>
    <w:rsid w:val="00486885"/>
    <w:rsid w:val="004A0049"/>
    <w:rsid w:val="004A6279"/>
    <w:rsid w:val="004B43E4"/>
    <w:rsid w:val="004D6899"/>
    <w:rsid w:val="004E0DDF"/>
    <w:rsid w:val="004F689F"/>
    <w:rsid w:val="005029F9"/>
    <w:rsid w:val="005037A9"/>
    <w:rsid w:val="0051410F"/>
    <w:rsid w:val="0051778F"/>
    <w:rsid w:val="00585964"/>
    <w:rsid w:val="00591701"/>
    <w:rsid w:val="00593490"/>
    <w:rsid w:val="00594B5D"/>
    <w:rsid w:val="005A0BCB"/>
    <w:rsid w:val="005A2D64"/>
    <w:rsid w:val="005B288A"/>
    <w:rsid w:val="005C6ADC"/>
    <w:rsid w:val="005E40E8"/>
    <w:rsid w:val="0060367A"/>
    <w:rsid w:val="006140F3"/>
    <w:rsid w:val="00651A78"/>
    <w:rsid w:val="00652127"/>
    <w:rsid w:val="00663D8B"/>
    <w:rsid w:val="006B6A50"/>
    <w:rsid w:val="006B7849"/>
    <w:rsid w:val="006C654B"/>
    <w:rsid w:val="006D1429"/>
    <w:rsid w:val="006D1480"/>
    <w:rsid w:val="006E45D7"/>
    <w:rsid w:val="006F15A5"/>
    <w:rsid w:val="00704336"/>
    <w:rsid w:val="00724552"/>
    <w:rsid w:val="00726300"/>
    <w:rsid w:val="007406C9"/>
    <w:rsid w:val="00745065"/>
    <w:rsid w:val="00766DDB"/>
    <w:rsid w:val="00771B68"/>
    <w:rsid w:val="00772B3B"/>
    <w:rsid w:val="00772D63"/>
    <w:rsid w:val="007754BB"/>
    <w:rsid w:val="007756CC"/>
    <w:rsid w:val="00783849"/>
    <w:rsid w:val="00794E19"/>
    <w:rsid w:val="007A2346"/>
    <w:rsid w:val="007B2662"/>
    <w:rsid w:val="007D7B95"/>
    <w:rsid w:val="007E3412"/>
    <w:rsid w:val="007E3B1F"/>
    <w:rsid w:val="007E4CA5"/>
    <w:rsid w:val="007F3F9C"/>
    <w:rsid w:val="007F6C6F"/>
    <w:rsid w:val="00803A8A"/>
    <w:rsid w:val="00804624"/>
    <w:rsid w:val="00824069"/>
    <w:rsid w:val="00836EA4"/>
    <w:rsid w:val="00840D19"/>
    <w:rsid w:val="00867FFD"/>
    <w:rsid w:val="00872D5A"/>
    <w:rsid w:val="008748FE"/>
    <w:rsid w:val="00880208"/>
    <w:rsid w:val="00880709"/>
    <w:rsid w:val="00881EE9"/>
    <w:rsid w:val="00883BAA"/>
    <w:rsid w:val="008905EC"/>
    <w:rsid w:val="008B4354"/>
    <w:rsid w:val="008B59DF"/>
    <w:rsid w:val="008C0698"/>
    <w:rsid w:val="008C40A8"/>
    <w:rsid w:val="008D7567"/>
    <w:rsid w:val="008E405B"/>
    <w:rsid w:val="008F28AA"/>
    <w:rsid w:val="0090143B"/>
    <w:rsid w:val="0093170A"/>
    <w:rsid w:val="00942F94"/>
    <w:rsid w:val="00952782"/>
    <w:rsid w:val="00963E8A"/>
    <w:rsid w:val="00965EB4"/>
    <w:rsid w:val="009736FA"/>
    <w:rsid w:val="00974995"/>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77F41"/>
    <w:rsid w:val="00A805A6"/>
    <w:rsid w:val="00A931D4"/>
    <w:rsid w:val="00AA51C6"/>
    <w:rsid w:val="00AC6346"/>
    <w:rsid w:val="00AE1340"/>
    <w:rsid w:val="00AE42A7"/>
    <w:rsid w:val="00AE5B4A"/>
    <w:rsid w:val="00AE5D7D"/>
    <w:rsid w:val="00AF3B3C"/>
    <w:rsid w:val="00B00BD6"/>
    <w:rsid w:val="00B07570"/>
    <w:rsid w:val="00B14FAD"/>
    <w:rsid w:val="00B27B48"/>
    <w:rsid w:val="00B341F0"/>
    <w:rsid w:val="00B40C22"/>
    <w:rsid w:val="00B45371"/>
    <w:rsid w:val="00B61DD9"/>
    <w:rsid w:val="00B7759F"/>
    <w:rsid w:val="00B779DA"/>
    <w:rsid w:val="00B832C7"/>
    <w:rsid w:val="00BA07F0"/>
    <w:rsid w:val="00BA5739"/>
    <w:rsid w:val="00BA6714"/>
    <w:rsid w:val="00BA6A67"/>
    <w:rsid w:val="00BC74EA"/>
    <w:rsid w:val="00BF09F3"/>
    <w:rsid w:val="00BF0E19"/>
    <w:rsid w:val="00C05548"/>
    <w:rsid w:val="00C11035"/>
    <w:rsid w:val="00C11475"/>
    <w:rsid w:val="00C135B2"/>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62E7"/>
    <w:rsid w:val="00DC284C"/>
    <w:rsid w:val="00DC4541"/>
    <w:rsid w:val="00DC66A3"/>
    <w:rsid w:val="00DD1530"/>
    <w:rsid w:val="00DD4F45"/>
    <w:rsid w:val="00DD7D78"/>
    <w:rsid w:val="00E11954"/>
    <w:rsid w:val="00E13C87"/>
    <w:rsid w:val="00E17648"/>
    <w:rsid w:val="00E22E84"/>
    <w:rsid w:val="00E25C8C"/>
    <w:rsid w:val="00E3448F"/>
    <w:rsid w:val="00E5248A"/>
    <w:rsid w:val="00E645F8"/>
    <w:rsid w:val="00E71A60"/>
    <w:rsid w:val="00E72142"/>
    <w:rsid w:val="00E9102B"/>
    <w:rsid w:val="00E9583F"/>
    <w:rsid w:val="00EA016A"/>
    <w:rsid w:val="00EA058C"/>
    <w:rsid w:val="00EB42F3"/>
    <w:rsid w:val="00ED3881"/>
    <w:rsid w:val="00ED4F92"/>
    <w:rsid w:val="00EE7958"/>
    <w:rsid w:val="00EF59D3"/>
    <w:rsid w:val="00F14E7E"/>
    <w:rsid w:val="00F15D7E"/>
    <w:rsid w:val="00F23881"/>
    <w:rsid w:val="00F2447C"/>
    <w:rsid w:val="00F4153A"/>
    <w:rsid w:val="00F66F31"/>
    <w:rsid w:val="00F96700"/>
    <w:rsid w:val="00F97365"/>
    <w:rsid w:val="00FA679F"/>
    <w:rsid w:val="00FC572B"/>
    <w:rsid w:val="00FD181D"/>
    <w:rsid w:val="00FE0002"/>
    <w:rsid w:val="00FE1942"/>
    <w:rsid w:val="010333FC"/>
    <w:rsid w:val="0104217B"/>
    <w:rsid w:val="010D7DD7"/>
    <w:rsid w:val="010F3B4F"/>
    <w:rsid w:val="010F7FF3"/>
    <w:rsid w:val="011078C7"/>
    <w:rsid w:val="01141165"/>
    <w:rsid w:val="011473B7"/>
    <w:rsid w:val="01172A03"/>
    <w:rsid w:val="01207B0A"/>
    <w:rsid w:val="01227D26"/>
    <w:rsid w:val="01253372"/>
    <w:rsid w:val="01282E62"/>
    <w:rsid w:val="012D0479"/>
    <w:rsid w:val="012F41F1"/>
    <w:rsid w:val="012F5F9F"/>
    <w:rsid w:val="01303AC5"/>
    <w:rsid w:val="013637D1"/>
    <w:rsid w:val="01395CB7"/>
    <w:rsid w:val="013E4434"/>
    <w:rsid w:val="014001AC"/>
    <w:rsid w:val="01437C9C"/>
    <w:rsid w:val="014A0EDC"/>
    <w:rsid w:val="01514167"/>
    <w:rsid w:val="016320EC"/>
    <w:rsid w:val="01687703"/>
    <w:rsid w:val="01695955"/>
    <w:rsid w:val="016F45ED"/>
    <w:rsid w:val="01710365"/>
    <w:rsid w:val="01714809"/>
    <w:rsid w:val="0179546C"/>
    <w:rsid w:val="01802C9E"/>
    <w:rsid w:val="018502B5"/>
    <w:rsid w:val="01852063"/>
    <w:rsid w:val="018E7169"/>
    <w:rsid w:val="019422A6"/>
    <w:rsid w:val="01944054"/>
    <w:rsid w:val="019B3634"/>
    <w:rsid w:val="019D73AC"/>
    <w:rsid w:val="019E4ED3"/>
    <w:rsid w:val="01A324E9"/>
    <w:rsid w:val="01B14C06"/>
    <w:rsid w:val="01B42948"/>
    <w:rsid w:val="01B7081B"/>
    <w:rsid w:val="01BD7A4F"/>
    <w:rsid w:val="01BE7323"/>
    <w:rsid w:val="01CF32DE"/>
    <w:rsid w:val="01D54D98"/>
    <w:rsid w:val="01D86637"/>
    <w:rsid w:val="01D9415D"/>
    <w:rsid w:val="01DB7ED5"/>
    <w:rsid w:val="01DD1E9F"/>
    <w:rsid w:val="01E52B01"/>
    <w:rsid w:val="01E70628"/>
    <w:rsid w:val="01EC20E2"/>
    <w:rsid w:val="01EC5C3E"/>
    <w:rsid w:val="01EF572E"/>
    <w:rsid w:val="01F33470"/>
    <w:rsid w:val="01FD7E4B"/>
    <w:rsid w:val="020016E9"/>
    <w:rsid w:val="02070CCA"/>
    <w:rsid w:val="020C4532"/>
    <w:rsid w:val="02105DD0"/>
    <w:rsid w:val="02184C85"/>
    <w:rsid w:val="021A27AB"/>
    <w:rsid w:val="021B4775"/>
    <w:rsid w:val="02225B04"/>
    <w:rsid w:val="02353A89"/>
    <w:rsid w:val="023870D5"/>
    <w:rsid w:val="023B0973"/>
    <w:rsid w:val="023B6BC5"/>
    <w:rsid w:val="02442C13"/>
    <w:rsid w:val="024B6E08"/>
    <w:rsid w:val="02551A35"/>
    <w:rsid w:val="02624152"/>
    <w:rsid w:val="02661E94"/>
    <w:rsid w:val="02702D13"/>
    <w:rsid w:val="02750329"/>
    <w:rsid w:val="02785724"/>
    <w:rsid w:val="027A5940"/>
    <w:rsid w:val="027D2D3A"/>
    <w:rsid w:val="028440C8"/>
    <w:rsid w:val="02906F11"/>
    <w:rsid w:val="02924A37"/>
    <w:rsid w:val="0293255D"/>
    <w:rsid w:val="0297204E"/>
    <w:rsid w:val="02993083"/>
    <w:rsid w:val="029A38EC"/>
    <w:rsid w:val="02A8425B"/>
    <w:rsid w:val="02A93B2F"/>
    <w:rsid w:val="02AB78A7"/>
    <w:rsid w:val="02AE55E9"/>
    <w:rsid w:val="02B40E52"/>
    <w:rsid w:val="02B726F0"/>
    <w:rsid w:val="02B7624C"/>
    <w:rsid w:val="02BD75DA"/>
    <w:rsid w:val="02C1356F"/>
    <w:rsid w:val="02D037B2"/>
    <w:rsid w:val="02D768EE"/>
    <w:rsid w:val="02D92666"/>
    <w:rsid w:val="02DC2156"/>
    <w:rsid w:val="02DE7C7D"/>
    <w:rsid w:val="02E62FD5"/>
    <w:rsid w:val="02EB239A"/>
    <w:rsid w:val="02F72AEC"/>
    <w:rsid w:val="03015719"/>
    <w:rsid w:val="03045209"/>
    <w:rsid w:val="0305345B"/>
    <w:rsid w:val="030B2A3C"/>
    <w:rsid w:val="031E276F"/>
    <w:rsid w:val="031E62CB"/>
    <w:rsid w:val="03253AFD"/>
    <w:rsid w:val="032D650E"/>
    <w:rsid w:val="03305FFE"/>
    <w:rsid w:val="03343D40"/>
    <w:rsid w:val="03373831"/>
    <w:rsid w:val="0338435E"/>
    <w:rsid w:val="03394EB3"/>
    <w:rsid w:val="03411FB9"/>
    <w:rsid w:val="034A70C0"/>
    <w:rsid w:val="03547F3F"/>
    <w:rsid w:val="03555A65"/>
    <w:rsid w:val="035717DD"/>
    <w:rsid w:val="03577A2F"/>
    <w:rsid w:val="03597303"/>
    <w:rsid w:val="03675EC4"/>
    <w:rsid w:val="03697D60"/>
    <w:rsid w:val="036A079C"/>
    <w:rsid w:val="036F2FCB"/>
    <w:rsid w:val="036F6B27"/>
    <w:rsid w:val="03716D43"/>
    <w:rsid w:val="037B54CB"/>
    <w:rsid w:val="037C1244"/>
    <w:rsid w:val="03802AE2"/>
    <w:rsid w:val="0388408C"/>
    <w:rsid w:val="03912F41"/>
    <w:rsid w:val="039B791C"/>
    <w:rsid w:val="03A5079A"/>
    <w:rsid w:val="03A8028B"/>
    <w:rsid w:val="03AF786B"/>
    <w:rsid w:val="03B10EED"/>
    <w:rsid w:val="03B44E81"/>
    <w:rsid w:val="03C81C0C"/>
    <w:rsid w:val="03C86237"/>
    <w:rsid w:val="03CA1FAF"/>
    <w:rsid w:val="03CF5817"/>
    <w:rsid w:val="03D1158F"/>
    <w:rsid w:val="03DD7F34"/>
    <w:rsid w:val="03DF1EFE"/>
    <w:rsid w:val="03E312C3"/>
    <w:rsid w:val="03E5328D"/>
    <w:rsid w:val="03F11C32"/>
    <w:rsid w:val="03FE7EAB"/>
    <w:rsid w:val="040A2CF3"/>
    <w:rsid w:val="04137DFA"/>
    <w:rsid w:val="04245B63"/>
    <w:rsid w:val="042A0CA0"/>
    <w:rsid w:val="044C6E68"/>
    <w:rsid w:val="04536448"/>
    <w:rsid w:val="0466617C"/>
    <w:rsid w:val="047D5273"/>
    <w:rsid w:val="04814D63"/>
    <w:rsid w:val="048E7480"/>
    <w:rsid w:val="049A02EC"/>
    <w:rsid w:val="049C1B9D"/>
    <w:rsid w:val="04A10F62"/>
    <w:rsid w:val="04A22F2C"/>
    <w:rsid w:val="04BD38C2"/>
    <w:rsid w:val="04DB7527"/>
    <w:rsid w:val="04DC643E"/>
    <w:rsid w:val="04E23328"/>
    <w:rsid w:val="04E452F2"/>
    <w:rsid w:val="04FF3EDA"/>
    <w:rsid w:val="0506170D"/>
    <w:rsid w:val="05092FAB"/>
    <w:rsid w:val="050E236F"/>
    <w:rsid w:val="05137986"/>
    <w:rsid w:val="05191440"/>
    <w:rsid w:val="051C2CDE"/>
    <w:rsid w:val="051F1772"/>
    <w:rsid w:val="05410997"/>
    <w:rsid w:val="0543026B"/>
    <w:rsid w:val="05445D91"/>
    <w:rsid w:val="054F6C10"/>
    <w:rsid w:val="05597A8E"/>
    <w:rsid w:val="055A7363"/>
    <w:rsid w:val="056106F1"/>
    <w:rsid w:val="056401E1"/>
    <w:rsid w:val="05654685"/>
    <w:rsid w:val="056B77C2"/>
    <w:rsid w:val="056C0E22"/>
    <w:rsid w:val="056F1060"/>
    <w:rsid w:val="056F4118"/>
    <w:rsid w:val="057024F8"/>
    <w:rsid w:val="05740860"/>
    <w:rsid w:val="05790131"/>
    <w:rsid w:val="057B5C57"/>
    <w:rsid w:val="057E74F5"/>
    <w:rsid w:val="05834B0B"/>
    <w:rsid w:val="0599432F"/>
    <w:rsid w:val="059B00A7"/>
    <w:rsid w:val="059E1945"/>
    <w:rsid w:val="05A76A4C"/>
    <w:rsid w:val="05CD5D86"/>
    <w:rsid w:val="05D03D42"/>
    <w:rsid w:val="05D610DF"/>
    <w:rsid w:val="05E11832"/>
    <w:rsid w:val="05E51322"/>
    <w:rsid w:val="05EF21A1"/>
    <w:rsid w:val="05F11A75"/>
    <w:rsid w:val="05F72E03"/>
    <w:rsid w:val="06032C08"/>
    <w:rsid w:val="060519C4"/>
    <w:rsid w:val="060F45F1"/>
    <w:rsid w:val="06173888"/>
    <w:rsid w:val="0619721E"/>
    <w:rsid w:val="06287461"/>
    <w:rsid w:val="062C51A3"/>
    <w:rsid w:val="063D2F0C"/>
    <w:rsid w:val="06471FDD"/>
    <w:rsid w:val="0659586C"/>
    <w:rsid w:val="065B283D"/>
    <w:rsid w:val="06606BFB"/>
    <w:rsid w:val="066761DB"/>
    <w:rsid w:val="06677F89"/>
    <w:rsid w:val="067A5F0E"/>
    <w:rsid w:val="067F52D3"/>
    <w:rsid w:val="06856661"/>
    <w:rsid w:val="06862B05"/>
    <w:rsid w:val="06874187"/>
    <w:rsid w:val="069074E0"/>
    <w:rsid w:val="06930D7E"/>
    <w:rsid w:val="06B238FA"/>
    <w:rsid w:val="06B807E5"/>
    <w:rsid w:val="06B86A37"/>
    <w:rsid w:val="06BD2A2B"/>
    <w:rsid w:val="06BF7DC5"/>
    <w:rsid w:val="06CE625A"/>
    <w:rsid w:val="06D373CC"/>
    <w:rsid w:val="06D65043"/>
    <w:rsid w:val="06D66EBD"/>
    <w:rsid w:val="06DA075B"/>
    <w:rsid w:val="06DC0977"/>
    <w:rsid w:val="06E31D05"/>
    <w:rsid w:val="06E4782C"/>
    <w:rsid w:val="06E710CA"/>
    <w:rsid w:val="06F061D0"/>
    <w:rsid w:val="06F21F49"/>
    <w:rsid w:val="06F3181D"/>
    <w:rsid w:val="06F7130D"/>
    <w:rsid w:val="06FE6B3F"/>
    <w:rsid w:val="0710109F"/>
    <w:rsid w:val="07126147"/>
    <w:rsid w:val="07162D35"/>
    <w:rsid w:val="07195F0C"/>
    <w:rsid w:val="07261BF2"/>
    <w:rsid w:val="07293490"/>
    <w:rsid w:val="072A5AB9"/>
    <w:rsid w:val="07322345"/>
    <w:rsid w:val="073A569E"/>
    <w:rsid w:val="073E6F3C"/>
    <w:rsid w:val="07442078"/>
    <w:rsid w:val="07471140"/>
    <w:rsid w:val="07562360"/>
    <w:rsid w:val="075C3866"/>
    <w:rsid w:val="075E0B31"/>
    <w:rsid w:val="075E313A"/>
    <w:rsid w:val="07630750"/>
    <w:rsid w:val="0764271A"/>
    <w:rsid w:val="07724E37"/>
    <w:rsid w:val="077F1302"/>
    <w:rsid w:val="078132CC"/>
    <w:rsid w:val="078B414B"/>
    <w:rsid w:val="078B5EF9"/>
    <w:rsid w:val="0790350F"/>
    <w:rsid w:val="079B5DEA"/>
    <w:rsid w:val="07B45450"/>
    <w:rsid w:val="07B54D24"/>
    <w:rsid w:val="07B90CB8"/>
    <w:rsid w:val="07B92A66"/>
    <w:rsid w:val="07B94814"/>
    <w:rsid w:val="07C1191B"/>
    <w:rsid w:val="07C136C9"/>
    <w:rsid w:val="07C84A57"/>
    <w:rsid w:val="07CD02C0"/>
    <w:rsid w:val="07E01DA1"/>
    <w:rsid w:val="07E15B19"/>
    <w:rsid w:val="07E44BE1"/>
    <w:rsid w:val="07E55609"/>
    <w:rsid w:val="07EA0E72"/>
    <w:rsid w:val="07F95559"/>
    <w:rsid w:val="080041F1"/>
    <w:rsid w:val="0802440D"/>
    <w:rsid w:val="080A1514"/>
    <w:rsid w:val="080D690E"/>
    <w:rsid w:val="08114650"/>
    <w:rsid w:val="081D44E6"/>
    <w:rsid w:val="081E0B1B"/>
    <w:rsid w:val="082C148A"/>
    <w:rsid w:val="082F2519"/>
    <w:rsid w:val="0837069C"/>
    <w:rsid w:val="083D5445"/>
    <w:rsid w:val="08430582"/>
    <w:rsid w:val="084762C4"/>
    <w:rsid w:val="084C212E"/>
    <w:rsid w:val="08513131"/>
    <w:rsid w:val="08626C5A"/>
    <w:rsid w:val="08646E76"/>
    <w:rsid w:val="086724C2"/>
    <w:rsid w:val="087846CF"/>
    <w:rsid w:val="087D3A94"/>
    <w:rsid w:val="088210AA"/>
    <w:rsid w:val="0882554E"/>
    <w:rsid w:val="088840F9"/>
    <w:rsid w:val="08901A19"/>
    <w:rsid w:val="08915791"/>
    <w:rsid w:val="08940DDD"/>
    <w:rsid w:val="08A13C26"/>
    <w:rsid w:val="08A94889"/>
    <w:rsid w:val="08B5322E"/>
    <w:rsid w:val="08BA6A96"/>
    <w:rsid w:val="08BB636A"/>
    <w:rsid w:val="08BC0A60"/>
    <w:rsid w:val="08C90A87"/>
    <w:rsid w:val="08CA47FF"/>
    <w:rsid w:val="08CF1E16"/>
    <w:rsid w:val="08E81855"/>
    <w:rsid w:val="08FB2C0B"/>
    <w:rsid w:val="09067F2D"/>
    <w:rsid w:val="09120680"/>
    <w:rsid w:val="09167A44"/>
    <w:rsid w:val="091A12E3"/>
    <w:rsid w:val="09246605"/>
    <w:rsid w:val="092B1742"/>
    <w:rsid w:val="093525C0"/>
    <w:rsid w:val="09376339"/>
    <w:rsid w:val="09377D33"/>
    <w:rsid w:val="093C394F"/>
    <w:rsid w:val="09491BC8"/>
    <w:rsid w:val="094B1DE4"/>
    <w:rsid w:val="09502F56"/>
    <w:rsid w:val="09532A47"/>
    <w:rsid w:val="095F3199"/>
    <w:rsid w:val="0960544E"/>
    <w:rsid w:val="096B2561"/>
    <w:rsid w:val="096B5FE2"/>
    <w:rsid w:val="096B7D90"/>
    <w:rsid w:val="096D58B6"/>
    <w:rsid w:val="0972111F"/>
    <w:rsid w:val="0978425B"/>
    <w:rsid w:val="097F1A8E"/>
    <w:rsid w:val="09863240"/>
    <w:rsid w:val="098F1CD1"/>
    <w:rsid w:val="099077F7"/>
    <w:rsid w:val="099F5C8C"/>
    <w:rsid w:val="09A6701A"/>
    <w:rsid w:val="09C13E54"/>
    <w:rsid w:val="09CA0F5B"/>
    <w:rsid w:val="09D9119E"/>
    <w:rsid w:val="09ED4C49"/>
    <w:rsid w:val="09EF6C13"/>
    <w:rsid w:val="09F022A9"/>
    <w:rsid w:val="09FC30DE"/>
    <w:rsid w:val="0A0B50CF"/>
    <w:rsid w:val="0A102A99"/>
    <w:rsid w:val="0A110938"/>
    <w:rsid w:val="0A200B7B"/>
    <w:rsid w:val="0A206DCD"/>
    <w:rsid w:val="0A2368BD"/>
    <w:rsid w:val="0A2D14EA"/>
    <w:rsid w:val="0A2E773B"/>
    <w:rsid w:val="0A2F7010"/>
    <w:rsid w:val="0A3463D4"/>
    <w:rsid w:val="0A391C3C"/>
    <w:rsid w:val="0A3A6C0D"/>
    <w:rsid w:val="0A40746F"/>
    <w:rsid w:val="0A530F50"/>
    <w:rsid w:val="0A5B7E05"/>
    <w:rsid w:val="0A5E16A3"/>
    <w:rsid w:val="0A670558"/>
    <w:rsid w:val="0A6749FB"/>
    <w:rsid w:val="0A6C1DAF"/>
    <w:rsid w:val="0A6E5D8A"/>
    <w:rsid w:val="0A7809B7"/>
    <w:rsid w:val="0A794981"/>
    <w:rsid w:val="0A7D421F"/>
    <w:rsid w:val="0A8455AD"/>
    <w:rsid w:val="0A84735B"/>
    <w:rsid w:val="0A851326"/>
    <w:rsid w:val="0A870BFA"/>
    <w:rsid w:val="0A876E4C"/>
    <w:rsid w:val="0A894972"/>
    <w:rsid w:val="0A99092D"/>
    <w:rsid w:val="0AA03A6A"/>
    <w:rsid w:val="0AA96DC2"/>
    <w:rsid w:val="0AB1211B"/>
    <w:rsid w:val="0ABA2D7D"/>
    <w:rsid w:val="0ABD461B"/>
    <w:rsid w:val="0AC05EBA"/>
    <w:rsid w:val="0AD007F3"/>
    <w:rsid w:val="0AD21468"/>
    <w:rsid w:val="0AE07366"/>
    <w:rsid w:val="0AF12517"/>
    <w:rsid w:val="0AF671E5"/>
    <w:rsid w:val="0AF73FD1"/>
    <w:rsid w:val="0B106E41"/>
    <w:rsid w:val="0B113DED"/>
    <w:rsid w:val="0B1306DF"/>
    <w:rsid w:val="0B204882"/>
    <w:rsid w:val="0B204BAA"/>
    <w:rsid w:val="0B225FBF"/>
    <w:rsid w:val="0B2621C1"/>
    <w:rsid w:val="0B424B21"/>
    <w:rsid w:val="0B4474F0"/>
    <w:rsid w:val="0B4D1E43"/>
    <w:rsid w:val="0B507DEF"/>
    <w:rsid w:val="0B510EC7"/>
    <w:rsid w:val="0B5A4560"/>
    <w:rsid w:val="0B5C4D77"/>
    <w:rsid w:val="0B6727D9"/>
    <w:rsid w:val="0B6C7DF0"/>
    <w:rsid w:val="0B7218AA"/>
    <w:rsid w:val="0B7373D0"/>
    <w:rsid w:val="0B75067A"/>
    <w:rsid w:val="0B8D2240"/>
    <w:rsid w:val="0B9F3D21"/>
    <w:rsid w:val="0BA15CEB"/>
    <w:rsid w:val="0BA30B27"/>
    <w:rsid w:val="0BA37CB5"/>
    <w:rsid w:val="0BAD28E2"/>
    <w:rsid w:val="0BBA6DAD"/>
    <w:rsid w:val="0BC1319E"/>
    <w:rsid w:val="0BC419DA"/>
    <w:rsid w:val="0BC814CA"/>
    <w:rsid w:val="0BE43E2A"/>
    <w:rsid w:val="0BED7182"/>
    <w:rsid w:val="0BF40511"/>
    <w:rsid w:val="0BF422BF"/>
    <w:rsid w:val="0BF64289"/>
    <w:rsid w:val="0BFC5617"/>
    <w:rsid w:val="0C012C2E"/>
    <w:rsid w:val="0C0B13B7"/>
    <w:rsid w:val="0C1464BD"/>
    <w:rsid w:val="0C18481D"/>
    <w:rsid w:val="0C264442"/>
    <w:rsid w:val="0C4A0131"/>
    <w:rsid w:val="0C4C20FB"/>
    <w:rsid w:val="0C517711"/>
    <w:rsid w:val="0C59282D"/>
    <w:rsid w:val="0C6F5DE9"/>
    <w:rsid w:val="0C727688"/>
    <w:rsid w:val="0C774C9E"/>
    <w:rsid w:val="0C874EE1"/>
    <w:rsid w:val="0C8F3D96"/>
    <w:rsid w:val="0C915D60"/>
    <w:rsid w:val="0C985340"/>
    <w:rsid w:val="0CA05CB1"/>
    <w:rsid w:val="0CA21D1B"/>
    <w:rsid w:val="0CA37841"/>
    <w:rsid w:val="0CA43CE5"/>
    <w:rsid w:val="0CA57A5D"/>
    <w:rsid w:val="0CAA0BCF"/>
    <w:rsid w:val="0CB657C6"/>
    <w:rsid w:val="0CBA3508"/>
    <w:rsid w:val="0CBB2DDD"/>
    <w:rsid w:val="0CC46135"/>
    <w:rsid w:val="0CEE31B2"/>
    <w:rsid w:val="0CF307C8"/>
    <w:rsid w:val="0D026C5D"/>
    <w:rsid w:val="0D0A44F0"/>
    <w:rsid w:val="0D0E115E"/>
    <w:rsid w:val="0D1349C7"/>
    <w:rsid w:val="0D1F336B"/>
    <w:rsid w:val="0D224C0A"/>
    <w:rsid w:val="0D240982"/>
    <w:rsid w:val="0D3F57BC"/>
    <w:rsid w:val="0D417786"/>
    <w:rsid w:val="0D4508F8"/>
    <w:rsid w:val="0D49663A"/>
    <w:rsid w:val="0D4C7ED9"/>
    <w:rsid w:val="0D5C45C0"/>
    <w:rsid w:val="0D613984"/>
    <w:rsid w:val="0D6276FC"/>
    <w:rsid w:val="0D755681"/>
    <w:rsid w:val="0D7731A8"/>
    <w:rsid w:val="0D8238FA"/>
    <w:rsid w:val="0D8E6743"/>
    <w:rsid w:val="0D951880"/>
    <w:rsid w:val="0D99021C"/>
    <w:rsid w:val="0DA10224"/>
    <w:rsid w:val="0DA25D4B"/>
    <w:rsid w:val="0DB77A48"/>
    <w:rsid w:val="0DB8731C"/>
    <w:rsid w:val="0DBE0DD6"/>
    <w:rsid w:val="0DC21F49"/>
    <w:rsid w:val="0DC42165"/>
    <w:rsid w:val="0DCD1019"/>
    <w:rsid w:val="0DDA1988"/>
    <w:rsid w:val="0DE3083D"/>
    <w:rsid w:val="0DEE21E9"/>
    <w:rsid w:val="0DEE2D3E"/>
    <w:rsid w:val="0DF2282E"/>
    <w:rsid w:val="0DF57B00"/>
    <w:rsid w:val="0DFA16E3"/>
    <w:rsid w:val="0E0F5672"/>
    <w:rsid w:val="0E131C4F"/>
    <w:rsid w:val="0E19425F"/>
    <w:rsid w:val="0E1A590B"/>
    <w:rsid w:val="0E216CB2"/>
    <w:rsid w:val="0E2449B2"/>
    <w:rsid w:val="0E286250"/>
    <w:rsid w:val="0E372937"/>
    <w:rsid w:val="0E4137B5"/>
    <w:rsid w:val="0E4806A0"/>
    <w:rsid w:val="0E4868F2"/>
    <w:rsid w:val="0E4A4418"/>
    <w:rsid w:val="0E4B1F3E"/>
    <w:rsid w:val="0E4B63E2"/>
    <w:rsid w:val="0E527771"/>
    <w:rsid w:val="0E5434E9"/>
    <w:rsid w:val="0E552DBD"/>
    <w:rsid w:val="0E590AFF"/>
    <w:rsid w:val="0E5B4877"/>
    <w:rsid w:val="0E664FCA"/>
    <w:rsid w:val="0E697FB4"/>
    <w:rsid w:val="0E6B438E"/>
    <w:rsid w:val="0E7133A9"/>
    <w:rsid w:val="0E715E49"/>
    <w:rsid w:val="0E770F85"/>
    <w:rsid w:val="0E7E2314"/>
    <w:rsid w:val="0E8518F4"/>
    <w:rsid w:val="0E903DF5"/>
    <w:rsid w:val="0E910299"/>
    <w:rsid w:val="0E9B1118"/>
    <w:rsid w:val="0E9E6512"/>
    <w:rsid w:val="0EA0672E"/>
    <w:rsid w:val="0EB21FBD"/>
    <w:rsid w:val="0EB9159E"/>
    <w:rsid w:val="0EC20452"/>
    <w:rsid w:val="0EC71F0D"/>
    <w:rsid w:val="0ECD1618"/>
    <w:rsid w:val="0ED2440E"/>
    <w:rsid w:val="0EDE1004"/>
    <w:rsid w:val="0EE77EB9"/>
    <w:rsid w:val="0EE859DF"/>
    <w:rsid w:val="0EEE7499"/>
    <w:rsid w:val="0EFD76DC"/>
    <w:rsid w:val="0F024CF3"/>
    <w:rsid w:val="0F032819"/>
    <w:rsid w:val="0F0A3BA7"/>
    <w:rsid w:val="0F0C5B71"/>
    <w:rsid w:val="0F1669F0"/>
    <w:rsid w:val="0F19203C"/>
    <w:rsid w:val="0F2509E1"/>
    <w:rsid w:val="0F3A448D"/>
    <w:rsid w:val="0F424977"/>
    <w:rsid w:val="0F44355D"/>
    <w:rsid w:val="0F4672D5"/>
    <w:rsid w:val="0F5117D6"/>
    <w:rsid w:val="0F5372FC"/>
    <w:rsid w:val="0F5F2145"/>
    <w:rsid w:val="0F6C4862"/>
    <w:rsid w:val="0F931DEF"/>
    <w:rsid w:val="0F955B67"/>
    <w:rsid w:val="0FA20284"/>
    <w:rsid w:val="0FA250E1"/>
    <w:rsid w:val="0FA4224E"/>
    <w:rsid w:val="0FB540D2"/>
    <w:rsid w:val="0FB939B1"/>
    <w:rsid w:val="0FBC1346"/>
    <w:rsid w:val="0FC24482"/>
    <w:rsid w:val="0FCB1589"/>
    <w:rsid w:val="0FCB3337"/>
    <w:rsid w:val="0FCB3DF0"/>
    <w:rsid w:val="0FD146C5"/>
    <w:rsid w:val="0FD20B69"/>
    <w:rsid w:val="0FD7617F"/>
    <w:rsid w:val="0FDC5544"/>
    <w:rsid w:val="0FE663C2"/>
    <w:rsid w:val="0FED59A3"/>
    <w:rsid w:val="0FEE34C9"/>
    <w:rsid w:val="0FF22FB9"/>
    <w:rsid w:val="0FF763C2"/>
    <w:rsid w:val="100D394F"/>
    <w:rsid w:val="101C1DE4"/>
    <w:rsid w:val="101D790A"/>
    <w:rsid w:val="101E3DAE"/>
    <w:rsid w:val="10262C63"/>
    <w:rsid w:val="10280789"/>
    <w:rsid w:val="102B2027"/>
    <w:rsid w:val="102D5D9F"/>
    <w:rsid w:val="102F7D69"/>
    <w:rsid w:val="10392996"/>
    <w:rsid w:val="1041184B"/>
    <w:rsid w:val="104430E9"/>
    <w:rsid w:val="104A4BA3"/>
    <w:rsid w:val="104B091B"/>
    <w:rsid w:val="104E5D16"/>
    <w:rsid w:val="104F3F68"/>
    <w:rsid w:val="10563548"/>
    <w:rsid w:val="105F2D4E"/>
    <w:rsid w:val="10615A49"/>
    <w:rsid w:val="10637A13"/>
    <w:rsid w:val="10675755"/>
    <w:rsid w:val="10685029"/>
    <w:rsid w:val="106F0166"/>
    <w:rsid w:val="1074577C"/>
    <w:rsid w:val="10790FE5"/>
    <w:rsid w:val="107C6D27"/>
    <w:rsid w:val="107D6D99"/>
    <w:rsid w:val="108654B0"/>
    <w:rsid w:val="108A31F2"/>
    <w:rsid w:val="1090632E"/>
    <w:rsid w:val="109951E3"/>
    <w:rsid w:val="109E0A4B"/>
    <w:rsid w:val="109E6C9D"/>
    <w:rsid w:val="10AE35A2"/>
    <w:rsid w:val="10AF4A06"/>
    <w:rsid w:val="10B244F7"/>
    <w:rsid w:val="10B63FE7"/>
    <w:rsid w:val="10B71B0D"/>
    <w:rsid w:val="10BC7123"/>
    <w:rsid w:val="10BE4C49"/>
    <w:rsid w:val="10C04E65"/>
    <w:rsid w:val="10C83D1A"/>
    <w:rsid w:val="10CF134A"/>
    <w:rsid w:val="10CF6E57"/>
    <w:rsid w:val="10D75D0B"/>
    <w:rsid w:val="10E36DA6"/>
    <w:rsid w:val="10EA3C90"/>
    <w:rsid w:val="10ED552F"/>
    <w:rsid w:val="10F60887"/>
    <w:rsid w:val="11034D52"/>
    <w:rsid w:val="110A60E1"/>
    <w:rsid w:val="110E3E23"/>
    <w:rsid w:val="111006C8"/>
    <w:rsid w:val="11162CD7"/>
    <w:rsid w:val="111D7BC2"/>
    <w:rsid w:val="112A22DF"/>
    <w:rsid w:val="113A4C18"/>
    <w:rsid w:val="113F222E"/>
    <w:rsid w:val="11423ACC"/>
    <w:rsid w:val="1149120C"/>
    <w:rsid w:val="11494E5B"/>
    <w:rsid w:val="11567578"/>
    <w:rsid w:val="11586E4C"/>
    <w:rsid w:val="11592BC4"/>
    <w:rsid w:val="115A0E16"/>
    <w:rsid w:val="11625F1D"/>
    <w:rsid w:val="11641C95"/>
    <w:rsid w:val="116457F1"/>
    <w:rsid w:val="11673533"/>
    <w:rsid w:val="116E2B13"/>
    <w:rsid w:val="1170063A"/>
    <w:rsid w:val="118B5BFE"/>
    <w:rsid w:val="118F65E6"/>
    <w:rsid w:val="11904838"/>
    <w:rsid w:val="11911FF2"/>
    <w:rsid w:val="11916802"/>
    <w:rsid w:val="11943BFC"/>
    <w:rsid w:val="11965BC6"/>
    <w:rsid w:val="119710B3"/>
    <w:rsid w:val="119836EC"/>
    <w:rsid w:val="119C142F"/>
    <w:rsid w:val="11A622AD"/>
    <w:rsid w:val="11AB78C4"/>
    <w:rsid w:val="11B00A36"/>
    <w:rsid w:val="11B60016"/>
    <w:rsid w:val="11BB73DB"/>
    <w:rsid w:val="11BF511D"/>
    <w:rsid w:val="11C24C0D"/>
    <w:rsid w:val="11C646FD"/>
    <w:rsid w:val="11CC15E8"/>
    <w:rsid w:val="11DD55A3"/>
    <w:rsid w:val="11E93F48"/>
    <w:rsid w:val="11F0177A"/>
    <w:rsid w:val="11FA43A7"/>
    <w:rsid w:val="11FC011F"/>
    <w:rsid w:val="12042B30"/>
    <w:rsid w:val="12072620"/>
    <w:rsid w:val="12154D3D"/>
    <w:rsid w:val="12192A7F"/>
    <w:rsid w:val="12232628"/>
    <w:rsid w:val="12266F4A"/>
    <w:rsid w:val="122A6EEF"/>
    <w:rsid w:val="123A69E4"/>
    <w:rsid w:val="124675EC"/>
    <w:rsid w:val="12483364"/>
    <w:rsid w:val="124949E7"/>
    <w:rsid w:val="124E024F"/>
    <w:rsid w:val="12502219"/>
    <w:rsid w:val="12541D09"/>
    <w:rsid w:val="12582E7C"/>
    <w:rsid w:val="125F420A"/>
    <w:rsid w:val="12624F53"/>
    <w:rsid w:val="126857B5"/>
    <w:rsid w:val="126D2DCB"/>
    <w:rsid w:val="12753A2E"/>
    <w:rsid w:val="12807CE9"/>
    <w:rsid w:val="12957C2C"/>
    <w:rsid w:val="12972790"/>
    <w:rsid w:val="129C0FBA"/>
    <w:rsid w:val="129F4701"/>
    <w:rsid w:val="12A14823"/>
    <w:rsid w:val="12AD1419"/>
    <w:rsid w:val="12BC78AF"/>
    <w:rsid w:val="12C10A21"/>
    <w:rsid w:val="12C30C3D"/>
    <w:rsid w:val="12C33AC5"/>
    <w:rsid w:val="12CA5B28"/>
    <w:rsid w:val="12CF1390"/>
    <w:rsid w:val="12D06EB6"/>
    <w:rsid w:val="12D15108"/>
    <w:rsid w:val="12DD1CFF"/>
    <w:rsid w:val="12E0359D"/>
    <w:rsid w:val="12EF558E"/>
    <w:rsid w:val="12F11306"/>
    <w:rsid w:val="12F40DF6"/>
    <w:rsid w:val="12F42BA4"/>
    <w:rsid w:val="12F64B6E"/>
    <w:rsid w:val="12F72695"/>
    <w:rsid w:val="12F928B1"/>
    <w:rsid w:val="13053004"/>
    <w:rsid w:val="130628D8"/>
    <w:rsid w:val="13094E01"/>
    <w:rsid w:val="130F3E82"/>
    <w:rsid w:val="13117BFA"/>
    <w:rsid w:val="131274CE"/>
    <w:rsid w:val="13141499"/>
    <w:rsid w:val="1323348A"/>
    <w:rsid w:val="13272F7A"/>
    <w:rsid w:val="133631BD"/>
    <w:rsid w:val="13373B6D"/>
    <w:rsid w:val="13392CAD"/>
    <w:rsid w:val="133B07D3"/>
    <w:rsid w:val="134A0A16"/>
    <w:rsid w:val="13622204"/>
    <w:rsid w:val="13623FB2"/>
    <w:rsid w:val="136917E4"/>
    <w:rsid w:val="136A013D"/>
    <w:rsid w:val="13763F01"/>
    <w:rsid w:val="137912FC"/>
    <w:rsid w:val="1379754E"/>
    <w:rsid w:val="137F2DB6"/>
    <w:rsid w:val="138C7281"/>
    <w:rsid w:val="1394398D"/>
    <w:rsid w:val="139B5716"/>
    <w:rsid w:val="139D184F"/>
    <w:rsid w:val="139F5206"/>
    <w:rsid w:val="13A33B33"/>
    <w:rsid w:val="13AB3A56"/>
    <w:rsid w:val="13C20EF5"/>
    <w:rsid w:val="13C24A51"/>
    <w:rsid w:val="13C54541"/>
    <w:rsid w:val="13C7650B"/>
    <w:rsid w:val="13C92283"/>
    <w:rsid w:val="13CE7899"/>
    <w:rsid w:val="13D80718"/>
    <w:rsid w:val="13DA4490"/>
    <w:rsid w:val="13E175CD"/>
    <w:rsid w:val="13E76BAD"/>
    <w:rsid w:val="13EC5F71"/>
    <w:rsid w:val="13F015BE"/>
    <w:rsid w:val="13FC4407"/>
    <w:rsid w:val="13FD3CDB"/>
    <w:rsid w:val="14025EE7"/>
    <w:rsid w:val="1404150D"/>
    <w:rsid w:val="14060DE1"/>
    <w:rsid w:val="14092680"/>
    <w:rsid w:val="14101C60"/>
    <w:rsid w:val="14180B15"/>
    <w:rsid w:val="1424570B"/>
    <w:rsid w:val="142474B9"/>
    <w:rsid w:val="14270D58"/>
    <w:rsid w:val="14294AD0"/>
    <w:rsid w:val="143811B7"/>
    <w:rsid w:val="143A4F2F"/>
    <w:rsid w:val="14447B5C"/>
    <w:rsid w:val="1448764C"/>
    <w:rsid w:val="144933C4"/>
    <w:rsid w:val="144B713C"/>
    <w:rsid w:val="144E2788"/>
    <w:rsid w:val="144E4536"/>
    <w:rsid w:val="145002AE"/>
    <w:rsid w:val="145A112D"/>
    <w:rsid w:val="14602C66"/>
    <w:rsid w:val="146124BC"/>
    <w:rsid w:val="147246C9"/>
    <w:rsid w:val="1476392B"/>
    <w:rsid w:val="14787805"/>
    <w:rsid w:val="148D1503"/>
    <w:rsid w:val="14956609"/>
    <w:rsid w:val="149A3C1F"/>
    <w:rsid w:val="149A777C"/>
    <w:rsid w:val="14A8633C"/>
    <w:rsid w:val="14A95C11"/>
    <w:rsid w:val="14AB7BDB"/>
    <w:rsid w:val="14B06F9F"/>
    <w:rsid w:val="14BA1BCC"/>
    <w:rsid w:val="14BC3B96"/>
    <w:rsid w:val="14BE790E"/>
    <w:rsid w:val="14C36CD2"/>
    <w:rsid w:val="14CD5DA3"/>
    <w:rsid w:val="14D013EF"/>
    <w:rsid w:val="14E07884"/>
    <w:rsid w:val="14E629C1"/>
    <w:rsid w:val="14E804E7"/>
    <w:rsid w:val="14ED231D"/>
    <w:rsid w:val="14F448DE"/>
    <w:rsid w:val="14FB646C"/>
    <w:rsid w:val="14FE41AE"/>
    <w:rsid w:val="15007F26"/>
    <w:rsid w:val="1505113D"/>
    <w:rsid w:val="15121A08"/>
    <w:rsid w:val="15156B6F"/>
    <w:rsid w:val="1517701E"/>
    <w:rsid w:val="151E03AD"/>
    <w:rsid w:val="152139F9"/>
    <w:rsid w:val="152359C3"/>
    <w:rsid w:val="152534E9"/>
    <w:rsid w:val="152A4FA3"/>
    <w:rsid w:val="152C0D1B"/>
    <w:rsid w:val="153168D2"/>
    <w:rsid w:val="153E45AB"/>
    <w:rsid w:val="15453B8B"/>
    <w:rsid w:val="1548367B"/>
    <w:rsid w:val="15545656"/>
    <w:rsid w:val="1562473D"/>
    <w:rsid w:val="15671D54"/>
    <w:rsid w:val="156833E0"/>
    <w:rsid w:val="156A53A0"/>
    <w:rsid w:val="156E30E2"/>
    <w:rsid w:val="157306F8"/>
    <w:rsid w:val="1573694A"/>
    <w:rsid w:val="1574621E"/>
    <w:rsid w:val="15791A87"/>
    <w:rsid w:val="157A4366"/>
    <w:rsid w:val="157D50D3"/>
    <w:rsid w:val="15836462"/>
    <w:rsid w:val="15875F52"/>
    <w:rsid w:val="15883A78"/>
    <w:rsid w:val="15884E79"/>
    <w:rsid w:val="1598015F"/>
    <w:rsid w:val="15997A33"/>
    <w:rsid w:val="159D7523"/>
    <w:rsid w:val="15A563D8"/>
    <w:rsid w:val="15A72150"/>
    <w:rsid w:val="15AA7E92"/>
    <w:rsid w:val="15AC3C0A"/>
    <w:rsid w:val="15AF54A9"/>
    <w:rsid w:val="15B605E5"/>
    <w:rsid w:val="15C03212"/>
    <w:rsid w:val="15C50828"/>
    <w:rsid w:val="15C90318"/>
    <w:rsid w:val="15CA5E3E"/>
    <w:rsid w:val="15D171CD"/>
    <w:rsid w:val="15E50ECA"/>
    <w:rsid w:val="15F01D49"/>
    <w:rsid w:val="15F07F9B"/>
    <w:rsid w:val="15FD4466"/>
    <w:rsid w:val="15FD7FC2"/>
    <w:rsid w:val="15FF3D3A"/>
    <w:rsid w:val="160A26DF"/>
    <w:rsid w:val="16135A37"/>
    <w:rsid w:val="16161084"/>
    <w:rsid w:val="162419F3"/>
    <w:rsid w:val="16247C45"/>
    <w:rsid w:val="162714E3"/>
    <w:rsid w:val="162B2D81"/>
    <w:rsid w:val="162B4B2F"/>
    <w:rsid w:val="162D4D4B"/>
    <w:rsid w:val="163065E9"/>
    <w:rsid w:val="163C6D3C"/>
    <w:rsid w:val="164C2CF7"/>
    <w:rsid w:val="164E4CC1"/>
    <w:rsid w:val="1662251B"/>
    <w:rsid w:val="1663076D"/>
    <w:rsid w:val="16781D3E"/>
    <w:rsid w:val="167A54F0"/>
    <w:rsid w:val="16827E53"/>
    <w:rsid w:val="16924BAE"/>
    <w:rsid w:val="169923E1"/>
    <w:rsid w:val="16A42B33"/>
    <w:rsid w:val="16A448E1"/>
    <w:rsid w:val="16A843D2"/>
    <w:rsid w:val="16AB3EC2"/>
    <w:rsid w:val="16B54D41"/>
    <w:rsid w:val="16BE3BF5"/>
    <w:rsid w:val="16C136E5"/>
    <w:rsid w:val="16CA259A"/>
    <w:rsid w:val="16D72F09"/>
    <w:rsid w:val="16E178E4"/>
    <w:rsid w:val="16E236D1"/>
    <w:rsid w:val="16E66D61"/>
    <w:rsid w:val="16EB0762"/>
    <w:rsid w:val="16F21AF1"/>
    <w:rsid w:val="16F5338F"/>
    <w:rsid w:val="16F75359"/>
    <w:rsid w:val="170A0BE8"/>
    <w:rsid w:val="170F26A3"/>
    <w:rsid w:val="17103D25"/>
    <w:rsid w:val="171E6442"/>
    <w:rsid w:val="173739A8"/>
    <w:rsid w:val="1746135D"/>
    <w:rsid w:val="174D6D27"/>
    <w:rsid w:val="17563E2E"/>
    <w:rsid w:val="175E2CE2"/>
    <w:rsid w:val="17602EFE"/>
    <w:rsid w:val="17667DE9"/>
    <w:rsid w:val="17732C32"/>
    <w:rsid w:val="1782529E"/>
    <w:rsid w:val="1783099B"/>
    <w:rsid w:val="17872239"/>
    <w:rsid w:val="178C5AA1"/>
    <w:rsid w:val="178E7A6B"/>
    <w:rsid w:val="178F10EE"/>
    <w:rsid w:val="178F7340"/>
    <w:rsid w:val="17944956"/>
    <w:rsid w:val="1796247C"/>
    <w:rsid w:val="179C380B"/>
    <w:rsid w:val="17A10E21"/>
    <w:rsid w:val="17AF1790"/>
    <w:rsid w:val="17AF79E2"/>
    <w:rsid w:val="17AF79FE"/>
    <w:rsid w:val="17C84600"/>
    <w:rsid w:val="17CC2342"/>
    <w:rsid w:val="17D336D0"/>
    <w:rsid w:val="17D3547E"/>
    <w:rsid w:val="17D47448"/>
    <w:rsid w:val="17DA1443"/>
    <w:rsid w:val="17E94CA2"/>
    <w:rsid w:val="17EC6540"/>
    <w:rsid w:val="17EE050A"/>
    <w:rsid w:val="180219D8"/>
    <w:rsid w:val="180513B0"/>
    <w:rsid w:val="18094EC6"/>
    <w:rsid w:val="18243F2C"/>
    <w:rsid w:val="182A7068"/>
    <w:rsid w:val="182B350C"/>
    <w:rsid w:val="18365A0D"/>
    <w:rsid w:val="18365CFA"/>
    <w:rsid w:val="18371EB1"/>
    <w:rsid w:val="183B3F4A"/>
    <w:rsid w:val="18455C50"/>
    <w:rsid w:val="18491BE4"/>
    <w:rsid w:val="184C5231"/>
    <w:rsid w:val="18543B9A"/>
    <w:rsid w:val="185F4F64"/>
    <w:rsid w:val="18716A45"/>
    <w:rsid w:val="187529D9"/>
    <w:rsid w:val="187A7FF0"/>
    <w:rsid w:val="187D188E"/>
    <w:rsid w:val="18893D8F"/>
    <w:rsid w:val="188B3FAB"/>
    <w:rsid w:val="1890511D"/>
    <w:rsid w:val="189A2440"/>
    <w:rsid w:val="189B12EC"/>
    <w:rsid w:val="18A40BC9"/>
    <w:rsid w:val="18A4506D"/>
    <w:rsid w:val="18A60DE5"/>
    <w:rsid w:val="18B3705E"/>
    <w:rsid w:val="18B84674"/>
    <w:rsid w:val="18BE642A"/>
    <w:rsid w:val="18C66D91"/>
    <w:rsid w:val="18C96881"/>
    <w:rsid w:val="18CE5C46"/>
    <w:rsid w:val="18D41D91"/>
    <w:rsid w:val="18DC4807"/>
    <w:rsid w:val="18DC65B5"/>
    <w:rsid w:val="18DF42F7"/>
    <w:rsid w:val="18E35B95"/>
    <w:rsid w:val="18F03E0E"/>
    <w:rsid w:val="18F57676"/>
    <w:rsid w:val="18FA4C8D"/>
    <w:rsid w:val="18FE29CF"/>
    <w:rsid w:val="190F0738"/>
    <w:rsid w:val="19120228"/>
    <w:rsid w:val="19185113"/>
    <w:rsid w:val="191E6BCD"/>
    <w:rsid w:val="192561AE"/>
    <w:rsid w:val="192817FA"/>
    <w:rsid w:val="192835A8"/>
    <w:rsid w:val="192C753C"/>
    <w:rsid w:val="192D0BBE"/>
    <w:rsid w:val="1934019F"/>
    <w:rsid w:val="193E101D"/>
    <w:rsid w:val="194B54E8"/>
    <w:rsid w:val="19573E8D"/>
    <w:rsid w:val="19622F5E"/>
    <w:rsid w:val="19662322"/>
    <w:rsid w:val="196640D0"/>
    <w:rsid w:val="197131A1"/>
    <w:rsid w:val="19723CCE"/>
    <w:rsid w:val="197723F8"/>
    <w:rsid w:val="197B5DCD"/>
    <w:rsid w:val="197E58BE"/>
    <w:rsid w:val="19810F0A"/>
    <w:rsid w:val="19882298"/>
    <w:rsid w:val="19AA66B3"/>
    <w:rsid w:val="19BB441C"/>
    <w:rsid w:val="19BE5CBA"/>
    <w:rsid w:val="19C30786"/>
    <w:rsid w:val="19C5529B"/>
    <w:rsid w:val="19D454DE"/>
    <w:rsid w:val="19E05152"/>
    <w:rsid w:val="19E80F89"/>
    <w:rsid w:val="19EA6632"/>
    <w:rsid w:val="19EF2318"/>
    <w:rsid w:val="19F811CC"/>
    <w:rsid w:val="19F93196"/>
    <w:rsid w:val="19FD2C86"/>
    <w:rsid w:val="1A0062D3"/>
    <w:rsid w:val="1A136204"/>
    <w:rsid w:val="1A3348FA"/>
    <w:rsid w:val="1A3366A8"/>
    <w:rsid w:val="1A3A7A37"/>
    <w:rsid w:val="1A3F504D"/>
    <w:rsid w:val="1A4F0ED2"/>
    <w:rsid w:val="1A534654"/>
    <w:rsid w:val="1A562397"/>
    <w:rsid w:val="1A5D54D3"/>
    <w:rsid w:val="1A6525DA"/>
    <w:rsid w:val="1A7016AA"/>
    <w:rsid w:val="1A710F7F"/>
    <w:rsid w:val="1A7A6085"/>
    <w:rsid w:val="1A862C7C"/>
    <w:rsid w:val="1A9D6217"/>
    <w:rsid w:val="1AA50C28"/>
    <w:rsid w:val="1AA9696A"/>
    <w:rsid w:val="1AB07CF9"/>
    <w:rsid w:val="1AB1581F"/>
    <w:rsid w:val="1ABD5F72"/>
    <w:rsid w:val="1ABD609A"/>
    <w:rsid w:val="1AC75042"/>
    <w:rsid w:val="1ACC1784"/>
    <w:rsid w:val="1ACE63D1"/>
    <w:rsid w:val="1AD339E7"/>
    <w:rsid w:val="1AE03EC5"/>
    <w:rsid w:val="1AF20311"/>
    <w:rsid w:val="1AFC0627"/>
    <w:rsid w:val="1B065B6B"/>
    <w:rsid w:val="1B087B35"/>
    <w:rsid w:val="1B0B442D"/>
    <w:rsid w:val="1B100797"/>
    <w:rsid w:val="1B140288"/>
    <w:rsid w:val="1B155DAE"/>
    <w:rsid w:val="1B1A1616"/>
    <w:rsid w:val="1B1E1106"/>
    <w:rsid w:val="1B223E33"/>
    <w:rsid w:val="1B2B737F"/>
    <w:rsid w:val="1B3A3A66"/>
    <w:rsid w:val="1B3A5814"/>
    <w:rsid w:val="1B3A75C2"/>
    <w:rsid w:val="1B4B7A22"/>
    <w:rsid w:val="1B527002"/>
    <w:rsid w:val="1B574618"/>
    <w:rsid w:val="1B59213E"/>
    <w:rsid w:val="1B6063DC"/>
    <w:rsid w:val="1B650AE3"/>
    <w:rsid w:val="1B7D7150"/>
    <w:rsid w:val="1B8151F1"/>
    <w:rsid w:val="1B83540D"/>
    <w:rsid w:val="1B8A679C"/>
    <w:rsid w:val="1B8B42C2"/>
    <w:rsid w:val="1B903686"/>
    <w:rsid w:val="1B9118D8"/>
    <w:rsid w:val="1B970EB9"/>
    <w:rsid w:val="1B9F1D1F"/>
    <w:rsid w:val="1BA333BA"/>
    <w:rsid w:val="1BA921A5"/>
    <w:rsid w:val="1BAD248A"/>
    <w:rsid w:val="1BAF1D5E"/>
    <w:rsid w:val="1BBC26CD"/>
    <w:rsid w:val="1BBE4697"/>
    <w:rsid w:val="1BCD6688"/>
    <w:rsid w:val="1BD16179"/>
    <w:rsid w:val="1BD417C5"/>
    <w:rsid w:val="1BE539D2"/>
    <w:rsid w:val="1BEC2FB3"/>
    <w:rsid w:val="1BEF2AA3"/>
    <w:rsid w:val="1BFD436D"/>
    <w:rsid w:val="1C085913"/>
    <w:rsid w:val="1C0C5403"/>
    <w:rsid w:val="1C166281"/>
    <w:rsid w:val="1C183DA8"/>
    <w:rsid w:val="1C27223D"/>
    <w:rsid w:val="1C4A5F2B"/>
    <w:rsid w:val="1C4A7433"/>
    <w:rsid w:val="1C4A7CD9"/>
    <w:rsid w:val="1C4E77C9"/>
    <w:rsid w:val="1C5648D0"/>
    <w:rsid w:val="1C5D5C5E"/>
    <w:rsid w:val="1C6172DD"/>
    <w:rsid w:val="1C6C773B"/>
    <w:rsid w:val="1C707260"/>
    <w:rsid w:val="1C715266"/>
    <w:rsid w:val="1C84143D"/>
    <w:rsid w:val="1C9345EF"/>
    <w:rsid w:val="1C951B41"/>
    <w:rsid w:val="1C99656B"/>
    <w:rsid w:val="1CA05B4B"/>
    <w:rsid w:val="1CA27B15"/>
    <w:rsid w:val="1CAC44F0"/>
    <w:rsid w:val="1CAD0994"/>
    <w:rsid w:val="1CB03FE0"/>
    <w:rsid w:val="1CB25FAA"/>
    <w:rsid w:val="1CC01D49"/>
    <w:rsid w:val="1CC47A8B"/>
    <w:rsid w:val="1CD852E5"/>
    <w:rsid w:val="1CE81E71"/>
    <w:rsid w:val="1CEC0D90"/>
    <w:rsid w:val="1CF245F9"/>
    <w:rsid w:val="1D033CE9"/>
    <w:rsid w:val="1D0D10AD"/>
    <w:rsid w:val="1D0D31E0"/>
    <w:rsid w:val="1D126A49"/>
    <w:rsid w:val="1D181B85"/>
    <w:rsid w:val="1D230C56"/>
    <w:rsid w:val="1D2642A2"/>
    <w:rsid w:val="1D306ECF"/>
    <w:rsid w:val="1D3249F5"/>
    <w:rsid w:val="1D41732E"/>
    <w:rsid w:val="1D4961E3"/>
    <w:rsid w:val="1D507571"/>
    <w:rsid w:val="1D552DD9"/>
    <w:rsid w:val="1D594678"/>
    <w:rsid w:val="1D61177E"/>
    <w:rsid w:val="1D7E5E8C"/>
    <w:rsid w:val="1D7E7C3A"/>
    <w:rsid w:val="1D81597C"/>
    <w:rsid w:val="1D81772B"/>
    <w:rsid w:val="1D8D2573"/>
    <w:rsid w:val="1D954F84"/>
    <w:rsid w:val="1D9C4564"/>
    <w:rsid w:val="1DA578BD"/>
    <w:rsid w:val="1DBA2C3C"/>
    <w:rsid w:val="1DC13FCB"/>
    <w:rsid w:val="1DDB508D"/>
    <w:rsid w:val="1DDD721A"/>
    <w:rsid w:val="1DE63A32"/>
    <w:rsid w:val="1DED4DC0"/>
    <w:rsid w:val="1DF75C3F"/>
    <w:rsid w:val="1DF779ED"/>
    <w:rsid w:val="1DFC5AA4"/>
    <w:rsid w:val="1E0068A1"/>
    <w:rsid w:val="1E01086B"/>
    <w:rsid w:val="1E0C16EA"/>
    <w:rsid w:val="1E1D56A5"/>
    <w:rsid w:val="1E236A34"/>
    <w:rsid w:val="1E2C58E8"/>
    <w:rsid w:val="1E2D1660"/>
    <w:rsid w:val="1E312EFF"/>
    <w:rsid w:val="1E3B3D7D"/>
    <w:rsid w:val="1E3F16B2"/>
    <w:rsid w:val="1E5B7F7C"/>
    <w:rsid w:val="1E65704C"/>
    <w:rsid w:val="1E676920"/>
    <w:rsid w:val="1E6C2189"/>
    <w:rsid w:val="1E7948A6"/>
    <w:rsid w:val="1E7A2AF8"/>
    <w:rsid w:val="1E805C34"/>
    <w:rsid w:val="1E85149C"/>
    <w:rsid w:val="1E8C45D9"/>
    <w:rsid w:val="1E957931"/>
    <w:rsid w:val="1E9811D0"/>
    <w:rsid w:val="1EA27958"/>
    <w:rsid w:val="1EA47B74"/>
    <w:rsid w:val="1EA71413"/>
    <w:rsid w:val="1EAF02C7"/>
    <w:rsid w:val="1EB458DE"/>
    <w:rsid w:val="1EB61656"/>
    <w:rsid w:val="1EC75611"/>
    <w:rsid w:val="1ECE2E43"/>
    <w:rsid w:val="1ED16490"/>
    <w:rsid w:val="1ED815CC"/>
    <w:rsid w:val="1ED85A70"/>
    <w:rsid w:val="1EE14925"/>
    <w:rsid w:val="1EE61F3B"/>
    <w:rsid w:val="1EF108E0"/>
    <w:rsid w:val="1EFA59E6"/>
    <w:rsid w:val="1EFA7794"/>
    <w:rsid w:val="1EFC175F"/>
    <w:rsid w:val="1F100D66"/>
    <w:rsid w:val="1F122D30"/>
    <w:rsid w:val="1F143C6C"/>
    <w:rsid w:val="1F1B770B"/>
    <w:rsid w:val="1F2F7577"/>
    <w:rsid w:val="1F316F2E"/>
    <w:rsid w:val="1F325180"/>
    <w:rsid w:val="1F3A4035"/>
    <w:rsid w:val="1F43738D"/>
    <w:rsid w:val="1F460C2C"/>
    <w:rsid w:val="1F4B0664"/>
    <w:rsid w:val="1F4D1FBA"/>
    <w:rsid w:val="1F5F1CED"/>
    <w:rsid w:val="1F63358C"/>
    <w:rsid w:val="1F645556"/>
    <w:rsid w:val="1F9A0F77"/>
    <w:rsid w:val="1F9F033C"/>
    <w:rsid w:val="1FA3607E"/>
    <w:rsid w:val="1FA616CA"/>
    <w:rsid w:val="1FA63478"/>
    <w:rsid w:val="1FB2006F"/>
    <w:rsid w:val="1FB84B14"/>
    <w:rsid w:val="1FD06747"/>
    <w:rsid w:val="1FDB75C6"/>
    <w:rsid w:val="1FE81CE3"/>
    <w:rsid w:val="1FED10A7"/>
    <w:rsid w:val="20016901"/>
    <w:rsid w:val="20062169"/>
    <w:rsid w:val="200D1749"/>
    <w:rsid w:val="201A79C2"/>
    <w:rsid w:val="201B5C14"/>
    <w:rsid w:val="20254CE5"/>
    <w:rsid w:val="202645B9"/>
    <w:rsid w:val="20280331"/>
    <w:rsid w:val="202820DF"/>
    <w:rsid w:val="202A40A9"/>
    <w:rsid w:val="202B1BD0"/>
    <w:rsid w:val="20370574"/>
    <w:rsid w:val="20407429"/>
    <w:rsid w:val="2043516B"/>
    <w:rsid w:val="20517888"/>
    <w:rsid w:val="20580C17"/>
    <w:rsid w:val="205E1FA5"/>
    <w:rsid w:val="206104AB"/>
    <w:rsid w:val="20672C08"/>
    <w:rsid w:val="206C46C2"/>
    <w:rsid w:val="20796DDF"/>
    <w:rsid w:val="207D242B"/>
    <w:rsid w:val="20803CC9"/>
    <w:rsid w:val="20825C93"/>
    <w:rsid w:val="20831A0C"/>
    <w:rsid w:val="20887022"/>
    <w:rsid w:val="208A2D9A"/>
    <w:rsid w:val="209B4FA7"/>
    <w:rsid w:val="209C3E53"/>
    <w:rsid w:val="209D2927"/>
    <w:rsid w:val="20A43E5C"/>
    <w:rsid w:val="20AC0F62"/>
    <w:rsid w:val="20AC2D10"/>
    <w:rsid w:val="20B63B8F"/>
    <w:rsid w:val="20B87907"/>
    <w:rsid w:val="20BD6CCC"/>
    <w:rsid w:val="20C242E2"/>
    <w:rsid w:val="20CC2DA6"/>
    <w:rsid w:val="20D67D8D"/>
    <w:rsid w:val="20DD55C0"/>
    <w:rsid w:val="20E22BD6"/>
    <w:rsid w:val="20E57FD0"/>
    <w:rsid w:val="20EC135F"/>
    <w:rsid w:val="20EE157B"/>
    <w:rsid w:val="20F46465"/>
    <w:rsid w:val="2100305C"/>
    <w:rsid w:val="210C37AF"/>
    <w:rsid w:val="21115269"/>
    <w:rsid w:val="21117017"/>
    <w:rsid w:val="211F1734"/>
    <w:rsid w:val="2127683B"/>
    <w:rsid w:val="21283700"/>
    <w:rsid w:val="212E1977"/>
    <w:rsid w:val="212E7BC9"/>
    <w:rsid w:val="213A656E"/>
    <w:rsid w:val="21423675"/>
    <w:rsid w:val="21425423"/>
    <w:rsid w:val="21426E78"/>
    <w:rsid w:val="21472A39"/>
    <w:rsid w:val="214C62A1"/>
    <w:rsid w:val="21555156"/>
    <w:rsid w:val="216435EB"/>
    <w:rsid w:val="216C24A0"/>
    <w:rsid w:val="217001E2"/>
    <w:rsid w:val="2173382E"/>
    <w:rsid w:val="21734A87"/>
    <w:rsid w:val="21751354"/>
    <w:rsid w:val="217A696B"/>
    <w:rsid w:val="217E28FF"/>
    <w:rsid w:val="21821CC3"/>
    <w:rsid w:val="218D48F0"/>
    <w:rsid w:val="219914E7"/>
    <w:rsid w:val="219A700D"/>
    <w:rsid w:val="219C655A"/>
    <w:rsid w:val="219F63D1"/>
    <w:rsid w:val="21AA36F4"/>
    <w:rsid w:val="21B52099"/>
    <w:rsid w:val="21BD5FE5"/>
    <w:rsid w:val="21CB262D"/>
    <w:rsid w:val="21DE15EF"/>
    <w:rsid w:val="21E85FCA"/>
    <w:rsid w:val="21EF7359"/>
    <w:rsid w:val="21F11323"/>
    <w:rsid w:val="21F726B1"/>
    <w:rsid w:val="21F7445F"/>
    <w:rsid w:val="21FC7CC7"/>
    <w:rsid w:val="21FF50C2"/>
    <w:rsid w:val="2208041A"/>
    <w:rsid w:val="220B1CB9"/>
    <w:rsid w:val="220D5A31"/>
    <w:rsid w:val="220E7CE5"/>
    <w:rsid w:val="22146DBF"/>
    <w:rsid w:val="221E7C3E"/>
    <w:rsid w:val="222039B6"/>
    <w:rsid w:val="2221772E"/>
    <w:rsid w:val="222E307C"/>
    <w:rsid w:val="223631D9"/>
    <w:rsid w:val="22372AAE"/>
    <w:rsid w:val="223905D4"/>
    <w:rsid w:val="22394A78"/>
    <w:rsid w:val="225673D8"/>
    <w:rsid w:val="225C42C2"/>
    <w:rsid w:val="22603DB2"/>
    <w:rsid w:val="226513C9"/>
    <w:rsid w:val="22682C67"/>
    <w:rsid w:val="226F3FF6"/>
    <w:rsid w:val="22717D6E"/>
    <w:rsid w:val="22727F54"/>
    <w:rsid w:val="22745AB0"/>
    <w:rsid w:val="227B61C5"/>
    <w:rsid w:val="227E692E"/>
    <w:rsid w:val="22813D29"/>
    <w:rsid w:val="228201CD"/>
    <w:rsid w:val="228A52D3"/>
    <w:rsid w:val="228F6446"/>
    <w:rsid w:val="22932C5F"/>
    <w:rsid w:val="22970985"/>
    <w:rsid w:val="229E48DB"/>
    <w:rsid w:val="229F7AE7"/>
    <w:rsid w:val="22A04AF7"/>
    <w:rsid w:val="22B1460E"/>
    <w:rsid w:val="22B440FE"/>
    <w:rsid w:val="22B83BEE"/>
    <w:rsid w:val="22B8599C"/>
    <w:rsid w:val="22BB723B"/>
    <w:rsid w:val="22CE3412"/>
    <w:rsid w:val="22DA1DB7"/>
    <w:rsid w:val="22E00E77"/>
    <w:rsid w:val="22E471B1"/>
    <w:rsid w:val="22EC3898"/>
    <w:rsid w:val="23072480"/>
    <w:rsid w:val="230A1F70"/>
    <w:rsid w:val="23256DAA"/>
    <w:rsid w:val="232F19D7"/>
    <w:rsid w:val="233319E5"/>
    <w:rsid w:val="23337719"/>
    <w:rsid w:val="23353491"/>
    <w:rsid w:val="23411E36"/>
    <w:rsid w:val="2342170A"/>
    <w:rsid w:val="235002CB"/>
    <w:rsid w:val="23582CDC"/>
    <w:rsid w:val="235F050E"/>
    <w:rsid w:val="2366189C"/>
    <w:rsid w:val="23700025"/>
    <w:rsid w:val="23812232"/>
    <w:rsid w:val="23841D23"/>
    <w:rsid w:val="238910E7"/>
    <w:rsid w:val="239006C7"/>
    <w:rsid w:val="23977CA8"/>
    <w:rsid w:val="239C52BE"/>
    <w:rsid w:val="239D4B92"/>
    <w:rsid w:val="23A02DE9"/>
    <w:rsid w:val="23A10B26"/>
    <w:rsid w:val="23A128D5"/>
    <w:rsid w:val="23A221A9"/>
    <w:rsid w:val="23A423C5"/>
    <w:rsid w:val="23A81EB5"/>
    <w:rsid w:val="23BF0FAD"/>
    <w:rsid w:val="23C465C3"/>
    <w:rsid w:val="23CD36CA"/>
    <w:rsid w:val="23D507D0"/>
    <w:rsid w:val="23D9206E"/>
    <w:rsid w:val="23DA1943"/>
    <w:rsid w:val="23DA6CA9"/>
    <w:rsid w:val="23DD1433"/>
    <w:rsid w:val="23E9602A"/>
    <w:rsid w:val="23ED3D6C"/>
    <w:rsid w:val="23F01166"/>
    <w:rsid w:val="23F549CE"/>
    <w:rsid w:val="23FF13A9"/>
    <w:rsid w:val="241035B6"/>
    <w:rsid w:val="24150BCD"/>
    <w:rsid w:val="2425011E"/>
    <w:rsid w:val="24305A06"/>
    <w:rsid w:val="24376D95"/>
    <w:rsid w:val="2443573A"/>
    <w:rsid w:val="24457704"/>
    <w:rsid w:val="244D0366"/>
    <w:rsid w:val="245060A9"/>
    <w:rsid w:val="246833F2"/>
    <w:rsid w:val="247104F9"/>
    <w:rsid w:val="24765B0F"/>
    <w:rsid w:val="24782AD4"/>
    <w:rsid w:val="247E49C4"/>
    <w:rsid w:val="2483647E"/>
    <w:rsid w:val="248F6BD1"/>
    <w:rsid w:val="249917FE"/>
    <w:rsid w:val="249D12EE"/>
    <w:rsid w:val="249E5066"/>
    <w:rsid w:val="24A3442A"/>
    <w:rsid w:val="24A501A2"/>
    <w:rsid w:val="24A7216D"/>
    <w:rsid w:val="24A87C93"/>
    <w:rsid w:val="24AA7567"/>
    <w:rsid w:val="24AB32DF"/>
    <w:rsid w:val="24B11358"/>
    <w:rsid w:val="24B623B0"/>
    <w:rsid w:val="24BB5C18"/>
    <w:rsid w:val="24BD2DD8"/>
    <w:rsid w:val="24BD373E"/>
    <w:rsid w:val="24C04FDC"/>
    <w:rsid w:val="24C50845"/>
    <w:rsid w:val="24C62B31"/>
    <w:rsid w:val="24D40A88"/>
    <w:rsid w:val="24D64800"/>
    <w:rsid w:val="24D942F0"/>
    <w:rsid w:val="24F42ED8"/>
    <w:rsid w:val="24F9229C"/>
    <w:rsid w:val="24FA6740"/>
    <w:rsid w:val="250255F5"/>
    <w:rsid w:val="250E5D48"/>
    <w:rsid w:val="251133E5"/>
    <w:rsid w:val="25184E18"/>
    <w:rsid w:val="251A1F8F"/>
    <w:rsid w:val="251B66B7"/>
    <w:rsid w:val="252235A1"/>
    <w:rsid w:val="25253091"/>
    <w:rsid w:val="25284930"/>
    <w:rsid w:val="252E63EA"/>
    <w:rsid w:val="25315EDA"/>
    <w:rsid w:val="253B28B5"/>
    <w:rsid w:val="254479BB"/>
    <w:rsid w:val="25461985"/>
    <w:rsid w:val="255816B9"/>
    <w:rsid w:val="255A0F8D"/>
    <w:rsid w:val="255F65A3"/>
    <w:rsid w:val="25613EAC"/>
    <w:rsid w:val="256718FC"/>
    <w:rsid w:val="257D111F"/>
    <w:rsid w:val="257F27A2"/>
    <w:rsid w:val="25910727"/>
    <w:rsid w:val="25965D3D"/>
    <w:rsid w:val="25987D07"/>
    <w:rsid w:val="25B05051"/>
    <w:rsid w:val="25B14925"/>
    <w:rsid w:val="25B61F3B"/>
    <w:rsid w:val="25BC39F6"/>
    <w:rsid w:val="25BC57A4"/>
    <w:rsid w:val="25C1100C"/>
    <w:rsid w:val="25C7779A"/>
    <w:rsid w:val="25D32AED"/>
    <w:rsid w:val="25D36F91"/>
    <w:rsid w:val="25D80104"/>
    <w:rsid w:val="25E116AE"/>
    <w:rsid w:val="25F34F3E"/>
    <w:rsid w:val="25F5515A"/>
    <w:rsid w:val="25FA2770"/>
    <w:rsid w:val="260929B3"/>
    <w:rsid w:val="261206FC"/>
    <w:rsid w:val="26185305"/>
    <w:rsid w:val="261A071C"/>
    <w:rsid w:val="261C4494"/>
    <w:rsid w:val="261F5D33"/>
    <w:rsid w:val="26217CFD"/>
    <w:rsid w:val="262275D1"/>
    <w:rsid w:val="26233A75"/>
    <w:rsid w:val="262D48F3"/>
    <w:rsid w:val="262F241A"/>
    <w:rsid w:val="26347A30"/>
    <w:rsid w:val="263E265D"/>
    <w:rsid w:val="263E440B"/>
    <w:rsid w:val="264A1001"/>
    <w:rsid w:val="264E03C6"/>
    <w:rsid w:val="2652435A"/>
    <w:rsid w:val="265359DC"/>
    <w:rsid w:val="2657371E"/>
    <w:rsid w:val="265C6F87"/>
    <w:rsid w:val="26600825"/>
    <w:rsid w:val="26604845"/>
    <w:rsid w:val="266876DA"/>
    <w:rsid w:val="2674607E"/>
    <w:rsid w:val="2677791D"/>
    <w:rsid w:val="267C3185"/>
    <w:rsid w:val="26822B98"/>
    <w:rsid w:val="26867B60"/>
    <w:rsid w:val="268D0EEE"/>
    <w:rsid w:val="269229A8"/>
    <w:rsid w:val="26AB5818"/>
    <w:rsid w:val="26AF5308"/>
    <w:rsid w:val="26B648E9"/>
    <w:rsid w:val="26BB3CAD"/>
    <w:rsid w:val="26BC17D3"/>
    <w:rsid w:val="26CF59AB"/>
    <w:rsid w:val="26D11723"/>
    <w:rsid w:val="26D703BB"/>
    <w:rsid w:val="26DB4FDA"/>
    <w:rsid w:val="26DC3C24"/>
    <w:rsid w:val="26F1147D"/>
    <w:rsid w:val="26F176CF"/>
    <w:rsid w:val="26F23447"/>
    <w:rsid w:val="270317DA"/>
    <w:rsid w:val="270C62B7"/>
    <w:rsid w:val="270D0281"/>
    <w:rsid w:val="27111B1F"/>
    <w:rsid w:val="2714160F"/>
    <w:rsid w:val="27271343"/>
    <w:rsid w:val="27277595"/>
    <w:rsid w:val="272A2BE1"/>
    <w:rsid w:val="272D447F"/>
    <w:rsid w:val="27343A60"/>
    <w:rsid w:val="2734580E"/>
    <w:rsid w:val="27381D0E"/>
    <w:rsid w:val="273B4DEE"/>
    <w:rsid w:val="274041B2"/>
    <w:rsid w:val="27473793"/>
    <w:rsid w:val="275639D6"/>
    <w:rsid w:val="275F0ADD"/>
    <w:rsid w:val="276205CD"/>
    <w:rsid w:val="27653C19"/>
    <w:rsid w:val="276E51C4"/>
    <w:rsid w:val="277125BE"/>
    <w:rsid w:val="27750300"/>
    <w:rsid w:val="27787D8C"/>
    <w:rsid w:val="277B168E"/>
    <w:rsid w:val="277D73A0"/>
    <w:rsid w:val="279544FE"/>
    <w:rsid w:val="279A194A"/>
    <w:rsid w:val="27A6495D"/>
    <w:rsid w:val="27A72484"/>
    <w:rsid w:val="27C13545"/>
    <w:rsid w:val="27C65D96"/>
    <w:rsid w:val="27CB43C4"/>
    <w:rsid w:val="27CB6172"/>
    <w:rsid w:val="27CC5A46"/>
    <w:rsid w:val="27CE17BE"/>
    <w:rsid w:val="27D019DA"/>
    <w:rsid w:val="27D112AE"/>
    <w:rsid w:val="27D56FF1"/>
    <w:rsid w:val="27D8263D"/>
    <w:rsid w:val="27DF1C1D"/>
    <w:rsid w:val="27E9484A"/>
    <w:rsid w:val="27EE3C0E"/>
    <w:rsid w:val="27FA25B3"/>
    <w:rsid w:val="280B47C0"/>
    <w:rsid w:val="28100029"/>
    <w:rsid w:val="281318C7"/>
    <w:rsid w:val="28173165"/>
    <w:rsid w:val="281A4A03"/>
    <w:rsid w:val="281D44F4"/>
    <w:rsid w:val="281E4BA9"/>
    <w:rsid w:val="28292E99"/>
    <w:rsid w:val="283006CB"/>
    <w:rsid w:val="283830DC"/>
    <w:rsid w:val="283F090E"/>
    <w:rsid w:val="28414686"/>
    <w:rsid w:val="284952E9"/>
    <w:rsid w:val="284B72B3"/>
    <w:rsid w:val="2859377E"/>
    <w:rsid w:val="285A5748"/>
    <w:rsid w:val="2860321B"/>
    <w:rsid w:val="28612632"/>
    <w:rsid w:val="28706D19"/>
    <w:rsid w:val="28771E56"/>
    <w:rsid w:val="287E4F92"/>
    <w:rsid w:val="287F0D0A"/>
    <w:rsid w:val="28814A83"/>
    <w:rsid w:val="288E0F4E"/>
    <w:rsid w:val="288F53F1"/>
    <w:rsid w:val="289447B6"/>
    <w:rsid w:val="289F315B"/>
    <w:rsid w:val="28B210E0"/>
    <w:rsid w:val="28BB61E6"/>
    <w:rsid w:val="28C130D1"/>
    <w:rsid w:val="28C66939"/>
    <w:rsid w:val="28CD1A76"/>
    <w:rsid w:val="28EE5EB6"/>
    <w:rsid w:val="28F272EF"/>
    <w:rsid w:val="29003BF9"/>
    <w:rsid w:val="2903193C"/>
    <w:rsid w:val="29037B8D"/>
    <w:rsid w:val="29086F52"/>
    <w:rsid w:val="2919115F"/>
    <w:rsid w:val="291C47AB"/>
    <w:rsid w:val="292518B2"/>
    <w:rsid w:val="292C49EE"/>
    <w:rsid w:val="293164A9"/>
    <w:rsid w:val="2939535D"/>
    <w:rsid w:val="293D7298"/>
    <w:rsid w:val="29437F8A"/>
    <w:rsid w:val="294C6E3F"/>
    <w:rsid w:val="294D2062"/>
    <w:rsid w:val="296C128F"/>
    <w:rsid w:val="29745A9F"/>
    <w:rsid w:val="297D524A"/>
    <w:rsid w:val="298A7967"/>
    <w:rsid w:val="29916F47"/>
    <w:rsid w:val="29934A6D"/>
    <w:rsid w:val="29972EE2"/>
    <w:rsid w:val="29977B6E"/>
    <w:rsid w:val="299D3B3E"/>
    <w:rsid w:val="29A0718A"/>
    <w:rsid w:val="29A7676B"/>
    <w:rsid w:val="29B6075C"/>
    <w:rsid w:val="29BA46F0"/>
    <w:rsid w:val="29BA649E"/>
    <w:rsid w:val="29BF5862"/>
    <w:rsid w:val="29D05CC2"/>
    <w:rsid w:val="29D3130E"/>
    <w:rsid w:val="29D41C18"/>
    <w:rsid w:val="29E74DB9"/>
    <w:rsid w:val="29E96D83"/>
    <w:rsid w:val="29EE439A"/>
    <w:rsid w:val="29EE7EF6"/>
    <w:rsid w:val="29EF56EC"/>
    <w:rsid w:val="29F00112"/>
    <w:rsid w:val="29FB0865"/>
    <w:rsid w:val="29FB11D2"/>
    <w:rsid w:val="2A0239A1"/>
    <w:rsid w:val="2A042187"/>
    <w:rsid w:val="2A070FB7"/>
    <w:rsid w:val="2A07545B"/>
    <w:rsid w:val="2A0C2A72"/>
    <w:rsid w:val="2A133007"/>
    <w:rsid w:val="2A15310C"/>
    <w:rsid w:val="2A1B45E1"/>
    <w:rsid w:val="2A1C2CB5"/>
    <w:rsid w:val="2A2102CB"/>
    <w:rsid w:val="2A27165A"/>
    <w:rsid w:val="2A2C6C70"/>
    <w:rsid w:val="2A30050E"/>
    <w:rsid w:val="2A3111A3"/>
    <w:rsid w:val="2A4C49D6"/>
    <w:rsid w:val="2A4D10C0"/>
    <w:rsid w:val="2A5266D7"/>
    <w:rsid w:val="2A53244F"/>
    <w:rsid w:val="2A5341FD"/>
    <w:rsid w:val="2A581813"/>
    <w:rsid w:val="2A585CB7"/>
    <w:rsid w:val="2A5C2CCF"/>
    <w:rsid w:val="2A64465C"/>
    <w:rsid w:val="2A64640A"/>
    <w:rsid w:val="2A6742B4"/>
    <w:rsid w:val="2A691C72"/>
    <w:rsid w:val="2A701253"/>
    <w:rsid w:val="2A7523C5"/>
    <w:rsid w:val="2A756869"/>
    <w:rsid w:val="2A783C63"/>
    <w:rsid w:val="2A7E3970"/>
    <w:rsid w:val="2A866380"/>
    <w:rsid w:val="2A8D3BB3"/>
    <w:rsid w:val="2A9071FF"/>
    <w:rsid w:val="2A97233B"/>
    <w:rsid w:val="2A9C5BA4"/>
    <w:rsid w:val="2AA35184"/>
    <w:rsid w:val="2AAB4039"/>
    <w:rsid w:val="2AAD7DB1"/>
    <w:rsid w:val="2ABE5B1A"/>
    <w:rsid w:val="2ACF7D27"/>
    <w:rsid w:val="2AD01CF1"/>
    <w:rsid w:val="2AD677D2"/>
    <w:rsid w:val="2AD86C74"/>
    <w:rsid w:val="2AD90BA6"/>
    <w:rsid w:val="2ADC41F2"/>
    <w:rsid w:val="2AE00186"/>
    <w:rsid w:val="2AF459E0"/>
    <w:rsid w:val="2AF53506"/>
    <w:rsid w:val="2AF552B4"/>
    <w:rsid w:val="2AF61758"/>
    <w:rsid w:val="2AFC4894"/>
    <w:rsid w:val="2B057BED"/>
    <w:rsid w:val="2B0A6FB1"/>
    <w:rsid w:val="2B110340"/>
    <w:rsid w:val="2B116592"/>
    <w:rsid w:val="2B14398C"/>
    <w:rsid w:val="2B157704"/>
    <w:rsid w:val="2B17347C"/>
    <w:rsid w:val="2B1F7D54"/>
    <w:rsid w:val="2B204A27"/>
    <w:rsid w:val="2B287437"/>
    <w:rsid w:val="2B2A31B0"/>
    <w:rsid w:val="2B30453E"/>
    <w:rsid w:val="2B3109E2"/>
    <w:rsid w:val="2B381D70"/>
    <w:rsid w:val="2B40500B"/>
    <w:rsid w:val="2B481888"/>
    <w:rsid w:val="2B4F0E68"/>
    <w:rsid w:val="2B5621F6"/>
    <w:rsid w:val="2B603075"/>
    <w:rsid w:val="2B65243A"/>
    <w:rsid w:val="2B667F60"/>
    <w:rsid w:val="2B7B7EAF"/>
    <w:rsid w:val="2B7E52A9"/>
    <w:rsid w:val="2B82123D"/>
    <w:rsid w:val="2B822FEC"/>
    <w:rsid w:val="2B876854"/>
    <w:rsid w:val="2B980A61"/>
    <w:rsid w:val="2B9D7E25"/>
    <w:rsid w:val="2BA32F62"/>
    <w:rsid w:val="2BA70CA4"/>
    <w:rsid w:val="2BAA42F0"/>
    <w:rsid w:val="2BB807BB"/>
    <w:rsid w:val="2BB94533"/>
    <w:rsid w:val="2BC453B2"/>
    <w:rsid w:val="2BCB017A"/>
    <w:rsid w:val="2BCC24B9"/>
    <w:rsid w:val="2BCE6231"/>
    <w:rsid w:val="2BCF3D57"/>
    <w:rsid w:val="2BD63337"/>
    <w:rsid w:val="2BD6459E"/>
    <w:rsid w:val="2BD80E5D"/>
    <w:rsid w:val="2BE9306B"/>
    <w:rsid w:val="2BF13CCD"/>
    <w:rsid w:val="2BFA7026"/>
    <w:rsid w:val="2BFD2672"/>
    <w:rsid w:val="2C11611D"/>
    <w:rsid w:val="2C163734"/>
    <w:rsid w:val="2C1C3440"/>
    <w:rsid w:val="2C2045B2"/>
    <w:rsid w:val="2C2A71DF"/>
    <w:rsid w:val="2C2B4BF7"/>
    <w:rsid w:val="2C2E4F21"/>
    <w:rsid w:val="2C363DD6"/>
    <w:rsid w:val="2C385DA0"/>
    <w:rsid w:val="2C493B09"/>
    <w:rsid w:val="2C5801F0"/>
    <w:rsid w:val="2C6C4BD5"/>
    <w:rsid w:val="2C6D5A4A"/>
    <w:rsid w:val="2C842D93"/>
    <w:rsid w:val="2C892158"/>
    <w:rsid w:val="2C8E3C12"/>
    <w:rsid w:val="2C8E59C0"/>
    <w:rsid w:val="2C92725E"/>
    <w:rsid w:val="2C984BB5"/>
    <w:rsid w:val="2C9C17E1"/>
    <w:rsid w:val="2CA46F92"/>
    <w:rsid w:val="2CA90A4C"/>
    <w:rsid w:val="2CAB6572"/>
    <w:rsid w:val="2CC3566A"/>
    <w:rsid w:val="2CC47634"/>
    <w:rsid w:val="2CC66F08"/>
    <w:rsid w:val="2CD05FD9"/>
    <w:rsid w:val="2CD86C3B"/>
    <w:rsid w:val="2CDA6E57"/>
    <w:rsid w:val="2CDC497D"/>
    <w:rsid w:val="2CDF7FCA"/>
    <w:rsid w:val="2CE45E72"/>
    <w:rsid w:val="2CF27769"/>
    <w:rsid w:val="2CF47F19"/>
    <w:rsid w:val="2CF63C91"/>
    <w:rsid w:val="2CF73565"/>
    <w:rsid w:val="2D0068BE"/>
    <w:rsid w:val="2D016192"/>
    <w:rsid w:val="2D064F96"/>
    <w:rsid w:val="2D0F6B01"/>
    <w:rsid w:val="2D1265F1"/>
    <w:rsid w:val="2D1759B5"/>
    <w:rsid w:val="2D1A7254"/>
    <w:rsid w:val="2D1C121E"/>
    <w:rsid w:val="2D32459D"/>
    <w:rsid w:val="2D3622E0"/>
    <w:rsid w:val="2D3B5B48"/>
    <w:rsid w:val="2D4349FC"/>
    <w:rsid w:val="2D502C75"/>
    <w:rsid w:val="2D564730"/>
    <w:rsid w:val="2D574004"/>
    <w:rsid w:val="2D684463"/>
    <w:rsid w:val="2D6F75A0"/>
    <w:rsid w:val="2D7256F4"/>
    <w:rsid w:val="2D752F58"/>
    <w:rsid w:val="2D8457C6"/>
    <w:rsid w:val="2D856DC3"/>
    <w:rsid w:val="2D8D11DF"/>
    <w:rsid w:val="2D8E2BB9"/>
    <w:rsid w:val="2D91641F"/>
    <w:rsid w:val="2D960FD0"/>
    <w:rsid w:val="2D9B65E7"/>
    <w:rsid w:val="2D9E1C33"/>
    <w:rsid w:val="2DA01E4F"/>
    <w:rsid w:val="2DA51213"/>
    <w:rsid w:val="2DA52FC1"/>
    <w:rsid w:val="2DA74F8B"/>
    <w:rsid w:val="2DA90D03"/>
    <w:rsid w:val="2DAE631A"/>
    <w:rsid w:val="2DB41456"/>
    <w:rsid w:val="2DC72F38"/>
    <w:rsid w:val="2DC84F02"/>
    <w:rsid w:val="2DD70495"/>
    <w:rsid w:val="2DDE64D3"/>
    <w:rsid w:val="2DE735DA"/>
    <w:rsid w:val="2DE955A4"/>
    <w:rsid w:val="2DF104A8"/>
    <w:rsid w:val="2DFA155F"/>
    <w:rsid w:val="2E027B47"/>
    <w:rsid w:val="2E093550"/>
    <w:rsid w:val="2E0A551A"/>
    <w:rsid w:val="2E0C4DEE"/>
    <w:rsid w:val="2E24038A"/>
    <w:rsid w:val="2E2760CC"/>
    <w:rsid w:val="2E3031D3"/>
    <w:rsid w:val="2E3A7BAD"/>
    <w:rsid w:val="2E3D31FA"/>
    <w:rsid w:val="2E586286"/>
    <w:rsid w:val="2E5A3DAC"/>
    <w:rsid w:val="2E644C2A"/>
    <w:rsid w:val="2E67471B"/>
    <w:rsid w:val="2E717347"/>
    <w:rsid w:val="2E734E6D"/>
    <w:rsid w:val="2E8B0409"/>
    <w:rsid w:val="2E954DE4"/>
    <w:rsid w:val="2EA74B17"/>
    <w:rsid w:val="2EAD7602"/>
    <w:rsid w:val="2EC13E2B"/>
    <w:rsid w:val="2EC50E19"/>
    <w:rsid w:val="2EC61441"/>
    <w:rsid w:val="2EC90F31"/>
    <w:rsid w:val="2EC97183"/>
    <w:rsid w:val="2EE95130"/>
    <w:rsid w:val="2EF01665"/>
    <w:rsid w:val="2EF75A9F"/>
    <w:rsid w:val="2F0401BB"/>
    <w:rsid w:val="2F0B2364"/>
    <w:rsid w:val="2F155F25"/>
    <w:rsid w:val="2F1A178D"/>
    <w:rsid w:val="2F1B6430"/>
    <w:rsid w:val="2F230642"/>
    <w:rsid w:val="2F2919D0"/>
    <w:rsid w:val="2F2D14C0"/>
    <w:rsid w:val="2F452CAE"/>
    <w:rsid w:val="2F4607D4"/>
    <w:rsid w:val="2F546A4D"/>
    <w:rsid w:val="2F566C69"/>
    <w:rsid w:val="2F5729E1"/>
    <w:rsid w:val="2F613CAD"/>
    <w:rsid w:val="2F6824F8"/>
    <w:rsid w:val="2F713AA3"/>
    <w:rsid w:val="2F754C15"/>
    <w:rsid w:val="2F7610B9"/>
    <w:rsid w:val="2F7E1D1C"/>
    <w:rsid w:val="2F8135BA"/>
    <w:rsid w:val="2F8E07F4"/>
    <w:rsid w:val="2F927575"/>
    <w:rsid w:val="2F967065"/>
    <w:rsid w:val="2F9E5F1A"/>
    <w:rsid w:val="2FA12CF7"/>
    <w:rsid w:val="2FA15A0A"/>
    <w:rsid w:val="2FA5374C"/>
    <w:rsid w:val="2FAD43AF"/>
    <w:rsid w:val="2FB13E9F"/>
    <w:rsid w:val="2FBE480E"/>
    <w:rsid w:val="2FC17E5A"/>
    <w:rsid w:val="2FC811E9"/>
    <w:rsid w:val="2FD45DE0"/>
    <w:rsid w:val="2FD47B8E"/>
    <w:rsid w:val="2FD951A4"/>
    <w:rsid w:val="2FDE6C5E"/>
    <w:rsid w:val="2FE322A7"/>
    <w:rsid w:val="2FE36023"/>
    <w:rsid w:val="2FED0C50"/>
    <w:rsid w:val="2FFA689C"/>
    <w:rsid w:val="30004E27"/>
    <w:rsid w:val="3002294D"/>
    <w:rsid w:val="300246FB"/>
    <w:rsid w:val="3005243D"/>
    <w:rsid w:val="30093CDB"/>
    <w:rsid w:val="300E12F2"/>
    <w:rsid w:val="301A5EE8"/>
    <w:rsid w:val="30204B81"/>
    <w:rsid w:val="302723B3"/>
    <w:rsid w:val="303074BA"/>
    <w:rsid w:val="303845C1"/>
    <w:rsid w:val="303B19BB"/>
    <w:rsid w:val="303B7C0D"/>
    <w:rsid w:val="303D1BD7"/>
    <w:rsid w:val="30403475"/>
    <w:rsid w:val="30444D13"/>
    <w:rsid w:val="30466CDD"/>
    <w:rsid w:val="304C5976"/>
    <w:rsid w:val="30526F2D"/>
    <w:rsid w:val="30601421"/>
    <w:rsid w:val="30647164"/>
    <w:rsid w:val="306B04F2"/>
    <w:rsid w:val="30766E97"/>
    <w:rsid w:val="307849BD"/>
    <w:rsid w:val="3078676B"/>
    <w:rsid w:val="307F3F9D"/>
    <w:rsid w:val="30843362"/>
    <w:rsid w:val="308E2433"/>
    <w:rsid w:val="309317F7"/>
    <w:rsid w:val="309537C1"/>
    <w:rsid w:val="309A2B85"/>
    <w:rsid w:val="309A4933"/>
    <w:rsid w:val="30A25EDE"/>
    <w:rsid w:val="30A43A04"/>
    <w:rsid w:val="30A47560"/>
    <w:rsid w:val="30A92647"/>
    <w:rsid w:val="30B31E99"/>
    <w:rsid w:val="30BC6FA0"/>
    <w:rsid w:val="30C9346B"/>
    <w:rsid w:val="30CC4D09"/>
    <w:rsid w:val="30CE0A81"/>
    <w:rsid w:val="30D00355"/>
    <w:rsid w:val="30D065A7"/>
    <w:rsid w:val="30D20571"/>
    <w:rsid w:val="30DB6CFA"/>
    <w:rsid w:val="30DC319E"/>
    <w:rsid w:val="30E42053"/>
    <w:rsid w:val="30EE2ED1"/>
    <w:rsid w:val="310444A3"/>
    <w:rsid w:val="31046251"/>
    <w:rsid w:val="310B3A83"/>
    <w:rsid w:val="310E0E7D"/>
    <w:rsid w:val="310F3573"/>
    <w:rsid w:val="311F308B"/>
    <w:rsid w:val="312132A7"/>
    <w:rsid w:val="31216E03"/>
    <w:rsid w:val="31232B7B"/>
    <w:rsid w:val="31264419"/>
    <w:rsid w:val="31280F0C"/>
    <w:rsid w:val="312863E3"/>
    <w:rsid w:val="312A215B"/>
    <w:rsid w:val="31307046"/>
    <w:rsid w:val="31376626"/>
    <w:rsid w:val="31412E1B"/>
    <w:rsid w:val="31603DCF"/>
    <w:rsid w:val="316513E5"/>
    <w:rsid w:val="31666F0B"/>
    <w:rsid w:val="316D2048"/>
    <w:rsid w:val="317349F7"/>
    <w:rsid w:val="317653A0"/>
    <w:rsid w:val="317B29B7"/>
    <w:rsid w:val="317E4255"/>
    <w:rsid w:val="31807FCD"/>
    <w:rsid w:val="31844436"/>
    <w:rsid w:val="31921AAF"/>
    <w:rsid w:val="3195334D"/>
    <w:rsid w:val="319B4E07"/>
    <w:rsid w:val="319E66A5"/>
    <w:rsid w:val="31A35A6A"/>
    <w:rsid w:val="31AA329C"/>
    <w:rsid w:val="31BE4652"/>
    <w:rsid w:val="31C53C32"/>
    <w:rsid w:val="31C854D0"/>
    <w:rsid w:val="31CA1248"/>
    <w:rsid w:val="31D200FD"/>
    <w:rsid w:val="31D65E3F"/>
    <w:rsid w:val="31DB5204"/>
    <w:rsid w:val="31EA3699"/>
    <w:rsid w:val="31F75DB5"/>
    <w:rsid w:val="3200580A"/>
    <w:rsid w:val="320D55D9"/>
    <w:rsid w:val="3216623C"/>
    <w:rsid w:val="321921D0"/>
    <w:rsid w:val="321C75CA"/>
    <w:rsid w:val="3220355E"/>
    <w:rsid w:val="32244DFC"/>
    <w:rsid w:val="32270449"/>
    <w:rsid w:val="322D17D7"/>
    <w:rsid w:val="322E7A29"/>
    <w:rsid w:val="32317519"/>
    <w:rsid w:val="323963CE"/>
    <w:rsid w:val="323B0398"/>
    <w:rsid w:val="323D1A1A"/>
    <w:rsid w:val="324E1E79"/>
    <w:rsid w:val="32601BAD"/>
    <w:rsid w:val="326351F9"/>
    <w:rsid w:val="32650F71"/>
    <w:rsid w:val="32694A7A"/>
    <w:rsid w:val="32715B68"/>
    <w:rsid w:val="3273368E"/>
    <w:rsid w:val="327F2033"/>
    <w:rsid w:val="32877139"/>
    <w:rsid w:val="32891103"/>
    <w:rsid w:val="328E671A"/>
    <w:rsid w:val="32960C61"/>
    <w:rsid w:val="329F4483"/>
    <w:rsid w:val="32A73338"/>
    <w:rsid w:val="32AA5162"/>
    <w:rsid w:val="32AF043E"/>
    <w:rsid w:val="32B617CD"/>
    <w:rsid w:val="32BD0DAD"/>
    <w:rsid w:val="32C91500"/>
    <w:rsid w:val="32CC7242"/>
    <w:rsid w:val="32D0288E"/>
    <w:rsid w:val="32D3237F"/>
    <w:rsid w:val="32E36F4F"/>
    <w:rsid w:val="32EC3440"/>
    <w:rsid w:val="32F742BF"/>
    <w:rsid w:val="32FA3DAF"/>
    <w:rsid w:val="32FB3683"/>
    <w:rsid w:val="32FE389F"/>
    <w:rsid w:val="33014DEF"/>
    <w:rsid w:val="331210F9"/>
    <w:rsid w:val="331309CD"/>
    <w:rsid w:val="331C1F78"/>
    <w:rsid w:val="331D184C"/>
    <w:rsid w:val="331F17EA"/>
    <w:rsid w:val="33233306"/>
    <w:rsid w:val="33274478"/>
    <w:rsid w:val="333252F7"/>
    <w:rsid w:val="33380434"/>
    <w:rsid w:val="335C2374"/>
    <w:rsid w:val="33604A58"/>
    <w:rsid w:val="3364747B"/>
    <w:rsid w:val="33694A91"/>
    <w:rsid w:val="336B6A5B"/>
    <w:rsid w:val="337376BE"/>
    <w:rsid w:val="33884F17"/>
    <w:rsid w:val="338D4C23"/>
    <w:rsid w:val="33997124"/>
    <w:rsid w:val="339B7340"/>
    <w:rsid w:val="339E298D"/>
    <w:rsid w:val="33A31D51"/>
    <w:rsid w:val="33A45AC9"/>
    <w:rsid w:val="33A65CE5"/>
    <w:rsid w:val="33AA7583"/>
    <w:rsid w:val="33C57F19"/>
    <w:rsid w:val="33C87A09"/>
    <w:rsid w:val="33CB12A8"/>
    <w:rsid w:val="33D20888"/>
    <w:rsid w:val="33D22636"/>
    <w:rsid w:val="33D26ADA"/>
    <w:rsid w:val="33D3039D"/>
    <w:rsid w:val="33D77C4D"/>
    <w:rsid w:val="33D97E69"/>
    <w:rsid w:val="33E67E90"/>
    <w:rsid w:val="33F00D0E"/>
    <w:rsid w:val="33F16F60"/>
    <w:rsid w:val="33F86541"/>
    <w:rsid w:val="33FA125E"/>
    <w:rsid w:val="33FC76B3"/>
    <w:rsid w:val="340824FC"/>
    <w:rsid w:val="340A0D53"/>
    <w:rsid w:val="34140EA1"/>
    <w:rsid w:val="341449FD"/>
    <w:rsid w:val="341B5D8B"/>
    <w:rsid w:val="341E1D1F"/>
    <w:rsid w:val="3422536C"/>
    <w:rsid w:val="342866FA"/>
    <w:rsid w:val="342F7A89"/>
    <w:rsid w:val="3431735D"/>
    <w:rsid w:val="34360E17"/>
    <w:rsid w:val="34390907"/>
    <w:rsid w:val="343926B5"/>
    <w:rsid w:val="343D21A6"/>
    <w:rsid w:val="344828F8"/>
    <w:rsid w:val="345117AD"/>
    <w:rsid w:val="345745AF"/>
    <w:rsid w:val="346239BA"/>
    <w:rsid w:val="346314E0"/>
    <w:rsid w:val="346534AA"/>
    <w:rsid w:val="346A6D13"/>
    <w:rsid w:val="347100A1"/>
    <w:rsid w:val="34727975"/>
    <w:rsid w:val="34763909"/>
    <w:rsid w:val="34781430"/>
    <w:rsid w:val="347B2CCE"/>
    <w:rsid w:val="348222AE"/>
    <w:rsid w:val="3489363D"/>
    <w:rsid w:val="3491604D"/>
    <w:rsid w:val="34923CF6"/>
    <w:rsid w:val="34943D90"/>
    <w:rsid w:val="349D49F2"/>
    <w:rsid w:val="34A07F53"/>
    <w:rsid w:val="34A73AC3"/>
    <w:rsid w:val="34AC10D9"/>
    <w:rsid w:val="34B61F58"/>
    <w:rsid w:val="34B8182C"/>
    <w:rsid w:val="34BB30CA"/>
    <w:rsid w:val="34BD32E6"/>
    <w:rsid w:val="34C75F13"/>
    <w:rsid w:val="34C77CC1"/>
    <w:rsid w:val="34C91C8B"/>
    <w:rsid w:val="34D348B8"/>
    <w:rsid w:val="34D80120"/>
    <w:rsid w:val="34DB376C"/>
    <w:rsid w:val="34E02B31"/>
    <w:rsid w:val="34F8431E"/>
    <w:rsid w:val="34FF56AD"/>
    <w:rsid w:val="35042CC3"/>
    <w:rsid w:val="35066A3B"/>
    <w:rsid w:val="35156C7E"/>
    <w:rsid w:val="3518676F"/>
    <w:rsid w:val="3519786C"/>
    <w:rsid w:val="351A24E7"/>
    <w:rsid w:val="351D1FD7"/>
    <w:rsid w:val="35215623"/>
    <w:rsid w:val="3521576F"/>
    <w:rsid w:val="35284C04"/>
    <w:rsid w:val="35311149"/>
    <w:rsid w:val="35366BF5"/>
    <w:rsid w:val="3538296D"/>
    <w:rsid w:val="35417A73"/>
    <w:rsid w:val="35441312"/>
    <w:rsid w:val="3546508A"/>
    <w:rsid w:val="35505F08"/>
    <w:rsid w:val="35523A2F"/>
    <w:rsid w:val="355377A7"/>
    <w:rsid w:val="355C48AD"/>
    <w:rsid w:val="35731BF7"/>
    <w:rsid w:val="357A4D33"/>
    <w:rsid w:val="357F67EE"/>
    <w:rsid w:val="359057B0"/>
    <w:rsid w:val="35966E67"/>
    <w:rsid w:val="35A10512"/>
    <w:rsid w:val="35A973C7"/>
    <w:rsid w:val="35B20971"/>
    <w:rsid w:val="35B446E9"/>
    <w:rsid w:val="35B46497"/>
    <w:rsid w:val="35BA15D4"/>
    <w:rsid w:val="35BB5A78"/>
    <w:rsid w:val="35C661CB"/>
    <w:rsid w:val="35CF32D1"/>
    <w:rsid w:val="35D02BA5"/>
    <w:rsid w:val="35D42696"/>
    <w:rsid w:val="35D501BC"/>
    <w:rsid w:val="35D72186"/>
    <w:rsid w:val="35DE3514"/>
    <w:rsid w:val="35DE52C2"/>
    <w:rsid w:val="35E054DE"/>
    <w:rsid w:val="35E11256"/>
    <w:rsid w:val="35E328D9"/>
    <w:rsid w:val="35EA010B"/>
    <w:rsid w:val="35EA1FC5"/>
    <w:rsid w:val="35EE5D7D"/>
    <w:rsid w:val="35EF127D"/>
    <w:rsid w:val="35F5085E"/>
    <w:rsid w:val="35F66AB0"/>
    <w:rsid w:val="35FB2318"/>
    <w:rsid w:val="35FC399A"/>
    <w:rsid w:val="36010FB1"/>
    <w:rsid w:val="36034D29"/>
    <w:rsid w:val="360A3C9A"/>
    <w:rsid w:val="361231BE"/>
    <w:rsid w:val="36142D48"/>
    <w:rsid w:val="3619279E"/>
    <w:rsid w:val="362353CB"/>
    <w:rsid w:val="36257395"/>
    <w:rsid w:val="362D624A"/>
    <w:rsid w:val="36321AB2"/>
    <w:rsid w:val="36343134"/>
    <w:rsid w:val="36392E40"/>
    <w:rsid w:val="36435A6D"/>
    <w:rsid w:val="364517E5"/>
    <w:rsid w:val="36462E68"/>
    <w:rsid w:val="364A2958"/>
    <w:rsid w:val="365657A0"/>
    <w:rsid w:val="366003CD"/>
    <w:rsid w:val="366C0B20"/>
    <w:rsid w:val="366D6646"/>
    <w:rsid w:val="36851BE2"/>
    <w:rsid w:val="368A71F8"/>
    <w:rsid w:val="369462C9"/>
    <w:rsid w:val="3699568D"/>
    <w:rsid w:val="36A55DE0"/>
    <w:rsid w:val="36A77DAA"/>
    <w:rsid w:val="36A858D0"/>
    <w:rsid w:val="36BB1AA7"/>
    <w:rsid w:val="36BD5820"/>
    <w:rsid w:val="36C02C1A"/>
    <w:rsid w:val="36C941C4"/>
    <w:rsid w:val="36D668E1"/>
    <w:rsid w:val="36DA6785"/>
    <w:rsid w:val="36E96615"/>
    <w:rsid w:val="37103BA1"/>
    <w:rsid w:val="37133692"/>
    <w:rsid w:val="37152F66"/>
    <w:rsid w:val="37160A8C"/>
    <w:rsid w:val="37164F30"/>
    <w:rsid w:val="371C0798"/>
    <w:rsid w:val="37204E67"/>
    <w:rsid w:val="37217B5C"/>
    <w:rsid w:val="37294C63"/>
    <w:rsid w:val="373002C0"/>
    <w:rsid w:val="373A0C1E"/>
    <w:rsid w:val="373A29CC"/>
    <w:rsid w:val="373D2FB0"/>
    <w:rsid w:val="3745765C"/>
    <w:rsid w:val="374E6478"/>
    <w:rsid w:val="375872F6"/>
    <w:rsid w:val="37620175"/>
    <w:rsid w:val="37686A51"/>
    <w:rsid w:val="37691503"/>
    <w:rsid w:val="376E08C8"/>
    <w:rsid w:val="376E2676"/>
    <w:rsid w:val="377203B8"/>
    <w:rsid w:val="37732382"/>
    <w:rsid w:val="37734130"/>
    <w:rsid w:val="3784633D"/>
    <w:rsid w:val="37977E1F"/>
    <w:rsid w:val="37985945"/>
    <w:rsid w:val="379C71E3"/>
    <w:rsid w:val="379D2F5B"/>
    <w:rsid w:val="37A442EA"/>
    <w:rsid w:val="37AE6F16"/>
    <w:rsid w:val="37C64260"/>
    <w:rsid w:val="37C87FD8"/>
    <w:rsid w:val="37CB3024"/>
    <w:rsid w:val="37D90437"/>
    <w:rsid w:val="37ED7A3F"/>
    <w:rsid w:val="37EE37B7"/>
    <w:rsid w:val="37EF7C5B"/>
    <w:rsid w:val="38042FDA"/>
    <w:rsid w:val="380934C1"/>
    <w:rsid w:val="380A05F1"/>
    <w:rsid w:val="380B6117"/>
    <w:rsid w:val="38140508"/>
    <w:rsid w:val="381E5E4A"/>
    <w:rsid w:val="38233460"/>
    <w:rsid w:val="382947EF"/>
    <w:rsid w:val="38305B7D"/>
    <w:rsid w:val="38341B11"/>
    <w:rsid w:val="38397128"/>
    <w:rsid w:val="383C09C6"/>
    <w:rsid w:val="383E64EC"/>
    <w:rsid w:val="38415FDC"/>
    <w:rsid w:val="3842422E"/>
    <w:rsid w:val="384A30E3"/>
    <w:rsid w:val="384B29B7"/>
    <w:rsid w:val="384D4981"/>
    <w:rsid w:val="384D672F"/>
    <w:rsid w:val="384F24A7"/>
    <w:rsid w:val="38543F62"/>
    <w:rsid w:val="386677F1"/>
    <w:rsid w:val="38683569"/>
    <w:rsid w:val="387B504A"/>
    <w:rsid w:val="38A10829"/>
    <w:rsid w:val="38AA1DD4"/>
    <w:rsid w:val="38AA5930"/>
    <w:rsid w:val="38AD71CE"/>
    <w:rsid w:val="38B14F10"/>
    <w:rsid w:val="38B30C88"/>
    <w:rsid w:val="38C22C79"/>
    <w:rsid w:val="38C34C43"/>
    <w:rsid w:val="38C42E95"/>
    <w:rsid w:val="38C84008"/>
    <w:rsid w:val="38CC1D4A"/>
    <w:rsid w:val="38CF1788"/>
    <w:rsid w:val="38CF35E8"/>
    <w:rsid w:val="38D46E50"/>
    <w:rsid w:val="38D97FC3"/>
    <w:rsid w:val="38E452E6"/>
    <w:rsid w:val="38E54BBA"/>
    <w:rsid w:val="38F1355F"/>
    <w:rsid w:val="38F62B97"/>
    <w:rsid w:val="38F8669B"/>
    <w:rsid w:val="38F90665"/>
    <w:rsid w:val="390A2872"/>
    <w:rsid w:val="390C65EA"/>
    <w:rsid w:val="391A60AE"/>
    <w:rsid w:val="391E1E7A"/>
    <w:rsid w:val="39253208"/>
    <w:rsid w:val="392576AC"/>
    <w:rsid w:val="393618B9"/>
    <w:rsid w:val="393671C3"/>
    <w:rsid w:val="393A4F06"/>
    <w:rsid w:val="393D67A4"/>
    <w:rsid w:val="39461AFC"/>
    <w:rsid w:val="39475874"/>
    <w:rsid w:val="3949339B"/>
    <w:rsid w:val="3950297B"/>
    <w:rsid w:val="39535FC7"/>
    <w:rsid w:val="39550B5F"/>
    <w:rsid w:val="39551D3F"/>
    <w:rsid w:val="39562B02"/>
    <w:rsid w:val="39602492"/>
    <w:rsid w:val="3962620A"/>
    <w:rsid w:val="39693A3D"/>
    <w:rsid w:val="396F26D5"/>
    <w:rsid w:val="39783C80"/>
    <w:rsid w:val="397B2871"/>
    <w:rsid w:val="39812B34"/>
    <w:rsid w:val="398218B3"/>
    <w:rsid w:val="39873EC3"/>
    <w:rsid w:val="39875C71"/>
    <w:rsid w:val="398B5761"/>
    <w:rsid w:val="398E34A3"/>
    <w:rsid w:val="3995038E"/>
    <w:rsid w:val="39981C2C"/>
    <w:rsid w:val="399860D0"/>
    <w:rsid w:val="399D5494"/>
    <w:rsid w:val="39B34CD2"/>
    <w:rsid w:val="39BA4298"/>
    <w:rsid w:val="39BA6046"/>
    <w:rsid w:val="39BC0814"/>
    <w:rsid w:val="39D864CC"/>
    <w:rsid w:val="39DA2245"/>
    <w:rsid w:val="39DC5FBD"/>
    <w:rsid w:val="39E921A3"/>
    <w:rsid w:val="39EB6200"/>
    <w:rsid w:val="39F257E0"/>
    <w:rsid w:val="39F33306"/>
    <w:rsid w:val="3A015A23"/>
    <w:rsid w:val="3A0379ED"/>
    <w:rsid w:val="3A085004"/>
    <w:rsid w:val="3A0B4AF4"/>
    <w:rsid w:val="3A0D6176"/>
    <w:rsid w:val="3A0E1EEE"/>
    <w:rsid w:val="3A12378C"/>
    <w:rsid w:val="3A173499"/>
    <w:rsid w:val="3A24437F"/>
    <w:rsid w:val="3A59760D"/>
    <w:rsid w:val="3A79380C"/>
    <w:rsid w:val="3A7A3A64"/>
    <w:rsid w:val="3A7B3A28"/>
    <w:rsid w:val="3A7E7074"/>
    <w:rsid w:val="3A830B2E"/>
    <w:rsid w:val="3A8B1791"/>
    <w:rsid w:val="3A99047D"/>
    <w:rsid w:val="3A9F7E02"/>
    <w:rsid w:val="3AA765CB"/>
    <w:rsid w:val="3AB02FA5"/>
    <w:rsid w:val="3AB40CE8"/>
    <w:rsid w:val="3AB9347F"/>
    <w:rsid w:val="3ABC7B9C"/>
    <w:rsid w:val="3AC26566"/>
    <w:rsid w:val="3AC3717D"/>
    <w:rsid w:val="3AC70A1B"/>
    <w:rsid w:val="3AC84793"/>
    <w:rsid w:val="3ACA22B9"/>
    <w:rsid w:val="3AD10BD7"/>
    <w:rsid w:val="3AD62A0C"/>
    <w:rsid w:val="3ADB03EF"/>
    <w:rsid w:val="3ADB2718"/>
    <w:rsid w:val="3ADE3FB6"/>
    <w:rsid w:val="3AE0388B"/>
    <w:rsid w:val="3AF9494C"/>
    <w:rsid w:val="3AFA0DF0"/>
    <w:rsid w:val="3B037579"/>
    <w:rsid w:val="3B046B78"/>
    <w:rsid w:val="3B0532F1"/>
    <w:rsid w:val="3B0949EF"/>
    <w:rsid w:val="3B133C60"/>
    <w:rsid w:val="3B135A0E"/>
    <w:rsid w:val="3B2220F5"/>
    <w:rsid w:val="3B2415F7"/>
    <w:rsid w:val="3B293484"/>
    <w:rsid w:val="3B2C087E"/>
    <w:rsid w:val="3B345984"/>
    <w:rsid w:val="3B3836C7"/>
    <w:rsid w:val="3B3B4F65"/>
    <w:rsid w:val="3B3C308E"/>
    <w:rsid w:val="3B4007CD"/>
    <w:rsid w:val="3B464036"/>
    <w:rsid w:val="3B4C771B"/>
    <w:rsid w:val="3B4F27BE"/>
    <w:rsid w:val="3B5A188F"/>
    <w:rsid w:val="3B5D4EDB"/>
    <w:rsid w:val="3B626996"/>
    <w:rsid w:val="3B637E13"/>
    <w:rsid w:val="3B6A75F8"/>
    <w:rsid w:val="3B754E7B"/>
    <w:rsid w:val="3B7E14D9"/>
    <w:rsid w:val="3B804B22"/>
    <w:rsid w:val="3B81506E"/>
    <w:rsid w:val="3B842468"/>
    <w:rsid w:val="3B8C57C0"/>
    <w:rsid w:val="3B9052B1"/>
    <w:rsid w:val="3B952CE7"/>
    <w:rsid w:val="3B9853BE"/>
    <w:rsid w:val="3B9D79CE"/>
    <w:rsid w:val="3B9F72A2"/>
    <w:rsid w:val="3BA743A8"/>
    <w:rsid w:val="3BA96372"/>
    <w:rsid w:val="3BAB3E99"/>
    <w:rsid w:val="3BAC5E63"/>
    <w:rsid w:val="3BB23479"/>
    <w:rsid w:val="3BBD597A"/>
    <w:rsid w:val="3BC46D08"/>
    <w:rsid w:val="3BD80A06"/>
    <w:rsid w:val="3BDE4717"/>
    <w:rsid w:val="3BDF1D94"/>
    <w:rsid w:val="3BDF7FE6"/>
    <w:rsid w:val="3BED44B1"/>
    <w:rsid w:val="3BEE0229"/>
    <w:rsid w:val="3BF5780A"/>
    <w:rsid w:val="3BF84C04"/>
    <w:rsid w:val="3BFC2946"/>
    <w:rsid w:val="3BFD046C"/>
    <w:rsid w:val="3C025A83"/>
    <w:rsid w:val="3C0637C5"/>
    <w:rsid w:val="3C095063"/>
    <w:rsid w:val="3C1732DC"/>
    <w:rsid w:val="3C1744FA"/>
    <w:rsid w:val="3C19253C"/>
    <w:rsid w:val="3C1F03E3"/>
    <w:rsid w:val="3C2679C3"/>
    <w:rsid w:val="3C3519B4"/>
    <w:rsid w:val="3C3C0F95"/>
    <w:rsid w:val="3C430575"/>
    <w:rsid w:val="3C5462DE"/>
    <w:rsid w:val="3C575DCE"/>
    <w:rsid w:val="3C5F4C83"/>
    <w:rsid w:val="3C62067E"/>
    <w:rsid w:val="3C636521"/>
    <w:rsid w:val="3C6504EB"/>
    <w:rsid w:val="3C6F136A"/>
    <w:rsid w:val="3C74072E"/>
    <w:rsid w:val="3C795D45"/>
    <w:rsid w:val="3C7C3A87"/>
    <w:rsid w:val="3C814BF9"/>
    <w:rsid w:val="3C830972"/>
    <w:rsid w:val="3C885F88"/>
    <w:rsid w:val="3C8C1F1C"/>
    <w:rsid w:val="3C9A5CBB"/>
    <w:rsid w:val="3C9B215F"/>
    <w:rsid w:val="3C9C5ED7"/>
    <w:rsid w:val="3CA628B2"/>
    <w:rsid w:val="3CA737D7"/>
    <w:rsid w:val="3CB56DB6"/>
    <w:rsid w:val="3CCA0042"/>
    <w:rsid w:val="3CD502DC"/>
    <w:rsid w:val="3CD613E9"/>
    <w:rsid w:val="3CD76F0F"/>
    <w:rsid w:val="3CD967E3"/>
    <w:rsid w:val="3CE5162C"/>
    <w:rsid w:val="3CEC364C"/>
    <w:rsid w:val="3CEF24AB"/>
    <w:rsid w:val="3CF4186F"/>
    <w:rsid w:val="3CFD6976"/>
    <w:rsid w:val="3D031AB2"/>
    <w:rsid w:val="3D0715A3"/>
    <w:rsid w:val="3D0F0457"/>
    <w:rsid w:val="3D112421"/>
    <w:rsid w:val="3D1837B0"/>
    <w:rsid w:val="3D347EBE"/>
    <w:rsid w:val="3D3659E4"/>
    <w:rsid w:val="3D367828"/>
    <w:rsid w:val="3D3E2AEA"/>
    <w:rsid w:val="3D4070E8"/>
    <w:rsid w:val="3D4A5933"/>
    <w:rsid w:val="3D4C3459"/>
    <w:rsid w:val="3D4D2D2E"/>
    <w:rsid w:val="3D510A70"/>
    <w:rsid w:val="3D536596"/>
    <w:rsid w:val="3D5B544A"/>
    <w:rsid w:val="3D5C0638"/>
    <w:rsid w:val="3D5D5666"/>
    <w:rsid w:val="3D600CB3"/>
    <w:rsid w:val="3D6C58AA"/>
    <w:rsid w:val="3D6F7148"/>
    <w:rsid w:val="3D7309E6"/>
    <w:rsid w:val="3D766728"/>
    <w:rsid w:val="3D8449A1"/>
    <w:rsid w:val="3D8A5562"/>
    <w:rsid w:val="3D8E5820"/>
    <w:rsid w:val="3D931088"/>
    <w:rsid w:val="3D98044D"/>
    <w:rsid w:val="3DA908AC"/>
    <w:rsid w:val="3DB97577"/>
    <w:rsid w:val="3DBA03C3"/>
    <w:rsid w:val="3DBA42C7"/>
    <w:rsid w:val="3DC2371B"/>
    <w:rsid w:val="3DC41242"/>
    <w:rsid w:val="3DD75419"/>
    <w:rsid w:val="3DD97A46"/>
    <w:rsid w:val="3DDC5A94"/>
    <w:rsid w:val="3DE03BA2"/>
    <w:rsid w:val="3DE10046"/>
    <w:rsid w:val="3DEB0EC4"/>
    <w:rsid w:val="3DF00289"/>
    <w:rsid w:val="3DF8538F"/>
    <w:rsid w:val="3DFE308E"/>
    <w:rsid w:val="3DFF671E"/>
    <w:rsid w:val="3E03671E"/>
    <w:rsid w:val="3E077380"/>
    <w:rsid w:val="3E0A00C9"/>
    <w:rsid w:val="3E0C2BE9"/>
    <w:rsid w:val="3E171CB9"/>
    <w:rsid w:val="3E1D3B91"/>
    <w:rsid w:val="3E241CE0"/>
    <w:rsid w:val="3E2E0DB1"/>
    <w:rsid w:val="3E432AAE"/>
    <w:rsid w:val="3E4A2A81"/>
    <w:rsid w:val="3E4E3201"/>
    <w:rsid w:val="3E527E1E"/>
    <w:rsid w:val="3E547794"/>
    <w:rsid w:val="3E570A15"/>
    <w:rsid w:val="3E5A7DF8"/>
    <w:rsid w:val="3E5E3444"/>
    <w:rsid w:val="3E6D18D9"/>
    <w:rsid w:val="3E734A16"/>
    <w:rsid w:val="3E772758"/>
    <w:rsid w:val="3E8135D7"/>
    <w:rsid w:val="3E815385"/>
    <w:rsid w:val="3E8310FD"/>
    <w:rsid w:val="3E941710"/>
    <w:rsid w:val="3E9450B8"/>
    <w:rsid w:val="3E952BDE"/>
    <w:rsid w:val="3E970704"/>
    <w:rsid w:val="3E9B64DE"/>
    <w:rsid w:val="3EB23790"/>
    <w:rsid w:val="3EB31640"/>
    <w:rsid w:val="3EB47508"/>
    <w:rsid w:val="3EBD6E70"/>
    <w:rsid w:val="3EBF7C5B"/>
    <w:rsid w:val="3EC139D3"/>
    <w:rsid w:val="3ECC2AA4"/>
    <w:rsid w:val="3ED74FA5"/>
    <w:rsid w:val="3EDC6A5F"/>
    <w:rsid w:val="3EDE27D7"/>
    <w:rsid w:val="3EE002FD"/>
    <w:rsid w:val="3EE37DED"/>
    <w:rsid w:val="3EE55913"/>
    <w:rsid w:val="3F115748"/>
    <w:rsid w:val="3F2006FA"/>
    <w:rsid w:val="3F2F4DE1"/>
    <w:rsid w:val="3F340649"/>
    <w:rsid w:val="3F3C12AC"/>
    <w:rsid w:val="3F4A5777"/>
    <w:rsid w:val="3F4C7B19"/>
    <w:rsid w:val="3F4D34B9"/>
    <w:rsid w:val="3F4D5267"/>
    <w:rsid w:val="3F544847"/>
    <w:rsid w:val="3F593C0C"/>
    <w:rsid w:val="3F60143E"/>
    <w:rsid w:val="3F6031EC"/>
    <w:rsid w:val="3F604F9A"/>
    <w:rsid w:val="3F6251B6"/>
    <w:rsid w:val="3F626F64"/>
    <w:rsid w:val="3F650802"/>
    <w:rsid w:val="3F746C97"/>
    <w:rsid w:val="3F791367"/>
    <w:rsid w:val="3F7B1DD4"/>
    <w:rsid w:val="3F7D3D9E"/>
    <w:rsid w:val="3F7E18C4"/>
    <w:rsid w:val="3F8073EA"/>
    <w:rsid w:val="3F830C89"/>
    <w:rsid w:val="3F841B37"/>
    <w:rsid w:val="3F850EA5"/>
    <w:rsid w:val="3F88629F"/>
    <w:rsid w:val="3F8A0269"/>
    <w:rsid w:val="3F8F3AD1"/>
    <w:rsid w:val="3F9B2F92"/>
    <w:rsid w:val="3FB5178A"/>
    <w:rsid w:val="3FC50CA0"/>
    <w:rsid w:val="3FCE0156"/>
    <w:rsid w:val="3FDF05B5"/>
    <w:rsid w:val="3FE536F1"/>
    <w:rsid w:val="3FE931E1"/>
    <w:rsid w:val="3FEC0F24"/>
    <w:rsid w:val="3FF322B2"/>
    <w:rsid w:val="3FF878C8"/>
    <w:rsid w:val="40003751"/>
    <w:rsid w:val="4004001B"/>
    <w:rsid w:val="401A4BA7"/>
    <w:rsid w:val="401C35B7"/>
    <w:rsid w:val="402406BD"/>
    <w:rsid w:val="40324B88"/>
    <w:rsid w:val="4033445D"/>
    <w:rsid w:val="40363F4D"/>
    <w:rsid w:val="40384169"/>
    <w:rsid w:val="403B3CF9"/>
    <w:rsid w:val="403D352D"/>
    <w:rsid w:val="404A33D6"/>
    <w:rsid w:val="4057639D"/>
    <w:rsid w:val="4061225A"/>
    <w:rsid w:val="406D3E12"/>
    <w:rsid w:val="406E5EF3"/>
    <w:rsid w:val="40754A75"/>
    <w:rsid w:val="40842F0A"/>
    <w:rsid w:val="408847A8"/>
    <w:rsid w:val="408B6047"/>
    <w:rsid w:val="408D6263"/>
    <w:rsid w:val="408E606F"/>
    <w:rsid w:val="40923879"/>
    <w:rsid w:val="40980764"/>
    <w:rsid w:val="40994C08"/>
    <w:rsid w:val="409A272E"/>
    <w:rsid w:val="409D5D7A"/>
    <w:rsid w:val="409E3FCC"/>
    <w:rsid w:val="40A4535A"/>
    <w:rsid w:val="40AB493B"/>
    <w:rsid w:val="40BE0F76"/>
    <w:rsid w:val="40C31C84"/>
    <w:rsid w:val="40CF23D7"/>
    <w:rsid w:val="40D45C40"/>
    <w:rsid w:val="40D774DE"/>
    <w:rsid w:val="40E65973"/>
    <w:rsid w:val="40E8793D"/>
    <w:rsid w:val="40EB11DB"/>
    <w:rsid w:val="40F167F2"/>
    <w:rsid w:val="40F41E3E"/>
    <w:rsid w:val="40FC6F44"/>
    <w:rsid w:val="410127AD"/>
    <w:rsid w:val="41016309"/>
    <w:rsid w:val="410D4CAE"/>
    <w:rsid w:val="410F4ECA"/>
    <w:rsid w:val="411029F0"/>
    <w:rsid w:val="4110479E"/>
    <w:rsid w:val="412070D7"/>
    <w:rsid w:val="412169AB"/>
    <w:rsid w:val="413466DE"/>
    <w:rsid w:val="4135788C"/>
    <w:rsid w:val="41497287"/>
    <w:rsid w:val="414D77A0"/>
    <w:rsid w:val="4151103E"/>
    <w:rsid w:val="41540B2E"/>
    <w:rsid w:val="415723CD"/>
    <w:rsid w:val="41635215"/>
    <w:rsid w:val="41636FC4"/>
    <w:rsid w:val="41654AEA"/>
    <w:rsid w:val="41742F7F"/>
    <w:rsid w:val="41760AA5"/>
    <w:rsid w:val="41782A6F"/>
    <w:rsid w:val="41801923"/>
    <w:rsid w:val="4182744A"/>
    <w:rsid w:val="41894C7C"/>
    <w:rsid w:val="418A4550"/>
    <w:rsid w:val="419453CF"/>
    <w:rsid w:val="419D4283"/>
    <w:rsid w:val="41A01FC6"/>
    <w:rsid w:val="41A03D74"/>
    <w:rsid w:val="41A2189A"/>
    <w:rsid w:val="41AD023F"/>
    <w:rsid w:val="41B617E9"/>
    <w:rsid w:val="41B63597"/>
    <w:rsid w:val="41B678A9"/>
    <w:rsid w:val="41BD66D4"/>
    <w:rsid w:val="41C537DA"/>
    <w:rsid w:val="41CA7043"/>
    <w:rsid w:val="41CE268F"/>
    <w:rsid w:val="41CF6407"/>
    <w:rsid w:val="41D56723"/>
    <w:rsid w:val="41DB1250"/>
    <w:rsid w:val="41E73751"/>
    <w:rsid w:val="41F540C0"/>
    <w:rsid w:val="41F54A74"/>
    <w:rsid w:val="41FD11C6"/>
    <w:rsid w:val="41FD4D22"/>
    <w:rsid w:val="421107CE"/>
    <w:rsid w:val="42116A20"/>
    <w:rsid w:val="42165DE4"/>
    <w:rsid w:val="421A58D4"/>
    <w:rsid w:val="422624CB"/>
    <w:rsid w:val="42277FF1"/>
    <w:rsid w:val="422F08A0"/>
    <w:rsid w:val="423170C2"/>
    <w:rsid w:val="423746D8"/>
    <w:rsid w:val="42383761"/>
    <w:rsid w:val="423F533B"/>
    <w:rsid w:val="4241307A"/>
    <w:rsid w:val="42417305"/>
    <w:rsid w:val="42462B6D"/>
    <w:rsid w:val="42470693"/>
    <w:rsid w:val="424726D6"/>
    <w:rsid w:val="424C7A58"/>
    <w:rsid w:val="424E557E"/>
    <w:rsid w:val="425B5436"/>
    <w:rsid w:val="42660B19"/>
    <w:rsid w:val="426725B0"/>
    <w:rsid w:val="426D00FA"/>
    <w:rsid w:val="427174BE"/>
    <w:rsid w:val="42733236"/>
    <w:rsid w:val="427C658F"/>
    <w:rsid w:val="428C475C"/>
    <w:rsid w:val="428C60A6"/>
    <w:rsid w:val="429D6505"/>
    <w:rsid w:val="42A31D6D"/>
    <w:rsid w:val="42A41642"/>
    <w:rsid w:val="42AB29D0"/>
    <w:rsid w:val="42B15B0D"/>
    <w:rsid w:val="42C56F23"/>
    <w:rsid w:val="42C615B8"/>
    <w:rsid w:val="42C65A5C"/>
    <w:rsid w:val="42CD6CEF"/>
    <w:rsid w:val="42D068DB"/>
    <w:rsid w:val="42D33CD5"/>
    <w:rsid w:val="42E61C5A"/>
    <w:rsid w:val="42E638D8"/>
    <w:rsid w:val="42F26851"/>
    <w:rsid w:val="42F51E9D"/>
    <w:rsid w:val="42F779C3"/>
    <w:rsid w:val="42FB3958"/>
    <w:rsid w:val="42FE0D52"/>
    <w:rsid w:val="43056584"/>
    <w:rsid w:val="43217136"/>
    <w:rsid w:val="43233385"/>
    <w:rsid w:val="43282273"/>
    <w:rsid w:val="432D1637"/>
    <w:rsid w:val="433429C6"/>
    <w:rsid w:val="43364990"/>
    <w:rsid w:val="43432C09"/>
    <w:rsid w:val="43452E25"/>
    <w:rsid w:val="434C53D8"/>
    <w:rsid w:val="434F77FF"/>
    <w:rsid w:val="43525542"/>
    <w:rsid w:val="43572B58"/>
    <w:rsid w:val="435766B4"/>
    <w:rsid w:val="43617533"/>
    <w:rsid w:val="436A4639"/>
    <w:rsid w:val="436D5ED7"/>
    <w:rsid w:val="4379487C"/>
    <w:rsid w:val="43803E5D"/>
    <w:rsid w:val="43860D47"/>
    <w:rsid w:val="438A2241"/>
    <w:rsid w:val="438A4CDB"/>
    <w:rsid w:val="438A6A89"/>
    <w:rsid w:val="438F40A0"/>
    <w:rsid w:val="439711A6"/>
    <w:rsid w:val="43994F1E"/>
    <w:rsid w:val="439B0C97"/>
    <w:rsid w:val="439B47F3"/>
    <w:rsid w:val="439C4706"/>
    <w:rsid w:val="439E42E3"/>
    <w:rsid w:val="43A22025"/>
    <w:rsid w:val="43A50841"/>
    <w:rsid w:val="43A63197"/>
    <w:rsid w:val="43B458B4"/>
    <w:rsid w:val="43B9736F"/>
    <w:rsid w:val="43BB3579"/>
    <w:rsid w:val="43BC0209"/>
    <w:rsid w:val="43C006FD"/>
    <w:rsid w:val="43C31F9B"/>
    <w:rsid w:val="43C401ED"/>
    <w:rsid w:val="43C7631C"/>
    <w:rsid w:val="43E51F12"/>
    <w:rsid w:val="43E91A02"/>
    <w:rsid w:val="43EE526A"/>
    <w:rsid w:val="43F263DD"/>
    <w:rsid w:val="43F32881"/>
    <w:rsid w:val="43F65ECD"/>
    <w:rsid w:val="43FD54AD"/>
    <w:rsid w:val="44020D16"/>
    <w:rsid w:val="440305EA"/>
    <w:rsid w:val="440E1469"/>
    <w:rsid w:val="440E76BA"/>
    <w:rsid w:val="440F51E1"/>
    <w:rsid w:val="441A605F"/>
    <w:rsid w:val="441B1DD7"/>
    <w:rsid w:val="441B3B85"/>
    <w:rsid w:val="441E4BDC"/>
    <w:rsid w:val="44224F14"/>
    <w:rsid w:val="44240C8C"/>
    <w:rsid w:val="44305883"/>
    <w:rsid w:val="44337121"/>
    <w:rsid w:val="44380293"/>
    <w:rsid w:val="443864E5"/>
    <w:rsid w:val="444A7FC7"/>
    <w:rsid w:val="44501A81"/>
    <w:rsid w:val="44580936"/>
    <w:rsid w:val="445D5F4C"/>
    <w:rsid w:val="44613C8E"/>
    <w:rsid w:val="44641089"/>
    <w:rsid w:val="446F7A2D"/>
    <w:rsid w:val="44703ED1"/>
    <w:rsid w:val="4473408E"/>
    <w:rsid w:val="44735770"/>
    <w:rsid w:val="447514E8"/>
    <w:rsid w:val="44753296"/>
    <w:rsid w:val="447D214A"/>
    <w:rsid w:val="448E6105"/>
    <w:rsid w:val="44A11D2E"/>
    <w:rsid w:val="44A8366B"/>
    <w:rsid w:val="44B042CE"/>
    <w:rsid w:val="44B33DBE"/>
    <w:rsid w:val="44B6565C"/>
    <w:rsid w:val="44BD69EB"/>
    <w:rsid w:val="44C63AF1"/>
    <w:rsid w:val="44D53D34"/>
    <w:rsid w:val="44D93837"/>
    <w:rsid w:val="44DA759D"/>
    <w:rsid w:val="44DB5F9C"/>
    <w:rsid w:val="44DE304C"/>
    <w:rsid w:val="44EC6F22"/>
    <w:rsid w:val="44F543D6"/>
    <w:rsid w:val="4508410A"/>
    <w:rsid w:val="450D7972"/>
    <w:rsid w:val="450E7246"/>
    <w:rsid w:val="451A208F"/>
    <w:rsid w:val="452E1696"/>
    <w:rsid w:val="452F5B3A"/>
    <w:rsid w:val="453734C5"/>
    <w:rsid w:val="454B049A"/>
    <w:rsid w:val="45521829"/>
    <w:rsid w:val="455235D7"/>
    <w:rsid w:val="45617CBE"/>
    <w:rsid w:val="456A6B72"/>
    <w:rsid w:val="4577303D"/>
    <w:rsid w:val="458614D2"/>
    <w:rsid w:val="459C4852"/>
    <w:rsid w:val="45A35BE1"/>
    <w:rsid w:val="45A51959"/>
    <w:rsid w:val="45A71B75"/>
    <w:rsid w:val="45A8769B"/>
    <w:rsid w:val="45AA6F6F"/>
    <w:rsid w:val="45BC6CA2"/>
    <w:rsid w:val="45C02C36"/>
    <w:rsid w:val="45C83899"/>
    <w:rsid w:val="45D87F80"/>
    <w:rsid w:val="45DC10F2"/>
    <w:rsid w:val="45F60406"/>
    <w:rsid w:val="45F91F5D"/>
    <w:rsid w:val="45F96148"/>
    <w:rsid w:val="45FD1795"/>
    <w:rsid w:val="45FF0BDF"/>
    <w:rsid w:val="460C19D8"/>
    <w:rsid w:val="461A0599"/>
    <w:rsid w:val="46207231"/>
    <w:rsid w:val="462211FB"/>
    <w:rsid w:val="463D6035"/>
    <w:rsid w:val="463F1DAD"/>
    <w:rsid w:val="46401681"/>
    <w:rsid w:val="46470C62"/>
    <w:rsid w:val="464C44CA"/>
    <w:rsid w:val="46530B36"/>
    <w:rsid w:val="46592743"/>
    <w:rsid w:val="46601D24"/>
    <w:rsid w:val="4662784A"/>
    <w:rsid w:val="46690BD8"/>
    <w:rsid w:val="466B79EB"/>
    <w:rsid w:val="46780E1B"/>
    <w:rsid w:val="467D4684"/>
    <w:rsid w:val="46821C9A"/>
    <w:rsid w:val="46850D20"/>
    <w:rsid w:val="4685178A"/>
    <w:rsid w:val="46872E38"/>
    <w:rsid w:val="46893028"/>
    <w:rsid w:val="468B5AEE"/>
    <w:rsid w:val="46911EDD"/>
    <w:rsid w:val="469320F9"/>
    <w:rsid w:val="46935C55"/>
    <w:rsid w:val="46971BE9"/>
    <w:rsid w:val="469D0882"/>
    <w:rsid w:val="469D2F78"/>
    <w:rsid w:val="469F284C"/>
    <w:rsid w:val="46A2058E"/>
    <w:rsid w:val="46A936CA"/>
    <w:rsid w:val="46AC58E1"/>
    <w:rsid w:val="46B34549"/>
    <w:rsid w:val="46BF2EEE"/>
    <w:rsid w:val="46BF6A4A"/>
    <w:rsid w:val="46C67DD9"/>
    <w:rsid w:val="46C978C9"/>
    <w:rsid w:val="46D1677D"/>
    <w:rsid w:val="46DA1AD6"/>
    <w:rsid w:val="46DF0E9A"/>
    <w:rsid w:val="46DF533E"/>
    <w:rsid w:val="46E82445"/>
    <w:rsid w:val="46EB783F"/>
    <w:rsid w:val="46EE37D3"/>
    <w:rsid w:val="46F32B98"/>
    <w:rsid w:val="47017063"/>
    <w:rsid w:val="470C64CB"/>
    <w:rsid w:val="470D3C59"/>
    <w:rsid w:val="470E1780"/>
    <w:rsid w:val="470F04FE"/>
    <w:rsid w:val="47152B0E"/>
    <w:rsid w:val="471843AC"/>
    <w:rsid w:val="47197F94"/>
    <w:rsid w:val="471A0124"/>
    <w:rsid w:val="471C3E9C"/>
    <w:rsid w:val="4723347D"/>
    <w:rsid w:val="472D789A"/>
    <w:rsid w:val="47312B49"/>
    <w:rsid w:val="473311E6"/>
    <w:rsid w:val="473531B0"/>
    <w:rsid w:val="4740402F"/>
    <w:rsid w:val="474653BD"/>
    <w:rsid w:val="474B6530"/>
    <w:rsid w:val="47525B10"/>
    <w:rsid w:val="47685334"/>
    <w:rsid w:val="476D294A"/>
    <w:rsid w:val="47743CD8"/>
    <w:rsid w:val="477A6E15"/>
    <w:rsid w:val="478B2DD0"/>
    <w:rsid w:val="478D4D9A"/>
    <w:rsid w:val="479003E6"/>
    <w:rsid w:val="47990A9D"/>
    <w:rsid w:val="479954ED"/>
    <w:rsid w:val="47A04ACD"/>
    <w:rsid w:val="47A3636C"/>
    <w:rsid w:val="47AA594C"/>
    <w:rsid w:val="47AA76FA"/>
    <w:rsid w:val="47AF2F63"/>
    <w:rsid w:val="47B265AF"/>
    <w:rsid w:val="47BB1907"/>
    <w:rsid w:val="47C06F1E"/>
    <w:rsid w:val="47C84024"/>
    <w:rsid w:val="47D14C87"/>
    <w:rsid w:val="47ED3A8B"/>
    <w:rsid w:val="47EF15B1"/>
    <w:rsid w:val="47F46BC7"/>
    <w:rsid w:val="47F866B8"/>
    <w:rsid w:val="480D7C89"/>
    <w:rsid w:val="481B23A6"/>
    <w:rsid w:val="481B4154"/>
    <w:rsid w:val="48275E49"/>
    <w:rsid w:val="482E4AE5"/>
    <w:rsid w:val="48425B85"/>
    <w:rsid w:val="48457423"/>
    <w:rsid w:val="4847319B"/>
    <w:rsid w:val="48496F13"/>
    <w:rsid w:val="484C255F"/>
    <w:rsid w:val="48562BFD"/>
    <w:rsid w:val="485811E2"/>
    <w:rsid w:val="48592ECE"/>
    <w:rsid w:val="485D476D"/>
    <w:rsid w:val="486755EB"/>
    <w:rsid w:val="486F44A0"/>
    <w:rsid w:val="48710218"/>
    <w:rsid w:val="48763A80"/>
    <w:rsid w:val="487877F8"/>
    <w:rsid w:val="487A531F"/>
    <w:rsid w:val="487D096B"/>
    <w:rsid w:val="48825F81"/>
    <w:rsid w:val="488B752C"/>
    <w:rsid w:val="488D3FC9"/>
    <w:rsid w:val="48A26623"/>
    <w:rsid w:val="48AC2FFE"/>
    <w:rsid w:val="48BD520B"/>
    <w:rsid w:val="48BF5427"/>
    <w:rsid w:val="48C447EC"/>
    <w:rsid w:val="48CC18F2"/>
    <w:rsid w:val="48D83DF3"/>
    <w:rsid w:val="48DD765B"/>
    <w:rsid w:val="48E21116"/>
    <w:rsid w:val="48F03833"/>
    <w:rsid w:val="48F13107"/>
    <w:rsid w:val="48FC21D7"/>
    <w:rsid w:val="490270C2"/>
    <w:rsid w:val="49050213"/>
    <w:rsid w:val="49080B7C"/>
    <w:rsid w:val="49117305"/>
    <w:rsid w:val="491237A9"/>
    <w:rsid w:val="491F1A22"/>
    <w:rsid w:val="491F7C74"/>
    <w:rsid w:val="492422C9"/>
    <w:rsid w:val="49296D45"/>
    <w:rsid w:val="49301E81"/>
    <w:rsid w:val="493D634C"/>
    <w:rsid w:val="49507E2D"/>
    <w:rsid w:val="49543DC1"/>
    <w:rsid w:val="49575660"/>
    <w:rsid w:val="495913D8"/>
    <w:rsid w:val="495A6EFE"/>
    <w:rsid w:val="495B5C7D"/>
    <w:rsid w:val="4961028C"/>
    <w:rsid w:val="49697141"/>
    <w:rsid w:val="496A2F12"/>
    <w:rsid w:val="496A4BFC"/>
    <w:rsid w:val="496D4E83"/>
    <w:rsid w:val="49777AB0"/>
    <w:rsid w:val="498A77E3"/>
    <w:rsid w:val="49922EAC"/>
    <w:rsid w:val="49935F6C"/>
    <w:rsid w:val="49A63EF1"/>
    <w:rsid w:val="49AD702E"/>
    <w:rsid w:val="49B27967"/>
    <w:rsid w:val="49B303BC"/>
    <w:rsid w:val="49B4660E"/>
    <w:rsid w:val="49C10D2B"/>
    <w:rsid w:val="49C32CF5"/>
    <w:rsid w:val="49C449CF"/>
    <w:rsid w:val="49CC2177"/>
    <w:rsid w:val="49D547D7"/>
    <w:rsid w:val="49D56585"/>
    <w:rsid w:val="49F42EAF"/>
    <w:rsid w:val="49F66C27"/>
    <w:rsid w:val="4A11580F"/>
    <w:rsid w:val="4A143551"/>
    <w:rsid w:val="4A2117CA"/>
    <w:rsid w:val="4A2A4B22"/>
    <w:rsid w:val="4A2C2648"/>
    <w:rsid w:val="4A372D9B"/>
    <w:rsid w:val="4A396B13"/>
    <w:rsid w:val="4A3D4856"/>
    <w:rsid w:val="4A3E237C"/>
    <w:rsid w:val="4A401094"/>
    <w:rsid w:val="4A437992"/>
    <w:rsid w:val="4A4C2CEB"/>
    <w:rsid w:val="4A513E5D"/>
    <w:rsid w:val="4A525E27"/>
    <w:rsid w:val="4A527BD5"/>
    <w:rsid w:val="4A5D0A54"/>
    <w:rsid w:val="4A6A4F1F"/>
    <w:rsid w:val="4A6F4C2B"/>
    <w:rsid w:val="4A7F4E6E"/>
    <w:rsid w:val="4A8B6CBC"/>
    <w:rsid w:val="4A8F4985"/>
    <w:rsid w:val="4A980693"/>
    <w:rsid w:val="4AB56AE2"/>
    <w:rsid w:val="4AB8212E"/>
    <w:rsid w:val="4ABA5EA6"/>
    <w:rsid w:val="4ACE3700"/>
    <w:rsid w:val="4ACF7478"/>
    <w:rsid w:val="4AD00929"/>
    <w:rsid w:val="4AD351BA"/>
    <w:rsid w:val="4AD36F68"/>
    <w:rsid w:val="4ADB7BCB"/>
    <w:rsid w:val="4ADF3B5F"/>
    <w:rsid w:val="4AE44CD1"/>
    <w:rsid w:val="4AF76666"/>
    <w:rsid w:val="4AF8077D"/>
    <w:rsid w:val="4B0435C5"/>
    <w:rsid w:val="4B052E99"/>
    <w:rsid w:val="4B071F90"/>
    <w:rsid w:val="4B29302C"/>
    <w:rsid w:val="4B294DDA"/>
    <w:rsid w:val="4B2E492F"/>
    <w:rsid w:val="4B302F76"/>
    <w:rsid w:val="4B313C8F"/>
    <w:rsid w:val="4B3A0D95"/>
    <w:rsid w:val="4B3F0159"/>
    <w:rsid w:val="4B4439C2"/>
    <w:rsid w:val="4B46773A"/>
    <w:rsid w:val="4B4B11F4"/>
    <w:rsid w:val="4B4C0AC8"/>
    <w:rsid w:val="4B4D612E"/>
    <w:rsid w:val="4B5736F5"/>
    <w:rsid w:val="4B5C0D0B"/>
    <w:rsid w:val="4B5F6A4E"/>
    <w:rsid w:val="4B6D116B"/>
    <w:rsid w:val="4B7F2C4C"/>
    <w:rsid w:val="4B86222C"/>
    <w:rsid w:val="4B871B00"/>
    <w:rsid w:val="4B8B15F1"/>
    <w:rsid w:val="4B902123"/>
    <w:rsid w:val="4B9366F7"/>
    <w:rsid w:val="4B9C1A50"/>
    <w:rsid w:val="4B9C55AC"/>
    <w:rsid w:val="4BA17066"/>
    <w:rsid w:val="4BA45F7F"/>
    <w:rsid w:val="4BA90F21"/>
    <w:rsid w:val="4BBD5522"/>
    <w:rsid w:val="4BC468B1"/>
    <w:rsid w:val="4BC62629"/>
    <w:rsid w:val="4BD31925"/>
    <w:rsid w:val="4BDF193C"/>
    <w:rsid w:val="4BE17463"/>
    <w:rsid w:val="4BE40D01"/>
    <w:rsid w:val="4BED5E07"/>
    <w:rsid w:val="4BF52F0E"/>
    <w:rsid w:val="4BFC429C"/>
    <w:rsid w:val="4C0554CB"/>
    <w:rsid w:val="4C0849EF"/>
    <w:rsid w:val="4C0A0767"/>
    <w:rsid w:val="4C0D64AA"/>
    <w:rsid w:val="4C211F55"/>
    <w:rsid w:val="4C2757BD"/>
    <w:rsid w:val="4C2832E3"/>
    <w:rsid w:val="4C285091"/>
    <w:rsid w:val="4C286E40"/>
    <w:rsid w:val="4C2B6930"/>
    <w:rsid w:val="4C2D08FA"/>
    <w:rsid w:val="4C39729F"/>
    <w:rsid w:val="4C417F01"/>
    <w:rsid w:val="4C481290"/>
    <w:rsid w:val="4C485734"/>
    <w:rsid w:val="4C59349D"/>
    <w:rsid w:val="4C5F1D26"/>
    <w:rsid w:val="4C6562E6"/>
    <w:rsid w:val="4C6C11C3"/>
    <w:rsid w:val="4C6C31D0"/>
    <w:rsid w:val="4C72455F"/>
    <w:rsid w:val="4C771B75"/>
    <w:rsid w:val="4C7958ED"/>
    <w:rsid w:val="4C804ECE"/>
    <w:rsid w:val="4C8147A2"/>
    <w:rsid w:val="4C83051A"/>
    <w:rsid w:val="4C8524E4"/>
    <w:rsid w:val="4C8749CF"/>
    <w:rsid w:val="4C8F6EBF"/>
    <w:rsid w:val="4C9170DB"/>
    <w:rsid w:val="4CA24E44"/>
    <w:rsid w:val="4CAA019C"/>
    <w:rsid w:val="4CB66B41"/>
    <w:rsid w:val="4CBA422E"/>
    <w:rsid w:val="4CBD6450"/>
    <w:rsid w:val="4CBE1552"/>
    <w:rsid w:val="4CBF59F6"/>
    <w:rsid w:val="4CD46FC7"/>
    <w:rsid w:val="4CD55219"/>
    <w:rsid w:val="4CDD40CE"/>
    <w:rsid w:val="4CE216E4"/>
    <w:rsid w:val="4CF11927"/>
    <w:rsid w:val="4CF136D5"/>
    <w:rsid w:val="4CF3744D"/>
    <w:rsid w:val="4CF66F3E"/>
    <w:rsid w:val="4CF84A64"/>
    <w:rsid w:val="4D094EC3"/>
    <w:rsid w:val="4D13189E"/>
    <w:rsid w:val="4D151ABA"/>
    <w:rsid w:val="4D166283"/>
    <w:rsid w:val="4D1B0752"/>
    <w:rsid w:val="4D243AAB"/>
    <w:rsid w:val="4D27359B"/>
    <w:rsid w:val="4D2A6BE7"/>
    <w:rsid w:val="4D355CB8"/>
    <w:rsid w:val="4D3B0DF4"/>
    <w:rsid w:val="4D40640B"/>
    <w:rsid w:val="4D445EFB"/>
    <w:rsid w:val="4D51132D"/>
    <w:rsid w:val="4D5F4AE3"/>
    <w:rsid w:val="4D697710"/>
    <w:rsid w:val="4D71724A"/>
    <w:rsid w:val="4D720CBA"/>
    <w:rsid w:val="4D814A59"/>
    <w:rsid w:val="4D877929"/>
    <w:rsid w:val="4D8929FB"/>
    <w:rsid w:val="4D956757"/>
    <w:rsid w:val="4D9D111B"/>
    <w:rsid w:val="4DA4699A"/>
    <w:rsid w:val="4DA47990"/>
    <w:rsid w:val="4DA63BE4"/>
    <w:rsid w:val="4DAE7818"/>
    <w:rsid w:val="4DB50BA7"/>
    <w:rsid w:val="4DB766CD"/>
    <w:rsid w:val="4DC1754C"/>
    <w:rsid w:val="4DC4528E"/>
    <w:rsid w:val="4DC96400"/>
    <w:rsid w:val="4DD51249"/>
    <w:rsid w:val="4DD728CB"/>
    <w:rsid w:val="4DD74FC1"/>
    <w:rsid w:val="4DEA6AA2"/>
    <w:rsid w:val="4DED20EF"/>
    <w:rsid w:val="4DEF230B"/>
    <w:rsid w:val="4DFA480C"/>
    <w:rsid w:val="4DFF0074"/>
    <w:rsid w:val="4E0538DC"/>
    <w:rsid w:val="4E093EF9"/>
    <w:rsid w:val="4E0D2791"/>
    <w:rsid w:val="4E1B3100"/>
    <w:rsid w:val="4E30647F"/>
    <w:rsid w:val="4E347D1E"/>
    <w:rsid w:val="4E353A96"/>
    <w:rsid w:val="4E3C3076"/>
    <w:rsid w:val="4E4125AE"/>
    <w:rsid w:val="4E45017D"/>
    <w:rsid w:val="4E4769A2"/>
    <w:rsid w:val="4E481A1B"/>
    <w:rsid w:val="4E4A7541"/>
    <w:rsid w:val="4E4F68D0"/>
    <w:rsid w:val="4E524648"/>
    <w:rsid w:val="4E5263F6"/>
    <w:rsid w:val="4E6879C7"/>
    <w:rsid w:val="4E6A373F"/>
    <w:rsid w:val="4E6D3230"/>
    <w:rsid w:val="4E6D76D3"/>
    <w:rsid w:val="4E6F51FA"/>
    <w:rsid w:val="4E74636C"/>
    <w:rsid w:val="4E7B3B9E"/>
    <w:rsid w:val="4E802F63"/>
    <w:rsid w:val="4E850579"/>
    <w:rsid w:val="4E8A2033"/>
    <w:rsid w:val="4E8A4CC2"/>
    <w:rsid w:val="4E8B1908"/>
    <w:rsid w:val="4E9133C2"/>
    <w:rsid w:val="4E992277"/>
    <w:rsid w:val="4E9C3B15"/>
    <w:rsid w:val="4EA42AB5"/>
    <w:rsid w:val="4EA50C1B"/>
    <w:rsid w:val="4EAC1FAA"/>
    <w:rsid w:val="4EBE7F2F"/>
    <w:rsid w:val="4EC8490A"/>
    <w:rsid w:val="4ECE0172"/>
    <w:rsid w:val="4ED6054D"/>
    <w:rsid w:val="4ED74DB7"/>
    <w:rsid w:val="4ED84B4D"/>
    <w:rsid w:val="4EF23735"/>
    <w:rsid w:val="4EFB4CDF"/>
    <w:rsid w:val="4EFD7B10"/>
    <w:rsid w:val="4F042382"/>
    <w:rsid w:val="4F0E67C1"/>
    <w:rsid w:val="4F11005F"/>
    <w:rsid w:val="4F161B19"/>
    <w:rsid w:val="4F1B2C8C"/>
    <w:rsid w:val="4F1C5F3C"/>
    <w:rsid w:val="4F22226C"/>
    <w:rsid w:val="4F2C6C47"/>
    <w:rsid w:val="4F3124AF"/>
    <w:rsid w:val="4F361873"/>
    <w:rsid w:val="4F363F69"/>
    <w:rsid w:val="4F367AC5"/>
    <w:rsid w:val="4F391364"/>
    <w:rsid w:val="4F455F5A"/>
    <w:rsid w:val="4F4D3A59"/>
    <w:rsid w:val="4F4D6B7C"/>
    <w:rsid w:val="4F5543EF"/>
    <w:rsid w:val="4F561F16"/>
    <w:rsid w:val="4F610FE6"/>
    <w:rsid w:val="4F624D5E"/>
    <w:rsid w:val="4F67188F"/>
    <w:rsid w:val="4F710AFD"/>
    <w:rsid w:val="4F7505EE"/>
    <w:rsid w:val="4F764366"/>
    <w:rsid w:val="4F781E8C"/>
    <w:rsid w:val="4F790DE9"/>
    <w:rsid w:val="4F7E2887"/>
    <w:rsid w:val="4F8545A9"/>
    <w:rsid w:val="4F905428"/>
    <w:rsid w:val="4F934F18"/>
    <w:rsid w:val="4F974A08"/>
    <w:rsid w:val="4F9F38BD"/>
    <w:rsid w:val="4FAD7940"/>
    <w:rsid w:val="4FB235F0"/>
    <w:rsid w:val="4FBA6948"/>
    <w:rsid w:val="4FC41575"/>
    <w:rsid w:val="4FC60E49"/>
    <w:rsid w:val="4FC6709B"/>
    <w:rsid w:val="4FC96B8B"/>
    <w:rsid w:val="4FD80B7D"/>
    <w:rsid w:val="4FE13ED5"/>
    <w:rsid w:val="4FE63299"/>
    <w:rsid w:val="4FE70DC0"/>
    <w:rsid w:val="4FF02448"/>
    <w:rsid w:val="4FF37764"/>
    <w:rsid w:val="502B5150"/>
    <w:rsid w:val="50302767"/>
    <w:rsid w:val="50306AAF"/>
    <w:rsid w:val="50324731"/>
    <w:rsid w:val="5038161B"/>
    <w:rsid w:val="503A35E5"/>
    <w:rsid w:val="50416722"/>
    <w:rsid w:val="50502E09"/>
    <w:rsid w:val="505428F9"/>
    <w:rsid w:val="5055041F"/>
    <w:rsid w:val="505F4DFA"/>
    <w:rsid w:val="50610B72"/>
    <w:rsid w:val="50650662"/>
    <w:rsid w:val="5065417F"/>
    <w:rsid w:val="50720FD1"/>
    <w:rsid w:val="50726A1D"/>
    <w:rsid w:val="507505A1"/>
    <w:rsid w:val="50760AC1"/>
    <w:rsid w:val="50836D3A"/>
    <w:rsid w:val="508825A3"/>
    <w:rsid w:val="508E292C"/>
    <w:rsid w:val="50923421"/>
    <w:rsid w:val="509251CF"/>
    <w:rsid w:val="509269D5"/>
    <w:rsid w:val="509947B0"/>
    <w:rsid w:val="509E6E33"/>
    <w:rsid w:val="50A15412"/>
    <w:rsid w:val="50A5584E"/>
    <w:rsid w:val="50A8054F"/>
    <w:rsid w:val="50A94B58"/>
    <w:rsid w:val="50BC3FFA"/>
    <w:rsid w:val="50C7131D"/>
    <w:rsid w:val="50D457E8"/>
    <w:rsid w:val="50D742EC"/>
    <w:rsid w:val="50DC2CA5"/>
    <w:rsid w:val="50E772C9"/>
    <w:rsid w:val="50F32112"/>
    <w:rsid w:val="50F6575E"/>
    <w:rsid w:val="50FB2D75"/>
    <w:rsid w:val="510734AA"/>
    <w:rsid w:val="510C08F5"/>
    <w:rsid w:val="51142088"/>
    <w:rsid w:val="511F2F07"/>
    <w:rsid w:val="51220301"/>
    <w:rsid w:val="5139564B"/>
    <w:rsid w:val="514C537E"/>
    <w:rsid w:val="515661FD"/>
    <w:rsid w:val="515D37B4"/>
    <w:rsid w:val="515E50B1"/>
    <w:rsid w:val="5160707C"/>
    <w:rsid w:val="51656440"/>
    <w:rsid w:val="516E3547"/>
    <w:rsid w:val="516E79EA"/>
    <w:rsid w:val="5176064D"/>
    <w:rsid w:val="51856AE2"/>
    <w:rsid w:val="51870AAC"/>
    <w:rsid w:val="5187285A"/>
    <w:rsid w:val="518C60C3"/>
    <w:rsid w:val="51915487"/>
    <w:rsid w:val="51AF590D"/>
    <w:rsid w:val="51B01DB1"/>
    <w:rsid w:val="51B3364F"/>
    <w:rsid w:val="51BD74D5"/>
    <w:rsid w:val="51C21AE4"/>
    <w:rsid w:val="51D112E0"/>
    <w:rsid w:val="51D3784E"/>
    <w:rsid w:val="51ED6B61"/>
    <w:rsid w:val="51F10A82"/>
    <w:rsid w:val="51F6353C"/>
    <w:rsid w:val="51F779E0"/>
    <w:rsid w:val="52132340"/>
    <w:rsid w:val="521F0CE5"/>
    <w:rsid w:val="52214A5D"/>
    <w:rsid w:val="52262073"/>
    <w:rsid w:val="52306A4E"/>
    <w:rsid w:val="52393E48"/>
    <w:rsid w:val="52397FF8"/>
    <w:rsid w:val="52412A09"/>
    <w:rsid w:val="526130AB"/>
    <w:rsid w:val="5264494A"/>
    <w:rsid w:val="526E78A3"/>
    <w:rsid w:val="52751EED"/>
    <w:rsid w:val="52756B57"/>
    <w:rsid w:val="52770B21"/>
    <w:rsid w:val="52862B12"/>
    <w:rsid w:val="529A036B"/>
    <w:rsid w:val="529C40E3"/>
    <w:rsid w:val="52A116FA"/>
    <w:rsid w:val="52A64F62"/>
    <w:rsid w:val="52AA2CA4"/>
    <w:rsid w:val="52B551A5"/>
    <w:rsid w:val="52D23FA9"/>
    <w:rsid w:val="52D90E94"/>
    <w:rsid w:val="52E31D12"/>
    <w:rsid w:val="52E57838"/>
    <w:rsid w:val="52F15371"/>
    <w:rsid w:val="52FD1026"/>
    <w:rsid w:val="52FE08FA"/>
    <w:rsid w:val="5302663C"/>
    <w:rsid w:val="53051C89"/>
    <w:rsid w:val="531B76FE"/>
    <w:rsid w:val="53220A8C"/>
    <w:rsid w:val="532540D9"/>
    <w:rsid w:val="532D11DF"/>
    <w:rsid w:val="53360094"/>
    <w:rsid w:val="533662E6"/>
    <w:rsid w:val="533D7674"/>
    <w:rsid w:val="53400F13"/>
    <w:rsid w:val="53424C8B"/>
    <w:rsid w:val="53446C55"/>
    <w:rsid w:val="534C78B7"/>
    <w:rsid w:val="5358625C"/>
    <w:rsid w:val="535D1AC5"/>
    <w:rsid w:val="5362532D"/>
    <w:rsid w:val="53654E1D"/>
    <w:rsid w:val="53762B86"/>
    <w:rsid w:val="53787030"/>
    <w:rsid w:val="53794425"/>
    <w:rsid w:val="537F7C8D"/>
    <w:rsid w:val="53873BB8"/>
    <w:rsid w:val="53894668"/>
    <w:rsid w:val="538B4884"/>
    <w:rsid w:val="53901E9A"/>
    <w:rsid w:val="539052B7"/>
    <w:rsid w:val="5394125E"/>
    <w:rsid w:val="53B4545D"/>
    <w:rsid w:val="53B611D5"/>
    <w:rsid w:val="53BB4A3D"/>
    <w:rsid w:val="53C75190"/>
    <w:rsid w:val="53C9715A"/>
    <w:rsid w:val="53CC27A6"/>
    <w:rsid w:val="53D1600F"/>
    <w:rsid w:val="53D4255B"/>
    <w:rsid w:val="53D55AFF"/>
    <w:rsid w:val="53D8114B"/>
    <w:rsid w:val="53DB6E8D"/>
    <w:rsid w:val="53DF24DA"/>
    <w:rsid w:val="53F02939"/>
    <w:rsid w:val="53FB308C"/>
    <w:rsid w:val="53FD2283"/>
    <w:rsid w:val="53FD5056"/>
    <w:rsid w:val="54014B46"/>
    <w:rsid w:val="540753EA"/>
    <w:rsid w:val="54175631"/>
    <w:rsid w:val="54240834"/>
    <w:rsid w:val="542B1BC3"/>
    <w:rsid w:val="542E16B3"/>
    <w:rsid w:val="543A7700"/>
    <w:rsid w:val="54505185"/>
    <w:rsid w:val="545C1D7C"/>
    <w:rsid w:val="545E3D46"/>
    <w:rsid w:val="545F7ABE"/>
    <w:rsid w:val="54617393"/>
    <w:rsid w:val="54662BFB"/>
    <w:rsid w:val="5472334E"/>
    <w:rsid w:val="547D1CF3"/>
    <w:rsid w:val="54843081"/>
    <w:rsid w:val="548A6691"/>
    <w:rsid w:val="548B440F"/>
    <w:rsid w:val="548D0188"/>
    <w:rsid w:val="548F2152"/>
    <w:rsid w:val="54971006"/>
    <w:rsid w:val="549E4143"/>
    <w:rsid w:val="54A20CEF"/>
    <w:rsid w:val="54A656ED"/>
    <w:rsid w:val="54A92AE8"/>
    <w:rsid w:val="54AD25D8"/>
    <w:rsid w:val="54BB2F47"/>
    <w:rsid w:val="54C47921"/>
    <w:rsid w:val="54C6369A"/>
    <w:rsid w:val="54D44008"/>
    <w:rsid w:val="54D47B64"/>
    <w:rsid w:val="54E16725"/>
    <w:rsid w:val="54EF2BF0"/>
    <w:rsid w:val="54F93A6F"/>
    <w:rsid w:val="54FE72D7"/>
    <w:rsid w:val="55020B76"/>
    <w:rsid w:val="550541C2"/>
    <w:rsid w:val="550F6DEF"/>
    <w:rsid w:val="5512068D"/>
    <w:rsid w:val="5516017D"/>
    <w:rsid w:val="551C775D"/>
    <w:rsid w:val="552503C0"/>
    <w:rsid w:val="55286102"/>
    <w:rsid w:val="552A59D6"/>
    <w:rsid w:val="552D6F21"/>
    <w:rsid w:val="5531145B"/>
    <w:rsid w:val="55313209"/>
    <w:rsid w:val="553700F3"/>
    <w:rsid w:val="55425416"/>
    <w:rsid w:val="55450A62"/>
    <w:rsid w:val="55486565"/>
    <w:rsid w:val="555313D1"/>
    <w:rsid w:val="55545149"/>
    <w:rsid w:val="555B0286"/>
    <w:rsid w:val="55713605"/>
    <w:rsid w:val="557267E3"/>
    <w:rsid w:val="5572737D"/>
    <w:rsid w:val="557B26D6"/>
    <w:rsid w:val="557B4484"/>
    <w:rsid w:val="557E5D22"/>
    <w:rsid w:val="55886BA1"/>
    <w:rsid w:val="558C043F"/>
    <w:rsid w:val="55967510"/>
    <w:rsid w:val="55992B5C"/>
    <w:rsid w:val="559B4B26"/>
    <w:rsid w:val="559C2607"/>
    <w:rsid w:val="55A97243"/>
    <w:rsid w:val="55B0074C"/>
    <w:rsid w:val="55B13259"/>
    <w:rsid w:val="55B1434A"/>
    <w:rsid w:val="55B300C2"/>
    <w:rsid w:val="55BD4A9D"/>
    <w:rsid w:val="55C776C9"/>
    <w:rsid w:val="55CF47D0"/>
    <w:rsid w:val="55DA23A4"/>
    <w:rsid w:val="55DB13C7"/>
    <w:rsid w:val="55DB3175"/>
    <w:rsid w:val="55E24503"/>
    <w:rsid w:val="55E53FF3"/>
    <w:rsid w:val="55E738C7"/>
    <w:rsid w:val="55EB160A"/>
    <w:rsid w:val="55F5329F"/>
    <w:rsid w:val="55F67FAE"/>
    <w:rsid w:val="55F81F79"/>
    <w:rsid w:val="55FB55C5"/>
    <w:rsid w:val="55FB7373"/>
    <w:rsid w:val="560F1E8D"/>
    <w:rsid w:val="56116B96"/>
    <w:rsid w:val="5612303A"/>
    <w:rsid w:val="56130B60"/>
    <w:rsid w:val="561843C9"/>
    <w:rsid w:val="561E4CB5"/>
    <w:rsid w:val="5621502B"/>
    <w:rsid w:val="562E599A"/>
    <w:rsid w:val="5630526E"/>
    <w:rsid w:val="563F3703"/>
    <w:rsid w:val="564156CE"/>
    <w:rsid w:val="564367C8"/>
    <w:rsid w:val="5645019F"/>
    <w:rsid w:val="56464A92"/>
    <w:rsid w:val="56505911"/>
    <w:rsid w:val="56674A08"/>
    <w:rsid w:val="56680EAC"/>
    <w:rsid w:val="566969D2"/>
    <w:rsid w:val="56755377"/>
    <w:rsid w:val="56867584"/>
    <w:rsid w:val="568F468B"/>
    <w:rsid w:val="56902DE6"/>
    <w:rsid w:val="569E667C"/>
    <w:rsid w:val="56A47A0A"/>
    <w:rsid w:val="56B063AF"/>
    <w:rsid w:val="56B714EC"/>
    <w:rsid w:val="56B7773E"/>
    <w:rsid w:val="56C67981"/>
    <w:rsid w:val="56C9121F"/>
    <w:rsid w:val="56D54068"/>
    <w:rsid w:val="56DC0F52"/>
    <w:rsid w:val="56ED13B1"/>
    <w:rsid w:val="56ED7603"/>
    <w:rsid w:val="56F91B04"/>
    <w:rsid w:val="56FF2E93"/>
    <w:rsid w:val="57062473"/>
    <w:rsid w:val="57081D47"/>
    <w:rsid w:val="57087F99"/>
    <w:rsid w:val="570A3D11"/>
    <w:rsid w:val="571526B6"/>
    <w:rsid w:val="571A1A7B"/>
    <w:rsid w:val="57211FE5"/>
    <w:rsid w:val="572A4F61"/>
    <w:rsid w:val="572C012C"/>
    <w:rsid w:val="57302597"/>
    <w:rsid w:val="57315742"/>
    <w:rsid w:val="573945F7"/>
    <w:rsid w:val="573B036F"/>
    <w:rsid w:val="57462870"/>
    <w:rsid w:val="57476D14"/>
    <w:rsid w:val="5748483A"/>
    <w:rsid w:val="574865E8"/>
    <w:rsid w:val="575C58DE"/>
    <w:rsid w:val="57603931"/>
    <w:rsid w:val="57650F48"/>
    <w:rsid w:val="576A2A02"/>
    <w:rsid w:val="576C0528"/>
    <w:rsid w:val="5780553D"/>
    <w:rsid w:val="57833AC4"/>
    <w:rsid w:val="57911D3D"/>
    <w:rsid w:val="57931F59"/>
    <w:rsid w:val="57972576"/>
    <w:rsid w:val="57996E43"/>
    <w:rsid w:val="579B705F"/>
    <w:rsid w:val="579E26AC"/>
    <w:rsid w:val="57A203EE"/>
    <w:rsid w:val="57A37CC2"/>
    <w:rsid w:val="57A71560"/>
    <w:rsid w:val="57B63E99"/>
    <w:rsid w:val="57C93BCD"/>
    <w:rsid w:val="57CA524F"/>
    <w:rsid w:val="57D12A81"/>
    <w:rsid w:val="57DB56AE"/>
    <w:rsid w:val="57E74053"/>
    <w:rsid w:val="57F1209E"/>
    <w:rsid w:val="57F42160"/>
    <w:rsid w:val="57F56770"/>
    <w:rsid w:val="57F624E8"/>
    <w:rsid w:val="57FD73D2"/>
    <w:rsid w:val="580469B3"/>
    <w:rsid w:val="58160494"/>
    <w:rsid w:val="581A61D6"/>
    <w:rsid w:val="581B3CFC"/>
    <w:rsid w:val="581F08EA"/>
    <w:rsid w:val="58201313"/>
    <w:rsid w:val="582C7CB7"/>
    <w:rsid w:val="582E3A30"/>
    <w:rsid w:val="58396EA8"/>
    <w:rsid w:val="583A0626"/>
    <w:rsid w:val="583D1EC5"/>
    <w:rsid w:val="583D3C73"/>
    <w:rsid w:val="584119B5"/>
    <w:rsid w:val="584C035A"/>
    <w:rsid w:val="58555460"/>
    <w:rsid w:val="586438F5"/>
    <w:rsid w:val="586E02D0"/>
    <w:rsid w:val="587832AB"/>
    <w:rsid w:val="587A0A23"/>
    <w:rsid w:val="587A6C75"/>
    <w:rsid w:val="588673C8"/>
    <w:rsid w:val="588B70D4"/>
    <w:rsid w:val="58900246"/>
    <w:rsid w:val="58935F89"/>
    <w:rsid w:val="589C09B9"/>
    <w:rsid w:val="58BA1767"/>
    <w:rsid w:val="58BC54DF"/>
    <w:rsid w:val="58C03626"/>
    <w:rsid w:val="58C6010C"/>
    <w:rsid w:val="58C919AA"/>
    <w:rsid w:val="58CE6FC1"/>
    <w:rsid w:val="58E42340"/>
    <w:rsid w:val="58E81E30"/>
    <w:rsid w:val="58E93DFA"/>
    <w:rsid w:val="58ED453A"/>
    <w:rsid w:val="58F06F37"/>
    <w:rsid w:val="58F20F01"/>
    <w:rsid w:val="58F22CAF"/>
    <w:rsid w:val="58F46A27"/>
    <w:rsid w:val="58F9403E"/>
    <w:rsid w:val="58FF717A"/>
    <w:rsid w:val="59066A61"/>
    <w:rsid w:val="590C382F"/>
    <w:rsid w:val="590D1897"/>
    <w:rsid w:val="59162E41"/>
    <w:rsid w:val="591C41D0"/>
    <w:rsid w:val="591C7D2C"/>
    <w:rsid w:val="59254E33"/>
    <w:rsid w:val="592D1D9B"/>
    <w:rsid w:val="59335011"/>
    <w:rsid w:val="593530FD"/>
    <w:rsid w:val="593943E0"/>
    <w:rsid w:val="593A6404"/>
    <w:rsid w:val="59414CCA"/>
    <w:rsid w:val="59462FFB"/>
    <w:rsid w:val="59464DA9"/>
    <w:rsid w:val="59487144"/>
    <w:rsid w:val="59505C28"/>
    <w:rsid w:val="596516D3"/>
    <w:rsid w:val="596F60AE"/>
    <w:rsid w:val="59723DF0"/>
    <w:rsid w:val="597933D0"/>
    <w:rsid w:val="5979517E"/>
    <w:rsid w:val="597A4A53"/>
    <w:rsid w:val="598853C1"/>
    <w:rsid w:val="598F6750"/>
    <w:rsid w:val="59927FEE"/>
    <w:rsid w:val="599975CF"/>
    <w:rsid w:val="599B50F5"/>
    <w:rsid w:val="599E4BE5"/>
    <w:rsid w:val="59AF294E"/>
    <w:rsid w:val="59B04512"/>
    <w:rsid w:val="59BA3148"/>
    <w:rsid w:val="59C3464B"/>
    <w:rsid w:val="59C53F20"/>
    <w:rsid w:val="59C77C98"/>
    <w:rsid w:val="59CA59DA"/>
    <w:rsid w:val="59D46859"/>
    <w:rsid w:val="59E60A34"/>
    <w:rsid w:val="59E92304"/>
    <w:rsid w:val="59EA1BD8"/>
    <w:rsid w:val="59EC5950"/>
    <w:rsid w:val="59FB3DE5"/>
    <w:rsid w:val="59FC215F"/>
    <w:rsid w:val="59FF38D6"/>
    <w:rsid w:val="5A0031AA"/>
    <w:rsid w:val="5A0233C6"/>
    <w:rsid w:val="5A12434D"/>
    <w:rsid w:val="5A13112F"/>
    <w:rsid w:val="5A1B7FE4"/>
    <w:rsid w:val="5A1F7AD4"/>
    <w:rsid w:val="5A3612C1"/>
    <w:rsid w:val="5A3A490E"/>
    <w:rsid w:val="5A3D61AC"/>
    <w:rsid w:val="5A3D7F5A"/>
    <w:rsid w:val="5A3F1F24"/>
    <w:rsid w:val="5A44578C"/>
    <w:rsid w:val="5A492DA3"/>
    <w:rsid w:val="5A582FE6"/>
    <w:rsid w:val="5A5F6122"/>
    <w:rsid w:val="5A6279C1"/>
    <w:rsid w:val="5A696FA1"/>
    <w:rsid w:val="5A71368C"/>
    <w:rsid w:val="5A753B98"/>
    <w:rsid w:val="5A7871E4"/>
    <w:rsid w:val="5A7A2F5C"/>
    <w:rsid w:val="5A7B164E"/>
    <w:rsid w:val="5A806F9A"/>
    <w:rsid w:val="5A8D7133"/>
    <w:rsid w:val="5A9A07E3"/>
    <w:rsid w:val="5AA93841"/>
    <w:rsid w:val="5AB67D0C"/>
    <w:rsid w:val="5ACB7C5C"/>
    <w:rsid w:val="5ACD5782"/>
    <w:rsid w:val="5AD308BE"/>
    <w:rsid w:val="5AD6146D"/>
    <w:rsid w:val="5AD61FA7"/>
    <w:rsid w:val="5AE8436A"/>
    <w:rsid w:val="5AEB3E5A"/>
    <w:rsid w:val="5AEB4000"/>
    <w:rsid w:val="5AEC372E"/>
    <w:rsid w:val="5AEE56F8"/>
    <w:rsid w:val="5AF2343A"/>
    <w:rsid w:val="5AFC5403"/>
    <w:rsid w:val="5B002643"/>
    <w:rsid w:val="5B084A0C"/>
    <w:rsid w:val="5B150ED7"/>
    <w:rsid w:val="5B164CCF"/>
    <w:rsid w:val="5B174C4F"/>
    <w:rsid w:val="5B1A029B"/>
    <w:rsid w:val="5B266C40"/>
    <w:rsid w:val="5B2B24A8"/>
    <w:rsid w:val="5B3550D5"/>
    <w:rsid w:val="5B3E21DC"/>
    <w:rsid w:val="5B595267"/>
    <w:rsid w:val="5B5C4D58"/>
    <w:rsid w:val="5B5E462C"/>
    <w:rsid w:val="5B6065F6"/>
    <w:rsid w:val="5B694D7F"/>
    <w:rsid w:val="5B77749C"/>
    <w:rsid w:val="5B7E082A"/>
    <w:rsid w:val="5B81656C"/>
    <w:rsid w:val="5B8A71CF"/>
    <w:rsid w:val="5B8D4F11"/>
    <w:rsid w:val="5B90055D"/>
    <w:rsid w:val="5B9067AF"/>
    <w:rsid w:val="5B914A01"/>
    <w:rsid w:val="5BA34735"/>
    <w:rsid w:val="5BB10BFF"/>
    <w:rsid w:val="5BB4249E"/>
    <w:rsid w:val="5BBB382C"/>
    <w:rsid w:val="5BBD57F6"/>
    <w:rsid w:val="5BC70423"/>
    <w:rsid w:val="5BCA1CC1"/>
    <w:rsid w:val="5BCF1086"/>
    <w:rsid w:val="5BE70AC5"/>
    <w:rsid w:val="5BF22FC6"/>
    <w:rsid w:val="5BFB00CD"/>
    <w:rsid w:val="5BFB1E7B"/>
    <w:rsid w:val="5BFE7BBD"/>
    <w:rsid w:val="5C007491"/>
    <w:rsid w:val="5C052CF9"/>
    <w:rsid w:val="5C07081F"/>
    <w:rsid w:val="5C0A0310"/>
    <w:rsid w:val="5C0A6562"/>
    <w:rsid w:val="5C0E77C9"/>
    <w:rsid w:val="5C221AFD"/>
    <w:rsid w:val="5C292E8C"/>
    <w:rsid w:val="5C2F421A"/>
    <w:rsid w:val="5C335AB8"/>
    <w:rsid w:val="5C361105"/>
    <w:rsid w:val="5C3B2BBF"/>
    <w:rsid w:val="5C441A74"/>
    <w:rsid w:val="5C451348"/>
    <w:rsid w:val="5C4C6B7A"/>
    <w:rsid w:val="5C501E18"/>
    <w:rsid w:val="5C50666A"/>
    <w:rsid w:val="5C58551F"/>
    <w:rsid w:val="5C5F065B"/>
    <w:rsid w:val="5C621EFA"/>
    <w:rsid w:val="5C6B34A4"/>
    <w:rsid w:val="5C7E485A"/>
    <w:rsid w:val="5C8E7193"/>
    <w:rsid w:val="5C966047"/>
    <w:rsid w:val="5CA40764"/>
    <w:rsid w:val="5CA97C7F"/>
    <w:rsid w:val="5CB1612F"/>
    <w:rsid w:val="5CC5085F"/>
    <w:rsid w:val="5CC74453"/>
    <w:rsid w:val="5CD01559"/>
    <w:rsid w:val="5CD56B70"/>
    <w:rsid w:val="5CD64696"/>
    <w:rsid w:val="5CD728E8"/>
    <w:rsid w:val="5CD8040E"/>
    <w:rsid w:val="5CE366FE"/>
    <w:rsid w:val="5CE648D9"/>
    <w:rsid w:val="5CEB6393"/>
    <w:rsid w:val="5CF3349A"/>
    <w:rsid w:val="5CFE60C6"/>
    <w:rsid w:val="5D015BB7"/>
    <w:rsid w:val="5D0336DD"/>
    <w:rsid w:val="5D060992"/>
    <w:rsid w:val="5D07484F"/>
    <w:rsid w:val="5D086F45"/>
    <w:rsid w:val="5D131446"/>
    <w:rsid w:val="5D192F00"/>
    <w:rsid w:val="5D1C02FB"/>
    <w:rsid w:val="5D1E0517"/>
    <w:rsid w:val="5D2C0F26"/>
    <w:rsid w:val="5D2E6280"/>
    <w:rsid w:val="5D352289"/>
    <w:rsid w:val="5D3D64C3"/>
    <w:rsid w:val="5D494E68"/>
    <w:rsid w:val="5D4B0BE0"/>
    <w:rsid w:val="5D4F6922"/>
    <w:rsid w:val="5D535CE6"/>
    <w:rsid w:val="5D543F38"/>
    <w:rsid w:val="5D5850AB"/>
    <w:rsid w:val="5D5C68C4"/>
    <w:rsid w:val="5D5D7D54"/>
    <w:rsid w:val="5D610403"/>
    <w:rsid w:val="5D6D6DA8"/>
    <w:rsid w:val="5D79752D"/>
    <w:rsid w:val="5D7F0889"/>
    <w:rsid w:val="5D8440F2"/>
    <w:rsid w:val="5D8D11F8"/>
    <w:rsid w:val="5D9C6476"/>
    <w:rsid w:val="5DA30A1C"/>
    <w:rsid w:val="5DB06C95"/>
    <w:rsid w:val="5DB20C5F"/>
    <w:rsid w:val="5DB26EB1"/>
    <w:rsid w:val="5DB669A1"/>
    <w:rsid w:val="5DBB5D65"/>
    <w:rsid w:val="5DC15346"/>
    <w:rsid w:val="5DC475E1"/>
    <w:rsid w:val="5DDB6408"/>
    <w:rsid w:val="5DDD2180"/>
    <w:rsid w:val="5DE4797B"/>
    <w:rsid w:val="5DEA03F9"/>
    <w:rsid w:val="5DF474C9"/>
    <w:rsid w:val="5E023994"/>
    <w:rsid w:val="5E0A2849"/>
    <w:rsid w:val="5E145476"/>
    <w:rsid w:val="5E190CDE"/>
    <w:rsid w:val="5E280F21"/>
    <w:rsid w:val="5E48511F"/>
    <w:rsid w:val="5E4E4E2C"/>
    <w:rsid w:val="5E532442"/>
    <w:rsid w:val="5E68756F"/>
    <w:rsid w:val="5E710B1A"/>
    <w:rsid w:val="5E745F14"/>
    <w:rsid w:val="5E7A23D3"/>
    <w:rsid w:val="5E9B7945"/>
    <w:rsid w:val="5EA06D09"/>
    <w:rsid w:val="5EA20CD3"/>
    <w:rsid w:val="5EA44A4C"/>
    <w:rsid w:val="5EA52572"/>
    <w:rsid w:val="5EA762EA"/>
    <w:rsid w:val="5EAC1B52"/>
    <w:rsid w:val="5EB36A3D"/>
    <w:rsid w:val="5EBA426F"/>
    <w:rsid w:val="5EC23124"/>
    <w:rsid w:val="5EC549C2"/>
    <w:rsid w:val="5EC62C14"/>
    <w:rsid w:val="5ED05841"/>
    <w:rsid w:val="5EDA221B"/>
    <w:rsid w:val="5EE44E48"/>
    <w:rsid w:val="5EE906B0"/>
    <w:rsid w:val="5EEB4428"/>
    <w:rsid w:val="5EF97984"/>
    <w:rsid w:val="5EFF1C82"/>
    <w:rsid w:val="5F1020E1"/>
    <w:rsid w:val="5F17346F"/>
    <w:rsid w:val="5F1D47FE"/>
    <w:rsid w:val="5F1F2324"/>
    <w:rsid w:val="5F2D2C93"/>
    <w:rsid w:val="5F304531"/>
    <w:rsid w:val="5F322057"/>
    <w:rsid w:val="5F3833E6"/>
    <w:rsid w:val="5F38637A"/>
    <w:rsid w:val="5F3A775F"/>
    <w:rsid w:val="5F4678B1"/>
    <w:rsid w:val="5F487ACD"/>
    <w:rsid w:val="5F4E6765"/>
    <w:rsid w:val="5F572AB8"/>
    <w:rsid w:val="5F5C5326"/>
    <w:rsid w:val="5F5F0972"/>
    <w:rsid w:val="5F720B41"/>
    <w:rsid w:val="5F742670"/>
    <w:rsid w:val="5F85487D"/>
    <w:rsid w:val="5F8623A3"/>
    <w:rsid w:val="5F97010C"/>
    <w:rsid w:val="5F9745B0"/>
    <w:rsid w:val="5FA34D03"/>
    <w:rsid w:val="5FA62A45"/>
    <w:rsid w:val="5FA82319"/>
    <w:rsid w:val="5FB05672"/>
    <w:rsid w:val="5FB07420"/>
    <w:rsid w:val="5FB52C88"/>
    <w:rsid w:val="5FC26A78"/>
    <w:rsid w:val="5FC627A0"/>
    <w:rsid w:val="5FD0361E"/>
    <w:rsid w:val="5FD255E8"/>
    <w:rsid w:val="5FD4310E"/>
    <w:rsid w:val="5FE315A4"/>
    <w:rsid w:val="5FE578CB"/>
    <w:rsid w:val="5FFA4E12"/>
    <w:rsid w:val="5FFE018B"/>
    <w:rsid w:val="60073272"/>
    <w:rsid w:val="60145C01"/>
    <w:rsid w:val="602045A6"/>
    <w:rsid w:val="6022031E"/>
    <w:rsid w:val="60225BBE"/>
    <w:rsid w:val="60234096"/>
    <w:rsid w:val="602776E2"/>
    <w:rsid w:val="60285208"/>
    <w:rsid w:val="602F356E"/>
    <w:rsid w:val="602F6597"/>
    <w:rsid w:val="6031230F"/>
    <w:rsid w:val="603242D9"/>
    <w:rsid w:val="60326087"/>
    <w:rsid w:val="6042276E"/>
    <w:rsid w:val="604858AA"/>
    <w:rsid w:val="604D4C6F"/>
    <w:rsid w:val="604F09E7"/>
    <w:rsid w:val="605204D7"/>
    <w:rsid w:val="605D3104"/>
    <w:rsid w:val="606C3347"/>
    <w:rsid w:val="607448F1"/>
    <w:rsid w:val="60765F74"/>
    <w:rsid w:val="60784941"/>
    <w:rsid w:val="60786190"/>
    <w:rsid w:val="60885CA7"/>
    <w:rsid w:val="608D150F"/>
    <w:rsid w:val="60996106"/>
    <w:rsid w:val="609B3C2C"/>
    <w:rsid w:val="60A21B08"/>
    <w:rsid w:val="60B116A2"/>
    <w:rsid w:val="60C005D9"/>
    <w:rsid w:val="60D1764E"/>
    <w:rsid w:val="60D61108"/>
    <w:rsid w:val="60D62EB6"/>
    <w:rsid w:val="60DF620F"/>
    <w:rsid w:val="60FD0443"/>
    <w:rsid w:val="610B0DB2"/>
    <w:rsid w:val="61120392"/>
    <w:rsid w:val="611759A9"/>
    <w:rsid w:val="611F2AAF"/>
    <w:rsid w:val="61241F6D"/>
    <w:rsid w:val="6129748A"/>
    <w:rsid w:val="613A3445"/>
    <w:rsid w:val="614147D4"/>
    <w:rsid w:val="6142054C"/>
    <w:rsid w:val="614B11AE"/>
    <w:rsid w:val="614B38A4"/>
    <w:rsid w:val="614B7400"/>
    <w:rsid w:val="615774DD"/>
    <w:rsid w:val="615D5386"/>
    <w:rsid w:val="6162299C"/>
    <w:rsid w:val="61630BEE"/>
    <w:rsid w:val="616C7377"/>
    <w:rsid w:val="616E1341"/>
    <w:rsid w:val="61707DCC"/>
    <w:rsid w:val="61774699"/>
    <w:rsid w:val="61785D1C"/>
    <w:rsid w:val="61813BF8"/>
    <w:rsid w:val="618337CB"/>
    <w:rsid w:val="618B3CA1"/>
    <w:rsid w:val="618D7A19"/>
    <w:rsid w:val="61A905CB"/>
    <w:rsid w:val="61B41449"/>
    <w:rsid w:val="61BA4586"/>
    <w:rsid w:val="61C176C2"/>
    <w:rsid w:val="61DE64C6"/>
    <w:rsid w:val="61E810F3"/>
    <w:rsid w:val="61EF4230"/>
    <w:rsid w:val="61FA4982"/>
    <w:rsid w:val="61FC4B9F"/>
    <w:rsid w:val="62037CDB"/>
    <w:rsid w:val="6205686C"/>
    <w:rsid w:val="620677CB"/>
    <w:rsid w:val="62143C96"/>
    <w:rsid w:val="622C3BBB"/>
    <w:rsid w:val="622C5484"/>
    <w:rsid w:val="623936FD"/>
    <w:rsid w:val="623954AB"/>
    <w:rsid w:val="62467BC8"/>
    <w:rsid w:val="624A590A"/>
    <w:rsid w:val="6260512D"/>
    <w:rsid w:val="6263077A"/>
    <w:rsid w:val="62650996"/>
    <w:rsid w:val="626562A0"/>
    <w:rsid w:val="626A7C77"/>
    <w:rsid w:val="626F711E"/>
    <w:rsid w:val="62740BD9"/>
    <w:rsid w:val="627E55B4"/>
    <w:rsid w:val="6280757E"/>
    <w:rsid w:val="62886432"/>
    <w:rsid w:val="628C1A7E"/>
    <w:rsid w:val="628D2CF3"/>
    <w:rsid w:val="628D57F7"/>
    <w:rsid w:val="628F77C1"/>
    <w:rsid w:val="62944DD7"/>
    <w:rsid w:val="62A910B8"/>
    <w:rsid w:val="62AF7E63"/>
    <w:rsid w:val="62B56ACB"/>
    <w:rsid w:val="62B611F1"/>
    <w:rsid w:val="62B965EC"/>
    <w:rsid w:val="62BD2580"/>
    <w:rsid w:val="62C92CD3"/>
    <w:rsid w:val="62CA25A7"/>
    <w:rsid w:val="62CC27C3"/>
    <w:rsid w:val="62CD2097"/>
    <w:rsid w:val="62CF4061"/>
    <w:rsid w:val="62D022B3"/>
    <w:rsid w:val="62D502BE"/>
    <w:rsid w:val="62DD677E"/>
    <w:rsid w:val="62E713AB"/>
    <w:rsid w:val="62EC4C13"/>
    <w:rsid w:val="62F15D85"/>
    <w:rsid w:val="62F45876"/>
    <w:rsid w:val="62F53AC8"/>
    <w:rsid w:val="631877B6"/>
    <w:rsid w:val="631A52DC"/>
    <w:rsid w:val="631B2E02"/>
    <w:rsid w:val="63286425"/>
    <w:rsid w:val="632D1FE0"/>
    <w:rsid w:val="63302D52"/>
    <w:rsid w:val="633B16F7"/>
    <w:rsid w:val="63424833"/>
    <w:rsid w:val="63453DA3"/>
    <w:rsid w:val="634C56B2"/>
    <w:rsid w:val="63520F1A"/>
    <w:rsid w:val="635B58F5"/>
    <w:rsid w:val="635D78BF"/>
    <w:rsid w:val="635F3637"/>
    <w:rsid w:val="63676048"/>
    <w:rsid w:val="63691DC0"/>
    <w:rsid w:val="637349EC"/>
    <w:rsid w:val="63770981"/>
    <w:rsid w:val="63894210"/>
    <w:rsid w:val="639257BA"/>
    <w:rsid w:val="63984453"/>
    <w:rsid w:val="639A466F"/>
    <w:rsid w:val="639A7676"/>
    <w:rsid w:val="639B1D7D"/>
    <w:rsid w:val="63B15515"/>
    <w:rsid w:val="63B75221"/>
    <w:rsid w:val="63B82D47"/>
    <w:rsid w:val="63BC2837"/>
    <w:rsid w:val="63BF40D6"/>
    <w:rsid w:val="63C94F54"/>
    <w:rsid w:val="63CB5649"/>
    <w:rsid w:val="63D27965"/>
    <w:rsid w:val="63D300FF"/>
    <w:rsid w:val="63D57455"/>
    <w:rsid w:val="63E36016"/>
    <w:rsid w:val="63E91153"/>
    <w:rsid w:val="63ED479F"/>
    <w:rsid w:val="63F109D0"/>
    <w:rsid w:val="640815D9"/>
    <w:rsid w:val="641206A9"/>
    <w:rsid w:val="64144421"/>
    <w:rsid w:val="641C5084"/>
    <w:rsid w:val="641F4B74"/>
    <w:rsid w:val="64243F39"/>
    <w:rsid w:val="64371EBE"/>
    <w:rsid w:val="643C5726"/>
    <w:rsid w:val="64430863"/>
    <w:rsid w:val="64540CC2"/>
    <w:rsid w:val="64556D18"/>
    <w:rsid w:val="645D39F0"/>
    <w:rsid w:val="646507D9"/>
    <w:rsid w:val="646627A3"/>
    <w:rsid w:val="64682077"/>
    <w:rsid w:val="646F1658"/>
    <w:rsid w:val="647153D0"/>
    <w:rsid w:val="647924D6"/>
    <w:rsid w:val="647E189B"/>
    <w:rsid w:val="6481138B"/>
    <w:rsid w:val="648275DD"/>
    <w:rsid w:val="64882719"/>
    <w:rsid w:val="64915A72"/>
    <w:rsid w:val="64923598"/>
    <w:rsid w:val="64A05CB5"/>
    <w:rsid w:val="64A77044"/>
    <w:rsid w:val="64B96D77"/>
    <w:rsid w:val="64C80D68"/>
    <w:rsid w:val="64CC2606"/>
    <w:rsid w:val="64CE1249"/>
    <w:rsid w:val="64D140C0"/>
    <w:rsid w:val="64D911C7"/>
    <w:rsid w:val="64DD2A65"/>
    <w:rsid w:val="64E5191A"/>
    <w:rsid w:val="64E75692"/>
    <w:rsid w:val="64EA33D4"/>
    <w:rsid w:val="64F63B27"/>
    <w:rsid w:val="64FE478A"/>
    <w:rsid w:val="65055B18"/>
    <w:rsid w:val="650C6351"/>
    <w:rsid w:val="651421FF"/>
    <w:rsid w:val="65150451"/>
    <w:rsid w:val="652E1513"/>
    <w:rsid w:val="6530528B"/>
    <w:rsid w:val="65315DB8"/>
    <w:rsid w:val="653528A1"/>
    <w:rsid w:val="65384140"/>
    <w:rsid w:val="65385EEE"/>
    <w:rsid w:val="653B3C30"/>
    <w:rsid w:val="653E102A"/>
    <w:rsid w:val="653F54CE"/>
    <w:rsid w:val="65442AE4"/>
    <w:rsid w:val="654E25D6"/>
    <w:rsid w:val="65501489"/>
    <w:rsid w:val="65554CF2"/>
    <w:rsid w:val="656071F2"/>
    <w:rsid w:val="656C3DE9"/>
    <w:rsid w:val="656D7CB5"/>
    <w:rsid w:val="657131AE"/>
    <w:rsid w:val="65735178"/>
    <w:rsid w:val="65736F26"/>
    <w:rsid w:val="657700A1"/>
    <w:rsid w:val="658C7FE7"/>
    <w:rsid w:val="65907AD8"/>
    <w:rsid w:val="659375C8"/>
    <w:rsid w:val="65982E30"/>
    <w:rsid w:val="65A417D5"/>
    <w:rsid w:val="65AB2B63"/>
    <w:rsid w:val="65B80DDC"/>
    <w:rsid w:val="65C13D88"/>
    <w:rsid w:val="65DC2D1D"/>
    <w:rsid w:val="65E6594A"/>
    <w:rsid w:val="65ED6CD8"/>
    <w:rsid w:val="65F31BDB"/>
    <w:rsid w:val="660B1854"/>
    <w:rsid w:val="660D2ED6"/>
    <w:rsid w:val="66104CAF"/>
    <w:rsid w:val="6626043C"/>
    <w:rsid w:val="66291CDA"/>
    <w:rsid w:val="66327BF7"/>
    <w:rsid w:val="66372649"/>
    <w:rsid w:val="6655552E"/>
    <w:rsid w:val="66577444"/>
    <w:rsid w:val="665E2085"/>
    <w:rsid w:val="665E5BD6"/>
    <w:rsid w:val="66611474"/>
    <w:rsid w:val="66613222"/>
    <w:rsid w:val="6663343E"/>
    <w:rsid w:val="66644AC0"/>
    <w:rsid w:val="667016B7"/>
    <w:rsid w:val="66754F1F"/>
    <w:rsid w:val="668F4233"/>
    <w:rsid w:val="6694184A"/>
    <w:rsid w:val="669453A6"/>
    <w:rsid w:val="66967370"/>
    <w:rsid w:val="669B2BD8"/>
    <w:rsid w:val="669E73DD"/>
    <w:rsid w:val="669E7FD2"/>
    <w:rsid w:val="66AA4BC9"/>
    <w:rsid w:val="66B477F6"/>
    <w:rsid w:val="66BC66AA"/>
    <w:rsid w:val="66CF2882"/>
    <w:rsid w:val="66D659BE"/>
    <w:rsid w:val="66DE4873"/>
    <w:rsid w:val="66E8749F"/>
    <w:rsid w:val="66EC6F90"/>
    <w:rsid w:val="66ED2D08"/>
    <w:rsid w:val="66F45E44"/>
    <w:rsid w:val="66F95B50"/>
    <w:rsid w:val="67065B78"/>
    <w:rsid w:val="670F7122"/>
    <w:rsid w:val="67146646"/>
    <w:rsid w:val="67191D4F"/>
    <w:rsid w:val="67226B5E"/>
    <w:rsid w:val="672506F4"/>
    <w:rsid w:val="67281F92"/>
    <w:rsid w:val="673D77EB"/>
    <w:rsid w:val="674548F2"/>
    <w:rsid w:val="675039C2"/>
    <w:rsid w:val="6764121C"/>
    <w:rsid w:val="67696832"/>
    <w:rsid w:val="677671A1"/>
    <w:rsid w:val="6779459B"/>
    <w:rsid w:val="677D22DE"/>
    <w:rsid w:val="677F6056"/>
    <w:rsid w:val="678216A2"/>
    <w:rsid w:val="6784366C"/>
    <w:rsid w:val="679118E5"/>
    <w:rsid w:val="67992D01"/>
    <w:rsid w:val="679D472E"/>
    <w:rsid w:val="679F4002"/>
    <w:rsid w:val="67A21D44"/>
    <w:rsid w:val="67A376E5"/>
    <w:rsid w:val="67A55390"/>
    <w:rsid w:val="67A71109"/>
    <w:rsid w:val="67AC671F"/>
    <w:rsid w:val="67B6759E"/>
    <w:rsid w:val="67BC1058"/>
    <w:rsid w:val="67C223E6"/>
    <w:rsid w:val="67C65A33"/>
    <w:rsid w:val="67D0065F"/>
    <w:rsid w:val="67DA14DE"/>
    <w:rsid w:val="67DB0DB2"/>
    <w:rsid w:val="67DC5256"/>
    <w:rsid w:val="67E73BFB"/>
    <w:rsid w:val="67E934CF"/>
    <w:rsid w:val="67EE0F29"/>
    <w:rsid w:val="67EE31DB"/>
    <w:rsid w:val="67F0048D"/>
    <w:rsid w:val="6808604B"/>
    <w:rsid w:val="68091DC3"/>
    <w:rsid w:val="680E73DA"/>
    <w:rsid w:val="681542C4"/>
    <w:rsid w:val="681A5D7E"/>
    <w:rsid w:val="681B5EBA"/>
    <w:rsid w:val="68232E85"/>
    <w:rsid w:val="682C160E"/>
    <w:rsid w:val="682D666D"/>
    <w:rsid w:val="68324E76"/>
    <w:rsid w:val="6841330B"/>
    <w:rsid w:val="684150B9"/>
    <w:rsid w:val="68440610"/>
    <w:rsid w:val="68476448"/>
    <w:rsid w:val="68490412"/>
    <w:rsid w:val="684D7F02"/>
    <w:rsid w:val="685473E8"/>
    <w:rsid w:val="685A261F"/>
    <w:rsid w:val="68617509"/>
    <w:rsid w:val="686554F2"/>
    <w:rsid w:val="68680898"/>
    <w:rsid w:val="68774F7F"/>
    <w:rsid w:val="68790CF7"/>
    <w:rsid w:val="68815DFE"/>
    <w:rsid w:val="688A2F04"/>
    <w:rsid w:val="688A4CB2"/>
    <w:rsid w:val="68923B67"/>
    <w:rsid w:val="68A5389A"/>
    <w:rsid w:val="68A662B1"/>
    <w:rsid w:val="68AB4C28"/>
    <w:rsid w:val="68B43ADD"/>
    <w:rsid w:val="68B910F3"/>
    <w:rsid w:val="68BE2BAE"/>
    <w:rsid w:val="68D20407"/>
    <w:rsid w:val="68DE0B5A"/>
    <w:rsid w:val="68E5013A"/>
    <w:rsid w:val="68E72104"/>
    <w:rsid w:val="68F640F6"/>
    <w:rsid w:val="68F77E6E"/>
    <w:rsid w:val="690305C1"/>
    <w:rsid w:val="69074555"/>
    <w:rsid w:val="690802CD"/>
    <w:rsid w:val="690F3409"/>
    <w:rsid w:val="691427CE"/>
    <w:rsid w:val="691602F4"/>
    <w:rsid w:val="691D5B26"/>
    <w:rsid w:val="69224EEB"/>
    <w:rsid w:val="69256789"/>
    <w:rsid w:val="693764BC"/>
    <w:rsid w:val="694035C3"/>
    <w:rsid w:val="69431305"/>
    <w:rsid w:val="694A2693"/>
    <w:rsid w:val="694F1A58"/>
    <w:rsid w:val="69511DC2"/>
    <w:rsid w:val="697B45FB"/>
    <w:rsid w:val="697F233D"/>
    <w:rsid w:val="69823BDB"/>
    <w:rsid w:val="69894F6A"/>
    <w:rsid w:val="698E432E"/>
    <w:rsid w:val="699102C2"/>
    <w:rsid w:val="69913E1E"/>
    <w:rsid w:val="699456BD"/>
    <w:rsid w:val="699B6A4B"/>
    <w:rsid w:val="699F478D"/>
    <w:rsid w:val="69A3389D"/>
    <w:rsid w:val="69A753F0"/>
    <w:rsid w:val="69AF24F6"/>
    <w:rsid w:val="69B57571"/>
    <w:rsid w:val="69B61AD7"/>
    <w:rsid w:val="69BF098B"/>
    <w:rsid w:val="69BF42E1"/>
    <w:rsid w:val="69C45FA2"/>
    <w:rsid w:val="69CE2946"/>
    <w:rsid w:val="69D361E5"/>
    <w:rsid w:val="69D41F5D"/>
    <w:rsid w:val="69E44896"/>
    <w:rsid w:val="69EB1780"/>
    <w:rsid w:val="69EB79D2"/>
    <w:rsid w:val="69EC72A7"/>
    <w:rsid w:val="69F06D97"/>
    <w:rsid w:val="69FA19C4"/>
    <w:rsid w:val="6A0445F0"/>
    <w:rsid w:val="6A091B20"/>
    <w:rsid w:val="6A0942FC"/>
    <w:rsid w:val="6A0F7894"/>
    <w:rsid w:val="6A1011E7"/>
    <w:rsid w:val="6A114F5F"/>
    <w:rsid w:val="6A366774"/>
    <w:rsid w:val="6A38073E"/>
    <w:rsid w:val="6A464C09"/>
    <w:rsid w:val="6A503CD9"/>
    <w:rsid w:val="6A5512F0"/>
    <w:rsid w:val="6A5F3F1C"/>
    <w:rsid w:val="6A615EE7"/>
    <w:rsid w:val="6A617C95"/>
    <w:rsid w:val="6A675E13"/>
    <w:rsid w:val="6A7723CC"/>
    <w:rsid w:val="6A7C062B"/>
    <w:rsid w:val="6A7F636D"/>
    <w:rsid w:val="6A813E93"/>
    <w:rsid w:val="6A863F6D"/>
    <w:rsid w:val="6A876FCF"/>
    <w:rsid w:val="6A9F7B0C"/>
    <w:rsid w:val="6AA61B4B"/>
    <w:rsid w:val="6AAB53B4"/>
    <w:rsid w:val="6AAB7162"/>
    <w:rsid w:val="6AAD2EDA"/>
    <w:rsid w:val="6AB029CA"/>
    <w:rsid w:val="6AB26742"/>
    <w:rsid w:val="6AB71FCC"/>
    <w:rsid w:val="6ABA1153"/>
    <w:rsid w:val="6AC00E5F"/>
    <w:rsid w:val="6AC344AB"/>
    <w:rsid w:val="6ACB3360"/>
    <w:rsid w:val="6ACF2E50"/>
    <w:rsid w:val="6AD06BC8"/>
    <w:rsid w:val="6AD14E1A"/>
    <w:rsid w:val="6AD33846"/>
    <w:rsid w:val="6ADB0EB1"/>
    <w:rsid w:val="6ADF0BB9"/>
    <w:rsid w:val="6AE13436"/>
    <w:rsid w:val="6AE368FC"/>
    <w:rsid w:val="6AEB755E"/>
    <w:rsid w:val="6AEF704E"/>
    <w:rsid w:val="6AF40B09"/>
    <w:rsid w:val="6AF428B7"/>
    <w:rsid w:val="6AF91C7B"/>
    <w:rsid w:val="6B032AFA"/>
    <w:rsid w:val="6B0625EA"/>
    <w:rsid w:val="6B076BA0"/>
    <w:rsid w:val="6B080110"/>
    <w:rsid w:val="6B0A032C"/>
    <w:rsid w:val="6B113469"/>
    <w:rsid w:val="6B1E16E2"/>
    <w:rsid w:val="6B250CC2"/>
    <w:rsid w:val="6B2F1B41"/>
    <w:rsid w:val="6B340F05"/>
    <w:rsid w:val="6B39476E"/>
    <w:rsid w:val="6B3C600C"/>
    <w:rsid w:val="6B3C7DBA"/>
    <w:rsid w:val="6B4355EC"/>
    <w:rsid w:val="6B466BDF"/>
    <w:rsid w:val="6B4849B1"/>
    <w:rsid w:val="6B513865"/>
    <w:rsid w:val="6B5222C8"/>
    <w:rsid w:val="6B7E4876"/>
    <w:rsid w:val="6B945E48"/>
    <w:rsid w:val="6B95409A"/>
    <w:rsid w:val="6BA047ED"/>
    <w:rsid w:val="6BAE515B"/>
    <w:rsid w:val="6BB32772"/>
    <w:rsid w:val="6BB64010"/>
    <w:rsid w:val="6BBD463B"/>
    <w:rsid w:val="6BBF2EC5"/>
    <w:rsid w:val="6BBF4AB8"/>
    <w:rsid w:val="6BCC3834"/>
    <w:rsid w:val="6BCE135A"/>
    <w:rsid w:val="6BD46244"/>
    <w:rsid w:val="6BD526E8"/>
    <w:rsid w:val="6BDB75D3"/>
    <w:rsid w:val="6BDF5315"/>
    <w:rsid w:val="6BE446D9"/>
    <w:rsid w:val="6BE96194"/>
    <w:rsid w:val="6BF56C52"/>
    <w:rsid w:val="6C022DB1"/>
    <w:rsid w:val="6C07661A"/>
    <w:rsid w:val="6C136D6D"/>
    <w:rsid w:val="6C172D01"/>
    <w:rsid w:val="6C1C0317"/>
    <w:rsid w:val="6C20148A"/>
    <w:rsid w:val="6C264CF2"/>
    <w:rsid w:val="6C30791F"/>
    <w:rsid w:val="6C382C77"/>
    <w:rsid w:val="6C3C2767"/>
    <w:rsid w:val="6C474C68"/>
    <w:rsid w:val="6C4B6506"/>
    <w:rsid w:val="6C53185F"/>
    <w:rsid w:val="6C580C23"/>
    <w:rsid w:val="6C5F6F46"/>
    <w:rsid w:val="6C624813"/>
    <w:rsid w:val="6C6D2921"/>
    <w:rsid w:val="6C755C79"/>
    <w:rsid w:val="6C7A6DEC"/>
    <w:rsid w:val="6C7C0E13"/>
    <w:rsid w:val="6C865790"/>
    <w:rsid w:val="6C8859AD"/>
    <w:rsid w:val="6C8E2897"/>
    <w:rsid w:val="6C924135"/>
    <w:rsid w:val="6C97174C"/>
    <w:rsid w:val="6C983716"/>
    <w:rsid w:val="6CAB3449"/>
    <w:rsid w:val="6CB00A5F"/>
    <w:rsid w:val="6CB665FF"/>
    <w:rsid w:val="6CBC5656"/>
    <w:rsid w:val="6CC8224D"/>
    <w:rsid w:val="6CCC2A28"/>
    <w:rsid w:val="6CCC33F6"/>
    <w:rsid w:val="6CCD5C3E"/>
    <w:rsid w:val="6CCD7863"/>
    <w:rsid w:val="6CCE7137"/>
    <w:rsid w:val="6CE8644B"/>
    <w:rsid w:val="6CF05300"/>
    <w:rsid w:val="6CF070AE"/>
    <w:rsid w:val="6CF90658"/>
    <w:rsid w:val="6D033285"/>
    <w:rsid w:val="6D0668D1"/>
    <w:rsid w:val="6D1234C8"/>
    <w:rsid w:val="6D147240"/>
    <w:rsid w:val="6D194A59"/>
    <w:rsid w:val="6D1A237D"/>
    <w:rsid w:val="6D4B2536"/>
    <w:rsid w:val="6D535DD6"/>
    <w:rsid w:val="6D566DCE"/>
    <w:rsid w:val="6D567859"/>
    <w:rsid w:val="6D5940FE"/>
    <w:rsid w:val="6D5C5AB8"/>
    <w:rsid w:val="6D5E04BB"/>
    <w:rsid w:val="6D611D5A"/>
    <w:rsid w:val="6D741A8D"/>
    <w:rsid w:val="6D780CD8"/>
    <w:rsid w:val="6D806684"/>
    <w:rsid w:val="6D855A48"/>
    <w:rsid w:val="6D8A5754"/>
    <w:rsid w:val="6D8F68C7"/>
    <w:rsid w:val="6D9263B7"/>
    <w:rsid w:val="6DA560EA"/>
    <w:rsid w:val="6DA700B4"/>
    <w:rsid w:val="6DAA3701"/>
    <w:rsid w:val="6DAC56CB"/>
    <w:rsid w:val="6DB4457F"/>
    <w:rsid w:val="6DB8406F"/>
    <w:rsid w:val="6DB85E1E"/>
    <w:rsid w:val="6DC24EEE"/>
    <w:rsid w:val="6DD54C21"/>
    <w:rsid w:val="6DDB1B0C"/>
    <w:rsid w:val="6DDD7632"/>
    <w:rsid w:val="6DEE7A91"/>
    <w:rsid w:val="6DEF7365"/>
    <w:rsid w:val="6E070B53"/>
    <w:rsid w:val="6E0E3C8F"/>
    <w:rsid w:val="6E113780"/>
    <w:rsid w:val="6E22773B"/>
    <w:rsid w:val="6E276AFF"/>
    <w:rsid w:val="6E2C05BA"/>
    <w:rsid w:val="6E3A2CD6"/>
    <w:rsid w:val="6E3A4A84"/>
    <w:rsid w:val="6E427DDD"/>
    <w:rsid w:val="6E445903"/>
    <w:rsid w:val="6E453429"/>
    <w:rsid w:val="6E4A4335"/>
    <w:rsid w:val="6E4E0530"/>
    <w:rsid w:val="6E4F6056"/>
    <w:rsid w:val="6E5518BE"/>
    <w:rsid w:val="6E571373"/>
    <w:rsid w:val="6E5813AF"/>
    <w:rsid w:val="6E5B49FB"/>
    <w:rsid w:val="6E5F273D"/>
    <w:rsid w:val="6E6E0BD2"/>
    <w:rsid w:val="6E777A87"/>
    <w:rsid w:val="6E7A30D3"/>
    <w:rsid w:val="6E91733B"/>
    <w:rsid w:val="6E922B12"/>
    <w:rsid w:val="6E9248C1"/>
    <w:rsid w:val="6E9A19C7"/>
    <w:rsid w:val="6EA14B04"/>
    <w:rsid w:val="6EA445F4"/>
    <w:rsid w:val="6EA559DC"/>
    <w:rsid w:val="6EB365E5"/>
    <w:rsid w:val="6EBF142E"/>
    <w:rsid w:val="6EC46A44"/>
    <w:rsid w:val="6EC9405A"/>
    <w:rsid w:val="6ED00F45"/>
    <w:rsid w:val="6ED30A35"/>
    <w:rsid w:val="6EDF387E"/>
    <w:rsid w:val="6EE92007"/>
    <w:rsid w:val="6EEA46FD"/>
    <w:rsid w:val="6EEF1D13"/>
    <w:rsid w:val="6EF07839"/>
    <w:rsid w:val="6EF32E85"/>
    <w:rsid w:val="6EFC7F8C"/>
    <w:rsid w:val="6F0155A2"/>
    <w:rsid w:val="6F084B83"/>
    <w:rsid w:val="6F0E7CBF"/>
    <w:rsid w:val="6F125A01"/>
    <w:rsid w:val="6F176B74"/>
    <w:rsid w:val="6F1E6154"/>
    <w:rsid w:val="6F265009"/>
    <w:rsid w:val="6F280D81"/>
    <w:rsid w:val="6F2A4AF9"/>
    <w:rsid w:val="6F2B0871"/>
    <w:rsid w:val="6F305E09"/>
    <w:rsid w:val="6F3516F0"/>
    <w:rsid w:val="6F370FC4"/>
    <w:rsid w:val="6F3E7958"/>
    <w:rsid w:val="6F40431D"/>
    <w:rsid w:val="6F556011"/>
    <w:rsid w:val="6F5E29F5"/>
    <w:rsid w:val="6F63000B"/>
    <w:rsid w:val="6F795A80"/>
    <w:rsid w:val="6F7B5355"/>
    <w:rsid w:val="6F7E6BF3"/>
    <w:rsid w:val="6F991C7F"/>
    <w:rsid w:val="6F9B77A5"/>
    <w:rsid w:val="6FA0300D"/>
    <w:rsid w:val="6FA75CB0"/>
    <w:rsid w:val="6FBB0FBA"/>
    <w:rsid w:val="6FC22F83"/>
    <w:rsid w:val="6FD07D18"/>
    <w:rsid w:val="6FD809F9"/>
    <w:rsid w:val="6FDD600F"/>
    <w:rsid w:val="6FE47157"/>
    <w:rsid w:val="6FE54EC4"/>
    <w:rsid w:val="6FE74798"/>
    <w:rsid w:val="6FED5B27"/>
    <w:rsid w:val="6FF15617"/>
    <w:rsid w:val="6FF84353"/>
    <w:rsid w:val="6FFD045F"/>
    <w:rsid w:val="70025A76"/>
    <w:rsid w:val="700B74D8"/>
    <w:rsid w:val="701337DF"/>
    <w:rsid w:val="702F613F"/>
    <w:rsid w:val="70335C2F"/>
    <w:rsid w:val="703F45D4"/>
    <w:rsid w:val="70422316"/>
    <w:rsid w:val="704863BD"/>
    <w:rsid w:val="704D21FD"/>
    <w:rsid w:val="70585696"/>
    <w:rsid w:val="705B6F34"/>
    <w:rsid w:val="705D2CAC"/>
    <w:rsid w:val="70674864"/>
    <w:rsid w:val="706F478E"/>
    <w:rsid w:val="707D4CAC"/>
    <w:rsid w:val="70853FB1"/>
    <w:rsid w:val="70891CF3"/>
    <w:rsid w:val="70893AA1"/>
    <w:rsid w:val="708C3591"/>
    <w:rsid w:val="708F6088"/>
    <w:rsid w:val="70903082"/>
    <w:rsid w:val="709F1E24"/>
    <w:rsid w:val="70A00DEB"/>
    <w:rsid w:val="70A1528F"/>
    <w:rsid w:val="70A1703D"/>
    <w:rsid w:val="70A85096"/>
    <w:rsid w:val="70A97C9F"/>
    <w:rsid w:val="70B623BC"/>
    <w:rsid w:val="70C40F7D"/>
    <w:rsid w:val="70C44AD9"/>
    <w:rsid w:val="70D016D0"/>
    <w:rsid w:val="70D56CE6"/>
    <w:rsid w:val="70D80585"/>
    <w:rsid w:val="70DC1E23"/>
    <w:rsid w:val="70E64A50"/>
    <w:rsid w:val="70F33611"/>
    <w:rsid w:val="70F3716D"/>
    <w:rsid w:val="70F5350B"/>
    <w:rsid w:val="70FA674D"/>
    <w:rsid w:val="71186BD3"/>
    <w:rsid w:val="711F61B4"/>
    <w:rsid w:val="71211F2C"/>
    <w:rsid w:val="712D08D1"/>
    <w:rsid w:val="714125CE"/>
    <w:rsid w:val="714479C8"/>
    <w:rsid w:val="71463740"/>
    <w:rsid w:val="714A1482"/>
    <w:rsid w:val="716A5681"/>
    <w:rsid w:val="716F0EE9"/>
    <w:rsid w:val="71771B4C"/>
    <w:rsid w:val="71777D9E"/>
    <w:rsid w:val="717C1858"/>
    <w:rsid w:val="71A32941"/>
    <w:rsid w:val="71A44CEF"/>
    <w:rsid w:val="71A5490B"/>
    <w:rsid w:val="71AF5789"/>
    <w:rsid w:val="71B20DD6"/>
    <w:rsid w:val="71BC1C54"/>
    <w:rsid w:val="71CC633B"/>
    <w:rsid w:val="71DC5E53"/>
    <w:rsid w:val="71E33685"/>
    <w:rsid w:val="71E35433"/>
    <w:rsid w:val="71E52F59"/>
    <w:rsid w:val="71EF202A"/>
    <w:rsid w:val="72031255"/>
    <w:rsid w:val="72062ED0"/>
    <w:rsid w:val="720A6E64"/>
    <w:rsid w:val="7214383E"/>
    <w:rsid w:val="721B4BCD"/>
    <w:rsid w:val="72227D09"/>
    <w:rsid w:val="72345C8F"/>
    <w:rsid w:val="723914F7"/>
    <w:rsid w:val="723A2BE4"/>
    <w:rsid w:val="723C0F0F"/>
    <w:rsid w:val="724265FE"/>
    <w:rsid w:val="726447C6"/>
    <w:rsid w:val="72686A49"/>
    <w:rsid w:val="727D13E4"/>
    <w:rsid w:val="728564EA"/>
    <w:rsid w:val="728A3B01"/>
    <w:rsid w:val="72914E8F"/>
    <w:rsid w:val="729606F7"/>
    <w:rsid w:val="7298621E"/>
    <w:rsid w:val="729B2130"/>
    <w:rsid w:val="72A2709C"/>
    <w:rsid w:val="72A42E14"/>
    <w:rsid w:val="72AE77EF"/>
    <w:rsid w:val="72B43F65"/>
    <w:rsid w:val="72B50B7E"/>
    <w:rsid w:val="72BB170D"/>
    <w:rsid w:val="72C25048"/>
    <w:rsid w:val="72C4788F"/>
    <w:rsid w:val="72D8730B"/>
    <w:rsid w:val="72E476B5"/>
    <w:rsid w:val="72E72D01"/>
    <w:rsid w:val="72EB27F1"/>
    <w:rsid w:val="72ED47BB"/>
    <w:rsid w:val="72F07E08"/>
    <w:rsid w:val="72F13B80"/>
    <w:rsid w:val="72F8122F"/>
    <w:rsid w:val="72FA6ED8"/>
    <w:rsid w:val="72FC49FE"/>
    <w:rsid w:val="72FC67AC"/>
    <w:rsid w:val="72FF004B"/>
    <w:rsid w:val="73041B05"/>
    <w:rsid w:val="730E64E0"/>
    <w:rsid w:val="73117D7E"/>
    <w:rsid w:val="73246FA0"/>
    <w:rsid w:val="732962C3"/>
    <w:rsid w:val="732E6B82"/>
    <w:rsid w:val="733028FA"/>
    <w:rsid w:val="73463ECB"/>
    <w:rsid w:val="734E2D80"/>
    <w:rsid w:val="734E4B2E"/>
    <w:rsid w:val="735100BC"/>
    <w:rsid w:val="73532145"/>
    <w:rsid w:val="7355410F"/>
    <w:rsid w:val="73595538"/>
    <w:rsid w:val="735A7977"/>
    <w:rsid w:val="73605ABA"/>
    <w:rsid w:val="73677AAD"/>
    <w:rsid w:val="73686C94"/>
    <w:rsid w:val="737A5923"/>
    <w:rsid w:val="739015EB"/>
    <w:rsid w:val="73903399"/>
    <w:rsid w:val="73974727"/>
    <w:rsid w:val="739E7864"/>
    <w:rsid w:val="73A86557"/>
    <w:rsid w:val="73AB3D2F"/>
    <w:rsid w:val="73B61FEA"/>
    <w:rsid w:val="73BF77DA"/>
    <w:rsid w:val="73DD4830"/>
    <w:rsid w:val="73E07E7C"/>
    <w:rsid w:val="73E32748"/>
    <w:rsid w:val="73E536E4"/>
    <w:rsid w:val="73F43927"/>
    <w:rsid w:val="740873D3"/>
    <w:rsid w:val="74185868"/>
    <w:rsid w:val="741B2C62"/>
    <w:rsid w:val="74235FBB"/>
    <w:rsid w:val="742C4E6F"/>
    <w:rsid w:val="742F5A5A"/>
    <w:rsid w:val="74381A66"/>
    <w:rsid w:val="743957DE"/>
    <w:rsid w:val="743E2DF5"/>
    <w:rsid w:val="7443040B"/>
    <w:rsid w:val="744321B9"/>
    <w:rsid w:val="74485A21"/>
    <w:rsid w:val="744C5512"/>
    <w:rsid w:val="744D4DE6"/>
    <w:rsid w:val="74510D7A"/>
    <w:rsid w:val="745B7503"/>
    <w:rsid w:val="74624D35"/>
    <w:rsid w:val="746B1BF9"/>
    <w:rsid w:val="746C5BB4"/>
    <w:rsid w:val="746D7236"/>
    <w:rsid w:val="746F1200"/>
    <w:rsid w:val="7476433D"/>
    <w:rsid w:val="7487479C"/>
    <w:rsid w:val="7487654A"/>
    <w:rsid w:val="748C6764"/>
    <w:rsid w:val="748E78D8"/>
    <w:rsid w:val="74934EEE"/>
    <w:rsid w:val="74945351"/>
    <w:rsid w:val="74A013B9"/>
    <w:rsid w:val="74A92964"/>
    <w:rsid w:val="74AC09E2"/>
    <w:rsid w:val="74AC5FB0"/>
    <w:rsid w:val="74B35591"/>
    <w:rsid w:val="74B84955"/>
    <w:rsid w:val="74C94DB4"/>
    <w:rsid w:val="74CA4688"/>
    <w:rsid w:val="74CE5F27"/>
    <w:rsid w:val="74CF1C9F"/>
    <w:rsid w:val="74D07DDD"/>
    <w:rsid w:val="74D63C4F"/>
    <w:rsid w:val="74DE4FB2"/>
    <w:rsid w:val="74E219D2"/>
    <w:rsid w:val="74E514C2"/>
    <w:rsid w:val="74F00593"/>
    <w:rsid w:val="74F51705"/>
    <w:rsid w:val="74F6547D"/>
    <w:rsid w:val="74FF2584"/>
    <w:rsid w:val="750000AA"/>
    <w:rsid w:val="75061B64"/>
    <w:rsid w:val="751029E3"/>
    <w:rsid w:val="7516594E"/>
    <w:rsid w:val="7521074C"/>
    <w:rsid w:val="75273889"/>
    <w:rsid w:val="752913AF"/>
    <w:rsid w:val="752E2E69"/>
    <w:rsid w:val="7530098F"/>
    <w:rsid w:val="75363ACC"/>
    <w:rsid w:val="753F5076"/>
    <w:rsid w:val="75444D3A"/>
    <w:rsid w:val="754B57C9"/>
    <w:rsid w:val="7557416E"/>
    <w:rsid w:val="755C1784"/>
    <w:rsid w:val="755C3532"/>
    <w:rsid w:val="755C79D6"/>
    <w:rsid w:val="75630D65"/>
    <w:rsid w:val="757F1917"/>
    <w:rsid w:val="75986535"/>
    <w:rsid w:val="75994786"/>
    <w:rsid w:val="759B13C8"/>
    <w:rsid w:val="75A060BB"/>
    <w:rsid w:val="75A1188D"/>
    <w:rsid w:val="75A1363B"/>
    <w:rsid w:val="75A66EA3"/>
    <w:rsid w:val="75A7324B"/>
    <w:rsid w:val="75AD1FE0"/>
    <w:rsid w:val="75AF5D58"/>
    <w:rsid w:val="75B74C0D"/>
    <w:rsid w:val="75B90985"/>
    <w:rsid w:val="75BA64AB"/>
    <w:rsid w:val="75C86E1A"/>
    <w:rsid w:val="75D43A11"/>
    <w:rsid w:val="75D51537"/>
    <w:rsid w:val="75E023B5"/>
    <w:rsid w:val="75E579CC"/>
    <w:rsid w:val="75F06371"/>
    <w:rsid w:val="75F47C0F"/>
    <w:rsid w:val="75F93477"/>
    <w:rsid w:val="75FC2F67"/>
    <w:rsid w:val="75FE0A8D"/>
    <w:rsid w:val="760065B4"/>
    <w:rsid w:val="76085468"/>
    <w:rsid w:val="762027B2"/>
    <w:rsid w:val="76263B40"/>
    <w:rsid w:val="76312C11"/>
    <w:rsid w:val="76373F9F"/>
    <w:rsid w:val="76375D4D"/>
    <w:rsid w:val="76397D18"/>
    <w:rsid w:val="763B583E"/>
    <w:rsid w:val="764D37C3"/>
    <w:rsid w:val="764F753B"/>
    <w:rsid w:val="765608C9"/>
    <w:rsid w:val="76685F07"/>
    <w:rsid w:val="767B3E8C"/>
    <w:rsid w:val="767E572A"/>
    <w:rsid w:val="769767EC"/>
    <w:rsid w:val="76992564"/>
    <w:rsid w:val="76A72ED3"/>
    <w:rsid w:val="76B63116"/>
    <w:rsid w:val="76BB697E"/>
    <w:rsid w:val="76DA5057"/>
    <w:rsid w:val="76DB2B7D"/>
    <w:rsid w:val="76DB3AD9"/>
    <w:rsid w:val="76DD4B47"/>
    <w:rsid w:val="76E47C83"/>
    <w:rsid w:val="77147D59"/>
    <w:rsid w:val="77163BB5"/>
    <w:rsid w:val="77183DD1"/>
    <w:rsid w:val="771D3195"/>
    <w:rsid w:val="771F0CBB"/>
    <w:rsid w:val="772C5186"/>
    <w:rsid w:val="77356731"/>
    <w:rsid w:val="773C649A"/>
    <w:rsid w:val="774A1088"/>
    <w:rsid w:val="774E700A"/>
    <w:rsid w:val="77505319"/>
    <w:rsid w:val="77514BED"/>
    <w:rsid w:val="775748F9"/>
    <w:rsid w:val="775A1CF3"/>
    <w:rsid w:val="776E1C43"/>
    <w:rsid w:val="77785CE2"/>
    <w:rsid w:val="777F5BFE"/>
    <w:rsid w:val="77846D70"/>
    <w:rsid w:val="77903967"/>
    <w:rsid w:val="779401E3"/>
    <w:rsid w:val="779F004E"/>
    <w:rsid w:val="779F3BAA"/>
    <w:rsid w:val="77A15B74"/>
    <w:rsid w:val="77A80CB1"/>
    <w:rsid w:val="77A92C7B"/>
    <w:rsid w:val="77A967D7"/>
    <w:rsid w:val="77AD276B"/>
    <w:rsid w:val="77BE04D4"/>
    <w:rsid w:val="77C17FC5"/>
    <w:rsid w:val="77CF26E1"/>
    <w:rsid w:val="77D3069E"/>
    <w:rsid w:val="77D9522E"/>
    <w:rsid w:val="77DA2E34"/>
    <w:rsid w:val="77DF0472"/>
    <w:rsid w:val="77E15F71"/>
    <w:rsid w:val="77E37F3B"/>
    <w:rsid w:val="77E43CB3"/>
    <w:rsid w:val="77E617D9"/>
    <w:rsid w:val="77E837A3"/>
    <w:rsid w:val="77ED0DBA"/>
    <w:rsid w:val="77EF4B32"/>
    <w:rsid w:val="77F35CA4"/>
    <w:rsid w:val="77FC0FFD"/>
    <w:rsid w:val="77FE2FC7"/>
    <w:rsid w:val="78054355"/>
    <w:rsid w:val="780661E3"/>
    <w:rsid w:val="780879A1"/>
    <w:rsid w:val="780B1240"/>
    <w:rsid w:val="78141B92"/>
    <w:rsid w:val="78175941"/>
    <w:rsid w:val="781C169F"/>
    <w:rsid w:val="781E71C5"/>
    <w:rsid w:val="781F63BA"/>
    <w:rsid w:val="7826607A"/>
    <w:rsid w:val="78267E28"/>
    <w:rsid w:val="782B3690"/>
    <w:rsid w:val="782E52E2"/>
    <w:rsid w:val="782F4F2E"/>
    <w:rsid w:val="783D7431"/>
    <w:rsid w:val="78511348"/>
    <w:rsid w:val="78526E6F"/>
    <w:rsid w:val="78542BE7"/>
    <w:rsid w:val="7856695F"/>
    <w:rsid w:val="78574485"/>
    <w:rsid w:val="78745037"/>
    <w:rsid w:val="78746DE5"/>
    <w:rsid w:val="787B63C5"/>
    <w:rsid w:val="78886D34"/>
    <w:rsid w:val="788A2AAC"/>
    <w:rsid w:val="78961451"/>
    <w:rsid w:val="78972AD3"/>
    <w:rsid w:val="789E3E62"/>
    <w:rsid w:val="78A82F32"/>
    <w:rsid w:val="78B10039"/>
    <w:rsid w:val="78C57641"/>
    <w:rsid w:val="78CE2999"/>
    <w:rsid w:val="78D67AA0"/>
    <w:rsid w:val="78DE0702"/>
    <w:rsid w:val="78E421BD"/>
    <w:rsid w:val="78E81581"/>
    <w:rsid w:val="78F41CD4"/>
    <w:rsid w:val="78F46178"/>
    <w:rsid w:val="78F817C4"/>
    <w:rsid w:val="79110AD8"/>
    <w:rsid w:val="791A3E30"/>
    <w:rsid w:val="791D122B"/>
    <w:rsid w:val="791F31F5"/>
    <w:rsid w:val="79231130"/>
    <w:rsid w:val="792A3948"/>
    <w:rsid w:val="79393B8B"/>
    <w:rsid w:val="793B3DA7"/>
    <w:rsid w:val="793C16CF"/>
    <w:rsid w:val="793F73F3"/>
    <w:rsid w:val="794F33AE"/>
    <w:rsid w:val="795135CA"/>
    <w:rsid w:val="79537342"/>
    <w:rsid w:val="79584959"/>
    <w:rsid w:val="7961380D"/>
    <w:rsid w:val="7973709D"/>
    <w:rsid w:val="79780B57"/>
    <w:rsid w:val="797C23F5"/>
    <w:rsid w:val="79825532"/>
    <w:rsid w:val="798C015E"/>
    <w:rsid w:val="79960FDD"/>
    <w:rsid w:val="799A0ACD"/>
    <w:rsid w:val="79B7167F"/>
    <w:rsid w:val="79C30024"/>
    <w:rsid w:val="79CB0C87"/>
    <w:rsid w:val="79D41B94"/>
    <w:rsid w:val="79D815F5"/>
    <w:rsid w:val="79ED50A1"/>
    <w:rsid w:val="79F136D7"/>
    <w:rsid w:val="79F77CCE"/>
    <w:rsid w:val="7A010B4C"/>
    <w:rsid w:val="7A0128FA"/>
    <w:rsid w:val="7A066163"/>
    <w:rsid w:val="7A0917AF"/>
    <w:rsid w:val="7A0B3779"/>
    <w:rsid w:val="7A0D5743"/>
    <w:rsid w:val="7A0E5017"/>
    <w:rsid w:val="7A1268B5"/>
    <w:rsid w:val="7A28432B"/>
    <w:rsid w:val="7A342CD0"/>
    <w:rsid w:val="7A3525A4"/>
    <w:rsid w:val="7A356A48"/>
    <w:rsid w:val="7A37631C"/>
    <w:rsid w:val="7A401675"/>
    <w:rsid w:val="7A410BE5"/>
    <w:rsid w:val="7A434CC1"/>
    <w:rsid w:val="7A5275FA"/>
    <w:rsid w:val="7A552C46"/>
    <w:rsid w:val="7A5549F4"/>
    <w:rsid w:val="7A560E98"/>
    <w:rsid w:val="7A5944E4"/>
    <w:rsid w:val="7A5F5873"/>
    <w:rsid w:val="7A6335B5"/>
    <w:rsid w:val="7A6D11E8"/>
    <w:rsid w:val="7A6F1F5A"/>
    <w:rsid w:val="7A721A4A"/>
    <w:rsid w:val="7A7237F8"/>
    <w:rsid w:val="7A7516DD"/>
    <w:rsid w:val="7A7B08FF"/>
    <w:rsid w:val="7A7F1A71"/>
    <w:rsid w:val="7A810C91"/>
    <w:rsid w:val="7A8C48BA"/>
    <w:rsid w:val="7A922209"/>
    <w:rsid w:val="7A992B33"/>
    <w:rsid w:val="7A9E45ED"/>
    <w:rsid w:val="7AA03EC1"/>
    <w:rsid w:val="7AA5772A"/>
    <w:rsid w:val="7AB21E46"/>
    <w:rsid w:val="7ABB4647"/>
    <w:rsid w:val="7ABB6F4D"/>
    <w:rsid w:val="7AD149C3"/>
    <w:rsid w:val="7AD95625"/>
    <w:rsid w:val="7ADD5115"/>
    <w:rsid w:val="7AE53FCA"/>
    <w:rsid w:val="7AEF309B"/>
    <w:rsid w:val="7AEF6BF7"/>
    <w:rsid w:val="7AF10738"/>
    <w:rsid w:val="7AFD57B8"/>
    <w:rsid w:val="7AFE6E3A"/>
    <w:rsid w:val="7B002BB2"/>
    <w:rsid w:val="7B017E0B"/>
    <w:rsid w:val="7B0501C8"/>
    <w:rsid w:val="7B05466C"/>
    <w:rsid w:val="7B0A3A31"/>
    <w:rsid w:val="7B14665D"/>
    <w:rsid w:val="7B255EE6"/>
    <w:rsid w:val="7B2E3556"/>
    <w:rsid w:val="7B3E2985"/>
    <w:rsid w:val="7B450F0D"/>
    <w:rsid w:val="7B4C5DF7"/>
    <w:rsid w:val="7B4F58E7"/>
    <w:rsid w:val="7B503B39"/>
    <w:rsid w:val="7B542EFE"/>
    <w:rsid w:val="7B551150"/>
    <w:rsid w:val="7B554793"/>
    <w:rsid w:val="7B5B24DE"/>
    <w:rsid w:val="7B5B603A"/>
    <w:rsid w:val="7B643141"/>
    <w:rsid w:val="7B71585E"/>
    <w:rsid w:val="7B7315D6"/>
    <w:rsid w:val="7B7470FC"/>
    <w:rsid w:val="7B786BEC"/>
    <w:rsid w:val="7B7D4202"/>
    <w:rsid w:val="7B871525"/>
    <w:rsid w:val="7B8C08E9"/>
    <w:rsid w:val="7B8E01BE"/>
    <w:rsid w:val="7B8E4662"/>
    <w:rsid w:val="7B915F00"/>
    <w:rsid w:val="7B917CAE"/>
    <w:rsid w:val="7BAE0860"/>
    <w:rsid w:val="7BB5399C"/>
    <w:rsid w:val="7BB816DF"/>
    <w:rsid w:val="7BB87930"/>
    <w:rsid w:val="7BC02341"/>
    <w:rsid w:val="7BC167E5"/>
    <w:rsid w:val="7BC938EC"/>
    <w:rsid w:val="7BCE4A5E"/>
    <w:rsid w:val="7BD06A28"/>
    <w:rsid w:val="7BD302C6"/>
    <w:rsid w:val="7BD858DD"/>
    <w:rsid w:val="7BF2699E"/>
    <w:rsid w:val="7BFA3AA5"/>
    <w:rsid w:val="7C016BE2"/>
    <w:rsid w:val="7C142DB9"/>
    <w:rsid w:val="7C266648"/>
    <w:rsid w:val="7C312340"/>
    <w:rsid w:val="7C3F770A"/>
    <w:rsid w:val="7C4D1E27"/>
    <w:rsid w:val="7C52568F"/>
    <w:rsid w:val="7C562E0E"/>
    <w:rsid w:val="7C792C1C"/>
    <w:rsid w:val="7C7A4BE6"/>
    <w:rsid w:val="7C840695"/>
    <w:rsid w:val="7C8415C1"/>
    <w:rsid w:val="7C887303"/>
    <w:rsid w:val="7C961A20"/>
    <w:rsid w:val="7C977546"/>
    <w:rsid w:val="7CA52E86"/>
    <w:rsid w:val="7CB65C1E"/>
    <w:rsid w:val="7CC145C3"/>
    <w:rsid w:val="7CC3658D"/>
    <w:rsid w:val="7CD75B94"/>
    <w:rsid w:val="7CD9190C"/>
    <w:rsid w:val="7CD97B5E"/>
    <w:rsid w:val="7CDA3206"/>
    <w:rsid w:val="7CDC31AB"/>
    <w:rsid w:val="7CDD7757"/>
    <w:rsid w:val="7CDE33C7"/>
    <w:rsid w:val="7CE02C9B"/>
    <w:rsid w:val="7CE87DA1"/>
    <w:rsid w:val="7CF130FA"/>
    <w:rsid w:val="7CF20C20"/>
    <w:rsid w:val="7CFE75C5"/>
    <w:rsid w:val="7D080444"/>
    <w:rsid w:val="7D09729A"/>
    <w:rsid w:val="7D126BCC"/>
    <w:rsid w:val="7D1670C9"/>
    <w:rsid w:val="7D172435"/>
    <w:rsid w:val="7D272678"/>
    <w:rsid w:val="7D337AEC"/>
    <w:rsid w:val="7D384885"/>
    <w:rsid w:val="7D3B6123"/>
    <w:rsid w:val="7D584F27"/>
    <w:rsid w:val="7D592A4D"/>
    <w:rsid w:val="7D5947FB"/>
    <w:rsid w:val="7D637428"/>
    <w:rsid w:val="7D6733BC"/>
    <w:rsid w:val="7D715FE9"/>
    <w:rsid w:val="7D8775BA"/>
    <w:rsid w:val="7D891584"/>
    <w:rsid w:val="7D9D0B8C"/>
    <w:rsid w:val="7DA0067C"/>
    <w:rsid w:val="7DAC5273"/>
    <w:rsid w:val="7DAC7021"/>
    <w:rsid w:val="7DB06B11"/>
    <w:rsid w:val="7DC600E3"/>
    <w:rsid w:val="7DCC76C3"/>
    <w:rsid w:val="7DD16A88"/>
    <w:rsid w:val="7DDA3B8E"/>
    <w:rsid w:val="7DDD542C"/>
    <w:rsid w:val="7DE23C9B"/>
    <w:rsid w:val="7DE40569"/>
    <w:rsid w:val="7DEE3196"/>
    <w:rsid w:val="7DF06F0E"/>
    <w:rsid w:val="7DFC7E80"/>
    <w:rsid w:val="7E066731"/>
    <w:rsid w:val="7E0724A9"/>
    <w:rsid w:val="7E17093E"/>
    <w:rsid w:val="7E221091"/>
    <w:rsid w:val="7E2412AD"/>
    <w:rsid w:val="7E2F6A52"/>
    <w:rsid w:val="7E3508E6"/>
    <w:rsid w:val="7E3F1C43"/>
    <w:rsid w:val="7E462228"/>
    <w:rsid w:val="7E484F9C"/>
    <w:rsid w:val="7E4B05E8"/>
    <w:rsid w:val="7E53749D"/>
    <w:rsid w:val="7E5971A9"/>
    <w:rsid w:val="7E5A6A7D"/>
    <w:rsid w:val="7E6F077A"/>
    <w:rsid w:val="7E722019"/>
    <w:rsid w:val="7E787C5E"/>
    <w:rsid w:val="7E7E09BD"/>
    <w:rsid w:val="7E8D0C00"/>
    <w:rsid w:val="7E9975A5"/>
    <w:rsid w:val="7E9E2E0E"/>
    <w:rsid w:val="7E9E696A"/>
    <w:rsid w:val="7EAB72D9"/>
    <w:rsid w:val="7EBE0DBA"/>
    <w:rsid w:val="7EC34622"/>
    <w:rsid w:val="7EC860DC"/>
    <w:rsid w:val="7EC87E8B"/>
    <w:rsid w:val="7EC97D8B"/>
    <w:rsid w:val="7ED20D09"/>
    <w:rsid w:val="7ED71E7C"/>
    <w:rsid w:val="7ED755DB"/>
    <w:rsid w:val="7EE051D4"/>
    <w:rsid w:val="7EE34CC4"/>
    <w:rsid w:val="7EEB3B79"/>
    <w:rsid w:val="7EF02F3D"/>
    <w:rsid w:val="7EF649F8"/>
    <w:rsid w:val="7EF742CC"/>
    <w:rsid w:val="7EFB200E"/>
    <w:rsid w:val="7EFF3357"/>
    <w:rsid w:val="7F0013D2"/>
    <w:rsid w:val="7F0D3AEF"/>
    <w:rsid w:val="7F0F7867"/>
    <w:rsid w:val="7F2350C1"/>
    <w:rsid w:val="7F271055"/>
    <w:rsid w:val="7F2826D7"/>
    <w:rsid w:val="7F2C0419"/>
    <w:rsid w:val="7F343772"/>
    <w:rsid w:val="7F3B68AE"/>
    <w:rsid w:val="7F460DAF"/>
    <w:rsid w:val="7F4A08A0"/>
    <w:rsid w:val="7F4E65E2"/>
    <w:rsid w:val="7F53536E"/>
    <w:rsid w:val="7F5636E8"/>
    <w:rsid w:val="7F590AE3"/>
    <w:rsid w:val="7F5D6825"/>
    <w:rsid w:val="7F671451"/>
    <w:rsid w:val="7F741DC0"/>
    <w:rsid w:val="7F833DB1"/>
    <w:rsid w:val="7F8518D8"/>
    <w:rsid w:val="7F8738A2"/>
    <w:rsid w:val="7F89761A"/>
    <w:rsid w:val="7F9F508F"/>
    <w:rsid w:val="7FA02BB5"/>
    <w:rsid w:val="7FA36202"/>
    <w:rsid w:val="7FB328E9"/>
    <w:rsid w:val="7FB4040F"/>
    <w:rsid w:val="7FD64829"/>
    <w:rsid w:val="7FDB19A5"/>
    <w:rsid w:val="7FE64A6C"/>
    <w:rsid w:val="7FF07699"/>
    <w:rsid w:val="7FF30F37"/>
    <w:rsid w:val="7FF32CE5"/>
    <w:rsid w:val="7FF56A5D"/>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6">
    <w:name w:val="heading 2"/>
    <w:basedOn w:val="1"/>
    <w:next w:val="7"/>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7"/>
    <w:link w:val="63"/>
    <w:qFormat/>
    <w:uiPriority w:val="0"/>
    <w:pPr>
      <w:keepNext/>
      <w:keepLines/>
      <w:spacing w:before="260" w:after="260" w:line="416" w:lineRule="auto"/>
      <w:outlineLvl w:val="2"/>
    </w:pPr>
    <w:rPr>
      <w:rFonts w:ascii="Times New Roman" w:hAnsi="Times New Roman"/>
      <w:b/>
      <w:bCs/>
      <w:sz w:val="32"/>
      <w:szCs w:val="32"/>
    </w:rPr>
  </w:style>
  <w:style w:type="paragraph" w:styleId="9">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10">
    <w:name w:val="heading 5"/>
    <w:basedOn w:val="1"/>
    <w:next w:val="7"/>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11">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2">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3">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4">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9"/>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link w:val="58"/>
    <w:unhideWhenUsed/>
    <w:qFormat/>
    <w:uiPriority w:val="0"/>
    <w:pPr>
      <w:spacing w:after="120"/>
      <w:ind w:left="420" w:leftChars="200"/>
    </w:pPr>
  </w:style>
  <w:style w:type="paragraph" w:styleId="4">
    <w:name w:val="envelope return"/>
    <w:basedOn w:val="1"/>
    <w:unhideWhenUsed/>
    <w:qFormat/>
    <w:uiPriority w:val="99"/>
    <w:rPr>
      <w:rFonts w:ascii="Arial" w:hAnsi="Arial" w:eastAsia="楷体_GB2312"/>
      <w:sz w:val="26"/>
      <w:szCs w:val="20"/>
    </w:rPr>
  </w:style>
  <w:style w:type="paragraph" w:styleId="7">
    <w:name w:val="Normal Indent"/>
    <w:basedOn w:val="1"/>
    <w:link w:val="62"/>
    <w:qFormat/>
    <w:uiPriority w:val="0"/>
    <w:pPr>
      <w:ind w:firstLine="420"/>
    </w:pPr>
    <w:rPr>
      <w:szCs w:val="21"/>
    </w:rPr>
  </w:style>
  <w:style w:type="paragraph" w:styleId="15">
    <w:name w:val="List 3"/>
    <w:basedOn w:val="1"/>
    <w:qFormat/>
    <w:uiPriority w:val="0"/>
    <w:pPr>
      <w:ind w:left="100" w:leftChars="400" w:hanging="200" w:hangingChars="200"/>
    </w:pPr>
    <w:rPr>
      <w:rFonts w:ascii="Times New Roman" w:hAnsi="Times New Roman"/>
      <w:szCs w:val="21"/>
    </w:rPr>
  </w:style>
  <w:style w:type="paragraph" w:styleId="16">
    <w:name w:val="toc 7"/>
    <w:basedOn w:val="1"/>
    <w:next w:val="1"/>
    <w:semiHidden/>
    <w:qFormat/>
    <w:uiPriority w:val="0"/>
    <w:pPr>
      <w:ind w:left="1260"/>
      <w:jc w:val="left"/>
    </w:pPr>
    <w:rPr>
      <w:rFonts w:ascii="Times New Roman" w:hAnsi="Times New Roman"/>
      <w:szCs w:val="21"/>
    </w:rPr>
  </w:style>
  <w:style w:type="paragraph" w:styleId="17">
    <w:name w:val="Document Map"/>
    <w:basedOn w:val="1"/>
    <w:link w:val="70"/>
    <w:semiHidden/>
    <w:qFormat/>
    <w:uiPriority w:val="0"/>
    <w:pPr>
      <w:shd w:val="clear" w:color="auto" w:fill="000080"/>
    </w:pPr>
    <w:rPr>
      <w:rFonts w:ascii="Times New Roman" w:hAnsi="Times New Roman"/>
      <w:szCs w:val="21"/>
    </w:rPr>
  </w:style>
  <w:style w:type="paragraph" w:styleId="18">
    <w:name w:val="annotation text"/>
    <w:basedOn w:val="1"/>
    <w:link w:val="71"/>
    <w:unhideWhenUsed/>
    <w:qFormat/>
    <w:uiPriority w:val="0"/>
    <w:pPr>
      <w:jc w:val="left"/>
    </w:pPr>
  </w:style>
  <w:style w:type="paragraph" w:styleId="19">
    <w:name w:val="Body Text 3"/>
    <w:basedOn w:val="1"/>
    <w:link w:val="72"/>
    <w:qFormat/>
    <w:uiPriority w:val="0"/>
    <w:rPr>
      <w:rFonts w:ascii="仿宋_GB2312" w:hAnsi="Arial" w:eastAsia="仿宋_GB2312"/>
      <w:sz w:val="32"/>
      <w:szCs w:val="32"/>
    </w:rPr>
  </w:style>
  <w:style w:type="paragraph" w:styleId="20">
    <w:name w:val="Body Text"/>
    <w:basedOn w:val="1"/>
    <w:next w:val="1"/>
    <w:link w:val="73"/>
    <w:qFormat/>
    <w:uiPriority w:val="0"/>
    <w:rPr>
      <w:rFonts w:ascii="楷体_GB2312" w:hAnsi="Arial" w:eastAsia="楷体_GB2312"/>
      <w:sz w:val="28"/>
      <w:szCs w:val="28"/>
    </w:rPr>
  </w:style>
  <w:style w:type="paragraph" w:styleId="21">
    <w:name w:val="List 2"/>
    <w:basedOn w:val="1"/>
    <w:qFormat/>
    <w:uiPriority w:val="0"/>
    <w:pPr>
      <w:ind w:left="100" w:leftChars="200" w:hanging="200" w:hangingChars="200"/>
    </w:pPr>
    <w:rPr>
      <w:rFonts w:ascii="Times New Roman" w:hAnsi="Times New Roman"/>
      <w:szCs w:val="21"/>
    </w:rPr>
  </w:style>
  <w:style w:type="paragraph" w:styleId="22">
    <w:name w:val="toc 5"/>
    <w:basedOn w:val="1"/>
    <w:next w:val="1"/>
    <w:semiHidden/>
    <w:qFormat/>
    <w:uiPriority w:val="0"/>
    <w:pPr>
      <w:ind w:left="840"/>
      <w:jc w:val="left"/>
    </w:pPr>
    <w:rPr>
      <w:rFonts w:ascii="Times New Roman" w:hAnsi="Times New Roman"/>
      <w:szCs w:val="21"/>
    </w:rPr>
  </w:style>
  <w:style w:type="paragraph" w:styleId="23">
    <w:name w:val="toc 3"/>
    <w:basedOn w:val="1"/>
    <w:next w:val="1"/>
    <w:semiHidden/>
    <w:qFormat/>
    <w:uiPriority w:val="0"/>
    <w:pPr>
      <w:ind w:left="420"/>
      <w:jc w:val="left"/>
    </w:pPr>
    <w:rPr>
      <w:rFonts w:ascii="Times New Roman" w:hAnsi="Times New Roman"/>
      <w:i/>
      <w:iCs/>
      <w:szCs w:val="24"/>
    </w:rPr>
  </w:style>
  <w:style w:type="paragraph" w:styleId="24">
    <w:name w:val="Plain Text"/>
    <w:basedOn w:val="1"/>
    <w:link w:val="74"/>
    <w:qFormat/>
    <w:uiPriority w:val="0"/>
    <w:rPr>
      <w:rFonts w:ascii="宋体" w:hAnsi="Courier New" w:cs="Courier New"/>
      <w:szCs w:val="21"/>
    </w:rPr>
  </w:style>
  <w:style w:type="paragraph" w:styleId="25">
    <w:name w:val="toc 8"/>
    <w:basedOn w:val="1"/>
    <w:next w:val="1"/>
    <w:semiHidden/>
    <w:qFormat/>
    <w:uiPriority w:val="0"/>
    <w:pPr>
      <w:ind w:left="1470"/>
      <w:jc w:val="left"/>
    </w:pPr>
    <w:rPr>
      <w:rFonts w:ascii="Times New Roman" w:hAnsi="Times New Roman"/>
      <w:szCs w:val="21"/>
    </w:rPr>
  </w:style>
  <w:style w:type="paragraph" w:styleId="26">
    <w:name w:val="Date"/>
    <w:basedOn w:val="1"/>
    <w:next w:val="1"/>
    <w:link w:val="75"/>
    <w:qFormat/>
    <w:uiPriority w:val="0"/>
    <w:rPr>
      <w:rFonts w:ascii="Times New Roman" w:hAnsi="Times New Roman"/>
      <w:sz w:val="24"/>
      <w:szCs w:val="24"/>
    </w:rPr>
  </w:style>
  <w:style w:type="paragraph" w:styleId="27">
    <w:name w:val="Body Text Indent 2"/>
    <w:basedOn w:val="1"/>
    <w:link w:val="76"/>
    <w:qFormat/>
    <w:uiPriority w:val="0"/>
    <w:pPr>
      <w:ind w:left="630" w:firstLine="645"/>
    </w:pPr>
    <w:rPr>
      <w:rFonts w:ascii="Arial" w:hAnsi="Arial" w:eastAsia="仿宋_GB2312" w:cs="Arial"/>
      <w:sz w:val="32"/>
      <w:szCs w:val="32"/>
    </w:rPr>
  </w:style>
  <w:style w:type="paragraph" w:styleId="28">
    <w:name w:val="Balloon Text"/>
    <w:basedOn w:val="1"/>
    <w:link w:val="77"/>
    <w:semiHidden/>
    <w:qFormat/>
    <w:uiPriority w:val="0"/>
    <w:rPr>
      <w:rFonts w:ascii="Times New Roman" w:hAnsi="Times New Roman"/>
      <w:sz w:val="18"/>
      <w:szCs w:val="18"/>
    </w:rPr>
  </w:style>
  <w:style w:type="paragraph" w:styleId="29">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30">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1">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2">
    <w:name w:val="toc 4"/>
    <w:basedOn w:val="1"/>
    <w:next w:val="1"/>
    <w:semiHidden/>
    <w:qFormat/>
    <w:uiPriority w:val="0"/>
    <w:pPr>
      <w:ind w:left="630"/>
      <w:jc w:val="left"/>
    </w:pPr>
    <w:rPr>
      <w:rFonts w:ascii="Times New Roman" w:hAnsi="Times New Roman"/>
      <w:szCs w:val="21"/>
    </w:rPr>
  </w:style>
  <w:style w:type="paragraph" w:styleId="33">
    <w:name w:val="List"/>
    <w:basedOn w:val="1"/>
    <w:qFormat/>
    <w:uiPriority w:val="0"/>
    <w:pPr>
      <w:ind w:left="200" w:hanging="200" w:hangingChars="200"/>
    </w:pPr>
    <w:rPr>
      <w:rFonts w:ascii="Times New Roman" w:hAnsi="Times New Roman"/>
      <w:szCs w:val="21"/>
    </w:rPr>
  </w:style>
  <w:style w:type="paragraph" w:styleId="34">
    <w:name w:val="toc 6"/>
    <w:basedOn w:val="1"/>
    <w:next w:val="1"/>
    <w:semiHidden/>
    <w:qFormat/>
    <w:uiPriority w:val="0"/>
    <w:pPr>
      <w:ind w:left="1050"/>
      <w:jc w:val="left"/>
    </w:pPr>
    <w:rPr>
      <w:rFonts w:ascii="Times New Roman" w:hAnsi="Times New Roman"/>
      <w:szCs w:val="21"/>
    </w:rPr>
  </w:style>
  <w:style w:type="paragraph" w:styleId="35">
    <w:name w:val="Body Text Indent 3"/>
    <w:basedOn w:val="1"/>
    <w:link w:val="80"/>
    <w:qFormat/>
    <w:uiPriority w:val="0"/>
    <w:pPr>
      <w:ind w:left="645" w:firstLine="645"/>
    </w:pPr>
    <w:rPr>
      <w:rFonts w:ascii="Arial" w:hAnsi="Arial" w:eastAsia="仿宋_GB2312" w:cs="Arial"/>
      <w:color w:val="FFFF00"/>
      <w:sz w:val="32"/>
      <w:szCs w:val="32"/>
    </w:rPr>
  </w:style>
  <w:style w:type="paragraph" w:styleId="36">
    <w:name w:val="table of figures"/>
    <w:basedOn w:val="1"/>
    <w:next w:val="1"/>
    <w:semiHidden/>
    <w:qFormat/>
    <w:uiPriority w:val="0"/>
    <w:pPr>
      <w:ind w:left="840" w:hanging="420"/>
    </w:pPr>
    <w:rPr>
      <w:rFonts w:ascii="Times New Roman" w:hAnsi="Times New Roman"/>
      <w:szCs w:val="21"/>
    </w:rPr>
  </w:style>
  <w:style w:type="paragraph" w:styleId="37">
    <w:name w:val="toc 2"/>
    <w:basedOn w:val="1"/>
    <w:next w:val="1"/>
    <w:semiHidden/>
    <w:qFormat/>
    <w:uiPriority w:val="0"/>
    <w:pPr>
      <w:ind w:left="210"/>
      <w:jc w:val="left"/>
    </w:pPr>
    <w:rPr>
      <w:rFonts w:ascii="Times New Roman" w:hAnsi="Times New Roman"/>
      <w:smallCaps/>
      <w:szCs w:val="24"/>
    </w:rPr>
  </w:style>
  <w:style w:type="paragraph" w:styleId="38">
    <w:name w:val="toc 9"/>
    <w:basedOn w:val="1"/>
    <w:next w:val="1"/>
    <w:semiHidden/>
    <w:qFormat/>
    <w:uiPriority w:val="0"/>
    <w:pPr>
      <w:ind w:left="1680"/>
      <w:jc w:val="left"/>
    </w:pPr>
    <w:rPr>
      <w:rFonts w:ascii="Times New Roman" w:hAnsi="Times New Roman"/>
      <w:szCs w:val="21"/>
    </w:rPr>
  </w:style>
  <w:style w:type="paragraph" w:styleId="39">
    <w:name w:val="Body Text 2"/>
    <w:basedOn w:val="1"/>
    <w:link w:val="81"/>
    <w:qFormat/>
    <w:uiPriority w:val="0"/>
    <w:pPr>
      <w:widowControl/>
      <w:jc w:val="center"/>
    </w:pPr>
    <w:rPr>
      <w:rFonts w:ascii="楷体_GB2312" w:hAnsi="Times New Roman" w:eastAsia="楷体_GB2312"/>
      <w:sz w:val="28"/>
      <w:szCs w:val="28"/>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index 1"/>
    <w:basedOn w:val="1"/>
    <w:next w:val="1"/>
    <w:semiHidden/>
    <w:qFormat/>
    <w:uiPriority w:val="0"/>
    <w:pPr>
      <w:spacing w:line="240" w:lineRule="atLeast"/>
    </w:pPr>
    <w:rPr>
      <w:rFonts w:ascii="Times New Roman" w:hAnsi="Times New Roman"/>
      <w:b/>
      <w:bCs/>
      <w:szCs w:val="21"/>
    </w:rPr>
  </w:style>
  <w:style w:type="paragraph" w:styleId="42">
    <w:name w:val="annotation subject"/>
    <w:basedOn w:val="18"/>
    <w:next w:val="18"/>
    <w:link w:val="82"/>
    <w:semiHidden/>
    <w:qFormat/>
    <w:uiPriority w:val="0"/>
    <w:rPr>
      <w:rFonts w:ascii="Times New Roman" w:hAnsi="Times New Roman"/>
      <w:b/>
      <w:bCs/>
      <w:szCs w:val="21"/>
    </w:rPr>
  </w:style>
  <w:style w:type="paragraph" w:styleId="43">
    <w:name w:val="Body Text First Indent"/>
    <w:basedOn w:val="20"/>
    <w:next w:val="1"/>
    <w:link w:val="83"/>
    <w:qFormat/>
    <w:uiPriority w:val="0"/>
    <w:pPr>
      <w:spacing w:line="360" w:lineRule="auto"/>
      <w:ind w:firstLine="200" w:firstLineChars="200"/>
    </w:pPr>
    <w:rPr>
      <w:rFonts w:ascii="仿宋_GB2312" w:hAnsi="Times New Roman" w:eastAsia="仿宋_GB2312"/>
      <w:sz w:val="30"/>
      <w:szCs w:val="3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szCs w:val="22"/>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58">
    <w:name w:val="正文文本缩进 字符"/>
    <w:basedOn w:val="46"/>
    <w:link w:val="3"/>
    <w:semiHidden/>
    <w:qFormat/>
    <w:uiPriority w:val="99"/>
  </w:style>
  <w:style w:type="character" w:customStyle="1" w:styleId="59">
    <w:name w:val="正文文本首行缩进 2 字符"/>
    <w:link w:val="2"/>
    <w:qFormat/>
    <w:uiPriority w:val="0"/>
    <w:rPr>
      <w:rFonts w:ascii="宋体" w:hAnsi="宋体" w:eastAsia="宋体" w:cs="Times New Roman"/>
      <w:szCs w:val="20"/>
    </w:rPr>
  </w:style>
  <w:style w:type="character" w:customStyle="1" w:styleId="60">
    <w:name w:val="标题 1 字符"/>
    <w:link w:val="5"/>
    <w:qFormat/>
    <w:uiPriority w:val="0"/>
    <w:rPr>
      <w:rFonts w:ascii="楷体_GB2312" w:hAnsi="Times New Roman" w:eastAsia="楷体_GB2312" w:cs="Times New Roman"/>
      <w:sz w:val="28"/>
      <w:szCs w:val="28"/>
    </w:rPr>
  </w:style>
  <w:style w:type="character" w:customStyle="1" w:styleId="61">
    <w:name w:val="标题 2 字符"/>
    <w:link w:val="6"/>
    <w:qFormat/>
    <w:uiPriority w:val="0"/>
    <w:rPr>
      <w:rFonts w:ascii="Arial" w:hAnsi="Arial" w:eastAsia="幼圆" w:cs="Arial"/>
      <w:b/>
      <w:bCs/>
      <w:sz w:val="44"/>
      <w:szCs w:val="44"/>
    </w:rPr>
  </w:style>
  <w:style w:type="character" w:customStyle="1" w:styleId="62">
    <w:name w:val="正文缩进 字符"/>
    <w:link w:val="7"/>
    <w:qFormat/>
    <w:uiPriority w:val="0"/>
    <w:rPr>
      <w:szCs w:val="21"/>
    </w:rPr>
  </w:style>
  <w:style w:type="character" w:customStyle="1" w:styleId="63">
    <w:name w:val="标题 3 字符"/>
    <w:link w:val="8"/>
    <w:qFormat/>
    <w:uiPriority w:val="0"/>
    <w:rPr>
      <w:rFonts w:ascii="Times New Roman" w:hAnsi="Times New Roman" w:eastAsia="宋体" w:cs="Times New Roman"/>
      <w:b/>
      <w:bCs/>
      <w:sz w:val="32"/>
      <w:szCs w:val="32"/>
    </w:rPr>
  </w:style>
  <w:style w:type="character" w:customStyle="1" w:styleId="64">
    <w:name w:val="标题 4 字符"/>
    <w:link w:val="9"/>
    <w:qFormat/>
    <w:uiPriority w:val="0"/>
    <w:rPr>
      <w:rFonts w:ascii="Arial" w:hAnsi="Arial" w:eastAsia="黑体" w:cs="Arial"/>
      <w:b/>
      <w:bCs/>
      <w:sz w:val="28"/>
      <w:szCs w:val="28"/>
    </w:rPr>
  </w:style>
  <w:style w:type="character" w:customStyle="1" w:styleId="65">
    <w:name w:val="标题 5 字符"/>
    <w:link w:val="10"/>
    <w:qFormat/>
    <w:uiPriority w:val="0"/>
    <w:rPr>
      <w:rFonts w:ascii="宋体" w:hAnsi="Times New Roman" w:eastAsia="宋体" w:cs="Times New Roman"/>
      <w:color w:val="000000"/>
      <w:kern w:val="0"/>
      <w:sz w:val="28"/>
      <w:szCs w:val="28"/>
    </w:rPr>
  </w:style>
  <w:style w:type="character" w:customStyle="1" w:styleId="66">
    <w:name w:val="标题 6 字符"/>
    <w:link w:val="11"/>
    <w:qFormat/>
    <w:uiPriority w:val="0"/>
    <w:rPr>
      <w:rFonts w:ascii="Arial" w:hAnsi="Arial" w:eastAsia="黑体" w:cs="Times New Roman"/>
      <w:b/>
      <w:bCs/>
      <w:sz w:val="24"/>
      <w:szCs w:val="24"/>
    </w:rPr>
  </w:style>
  <w:style w:type="character" w:customStyle="1" w:styleId="67">
    <w:name w:val="标题 7 字符"/>
    <w:link w:val="12"/>
    <w:qFormat/>
    <w:uiPriority w:val="0"/>
    <w:rPr>
      <w:rFonts w:ascii="Times New Roman" w:hAnsi="Times New Roman" w:eastAsia="宋体" w:cs="Times New Roman"/>
      <w:b/>
      <w:bCs/>
      <w:sz w:val="24"/>
      <w:szCs w:val="24"/>
    </w:rPr>
  </w:style>
  <w:style w:type="character" w:customStyle="1" w:styleId="68">
    <w:name w:val="标题 8 字符"/>
    <w:link w:val="13"/>
    <w:qFormat/>
    <w:uiPriority w:val="0"/>
    <w:rPr>
      <w:rFonts w:ascii="Arial" w:hAnsi="Arial" w:eastAsia="黑体" w:cs="Times New Roman"/>
      <w:sz w:val="24"/>
      <w:szCs w:val="24"/>
    </w:rPr>
  </w:style>
  <w:style w:type="character" w:customStyle="1" w:styleId="69">
    <w:name w:val="标题 9 字符"/>
    <w:link w:val="14"/>
    <w:qFormat/>
    <w:uiPriority w:val="0"/>
    <w:rPr>
      <w:rFonts w:ascii="Arial" w:hAnsi="Arial" w:eastAsia="黑体" w:cs="Times New Roman"/>
      <w:szCs w:val="21"/>
    </w:rPr>
  </w:style>
  <w:style w:type="character" w:customStyle="1" w:styleId="70">
    <w:name w:val="文档结构图 字符"/>
    <w:link w:val="17"/>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8"/>
    <w:semiHidden/>
    <w:qFormat/>
    <w:uiPriority w:val="99"/>
  </w:style>
  <w:style w:type="character" w:customStyle="1" w:styleId="72">
    <w:name w:val="正文文本 3 字符"/>
    <w:link w:val="19"/>
    <w:qFormat/>
    <w:uiPriority w:val="0"/>
    <w:rPr>
      <w:rFonts w:ascii="仿宋_GB2312" w:hAnsi="Arial" w:eastAsia="仿宋_GB2312" w:cs="Times New Roman"/>
      <w:sz w:val="32"/>
      <w:szCs w:val="32"/>
    </w:rPr>
  </w:style>
  <w:style w:type="character" w:customStyle="1" w:styleId="73">
    <w:name w:val="正文文本 字符"/>
    <w:link w:val="20"/>
    <w:qFormat/>
    <w:uiPriority w:val="0"/>
    <w:rPr>
      <w:rFonts w:ascii="楷体_GB2312" w:hAnsi="Arial" w:eastAsia="楷体_GB2312" w:cs="Times New Roman"/>
      <w:sz w:val="28"/>
      <w:szCs w:val="28"/>
    </w:rPr>
  </w:style>
  <w:style w:type="character" w:customStyle="1" w:styleId="74">
    <w:name w:val="纯文本 字符"/>
    <w:link w:val="24"/>
    <w:qFormat/>
    <w:uiPriority w:val="0"/>
    <w:rPr>
      <w:rFonts w:ascii="宋体" w:hAnsi="Courier New" w:eastAsia="宋体" w:cs="Courier New"/>
      <w:szCs w:val="21"/>
    </w:rPr>
  </w:style>
  <w:style w:type="character" w:customStyle="1" w:styleId="75">
    <w:name w:val="日期 字符"/>
    <w:link w:val="26"/>
    <w:qFormat/>
    <w:uiPriority w:val="0"/>
    <w:rPr>
      <w:rFonts w:ascii="Times New Roman" w:hAnsi="Times New Roman" w:eastAsia="宋体" w:cs="Times New Roman"/>
      <w:sz w:val="24"/>
      <w:szCs w:val="24"/>
    </w:rPr>
  </w:style>
  <w:style w:type="character" w:customStyle="1" w:styleId="76">
    <w:name w:val="正文文本缩进 2 字符"/>
    <w:link w:val="27"/>
    <w:qFormat/>
    <w:uiPriority w:val="0"/>
    <w:rPr>
      <w:rFonts w:ascii="Arial" w:hAnsi="Arial" w:eastAsia="仿宋_GB2312" w:cs="Arial"/>
      <w:sz w:val="32"/>
      <w:szCs w:val="32"/>
    </w:rPr>
  </w:style>
  <w:style w:type="character" w:customStyle="1" w:styleId="77">
    <w:name w:val="批注框文本 字符"/>
    <w:link w:val="28"/>
    <w:semiHidden/>
    <w:qFormat/>
    <w:uiPriority w:val="0"/>
    <w:rPr>
      <w:rFonts w:ascii="Times New Roman" w:hAnsi="Times New Roman" w:eastAsia="宋体" w:cs="Times New Roman"/>
      <w:sz w:val="18"/>
      <w:szCs w:val="18"/>
    </w:rPr>
  </w:style>
  <w:style w:type="character" w:customStyle="1" w:styleId="78">
    <w:name w:val="页脚 字符"/>
    <w:link w:val="29"/>
    <w:qFormat/>
    <w:uiPriority w:val="0"/>
    <w:rPr>
      <w:rFonts w:ascii="Times New Roman" w:hAnsi="Times New Roman" w:eastAsia="宋体" w:cs="Times New Roman"/>
      <w:sz w:val="18"/>
      <w:szCs w:val="18"/>
    </w:rPr>
  </w:style>
  <w:style w:type="character" w:customStyle="1" w:styleId="79">
    <w:name w:val="页眉 字符"/>
    <w:link w:val="30"/>
    <w:qFormat/>
    <w:uiPriority w:val="0"/>
    <w:rPr>
      <w:rFonts w:ascii="Times New Roman" w:hAnsi="Times New Roman" w:eastAsia="宋体" w:cs="Times New Roman"/>
      <w:sz w:val="18"/>
      <w:szCs w:val="18"/>
    </w:rPr>
  </w:style>
  <w:style w:type="character" w:customStyle="1" w:styleId="80">
    <w:name w:val="正文文本缩进 3 字符"/>
    <w:link w:val="35"/>
    <w:qFormat/>
    <w:uiPriority w:val="0"/>
    <w:rPr>
      <w:rFonts w:ascii="Arial" w:hAnsi="Arial" w:eastAsia="仿宋_GB2312" w:cs="Arial"/>
      <w:color w:val="FFFF00"/>
      <w:sz w:val="32"/>
      <w:szCs w:val="32"/>
    </w:rPr>
  </w:style>
  <w:style w:type="character" w:customStyle="1" w:styleId="81">
    <w:name w:val="正文文本 2 字符"/>
    <w:link w:val="39"/>
    <w:qFormat/>
    <w:uiPriority w:val="0"/>
    <w:rPr>
      <w:rFonts w:ascii="楷体_GB2312" w:hAnsi="Times New Roman" w:eastAsia="楷体_GB2312" w:cs="Times New Roman"/>
      <w:sz w:val="28"/>
      <w:szCs w:val="28"/>
    </w:rPr>
  </w:style>
  <w:style w:type="character" w:customStyle="1" w:styleId="82">
    <w:name w:val="批注主题 字符"/>
    <w:link w:val="42"/>
    <w:semiHidden/>
    <w:qFormat/>
    <w:uiPriority w:val="0"/>
    <w:rPr>
      <w:rFonts w:ascii="Times New Roman" w:hAnsi="Times New Roman" w:eastAsia="宋体" w:cs="Times New Roman"/>
      <w:b/>
      <w:bCs/>
      <w:szCs w:val="21"/>
    </w:rPr>
  </w:style>
  <w:style w:type="character" w:customStyle="1" w:styleId="83">
    <w:name w:val="正文文本首行缩进 字符"/>
    <w:link w:val="43"/>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20"/>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7"/>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7"/>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5"/>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7"/>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eastAsia="宋体" w:cs="Times New Roman"/>
      <w:sz w:val="28"/>
      <w:szCs w:val="28"/>
    </w:rPr>
  </w:style>
  <w:style w:type="paragraph" w:customStyle="1" w:styleId="129">
    <w:name w:val="纯文本1"/>
    <w:basedOn w:val="1"/>
    <w:qFormat/>
    <w:uiPriority w:val="0"/>
    <w:rPr>
      <w:rFonts w:ascii="宋体" w:hAnsi="Courier New" w:eastAsia="宋体" w:cs="宋体"/>
      <w:szCs w:val="21"/>
    </w:rPr>
  </w:style>
  <w:style w:type="paragraph" w:customStyle="1" w:styleId="130">
    <w:name w:val="无间隔"/>
    <w:qFormat/>
    <w:uiPriority w:val="0"/>
    <w:rPr>
      <w:rFonts w:hint="default"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eastAsia="宋体"/>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spacing w:after="0" w:line="240" w:lineRule="auto"/>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135">
    <w:name w:val="NormalCharacter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21191</Words>
  <Characters>22560</Characters>
  <Lines>196</Lines>
  <Paragraphs>55</Paragraphs>
  <TotalTime>6</TotalTime>
  <ScaleCrop>false</ScaleCrop>
  <LinksUpToDate>false</LinksUpToDate>
  <CharactersWithSpaces>23215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2024-11-05T03:31:00Z</cp:lastPrinted>
  <dcterms:modified xsi:type="dcterms:W3CDTF">2025-06-06T09:07:43Z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