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4"/>
        <w:ind w:left="0"/>
        <w:jc w:val="both"/>
        <w:spacing w:before="0" w:line="360" w:lineRule="auto"/>
        <w:rPr>
          <w:rFonts w:hAnsi="宋体"/>
          <w:sz w:val="21"/>
        </w:rPr>
      </w:pPr>
      <w:r>
        <w:rPr>
          <w:rFonts w:hAnsi="宋体"/>
          <w:sz w:val="21"/>
        </w:rPr>
      </w:r>
      <w:r/>
    </w:p>
    <w:p>
      <w:pPr>
        <w:pStyle w:val="834"/>
        <w:ind w:left="0"/>
        <w:jc w:val="both"/>
        <w:spacing w:before="0" w:line="360" w:lineRule="auto"/>
        <w:rPr>
          <w:rFonts w:hAnsi="宋体"/>
          <w:sz w:val="21"/>
        </w:rPr>
      </w:pPr>
      <w:r>
        <w:rPr>
          <w:rFonts w:hAnsi="宋体"/>
          <w:sz w:val="21"/>
        </w:rPr>
      </w:r>
      <w:r/>
    </w:p>
    <w:p>
      <w:pPr>
        <w:pStyle w:val="834"/>
        <w:ind w:left="0"/>
        <w:jc w:val="both"/>
        <w:spacing w:before="0" w:line="360" w:lineRule="auto"/>
        <w:rPr>
          <w:rFonts w:hAnsi="宋体"/>
          <w:sz w:val="21"/>
        </w:rPr>
      </w:pPr>
      <w:r>
        <w:rPr>
          <w:rFonts w:hAnsi="宋体"/>
          <w:sz w:val="21"/>
        </w:rPr>
      </w:r>
      <w:r/>
    </w:p>
    <w:p>
      <w:pPr>
        <w:pStyle w:val="834"/>
        <w:ind w:left="0"/>
        <w:jc w:val="both"/>
        <w:spacing w:before="0" w:line="360" w:lineRule="auto"/>
        <w:rPr>
          <w:rFonts w:hAnsi="宋体"/>
          <w:sz w:val="21"/>
        </w:rPr>
      </w:pPr>
      <w:r>
        <w:rPr>
          <w:rFonts w:hAnsi="宋体"/>
          <w:sz w:val="21"/>
        </w:rPr>
      </w:r>
      <w:r/>
    </w:p>
    <w:p>
      <w:pPr>
        <w:pStyle w:val="834"/>
        <w:ind w:left="0"/>
        <w:jc w:val="both"/>
        <w:spacing w:before="0" w:line="360" w:lineRule="auto"/>
        <w:rPr>
          <w:rFonts w:hAnsi="宋体"/>
          <w:sz w:val="21"/>
        </w:rPr>
      </w:pPr>
      <w:r>
        <w:rPr>
          <w:rFonts w:hAnsi="宋体"/>
          <w:sz w:val="21"/>
        </w:rPr>
      </w:r>
      <w:r/>
    </w:p>
    <w:p>
      <w:pPr>
        <w:jc w:val="center"/>
        <w:rPr>
          <w:rFonts w:hAnsi="宋体"/>
          <w:b/>
          <w:sz w:val="84"/>
        </w:rPr>
      </w:pPr>
      <w:r>
        <w:rPr>
          <w:rFonts w:hint="eastAsia" w:hAnsi="宋体"/>
          <w:b/>
          <w:sz w:val="84"/>
        </w:rPr>
        <w:t xml:space="preserve">太仓市政府采购</w:t>
      </w:r>
      <w:r/>
    </w:p>
    <w:p>
      <w:pPr>
        <w:jc w:val="center"/>
        <w:rPr>
          <w:rFonts w:hAnsi="宋体"/>
          <w:b/>
          <w:sz w:val="84"/>
        </w:rPr>
      </w:pPr>
      <w:r>
        <w:rPr>
          <w:rFonts w:hint="eastAsia" w:hAnsi="宋体"/>
          <w:b/>
          <w:sz w:val="84"/>
        </w:rPr>
        <w:t xml:space="preserve">招标文件</w:t>
      </w:r>
      <w:r/>
    </w:p>
    <w:p>
      <w:pPr>
        <w:pStyle w:val="834"/>
        <w:ind w:left="0"/>
        <w:jc w:val="both"/>
        <w:spacing w:before="0" w:line="360" w:lineRule="auto"/>
        <w:rPr>
          <w:rFonts w:hAnsi="宋体"/>
          <w:sz w:val="21"/>
        </w:rPr>
      </w:pPr>
      <w:r>
        <w:rPr>
          <w:rFonts w:hAnsi="宋体"/>
          <w:sz w:val="21"/>
        </w:rPr>
      </w:r>
      <w:r/>
    </w:p>
    <w:p>
      <w:pPr>
        <w:pStyle w:val="834"/>
        <w:ind w:left="0"/>
        <w:jc w:val="both"/>
        <w:spacing w:before="0" w:line="360" w:lineRule="auto"/>
        <w:rPr>
          <w:rFonts w:hAnsi="宋体"/>
          <w:sz w:val="21"/>
        </w:rPr>
      </w:pPr>
      <w:r>
        <w:rPr>
          <w:rFonts w:hAnsi="宋体"/>
          <w:sz w:val="21"/>
        </w:rPr>
      </w:r>
      <w:r/>
    </w:p>
    <w:p>
      <w:pPr>
        <w:pStyle w:val="834"/>
        <w:ind w:left="0"/>
        <w:jc w:val="both"/>
        <w:spacing w:before="0" w:line="360" w:lineRule="auto"/>
        <w:rPr>
          <w:rFonts w:hAnsi="宋体"/>
          <w:sz w:val="21"/>
        </w:rPr>
      </w:pPr>
      <w:r>
        <w:rPr>
          <w:rFonts w:hAnsi="宋体"/>
          <w:sz w:val="21"/>
        </w:rPr>
      </w:r>
      <w:r/>
    </w:p>
    <w:p>
      <w:pPr>
        <w:pStyle w:val="834"/>
        <w:ind w:left="0"/>
        <w:jc w:val="both"/>
        <w:spacing w:before="0" w:line="360" w:lineRule="auto"/>
        <w:rPr>
          <w:rFonts w:hAnsi="宋体"/>
          <w:sz w:val="21"/>
        </w:rPr>
      </w:pPr>
      <w:r>
        <w:rPr>
          <w:rFonts w:hAnsi="宋体"/>
          <w:sz w:val="21"/>
        </w:rPr>
      </w:r>
      <w:r/>
    </w:p>
    <w:p>
      <w:pPr>
        <w:pStyle w:val="834"/>
        <w:ind w:left="0"/>
        <w:jc w:val="both"/>
        <w:spacing w:before="0" w:line="360" w:lineRule="auto"/>
        <w:rPr>
          <w:rFonts w:hAnsi="宋体"/>
          <w:sz w:val="21"/>
        </w:rPr>
      </w:pPr>
      <w:r>
        <w:rPr>
          <w:rFonts w:hAnsi="宋体"/>
          <w:sz w:val="21"/>
        </w:rPr>
      </w:r>
      <w:r/>
    </w:p>
    <w:p>
      <w:pPr>
        <w:pStyle w:val="834"/>
        <w:ind w:left="0"/>
        <w:jc w:val="both"/>
        <w:spacing w:before="0" w:line="360" w:lineRule="auto"/>
        <w:rPr>
          <w:rFonts w:hAnsi="宋体"/>
          <w:sz w:val="21"/>
        </w:rPr>
      </w:pPr>
      <w:r>
        <w:rPr>
          <w:rFonts w:hAnsi="宋体"/>
          <w:sz w:val="21"/>
        </w:rPr>
      </w:r>
      <w:r/>
    </w:p>
    <w:p>
      <w:pPr>
        <w:pStyle w:val="834"/>
        <w:ind w:left="0"/>
        <w:jc w:val="both"/>
        <w:spacing w:before="0" w:line="360" w:lineRule="auto"/>
        <w:rPr>
          <w:rFonts w:hAnsi="宋体"/>
          <w:sz w:val="21"/>
        </w:rPr>
      </w:pPr>
      <w:r>
        <w:rPr>
          <w:rFonts w:hAnsi="宋体"/>
          <w:sz w:val="21"/>
        </w:rPr>
      </w:r>
      <w:r/>
    </w:p>
    <w:p>
      <w:pPr>
        <w:pStyle w:val="834"/>
        <w:ind w:left="0" w:firstLine="851"/>
        <w:jc w:val="both"/>
        <w:spacing w:before="0" w:line="360" w:lineRule="auto"/>
        <w:rPr>
          <w:rFonts w:hint="eastAsia" w:hAnsi="宋体" w:eastAsia="宋体"/>
          <w:b/>
          <w:bCs/>
          <w:color w:val="auto"/>
          <w:sz w:val="32"/>
          <w:szCs w:val="32"/>
          <w:highlight w:val="none"/>
          <w:lang w:eastAsia="zh-CN"/>
        </w:rPr>
      </w:pPr>
      <w:r>
        <w:rPr>
          <w:rFonts w:hint="eastAsia" w:hAnsi="宋体"/>
          <w:b/>
          <w:bCs/>
          <w:sz w:val="32"/>
          <w:szCs w:val="32"/>
        </w:rPr>
        <w:t xml:space="preserve">项目编号：</w:t>
      </w:r>
      <w:r>
        <w:rPr>
          <w:rFonts w:hint="eastAsia" w:hAnsi="宋体"/>
          <w:b/>
          <w:bCs/>
          <w:color w:val="auto"/>
          <w:sz w:val="32"/>
          <w:szCs w:val="32"/>
          <w:highlight w:val="none"/>
          <w:lang w:eastAsia="zh-CN"/>
        </w:rPr>
        <w:t xml:space="preserve">JSZC-320585-ZFXM-G2025-0007 </w:t>
      </w:r>
      <w:r/>
    </w:p>
    <w:p>
      <w:pPr>
        <w:pStyle w:val="834"/>
        <w:ind w:left="0" w:firstLine="851"/>
        <w:jc w:val="both"/>
        <w:spacing w:before="0" w:line="360" w:lineRule="auto"/>
        <w:rPr>
          <w:rFonts w:hint="eastAsia" w:hAnsi="宋体" w:eastAsia="宋体"/>
          <w:b/>
          <w:bCs/>
          <w:color w:val="auto"/>
          <w:sz w:val="32"/>
          <w:szCs w:val="32"/>
          <w:highlight w:val="none"/>
          <w:lang w:eastAsia="zh-CN"/>
        </w:rPr>
      </w:pPr>
      <w:r>
        <w:rPr>
          <w:rFonts w:hint="eastAsia" w:hAnsi="宋体"/>
          <w:b/>
          <w:bCs/>
          <w:color w:val="auto"/>
          <w:sz w:val="32"/>
          <w:szCs w:val="32"/>
          <w:highlight w:val="none"/>
        </w:rPr>
        <w:t xml:space="preserve">采购内容：</w:t>
      </w:r>
      <w:r>
        <w:rPr>
          <w:rFonts w:hint="eastAsia" w:hAnsi="宋体"/>
          <w:b/>
          <w:bCs/>
          <w:color w:val="auto"/>
          <w:sz w:val="32"/>
          <w:szCs w:val="32"/>
          <w:highlight w:val="none"/>
          <w:lang w:eastAsia="zh-CN"/>
        </w:rPr>
        <w:t xml:space="preserve">太仓高新区2025年重点项目征占用林地、采伐报批材料编制服务</w:t>
      </w:r>
      <w:r/>
    </w:p>
    <w:p>
      <w:pPr>
        <w:pStyle w:val="834"/>
        <w:ind w:left="0" w:firstLine="851"/>
        <w:jc w:val="both"/>
        <w:spacing w:before="0" w:line="360" w:lineRule="auto"/>
        <w:rPr>
          <w:rFonts w:hint="eastAsia" w:hAnsi="宋体" w:eastAsia="宋体"/>
          <w:b/>
          <w:bCs/>
          <w:color w:val="auto"/>
          <w:sz w:val="32"/>
          <w:szCs w:val="32"/>
          <w:highlight w:val="none"/>
          <w:lang w:eastAsia="zh-CN"/>
        </w:rPr>
      </w:pPr>
      <w:r>
        <w:rPr>
          <w:rFonts w:hint="eastAsia" w:hAnsi="宋体"/>
          <w:b/>
          <w:bCs/>
          <w:color w:val="auto"/>
          <w:sz w:val="32"/>
          <w:szCs w:val="32"/>
          <w:highlight w:val="none"/>
        </w:rPr>
        <w:t xml:space="preserve">采购单位：</w:t>
      </w:r>
      <w:r>
        <w:rPr>
          <w:rFonts w:hint="eastAsia" w:hAnsi="宋体"/>
          <w:b/>
          <w:bCs/>
          <w:color w:val="auto"/>
          <w:sz w:val="32"/>
          <w:szCs w:val="32"/>
          <w:highlight w:val="none"/>
          <w:lang w:eastAsia="zh-CN"/>
        </w:rPr>
        <w:t xml:space="preserve">江苏省太仓高新技术产业开发区管理委员会</w:t>
      </w:r>
      <w:r/>
    </w:p>
    <w:p>
      <w:pPr>
        <w:pStyle w:val="834"/>
        <w:ind w:left="0" w:firstLine="851"/>
        <w:jc w:val="both"/>
        <w:spacing w:before="0" w:line="360" w:lineRule="auto"/>
        <w:rPr>
          <w:rFonts w:hAnsi="宋体"/>
          <w:b/>
          <w:bCs/>
          <w:color w:val="auto"/>
          <w:sz w:val="32"/>
          <w:szCs w:val="32"/>
          <w:highlight w:val="none"/>
        </w:rPr>
      </w:pPr>
      <w:r>
        <w:rPr>
          <w:rFonts w:hint="eastAsia" w:hAnsi="宋体"/>
          <w:b/>
          <w:bCs/>
          <w:color w:val="auto"/>
          <w:sz w:val="32"/>
          <w:szCs w:val="32"/>
          <w:highlight w:val="none"/>
        </w:rPr>
        <w:t xml:space="preserve">项目类别：服务类 </w:t>
      </w:r>
      <w:r/>
    </w:p>
    <w:p>
      <w:pPr>
        <w:pStyle w:val="834"/>
        <w:ind w:left="0" w:firstLine="851"/>
        <w:jc w:val="both"/>
        <w:spacing w:before="0" w:line="360" w:lineRule="auto"/>
        <w:rPr>
          <w:rFonts w:hAnsi="宋体"/>
          <w:b/>
          <w:bCs/>
          <w:color w:val="auto"/>
          <w:sz w:val="32"/>
          <w:szCs w:val="32"/>
          <w:highlight w:val="none"/>
        </w:rPr>
      </w:pPr>
      <w:r>
        <w:rPr>
          <w:rFonts w:hint="eastAsia" w:hAnsi="宋体"/>
          <w:b/>
          <w:bCs/>
          <w:color w:val="auto"/>
          <w:sz w:val="32"/>
          <w:szCs w:val="32"/>
          <w:highlight w:val="none"/>
        </w:rPr>
        <w:t xml:space="preserve">标的所属行业：（十六）其他未列明行业</w:t>
      </w:r>
      <w:r/>
    </w:p>
    <w:p>
      <w:pPr>
        <w:pStyle w:val="834"/>
        <w:ind w:left="0"/>
        <w:jc w:val="both"/>
        <w:spacing w:before="0" w:line="360" w:lineRule="auto"/>
        <w:rPr>
          <w:rFonts w:hAnsi="宋体"/>
          <w:color w:val="auto"/>
          <w:sz w:val="21"/>
          <w:highlight w:val="none"/>
        </w:rPr>
      </w:pPr>
      <w:r>
        <w:rPr>
          <w:rFonts w:hAnsi="宋体"/>
          <w:color w:val="auto"/>
          <w:sz w:val="21"/>
          <w:highlight w:val="none"/>
        </w:rPr>
      </w:r>
      <w:r/>
    </w:p>
    <w:p>
      <w:pPr>
        <w:pStyle w:val="834"/>
        <w:ind w:left="0"/>
        <w:jc w:val="both"/>
        <w:spacing w:before="0" w:line="360" w:lineRule="auto"/>
        <w:rPr>
          <w:rFonts w:hAnsi="宋体"/>
          <w:color w:val="auto"/>
          <w:sz w:val="21"/>
          <w:highlight w:val="none"/>
        </w:rPr>
      </w:pPr>
      <w:r>
        <w:rPr>
          <w:rFonts w:hAnsi="宋体"/>
          <w:color w:val="auto"/>
          <w:sz w:val="21"/>
          <w:highlight w:val="none"/>
        </w:rPr>
      </w:r>
      <w:r/>
    </w:p>
    <w:p>
      <w:pPr>
        <w:pStyle w:val="834"/>
        <w:ind w:left="0"/>
        <w:jc w:val="both"/>
        <w:spacing w:before="0" w:line="360" w:lineRule="auto"/>
        <w:rPr>
          <w:rFonts w:hAnsi="宋体"/>
          <w:color w:val="auto"/>
          <w:sz w:val="21"/>
          <w:highlight w:val="none"/>
        </w:rPr>
      </w:pPr>
      <w:r>
        <w:rPr>
          <w:rFonts w:hAnsi="宋体"/>
          <w:color w:val="auto"/>
          <w:sz w:val="21"/>
          <w:highlight w:val="none"/>
        </w:rPr>
      </w:r>
      <w:r/>
    </w:p>
    <w:p>
      <w:pPr>
        <w:pStyle w:val="834"/>
        <w:ind w:left="0"/>
        <w:jc w:val="both"/>
        <w:spacing w:before="0" w:line="360" w:lineRule="auto"/>
        <w:rPr>
          <w:rFonts w:hAnsi="宋体"/>
          <w:color w:val="auto"/>
          <w:sz w:val="21"/>
          <w:highlight w:val="none"/>
        </w:rPr>
      </w:pPr>
      <w:r>
        <w:rPr>
          <w:rFonts w:hAnsi="宋体"/>
          <w:color w:val="auto"/>
          <w:sz w:val="21"/>
          <w:highlight w:val="none"/>
        </w:rPr>
      </w:r>
      <w:r/>
    </w:p>
    <w:p>
      <w:pPr>
        <w:pStyle w:val="834"/>
        <w:ind w:left="0"/>
        <w:jc w:val="both"/>
        <w:spacing w:before="0" w:line="360" w:lineRule="auto"/>
        <w:rPr>
          <w:rFonts w:hAnsi="宋体"/>
          <w:color w:val="auto"/>
          <w:sz w:val="21"/>
          <w:highlight w:val="none"/>
        </w:rPr>
      </w:pPr>
      <w:r>
        <w:rPr>
          <w:rFonts w:hAnsi="宋体"/>
          <w:color w:val="auto"/>
          <w:sz w:val="21"/>
          <w:highlight w:val="none"/>
        </w:rPr>
      </w:r>
      <w:r/>
    </w:p>
    <w:p>
      <w:pPr>
        <w:pStyle w:val="834"/>
        <w:ind w:left="0"/>
        <w:jc w:val="center"/>
        <w:spacing w:before="0" w:line="360" w:lineRule="auto"/>
        <w:rPr>
          <w:rFonts w:hint="eastAsia" w:hAnsi="宋体" w:eastAsia="宋体"/>
          <w:b/>
          <w:bCs/>
          <w:color w:val="auto"/>
          <w:sz w:val="32"/>
          <w:szCs w:val="32"/>
          <w:highlight w:val="none"/>
          <w:lang w:eastAsia="zh-CN"/>
        </w:rPr>
      </w:pPr>
      <w:r>
        <w:rPr>
          <w:rFonts w:hint="eastAsia" w:hAnsi="宋体"/>
          <w:b/>
          <w:bCs/>
          <w:color w:val="auto"/>
          <w:sz w:val="32"/>
          <w:szCs w:val="32"/>
          <w:highlight w:val="none"/>
        </w:rPr>
        <w:t xml:space="preserve">代理机构：</w:t>
      </w:r>
      <w:r>
        <w:rPr>
          <w:rFonts w:hint="eastAsia" w:hAnsi="宋体"/>
          <w:b/>
          <w:bCs/>
          <w:color w:val="auto"/>
          <w:sz w:val="32"/>
          <w:szCs w:val="32"/>
          <w:highlight w:val="none"/>
          <w:lang w:eastAsia="zh-CN"/>
        </w:rPr>
        <w:t xml:space="preserve">江苏兆丰项目管理有限公司</w:t>
      </w:r>
      <w:r/>
    </w:p>
    <w:p>
      <w:pPr>
        <w:pStyle w:val="834"/>
        <w:ind w:left="0"/>
        <w:jc w:val="center"/>
        <w:spacing w:before="0" w:line="360" w:lineRule="auto"/>
        <w:rPr>
          <w:rFonts w:hAnsi="宋体"/>
          <w:b/>
          <w:bCs/>
          <w:color w:val="auto"/>
          <w:sz w:val="32"/>
          <w:szCs w:val="32"/>
          <w:highlight w:val="none"/>
        </w:rPr>
      </w:pPr>
      <w:r>
        <w:rPr>
          <w:rFonts w:hint="eastAsia" w:hAnsi="宋体"/>
          <w:b/>
          <w:bCs/>
          <w:color w:val="auto"/>
          <w:sz w:val="32"/>
          <w:szCs w:val="32"/>
          <w:highlight w:val="none"/>
        </w:rPr>
        <w:t xml:space="preserve">二○二</w:t>
      </w:r>
      <w:r>
        <w:rPr>
          <w:rFonts w:hint="eastAsia" w:hAnsi="宋体"/>
          <w:b/>
          <w:bCs/>
          <w:color w:val="auto"/>
          <w:sz w:val="32"/>
          <w:szCs w:val="32"/>
          <w:highlight w:val="none"/>
          <w:lang w:val="en-US" w:eastAsia="zh-CN"/>
        </w:rPr>
        <w:t xml:space="preserve">五</w:t>
      </w:r>
      <w:r>
        <w:rPr>
          <w:rFonts w:hint="eastAsia" w:hAnsi="宋体"/>
          <w:b/>
          <w:bCs/>
          <w:color w:val="auto"/>
          <w:sz w:val="32"/>
          <w:szCs w:val="32"/>
          <w:highlight w:val="none"/>
        </w:rPr>
        <w:t xml:space="preserve">年</w:t>
      </w:r>
      <w:r>
        <w:rPr>
          <w:rFonts w:hint="eastAsia" w:hAnsi="宋体"/>
          <w:b/>
          <w:bCs/>
          <w:color w:val="auto"/>
          <w:sz w:val="32"/>
          <w:szCs w:val="32"/>
          <w:highlight w:val="none"/>
          <w:lang w:val="en-US" w:eastAsia="zh-CN"/>
        </w:rPr>
        <w:t xml:space="preserve">五</w:t>
      </w:r>
      <w:r>
        <w:rPr>
          <w:rFonts w:hint="eastAsia" w:hAnsi="宋体"/>
          <w:b/>
          <w:bCs/>
          <w:color w:val="auto"/>
          <w:sz w:val="32"/>
          <w:szCs w:val="32"/>
          <w:highlight w:val="none"/>
        </w:rPr>
        <w:t xml:space="preserve">月</w:t>
      </w:r>
      <w:r/>
    </w:p>
    <w:p>
      <w:pPr>
        <w:pStyle w:val="834"/>
        <w:ind w:left="0"/>
        <w:jc w:val="both"/>
        <w:spacing w:before="0" w:line="360" w:lineRule="auto"/>
        <w:rPr>
          <w:rFonts w:hAnsi="宋体"/>
          <w:color w:val="auto"/>
          <w:sz w:val="21"/>
          <w:highlight w:val="none"/>
        </w:rPr>
      </w:pPr>
      <w:r>
        <w:rPr>
          <w:rFonts w:hAnsi="宋体"/>
          <w:color w:val="auto"/>
          <w:sz w:val="21"/>
          <w:highlight w:val="none"/>
        </w:rPr>
      </w:r>
      <w:r/>
    </w:p>
    <w:p>
      <w:pPr>
        <w:pStyle w:val="834"/>
        <w:ind w:left="0"/>
        <w:jc w:val="both"/>
        <w:spacing w:before="0" w:line="360" w:lineRule="auto"/>
        <w:rPr>
          <w:rFonts w:hAnsi="宋体"/>
          <w:color w:val="auto"/>
          <w:sz w:val="21"/>
          <w:highlight w:val="none"/>
        </w:rPr>
      </w:pPr>
      <w:r>
        <w:rPr>
          <w:rFonts w:hAnsi="宋体"/>
          <w:color w:val="auto"/>
          <w:sz w:val="21"/>
          <w:highlight w:val="none"/>
        </w:rPr>
      </w:r>
      <w:r/>
    </w:p>
    <w:p>
      <w:pPr>
        <w:jc w:val="center"/>
        <w:rPr>
          <w:rFonts w:hAnsi="宋体"/>
          <w:b/>
          <w:color w:val="auto"/>
          <w:sz w:val="44"/>
          <w:szCs w:val="44"/>
          <w:highlight w:val="none"/>
        </w:rPr>
      </w:pPr>
      <w:r>
        <w:rPr>
          <w:rFonts w:hAnsi="宋体"/>
          <w:b/>
          <w:color w:val="auto"/>
          <w:sz w:val="44"/>
          <w:szCs w:val="44"/>
          <w:highlight w:val="none"/>
        </w:rPr>
        <w:t xml:space="preserve">目   录</w:t>
      </w:r>
      <w:r/>
    </w:p>
    <w:sdt>
      <w:sdtPr>
        <w15:appearance w15:val="boundingBox"/>
        <w:id w:val="511881242"/>
        <w:docPartObj>
          <w:docPartGallery w:val="Table of Contents"/>
          <w:docPartUnique w:val="true"/>
        </w:docPartObj>
        <w:rPr>
          <w:rFonts w:ascii="宋体" w:cs="宋体"/>
          <w:color w:val="auto"/>
          <w:sz w:val="22"/>
          <w:szCs w:val="22"/>
          <w:highlight w:val="none"/>
          <w:lang w:val="zh-CN"/>
        </w:rPr>
      </w:sdtPr>
      <w:sdtContent>
        <w:p>
          <w:pPr>
            <w:pStyle w:val="1026"/>
            <w:rPr>
              <w:color w:val="auto"/>
              <w:highlight w:val="none"/>
            </w:rPr>
          </w:pPr>
          <w:r>
            <w:rPr>
              <w:color w:val="auto"/>
              <w:highlight w:val="none"/>
            </w:rPr>
          </w:r>
          <w:r/>
        </w:p>
        <w:p>
          <w:pPr>
            <w:pStyle w:val="845"/>
            <w:rPr>
              <w:rFonts w:asciiTheme="minorHAnsi" w:hAnsiTheme="minorHAnsi" w:eastAsiaTheme="minorEastAsia" w:cstheme="minorBidi"/>
              <w:b w:val="0"/>
              <w:bCs w:val="0"/>
              <w:caps w:val="0"/>
              <w:color w:val="auto"/>
              <w:sz w:val="21"/>
              <w:szCs w:val="22"/>
              <w:highlight w:val="none"/>
            </w:rPr>
          </w:pPr>
          <w:r>
            <w:rPr>
              <w:color w:val="auto"/>
              <w:highlight w:val="none"/>
            </w:rPr>
            <w:fldChar w:fldCharType="begin"/>
          </w:r>
          <w:r>
            <w:rPr>
              <w:color w:val="auto"/>
              <w:highlight w:val="none"/>
            </w:rPr>
            <w:instrText xml:space="preserve"> TOC \o "1-3" \h \z \u </w:instrText>
          </w:r>
          <w:r>
            <w:rPr>
              <w:color w:val="auto"/>
              <w:highlight w:val="none"/>
            </w:rPr>
            <w:fldChar w:fldCharType="separate"/>
          </w:r>
          <w:r>
            <w:rPr>
              <w:color w:val="auto"/>
              <w:highlight w:val="none"/>
            </w:rPr>
            <w:fldChar w:fldCharType="begin"/>
          </w:r>
          <w:r>
            <w:rPr>
              <w:color w:val="auto"/>
              <w:highlight w:val="none"/>
            </w:rPr>
            <w:instrText xml:space="preserve"> HYPERLINK \l "_Toc159507035" \o "#_Toc159507035" </w:instrText>
          </w:r>
          <w:r>
            <w:rPr>
              <w:color w:val="auto"/>
              <w:highlight w:val="none"/>
            </w:rPr>
            <w:fldChar w:fldCharType="separate"/>
          </w:r>
          <w:r>
            <w:rPr>
              <w:rStyle w:val="863"/>
              <w:rFonts w:hAnsi="宋体"/>
              <w:color w:val="auto"/>
              <w:highlight w:val="none"/>
            </w:rPr>
            <w:t xml:space="preserve">第一章 招标公告</w:t>
          </w:r>
          <w:r>
            <w:rPr>
              <w:color w:val="auto"/>
              <w:highlight w:val="none"/>
            </w:rPr>
            <w:tab/>
          </w:r>
          <w:r>
            <w:rPr>
              <w:color w:val="auto"/>
              <w:highlight w:val="none"/>
            </w:rPr>
            <w:fldChar w:fldCharType="begin"/>
          </w:r>
          <w:r>
            <w:rPr>
              <w:color w:val="auto"/>
              <w:highlight w:val="none"/>
            </w:rPr>
            <w:instrText xml:space="preserve"> PAGEREF _Toc159507035 \h </w:instrText>
          </w:r>
          <w:r>
            <w:rPr>
              <w:color w:val="auto"/>
              <w:highlight w:val="none"/>
            </w:rPr>
            <w:fldChar w:fldCharType="separate"/>
          </w:r>
          <w:r>
            <w:rPr>
              <w:color w:val="auto"/>
              <w:highlight w:val="none"/>
            </w:rPr>
            <w:t xml:space="preserve">3</w:t>
          </w:r>
          <w:r>
            <w:rPr>
              <w:color w:val="auto"/>
              <w:highlight w:val="none"/>
            </w:rPr>
            <w:fldChar w:fldCharType="end"/>
          </w:r>
          <w:r>
            <w:rPr>
              <w:color w:val="auto"/>
              <w:highlight w:val="none"/>
            </w:rPr>
            <w:fldChar w:fldCharType="end"/>
          </w:r>
          <w:r/>
        </w:p>
        <w:p>
          <w:pPr>
            <w:pStyle w:val="845"/>
            <w:rPr>
              <w:rFonts w:asciiTheme="minorHAnsi" w:hAnsiTheme="minorHAnsi" w:eastAsiaTheme="minorEastAsia" w:cstheme="minorBidi"/>
              <w:b w:val="0"/>
              <w:bCs w:val="0"/>
              <w:caps w:val="0"/>
              <w:color w:val="auto"/>
              <w:sz w:val="21"/>
              <w:szCs w:val="22"/>
              <w:highlight w:val="none"/>
            </w:rPr>
          </w:pPr>
          <w:r>
            <w:rPr>
              <w:color w:val="auto"/>
              <w:highlight w:val="none"/>
            </w:rPr>
            <w:fldChar w:fldCharType="begin"/>
          </w:r>
          <w:r>
            <w:rPr>
              <w:color w:val="auto"/>
              <w:highlight w:val="none"/>
            </w:rPr>
            <w:instrText xml:space="preserve"> HYPERLINK \l "_Toc159507036" \o "#_Toc159507036" </w:instrText>
          </w:r>
          <w:r>
            <w:rPr>
              <w:color w:val="auto"/>
              <w:highlight w:val="none"/>
            </w:rPr>
            <w:fldChar w:fldCharType="separate"/>
          </w:r>
          <w:r>
            <w:rPr>
              <w:rStyle w:val="863"/>
              <w:rFonts w:hAnsi="宋体"/>
              <w:color w:val="auto"/>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_Toc159507036 \h </w:instrText>
          </w:r>
          <w:r>
            <w:rPr>
              <w:color w:val="auto"/>
              <w:highlight w:val="none"/>
            </w:rPr>
            <w:fldChar w:fldCharType="separate"/>
          </w:r>
          <w:r>
            <w:rPr>
              <w:color w:val="auto"/>
              <w:highlight w:val="none"/>
            </w:rPr>
            <w:t xml:space="preserve">7</w:t>
          </w:r>
          <w:r>
            <w:rPr>
              <w:color w:val="auto"/>
              <w:highlight w:val="none"/>
            </w:rPr>
            <w:fldChar w:fldCharType="end"/>
          </w:r>
          <w:r>
            <w:rPr>
              <w:color w:val="auto"/>
              <w:highlight w:val="none"/>
            </w:rPr>
            <w:fldChar w:fldCharType="end"/>
          </w:r>
          <w:r/>
        </w:p>
        <w:p>
          <w:pPr>
            <w:pStyle w:val="845"/>
            <w:rPr>
              <w:rFonts w:asciiTheme="minorHAnsi" w:hAnsiTheme="minorHAnsi" w:eastAsiaTheme="minorEastAsia" w:cstheme="minorBidi"/>
              <w:b w:val="0"/>
              <w:bCs w:val="0"/>
              <w:caps w:val="0"/>
              <w:color w:val="auto"/>
              <w:sz w:val="21"/>
              <w:szCs w:val="22"/>
              <w:highlight w:val="none"/>
            </w:rPr>
          </w:pPr>
          <w:r>
            <w:rPr>
              <w:color w:val="auto"/>
              <w:highlight w:val="none"/>
            </w:rPr>
            <w:fldChar w:fldCharType="begin"/>
          </w:r>
          <w:r>
            <w:rPr>
              <w:color w:val="auto"/>
              <w:highlight w:val="none"/>
            </w:rPr>
            <w:instrText xml:space="preserve"> HYPERLINK \l "_Toc159507037" \o "#_Toc159507037" </w:instrText>
          </w:r>
          <w:r>
            <w:rPr>
              <w:color w:val="auto"/>
              <w:highlight w:val="none"/>
            </w:rPr>
            <w:fldChar w:fldCharType="separate"/>
          </w:r>
          <w:r>
            <w:rPr>
              <w:rStyle w:val="863"/>
              <w:rFonts w:hAnsi="宋体"/>
              <w:color w:val="auto"/>
              <w:highlight w:val="none"/>
            </w:rPr>
            <w:t xml:space="preserve">第三章 项目需求</w:t>
          </w:r>
          <w:r>
            <w:rPr>
              <w:color w:val="auto"/>
              <w:highlight w:val="none"/>
            </w:rPr>
            <w:tab/>
          </w:r>
          <w:r>
            <w:rPr>
              <w:color w:val="auto"/>
              <w:highlight w:val="none"/>
            </w:rPr>
            <w:fldChar w:fldCharType="begin"/>
          </w:r>
          <w:r>
            <w:rPr>
              <w:color w:val="auto"/>
              <w:highlight w:val="none"/>
            </w:rPr>
            <w:instrText xml:space="preserve"> PAGEREF _Toc159507037 \h </w:instrText>
          </w:r>
          <w:r>
            <w:rPr>
              <w:color w:val="auto"/>
              <w:highlight w:val="none"/>
            </w:rPr>
            <w:fldChar w:fldCharType="separate"/>
          </w:r>
          <w:r>
            <w:rPr>
              <w:color w:val="auto"/>
              <w:highlight w:val="none"/>
            </w:rPr>
            <w:t xml:space="preserve">24</w:t>
          </w:r>
          <w:r>
            <w:rPr>
              <w:color w:val="auto"/>
              <w:highlight w:val="none"/>
            </w:rPr>
            <w:fldChar w:fldCharType="end"/>
          </w:r>
          <w:r>
            <w:rPr>
              <w:color w:val="auto"/>
              <w:highlight w:val="none"/>
            </w:rPr>
            <w:fldChar w:fldCharType="end"/>
          </w:r>
          <w:r/>
        </w:p>
        <w:p>
          <w:pPr>
            <w:pStyle w:val="845"/>
            <w:rPr>
              <w:rFonts w:asciiTheme="minorHAnsi" w:hAnsiTheme="minorHAnsi" w:eastAsiaTheme="minorEastAsia" w:cstheme="minorBidi"/>
              <w:b w:val="0"/>
              <w:bCs w:val="0"/>
              <w:caps w:val="0"/>
              <w:color w:val="auto"/>
              <w:sz w:val="21"/>
              <w:szCs w:val="22"/>
              <w:highlight w:val="none"/>
            </w:rPr>
          </w:pPr>
          <w:r>
            <w:rPr>
              <w:color w:val="auto"/>
              <w:highlight w:val="none"/>
            </w:rPr>
            <w:fldChar w:fldCharType="begin"/>
          </w:r>
          <w:r>
            <w:rPr>
              <w:color w:val="auto"/>
              <w:highlight w:val="none"/>
            </w:rPr>
            <w:instrText xml:space="preserve"> HYPERLINK \l "_Toc159507038" \o "#_Toc159507038" </w:instrText>
          </w:r>
          <w:r>
            <w:rPr>
              <w:color w:val="auto"/>
              <w:highlight w:val="none"/>
            </w:rPr>
            <w:fldChar w:fldCharType="separate"/>
          </w:r>
          <w:r>
            <w:rPr>
              <w:rStyle w:val="863"/>
              <w:rFonts w:hAnsi="宋体"/>
              <w:color w:val="auto"/>
              <w:highlight w:val="none"/>
            </w:rPr>
            <w:t xml:space="preserve">第四章 评分办法及评标标准</w:t>
          </w:r>
          <w:r>
            <w:rPr>
              <w:color w:val="auto"/>
              <w:highlight w:val="none"/>
            </w:rPr>
            <w:tab/>
          </w:r>
          <w:r>
            <w:rPr>
              <w:color w:val="auto"/>
              <w:highlight w:val="none"/>
            </w:rPr>
            <w:fldChar w:fldCharType="begin"/>
          </w:r>
          <w:r>
            <w:rPr>
              <w:color w:val="auto"/>
              <w:highlight w:val="none"/>
            </w:rPr>
            <w:instrText xml:space="preserve"> PAGEREF _Toc159507038 \h </w:instrText>
          </w:r>
          <w:r>
            <w:rPr>
              <w:color w:val="auto"/>
              <w:highlight w:val="none"/>
            </w:rPr>
            <w:fldChar w:fldCharType="separate"/>
          </w:r>
          <w:r>
            <w:rPr>
              <w:color w:val="auto"/>
              <w:highlight w:val="none"/>
            </w:rPr>
            <w:t xml:space="preserve">32</w:t>
          </w:r>
          <w:r>
            <w:rPr>
              <w:color w:val="auto"/>
              <w:highlight w:val="none"/>
            </w:rPr>
            <w:fldChar w:fldCharType="end"/>
          </w:r>
          <w:r>
            <w:rPr>
              <w:color w:val="auto"/>
              <w:highlight w:val="none"/>
            </w:rPr>
            <w:fldChar w:fldCharType="end"/>
          </w:r>
          <w:r/>
        </w:p>
        <w:p>
          <w:pPr>
            <w:pStyle w:val="845"/>
            <w:rPr>
              <w:rFonts w:asciiTheme="minorHAnsi" w:hAnsiTheme="minorHAnsi" w:eastAsiaTheme="minorEastAsia" w:cstheme="minorBidi"/>
              <w:b w:val="0"/>
              <w:bCs w:val="0"/>
              <w:caps w:val="0"/>
              <w:color w:val="auto"/>
              <w:sz w:val="21"/>
              <w:szCs w:val="22"/>
              <w:highlight w:val="none"/>
            </w:rPr>
          </w:pPr>
          <w:r>
            <w:rPr>
              <w:color w:val="auto"/>
              <w:highlight w:val="none"/>
            </w:rPr>
            <w:fldChar w:fldCharType="begin"/>
          </w:r>
          <w:r>
            <w:rPr>
              <w:color w:val="auto"/>
              <w:highlight w:val="none"/>
            </w:rPr>
            <w:instrText xml:space="preserve"> HYPERLINK \l "_Toc159507039" \o "#_Toc159507039" </w:instrText>
          </w:r>
          <w:r>
            <w:rPr>
              <w:color w:val="auto"/>
              <w:highlight w:val="none"/>
            </w:rPr>
            <w:fldChar w:fldCharType="separate"/>
          </w:r>
          <w:r>
            <w:rPr>
              <w:rStyle w:val="863"/>
              <w:rFonts w:hAnsi="宋体"/>
              <w:color w:val="auto"/>
              <w:highlight w:val="none"/>
            </w:rPr>
            <w:t xml:space="preserve">第五章 投标文件格式</w:t>
          </w:r>
          <w:r>
            <w:rPr>
              <w:color w:val="auto"/>
              <w:highlight w:val="none"/>
            </w:rPr>
            <w:tab/>
          </w:r>
          <w:r>
            <w:rPr>
              <w:color w:val="auto"/>
              <w:highlight w:val="none"/>
            </w:rPr>
            <w:fldChar w:fldCharType="begin"/>
          </w:r>
          <w:r>
            <w:rPr>
              <w:color w:val="auto"/>
              <w:highlight w:val="none"/>
            </w:rPr>
            <w:instrText xml:space="preserve"> PAGEREF _Toc159507039 \h </w:instrText>
          </w:r>
          <w:r>
            <w:rPr>
              <w:color w:val="auto"/>
              <w:highlight w:val="none"/>
            </w:rPr>
            <w:fldChar w:fldCharType="separate"/>
          </w:r>
          <w:r>
            <w:rPr>
              <w:color w:val="auto"/>
              <w:highlight w:val="none"/>
            </w:rPr>
            <w:t xml:space="preserve">35</w:t>
          </w:r>
          <w:r>
            <w:rPr>
              <w:color w:val="auto"/>
              <w:highlight w:val="none"/>
            </w:rPr>
            <w:fldChar w:fldCharType="end"/>
          </w:r>
          <w:r>
            <w:rPr>
              <w:color w:val="auto"/>
              <w:highlight w:val="none"/>
            </w:rPr>
            <w:fldChar w:fldCharType="end"/>
          </w:r>
          <w:r/>
        </w:p>
        <w:p>
          <w:pPr>
            <w:pStyle w:val="845"/>
            <w:rPr>
              <w:rFonts w:asciiTheme="minorHAnsi" w:hAnsiTheme="minorHAnsi" w:eastAsiaTheme="minorEastAsia" w:cstheme="minorBidi"/>
              <w:b w:val="0"/>
              <w:bCs w:val="0"/>
              <w:caps w:val="0"/>
              <w:color w:val="auto"/>
              <w:sz w:val="21"/>
              <w:szCs w:val="22"/>
              <w:highlight w:val="none"/>
            </w:rPr>
          </w:pPr>
          <w:r>
            <w:rPr>
              <w:color w:val="auto"/>
              <w:highlight w:val="none"/>
            </w:rPr>
            <w:fldChar w:fldCharType="begin"/>
          </w:r>
          <w:r>
            <w:rPr>
              <w:color w:val="auto"/>
              <w:highlight w:val="none"/>
            </w:rPr>
            <w:instrText xml:space="preserve"> HYPERLINK \l "_Toc159507040" \o "#_Toc159507040" </w:instrText>
          </w:r>
          <w:r>
            <w:rPr>
              <w:color w:val="auto"/>
              <w:highlight w:val="none"/>
            </w:rPr>
            <w:fldChar w:fldCharType="separate"/>
          </w:r>
          <w:r>
            <w:rPr>
              <w:rStyle w:val="863"/>
              <w:rFonts w:hAnsi="宋体"/>
              <w:color w:val="auto"/>
              <w:highlight w:val="none"/>
            </w:rPr>
            <w:t xml:space="preserve">第六章 合同主要条款</w:t>
          </w:r>
          <w:r>
            <w:rPr>
              <w:color w:val="auto"/>
              <w:highlight w:val="none"/>
            </w:rPr>
            <w:tab/>
          </w:r>
          <w:r>
            <w:rPr>
              <w:color w:val="auto"/>
              <w:highlight w:val="none"/>
            </w:rPr>
            <w:fldChar w:fldCharType="begin"/>
          </w:r>
          <w:r>
            <w:rPr>
              <w:color w:val="auto"/>
              <w:highlight w:val="none"/>
            </w:rPr>
            <w:instrText xml:space="preserve"> PAGEREF _Toc159507040 \h </w:instrText>
          </w:r>
          <w:r>
            <w:rPr>
              <w:color w:val="auto"/>
              <w:highlight w:val="none"/>
            </w:rPr>
            <w:fldChar w:fldCharType="separate"/>
          </w:r>
          <w:r>
            <w:rPr>
              <w:color w:val="auto"/>
              <w:highlight w:val="none"/>
            </w:rPr>
            <w:t xml:space="preserve">51</w:t>
          </w:r>
          <w:r>
            <w:rPr>
              <w:color w:val="auto"/>
              <w:highlight w:val="none"/>
            </w:rPr>
            <w:fldChar w:fldCharType="end"/>
          </w:r>
          <w:r>
            <w:rPr>
              <w:color w:val="auto"/>
              <w:highlight w:val="none"/>
            </w:rPr>
            <w:fldChar w:fldCharType="end"/>
          </w:r>
          <w:r/>
        </w:p>
        <w:p>
          <w:pPr>
            <w:rPr>
              <w:color w:val="auto"/>
              <w:highlight w:val="none"/>
            </w:rPr>
          </w:pPr>
          <w:r>
            <w:rPr>
              <w:b/>
              <w:bCs/>
              <w:color w:val="auto"/>
              <w:highlight w:val="none"/>
              <w:lang w:val="zh-CN"/>
            </w:rPr>
            <w:fldChar w:fldCharType="end"/>
          </w:r>
          <w:r/>
        </w:p>
      </w:sdtContent>
    </w:sdt>
    <w:p>
      <w:pPr>
        <w:pStyle w:val="834"/>
        <w:ind w:left="0"/>
        <w:jc w:val="both"/>
        <w:spacing w:before="0" w:line="360" w:lineRule="auto"/>
        <w:rPr>
          <w:rFonts w:hAnsi="宋体"/>
          <w:color w:val="auto"/>
          <w:sz w:val="21"/>
          <w:highlight w:val="none"/>
        </w:rPr>
        <w:sectPr>
          <w:footerReference w:type="default" r:id="rId11"/>
          <w:footnotePr/>
          <w:endnotePr/>
          <w:type w:val="nextPage"/>
          <w:pgSz w:w="11910" w:h="16840" w:orient="portrait"/>
          <w:pgMar w:top="1361" w:right="1304" w:bottom="1304" w:left="1361" w:header="0" w:footer="850" w:gutter="0"/>
          <w:pgNumType w:start="1"/>
          <w:cols w:num="1" w:sep="0" w:space="720" w:equalWidth="1"/>
          <w:docGrid w:linePitch="360"/>
        </w:sectPr>
      </w:pPr>
      <w:r>
        <w:rPr>
          <w:rFonts w:hAnsi="宋体"/>
          <w:color w:val="auto"/>
          <w:sz w:val="21"/>
          <w:highlight w:val="none"/>
        </w:rPr>
      </w:r>
      <w:r/>
    </w:p>
    <w:p>
      <w:pPr>
        <w:pStyle w:val="834"/>
        <w:ind w:left="0"/>
        <w:jc w:val="center"/>
        <w:spacing w:before="0" w:line="360" w:lineRule="auto"/>
        <w:rPr>
          <w:rFonts w:hAnsi="宋体"/>
          <w:b/>
          <w:bCs/>
          <w:color w:val="auto"/>
          <w:sz w:val="36"/>
          <w:szCs w:val="36"/>
          <w:highlight w:val="none"/>
        </w:rPr>
        <w:outlineLvl w:val="0"/>
      </w:pPr>
      <w:r/>
      <w:bookmarkStart w:id="0" w:name="_Toc159507035"/>
      <w:r/>
      <w:bookmarkStart w:id="1" w:name="OLE_LINK6"/>
      <w:r>
        <w:rPr>
          <w:rFonts w:hAnsi="宋体"/>
          <w:b/>
          <w:bCs/>
          <w:color w:val="auto"/>
          <w:sz w:val="36"/>
          <w:szCs w:val="36"/>
          <w:highlight w:val="none"/>
        </w:rPr>
        <w:t xml:space="preserve">第</w:t>
      </w:r>
      <w:r>
        <w:rPr>
          <w:rFonts w:hint="eastAsia" w:hAnsi="宋体"/>
          <w:b/>
          <w:bCs/>
          <w:color w:val="auto"/>
          <w:sz w:val="36"/>
          <w:szCs w:val="36"/>
          <w:highlight w:val="none"/>
        </w:rPr>
        <w:t xml:space="preserve">一章 </w:t>
      </w:r>
      <w:bookmarkStart w:id="2" w:name="OLE_LINK4"/>
      <w:r/>
      <w:bookmarkStart w:id="3" w:name="OLE_LINK3"/>
      <w:r/>
      <w:bookmarkStart w:id="4" w:name="OLE_LINK5"/>
      <w:r>
        <w:rPr>
          <w:rFonts w:hint="eastAsia" w:hAnsi="宋体"/>
          <w:b/>
          <w:bCs/>
          <w:color w:val="auto"/>
          <w:sz w:val="36"/>
          <w:szCs w:val="36"/>
          <w:highlight w:val="none"/>
        </w:rPr>
        <w:t xml:space="preserve">招标公告</w:t>
      </w:r>
      <w:bookmarkEnd w:id="0"/>
      <w:r/>
      <w:bookmarkEnd w:id="1"/>
      <w:r/>
      <w:bookmarkEnd w:id="2"/>
      <w:r/>
      <w:bookmarkEnd w:id="3"/>
      <w:r/>
      <w:bookmarkEnd w:id="4"/>
      <w:r/>
      <w:r/>
    </w:p>
    <w:p>
      <w:pPr>
        <w:keepLines w:val="0"/>
        <w:keepNext w:val="0"/>
        <w:pageBreakBefore w:val="0"/>
        <w:spacing w:line="360" w:lineRule="auto"/>
        <w:widowControl w:val="off"/>
        <w:rPr>
          <w:b/>
          <w:bCs/>
          <w:color w:val="auto"/>
          <w:sz w:val="24"/>
          <w:szCs w:val="24"/>
          <w:highlight w:val="none"/>
        </w:rPr>
      </w:pPr>
      <w:r/>
      <w:bookmarkStart w:id="5" w:name="OLE_LINK1"/>
      <w:r>
        <w:rPr>
          <w:rFonts w:hint="eastAsia"/>
          <w:b/>
          <w:bCs/>
          <w:color w:val="auto"/>
          <w:sz w:val="24"/>
          <w:szCs w:val="24"/>
          <w:highlight w:val="none"/>
        </w:rPr>
        <w:t xml:space="preserve">项目概况</w:t>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hint="eastAsia"/>
          <w:color w:val="auto"/>
          <w:sz w:val="24"/>
          <w:szCs w:val="24"/>
          <w:highlight w:val="none"/>
          <w:lang w:eastAsia="zh-CN"/>
        </w:rPr>
        <w:t xml:space="preserve">   太仓高新区2025年重点项目征占用林地、采伐报批材料编制服务</w:t>
      </w:r>
      <w:r>
        <w:rPr>
          <w:rFonts w:hint="eastAsia"/>
          <w:color w:val="auto"/>
          <w:sz w:val="24"/>
          <w:szCs w:val="24"/>
          <w:highlight w:val="none"/>
        </w:rPr>
        <w:t xml:space="preserve">项目的潜在投标人应在“苏采云政府采购一体化平台”中参与项目并下载获取招标文件，并</w:t>
      </w:r>
      <w:r>
        <w:rPr>
          <w:rFonts w:hint="eastAsia"/>
          <w:color w:val="000000" w:themeColor="text1"/>
          <w:sz w:val="24"/>
          <w:szCs w:val="24"/>
          <w:highlight w:val="none"/>
        </w:rPr>
        <w:t xml:space="preserve">于</w:t>
      </w:r>
      <w:r>
        <w:rPr>
          <w:rFonts w:ascii="SimSun" w:hAnsi="SimSun" w:eastAsia="SimSun" w:cs="SimSun"/>
          <w:color w:val="000000" w:themeColor="text1"/>
          <w:sz w:val="24"/>
        </w:rPr>
        <w:t xml:space="preserve">2025年</w:t>
      </w:r>
      <w:r>
        <w:rPr>
          <w:rFonts w:ascii="Times New Roman" w:hAnsi="Times New Roman" w:eastAsia="Times New Roman" w:cs="Times New Roman"/>
          <w:color w:val="000000" w:themeColor="text1"/>
          <w:sz w:val="24"/>
        </w:rPr>
        <w:t xml:space="preserve">05</w:t>
      </w:r>
      <w:r>
        <w:rPr>
          <w:rFonts w:ascii="SimSun" w:hAnsi="SimSun" w:eastAsia="SimSun" w:cs="SimSun"/>
          <w:color w:val="000000" w:themeColor="text1"/>
          <w:sz w:val="24"/>
        </w:rPr>
        <w:t xml:space="preserve">月</w:t>
      </w:r>
      <w:r>
        <w:rPr>
          <w:rFonts w:ascii="Times New Roman" w:hAnsi="Times New Roman" w:eastAsia="Times New Roman" w:cs="Times New Roman"/>
          <w:color w:val="000000" w:themeColor="text1"/>
          <w:sz w:val="24"/>
        </w:rPr>
        <w:t xml:space="preserve">29</w:t>
      </w:r>
      <w:r>
        <w:rPr>
          <w:rFonts w:ascii="SimSun" w:hAnsi="SimSun" w:eastAsia="SimSun" w:cs="SimSun"/>
          <w:color w:val="000000" w:themeColor="text1"/>
          <w:sz w:val="24"/>
        </w:rPr>
        <w:t xml:space="preserve">日</w:t>
      </w:r>
      <w:r>
        <w:rPr>
          <w:rFonts w:ascii="Times New Roman" w:hAnsi="Times New Roman" w:eastAsia="Times New Roman" w:cs="Times New Roman"/>
          <w:color w:val="000000" w:themeColor="text1"/>
          <w:sz w:val="24"/>
        </w:rPr>
        <w:t xml:space="preserve">09</w:t>
      </w:r>
      <w:r>
        <w:rPr>
          <w:rFonts w:ascii="SimSun" w:hAnsi="SimSun" w:eastAsia="SimSun" w:cs="SimSun"/>
          <w:color w:val="000000" w:themeColor="text1"/>
          <w:sz w:val="24"/>
        </w:rPr>
        <w:t xml:space="preserve">：</w:t>
      </w:r>
      <w:r>
        <w:rPr>
          <w:rFonts w:ascii="Times New Roman" w:hAnsi="Times New Roman" w:eastAsia="Times New Roman" w:cs="Times New Roman"/>
          <w:color w:val="000000" w:themeColor="text1"/>
          <w:sz w:val="24"/>
        </w:rPr>
        <w:t xml:space="preserve">30</w:t>
      </w:r>
      <w:r>
        <w:rPr>
          <w:rFonts w:hint="eastAsia"/>
          <w:color w:val="000000" w:themeColor="text1"/>
          <w:sz w:val="24"/>
          <w:szCs w:val="24"/>
          <w:highlight w:val="none"/>
        </w:rPr>
        <w:t xml:space="preserve">时（北京时间）前上传电子投标文件。</w:t>
      </w:r>
      <w:r>
        <w:rPr>
          <w:rFonts w:ascii="SimSun" w:hAnsi="SimSun" w:eastAsia="SimSun" w:cs="SimSun"/>
          <w:color w:val="000000" w:themeColor="text1"/>
          <w:sz w:val="22"/>
        </w:rPr>
      </w:r>
      <w:r/>
    </w:p>
    <w:p>
      <w:pPr>
        <w:keepLines w:val="0"/>
        <w:keepNext w:val="0"/>
        <w:pageBreakBefore w:val="0"/>
        <w:spacing w:line="360" w:lineRule="auto"/>
        <w:widowControl w:val="off"/>
        <w:rPr>
          <w:b/>
          <w:bCs/>
          <w:color w:val="auto"/>
          <w:sz w:val="24"/>
          <w:szCs w:val="24"/>
          <w:highlight w:val="none"/>
        </w:rPr>
      </w:pPr>
      <w:r>
        <w:rPr>
          <w:rFonts w:hint="eastAsia"/>
          <w:b/>
          <w:bCs/>
          <w:color w:val="auto"/>
          <w:sz w:val="24"/>
          <w:szCs w:val="24"/>
          <w:highlight w:val="none"/>
        </w:rPr>
        <w:t xml:space="preserve">一、项目基本情况</w:t>
      </w:r>
      <w:r/>
    </w:p>
    <w:p>
      <w:pPr>
        <w:keepLines w:val="0"/>
        <w:keepNext w:val="0"/>
        <w:pageBreakBefore w:val="0"/>
        <w:spacing w:line="360" w:lineRule="auto"/>
        <w:widowControl w:val="off"/>
        <w:rPr>
          <w:rFonts w:hint="eastAsia"/>
          <w:color w:val="auto"/>
          <w:sz w:val="24"/>
          <w:szCs w:val="24"/>
          <w:highlight w:val="none"/>
          <w:lang w:eastAsia="zh-CN"/>
        </w:rPr>
      </w:pPr>
      <w:r>
        <w:rPr>
          <w:rFonts w:hint="eastAsia"/>
          <w:color w:val="auto"/>
          <w:sz w:val="24"/>
          <w:szCs w:val="24"/>
          <w:highlight w:val="none"/>
        </w:rPr>
        <w:t xml:space="preserve">1、项目编号：</w:t>
      </w:r>
      <w:r>
        <w:rPr>
          <w:rFonts w:hint="eastAsia"/>
          <w:color w:val="auto"/>
          <w:sz w:val="24"/>
          <w:szCs w:val="24"/>
          <w:highlight w:val="none"/>
          <w:lang w:eastAsia="zh-CN"/>
        </w:rPr>
        <w:t xml:space="preserve">JSZC-320585-ZFXM-G2025-0007 </w:t>
      </w:r>
      <w:r/>
    </w:p>
    <w:p>
      <w:pPr>
        <w:keepLines w:val="0"/>
        <w:keepNext w:val="0"/>
        <w:pageBreakBefore w:val="0"/>
        <w:spacing w:line="360" w:lineRule="auto"/>
        <w:widowControl w:val="off"/>
        <w:rPr>
          <w:rFonts w:hint="eastAsia"/>
          <w:color w:val="auto"/>
          <w:sz w:val="24"/>
          <w:szCs w:val="24"/>
          <w:highlight w:val="none"/>
          <w:lang w:eastAsia="zh-CN"/>
        </w:rPr>
      </w:pPr>
      <w:r>
        <w:rPr>
          <w:rFonts w:hint="eastAsia"/>
          <w:color w:val="auto"/>
          <w:sz w:val="24"/>
          <w:szCs w:val="24"/>
          <w:highlight w:val="none"/>
        </w:rPr>
        <w:t xml:space="preserve">2、项目名称：</w:t>
      </w:r>
      <w:r>
        <w:rPr>
          <w:rFonts w:hint="eastAsia"/>
          <w:color w:val="auto"/>
          <w:sz w:val="24"/>
          <w:szCs w:val="24"/>
          <w:highlight w:val="none"/>
          <w:lang w:eastAsia="zh-CN"/>
        </w:rPr>
        <w:t xml:space="preserve">太仓高新区2025年重点项目征占用林地、采伐报批材料编制服务</w:t>
      </w:r>
      <w:r/>
    </w:p>
    <w:p>
      <w:pPr>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3、预算金额：</w:t>
      </w:r>
      <w:r>
        <w:rPr>
          <w:rFonts w:hint="eastAsia"/>
          <w:color w:val="auto"/>
          <w:sz w:val="24"/>
          <w:szCs w:val="24"/>
          <w:highlight w:val="none"/>
          <w:lang w:eastAsia="zh-CN"/>
        </w:rPr>
        <w:t xml:space="preserve">人民币壹佰万元整（¥1000000.00元）</w:t>
      </w:r>
      <w:r/>
    </w:p>
    <w:p>
      <w:pPr>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4、最高限价：同预算金额。</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5、采购需求：</w:t>
      </w:r>
      <w:r>
        <w:rPr>
          <w:rFonts w:hint="eastAsia" w:eastAsia="宋体"/>
          <w:color w:val="auto"/>
          <w:sz w:val="24"/>
          <w:szCs w:val="24"/>
          <w:highlight w:val="none"/>
          <w:lang w:eastAsia="zh-CN"/>
        </w:rPr>
        <w:t xml:space="preserve">太仓高新区2025年重点项目征占用林地、采伐报批材料编制服务</w:t>
      </w:r>
      <w:r>
        <w:rPr>
          <w:rFonts w:hint="eastAsia"/>
          <w:color w:val="auto"/>
          <w:sz w:val="24"/>
          <w:szCs w:val="24"/>
          <w:highlight w:val="none"/>
          <w:lang w:val="en-US" w:eastAsia="zh-CN"/>
        </w:rPr>
        <w:t xml:space="preserve">，主要对拟占用林地进行调查和分析，编制使用林地可行性研究报告，完成采伐作业设计书，完成有关报批手续并取得《使用林地审核同意书》，取得《林木采伐许可证》。（</w:t>
      </w:r>
      <w:r>
        <w:rPr>
          <w:rFonts w:hint="eastAsia" w:ascii="Times New Roman" w:eastAsia="宋体"/>
          <w:color w:val="auto"/>
          <w:sz w:val="24"/>
          <w:szCs w:val="24"/>
          <w:highlight w:val="none"/>
          <w:lang w:val="en-US" w:eastAsia="zh-CN"/>
        </w:rPr>
        <w:t xml:space="preserve">详见</w:t>
      </w:r>
      <w:r>
        <w:rPr>
          <w:rFonts w:hint="eastAsia" w:ascii="Times New Roman"/>
          <w:color w:val="auto"/>
          <w:sz w:val="24"/>
          <w:szCs w:val="24"/>
          <w:highlight w:val="none"/>
          <w:lang w:val="en-US" w:eastAsia="zh-CN"/>
        </w:rPr>
        <w:t xml:space="preserve">第三章项目需求</w:t>
      </w:r>
      <w:r>
        <w:rPr>
          <w:rFonts w:hint="eastAsia" w:ascii="Times New Roman" w:eastAsia="宋体"/>
          <w:color w:val="auto"/>
          <w:sz w:val="24"/>
          <w:szCs w:val="24"/>
          <w:highlight w:val="none"/>
          <w:lang w:val="en-US" w:eastAsia="zh-CN"/>
        </w:rPr>
        <w:t xml:space="preserve">）</w:t>
      </w:r>
      <w:r>
        <w:rPr>
          <w:rFonts w:hint="eastAsia"/>
          <w:color w:val="auto"/>
          <w:sz w:val="24"/>
          <w:szCs w:val="24"/>
          <w:highlight w:val="none"/>
        </w:rPr>
        <w:t xml:space="preserve">。</w:t>
      </w:r>
      <w:r/>
    </w:p>
    <w:p>
      <w:pPr>
        <w:keepLines w:val="0"/>
        <w:keepNext w:val="0"/>
        <w:pageBreakBefore w:val="0"/>
        <w:spacing w:line="360" w:lineRule="auto"/>
        <w:widowControl w:val="off"/>
        <w:rPr>
          <w:rFonts w:hint="default"/>
          <w:color w:val="auto"/>
          <w:sz w:val="24"/>
          <w:szCs w:val="24"/>
          <w:highlight w:val="none"/>
          <w:lang w:val="en-US" w:eastAsia="zh-CN"/>
        </w:rPr>
      </w:pPr>
      <w:r>
        <w:rPr>
          <w:rFonts w:hint="eastAsia"/>
          <w:color w:val="auto"/>
          <w:sz w:val="24"/>
          <w:szCs w:val="24"/>
          <w:highlight w:val="none"/>
        </w:rPr>
        <w:t xml:space="preserve">6、合同履行期限：</w:t>
      </w:r>
      <w:r>
        <w:rPr>
          <w:rFonts w:hint="eastAsia"/>
          <w:color w:val="auto"/>
          <w:sz w:val="24"/>
          <w:szCs w:val="24"/>
          <w:highlight w:val="none"/>
          <w:lang w:val="en-US" w:eastAsia="zh-CN"/>
        </w:rPr>
        <w:t xml:space="preserve">自合同生效之日起至2026年12月31日截止。至截止之日已经启动的项目仍由中标单位负责完成，至截止之日还未启动项目不再由中标单位商负责。</w:t>
      </w:r>
      <w:r/>
    </w:p>
    <w:p>
      <w:pPr>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7、本项目不接受联合体投标。</w:t>
      </w:r>
      <w:r/>
    </w:p>
    <w:p>
      <w:pPr>
        <w:keepLines w:val="0"/>
        <w:keepNext w:val="0"/>
        <w:pageBreakBefore w:val="0"/>
        <w:spacing w:line="360" w:lineRule="auto"/>
        <w:widowControl w:val="off"/>
        <w:rPr>
          <w:rFonts w:hint="eastAsia"/>
          <w:b/>
          <w:bCs/>
          <w:color w:val="auto"/>
          <w:sz w:val="24"/>
          <w:szCs w:val="24"/>
          <w:highlight w:val="none"/>
          <w:lang w:eastAsia="zh-CN"/>
        </w:rPr>
      </w:pPr>
      <w:r>
        <w:rPr>
          <w:rFonts w:hint="eastAsia"/>
          <w:b/>
          <w:bCs/>
          <w:color w:val="auto"/>
          <w:sz w:val="24"/>
          <w:szCs w:val="24"/>
          <w:highlight w:val="none"/>
        </w:rPr>
        <w:t xml:space="preserve">二、申请人的资格要求</w:t>
      </w:r>
      <w:r>
        <w:rPr>
          <w:rFonts w:hint="eastAsia"/>
          <w:b/>
          <w:bCs/>
          <w:color w:val="auto"/>
          <w:sz w:val="24"/>
          <w:szCs w:val="24"/>
          <w:highlight w:val="none"/>
          <w:lang w:eastAsia="zh-CN"/>
        </w:rPr>
        <w:t xml:space="preserve">：</w:t>
      </w:r>
      <w:r/>
    </w:p>
    <w:p>
      <w:pPr>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（一）满足《中华人民共和国政府采购法》第二十二条规定：</w:t>
      </w:r>
      <w:r/>
    </w:p>
    <w:p>
      <w:pPr>
        <w:keepLines w:val="0"/>
        <w:keepNext w:val="0"/>
        <w:pageBreakBefore w:val="0"/>
        <w:spacing w:line="360" w:lineRule="auto"/>
        <w:widowControl w:val="off"/>
        <w:rPr>
          <w:rFonts w:hint="eastAsia"/>
          <w:color w:val="auto"/>
          <w:sz w:val="24"/>
          <w:szCs w:val="24"/>
          <w:highlight w:val="none"/>
          <w:lang w:eastAsia="zh-CN"/>
        </w:rPr>
      </w:pPr>
      <w:r>
        <w:rPr>
          <w:rFonts w:hint="eastAsia"/>
          <w:color w:val="auto"/>
          <w:sz w:val="24"/>
          <w:szCs w:val="24"/>
          <w:highlight w:val="none"/>
        </w:rPr>
        <w:t xml:space="preserve">1、具有独立承担民事责任的能力（提供法人或者其他组织的营业执照等证明文件，自然人的身份证明）</w:t>
      </w:r>
      <w:r>
        <w:rPr>
          <w:rFonts w:hint="eastAsia"/>
          <w:color w:val="auto"/>
          <w:sz w:val="24"/>
          <w:szCs w:val="24"/>
          <w:highlight w:val="none"/>
          <w:lang w:eastAsia="zh-CN"/>
        </w:rPr>
        <w:t xml:space="preserve">；</w:t>
      </w:r>
      <w:r/>
    </w:p>
    <w:p>
      <w:pPr>
        <w:keepLines w:val="0"/>
        <w:keepNext w:val="0"/>
        <w:pageBreakBefore w:val="0"/>
        <w:spacing w:line="360" w:lineRule="auto"/>
        <w:widowControl w:val="off"/>
        <w:rPr>
          <w:rFonts w:hint="eastAsia"/>
          <w:color w:val="auto"/>
          <w:sz w:val="24"/>
          <w:szCs w:val="24"/>
          <w:highlight w:val="none"/>
          <w:lang w:eastAsia="zh-CN"/>
        </w:rPr>
      </w:pPr>
      <w:r>
        <w:rPr>
          <w:rFonts w:hint="eastAsia"/>
          <w:color w:val="auto"/>
          <w:sz w:val="24"/>
          <w:szCs w:val="24"/>
          <w:highlight w:val="none"/>
        </w:rPr>
        <w:t xml:space="preserve">2、具有良好的商业信誉和健全的财务会计制度（提供最近一期的财务状况报告，其他组织、自然人提供银行出具的资信证明）</w:t>
      </w:r>
      <w:r>
        <w:rPr>
          <w:rFonts w:hint="eastAsia"/>
          <w:color w:val="auto"/>
          <w:sz w:val="24"/>
          <w:szCs w:val="24"/>
          <w:highlight w:val="none"/>
          <w:lang w:eastAsia="zh-CN"/>
        </w:rPr>
        <w:t xml:space="preserve">；</w:t>
      </w:r>
      <w:r/>
    </w:p>
    <w:p>
      <w:pPr>
        <w:keepLines w:val="0"/>
        <w:keepNext w:val="0"/>
        <w:pageBreakBefore w:val="0"/>
        <w:spacing w:line="360" w:lineRule="auto"/>
        <w:widowControl w:val="off"/>
        <w:rPr>
          <w:rFonts w:hint="eastAsia"/>
          <w:color w:val="auto"/>
          <w:sz w:val="24"/>
          <w:szCs w:val="24"/>
          <w:highlight w:val="none"/>
          <w:lang w:eastAsia="zh-CN"/>
        </w:rPr>
      </w:pPr>
      <w:r>
        <w:rPr>
          <w:rFonts w:hint="eastAsia"/>
          <w:color w:val="auto"/>
          <w:sz w:val="24"/>
          <w:szCs w:val="24"/>
          <w:highlight w:val="none"/>
        </w:rPr>
        <w:t xml:space="preserve">3、具有履行合同所必需的设备和专业技术能力</w:t>
      </w:r>
      <w:r>
        <w:rPr>
          <w:rFonts w:hint="eastAsia"/>
          <w:color w:val="auto"/>
          <w:sz w:val="24"/>
          <w:szCs w:val="24"/>
          <w:highlight w:val="none"/>
          <w:lang w:eastAsia="zh-CN"/>
        </w:rPr>
        <w:t xml:space="preserve">；</w:t>
      </w:r>
      <w:r/>
    </w:p>
    <w:p>
      <w:pPr>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5、参加政府采购活动前三年内，在经营活动中没有重大违法记录（提供参加本次政府采购活动前3年内在经营活动中没有重大违法记录的书面声明）；</w:t>
      </w:r>
      <w:r/>
    </w:p>
    <w:p>
      <w:pPr>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6、法律、行政法规规定的其他条件；</w:t>
      </w:r>
      <w:r/>
    </w:p>
    <w:p>
      <w:pPr>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（二）落实政府采购政策需满足的资格要求：</w:t>
      </w:r>
      <w:bookmarkStart w:id="6" w:name="OLE_LINK2"/>
      <w:r/>
      <w:bookmarkStart w:id="7" w:name="OLE_LINK7"/>
      <w:r>
        <w:rPr>
          <w:rFonts w:hint="eastAsia"/>
          <w:color w:val="auto"/>
          <w:sz w:val="24"/>
          <w:szCs w:val="24"/>
          <w:highlight w:val="none"/>
        </w:rPr>
        <w:t xml:space="preserve">本项目专门面向中小企业采购，所属行业为租赁和商务服务业，投标时须提供《中小企业声明函》，未提供视为无效投标。若为残疾人福利性单位，在政府采购活动中，视同小微企业，并提供相关证明材料；若为监狱企业，在政府采购活动中，视同小型企业，并提供相关证明材料。</w:t>
      </w:r>
      <w:bookmarkEnd w:id="6"/>
      <w:r/>
      <w:bookmarkEnd w:id="7"/>
      <w:r/>
      <w:r/>
    </w:p>
    <w:p>
      <w:pPr>
        <w:keepLines w:val="0"/>
        <w:keepNext w:val="0"/>
        <w:pageBreakBefore w:val="0"/>
        <w:spacing w:line="360" w:lineRule="auto"/>
        <w:widowControl w:val="off"/>
        <w:rPr>
          <w:b/>
          <w:bCs/>
          <w:color w:val="auto"/>
          <w:sz w:val="24"/>
          <w:szCs w:val="24"/>
          <w:highlight w:val="none"/>
        </w:rPr>
      </w:pPr>
      <w:r>
        <w:rPr>
          <w:rFonts w:hint="eastAsia"/>
          <w:color w:val="auto"/>
          <w:sz w:val="24"/>
          <w:szCs w:val="24"/>
          <w:highlight w:val="none"/>
        </w:rPr>
        <w:t xml:space="preserve">（三）</w:t>
      </w:r>
      <w:r>
        <w:rPr>
          <w:rFonts w:hint="eastAsia"/>
          <w:b/>
          <w:bCs/>
          <w:color w:val="auto"/>
          <w:sz w:val="24"/>
          <w:szCs w:val="24"/>
          <w:highlight w:val="none"/>
        </w:rPr>
        <w:t xml:space="preserve">本项目的特定资格要求</w:t>
      </w:r>
      <w:r>
        <w:rPr>
          <w:rFonts w:hint="eastAsia"/>
          <w:color w:val="auto"/>
          <w:sz w:val="24"/>
          <w:szCs w:val="24"/>
          <w:highlight w:val="none"/>
        </w:rPr>
        <w:t xml:space="preserve">：</w:t>
      </w:r>
      <w:r>
        <w:rPr>
          <w:rFonts w:hint="eastAsia"/>
          <w:b/>
          <w:bCs/>
          <w:color w:val="auto"/>
          <w:sz w:val="24"/>
          <w:szCs w:val="24"/>
          <w:highlight w:val="none"/>
        </w:rPr>
        <w:t xml:space="preserve">具备有效期内的林业调查规划设计丙级及以上资质。</w:t>
      </w:r>
      <w:r/>
    </w:p>
    <w:p>
      <w:pPr>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（四）拒绝下述供应商参加本次采购活动：</w:t>
      </w:r>
      <w:r/>
    </w:p>
    <w:p>
      <w:pPr>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1、供应商单位负责人为同一人或者存在直接控股、管理关系的不同供应商，不得参加同一合同项下的政府采购活动。</w:t>
      </w:r>
      <w:r/>
    </w:p>
    <w:p>
      <w:pPr>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2、凡为采购项目提供整体设计、规范编制或者项目管理、监理、检测等服务的供应商，不得再参加本项目的采购活动。</w:t>
      </w:r>
      <w:r/>
    </w:p>
    <w:p>
      <w:pPr>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3、法人的分支机构不得参加投标（除银行、保险、石油石化、电力、电信等行业特殊情况外）</w:t>
      </w:r>
      <w:r/>
    </w:p>
    <w:p>
      <w:pPr>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的供应商，拒绝其参与政府采购活动。</w:t>
      </w:r>
      <w:r/>
    </w:p>
    <w:p>
      <w:pPr>
        <w:keepLines w:val="0"/>
        <w:keepNext w:val="0"/>
        <w:pageBreakBefore w:val="0"/>
        <w:spacing w:line="360" w:lineRule="auto"/>
        <w:widowControl w:val="off"/>
        <w:rPr>
          <w:b/>
          <w:bCs/>
          <w:color w:val="auto"/>
          <w:sz w:val="24"/>
          <w:szCs w:val="24"/>
          <w:highlight w:val="none"/>
        </w:rPr>
      </w:pPr>
      <w:r>
        <w:rPr>
          <w:rFonts w:hint="eastAsia"/>
          <w:b/>
          <w:bCs/>
          <w:color w:val="auto"/>
          <w:sz w:val="24"/>
          <w:szCs w:val="24"/>
          <w:highlight w:val="none"/>
        </w:rPr>
        <w:t xml:space="preserve">三、投标报名及获取招标文件</w:t>
      </w:r>
      <w:r/>
    </w:p>
    <w:p>
      <w:pPr>
        <w:ind w:firstLine="480"/>
        <w:spacing w:line="360" w:lineRule="auto"/>
        <w:widowControl/>
        <w:rPr>
          <w:rFonts w:hAnsi="宋体" w:cs="等线"/>
          <w:color w:val="auto"/>
          <w:sz w:val="24"/>
          <w:szCs w:val="24"/>
          <w:highlight w:val="none"/>
        </w:rPr>
      </w:pPr>
      <w:r>
        <w:rPr>
          <w:rFonts w:hint="eastAsia" w:hAnsi="宋体" w:cs="等线"/>
          <w:color w:val="auto"/>
          <w:sz w:val="24"/>
          <w:szCs w:val="24"/>
          <w:highlight w:val="none"/>
        </w:rPr>
        <w:t xml:space="preserve">1、依法获取电子招标文件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自招标文件公告发布之日起5个工作日</w:t>
      </w:r>
      <w:r>
        <w:rPr>
          <w:rFonts w:hint="eastAsia" w:hAnsi="宋体" w:cs="等线"/>
          <w:color w:val="auto"/>
          <w:sz w:val="24"/>
          <w:szCs w:val="24"/>
          <w:highlight w:val="none"/>
        </w:rPr>
        <w:t xml:space="preserve">，</w:t>
      </w:r>
      <w:r>
        <w:rPr>
          <w:rFonts w:hint="eastAsia" w:hAnsi="宋体" w:cs="等线"/>
          <w:b/>
          <w:bCs/>
          <w:color w:val="auto"/>
          <w:sz w:val="24"/>
          <w:szCs w:val="24"/>
          <w:highlight w:val="none"/>
        </w:rPr>
        <w:t xml:space="preserve">进入苏州市政府采购网，点击底部苏采云图标，登录苏采云政府采购一体化平台，对参与项目进行报名，并下载电子招标文件。</w:t>
      </w:r>
      <w:r>
        <w:rPr>
          <w:rFonts w:ascii="SimSun" w:hAnsi="SimSun" w:eastAsia="SimSun" w:cs="SimSun"/>
          <w:sz w:val="22"/>
        </w:rPr>
      </w:r>
      <w:r/>
    </w:p>
    <w:p>
      <w:pPr>
        <w:ind w:firstLine="480"/>
        <w:spacing w:line="360" w:lineRule="auto"/>
        <w:rPr>
          <w:rFonts w:hAnsi="宋体" w:cs="等线"/>
          <w:color w:val="auto"/>
          <w:sz w:val="24"/>
          <w:szCs w:val="24"/>
          <w:highlight w:val="none"/>
        </w:rPr>
      </w:pPr>
      <w:r>
        <w:rPr>
          <w:rFonts w:hint="eastAsia" w:hAnsi="宋体" w:cs="等线"/>
          <w:color w:val="auto"/>
          <w:sz w:val="24"/>
          <w:szCs w:val="24"/>
          <w:highlight w:val="none"/>
        </w:rPr>
        <w:t xml:space="preserve">2、获取方式：网上下载电子招标文件。</w:t>
      </w:r>
      <w:r/>
    </w:p>
    <w:p>
      <w:pPr>
        <w:ind w:firstLine="480"/>
        <w:spacing w:line="360" w:lineRule="auto"/>
        <w:rPr>
          <w:rFonts w:hAnsi="宋体" w:cs="等线"/>
          <w:color w:val="auto"/>
          <w:sz w:val="24"/>
          <w:szCs w:val="24"/>
          <w:highlight w:val="none"/>
        </w:rPr>
      </w:pPr>
      <w:r>
        <w:rPr>
          <w:rFonts w:hint="eastAsia" w:hAnsi="宋体" w:cs="等线"/>
          <w:color w:val="auto"/>
          <w:sz w:val="24"/>
          <w:szCs w:val="24"/>
          <w:highlight w:val="none"/>
        </w:rPr>
        <w:t xml:space="preserve">3、本项目免费下载电子招标文件。</w:t>
      </w:r>
      <w:r/>
    </w:p>
    <w:p>
      <w:pPr>
        <w:ind w:firstLine="482"/>
        <w:spacing w:line="360" w:lineRule="auto"/>
        <w:shd w:val="clear" w:color="auto" w:fill="ffffff"/>
        <w:rPr>
          <w:rFonts w:hAnsi="宋体"/>
          <w:b/>
          <w:bCs/>
          <w:color w:val="auto"/>
          <w:sz w:val="24"/>
          <w:szCs w:val="24"/>
          <w:highlight w:val="none"/>
        </w:rPr>
      </w:pPr>
      <w:r>
        <w:rPr>
          <w:rFonts w:hint="eastAsia" w:hAnsi="宋体"/>
          <w:b/>
          <w:bCs/>
          <w:color w:val="auto"/>
          <w:sz w:val="24"/>
          <w:szCs w:val="24"/>
          <w:highlight w:val="none"/>
        </w:rPr>
        <w:t xml:space="preserve">四、提交投标文件截止时间、开标时间和地点</w:t>
      </w:r>
      <w:r/>
    </w:p>
    <w:p>
      <w:pPr>
        <w:ind w:left="0" w:right="0" w:firstLine="0"/>
        <w:spacing w:before="0" w:after="0"/>
        <w:pBdr>
          <w:top w:val="none" w:color="000000" w:sz="4" w:space="0"/>
          <w:left w:val="none" w:color="000000" w:sz="4" w:space="0"/>
          <w:bottom w:val="none" w:color="000000" w:sz="4" w:space="0"/>
          <w:right w:val="none" w:color="000000" w:sz="4" w:space="0"/>
        </w:pBdr>
      </w:pPr>
      <w:r>
        <w:rPr>
          <w:rFonts w:hint="eastAsia" w:hAnsi="宋体" w:cs="等线"/>
          <w:color w:val="auto"/>
          <w:sz w:val="24"/>
          <w:szCs w:val="24"/>
          <w:highlight w:val="none"/>
        </w:rPr>
        <w:t xml:space="preserve">1、加密的电子投标文件上传截止时间：</w:t>
      </w:r>
      <w:r>
        <w:rPr>
          <w:rFonts w:ascii="SimSun" w:hAnsi="SimSun" w:eastAsia="SimSun" w:cs="SimSun"/>
          <w:color w:val="000000" w:themeColor="text1"/>
          <w:sz w:val="24"/>
        </w:rPr>
        <w:t xml:space="preserve">2025年05月29日09：30</w:t>
      </w:r>
      <w:r>
        <w:rPr>
          <w:rFonts w:hint="eastAsia" w:hAnsi="宋体" w:cs="等线"/>
          <w:color w:val="auto"/>
          <w:sz w:val="24"/>
          <w:szCs w:val="24"/>
          <w:highlight w:val="none"/>
        </w:rPr>
        <w:t xml:space="preserve">（北京时间），</w:t>
      </w:r>
      <w:r>
        <w:rPr>
          <w:rFonts w:hint="eastAsia" w:hAnsi="宋体" w:cs="等线"/>
          <w:b/>
          <w:bCs/>
          <w:color w:val="auto"/>
          <w:sz w:val="24"/>
          <w:szCs w:val="24"/>
          <w:highlight w:val="none"/>
        </w:rPr>
        <w:t xml:space="preserve">投标人登录苏采云政府采购一体化平台，进入“参与详情”页面，上传电子投标文件。</w:t>
      </w:r>
      <w:r>
        <w:rPr>
          <w:rFonts w:ascii="SimSun" w:hAnsi="SimSun" w:eastAsia="SimSun" w:cs="SimSun"/>
          <w:sz w:val="22"/>
        </w:rPr>
      </w:r>
      <w:r/>
    </w:p>
    <w:p>
      <w:pPr>
        <w:ind w:firstLine="480"/>
        <w:spacing w:line="360" w:lineRule="auto"/>
        <w:rPr>
          <w:rFonts w:hAnsi="宋体" w:cs="等线"/>
          <w:color w:val="auto"/>
          <w:sz w:val="24"/>
          <w:szCs w:val="24"/>
          <w:highlight w:val="none"/>
        </w:rPr>
      </w:pPr>
      <w:r>
        <w:rPr>
          <w:rFonts w:hint="eastAsia" w:hAnsi="宋体" w:cs="等线"/>
          <w:color w:val="auto"/>
          <w:sz w:val="24"/>
          <w:szCs w:val="24"/>
          <w:highlight w:val="none"/>
        </w:rPr>
        <w:t xml:space="preserve">注：考虑网络上传速度因素，请投标供应商适当提前上传电子投标文件。</w:t>
      </w:r>
      <w:r/>
    </w:p>
    <w:p>
      <w:pPr>
        <w:ind w:firstLine="480"/>
        <w:spacing w:line="360" w:lineRule="auto"/>
        <w:rPr>
          <w:rFonts w:hAnsi="宋体" w:cs="等线"/>
          <w:color w:val="auto"/>
          <w:sz w:val="24"/>
          <w:szCs w:val="24"/>
          <w:highlight w:val="none"/>
        </w:rPr>
      </w:pPr>
      <w:r>
        <w:rPr>
          <w:rFonts w:hAnsi="宋体" w:cs="等线"/>
          <w:color w:val="auto"/>
          <w:sz w:val="24"/>
          <w:szCs w:val="24"/>
          <w:highlight w:val="none"/>
        </w:rPr>
        <w:t xml:space="preserve">2</w:t>
      </w:r>
      <w:r>
        <w:rPr>
          <w:rFonts w:hint="eastAsia" w:hAnsi="宋体" w:cs="等线"/>
          <w:color w:val="auto"/>
          <w:sz w:val="24"/>
          <w:szCs w:val="24"/>
          <w:highlight w:val="none"/>
        </w:rPr>
        <w:t xml:space="preserve">、开标时间：</w:t>
      </w:r>
      <w:r>
        <w:rPr>
          <w:rFonts w:ascii="SimSun" w:hAnsi="SimSun" w:eastAsia="SimSun" w:cs="SimSun"/>
          <w:color w:val="000000" w:themeColor="text1"/>
          <w:sz w:val="24"/>
        </w:rPr>
        <w:t xml:space="preserve">2025年05月29日09：30</w:t>
      </w:r>
      <w:r>
        <w:rPr>
          <w:rFonts w:hint="eastAsia" w:hAnsi="宋体" w:cs="等线"/>
          <w:color w:val="auto"/>
          <w:sz w:val="24"/>
          <w:szCs w:val="24"/>
          <w:highlight w:val="none"/>
        </w:rPr>
        <w:t xml:space="preserve">（北京时间）</w:t>
      </w:r>
      <w:r/>
    </w:p>
    <w:p>
      <w:pPr>
        <w:ind w:firstLine="480"/>
        <w:spacing w:line="360" w:lineRule="auto"/>
        <w:rPr>
          <w:rFonts w:hAnsi="宋体" w:cs="等线"/>
          <w:color w:val="auto"/>
          <w:sz w:val="24"/>
          <w:szCs w:val="24"/>
          <w:highlight w:val="none"/>
        </w:rPr>
      </w:pPr>
      <w:r>
        <w:rPr>
          <w:rFonts w:hAnsi="宋体" w:cs="等线"/>
          <w:color w:val="auto"/>
          <w:sz w:val="24"/>
          <w:szCs w:val="24"/>
          <w:highlight w:val="none"/>
        </w:rPr>
        <w:t xml:space="preserve">3</w:t>
      </w:r>
      <w:r>
        <w:rPr>
          <w:rFonts w:hint="eastAsia" w:hAnsi="宋体" w:cs="等线"/>
          <w:color w:val="auto"/>
          <w:sz w:val="24"/>
          <w:szCs w:val="24"/>
          <w:highlight w:val="none"/>
        </w:rPr>
        <w:t xml:space="preserve">、开标地点：苏采云网上不见面开标大厅</w:t>
      </w:r>
      <w:r/>
    </w:p>
    <w:p>
      <w:pPr>
        <w:ind w:firstLine="480"/>
        <w:spacing w:line="360" w:lineRule="auto"/>
        <w:rPr>
          <w:rFonts w:hAnsi="宋体" w:cs="等线"/>
          <w:color w:val="auto"/>
          <w:sz w:val="24"/>
          <w:szCs w:val="24"/>
          <w:highlight w:val="none"/>
        </w:rPr>
      </w:pPr>
      <w:r>
        <w:rPr>
          <w:rFonts w:hint="eastAsia" w:hAnsi="宋体" w:cs="等线"/>
          <w:color w:val="auto"/>
          <w:sz w:val="24"/>
          <w:szCs w:val="24"/>
          <w:highlight w:val="none"/>
        </w:rPr>
        <w:t xml:space="preserve">4、现场地址：江苏省太仓市县府东街99号市政务服务中心3号楼3楼不见面开标间（查看当日三楼电子大屏幕提示信息）</w:t>
      </w:r>
      <w:r/>
    </w:p>
    <w:p>
      <w:pPr>
        <w:ind w:firstLine="420"/>
        <w:spacing w:line="360" w:lineRule="auto"/>
        <w:rPr>
          <w:rFonts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五、公告期限：</w:t>
      </w:r>
      <w:r/>
    </w:p>
    <w:p>
      <w:pPr>
        <w:ind w:firstLine="420"/>
        <w:spacing w:line="360" w:lineRule="auto"/>
        <w:rPr>
          <w:rFonts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自本公告发布之日起5个工作日。</w:t>
      </w:r>
      <w:r/>
    </w:p>
    <w:p>
      <w:pPr>
        <w:ind w:firstLine="420"/>
        <w:spacing w:line="360" w:lineRule="auto"/>
        <w:rPr>
          <w:rFonts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六、其他补充事宜</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1、本项目需要使用CA数字证书制作、上传电子投标文件完成电子投标，请供应商在参加投标活动前办理好CA数字证书申领及电子签章等操作。</w:t>
      </w:r>
      <w:r/>
    </w:p>
    <w:p>
      <w:pPr>
        <w:ind w:firstLine="420"/>
        <w:spacing w:line="360" w:lineRule="auto"/>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2、</w:t>
      </w:r>
      <w:r>
        <w:rPr>
          <w:rFonts w:ascii="宋体" w:hAnsi="宋体" w:cs="宋体"/>
          <w:bCs/>
          <w:color w:val="auto"/>
          <w:sz w:val="24"/>
          <w:highlight w:val="none"/>
        </w:rPr>
        <w:t xml:space="preserve">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lang w:val="en-US" w:eastAsia="zh-CN"/>
        </w:rPr>
        <w:t xml:space="preserve">3</w:t>
      </w:r>
      <w:r>
        <w:rPr>
          <w:rFonts w:ascii="宋体" w:hAnsi="宋体" w:cs="宋体"/>
          <w:b/>
          <w:color w:val="auto"/>
          <w:sz w:val="24"/>
          <w:highlight w:val="none"/>
        </w:rPr>
        <w:t xml:space="preserve">、本项目采用不见面开标，投标人开标时无需到开标现场进行解密，采取网上开标大厅解密电子投标文件，投标人远程解密要求如下：</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2）投标人登录苏采云系统，点击开标大厅，选择开标项目，完成不见面开标流程。</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3）投标截止时间后根据系统提示解密电子投标文件。</w:t>
      </w:r>
      <w:r>
        <w:rPr>
          <w:rFonts w:ascii="宋体" w:hAnsi="宋体" w:cs="宋体"/>
          <w:b/>
          <w:color w:val="auto"/>
          <w:sz w:val="24"/>
          <w:highlight w:val="none"/>
        </w:rPr>
        <w:t xml:space="preserve">解密时间</w:t>
      </w:r>
      <w:r>
        <w:rPr>
          <w:rFonts w:hint="eastAsia" w:ascii="宋体" w:hAnsi="宋体" w:cs="宋体"/>
          <w:b/>
          <w:color w:val="auto"/>
          <w:sz w:val="24"/>
          <w:highlight w:val="none"/>
        </w:rPr>
        <w:t xml:space="preserve">以系统提示为准</w:t>
      </w:r>
      <w:r>
        <w:rPr>
          <w:rFonts w:ascii="宋体" w:hAnsi="宋体" w:cs="宋体"/>
          <w:b/>
          <w:color w:val="auto"/>
          <w:sz w:val="24"/>
          <w:highlight w:val="none"/>
        </w:rPr>
        <w:t xml:space="preserve">，</w:t>
      </w:r>
      <w:r>
        <w:rPr>
          <w:rFonts w:ascii="宋体" w:hAnsi="宋体" w:cs="宋体"/>
          <w:color w:val="auto"/>
          <w:sz w:val="24"/>
          <w:highlight w:val="none"/>
        </w:rPr>
        <w:t xml:space="preserve">未在规定时间内完成解密，其投标文件将被拒绝，不参与后续投标流程。</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w:t>
      </w:r>
      <w:r>
        <w:rPr>
          <w:rFonts w:ascii="宋体" w:hAnsi="宋体" w:cs="宋体"/>
          <w:b/>
          <w:color w:val="auto"/>
          <w:sz w:val="24"/>
          <w:highlight w:val="none"/>
        </w:rPr>
        <w:t xml:space="preserve">有关苏采云系统驱动安装，</w:t>
      </w:r>
      <w:r>
        <w:rPr>
          <w:rFonts w:ascii="宋体" w:hAnsi="宋体" w:cs="宋体"/>
          <w:color w:val="auto"/>
          <w:sz w:val="24"/>
          <w:highlight w:val="none"/>
        </w:rPr>
        <w:t xml:space="preserve">登录苏州政府采购网，点击页面底部苏采云图标，进入苏采云政府采购一体化平台，点击“驱动下载”，下载</w:t>
      </w:r>
      <w:r>
        <w:rPr>
          <w:rFonts w:ascii="宋体" w:hAnsi="宋体" w:cs="宋体"/>
          <w:b/>
          <w:color w:val="auto"/>
          <w:sz w:val="24"/>
          <w:highlight w:val="none"/>
        </w:rPr>
        <w:t xml:space="preserve">“政务CA、方正签章控件驱动安装包及安装说明”</w:t>
      </w:r>
      <w:r>
        <w:rPr>
          <w:rFonts w:ascii="宋体" w:hAnsi="宋体" w:cs="宋体"/>
          <w:color w:val="auto"/>
          <w:sz w:val="24"/>
          <w:highlight w:val="none"/>
        </w:rPr>
        <w:t xml:space="preserve">文件，按要求安装驱动。</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w:t>
      </w:r>
      <w:r>
        <w:rPr>
          <w:rFonts w:ascii="宋体" w:hAnsi="宋体" w:cs="宋体"/>
          <w:color w:val="auto"/>
          <w:sz w:val="24"/>
          <w:highlight w:val="none"/>
        </w:rPr>
        <w:t xml:space="preserve">、</w:t>
      </w:r>
      <w:r>
        <w:rPr>
          <w:rFonts w:ascii="宋体" w:hAnsi="宋体" w:cs="宋体"/>
          <w:b/>
          <w:color w:val="auto"/>
          <w:sz w:val="24"/>
          <w:highlight w:val="none"/>
        </w:rPr>
        <w:t xml:space="preserve">有关供应商注册、报名、下载电子招标文件、制作上传电子投标文件</w:t>
      </w:r>
      <w:r>
        <w:rPr>
          <w:rFonts w:ascii="宋体" w:hAnsi="宋体" w:cs="宋体"/>
          <w:color w:val="auto"/>
          <w:sz w:val="24"/>
          <w:highlight w:val="none"/>
        </w:rPr>
        <w:t xml:space="preserve">、不见面开标及其他注意事项登录苏州政府采购网，在“下载中心”栏目下载“</w:t>
      </w:r>
      <w:r>
        <w:rPr>
          <w:rFonts w:ascii="宋体" w:hAnsi="宋体" w:cs="宋体"/>
          <w:b/>
          <w:color w:val="auto"/>
          <w:sz w:val="24"/>
          <w:highlight w:val="none"/>
        </w:rPr>
        <w:t xml:space="preserve">苏采云系统供应商操作手册”</w:t>
      </w:r>
      <w:r>
        <w:rPr>
          <w:rFonts w:ascii="宋体" w:hAnsi="宋体" w:cs="宋体"/>
          <w:color w:val="auto"/>
          <w:sz w:val="24"/>
          <w:highlight w:val="none"/>
        </w:rPr>
        <w:t xml:space="preserve">查阅。</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w:t>
      </w:r>
      <w:r>
        <w:rPr>
          <w:rFonts w:ascii="宋体" w:hAnsi="宋体" w:cs="宋体"/>
          <w:color w:val="auto"/>
          <w:sz w:val="24"/>
          <w:highlight w:val="none"/>
        </w:rPr>
        <w:t xml:space="preserve">、</w:t>
      </w:r>
      <w:r>
        <w:rPr>
          <w:rFonts w:ascii="宋体" w:hAnsi="宋体" w:cs="宋体"/>
          <w:b/>
          <w:color w:val="auto"/>
          <w:sz w:val="24"/>
          <w:highlight w:val="none"/>
        </w:rPr>
        <w:t xml:space="preserve">有关办理CA数字申领及电子签章事项</w:t>
      </w:r>
      <w:r>
        <w:rPr>
          <w:rFonts w:ascii="宋体" w:hAnsi="宋体" w:cs="宋体"/>
          <w:color w:val="auto"/>
          <w:sz w:val="24"/>
          <w:highlight w:val="none"/>
        </w:rPr>
        <w:t xml:space="preserve">，登录苏州政府采购网，点击页面底部苏采云图标，进入苏采云政府采购一体化平台，下载</w:t>
      </w:r>
      <w:r>
        <w:rPr>
          <w:rFonts w:ascii="宋体" w:hAnsi="宋体" w:cs="宋体"/>
          <w:b/>
          <w:color w:val="auto"/>
          <w:sz w:val="24"/>
          <w:highlight w:val="none"/>
        </w:rPr>
        <w:t xml:space="preserve">“新CA办理指南”</w:t>
      </w:r>
      <w:r>
        <w:rPr>
          <w:rFonts w:ascii="宋体" w:hAnsi="宋体" w:cs="宋体"/>
          <w:color w:val="auto"/>
          <w:sz w:val="24"/>
          <w:highlight w:val="none"/>
        </w:rPr>
        <w:t xml:space="preserve">文件查阅。</w:t>
      </w:r>
      <w:r/>
    </w:p>
    <w:p>
      <w:pPr>
        <w:ind w:firstLine="480"/>
        <w:spacing w:line="360" w:lineRule="auto"/>
        <w:widowControl/>
        <w:rPr>
          <w:rFonts w:hint="eastAsia" w:ascii="宋体" w:hAnsi="宋体" w:eastAsia="宋体" w:cs="等线"/>
          <w:color w:val="auto"/>
          <w:sz w:val="24"/>
          <w:szCs w:val="24"/>
          <w:highlight w:val="none"/>
        </w:rPr>
      </w:pPr>
      <w:r>
        <w:rPr>
          <w:rFonts w:hint="eastAsia" w:ascii="宋体" w:hAnsi="宋体" w:eastAsia="宋体" w:cs="等线"/>
          <w:color w:val="auto"/>
          <w:sz w:val="24"/>
          <w:szCs w:val="24"/>
          <w:highlight w:val="none"/>
          <w:lang w:val="en-US" w:eastAsia="zh-CN"/>
        </w:rPr>
        <w:t xml:space="preserve">7</w:t>
      </w:r>
      <w:r>
        <w:rPr>
          <w:rFonts w:hint="eastAsia" w:ascii="宋体" w:hAnsi="宋体" w:eastAsia="宋体" w:cs="等线"/>
          <w:color w:val="auto"/>
          <w:sz w:val="24"/>
          <w:szCs w:val="24"/>
          <w:highlight w:val="none"/>
        </w:rPr>
        <w:t xml:space="preserve">、投标保证金：本项目无须缴纳投标保证金。</w:t>
      </w:r>
      <w:r/>
    </w:p>
    <w:p>
      <w:pPr>
        <w:ind w:firstLine="480"/>
        <w:spacing w:line="360" w:lineRule="auto"/>
        <w:widowControl/>
        <w:rPr>
          <w:rFonts w:hint="eastAsia" w:ascii="宋体" w:hAnsi="宋体" w:eastAsia="宋体" w:cs="等线"/>
          <w:color w:val="auto"/>
          <w:sz w:val="24"/>
          <w:szCs w:val="24"/>
          <w:highlight w:val="none"/>
        </w:rPr>
      </w:pPr>
      <w:r>
        <w:rPr>
          <w:rFonts w:hint="eastAsia" w:ascii="宋体" w:hAnsi="宋体" w:eastAsia="宋体" w:cs="等线"/>
          <w:color w:val="auto"/>
          <w:sz w:val="24"/>
          <w:szCs w:val="24"/>
          <w:highlight w:val="none"/>
          <w:lang w:val="en-US" w:eastAsia="zh-CN"/>
        </w:rPr>
        <w:t xml:space="preserve">8</w:t>
      </w:r>
      <w:r>
        <w:rPr>
          <w:rFonts w:hint="eastAsia" w:ascii="宋体" w:hAnsi="宋体" w:eastAsia="宋体" w:cs="等线"/>
          <w:color w:val="auto"/>
          <w:sz w:val="24"/>
          <w:szCs w:val="24"/>
          <w:highlight w:val="none"/>
        </w:rPr>
        <w:t xml:space="preserve">、履约保证金：无。</w:t>
      </w:r>
      <w:r/>
    </w:p>
    <w:p>
      <w:pPr>
        <w:ind w:firstLine="480"/>
        <w:spacing w:line="360" w:lineRule="auto"/>
        <w:widowControl/>
        <w:rPr>
          <w:rFonts w:hint="eastAsia" w:ascii="宋体" w:hAnsi="宋体" w:cs="宋体"/>
          <w:color w:val="auto"/>
          <w:sz w:val="24"/>
          <w:highlight w:val="none"/>
        </w:rPr>
      </w:pPr>
      <w:r>
        <w:rPr>
          <w:rFonts w:hint="eastAsia" w:ascii="宋体" w:hAnsi="宋体" w:eastAsia="宋体" w:cs="等线"/>
          <w:color w:val="auto"/>
          <w:sz w:val="24"/>
          <w:szCs w:val="24"/>
          <w:highlight w:val="none"/>
          <w:lang w:val="en-US" w:eastAsia="zh-CN"/>
        </w:rPr>
        <w:t xml:space="preserve">9</w:t>
      </w:r>
      <w:r>
        <w:rPr>
          <w:rFonts w:hint="eastAsia" w:ascii="宋体" w:hAnsi="宋体" w:eastAsia="宋体" w:cs="等线"/>
          <w:color w:val="auto"/>
          <w:sz w:val="24"/>
          <w:szCs w:val="24"/>
          <w:highlight w:val="none"/>
        </w:rPr>
        <w:t xml:space="preserve">、代理服务费：代理服务费由中标人承担。代理服务费按各标段预算金额100万元以内1.5%、100～500万元1.1%、500～1000万元0.8%、1000~5000万元0.5%按差额定率累进法计算，如按上述方法计算的金额低于人民币3000元的，则中标服务费按人民币3000元计取。该费用应</w:t>
      </w:r>
      <w:r>
        <w:rPr>
          <w:rFonts w:hint="eastAsia" w:ascii="宋体" w:hAnsi="宋体" w:cs="宋体"/>
          <w:color w:val="auto"/>
          <w:sz w:val="24"/>
          <w:highlight w:val="none"/>
        </w:rPr>
        <w:t xml:space="preserve">在领取中标通知书前由中标供应商支付给采购代理机构。投标单位需考虑此项费用。</w:t>
      </w:r>
      <w:r/>
    </w:p>
    <w:p>
      <w:pPr>
        <w:ind w:firstLine="480"/>
        <w:spacing w:line="360" w:lineRule="auto"/>
        <w:widowControl/>
        <w:rPr>
          <w:rFonts w:hAnsi="宋体" w:cs="等线"/>
          <w:color w:val="auto"/>
          <w:sz w:val="24"/>
          <w:szCs w:val="24"/>
          <w:highlight w:val="none"/>
        </w:rPr>
      </w:pPr>
      <w:r>
        <w:rPr>
          <w:rFonts w:hint="eastAsia" w:hAnsi="宋体" w:cs="等线"/>
          <w:color w:val="auto"/>
          <w:sz w:val="24"/>
          <w:szCs w:val="24"/>
          <w:highlight w:val="none"/>
          <w:lang w:val="en-US" w:eastAsia="zh-CN"/>
        </w:rPr>
        <w:t xml:space="preserve">10</w:t>
      </w:r>
      <w:r>
        <w:rPr>
          <w:rFonts w:hint="eastAsia" w:hAnsi="宋体" w:cs="等线"/>
          <w:color w:val="auto"/>
          <w:sz w:val="24"/>
          <w:szCs w:val="24"/>
          <w:highlight w:val="none"/>
        </w:rPr>
        <w:t xml:space="preserve">、本公告发布媒体：苏州市政府采购网等政府采购指定媒体。</w:t>
      </w:r>
      <w:r/>
    </w:p>
    <w:p>
      <w:pPr>
        <w:ind w:firstLine="480"/>
        <w:spacing w:line="360" w:lineRule="auto"/>
        <w:widowControl/>
        <w:rPr>
          <w:rFonts w:hAnsi="宋体" w:cs="等线"/>
          <w:color w:val="auto"/>
          <w:sz w:val="24"/>
          <w:szCs w:val="24"/>
          <w:highlight w:val="none"/>
        </w:rPr>
      </w:pPr>
      <w:r>
        <w:rPr>
          <w:rFonts w:hint="eastAsia" w:hAnsi="宋体" w:cs="等线"/>
          <w:color w:val="auto"/>
          <w:sz w:val="24"/>
          <w:szCs w:val="24"/>
          <w:highlight w:val="none"/>
          <w:lang w:val="en-US" w:eastAsia="zh-CN"/>
        </w:rPr>
        <w:t xml:space="preserve">11</w:t>
      </w:r>
      <w:r>
        <w:rPr>
          <w:rFonts w:hint="eastAsia" w:hAnsi="宋体" w:cs="等线"/>
          <w:color w:val="auto"/>
          <w:sz w:val="24"/>
          <w:szCs w:val="24"/>
          <w:highlight w:val="none"/>
        </w:rPr>
        <w:t xml:space="preserve">、有关电子投标制作技术疑问，请咨询苏采云软件公司客服：18261002950、0512-69820854、0519-86722802。</w:t>
      </w:r>
      <w:r/>
    </w:p>
    <w:p>
      <w:pPr>
        <w:ind w:firstLine="480"/>
        <w:spacing w:line="360" w:lineRule="auto"/>
        <w:widowControl/>
        <w:rPr>
          <w:rFonts w:hAnsi="宋体" w:cs="等线"/>
          <w:color w:val="auto"/>
          <w:sz w:val="24"/>
          <w:szCs w:val="24"/>
          <w:highlight w:val="none"/>
        </w:rPr>
      </w:pPr>
      <w:r>
        <w:rPr>
          <w:rFonts w:hint="eastAsia" w:hAnsi="宋体" w:cs="等线"/>
          <w:color w:val="auto"/>
          <w:sz w:val="24"/>
          <w:szCs w:val="24"/>
          <w:highlight w:val="none"/>
        </w:rPr>
        <w:t xml:space="preserve">1</w:t>
      </w:r>
      <w:r>
        <w:rPr>
          <w:rFonts w:hint="eastAsia" w:hAnsi="宋体" w:cs="等线"/>
          <w:color w:val="auto"/>
          <w:sz w:val="24"/>
          <w:szCs w:val="24"/>
          <w:highlight w:val="none"/>
          <w:lang w:val="en-US" w:eastAsia="zh-CN"/>
        </w:rPr>
        <w:t xml:space="preserve">2</w:t>
      </w:r>
      <w:r>
        <w:rPr>
          <w:rFonts w:hint="eastAsia" w:hAnsi="宋体" w:cs="等线"/>
          <w:color w:val="auto"/>
          <w:sz w:val="24"/>
          <w:szCs w:val="24"/>
          <w:highlight w:val="none"/>
        </w:rPr>
        <w:t xml:space="preserve">、政府采购监督电话：0512-53512539。</w:t>
      </w:r>
      <w:r/>
    </w:p>
    <w:p>
      <w:pPr>
        <w:ind w:firstLine="420"/>
        <w:spacing w:line="360" w:lineRule="auto"/>
        <w:rPr>
          <w:rFonts w:hint="eastAsia"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Ansi="宋体" w:cs="等线"/>
          <w:color w:val="auto"/>
          <w:sz w:val="24"/>
          <w:szCs w:val="24"/>
          <w:highlight w:val="none"/>
        </w:rPr>
        <w:t xml:space="preserve">1</w:t>
      </w:r>
      <w:r>
        <w:rPr>
          <w:rFonts w:hint="eastAsia" w:hAnsi="宋体" w:cs="等线"/>
          <w:color w:val="auto"/>
          <w:sz w:val="24"/>
          <w:szCs w:val="24"/>
          <w:highlight w:val="none"/>
          <w:lang w:val="en-US" w:eastAsia="zh-CN"/>
        </w:rPr>
        <w:t xml:space="preserve">3</w:t>
      </w:r>
      <w:r>
        <w:rPr>
          <w:rFonts w:hint="eastAsia" w:hAnsi="宋体" w:cs="等线"/>
          <w:color w:val="auto"/>
          <w:sz w:val="24"/>
          <w:szCs w:val="24"/>
          <w:highlight w:val="none"/>
        </w:rPr>
        <w:t xml:space="preserve">、政府采购</w:t>
      </w:r>
      <w:r>
        <w:rPr>
          <w:rFonts w:hint="eastAsia" w:ascii="宋体" w:hAnsi="宋体" w:cs="宋体"/>
          <w:bCs/>
          <w:color w:val="auto"/>
          <w:sz w:val="24"/>
          <w:highlight w:val="none"/>
        </w:rPr>
        <w:t xml:space="preserve">履约资金扶持政策：中标供应商可凭政府采购合同办理融资贷款，详情请见江苏政府采购网“政采贷”专栏。</w:t>
      </w:r>
      <w:r/>
    </w:p>
    <w:p>
      <w:pPr>
        <w:ind w:firstLine="420"/>
        <w:spacing w:line="360" w:lineRule="auto"/>
        <w:rPr>
          <w:rFonts w:hint="eastAsia"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七、对本次招标提出询问，请按以下方式联系</w:t>
      </w:r>
      <w:r/>
    </w:p>
    <w:p>
      <w:pPr>
        <w:ind w:firstLine="420"/>
        <w:spacing w:line="360" w:lineRule="auto"/>
        <w:rPr>
          <w:rFonts w:hint="eastAsia"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1、采购人信息：</w:t>
      </w:r>
      <w:r/>
    </w:p>
    <w:p>
      <w:pPr>
        <w:ind w:firstLine="420"/>
        <w:spacing w:line="360" w:lineRule="auto"/>
        <w:rPr>
          <w:rFonts w:hint="default"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bookmarkStart w:id="8" w:name="_Hlk69823300"/>
      <w:r>
        <w:rPr>
          <w:rFonts w:hint="eastAsia" w:ascii="宋体" w:hAnsi="宋体" w:cs="宋体"/>
          <w:bCs/>
          <w:color w:val="auto"/>
          <w:sz w:val="24"/>
          <w:highlight w:val="none"/>
        </w:rPr>
        <w:t xml:space="preserve">名称: </w:t>
      </w:r>
      <w:bookmarkEnd w:id="8"/>
      <w:r>
        <w:rPr>
          <w:rFonts w:hint="eastAsia" w:ascii="宋体" w:hAnsi="宋体" w:cs="宋体"/>
          <w:bCs/>
          <w:color w:val="auto"/>
          <w:sz w:val="24"/>
          <w:highlight w:val="none"/>
        </w:rPr>
        <w:t xml:space="preserve">江苏省太仓高新技术产业开发区管理委员会</w:t>
      </w:r>
      <w:r/>
    </w:p>
    <w:p>
      <w:pPr>
        <w:ind w:firstLine="420"/>
        <w:spacing w:line="360" w:lineRule="auto"/>
        <w:rPr>
          <w:rFonts w:hint="default" w:ascii="宋体" w:hAnsi="宋体" w:cs="宋体"/>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lang w:val="en-US" w:eastAsia="zh-CN"/>
        </w:rPr>
        <w:t xml:space="preserve">地    址：江苏省苏州市太仓市上海东路88号</w:t>
      </w:r>
      <w:r/>
    </w:p>
    <w:p>
      <w:pPr>
        <w:ind w:firstLine="420"/>
        <w:spacing w:line="360" w:lineRule="auto"/>
        <w:rPr>
          <w:rFonts w:hint="default" w:ascii="宋体" w:hAnsi="宋体" w:eastAsia="宋体" w:cs="Times New Roman"/>
          <w:sz w:val="24"/>
          <w:szCs w:val="24"/>
          <w:highlight w:val="red"/>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lang w:val="en-US" w:eastAsia="zh-CN"/>
        </w:rPr>
        <w:t xml:space="preserve">联系方式：姜工   0512-53595044 </w:t>
      </w:r>
      <w:r>
        <w:rPr>
          <w:rFonts w:hint="eastAsia" w:ascii="宋体" w:hAnsi="宋体" w:eastAsia="宋体" w:cs="宋体"/>
          <w:sz w:val="24"/>
          <w:szCs w:val="24"/>
          <w:lang w:val="en-US" w:eastAsia="zh-CN" w:bidi="ar-SA"/>
        </w:rPr>
        <w:t xml:space="preserve">    </w:t>
      </w:r>
      <w:r/>
    </w:p>
    <w:p>
      <w:pPr>
        <w:ind w:left="480" w:firstLine="40"/>
        <w:spacing w:line="360" w:lineRule="auto"/>
        <w:widowControl/>
        <w:rPr>
          <w:rFonts w:hAnsi="宋体" w:cs="等线"/>
          <w:color w:val="auto"/>
          <w:sz w:val="24"/>
          <w:szCs w:val="24"/>
          <w:highlight w:val="none"/>
        </w:rPr>
      </w:pPr>
      <w:r>
        <w:rPr>
          <w:rFonts w:hint="eastAsia" w:hAnsi="宋体" w:cs="等线"/>
          <w:color w:val="auto"/>
          <w:sz w:val="24"/>
          <w:szCs w:val="24"/>
          <w:highlight w:val="none"/>
        </w:rPr>
        <w:t xml:space="preserve">2、采购代理机构信息：</w:t>
      </w:r>
      <w:r/>
    </w:p>
    <w:p>
      <w:pPr>
        <w:ind w:firstLine="480"/>
        <w:spacing w:line="360" w:lineRule="auto"/>
        <w:widowControl/>
        <w:rPr>
          <w:rFonts w:hint="eastAsia" w:hAnsi="宋体" w:eastAsia="宋体" w:cs="等线"/>
          <w:color w:val="auto"/>
          <w:sz w:val="24"/>
          <w:szCs w:val="24"/>
          <w:highlight w:val="none"/>
          <w:lang w:eastAsia="zh-CN"/>
        </w:rPr>
      </w:pPr>
      <w:r>
        <w:rPr>
          <w:rFonts w:hint="eastAsia" w:hAnsi="宋体" w:cs="等线"/>
          <w:color w:val="auto"/>
          <w:sz w:val="24"/>
          <w:szCs w:val="24"/>
          <w:highlight w:val="none"/>
        </w:rPr>
        <w:t xml:space="preserve">名 </w:t>
      </w:r>
      <w:r>
        <w:rPr>
          <w:rFonts w:hAnsi="宋体" w:cs="等线"/>
          <w:color w:val="auto"/>
          <w:sz w:val="24"/>
          <w:szCs w:val="24"/>
          <w:highlight w:val="none"/>
        </w:rPr>
        <w:t xml:space="preserve">   </w:t>
      </w:r>
      <w:r>
        <w:rPr>
          <w:rFonts w:hint="eastAsia" w:hAnsi="宋体" w:cs="等线"/>
          <w:color w:val="auto"/>
          <w:sz w:val="24"/>
          <w:szCs w:val="24"/>
          <w:highlight w:val="none"/>
        </w:rPr>
        <w:t xml:space="preserve">称：</w:t>
      </w:r>
      <w:r>
        <w:rPr>
          <w:rFonts w:hint="eastAsia" w:hAnsi="宋体" w:cs="等线"/>
          <w:color w:val="auto"/>
          <w:sz w:val="24"/>
          <w:szCs w:val="24"/>
          <w:highlight w:val="none"/>
          <w:lang w:eastAsia="zh-CN"/>
        </w:rPr>
        <w:t xml:space="preserve">江苏兆丰项目管理有限公司</w:t>
      </w:r>
      <w:r/>
    </w:p>
    <w:p>
      <w:pPr>
        <w:ind w:firstLine="480"/>
        <w:spacing w:line="360" w:lineRule="auto"/>
        <w:widowControl/>
        <w:rPr>
          <w:rFonts w:hint="eastAsia" w:hAnsi="宋体" w:cs="等线"/>
          <w:color w:val="auto"/>
          <w:sz w:val="24"/>
          <w:szCs w:val="24"/>
          <w:highlight w:val="none"/>
          <w:lang w:eastAsia="zh-CN"/>
        </w:rPr>
      </w:pPr>
      <w:r>
        <w:rPr>
          <w:rFonts w:hint="eastAsia" w:hAnsi="宋体" w:cs="等线"/>
          <w:color w:val="auto"/>
          <w:sz w:val="24"/>
          <w:szCs w:val="24"/>
          <w:highlight w:val="none"/>
        </w:rPr>
        <w:t xml:space="preserve">地 </w:t>
      </w:r>
      <w:r>
        <w:rPr>
          <w:rFonts w:hAnsi="宋体" w:cs="等线"/>
          <w:color w:val="auto"/>
          <w:sz w:val="24"/>
          <w:szCs w:val="24"/>
          <w:highlight w:val="none"/>
        </w:rPr>
        <w:t xml:space="preserve">   </w:t>
      </w:r>
      <w:r>
        <w:rPr>
          <w:rFonts w:hint="eastAsia" w:hAnsi="宋体" w:cs="等线"/>
          <w:color w:val="auto"/>
          <w:sz w:val="24"/>
          <w:szCs w:val="24"/>
          <w:highlight w:val="none"/>
        </w:rPr>
        <w:t xml:space="preserve">址：</w:t>
      </w:r>
      <w:r>
        <w:rPr>
          <w:rFonts w:hint="eastAsia" w:hAnsi="宋体" w:cs="等线"/>
          <w:color w:val="auto"/>
          <w:sz w:val="24"/>
          <w:szCs w:val="24"/>
          <w:highlight w:val="none"/>
          <w:lang w:eastAsia="zh-CN"/>
        </w:rPr>
        <w:t xml:space="preserve">太仓市常胜北路16号3楼</w:t>
      </w:r>
      <w:r/>
    </w:p>
    <w:p>
      <w:pPr>
        <w:ind w:firstLine="480"/>
        <w:spacing w:line="360" w:lineRule="auto"/>
        <w:widowControl/>
        <w:rPr>
          <w:rFonts w:hint="default" w:hAnsi="宋体" w:eastAsia="宋体" w:cs="等线"/>
          <w:color w:val="auto"/>
          <w:sz w:val="24"/>
          <w:szCs w:val="24"/>
          <w:highlight w:val="none"/>
          <w:lang w:val="en-US" w:eastAsia="zh-CN"/>
        </w:rPr>
      </w:pPr>
      <w:r>
        <w:rPr>
          <w:rFonts w:hint="eastAsia" w:hAnsi="宋体" w:cs="等线"/>
          <w:color w:val="auto"/>
          <w:sz w:val="24"/>
          <w:szCs w:val="24"/>
          <w:highlight w:val="none"/>
        </w:rPr>
        <w:t xml:space="preserve">联系方式：</w:t>
      </w:r>
      <w:r>
        <w:rPr>
          <w:rFonts w:hint="eastAsia" w:hAnsi="宋体" w:cs="等线"/>
          <w:color w:val="auto"/>
          <w:sz w:val="24"/>
          <w:szCs w:val="24"/>
          <w:highlight w:val="none"/>
          <w:lang w:val="en-US" w:eastAsia="zh-CN"/>
        </w:rPr>
        <w:t xml:space="preserve"> 陈雪娇   13776182834</w:t>
      </w:r>
      <w:r/>
    </w:p>
    <w:p>
      <w:pPr>
        <w:ind w:firstLine="480"/>
        <w:spacing w:line="360" w:lineRule="auto"/>
        <w:widowControl/>
        <w:rPr>
          <w:rFonts w:hAnsi="宋体" w:cs="等线"/>
          <w:color w:val="auto"/>
          <w:sz w:val="24"/>
          <w:szCs w:val="24"/>
          <w:highlight w:val="none"/>
        </w:rPr>
      </w:pPr>
      <w:r>
        <w:rPr>
          <w:rFonts w:hint="eastAsia" w:hAnsi="宋体" w:cs="等线"/>
          <w:color w:val="auto"/>
          <w:sz w:val="24"/>
          <w:szCs w:val="24"/>
          <w:highlight w:val="none"/>
        </w:rPr>
        <w:t xml:space="preserve">3、项目联系方式</w:t>
      </w:r>
      <w:r/>
    </w:p>
    <w:p>
      <w:pPr>
        <w:ind w:firstLine="480"/>
        <w:spacing w:line="360" w:lineRule="auto"/>
        <w:widowControl/>
        <w:rPr>
          <w:rFonts w:hint="eastAsia" w:hAnsi="宋体" w:eastAsia="宋体" w:cs="等线"/>
          <w:color w:val="auto"/>
          <w:sz w:val="24"/>
          <w:szCs w:val="24"/>
          <w:highlight w:val="none"/>
          <w:lang w:eastAsia="zh-CN"/>
        </w:rPr>
      </w:pPr>
      <w:r>
        <w:rPr>
          <w:rFonts w:hint="eastAsia" w:hAnsi="宋体" w:cs="等线"/>
          <w:color w:val="auto"/>
          <w:sz w:val="24"/>
          <w:szCs w:val="24"/>
          <w:highlight w:val="none"/>
        </w:rPr>
        <w:t xml:space="preserve">项目联系人：</w:t>
      </w:r>
      <w:r>
        <w:rPr>
          <w:rFonts w:hint="eastAsia" w:hAnsi="宋体" w:cs="等线"/>
          <w:color w:val="auto"/>
          <w:sz w:val="24"/>
          <w:szCs w:val="24"/>
          <w:highlight w:val="none"/>
          <w:lang w:val="en-US" w:eastAsia="zh-CN"/>
        </w:rPr>
        <w:t xml:space="preserve"> 陈雪娇   </w:t>
      </w:r>
      <w:r>
        <w:rPr>
          <w:rFonts w:hint="eastAsia" w:hAnsi="宋体" w:cs="等线"/>
          <w:color w:val="auto"/>
          <w:sz w:val="24"/>
          <w:szCs w:val="24"/>
          <w:highlight w:val="none"/>
        </w:rPr>
        <w:t xml:space="preserve">电 话：</w:t>
      </w:r>
      <w:r>
        <w:rPr>
          <w:rFonts w:hint="eastAsia" w:hAnsi="宋体" w:cs="等线"/>
          <w:color w:val="auto"/>
          <w:sz w:val="24"/>
          <w:szCs w:val="24"/>
          <w:highlight w:val="none"/>
          <w:lang w:val="en-US" w:eastAsia="zh-CN"/>
        </w:rPr>
        <w:t xml:space="preserve"> 13776182834</w:t>
      </w:r>
      <w:r/>
    </w:p>
    <w:p>
      <w:pPr>
        <w:ind w:firstLine="480"/>
        <w:spacing w:line="360" w:lineRule="auto"/>
        <w:widowControl/>
        <w:rPr>
          <w:rFonts w:hint="default" w:hAnsi="宋体" w:eastAsia="宋体"/>
          <w:color w:val="auto"/>
          <w:sz w:val="24"/>
          <w:szCs w:val="24"/>
          <w:highlight w:val="none"/>
          <w:lang w:val="en-US" w:eastAsia="zh-CN"/>
        </w:rPr>
      </w:pPr>
      <w:r>
        <w:rPr>
          <w:rFonts w:hint="default" w:hAnsi="宋体" w:eastAsia="宋体"/>
          <w:color w:val="auto"/>
          <w:sz w:val="24"/>
          <w:szCs w:val="24"/>
          <w:highlight w:val="none"/>
          <w:lang w:val="en-US" w:eastAsia="zh-CN"/>
        </w:rPr>
      </w:r>
      <w:r/>
    </w:p>
    <w:p>
      <w:pPr>
        <w:spacing w:line="360" w:lineRule="auto"/>
        <w:widowControl/>
        <w:rPr>
          <w:rFonts w:hAnsi="宋体" w:cs="等线"/>
          <w:color w:val="auto"/>
          <w:sz w:val="21"/>
          <w:szCs w:val="21"/>
          <w:highlight w:val="none"/>
        </w:rPr>
        <w:sectPr>
          <w:headerReference w:type="default" r:id="rId9"/>
          <w:footerReference w:type="default" r:id="rId12"/>
          <w:footnotePr/>
          <w:endnotePr/>
          <w:type w:val="nextPage"/>
          <w:pgSz w:w="11906" w:h="16838" w:orient="portrait"/>
          <w:pgMar w:top="1361" w:right="1304" w:bottom="1304" w:left="1361" w:header="851" w:footer="992" w:gutter="0"/>
          <w:cols w:num="1" w:sep="0" w:space="720" w:equalWidth="1"/>
          <w:docGrid w:linePitch="360"/>
        </w:sectPr>
      </w:pPr>
      <w:r>
        <w:rPr>
          <w:rFonts w:hAnsi="宋体" w:cs="等线"/>
          <w:color w:val="auto"/>
          <w:sz w:val="21"/>
          <w:szCs w:val="21"/>
          <w:highlight w:val="none"/>
        </w:rPr>
      </w:r>
      <w:bookmarkEnd w:id="5"/>
      <w:r/>
      <w:r/>
    </w:p>
    <w:p>
      <w:pPr>
        <w:jc w:val="center"/>
        <w:spacing w:line="360" w:lineRule="auto"/>
        <w:rPr>
          <w:rFonts w:hAnsi="宋体"/>
          <w:b/>
          <w:bCs/>
          <w:color w:val="auto"/>
          <w:sz w:val="36"/>
          <w:szCs w:val="36"/>
          <w:highlight w:val="none"/>
        </w:rPr>
        <w:outlineLvl w:val="0"/>
      </w:pPr>
      <w:r/>
      <w:bookmarkStart w:id="9" w:name="_Toc159507036"/>
      <w:r>
        <w:rPr>
          <w:rFonts w:hint="eastAsia" w:hAnsi="宋体"/>
          <w:b/>
          <w:bCs/>
          <w:color w:val="auto"/>
          <w:sz w:val="36"/>
          <w:szCs w:val="36"/>
          <w:highlight w:val="none"/>
        </w:rPr>
        <w:t xml:space="preserve">第二章</w:t>
      </w:r>
      <w:r>
        <w:rPr>
          <w:rFonts w:hAnsi="宋体"/>
          <w:b/>
          <w:bCs/>
          <w:color w:val="auto"/>
          <w:sz w:val="36"/>
          <w:szCs w:val="36"/>
          <w:highlight w:val="none"/>
        </w:rPr>
        <w:t xml:space="preserve"> </w:t>
      </w:r>
      <w:r>
        <w:rPr>
          <w:rFonts w:hint="eastAsia" w:hAnsi="宋体"/>
          <w:b/>
          <w:bCs/>
          <w:color w:val="auto"/>
          <w:sz w:val="36"/>
          <w:szCs w:val="36"/>
          <w:highlight w:val="none"/>
        </w:rPr>
        <w:t xml:space="preserve">投标人须知</w:t>
      </w:r>
      <w:bookmarkEnd w:id="9"/>
      <w:r/>
      <w:r/>
    </w:p>
    <w:p>
      <w:pPr>
        <w:pStyle w:val="821"/>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一、说明和释义</w:t>
      </w:r>
      <w:r/>
    </w:p>
    <w:p>
      <w:pPr>
        <w:pStyle w:val="821"/>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1、说明 </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 本招标文件仅适用于</w:t>
      </w:r>
      <w:r>
        <w:rPr>
          <w:rFonts w:hint="eastAsia" w:hAnsi="宋体" w:cs="宋体"/>
          <w:b w:val="0"/>
          <w:bCs w:val="0"/>
          <w:color w:val="auto"/>
          <w:sz w:val="24"/>
          <w:szCs w:val="24"/>
          <w:highlight w:val="none"/>
          <w:lang w:eastAsia="zh-CN"/>
        </w:rPr>
        <w:t xml:space="preserve">江苏兆丰项目管理有限公司</w:t>
      </w:r>
      <w:r>
        <w:rPr>
          <w:rFonts w:hint="eastAsia" w:ascii="宋体" w:hAnsi="宋体" w:eastAsia="宋体" w:cs="宋体"/>
          <w:b w:val="0"/>
          <w:bCs w:val="0"/>
          <w:color w:val="auto"/>
          <w:sz w:val="24"/>
          <w:szCs w:val="24"/>
          <w:highlight w:val="none"/>
        </w:rPr>
        <w:t xml:space="preserve">组织的招标活动。</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 本次招标活动及因本次招标产生的合同受中国法律制约和保护。</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 本招标文件的解释权属于</w:t>
      </w:r>
      <w:r>
        <w:rPr>
          <w:rFonts w:hint="eastAsia" w:hAnsi="宋体" w:cs="宋体"/>
          <w:b w:val="0"/>
          <w:bCs w:val="0"/>
          <w:color w:val="auto"/>
          <w:sz w:val="24"/>
          <w:szCs w:val="24"/>
          <w:highlight w:val="none"/>
          <w:lang w:eastAsia="zh-CN"/>
        </w:rPr>
        <w:t xml:space="preserve">江苏兆丰项目管理有限公司</w:t>
      </w:r>
      <w:r>
        <w:rPr>
          <w:rFonts w:hint="eastAsia" w:ascii="宋体" w:hAnsi="宋体" w:eastAsia="宋体" w:cs="宋体"/>
          <w:b w:val="0"/>
          <w:bCs w:val="0"/>
          <w:color w:val="auto"/>
          <w:sz w:val="24"/>
          <w:szCs w:val="24"/>
          <w:highlight w:val="none"/>
        </w:rPr>
        <w:t xml:space="preserve">。</w:t>
      </w:r>
      <w:r/>
    </w:p>
    <w:p>
      <w:pPr>
        <w:pStyle w:val="821"/>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2、词语释义</w:t>
      </w:r>
      <w:r/>
    </w:p>
    <w:p>
      <w:pPr>
        <w:pStyle w:val="821"/>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z w:val="24"/>
          <w:szCs w:val="24"/>
          <w:highlight w:val="none"/>
        </w:rPr>
        <w:t xml:space="preserve">2.1 </w:t>
      </w:r>
      <w:r>
        <w:rPr>
          <w:rFonts w:hint="eastAsia" w:ascii="宋体" w:hAnsi="宋体" w:eastAsia="宋体" w:cs="宋体"/>
          <w:b w:val="0"/>
          <w:bCs w:val="0"/>
          <w:color w:val="auto"/>
          <w:spacing w:val="-3"/>
          <w:sz w:val="24"/>
          <w:szCs w:val="24"/>
          <w:highlight w:val="none"/>
        </w:rPr>
        <w:t xml:space="preserve">采购人：指依法进行政府采购的国家机关、事业单位、团体组织。</w:t>
      </w:r>
      <w:r/>
    </w:p>
    <w:p>
      <w:pPr>
        <w:pStyle w:val="821"/>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2.2 供应商：指向采购人提供货物、工程或服务的法人、其他组织或者自然人。</w:t>
      </w:r>
      <w:r/>
    </w:p>
    <w:p>
      <w:pPr>
        <w:pStyle w:val="821"/>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2.3 投标人：指参加政府采购货物服务投标活动的供应商。</w:t>
      </w:r>
      <w:r/>
    </w:p>
    <w:p>
      <w:pPr>
        <w:pStyle w:val="821"/>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2.4 采购代理机构：指依法接受采购人委托，从事货物、工程和服务等政府采购招标代理业务的社会中介机构。</w:t>
      </w:r>
      <w:r/>
    </w:p>
    <w:p>
      <w:pPr>
        <w:pStyle w:val="821"/>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2.5 招标采购单位：采购人及采购代理机构的统称。</w:t>
      </w:r>
      <w:r/>
    </w:p>
    <w:p>
      <w:pPr>
        <w:pStyle w:val="821"/>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2.6 评标委员会：是指在招标投标和政府采购活动中，依法由采购人代表和有关技术、经济等方面的专家组建，负责对投标文件进行评审并提出评审意见的临时性权威机构。</w:t>
      </w:r>
      <w:r/>
    </w:p>
    <w:p>
      <w:pPr>
        <w:pStyle w:val="821"/>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2.7 响应：投标人根据采购人或采购代理机构发售的招标文件，编制投标文件并按规定投标的行为。</w:t>
      </w:r>
      <w:r/>
    </w:p>
    <w:p>
      <w:pPr>
        <w:pStyle w:val="821"/>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2.8 知识产权：指专利权、商标权、著作权等无形财产专有权的统称。</w:t>
      </w:r>
      <w:r/>
    </w:p>
    <w:p>
      <w:pPr>
        <w:pStyle w:val="821"/>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2.9 天：日历日。</w:t>
      </w:r>
      <w:r/>
    </w:p>
    <w:p>
      <w:pPr>
        <w:pStyle w:val="821"/>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2.10 合同：采供双方根据招标文件和中标的投标文件及中标通知书规定的内容签署的以书面形式所达成的协议，包括所有的附件、附录和构成协议的所有文件。</w:t>
      </w:r>
      <w:r/>
    </w:p>
    <w:p>
      <w:pPr>
        <w:pStyle w:val="821"/>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2.11 合同价款：根据合同规定，乙方在正确地履行合同义务后甲方应支付乙方的价款。</w:t>
      </w:r>
      <w:r/>
    </w:p>
    <w:p>
      <w:pPr>
        <w:pStyle w:val="821"/>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2.12 货物：系指乙方按招标采购文件规定，应向甲方提供的一切设备、备品、备件、工具、手册及其它有关技术资料和材料。</w:t>
      </w:r>
      <w:r/>
    </w:p>
    <w:p>
      <w:pPr>
        <w:pStyle w:val="821"/>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2.13 服务：系指本次招标采购文件规定乙方应承担的与提供货物和服务有关的辅助服务，比如运输、保险、安装、调试、验收、提供技术援助、培训、配合措施、维修响应及合同中规定乙方应承担的其它义务。</w:t>
      </w:r>
      <w:r/>
    </w:p>
    <w:p>
      <w:pPr>
        <w:pStyle w:val="821"/>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2.14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821"/>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2.15 交货地点：合同中明确约定的乙方提交的货物最终地点。</w:t>
      </w:r>
      <w:r/>
    </w:p>
    <w:p>
      <w:pPr>
        <w:pStyle w:val="821"/>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2.16 不可抗力：不能预见、不能避免并且不能克服的客观情况。</w:t>
      </w:r>
      <w:r/>
    </w:p>
    <w:p>
      <w:pPr>
        <w:pStyle w:val="821"/>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2.18 实质性响应：满足有关本次采购标的、数量、质量、价款或者报酬、履行期限、履行地点和方式、违约责任和解决争议方法等要求。</w:t>
      </w:r>
      <w:r/>
    </w:p>
    <w:p>
      <w:pPr>
        <w:pStyle w:val="821"/>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2.19 进口产品：通过中国海关报关验放进入中国境内且产自关境外的产品。</w:t>
      </w:r>
      <w:r/>
    </w:p>
    <w:p>
      <w:pPr>
        <w:pStyle w:val="821"/>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2.20 书面形式：指书面文字、合同书、信件和传真等可有形地表现所载内容的形式。</w:t>
      </w:r>
      <w:r/>
    </w:p>
    <w:p>
      <w:pPr>
        <w:pStyle w:val="821"/>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二、投标人</w:t>
      </w:r>
      <w:r/>
    </w:p>
    <w:p>
      <w:pPr>
        <w:pStyle w:val="821"/>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3、合格投标人的范围</w:t>
      </w:r>
      <w:r/>
    </w:p>
    <w:p>
      <w:pPr>
        <w:pStyle w:val="821"/>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z w:val="24"/>
          <w:szCs w:val="24"/>
          <w:highlight w:val="none"/>
        </w:rPr>
        <w:t xml:space="preserve">3.1 </w:t>
      </w:r>
      <w:r>
        <w:rPr>
          <w:rFonts w:hint="eastAsia" w:ascii="宋体" w:hAnsi="宋体" w:eastAsia="宋体" w:cs="宋体"/>
          <w:b w:val="0"/>
          <w:bCs w:val="0"/>
          <w:color w:val="auto"/>
          <w:spacing w:val="-3"/>
          <w:sz w:val="24"/>
          <w:szCs w:val="24"/>
          <w:highlight w:val="none"/>
        </w:rPr>
        <w:t xml:space="preserve">符合《中华人民共和国政府采购法》第二十二条第一款之规定。</w:t>
      </w:r>
      <w:r/>
    </w:p>
    <w:p>
      <w:pPr>
        <w:pStyle w:val="821"/>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3.2 满足本文件实质性条款的规定。</w:t>
      </w:r>
      <w:r/>
    </w:p>
    <w:p>
      <w:pPr>
        <w:pStyle w:val="821"/>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4、合格投标人的特定条件</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4.1 </w:t>
      </w:r>
      <w:r>
        <w:rPr>
          <w:rFonts w:hint="eastAsia" w:ascii="宋体" w:hAnsi="宋体" w:eastAsia="宋体" w:cs="宋体"/>
          <w:b w:val="0"/>
          <w:bCs w:val="0"/>
          <w:color w:val="auto"/>
          <w:spacing w:val="-3"/>
          <w:sz w:val="24"/>
          <w:szCs w:val="24"/>
          <w:highlight w:val="none"/>
        </w:rPr>
        <w:t xml:space="preserve">详见招标公告规定。</w:t>
      </w:r>
      <w:r/>
    </w:p>
    <w:p>
      <w:pPr>
        <w:pStyle w:val="821"/>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5、投标委托</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5.1 指全权代表投标人参加投标活动并签署投标文件的人，如果投标人代表不是法定代表人代表， 须持有《法定代表人代表授权委托书》（详见统一格式）。</w:t>
      </w:r>
      <w:r/>
    </w:p>
    <w:p>
      <w:pPr>
        <w:pStyle w:val="821"/>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6、投标费用</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6.1 无论投标过程的做法和结果如何,投标人自行承担所有与参加投标有关的全部费用。</w:t>
      </w:r>
      <w:r/>
    </w:p>
    <w:p>
      <w:pPr>
        <w:pStyle w:val="821"/>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7、联合投标 </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7.1 本项目不接受联合投标。</w:t>
      </w:r>
      <w:r/>
    </w:p>
    <w:p>
      <w:pPr>
        <w:pStyle w:val="821"/>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三、招标文件的说明 </w:t>
      </w:r>
      <w:r/>
    </w:p>
    <w:p>
      <w:pPr>
        <w:pStyle w:val="821"/>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8、招标文件</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8.1 招标文件由招标文件目录所列内容组成，投标人购买招标文件后，应仔细检查招标文件的所有内容，如有残缺等问题应在购买招标文件规定时间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8.2 招标文件及其更正文件不是直接从采购代理机构或指定媒体获得的，采购代理机构对招标文件及其补遗的真实性、完整性不承担任何责任。 </w:t>
      </w:r>
      <w:r/>
    </w:p>
    <w:p>
      <w:pPr>
        <w:pStyle w:val="821"/>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9、现场踏勘</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9.1 采购人不组织现场踏勘，投标人可以对有关现场踏勘和周围环境进行考察，以获取编制投标文件和签署合同所需的信息，考察现场所发生的费用由投标人自己承担。</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9.2 招标采购单位向投标人提供的有关现场的资料和数据，是招标采购单位现有的并认为能使投标人可利用的资料。招标采购单位对投标人由此而做出的推论、理解和结论概不负责，风险均由投标人自行承担。 </w:t>
      </w:r>
      <w:r/>
    </w:p>
    <w:p>
      <w:pPr>
        <w:pStyle w:val="821"/>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 招标文件的澄清</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10.1 投标人在获取招标文件后，若有疑问，应于投标截止时间之前，向采购代理机构提出，采购代理机构将予以解答。</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10.2 如有必要，问题答复将以“变更公告”形式由采购代理机构按照本须知第 10 条的规定发出。 </w:t>
      </w:r>
      <w:r/>
    </w:p>
    <w:p>
      <w:pPr>
        <w:pStyle w:val="821"/>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11.招标文件的修改</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11.1 投标人在购买招标文件后，若有问题需要询问和澄清，应在投标截止时间10日前提出，澄清和提疑须以书面形式向采购代理机构提出，采购代理机构将以书面形式或投标答疑会的方式予以解答（包括对询问的解释，但不说明来源），答复将送给所有招标文件的收受人。</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11.2 迟于规定的询问和提交的疑问，采购人和采购代理机构有权拒绝回答，也不承担由此带来的对投标人投标结果的影响。</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11.3 在投标截止时间 15 日前，招标采购单位无论出于自己的考虑，还是出于对投标人提问的澄清，均可对已发出的招标文件进行必要澄清或者修改。</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11.4 为使投标人有足够的时间按招标文件的修改要求考虑修正投标文件，或出于其他原因，招标采购单位有权推迟投标截止日期和开标日期，将此变更通知所有招标文件的收受人。</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11.5 招标文件的更正（含澄清、修改等）内容与原招标文件在同一内容上表述不一致时，以发出日期最接近开标时间的公告为准。</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11.6 招标文件的更正（含澄清、修改等）内容将在财政部门指定的政府采购信息发布媒体上发布， 作为招标文件的组成部分，对投标人起约束作用。</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11.7 </w:t>
      </w:r>
      <w:r>
        <w:rPr>
          <w:rFonts w:hint="eastAsia" w:ascii="宋体" w:hAnsi="宋体" w:eastAsia="宋体" w:cs="宋体"/>
          <w:color w:val="auto"/>
          <w:sz w:val="24"/>
          <w:szCs w:val="24"/>
          <w:highlight w:val="none"/>
        </w:rPr>
        <w:t xml:space="preserve">招标文件若有最新的答疑文件，投标供应商必须下载并使用该文件制作新的电子投标文件，否则将无法完成电子投标文件的上传及投标。</w:t>
      </w:r>
      <w:r/>
    </w:p>
    <w:p>
      <w:pPr>
        <w:pStyle w:val="821"/>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四、投标文件说明</w:t>
      </w:r>
      <w:r/>
    </w:p>
    <w:p>
      <w:pPr>
        <w:pStyle w:val="821"/>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12、提示与要求</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12.1 投标人应仔细阅读招标文件的所有内容，按招标文件的要求提供投标文件，并保证所提供的全部资料的真实性，以使其投标对招标文件做出实质性响应，否则，其投标可能被拒绝。</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12.2 无论是否递交投标文件，投标人都应将招标文件及以后的所有通知、文件等视为保密文件。</w:t>
      </w:r>
      <w:r/>
    </w:p>
    <w:p>
      <w:pPr>
        <w:pStyle w:val="821"/>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13、投标文件计量单位和使用文字</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13.1 投标文件中所使用的计量单位，除招标文件中有特殊要求外，均应使用中华人民共和国法定计量单位。</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13.2 投标文件应使用中文编制，投标文件中必须使用其他文字的，必须附有中文译本，且以中文译本为准。对于未附有中文译本和中文译本不准确的投标文件可能引起的对投标人不利的后果，招标采购单位概不负责。 </w:t>
      </w:r>
      <w:r/>
    </w:p>
    <w:p>
      <w:pPr>
        <w:pStyle w:val="821"/>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14、知识产权</w:t>
      </w:r>
      <w:r/>
    </w:p>
    <w:p>
      <w:pPr>
        <w:pStyle w:val="834"/>
        <w:ind w:left="0" w:firstLine="426"/>
        <w:jc w:val="both"/>
        <w:spacing w:before="0"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14.1</w:t>
      </w:r>
      <w:r>
        <w:rPr>
          <w:rFonts w:hint="eastAsia" w:ascii="宋体" w:hAnsi="宋体" w:eastAsia="宋体" w:cs="宋体"/>
          <w:color w:val="auto"/>
          <w:spacing w:val="-6"/>
          <w:sz w:val="24"/>
          <w:szCs w:val="24"/>
          <w:highlight w:val="none"/>
        </w:rPr>
        <w:t xml:space="preserve"> 投标人应保证在本项目使用的任何产品</w:t>
      </w:r>
      <w:r>
        <w:rPr>
          <w:rFonts w:hint="eastAsia" w:ascii="宋体" w:hAnsi="宋体" w:eastAsia="宋体" w:cs="宋体"/>
          <w:color w:val="auto"/>
          <w:spacing w:val="-3"/>
          <w:sz w:val="24"/>
          <w:szCs w:val="24"/>
          <w:highlight w:val="none"/>
        </w:rPr>
        <w:t xml:space="preserve">（包括部分使用</w:t>
      </w:r>
      <w:r>
        <w:rPr>
          <w:rFonts w:hint="eastAsia" w:ascii="宋体" w:hAnsi="宋体" w:eastAsia="宋体" w:cs="宋体"/>
          <w:color w:val="auto"/>
          <w:spacing w:val="-12"/>
          <w:sz w:val="24"/>
          <w:szCs w:val="24"/>
          <w:highlight w:val="none"/>
        </w:rPr>
        <w:t xml:space="preserve">）</w:t>
      </w:r>
      <w:r>
        <w:rPr>
          <w:rFonts w:hint="eastAsia" w:ascii="宋体" w:hAnsi="宋体" w:eastAsia="宋体" w:cs="宋体"/>
          <w:color w:val="auto"/>
          <w:spacing w:val="-4"/>
          <w:sz w:val="24"/>
          <w:szCs w:val="24"/>
          <w:highlight w:val="none"/>
        </w:rPr>
        <w:t xml:space="preserve">时，不会产生因第三方提出侵犯其专利权、商标权或其它知识产权而引起的法律和经济纠纷，如因专利权、商标权或其它知识产权而引</w:t>
      </w:r>
      <w:r>
        <w:rPr>
          <w:rFonts w:hint="eastAsia" w:ascii="宋体" w:hAnsi="宋体" w:eastAsia="宋体" w:cs="宋体"/>
          <w:color w:val="auto"/>
          <w:spacing w:val="-3"/>
          <w:sz w:val="24"/>
          <w:szCs w:val="24"/>
          <w:highlight w:val="none"/>
        </w:rPr>
        <w:t xml:space="preserve">起法律和经济纠纷，由投标人承担所有相关责任。</w:t>
      </w:r>
      <w:r/>
    </w:p>
    <w:p>
      <w:pPr>
        <w:pStyle w:val="821"/>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15、投标文件的组成和顺序（顺序以软件为准）</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Cs w:val="0"/>
          <w:color w:val="auto"/>
          <w:sz w:val="24"/>
          <w:szCs w:val="24"/>
          <w:highlight w:val="none"/>
        </w:rPr>
        <w:t xml:space="preserve">15.1 </w:t>
      </w:r>
      <w:r>
        <w:rPr>
          <w:rFonts w:hint="eastAsia" w:ascii="宋体" w:hAnsi="宋体" w:eastAsia="宋体" w:cs="宋体"/>
          <w:color w:val="auto"/>
          <w:sz w:val="24"/>
          <w:szCs w:val="24"/>
          <w:highlight w:val="none"/>
        </w:rPr>
        <w:t xml:space="preserve">报价部分</w:t>
      </w:r>
      <w:r>
        <w:rPr>
          <w:rFonts w:hint="eastAsia" w:ascii="宋体" w:hAnsi="宋体" w:eastAsia="宋体" w:cs="宋体"/>
          <w:b w:val="0"/>
          <w:bCs w:val="0"/>
          <w:color w:val="auto"/>
          <w:sz w:val="24"/>
          <w:szCs w:val="24"/>
          <w:highlight w:val="none"/>
        </w:rPr>
        <w:t xml:space="preserve">（详见投标文件格式）：</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15.1.1投标承诺函；</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15.1.2授权委托书（如有授权）；</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15.1.3投标人法定代表人身份证复印件；</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15.1.4投标人授权代理人身份证复印件（如有授权）；</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15.1.5开标一览表</w:t>
      </w:r>
      <w:r>
        <w:rPr>
          <w:rFonts w:hint="eastAsia" w:hAnsi="宋体" w:cs="宋体"/>
          <w:b w:val="0"/>
          <w:bCs w:val="0"/>
          <w:color w:val="auto"/>
          <w:sz w:val="24"/>
          <w:szCs w:val="24"/>
          <w:highlight w:val="none"/>
          <w:lang w:eastAsia="zh-CN"/>
        </w:rPr>
        <w:t xml:space="preserve">、报价明细表</w:t>
      </w:r>
      <w:r>
        <w:rPr>
          <w:rFonts w:hint="eastAsia" w:ascii="宋体" w:hAnsi="宋体" w:eastAsia="宋体" w:cs="宋体"/>
          <w:b w:val="0"/>
          <w:bCs w:val="0"/>
          <w:color w:val="auto"/>
          <w:sz w:val="24"/>
          <w:szCs w:val="24"/>
          <w:highlight w:val="none"/>
        </w:rPr>
        <w:t xml:space="preserve">（详见软件格式）；</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15.1.6关于资格文件的声明函（详见投标文件格式）；</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15.1.7投标单位情况表（详见投标文件格式）；</w:t>
      </w:r>
      <w:r/>
    </w:p>
    <w:p>
      <w:pPr>
        <w:pStyle w:val="821"/>
        <w:ind w:left="0" w:firstLine="420"/>
        <w:jc w:val="both"/>
        <w:spacing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15.2 资质证明文件部分</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15.2.1投标单位营业执照副本或三证合一营业执照复印件；</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15.2.2 投标人参加本次政府采购活动前的财务状况报告或者银行出具的资信证明；</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15.2.3 投标人根据项目需求提供履行合同所必需的设备和专业技术能力的证明材料；</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15.2.4 投标人参加本次政府采购活动前半年（至少一个月）依法缴纳税收和社会保障资金的证明材料；</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12.2.5 投标人参加政府采购活动前在经营活动中没有重大违法记录的书面申明；</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15.2.6投标人证明其符合招标文件规定的投标人特定资格条件的证书、证明和文件材料（如有，见招标公告特定资格要求）；</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15.2.7 中小企业声明函及相关材料（如有）；</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15.2.8 残疾人福利性单位声明函（如有）；</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15.2.9 其他可以证明投标人资信、资质和货物、服务质量的证书、文件、推荐信等资料；（如有）</w:t>
      </w:r>
      <w:r/>
    </w:p>
    <w:p>
      <w:pPr>
        <w:pStyle w:val="821"/>
        <w:ind w:left="0" w:firstLine="420"/>
        <w:jc w:val="both"/>
        <w:spacing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15.3商务及</w:t>
      </w:r>
      <w:r>
        <w:rPr>
          <w:rFonts w:hint="eastAsia" w:ascii="宋体" w:hAnsi="宋体" w:eastAsia="宋体" w:cs="宋体"/>
          <w:color w:val="auto"/>
          <w:sz w:val="24"/>
          <w:szCs w:val="24"/>
          <w:highlight w:val="none"/>
        </w:rPr>
        <w:t xml:space="preserve">技术部分</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15.3.1 技术方案；</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15.3.2 服务</w:t>
      </w:r>
      <w:r>
        <w:rPr>
          <w:rFonts w:hint="eastAsia" w:hAnsi="宋体" w:cs="宋体"/>
          <w:b w:val="0"/>
          <w:bCs w:val="0"/>
          <w:color w:val="auto"/>
          <w:sz w:val="24"/>
          <w:szCs w:val="24"/>
          <w:highlight w:val="none"/>
          <w:lang w:eastAsia="zh-CN"/>
        </w:rPr>
        <w:t xml:space="preserve">（技术）</w:t>
      </w:r>
      <w:r>
        <w:rPr>
          <w:rFonts w:hint="eastAsia" w:ascii="宋体" w:hAnsi="宋体" w:eastAsia="宋体" w:cs="宋体"/>
          <w:b w:val="0"/>
          <w:bCs w:val="0"/>
          <w:color w:val="auto"/>
          <w:sz w:val="24"/>
          <w:szCs w:val="24"/>
          <w:highlight w:val="none"/>
        </w:rPr>
        <w:t xml:space="preserve">要求偏离表、商务条款偏离表；</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15.3.3拟投入本项目的专业技术（服务）人员情况一览表；</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15.3.</w:t>
      </w:r>
      <w:r>
        <w:rPr>
          <w:rFonts w:hint="eastAsia"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企业业绩一览表；</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15.3.</w:t>
      </w:r>
      <w:r>
        <w:rPr>
          <w:rFonts w:hint="eastAsia"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 招标文件及评分标准中要求提供的其他相关材料（如有）； </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15.3.</w:t>
      </w:r>
      <w:r>
        <w:rPr>
          <w:rFonts w:hint="eastAsia"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其他需投标人对本次投标的详细说明（投标人视各自的情况自行编制）。 </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15.4 </w:t>
      </w:r>
      <w:r>
        <w:rPr>
          <w:rFonts w:hint="eastAsia" w:ascii="宋体" w:hAnsi="宋体" w:eastAsia="宋体" w:cs="宋体"/>
          <w:color w:val="auto"/>
          <w:sz w:val="24"/>
          <w:szCs w:val="24"/>
          <w:highlight w:val="none"/>
        </w:rPr>
        <w:t xml:space="preserve">投标文件由 15.1-15.3 款规定的内容共同组成。</w:t>
      </w:r>
      <w:r/>
    </w:p>
    <w:p>
      <w:pPr>
        <w:pStyle w:val="821"/>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16、投标文件编制要求</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16.1 电子投标文件编制要求：投标人应使用</w:t>
      </w:r>
      <w:r>
        <w:rPr>
          <w:rFonts w:hint="eastAsia" w:ascii="宋体" w:hAnsi="宋体" w:eastAsia="宋体" w:cs="宋体"/>
          <w:color w:val="auto"/>
          <w:sz w:val="24"/>
          <w:szCs w:val="24"/>
          <w:highlight w:val="none"/>
        </w:rPr>
        <w:t xml:space="preserve">招标文件要求的投标文件制作软件制作电子投标文件</w:t>
      </w:r>
      <w:r>
        <w:rPr>
          <w:rFonts w:hint="eastAsia" w:ascii="宋体" w:hAnsi="宋体" w:eastAsia="宋体" w:cs="宋体"/>
          <w:b w:val="0"/>
          <w:bCs w:val="0"/>
          <w:color w:val="auto"/>
          <w:sz w:val="24"/>
          <w:szCs w:val="24"/>
          <w:highlight w:val="none"/>
        </w:rPr>
        <w:t xml:space="preserve">，电子投标文件按招标文件规定的格式制作，如果未按要求制作上传，可能导致投标无效。</w:t>
      </w:r>
      <w:r/>
    </w:p>
    <w:p>
      <w:pPr>
        <w:pStyle w:val="821"/>
        <w:ind w:left="0" w:firstLine="420"/>
        <w:jc w:val="both"/>
        <w:spacing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16.2电子投标准备</w:t>
      </w:r>
      <w:r/>
    </w:p>
    <w:p>
      <w:pPr>
        <w:pStyle w:val="821"/>
        <w:ind w:left="0" w:firstLine="420"/>
        <w:jc w:val="both"/>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供应商在“苏采云”系统中操作成功参与项目后，必须在“已参与项目”界面中下载电子招标文件（后缀名为“.kedt”）并导入政府采购客户端工具（下载链接：http</w:t>
      </w:r>
      <w:r>
        <w:rPr>
          <w:rFonts w:hint="eastAsia" w:hAnsi="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rPr>
        <w:t xml:space="preserve">//www.ccgp-jiangsu.gov.cn/jiangsu/zlxz/ee/ee3a4bc5a3454aa2b0d9312230633ce9.html）后方可进行投标文件制作和提交（具体详见《苏采云系统供应商操作手册》，网址链接</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"https://czju.suzhou.gov.cn/zfcg/html/content/20231220161910031.shtml" \o "https://czju.suzhou.gov.cn/zfcg/html/content/20231220161910031.shtml"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https</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//czju.suzhou.gov.cn/zfcg/html/content/20231220161910031.shtml</w:t>
      </w:r>
      <w:r>
        <w:rPr>
          <w:rFonts w:hint="eastAsia" w:ascii="宋体" w:hAnsi="宋体" w:eastAsia="宋体" w:cs="宋体"/>
          <w:color w:val="auto"/>
          <w:sz w:val="24"/>
          <w:szCs w:val="24"/>
          <w:highlight w:val="none"/>
        </w:rPr>
        <w:fldChar w:fldCharType="end"/>
      </w:r>
      <w:r>
        <w:rPr>
          <w:rFonts w:hint="eastAsia" w:ascii="宋体" w:hAnsi="宋体" w:eastAsia="宋体" w:cs="宋体"/>
          <w:bCs w:val="0"/>
          <w:color w:val="auto"/>
          <w:sz w:val="24"/>
          <w:szCs w:val="24"/>
          <w:highlight w:val="none"/>
        </w:rPr>
        <w:t xml:space="preserve">）</w:t>
      </w:r>
      <w:r/>
    </w:p>
    <w:p>
      <w:pPr>
        <w:pStyle w:val="821"/>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17、投标报价（编制）要求的说明</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17.1 除非合同中另有规定，投标人对《开标一览表》中的全部货物和服务的报价应包括但不限于设备费、人工费、材料费、机械费、运输费、安装费、调试费、专利技术费、培训费、管理费、利润、税金、政策性文件规定及合同包含的所有风险、责任等一切费用，采购人不再支付其他任何费用。</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17.2 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17.3 一项投标内容只允许一个报价，招标采购单位不接受任何有选择性的投标报价。</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17.4 投标文件报价中的单价和总价全部采用人民币表示，除非合同的特殊条款另有规定。</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17.5 最低的投标报价或最高的折扣比例是中标的重要条件，但不是中标的唯一条件。</w:t>
      </w:r>
      <w:r/>
    </w:p>
    <w:p>
      <w:pPr>
        <w:pStyle w:val="821"/>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18、投标保证金</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本项目无须缴纳投标保证金。</w:t>
      </w:r>
      <w:r/>
    </w:p>
    <w:p>
      <w:pPr>
        <w:pStyle w:val="821"/>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19、投标文件的有效期 </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19.1 在本招标文件规定的开标之日起90天内，投标人所提交的投标文件应保持有效。有效期短于这个规定期限的投标文件，将被认定为未实质性响应招标文件要求。</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19.2 在特殊情况下，招标采购单位可与投标人协商延长投标书的有效期。这种要求和答复都应以书面形式进行。</w:t>
      </w:r>
      <w:r>
        <w:rPr>
          <w:rFonts w:hint="eastAsia" w:ascii="宋体" w:hAnsi="宋体" w:eastAsia="宋体" w:cs="宋体"/>
          <w:color w:val="auto"/>
          <w:sz w:val="24"/>
          <w:szCs w:val="24"/>
          <w:highlight w:val="none"/>
        </w:rPr>
        <w:t xml:space="preserve">同意延长有效期的投标人不能修改投标文件。拒绝接受延期要求的投标人的投标将被拒绝。</w:t>
      </w:r>
      <w:r/>
    </w:p>
    <w:p>
      <w:pPr>
        <w:pStyle w:val="821"/>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五、投标文件的递交、撤回和修改</w:t>
      </w:r>
      <w:r/>
    </w:p>
    <w:p>
      <w:pPr>
        <w:pStyle w:val="821"/>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20、投标文件的上传、提交</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20.1 投标人应将制作好的加密电子投标文件按要求在投标截止时间前上传到交易系统平台中。</w:t>
      </w:r>
      <w:r/>
    </w:p>
    <w:p>
      <w:pPr>
        <w:pStyle w:val="821"/>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21、投标截止时间</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21.1 电子投标文件必须按招标公告中规定的网上投标截止时间前提交，否则投标无效。</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21.2 采购代理机构推迟投标截止时间时，应以更正公告的形式，通知所有投标人。在这种情况下，采购代理机构和投标人的权利和义务将受到新的截止期的约束。</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21.3 在投标截止时间止采购代理机构收到的电子投标文件少于三份的，采购代理机构有权宣布本次招标失败。</w:t>
      </w:r>
      <w:r/>
    </w:p>
    <w:p>
      <w:pPr>
        <w:pStyle w:val="821"/>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22、投标文件的修改和撤回</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22.1 投标人在提交投标文件截止时间前，可对其投标文件进行撤回或修改。</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22.2 开标后投标人不得撤回投标。</w:t>
      </w:r>
      <w:r/>
    </w:p>
    <w:p>
      <w:pPr>
        <w:pStyle w:val="821"/>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六、开标和评标</w:t>
      </w:r>
      <w:r/>
    </w:p>
    <w:p>
      <w:pPr>
        <w:pStyle w:val="821"/>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23、开标</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23.1 采购代理机构按采购公告规定的时间、地点主持不见面开标活动。开标仪式由采购代理机构主持。</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23.2</w:t>
      </w:r>
      <w:r>
        <w:rPr>
          <w:rFonts w:hint="eastAsia" w:ascii="宋体" w:hAnsi="宋体" w:eastAsia="宋体" w:cs="宋体"/>
          <w:color w:val="auto"/>
          <w:sz w:val="24"/>
          <w:szCs w:val="24"/>
          <w:highlight w:val="none"/>
        </w:rPr>
        <w:t xml:space="preserve"> 参加开标的投标法定代表人或授权代理人须在项目开标前登录苏采云不见面开标系统，进入网上不见面开标大厅，做好相关准备工作。</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23.3 </w:t>
      </w:r>
      <w:r>
        <w:rPr>
          <w:rFonts w:hint="eastAsia" w:ascii="宋体" w:hAnsi="宋体" w:eastAsia="宋体" w:cs="宋体"/>
          <w:color w:val="auto"/>
          <w:sz w:val="24"/>
          <w:szCs w:val="24"/>
          <w:highlight w:val="none"/>
        </w:rPr>
        <w:t xml:space="preserve">本项目开标后在规定的解密时间内，投标人须自行登录网上开标大厅解密投标文件，解密时间以系统提示为准，因自身原因导致解密失败的，由投标人自行承担相关责任。</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23.4 采购代理机构在开标仪式上，将公布投标人的名称、投标价格，并将作唱标记录。</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23.5 投标人代表对开标过程和开标记录有疑义，以及认为采购人、采购代理机构相关工作人员有需要回避的情形的，</w:t>
      </w:r>
      <w:r>
        <w:rPr>
          <w:rFonts w:hint="eastAsia" w:ascii="宋体" w:hAnsi="宋体" w:eastAsia="宋体" w:cs="宋体"/>
          <w:color w:val="auto"/>
          <w:sz w:val="24"/>
          <w:szCs w:val="24"/>
          <w:highlight w:val="none"/>
        </w:rPr>
        <w:t xml:space="preserve">应通过不见面开标大厅</w:t>
      </w:r>
      <w:r>
        <w:rPr>
          <w:rFonts w:hint="eastAsia" w:ascii="宋体" w:hAnsi="宋体" w:eastAsia="宋体" w:cs="宋体"/>
          <w:b w:val="0"/>
          <w:bCs w:val="0"/>
          <w:color w:val="auto"/>
          <w:sz w:val="24"/>
          <w:szCs w:val="24"/>
          <w:highlight w:val="none"/>
        </w:rPr>
        <w:t xml:space="preserve">提出询问或者回避申请。采购人、采购代理机构对投标人代表提出的询问或者回避申请应当及时处理。</w:t>
      </w:r>
      <w:r/>
    </w:p>
    <w:p>
      <w:pPr>
        <w:pStyle w:val="821"/>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24、评标委员会</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24.1 评标委员会由招标采购单位依法组建，负责本项目的评标事务。</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24.2 评标委员会独立履行下列职责：</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24.2.1 审查投标文件是否符合招标文件的要求，并作评价；</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24.2.2 可要求投标供应商对投标文件有关事项作解释或澄清；</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24.2.3 评标委员会负责本次招标的评标活动，向采购人推荐中标供应商；</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24.2.4 向招标采购单位或者有关部门报告非法干预评标工作的行为。</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24.3 评标委员会成员应当履行下列义务：</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24.3.1 遵纪守法，客观、公正、廉洁地履行职责；</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24.3.2 按照招标文件规定的评标办法和评标标准进行评标，对评审意见承担个人责任；</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24.3.3 对评标过程和结果，以及投标人的商业秘密保密；</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24.3.4 参与评标报告的起草；</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24.3.5 配合相关部门的投诉处理工作；</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24.3.6 配合招标采购单位答复投标供应商提出的质疑。</w:t>
      </w:r>
      <w:r/>
    </w:p>
    <w:p>
      <w:pPr>
        <w:pStyle w:val="821"/>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25、评标内容的保密</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25.1 公开开标后，直到宣布授予中标供应商合同为止，凡属于审查、澄清、评价和比较投标的所有资料，有关授予合同的信息都不应向投标人或与评标无关的其他人泄露。</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25.2 在投标文件的审查、澄清、评价和比较以及授予合同的过程中，投标人对招标采购单位和评标委员会成员施加影响的任何行为，都将取消其投标资格。</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25.3 在评标期间，招标采购单位将通过指定联络人与投标人进行联系。</w:t>
      </w:r>
      <w:r/>
    </w:p>
    <w:p>
      <w:pPr>
        <w:pStyle w:val="821"/>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26、对投标文件初审 </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26.1 投标文件初审分为资格性检查和符合性检查。</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26.1.1 资格性检查。依据法律法规和招标文件的规定，</w:t>
      </w:r>
      <w:r>
        <w:rPr>
          <w:rFonts w:hint="eastAsia" w:ascii="宋体" w:hAnsi="宋体" w:eastAsia="宋体" w:cs="宋体"/>
          <w:color w:val="auto"/>
          <w:sz w:val="24"/>
          <w:szCs w:val="24"/>
          <w:highlight w:val="none"/>
        </w:rPr>
        <w:t xml:space="preserve">对投标文件中的资格证明相关资料进行审查，以确定投标供应商是否具备投标资格。</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26.1.2 </w:t>
      </w:r>
      <w:r>
        <w:rPr>
          <w:rFonts w:hint="eastAsia" w:ascii="宋体" w:hAnsi="宋体" w:eastAsia="宋体" w:cs="宋体"/>
          <w:color w:val="auto"/>
          <w:sz w:val="24"/>
          <w:szCs w:val="24"/>
          <w:highlight w:val="none"/>
        </w:rPr>
        <w:t xml:space="preserve">关于诚信记录查询：</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根据政府采购法及相关法规，及《国务院关于建立完善守信联合激励和失信联合惩戒制度加快推进社会诚信体系建设的指导意见》（国发〔2016〕33号）、财政部《关于在政府采购活动中查询及使用信用记录有关问题的通知》（财库〔2016〕125号）文件的规定，将对供应商进行信用查询，凡经采购人或者采购代理机构确认不符合政府采购相关法律法规规定的，将拒绝其参与政府采购活动。</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（2）查询时间：投标文件递交截止时间。</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（3）查询渠道：登录“供应商信用查询”系统查询供应商的信用记录。系统实时提供来自中国政府采购网、信用中国、信用江苏、诚信苏州网站的相关主体信用记录。</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查询证据留存方式：对存在失信信息的供应商，采购人或者采购代理机构应填写《供应商失信信息确认函》，并告知供应商。同时，采购代理机构工作人员应根据失信信息，登陆到来源网站页面进行复核并打印，作为证据留存。</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（5）信用记录使用规则：评审小组在对供应商进行资格性审查时，应根据查询结果对供应商的不良信用记录逐项甄别确认。</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26.1.3 符合性检查。依据招标文件的规定，从投标文件的有效性、完整性和对招标文件的响应程度进行审查，以确定是否对招标文件的实质性要求作响应。</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26.2 开标后，评标委员会将审查投标文件是否实质性响应招标文件的要求、内容是否完整、价格构成有无计算错误、文件签署是否齐全等。投标文件属下列情况之一的，评标委员会将按无效投标处理：</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26.2.1 不同投标人的投标文件由同一单位或者个人编制；</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26.2.2 不同投标人委托同一单位或者个人办理投标事宜；</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26.2.3 不同投标人的投标文件载明的项目管理成员或者联系人员为同一人；</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26.2.4 不同投标人的投标文件异常一致或者投标报价呈规律性差异；</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26.2.5 不同投标人的投标文件相互混装。</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26.3 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26.4 招标文件提供的工艺、材料、设备、参考的商标或样本目录号码等仅作为说明并没有限制性， 投标供应商在投标中可以选用替代标准，但这些替代标准要优于或相当于技术规格中要求的标准，以满足采购单位的需要。</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26.5 评标委员会将允许修改投标中不构成重大偏离的微小的、非正规、不一致或不规则的地方， 但这些修改不能影响任何投标单位的名次相应排列。投标单位不得对招标文件进行实质性修改，否则投标文件将被拒绝。</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26.6 评委会将对确定为实质性响应的投标进行审核，看其是否有计算上或累加上的算术错误，修正错误的原则如下：</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26.6.1 投标文件中开标一览表（报价表）内容与投标文件中相应内容不一致的，以开标一览表（报价表）为准；</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26.6.2 大写金额和小写金额不一致的，以大写金额为准；</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26.6.3 单价金额小数点或者百分比有明显错位的，以开标一览表的总价为准，并修改单价；</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26.6.4 总价金额与按单价汇总金额不一致的，以单价金额计算结果为准。</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同时出现两种以上不一致的，按照前款规定的顺序修正。修正后的报价按照本须知 26.6 条规定经投标人确认后产生约束力，投标人不确认的，其投标无效。</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26.7 评标委员会认为投标人的报价明显低于其他通过符合性审查投标人的报价，有可能影响产品质量或者不能诚信履约的，应当要求其在不见面开标大厅内合理的时间内提供书面说明，必要时提交相关证明材料；投标人不能证明其报价合理性的，评标委员会应当将其作为无效投标处理。</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26.8 对不同文字文本投标文件的解释发生异议的，以中文文本为准；</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26.9 评标委员会对投标文件的判定，只依据投标内容本身，不依靠开标后的任何外来证明。</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26.10 评标委员会将拒绝被确定为非实质性响应的投标，投标人不能通过修正或撤销不符之处而使其投标成为实质性响应的投标。</w:t>
      </w:r>
      <w:r/>
    </w:p>
    <w:p>
      <w:pPr>
        <w:pStyle w:val="821"/>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27、投标的澄清</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27.1 在投标文件中含有不明确、同类问题表述不一致或者有明显文字和计算错误的内容，评标委员会可书面形式（应当由评标委员会专家签字）要求投标人作必要的澄清、说明或者纠正。投标人的澄清、说明或者补正应当采用书面形式，由其授权的代理人签字，并不得超出投标文件的范围或者改变投标文件的实质性内容。</w:t>
      </w:r>
      <w:r/>
    </w:p>
    <w:p>
      <w:pPr>
        <w:pStyle w:val="821"/>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28、废标 </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28.1 无效投标的具体情形有：</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28.1.1 不同投标人的投标文件使用同一台电脑编制的；</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28.1.2 投标文件未按招标文件要求签署、盖章的；</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28.1.3 不具备招标文件中规定的资格要求的；</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28.1.4 报价超过招标文件中规定的预算金额或者最高限价的；</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28.1.5 投标文件含有采购人不能接受的附加条件的；</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28.1.6 法律、法规和招标文件规定的其他无效情形。</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28.2 在招标采购中，出现下列情形之一的，应予废标：</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28.2.1 符合专业条件的供应商或者对招标文件作实质响应的供应商不足三家的；</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28.2.2 出现影响采购公正的违法、违规行为的；</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28.2.3 投标人的报价均超过了采购预算，采购人不能支付的；</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28.2.4 因重大变故，采购任务取消的。</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28.3 废标后，采购人应当将废标理由通知所有投标人。</w:t>
      </w:r>
      <w:r/>
    </w:p>
    <w:p>
      <w:pPr>
        <w:pStyle w:val="821"/>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29、投标文件的评价和比较 </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29.1 评标委员会按招标文件规定的评标方法和标准，仅对资格性检查和符合性检查合格的投标文件进行商务和技术评估，综合比较与评价。</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29.2 评价和比较采用综合评分法，评标委员会严格按照招标文件的要求、条件、评分标准，对投标单位所提供货物和服务的先进性、可靠性、售后服务承诺、质量保证承诺等实质性响应内容进行比较报价，同时考虑以下因素：</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29.2.1 服务的质量保证（保障）内容；</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29.2.2 服务配备的人员；</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29.2.3 投标者的资信情况和履约能力；</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29.2.4 投标者提供的其他优惠条件；</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29.2.5 参与本项目政府采购工作的态度及信誉；</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29.2.6 最低的投标报价或最高的折扣比例是中标的重要条件，但不是唯一条件。</w:t>
      </w:r>
      <w:r/>
    </w:p>
    <w:p>
      <w:pPr>
        <w:pStyle w:val="821"/>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七、签订合同</w:t>
      </w:r>
      <w:r/>
    </w:p>
    <w:p>
      <w:pPr>
        <w:pStyle w:val="821"/>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30、中标单位的确认</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30.1 评标委员会按招标文件规定的评标方法和标准进行详细评审后，按采购代理机构的委托向采购代理机构推荐中标候选单位或根据采购人授权直接确定中标供应商。</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30.2 经评标委员会评审并确定中标供应商后，采购代理机构将在规定的时间内将中标结果在相关媒体上予以公告。</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30.3 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盖公章（原件），采购代理机构有权对该质疑不予答复。</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30.4 质疑函递交地点及联系方式详见 37.3 质疑函接收单位信息。</w:t>
      </w:r>
      <w:r/>
    </w:p>
    <w:p>
      <w:pPr>
        <w:pStyle w:val="821"/>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31、合同授予</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31.1 采购人将把合同授予其投标文件在实质上响应招标文件要求和按本须知规定评选出的投标人。确定为中标的投标人必须具有实施本合同的能力和资源。</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31.2 政府采购合同履行中，采购人需追加与合同标的物相同的货物、工程或者服务的，在不改变合同其他条款的前提下，可与中标供应商签订补充合同，但所有补充合同的采购金额不得超过原合同采购金额的百分之十。</w:t>
      </w:r>
      <w:r/>
    </w:p>
    <w:p>
      <w:pPr>
        <w:pStyle w:val="821"/>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32、中标通知书 </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32.1 确定出中标供应商后投标文件有效期截止前，招标采购单位应当向中标供应商发出中标通知书，中标通知书对采购人和中标供应商具有同等法律效力。中标通知书发出后，采购人改变中标结果， 或者中标供应商放弃中标，应当承担相应的法律责任。</w:t>
      </w:r>
      <w:r/>
    </w:p>
    <w:p>
      <w:pPr>
        <w:pStyle w:val="821"/>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 中标通知书在中标公告发布后将发布在业务系统中，中标通知书发布之日视为中标供应商领取之日，中标供应商自行在业务系统中下载打印。</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32.3 中标通知书将成为合同的组成部分。</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32.4 采购代理机构对未中标供应商不承担解释未中标原因的义务。</w:t>
      </w:r>
      <w:r/>
    </w:p>
    <w:p>
      <w:pPr>
        <w:pStyle w:val="821"/>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33、履约保证金</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33.1 中标供应商按合同约定的要求提交履约保证金。</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33.2 履约保证金用以约束供应商在合同履行中的行为，弥补合同执行中由于自身行为可能给采购人带来的各种损失。</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33.3 履约保证金（无息）将在中标供应商合同履行完毕后，采购人在五个工作日内退还中标供应商。</w:t>
      </w:r>
      <w:r/>
    </w:p>
    <w:p>
      <w:pPr>
        <w:pStyle w:val="821"/>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34、合同的签订</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34.1 中标供应商应按中标通知书中规定的时间和地点，按照招标文件确定的事项由法定代表人或代理人与采购人代表签订合同，且不得迟于中标通知书发出之日起三十日内，否则按放弃中标权处理。</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34.2 签订合同及合同条款应以招标文件和中标供应商的投标文件及其澄清文件为依据。</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34.3 中标人无正当理由拒签合同的，或在签订合同时向采购人提出附加条件或者更改合同实质性内容的，采购人可取消其中标资格，同时由中标人承担相应的法律责任。</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34.4 签订合同后，中标人不得将货物及其他相关服务进行转包。未经采购人同意，中标人也不得采用分包的形式履行合同，否则采购人有权终止合同。转包或分包造成采购人损失的，中标人应承担相应赔偿责任。</w:t>
      </w:r>
      <w:r/>
    </w:p>
    <w:p>
      <w:pPr>
        <w:pStyle w:val="821"/>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八、质疑与投诉 </w:t>
      </w:r>
      <w:r/>
    </w:p>
    <w:p>
      <w:pPr>
        <w:pStyle w:val="821"/>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w:t>
      </w:r>
      <w:r>
        <w:rPr>
          <w:rFonts w:hint="eastAsia" w:ascii="宋体" w:hAnsi="宋体" w:eastAsia="宋体" w:cs="宋体"/>
          <w:b w:val="0"/>
          <w:bCs w:val="0"/>
          <w:color w:val="auto"/>
          <w:sz w:val="24"/>
          <w:szCs w:val="24"/>
          <w:highlight w:val="none"/>
        </w:rPr>
        <w:t xml:space="preserve">质疑的提出和答复、投诉的提起和处理须按《政府采购质疑和投诉办法》（中华人民共和国财政部令第 94 号）相关规定执行。</w:t>
      </w:r>
      <w:r/>
    </w:p>
    <w:p>
      <w:pPr>
        <w:pStyle w:val="821"/>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36、质疑的提出 </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36.1 提出质疑的供应商应当是参与所质疑项目采购活动的供应商。未参加投标活动的供应商或在投标活动中自身权益未受到损害的供应商所提出的质疑不予受理。</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36.2 供应商认为采购文件、采购过程、中标或者成交结果使自己的权益受到损害的，可以在知道或应知其权益受到损害之日起 7 个工作日内，以书面形式向采购人、采购代理机构提出质疑。</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36.3 上述应知其权益受到损害之日是指：</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（1）对采购文件提出质疑的，为获取采购文件或者采购文件公告期限届满之日起计算；</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（2）对采购过程提出质疑的，自采购程序环节结束之日起计算；</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（3）对中标结果提出质疑的，自中标结果公告期限届满之日起计算。</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36.4 供应商提出质疑应当提交质疑函和必要的证明材料。质疑函应当包括下列内容：</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（1）供应商的姓名或者名称、地址、邮编、联系人及联系电话；</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（2）质疑项目的名称、编号；</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（3）具体、明确的质疑事项和与质疑事项相关的请求；</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（4）事实依据；</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（5）必要的法律依据；</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（6）提出质疑的日期。</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36.5 质疑函的格式和内容应当符合财政部《政府采购供应商质疑函范本》 要求，质疑函范本在财政部官网上提供下载。</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36.6 提交质疑函同时应当附如下证明材料：</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（1）对采购文件提出质疑的供应商提供参加本项目的报名确认单；</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（2）质疑供应商的营业执照复印件加盖单位公章；</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（3）质疑供应商法定代表人身份证复印件加盖单位公章；</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（4）质疑供应商若委托代理人进行质疑的，提供法人授权委托书及代理人身份证复印件加盖单位公章，授权委托书应载明代理人的姓名或者名称、代理事项、具体权限、期限和相关事项。</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36.7 供应商为自然人的，质疑函应当由本人签字；供应商为法人或者其他组织的，应当由法定代表人、主要负责人，或者其授权代表签字或者盖章，并加盖公章。质疑函须原件。</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36.8 供应商须在法定质疑期内一次性提出针对同一采购程序环节的质疑。</w:t>
      </w:r>
      <w:r/>
    </w:p>
    <w:p>
      <w:pPr>
        <w:pStyle w:val="821"/>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37、质疑的受理与答复</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37.1 采购人负责供应商质疑答复。采购人委托采购代理机构采购的，采购代理机构在委托授权范围内作出答复。</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37.2 质疑函由采购代理机构办理签收手续。</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37.3 质疑函接收单位信息： </w:t>
      </w:r>
      <w:r/>
    </w:p>
    <w:p>
      <w:pPr>
        <w:pStyle w:val="821"/>
        <w:ind w:left="0" w:firstLine="420"/>
        <w:jc w:val="both"/>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接收单位：</w:t>
      </w:r>
      <w:r>
        <w:rPr>
          <w:rFonts w:hint="eastAsia" w:hAnsi="宋体" w:cs="宋体"/>
          <w:b w:val="0"/>
          <w:bCs w:val="0"/>
          <w:color w:val="auto"/>
          <w:sz w:val="24"/>
          <w:szCs w:val="24"/>
          <w:highlight w:val="none"/>
          <w:lang w:eastAsia="zh-CN"/>
        </w:rPr>
        <w:t xml:space="preserve">江苏兆丰项目管理有限公司</w:t>
      </w:r>
      <w:r/>
    </w:p>
    <w:p>
      <w:pPr>
        <w:pStyle w:val="821"/>
        <w:ind w:left="0" w:firstLine="420"/>
        <w:jc w:val="both"/>
        <w:spacing w:line="360" w:lineRule="auto"/>
        <w:rPr>
          <w:rFonts w:hint="eastAsia" w:hAnsi="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地址：</w:t>
      </w:r>
      <w:r>
        <w:rPr>
          <w:rFonts w:hint="eastAsia" w:hAnsi="宋体" w:cs="宋体"/>
          <w:b w:val="0"/>
          <w:bCs w:val="0"/>
          <w:color w:val="auto"/>
          <w:sz w:val="24"/>
          <w:szCs w:val="24"/>
          <w:highlight w:val="none"/>
          <w:lang w:eastAsia="zh-CN"/>
        </w:rPr>
        <w:t xml:space="preserve">太仓市常胜北路16号3楼</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37.4 采购人、采购代理机构应当在收到质疑函后 7 个工作日内作出答复，并以书面形式通知质疑供应商和其他有关供应商。 </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37.5 采购人、采购代理机构处理的其他要求按《政府采购质疑和投诉办法》（中华人民共和国财政部令第 94 号）相关规定执行。 </w:t>
      </w:r>
      <w:r/>
    </w:p>
    <w:p>
      <w:pPr>
        <w:pStyle w:val="821"/>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38、投诉的提起</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38.1 质疑供应商对采购人、采购代理机构的答复不满意，或者采购人、采购代理机构未在规定时间内作出答复的，可以在答复期满后15个工作日内向采购人所属预算级次的财政部门提起投诉。</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38.2 供应商投诉时,应当提交投诉书和必要的证明材料，并按照被投诉采购人、采购代理机构（以下简称被投诉人）和与投诉事项有关的供应商数量提供投诉书的副本。投诉书应包括下列内容： </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（1）投诉人和被投诉人的姓名或者名称、通讯地址、邮编、联系人及联系电话；</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（2）质疑和质疑答复情况说明及相关证明材料；</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（3）具体、明确的投诉事项和与投诉事项相关的投诉请求；</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（4）事实依据；</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（5）法律依据；</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（6）提起投诉的日期。</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38.3 投诉人为自然人的，投诉书应当由本人签字；投诉人为法人或者其他组织的，投诉书应当由法定代表人、主要负责人，或者其授权代表签字或者盖章，并加盖公章。</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38.4 投诉人提起投诉应当符合下列条件：</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（1）提起投诉前已依法进行质疑；</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（2）投诉书内容符合本办法的规定；</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（3）在投诉有效期限内提起投诉；</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（4）同一投诉事项未经财政部门投诉处理；</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（5）财政部规定的其他条件。</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38.5 供应商投诉的事项不得超出已质疑事项的范围，但基于质疑答复内容提出的投诉事项除外。</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38.6 由采购人所属预算级次的财政部门根据《政府采购质疑和投诉办法》（中华人民共和国财政部令第 94 号）相关规定进行投诉处理。</w:t>
      </w:r>
      <w:r/>
    </w:p>
    <w:p>
      <w:pPr>
        <w:pStyle w:val="821"/>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九、其他事项 </w:t>
      </w:r>
      <w:r/>
    </w:p>
    <w:p>
      <w:pPr>
        <w:pStyle w:val="821"/>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39、政府采购政策</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39.1 节能产品和环境标志产品</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据《关于调整优化节能产品、环境标志产品政府采购执行机制的通知》（财库〔2019〕9号）及《关于贯彻执行绿色采购、促进残疾人就业和支持监狱企业发展有关政策的通知》（苏财购〔2019〕10号）的文件规定，</w:t>
      </w:r>
      <w:r>
        <w:rPr>
          <w:rFonts w:hint="eastAsia" w:ascii="宋体" w:hAnsi="宋体" w:eastAsia="宋体" w:cs="宋体"/>
          <w:color w:val="auto"/>
          <w:sz w:val="24"/>
          <w:szCs w:val="24"/>
          <w:highlight w:val="none"/>
        </w:rPr>
        <w:t xml:space="preserve">采购产品如属于国家节能环保品目清单的强制采购产品的，投标人应当选择强制采购产品，并提供由国家确定的认证机构出具的、处于有效期之内的节能产品或环境标志产品认证证书，否则视为未实质响应。</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39.2 </w:t>
      </w:r>
      <w:r>
        <w:rPr>
          <w:rFonts w:hint="eastAsia" w:ascii="宋体" w:hAnsi="宋体" w:eastAsia="宋体" w:cs="宋体"/>
          <w:color w:val="auto"/>
          <w:sz w:val="24"/>
          <w:szCs w:val="24"/>
          <w:highlight w:val="none"/>
        </w:rPr>
        <w:t xml:space="preserve">小微企业的价格分评审</w:t>
      </w:r>
      <w:r/>
    </w:p>
    <w:p>
      <w:pPr>
        <w:pStyle w:val="821"/>
        <w:ind w:left="0" w:firstLine="420"/>
        <w:jc w:val="both"/>
        <w:spacing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39.2.1 根据《政府采购促进中小企业发展管理办法（财库〔2020〕46号）及《关于贯彻执行绿色采购、促进残疾人就业和支持监狱企业发展有关政策的通知》（苏财购〔2019〕10号）的规定：</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（1）在货物采购项目中，货物由小型或微型企业制造，即货物由小型或微型企业生产且使用该小型或微型企业商号或者注册商标的，其报价在评审时给予20%的扣除，用扣除后的价格参与价格评审；</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在服务采购项目中，服务由小型或微型企业承接，即提供服务的人员为小型或微型企业依照《中华人民共和国民法典》订立劳动合同的从业人员，其报价在评审时给予20%的扣除，用扣除后的价格参与价格评审。</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（3）在货物采购项目中，供应商提供的货物既有小型或微型企业制造货物，也有中型或大型企业制造货物的，不享受本办法规定的小微企业价格扶持政策。</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（4）以联合体形式参加政府采购活动，联合体各方均为中小企业的，联合体视同中小企业。其中，联合体各方均为小微企业的，联合体视同小微企业。</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（5）符合中小企业划分标准的个体工商户，在政府采购活动中视同中小企业。</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（6）中小企业划分标准详见“工信部联企业〔2011〕300号通知”。</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（7）中标、中标供应商享受本办法规定的中小企业扶持政策的，《中小企业声明函》应当随中标、成交结果同时公告，接受社会监督。</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（8）以上规定未尽事项，按《政府采购促进中小企业发展管理办法》（财库﹝2020﹞46号）等有关制度规定执行。</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39.2.2 残疾人福利性单位政策</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（3）中标、中标供应商为残疾人福利性单位的，《残疾人福利性单位声明函》应当随中标、成交结果同时公告，接受社会监督。</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39.2.3 监狱企业发展政策</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（1）根据《关于政府采购支持监狱企业发展有关问题的通知》（财库〔2014〕68号）规定，投标供应商若为监狱企业的，视同小微型企业，享受评审中价格扣除等政府采购促进中小企业发展的政府采购政策。</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821"/>
        <w:ind w:left="0" w:firstLine="420"/>
        <w:jc w:val="both"/>
        <w:spacing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39.2.4 专门面向中小企业采购的项目，不再执行价格评审优惠的扶持政策。</w:t>
      </w:r>
      <w:r/>
    </w:p>
    <w:p>
      <w:pPr>
        <w:pStyle w:val="821"/>
        <w:ind w:left="0" w:firstLine="420"/>
        <w:jc w:val="both"/>
        <w:spacing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本项目专门面向中小企业采购，所属行业为租赁和商务服务业，投标时须提供《中小企业声明函》，未提供视为无效投标。若为残疾人福利性单位，在政府采购活动中，视同小微企业，并提供相关证明材料；若为监狱企业，在政府采购活动中，视同小型企业，并提供相关证明材料。</w:t>
      </w:r>
      <w:r/>
    </w:p>
    <w:p>
      <w:pPr>
        <w:pStyle w:val="821"/>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40、中标服务费</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40.1 本项目的采购代理服务费由中标单位承担，按采购预算金额计算并支付中标服务费，评委费按实另计；中标单位在领取中标通知书时付清。中标服务收费按差额定率累进法计算：预算金额 100 万元（含）以下部分，收费费率为 1.5%；100 万元～500 万元（含）部分，收费费率为 1.1%；500 万元～1000 万元（含）部分，收费费率为 0.8%；1000 万元～5000 万元（含）部分，收费费率为 0.5%；5000 万元以上部分，收费费率为 0.25%；不足 3000 元，按 3000 元收取中标服务费。</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40.2 中标单位如果未按规定缴纳中标服务费，招标采购单位将保留诉讼的权利。</w:t>
      </w:r>
      <w:r/>
    </w:p>
    <w:p>
      <w:pPr>
        <w:pStyle w:val="821"/>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41、监督和公证</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42.1 政府有关监督部门将对招投标全过程进行监督。</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42.2 采购代理机构的招标过程将通过公证机关进行公证。</w:t>
      </w:r>
      <w:r/>
    </w:p>
    <w:p>
      <w:pPr>
        <w:pStyle w:val="821"/>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42、未尽事宜</w:t>
      </w:r>
      <w:r/>
    </w:p>
    <w:p>
      <w:pPr>
        <w:pStyle w:val="821"/>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按《中华人民共和国政府采购法》及其他有关政府采购的法律法规的的规定执行。</w:t>
      </w:r>
      <w:r/>
    </w:p>
    <w:p>
      <w:pPr>
        <w:pStyle w:val="834"/>
        <w:ind w:left="0"/>
        <w:jc w:val="both"/>
        <w:spacing w:before="0" w:line="360" w:lineRule="auto"/>
        <w:rPr>
          <w:rFonts w:hAnsi="宋体"/>
          <w:color w:val="auto"/>
          <w:sz w:val="21"/>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color w:val="auto"/>
          <w:sz w:val="21"/>
          <w:highlight w:val="none"/>
        </w:rPr>
      </w:r>
      <w:r/>
    </w:p>
    <w:p>
      <w:pPr>
        <w:jc w:val="center"/>
        <w:rPr>
          <w:rFonts w:hAnsi="宋体"/>
          <w:b/>
          <w:bCs/>
          <w:color w:val="auto"/>
          <w:sz w:val="32"/>
          <w:szCs w:val="32"/>
          <w:highlight w:val="none"/>
        </w:rPr>
        <w:outlineLvl w:val="0"/>
      </w:pPr>
      <w:r/>
      <w:bookmarkStart w:id="10" w:name="_Toc159507037"/>
      <w:r>
        <w:rPr>
          <w:rFonts w:hint="eastAsia" w:hAnsi="宋体"/>
          <w:b/>
          <w:bCs/>
          <w:color w:val="auto"/>
          <w:sz w:val="32"/>
          <w:szCs w:val="32"/>
          <w:highlight w:val="none"/>
        </w:rPr>
        <w:t xml:space="preserve">第三章</w:t>
      </w:r>
      <w:r>
        <w:rPr>
          <w:rFonts w:hAnsi="宋体"/>
          <w:b/>
          <w:bCs/>
          <w:color w:val="auto"/>
          <w:sz w:val="32"/>
          <w:szCs w:val="32"/>
          <w:highlight w:val="none"/>
        </w:rPr>
        <w:t xml:space="preserve"> </w:t>
      </w:r>
      <w:r>
        <w:rPr>
          <w:rFonts w:hint="eastAsia" w:hAnsi="宋体"/>
          <w:b/>
          <w:bCs/>
          <w:color w:val="auto"/>
          <w:sz w:val="32"/>
          <w:szCs w:val="32"/>
          <w:highlight w:val="none"/>
        </w:rPr>
        <w:t xml:space="preserve">项目需求</w:t>
      </w:r>
      <w:bookmarkEnd w:id="10"/>
      <w:r/>
      <w:r/>
    </w:p>
    <w:p>
      <w:pPr>
        <w:pStyle w:val="1047"/>
        <w:ind w:firstLine="0"/>
        <w:spacing w:line="360" w:lineRule="auto"/>
        <w:rPr>
          <w:rFonts w:hAnsi="宋体"/>
          <w:color w:val="auto"/>
          <w:highlight w:val="none"/>
        </w:rPr>
      </w:pPr>
      <w:r>
        <w:rPr>
          <w:rFonts w:hAnsi="宋体"/>
          <w:color w:val="auto"/>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bookmarkStart w:id="11" w:name="_Hlk121126111"/>
      <w:r>
        <w:rPr>
          <w:rFonts w:hint="eastAsia" w:ascii="宋体" w:hAnsi="宋体" w:eastAsia="宋体" w:cs="宋体"/>
          <w:color w:val="auto"/>
          <w:sz w:val="24"/>
          <w:szCs w:val="24"/>
          <w:highlight w:val="none"/>
          <w:lang w:eastAsia="zh-CN"/>
        </w:rPr>
        <w:t xml:space="preserve">江苏兆丰项目管理有限公司</w:t>
      </w: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lang w:eastAsia="zh-CN"/>
        </w:rPr>
        <w:t xml:space="preserve">江苏省太仓高新技术产业开发区管理委员会</w:t>
      </w:r>
      <w:r>
        <w:rPr>
          <w:rFonts w:hint="eastAsia" w:ascii="宋体" w:hAnsi="宋体" w:eastAsia="宋体" w:cs="宋体"/>
          <w:color w:val="auto"/>
          <w:sz w:val="24"/>
          <w:szCs w:val="24"/>
          <w:highlight w:val="none"/>
        </w:rPr>
        <w:t xml:space="preserve">的委托，就其</w:t>
      </w:r>
      <w:r>
        <w:rPr>
          <w:rFonts w:hint="eastAsia" w:ascii="宋体" w:hAnsi="宋体" w:eastAsia="宋体" w:cs="宋体"/>
          <w:bCs/>
          <w:color w:val="auto"/>
          <w:sz w:val="24"/>
          <w:szCs w:val="24"/>
          <w:highlight w:val="none"/>
          <w:lang w:eastAsia="zh-CN"/>
        </w:rPr>
        <w:t xml:space="preserve">太仓高新区2025年重点项目征占用林地、采伐报批材料编制服务</w:t>
      </w:r>
      <w:r>
        <w:rPr>
          <w:rFonts w:hint="eastAsia" w:ascii="宋体" w:hAnsi="宋体" w:eastAsia="宋体" w:cs="宋体"/>
          <w:color w:val="auto"/>
          <w:sz w:val="24"/>
          <w:szCs w:val="24"/>
          <w:highlight w:val="none"/>
        </w:rPr>
        <w:t xml:space="preserve">进行国内公开招标。欢迎有资格的投标人前来参加投标。</w:t>
      </w:r>
      <w:r/>
    </w:p>
    <w:p>
      <w:pPr>
        <w:ind w:firstLine="482"/>
        <w:keepLines w:val="0"/>
        <w:keepNext w:val="0"/>
        <w:pageBreakBefore w:val="0"/>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一、招标编号：</w:t>
      </w:r>
      <w:r>
        <w:rPr>
          <w:rFonts w:hint="eastAsia" w:hAnsi="宋体" w:cs="宋体"/>
          <w:color w:val="auto"/>
          <w:sz w:val="24"/>
          <w:szCs w:val="24"/>
          <w:highlight w:val="none"/>
          <w:lang w:eastAsia="zh-CN"/>
        </w:rPr>
        <w:t xml:space="preserve">JSZC-320585-ZFXM-G2025-0007</w:t>
      </w:r>
      <w:r>
        <w:rPr>
          <w:rFonts w:hint="eastAsia" w:ascii="宋体" w:hAnsi="宋体" w:eastAsia="宋体" w:cs="宋体"/>
          <w:color w:val="auto"/>
          <w:sz w:val="24"/>
          <w:szCs w:val="24"/>
          <w:highlight w:val="none"/>
          <w:lang w:eastAsia="zh-CN"/>
        </w:rPr>
        <w:t xml:space="preserve"> </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二、招标项目：</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项目名称：</w:t>
      </w:r>
      <w:r>
        <w:rPr>
          <w:rFonts w:hint="eastAsia" w:ascii="宋体" w:hAnsi="宋体" w:eastAsia="宋体" w:cs="宋体"/>
          <w:b w:val="0"/>
          <w:bCs/>
          <w:color w:val="auto"/>
          <w:sz w:val="24"/>
          <w:szCs w:val="24"/>
          <w:highlight w:val="none"/>
          <w:lang w:eastAsia="zh-CN"/>
        </w:rPr>
        <w:t xml:space="preserve">太仓高新区2025年重点项目征占用林地、采伐报批材料编制服务</w:t>
      </w:r>
      <w:r/>
    </w:p>
    <w:p>
      <w:pPr>
        <w:ind w:firstLine="482"/>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、预算金额：</w:t>
      </w:r>
      <w:r>
        <w:rPr>
          <w:rFonts w:hint="eastAsia" w:ascii="宋体" w:hAnsi="宋体" w:eastAsia="宋体" w:cs="宋体"/>
          <w:b w:val="0"/>
          <w:bCs/>
          <w:color w:val="auto"/>
          <w:sz w:val="24"/>
          <w:szCs w:val="24"/>
          <w:highlight w:val="none"/>
          <w:lang w:eastAsia="zh-CN"/>
        </w:rPr>
        <w:t xml:space="preserve">人民币壹佰万元整（¥1000000.00元）</w:t>
      </w:r>
      <w:r/>
    </w:p>
    <w:p>
      <w:pPr>
        <w:ind w:firstLine="482"/>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、最高限价：同预算金额</w:t>
      </w:r>
      <w:r/>
    </w:p>
    <w:p>
      <w:pPr>
        <w:ind w:firstLine="482"/>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、合同履行期限：</w:t>
      </w:r>
      <w:r>
        <w:rPr>
          <w:rFonts w:hint="eastAsia" w:ascii="宋体" w:hAnsi="宋体" w:eastAsia="宋体" w:cs="宋体"/>
          <w:b w:val="0"/>
          <w:bCs/>
          <w:color w:val="auto"/>
          <w:sz w:val="24"/>
          <w:szCs w:val="24"/>
          <w:highlight w:val="none"/>
          <w:lang w:val="en-US" w:eastAsia="zh-CN"/>
        </w:rPr>
        <w:t xml:space="preserve">自合同生效之日起至2026年12月31日截止。至截止之日已经启动的项目仍由中标单位负责完成，至截止之日还未启动项目不再由中标单位商负责。</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三、采购需求：</w:t>
      </w:r>
      <w:r/>
    </w:p>
    <w:p>
      <w:pPr>
        <w:ind w:right="-27" w:firstLine="480"/>
        <w:jc w:val="left"/>
        <w:keepLines w:val="0"/>
        <w:keepNext w:val="0"/>
        <w:pageBreakBefore w:val="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项目内容：太仓高新区规划林地占用评估报告编制，主要对拟占用林地进行调查和分析，编制使用林地可行性研究报告，完成采伐作业设计书，完成有关报批手续并取得《使用林地审核同意书》，取得《林木采伐许可证》。</w:t>
      </w:r>
      <w:r/>
    </w:p>
    <w:p>
      <w:pPr>
        <w:contextualSpacing/>
        <w:ind w:right="-27" w:firstLine="480"/>
        <w:jc w:val="left"/>
        <w:keepLines w:val="0"/>
        <w:keepNext w:val="0"/>
        <w:pageBreakBefore w:val="0"/>
        <w:spacing w:line="360" w:lineRule="auto"/>
        <w:widowControl/>
        <w:tabs>
          <w:tab w:val="left" w:pos="0" w:leader="none"/>
        </w:tabs>
        <w:rPr>
          <w:rFonts w:hint="eastAsia" w:ascii="宋体" w:hAnsi="宋体" w:eastAsia="宋体" w:cs="宋体"/>
          <w:b/>
          <w:sz w:val="24"/>
          <w:szCs w:val="24"/>
        </w:rPr>
      </w:pPr>
      <w:r>
        <w:rPr>
          <w:rFonts w:hint="eastAsia" w:ascii="宋体" w:hAnsi="宋体" w:eastAsia="宋体" w:cs="宋体"/>
          <w:sz w:val="24"/>
          <w:szCs w:val="24"/>
        </w:rPr>
        <w:t xml:space="preserve">2.项目地点：太仓市</w:t>
      </w:r>
      <w:r/>
    </w:p>
    <w:p>
      <w:pPr>
        <w:contextualSpacing/>
        <w:ind w:right="-27" w:firstLine="480"/>
        <w:jc w:val="left"/>
        <w:keepLines w:val="0"/>
        <w:keepNext w:val="0"/>
        <w:pageBreakBefore w:val="0"/>
        <w:spacing w:line="360" w:lineRule="auto"/>
        <w:widowControl/>
        <w:tabs>
          <w:tab w:val="left" w:pos="0" w:leader="none"/>
        </w:tabs>
        <w:rPr>
          <w:rFonts w:hint="eastAsia" w:ascii="宋体" w:hAnsi="宋体" w:eastAsia="宋体" w:cs="宋体"/>
          <w:iCs/>
          <w:sz w:val="24"/>
          <w:szCs w:val="24"/>
        </w:rPr>
      </w:pPr>
      <w:r>
        <w:rPr>
          <w:rFonts w:hint="eastAsia" w:ascii="宋体" w:hAnsi="宋体" w:eastAsia="宋体" w:cs="宋体"/>
          <w:iCs/>
          <w:sz w:val="24"/>
          <w:szCs w:val="24"/>
          <w:lang w:val="en-US" w:eastAsia="zh-CN"/>
        </w:rPr>
        <w:t xml:space="preserve">3</w:t>
      </w:r>
      <w:r>
        <w:rPr>
          <w:rFonts w:hint="eastAsia" w:ascii="宋体" w:hAnsi="宋体" w:eastAsia="宋体" w:cs="宋体"/>
          <w:iCs/>
          <w:sz w:val="24"/>
          <w:szCs w:val="24"/>
        </w:rPr>
        <w:t xml:space="preserve">.供应商应对项目现场进行自行踏勘，但费用由供应商自行承担。供应商在报价时应充分考虑现场实际情况，采购人不负担因供应商对项目现场情况考虑不周而产生的其他任何费用。</w:t>
      </w:r>
      <w:r/>
    </w:p>
    <w:p>
      <w:pPr>
        <w:ind w:right="-27" w:firstLine="482"/>
        <w:jc w:val="both"/>
        <w:keepLines w:val="0"/>
        <w:keepNext w:val="0"/>
        <w:pageBreakBefore w:val="0"/>
        <w:spacing w:line="360" w:lineRule="auto"/>
        <w:tabs>
          <w:tab w:val="left" w:pos="0" w:leader="none"/>
        </w:tabs>
        <w:rPr>
          <w:rFonts w:hint="eastAsia" w:ascii="宋体" w:hAnsi="宋体" w:eastAsia="宋体" w:cs="宋体"/>
          <w:b/>
          <w:sz w:val="24"/>
          <w:szCs w:val="24"/>
        </w:rPr>
      </w:pPr>
      <w:r>
        <w:rPr>
          <w:rFonts w:hint="eastAsia" w:ascii="宋体" w:hAnsi="宋体" w:eastAsia="宋体" w:cs="宋体"/>
          <w:b/>
          <w:sz w:val="24"/>
          <w:szCs w:val="24"/>
          <w:lang w:val="en-US" w:eastAsia="zh-CN"/>
        </w:rPr>
        <w:t xml:space="preserve">4</w:t>
      </w:r>
      <w:r>
        <w:rPr>
          <w:rFonts w:hint="eastAsia" w:ascii="宋体" w:hAnsi="宋体" w:eastAsia="宋体" w:cs="宋体"/>
          <w:b/>
          <w:sz w:val="24"/>
          <w:szCs w:val="24"/>
        </w:rPr>
        <w:t xml:space="preserve">.本项目不考虑未</w:t>
      </w:r>
      <w:r>
        <w:rPr>
          <w:rFonts w:hint="eastAsia" w:ascii="宋体" w:hAnsi="宋体" w:eastAsia="宋体" w:cs="宋体"/>
          <w:b/>
          <w:sz w:val="24"/>
          <w:szCs w:val="24"/>
          <w:lang w:eastAsia="zh-CN"/>
        </w:rPr>
        <w:t xml:space="preserve">中标单位</w:t>
      </w:r>
      <w:r>
        <w:rPr>
          <w:rFonts w:hint="eastAsia" w:ascii="宋体" w:hAnsi="宋体" w:eastAsia="宋体" w:cs="宋体"/>
          <w:b/>
          <w:sz w:val="24"/>
          <w:szCs w:val="24"/>
        </w:rPr>
        <w:t xml:space="preserve">的任何补偿。</w:t>
      </w:r>
      <w:r/>
    </w:p>
    <w:p>
      <w:pPr>
        <w:ind w:right="-27"/>
        <w:jc w:val="both"/>
        <w:keepLines w:val="0"/>
        <w:keepNext w:val="0"/>
        <w:pageBreakBefore w:val="0"/>
        <w:spacing w:line="360" w:lineRule="auto"/>
        <w:tabs>
          <w:tab w:val="left" w:pos="0" w:leader="none"/>
        </w:tabs>
        <w:rPr>
          <w:rFonts w:hint="eastAsia" w:ascii="宋体" w:hAnsi="宋体" w:eastAsia="宋体" w:cs="宋体"/>
          <w:b/>
          <w:sz w:val="24"/>
          <w:szCs w:val="24"/>
        </w:rPr>
        <w:outlineLvl w:val="1"/>
      </w:pPr>
      <w:r/>
      <w:bookmarkStart w:id="12" w:name="_Toc174346105"/>
      <w:r/>
      <w:bookmarkStart w:id="13" w:name="_Toc153825793"/>
      <w:r>
        <w:rPr>
          <w:rFonts w:hint="eastAsia" w:ascii="宋体" w:hAnsi="宋体" w:eastAsia="宋体" w:cs="宋体"/>
          <w:b/>
          <w:sz w:val="24"/>
          <w:szCs w:val="24"/>
          <w:lang w:eastAsia="zh-CN"/>
        </w:rPr>
        <w:t xml:space="preserve">四</w:t>
      </w:r>
      <w:r>
        <w:rPr>
          <w:rFonts w:hint="eastAsia" w:ascii="宋体" w:hAnsi="宋体" w:eastAsia="宋体" w:cs="宋体"/>
          <w:b/>
          <w:sz w:val="24"/>
          <w:szCs w:val="24"/>
        </w:rPr>
        <w:t xml:space="preserve">、项目内容清单：</w:t>
      </w:r>
      <w:bookmarkEnd w:id="12"/>
      <w:r/>
      <w:bookmarkEnd w:id="13"/>
      <w:r/>
      <w:r/>
    </w:p>
    <w:tbl>
      <w:tblPr>
        <w:tblStyle w:val="858"/>
        <w:tblW w:w="105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9"/>
        <w:gridCol w:w="1242"/>
        <w:gridCol w:w="1541"/>
        <w:gridCol w:w="1027"/>
        <w:gridCol w:w="1270"/>
        <w:gridCol w:w="1298"/>
        <w:gridCol w:w="3545"/>
      </w:tblGrid>
      <w:tr>
        <w:trPr/>
        <w:tc>
          <w:tcPr>
            <w:tcW w:w="619" w:type="dxa"/>
            <w:vAlign w:val="center"/>
            <w:textDirection w:val="lrTb"/>
            <w:noWrap w:val="false"/>
          </w:tcPr>
          <w:p>
            <w:pPr>
              <w:jc w:val="center"/>
              <w:keepLines w:val="0"/>
              <w:keepNext w:val="0"/>
              <w:pageBreakBefore w:val="0"/>
              <w:spacing w:line="360" w:lineRule="auto"/>
              <w:tabs>
                <w:tab w:val="left" w:pos="0" w:leader="none"/>
              </w:tabs>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W w:w="1242" w:type="dxa"/>
            <w:vAlign w:val="center"/>
            <w:textDirection w:val="lrTb"/>
            <w:noWrap w:val="false"/>
          </w:tcPr>
          <w:p>
            <w:pPr>
              <w:jc w:val="center"/>
              <w:keepLines w:val="0"/>
              <w:keepNext w:val="0"/>
              <w:pageBreakBefore w:val="0"/>
              <w:spacing w:line="360" w:lineRule="auto"/>
              <w:tabs>
                <w:tab w:val="left" w:pos="0" w:leader="none"/>
              </w:tabs>
              <w:rPr>
                <w:rFonts w:hint="eastAsia" w:ascii="宋体" w:hAnsi="宋体" w:eastAsia="宋体" w:cs="宋体"/>
                <w:b/>
                <w:sz w:val="24"/>
                <w:szCs w:val="24"/>
              </w:rPr>
            </w:pPr>
            <w:r>
              <w:rPr>
                <w:rFonts w:hint="eastAsia" w:ascii="宋体" w:hAnsi="宋体" w:eastAsia="宋体" w:cs="宋体"/>
                <w:b/>
                <w:sz w:val="24"/>
                <w:szCs w:val="24"/>
              </w:rPr>
              <w:t xml:space="preserve">名称</w:t>
            </w:r>
            <w:r/>
          </w:p>
        </w:tc>
        <w:tc>
          <w:tcPr>
            <w:tcW w:w="1541" w:type="dxa"/>
            <w:vAlign w:val="center"/>
            <w:textDirection w:val="lrTb"/>
            <w:noWrap w:val="false"/>
          </w:tcPr>
          <w:p>
            <w:pPr>
              <w:jc w:val="center"/>
              <w:keepLines w:val="0"/>
              <w:keepNext w:val="0"/>
              <w:pageBreakBefore w:val="0"/>
              <w:spacing w:line="360" w:lineRule="auto"/>
              <w:tabs>
                <w:tab w:val="left" w:pos="0" w:leader="none"/>
              </w:tabs>
              <w:rPr>
                <w:rFonts w:hint="eastAsia" w:ascii="宋体" w:hAnsi="宋体" w:eastAsia="宋体" w:cs="宋体"/>
                <w:b/>
                <w:sz w:val="24"/>
                <w:szCs w:val="24"/>
              </w:rPr>
            </w:pPr>
            <w:r>
              <w:rPr>
                <w:rFonts w:hint="eastAsia" w:ascii="宋体" w:hAnsi="宋体" w:eastAsia="宋体" w:cs="宋体"/>
                <w:b/>
                <w:sz w:val="24"/>
                <w:szCs w:val="24"/>
              </w:rPr>
              <w:t xml:space="preserve">工作内容</w:t>
            </w:r>
            <w:r/>
          </w:p>
        </w:tc>
        <w:tc>
          <w:tcPr>
            <w:tcW w:w="1027" w:type="dxa"/>
            <w:vAlign w:val="center"/>
            <w:textDirection w:val="lrTb"/>
            <w:noWrap w:val="false"/>
          </w:tcPr>
          <w:p>
            <w:pPr>
              <w:jc w:val="center"/>
              <w:keepLines w:val="0"/>
              <w:keepNext w:val="0"/>
              <w:pageBreakBefore w:val="0"/>
              <w:spacing w:line="360" w:lineRule="auto"/>
              <w:tabs>
                <w:tab w:val="left" w:pos="0" w:leader="none"/>
              </w:tabs>
              <w:rPr>
                <w:rFonts w:hint="eastAsia" w:ascii="宋体" w:hAnsi="宋体" w:eastAsia="宋体" w:cs="宋体"/>
                <w:b/>
                <w:sz w:val="24"/>
                <w:szCs w:val="24"/>
              </w:rPr>
            </w:pPr>
            <w:r>
              <w:rPr>
                <w:rFonts w:hint="eastAsia" w:ascii="宋体" w:hAnsi="宋体" w:eastAsia="宋体" w:cs="宋体"/>
                <w:b/>
                <w:sz w:val="24"/>
                <w:szCs w:val="24"/>
              </w:rPr>
              <w:t xml:space="preserve">数量</w:t>
            </w:r>
            <w:r/>
          </w:p>
        </w:tc>
        <w:tc>
          <w:tcPr>
            <w:tcW w:w="1270" w:type="dxa"/>
            <w:vAlign w:val="center"/>
            <w:textDirection w:val="lrTb"/>
            <w:noWrap w:val="false"/>
          </w:tcPr>
          <w:p>
            <w:pPr>
              <w:jc w:val="center"/>
              <w:keepLines w:val="0"/>
              <w:keepNext w:val="0"/>
              <w:pageBreakBefore w:val="0"/>
              <w:spacing w:line="360" w:lineRule="auto"/>
              <w:tabs>
                <w:tab w:val="left" w:pos="0" w:leader="none"/>
              </w:tabs>
              <w:rPr>
                <w:rFonts w:hint="eastAsia" w:ascii="宋体" w:hAnsi="宋体" w:eastAsia="宋体" w:cs="宋体"/>
                <w:b/>
                <w:sz w:val="24"/>
                <w:szCs w:val="24"/>
              </w:rPr>
            </w:pPr>
            <w:r>
              <w:rPr>
                <w:rFonts w:hint="eastAsia" w:hAnsi="宋体" w:cs="宋体"/>
                <w:b/>
                <w:sz w:val="24"/>
                <w:szCs w:val="24"/>
                <w:lang w:eastAsia="zh-CN"/>
              </w:rPr>
              <w:t xml:space="preserve">最高</w:t>
            </w:r>
            <w:r>
              <w:rPr>
                <w:rFonts w:hint="eastAsia" w:ascii="宋体" w:hAnsi="宋体" w:eastAsia="宋体" w:cs="宋体"/>
                <w:b/>
                <w:sz w:val="24"/>
                <w:szCs w:val="24"/>
              </w:rPr>
              <w:t xml:space="preserve">单价</w:t>
            </w:r>
            <w:r>
              <w:rPr>
                <w:rFonts w:hint="eastAsia" w:hAnsi="宋体" w:cs="宋体"/>
                <w:b/>
                <w:sz w:val="24"/>
                <w:szCs w:val="24"/>
                <w:lang w:eastAsia="zh-CN"/>
              </w:rPr>
              <w:t xml:space="preserve">限价</w:t>
            </w:r>
            <w:r>
              <w:rPr>
                <w:rFonts w:hint="eastAsia" w:ascii="宋体" w:hAnsi="宋体" w:eastAsia="宋体" w:cs="宋体"/>
                <w:b/>
                <w:sz w:val="24"/>
                <w:szCs w:val="24"/>
              </w:rPr>
              <w:t xml:space="preserve">（万元）</w:t>
            </w:r>
            <w:r/>
          </w:p>
        </w:tc>
        <w:tc>
          <w:tcPr>
            <w:tcW w:w="1298" w:type="dxa"/>
            <w:vAlign w:val="center"/>
            <w:textDirection w:val="lrTb"/>
            <w:noWrap w:val="false"/>
          </w:tcPr>
          <w:p>
            <w:pPr>
              <w:jc w:val="center"/>
              <w:keepLines w:val="0"/>
              <w:keepNext w:val="0"/>
              <w:pageBreakBefore w:val="0"/>
              <w:spacing w:line="360" w:lineRule="auto"/>
              <w:tabs>
                <w:tab w:val="left" w:pos="0" w:leader="none"/>
              </w:tabs>
              <w:rPr>
                <w:rFonts w:hint="eastAsia" w:ascii="宋体" w:hAnsi="宋体" w:eastAsia="宋体" w:cs="宋体"/>
                <w:b/>
                <w:sz w:val="24"/>
                <w:szCs w:val="24"/>
              </w:rPr>
            </w:pPr>
            <w:r>
              <w:rPr>
                <w:rFonts w:hint="eastAsia" w:ascii="宋体" w:hAnsi="宋体" w:eastAsia="宋体" w:cs="宋体"/>
                <w:b/>
                <w:sz w:val="24"/>
                <w:szCs w:val="24"/>
              </w:rPr>
              <w:t xml:space="preserve">小计（万元）</w:t>
            </w:r>
            <w:r/>
          </w:p>
        </w:tc>
        <w:tc>
          <w:tcPr>
            <w:tcW w:w="3545" w:type="dxa"/>
            <w:vAlign w:val="center"/>
            <w:textDirection w:val="lrTb"/>
            <w:noWrap w:val="false"/>
          </w:tcPr>
          <w:p>
            <w:pPr>
              <w:jc w:val="center"/>
              <w:keepLines w:val="0"/>
              <w:keepNext w:val="0"/>
              <w:pageBreakBefore w:val="0"/>
              <w:spacing w:line="360" w:lineRule="auto"/>
              <w:tabs>
                <w:tab w:val="left" w:pos="0" w:leader="none"/>
              </w:tabs>
              <w:rPr>
                <w:rFonts w:hint="eastAsia" w:ascii="宋体" w:hAnsi="宋体" w:eastAsia="宋体" w:cs="宋体"/>
                <w:b/>
                <w:sz w:val="24"/>
                <w:szCs w:val="24"/>
              </w:rPr>
            </w:pPr>
            <w:r>
              <w:rPr>
                <w:rFonts w:hint="eastAsia" w:ascii="宋体" w:hAnsi="宋体" w:eastAsia="宋体" w:cs="宋体"/>
                <w:b/>
                <w:sz w:val="24"/>
                <w:szCs w:val="24"/>
              </w:rPr>
              <w:t xml:space="preserve">备注</w:t>
            </w:r>
            <w:r/>
          </w:p>
        </w:tc>
      </w:tr>
      <w:tr>
        <w:trPr/>
        <w:tc>
          <w:tcPr>
            <w:tcW w:w="619" w:type="dxa"/>
            <w:vAlign w:val="center"/>
            <w:textDirection w:val="lrTb"/>
            <w:noWrap w:val="false"/>
          </w:tcPr>
          <w:p>
            <w:pPr>
              <w:jc w:val="center"/>
              <w:keepLines w:val="0"/>
              <w:keepNext w:val="0"/>
              <w:pageBreakBefore w:val="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42"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太仓高新区2025年重点项目征占用林地、采伐报批材料编制服务</w:t>
            </w:r>
            <w:r/>
          </w:p>
        </w:tc>
        <w:tc>
          <w:tcPr>
            <w:tcW w:w="1541"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使用林地可行性报告或者使用林地现状调查表材料编制</w:t>
            </w:r>
            <w:r/>
          </w:p>
        </w:tc>
        <w:tc>
          <w:tcPr>
            <w:tcW w:w="1027"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w:t>
            </w:r>
            <w:r/>
          </w:p>
        </w:tc>
        <w:tc>
          <w:tcPr>
            <w:tcW w:w="1270"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5.5</w:t>
            </w:r>
            <w:r/>
          </w:p>
        </w:tc>
        <w:tc>
          <w:tcPr>
            <w:tcW w:w="1298"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55</w:t>
            </w:r>
            <w:r/>
          </w:p>
        </w:tc>
        <w:tc>
          <w:tcPr>
            <w:tcW w:w="3545"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使用林地可行性报告或者使用林地现状调查表材料编制费用=5（基础价）+1.5（标准单价）x1公顷x1.5（通用调整系数，苏南发达地区为1.5）x1（专业调整系数），实际费用以占用林地面积为准</w:t>
            </w:r>
            <w:r/>
          </w:p>
        </w:tc>
      </w:tr>
      <w:tr>
        <w:trPr/>
        <w:tc>
          <w:tcPr>
            <w:tcW w:w="619" w:type="dxa"/>
            <w:vAlign w:val="center"/>
            <w:textDirection w:val="lrTb"/>
            <w:noWrap w:val="false"/>
          </w:tcPr>
          <w:p>
            <w:pPr>
              <w:jc w:val="center"/>
              <w:keepLines w:val="0"/>
              <w:keepNext w:val="0"/>
              <w:pageBreakBefore w:val="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w:t>
            </w:r>
            <w:r/>
          </w:p>
        </w:tc>
        <w:tc>
          <w:tcPr>
            <w:tcW w:w="1242"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41"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林木采伐作业设计书材料编制</w:t>
            </w:r>
            <w:r/>
          </w:p>
        </w:tc>
        <w:tc>
          <w:tcPr>
            <w:tcW w:w="1027"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w:t>
            </w:r>
            <w:r/>
          </w:p>
        </w:tc>
        <w:tc>
          <w:tcPr>
            <w:tcW w:w="1270"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3.5</w:t>
            </w:r>
            <w:r/>
          </w:p>
        </w:tc>
        <w:tc>
          <w:tcPr>
            <w:tcW w:w="1298"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35</w:t>
            </w:r>
            <w:r/>
          </w:p>
        </w:tc>
        <w:tc>
          <w:tcPr>
            <w:tcW w:w="3545"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标准规定收费金额低于10w的按照10w计算，已将价格做一定的优惠</w:t>
            </w:r>
            <w:r/>
          </w:p>
        </w:tc>
      </w:tr>
      <w:tr>
        <w:trPr/>
        <w:tc>
          <w:tcPr>
            <w:tcW w:w="619" w:type="dxa"/>
            <w:vAlign w:val="center"/>
            <w:textDirection w:val="lrTb"/>
            <w:noWrap w:val="false"/>
          </w:tcPr>
          <w:p>
            <w:pPr>
              <w:jc w:val="center"/>
              <w:keepLines w:val="0"/>
              <w:keepNext w:val="0"/>
              <w:pageBreakBefore w:val="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3</w:t>
            </w:r>
            <w:r/>
          </w:p>
        </w:tc>
        <w:tc>
          <w:tcPr>
            <w:tcW w:w="1242"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41"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组卷报批</w:t>
            </w:r>
            <w:r/>
          </w:p>
        </w:tc>
        <w:tc>
          <w:tcPr>
            <w:tcW w:w="1027"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w:t>
            </w:r>
            <w:r/>
          </w:p>
        </w:tc>
        <w:tc>
          <w:tcPr>
            <w:tcW w:w="1270"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98"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w:t>
            </w:r>
            <w:r/>
          </w:p>
        </w:tc>
        <w:tc>
          <w:tcPr>
            <w:tcW w:w="3545" w:type="dxa"/>
            <w:vAlign w:val="center"/>
            <w:textDirection w:val="lrTb"/>
            <w:noWrap w:val="false"/>
          </w:tcPr>
          <w:p>
            <w:pPr>
              <w:jc w:val="center"/>
              <w:keepLines w:val="0"/>
              <w:keepNext w:val="0"/>
              <w:pageBreakBefore w:val="0"/>
              <w:spacing w:line="360" w:lineRule="auto"/>
              <w:tabs>
                <w:tab w:val="left" w:pos="0" w:leader="none"/>
              </w:tabs>
              <w:rPr>
                <w:rFonts w:hint="eastAsia" w:ascii="宋体" w:hAnsi="宋体" w:eastAsia="宋体" w:cs="宋体"/>
                <w:b/>
                <w:sz w:val="24"/>
                <w:szCs w:val="24"/>
              </w:rPr>
            </w:pPr>
            <w:r>
              <w:rPr>
                <w:rFonts w:hint="eastAsia" w:ascii="宋体" w:hAnsi="宋体" w:eastAsia="宋体" w:cs="宋体"/>
                <w:b/>
                <w:sz w:val="24"/>
                <w:szCs w:val="24"/>
              </w:rPr>
            </w:r>
            <w:r/>
          </w:p>
        </w:tc>
      </w:tr>
      <w:tr>
        <w:trPr>
          <w:trHeight w:val="702"/>
        </w:trPr>
        <w:tc>
          <w:tcPr>
            <w:gridSpan w:val="5"/>
            <w:tcW w:w="5699"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合计</w:t>
            </w:r>
            <w:r/>
          </w:p>
        </w:tc>
        <w:tc>
          <w:tcPr>
            <w:tcW w:w="1298"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100</w:t>
            </w:r>
            <w:r/>
          </w:p>
        </w:tc>
        <w:tc>
          <w:tcPr>
            <w:tcW w:w="3545" w:type="dxa"/>
            <w:vAlign w:val="center"/>
            <w:textDirection w:val="lrTb"/>
            <w:noWrap w:val="false"/>
          </w:tcPr>
          <w:p>
            <w:pPr>
              <w:jc w:val="center"/>
              <w:keepLines w:val="0"/>
              <w:keepNext w:val="0"/>
              <w:pageBreakBefore w:val="0"/>
              <w:spacing w:line="360" w:lineRule="auto"/>
              <w:tabs>
                <w:tab w:val="left" w:pos="0" w:leader="none"/>
              </w:tabs>
              <w:rPr>
                <w:rFonts w:hint="eastAsia" w:ascii="宋体" w:hAnsi="宋体" w:eastAsia="宋体" w:cs="宋体"/>
                <w:b/>
                <w:sz w:val="24"/>
                <w:szCs w:val="24"/>
              </w:rPr>
            </w:pPr>
            <w:r>
              <w:rPr>
                <w:rFonts w:hint="eastAsia" w:ascii="宋体" w:hAnsi="宋体" w:eastAsia="宋体" w:cs="宋体"/>
                <w:b/>
                <w:sz w:val="24"/>
                <w:szCs w:val="24"/>
              </w:rPr>
            </w:r>
            <w:r/>
          </w:p>
        </w:tc>
      </w:tr>
    </w:tbl>
    <w:p>
      <w:pPr>
        <w:ind w:right="-27" w:firstLine="482"/>
        <w:jc w:val="both"/>
        <w:keepLines w:val="0"/>
        <w:keepNext w:val="0"/>
        <w:pageBreakBefore w:val="0"/>
        <w:spacing w:line="360" w:lineRule="auto"/>
        <w:tabs>
          <w:tab w:val="left" w:pos="0" w:leader="none"/>
        </w:tabs>
        <w:rPr>
          <w:rFonts w:hint="eastAsia" w:ascii="宋体" w:hAnsi="宋体" w:eastAsia="宋体" w:cs="宋体"/>
          <w:b/>
          <w:sz w:val="24"/>
          <w:szCs w:val="24"/>
        </w:rPr>
      </w:pPr>
      <w:r/>
      <w:bookmarkStart w:id="14" w:name="_Toc153825794"/>
      <w:r>
        <w:rPr>
          <w:rFonts w:hint="eastAsia" w:ascii="宋体" w:hAnsi="宋体" w:eastAsia="宋体" w:cs="宋体"/>
          <w:b/>
          <w:sz w:val="24"/>
          <w:szCs w:val="24"/>
        </w:rPr>
        <w:t xml:space="preserve">注：服务期内可能因政策原因导致具体实施项目数量减少，供应商在报价时应综合考虑。</w:t>
      </w:r>
      <w:r/>
    </w:p>
    <w:p>
      <w:pPr>
        <w:ind w:right="-27"/>
        <w:jc w:val="both"/>
        <w:keepLines w:val="0"/>
        <w:keepNext w:val="0"/>
        <w:pageBreakBefore w:val="0"/>
        <w:spacing w:line="360" w:lineRule="auto"/>
        <w:tabs>
          <w:tab w:val="left" w:pos="0" w:leader="none"/>
        </w:tabs>
        <w:rPr>
          <w:rFonts w:hint="eastAsia" w:ascii="宋体" w:hAnsi="宋体" w:eastAsia="宋体" w:cs="宋体"/>
          <w:b/>
          <w:sz w:val="24"/>
          <w:szCs w:val="24"/>
        </w:rPr>
        <w:outlineLvl w:val="1"/>
      </w:pPr>
      <w:r/>
      <w:bookmarkStart w:id="15" w:name="_Toc174346106"/>
      <w:r>
        <w:rPr>
          <w:rFonts w:hint="eastAsia" w:ascii="宋体" w:hAnsi="宋体" w:eastAsia="宋体" w:cs="宋体"/>
          <w:b/>
          <w:sz w:val="24"/>
          <w:szCs w:val="24"/>
          <w:lang w:eastAsia="zh-CN"/>
        </w:rPr>
        <w:t xml:space="preserve">五</w:t>
      </w:r>
      <w:r>
        <w:rPr>
          <w:rFonts w:hint="eastAsia" w:ascii="宋体" w:hAnsi="宋体" w:eastAsia="宋体" w:cs="宋体"/>
          <w:b/>
          <w:sz w:val="24"/>
          <w:szCs w:val="24"/>
        </w:rPr>
        <w:t xml:space="preserve">、项目实施要求：</w:t>
      </w:r>
      <w:bookmarkEnd w:id="14"/>
      <w:r/>
      <w:bookmarkEnd w:id="15"/>
      <w:r/>
      <w:r/>
    </w:p>
    <w:p>
      <w:pPr>
        <w:ind w:right="-27" w:firstLine="480"/>
        <w:jc w:val="both"/>
        <w:keepLines w:val="0"/>
        <w:keepNext w:val="0"/>
        <w:pageBreakBefore w:val="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1、根据项目建议书内容及规划部门提供的用地控制范围编制林地占用可行性研究报告。</w:t>
      </w:r>
      <w:r/>
    </w:p>
    <w:p>
      <w:pPr>
        <w:ind w:right="-27" w:firstLine="480"/>
        <w:jc w:val="both"/>
        <w:keepLines w:val="0"/>
        <w:keepNext w:val="0"/>
        <w:pageBreakBefore w:val="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2、根据国家现行规范、行业标准以及省、市、镇相关文件规定，进行本项目林地占用可行性研究。</w:t>
      </w:r>
      <w:r/>
    </w:p>
    <w:p>
      <w:pPr>
        <w:ind w:right="-27" w:firstLine="480"/>
        <w:jc w:val="both"/>
        <w:keepLines w:val="0"/>
        <w:keepNext w:val="0"/>
        <w:pageBreakBefore w:val="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3、供应商应在双方约定时间范围内完成对采购人征占林地情况的现状调查、编制符合要求的《使用林地可行性报告》或《现状调查表》等工作。供应商完成项目成果后应向采购人交付一式四份。</w:t>
      </w:r>
      <w:r/>
    </w:p>
    <w:p>
      <w:pPr>
        <w:ind w:right="-27" w:firstLine="480"/>
        <w:jc w:val="both"/>
        <w:keepLines w:val="0"/>
        <w:keepNext w:val="0"/>
        <w:pageBreakBefore w:val="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4、供应商对采购人提供的项目有关资料应妥善保管，并尽保密之责，非经采购人同意不得擅自公开或披露。工作结束或协议终止后，采购人要求返还的资料，供应商应全部完整返还给采购人。</w:t>
      </w:r>
      <w:r/>
    </w:p>
    <w:p>
      <w:pPr>
        <w:ind w:right="-27" w:firstLine="480"/>
        <w:jc w:val="both"/>
        <w:keepLines w:val="0"/>
        <w:keepNext w:val="0"/>
        <w:pageBreakBefore w:val="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5、供应商应对有关部门评审提出的意见进行补充、完善、修改。整理报批资料，通过相关部门审批的报批，取得《使用林地审核同意书》。</w:t>
      </w:r>
      <w:r/>
    </w:p>
    <w:p>
      <w:pPr>
        <w:ind w:right="-27" w:firstLine="480"/>
        <w:jc w:val="both"/>
        <w:keepLines w:val="0"/>
        <w:keepNext w:val="0"/>
        <w:pageBreakBefore w:val="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6、供应商按要求完成林业采伐设计，办理并取得《林木采伐许可证》。</w:t>
      </w:r>
      <w:r/>
    </w:p>
    <w:p>
      <w:pPr>
        <w:ind w:right="-27" w:firstLine="480"/>
        <w:jc w:val="both"/>
        <w:keepLines w:val="0"/>
        <w:keepNext w:val="0"/>
        <w:pageBreakBefore w:val="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7、为保证项目的顺利实施，项目组必须明确1名项目负责人以及其他项目技术人员，未经采购人允许，供应商不得随意更换项目负责人，如需更换须提前5个工作日通知采购人，并征得采购人同意。</w:t>
      </w:r>
      <w:r/>
    </w:p>
    <w:p>
      <w:pPr>
        <w:ind w:right="-27" w:firstLine="480"/>
        <w:jc w:val="both"/>
        <w:keepLines w:val="0"/>
        <w:keepNext w:val="0"/>
        <w:pageBreakBefore w:val="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8、如因供应商项目组人员存在技术不达标或服务质量未达到采购人要求的，采购人有权要求更换相关项目组成员，供应商应无条件更换相关人员。供应商无故不得缺席工作推进会议、拖延项目进度。</w:t>
      </w:r>
      <w:r/>
    </w:p>
    <w:p>
      <w:pPr>
        <w:ind w:right="-27"/>
        <w:jc w:val="both"/>
        <w:keepLines w:val="0"/>
        <w:keepNext w:val="0"/>
        <w:pageBreakBefore w:val="0"/>
        <w:spacing w:line="360" w:lineRule="auto"/>
        <w:tabs>
          <w:tab w:val="left" w:pos="0" w:leader="none"/>
        </w:tabs>
        <w:rPr>
          <w:rFonts w:hint="eastAsia" w:ascii="宋体" w:hAnsi="宋体" w:eastAsia="宋体" w:cs="宋体"/>
          <w:b/>
          <w:sz w:val="24"/>
          <w:szCs w:val="24"/>
        </w:rPr>
        <w:outlineLvl w:val="1"/>
      </w:pPr>
      <w:r/>
      <w:bookmarkStart w:id="16" w:name="_Toc153825795"/>
      <w:r/>
      <w:bookmarkStart w:id="17" w:name="_Toc174346107"/>
      <w:r>
        <w:rPr>
          <w:rFonts w:hint="eastAsia" w:ascii="宋体" w:hAnsi="宋体" w:eastAsia="宋体" w:cs="宋体"/>
          <w:b/>
          <w:sz w:val="24"/>
          <w:szCs w:val="24"/>
          <w:lang w:eastAsia="zh-CN"/>
        </w:rPr>
        <w:t xml:space="preserve">六</w:t>
      </w:r>
      <w:r>
        <w:rPr>
          <w:rFonts w:hint="eastAsia" w:ascii="宋体" w:hAnsi="宋体" w:eastAsia="宋体" w:cs="宋体"/>
          <w:b/>
          <w:sz w:val="24"/>
          <w:szCs w:val="24"/>
        </w:rPr>
        <w:t xml:space="preserve">、验收要求：</w:t>
      </w:r>
      <w:bookmarkEnd w:id="16"/>
      <w:r/>
      <w:bookmarkEnd w:id="17"/>
      <w:r/>
      <w:r/>
    </w:p>
    <w:p>
      <w:pPr>
        <w:ind w:right="-27" w:firstLine="480"/>
        <w:jc w:val="both"/>
        <w:keepLines w:val="0"/>
        <w:keepNext w:val="0"/>
        <w:pageBreakBefore w:val="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1.按国家相关行业标准进行验收并取得《使用林地审核同意书》及《林木采伐许可证》。</w:t>
      </w:r>
      <w:r/>
    </w:p>
    <w:p>
      <w:pPr>
        <w:ind w:firstLine="482"/>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bCs/>
          <w:sz w:val="24"/>
          <w:szCs w:val="24"/>
        </w:rPr>
        <w:t xml:space="preserve">采购人向供应商发出《政府采购履约验收通知单》（</w:t>
      </w:r>
      <w:r>
        <w:rPr>
          <w:rFonts w:hint="eastAsia" w:ascii="宋体" w:hAnsi="宋体" w:eastAsia="宋体" w:cs="宋体"/>
          <w:bCs/>
          <w:sz w:val="24"/>
          <w:szCs w:val="24"/>
          <w:lang w:eastAsia="zh-CN"/>
        </w:rPr>
        <w:t xml:space="preserve">合同</w:t>
      </w:r>
      <w:r>
        <w:rPr>
          <w:rFonts w:hint="eastAsia" w:ascii="宋体" w:hAnsi="宋体" w:eastAsia="宋体" w:cs="宋体"/>
          <w:bCs/>
          <w:sz w:val="24"/>
          <w:szCs w:val="24"/>
        </w:rPr>
        <w:t xml:space="preserve">附件1），验收完成后形成《</w:t>
      </w:r>
      <w:bookmarkStart w:id="18" w:name="OLE_LINK49"/>
      <w:r/>
      <w:bookmarkStart w:id="19" w:name="OLE_LINK48"/>
      <w:r>
        <w:rPr>
          <w:rFonts w:hint="eastAsia" w:ascii="宋体" w:hAnsi="宋体" w:eastAsia="宋体" w:cs="宋体"/>
          <w:bCs/>
          <w:sz w:val="24"/>
          <w:szCs w:val="24"/>
        </w:rPr>
        <w:t xml:space="preserve">政府采购履约验收书</w:t>
      </w:r>
      <w:bookmarkEnd w:id="18"/>
      <w:r/>
      <w:bookmarkEnd w:id="19"/>
      <w:r>
        <w:rPr>
          <w:rFonts w:hint="eastAsia" w:ascii="宋体" w:hAnsi="宋体" w:eastAsia="宋体" w:cs="宋体"/>
          <w:bCs/>
          <w:sz w:val="24"/>
          <w:szCs w:val="24"/>
        </w:rPr>
        <w:t xml:space="preserve">》（</w:t>
      </w:r>
      <w:r>
        <w:rPr>
          <w:rFonts w:hint="eastAsia" w:ascii="宋体" w:hAnsi="宋体" w:eastAsia="宋体" w:cs="宋体"/>
          <w:bCs/>
          <w:sz w:val="24"/>
          <w:szCs w:val="24"/>
          <w:lang w:eastAsia="zh-CN"/>
        </w:rPr>
        <w:t xml:space="preserve">合同</w:t>
      </w:r>
      <w:r>
        <w:rPr>
          <w:rFonts w:hint="eastAsia" w:ascii="宋体" w:hAnsi="宋体" w:eastAsia="宋体" w:cs="宋体"/>
          <w:bCs/>
          <w:sz w:val="24"/>
          <w:szCs w:val="24"/>
        </w:rPr>
        <w:t xml:space="preserve">附件2）。</w:t>
      </w:r>
      <w:r/>
    </w:p>
    <w:p>
      <w:pPr>
        <w:ind w:firstLine="422"/>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七、结算方式及付款方式：</w:t>
      </w:r>
      <w:r/>
    </w:p>
    <w:p>
      <w:pPr>
        <w:contextualSpacing/>
        <w:ind w:right="-27" w:firstLine="480"/>
        <w:jc w:val="left"/>
        <w:keepLines w:val="0"/>
        <w:keepNext w:val="0"/>
        <w:pageBreakBefore w:val="0"/>
        <w:spacing w:line="360" w:lineRule="auto"/>
        <w:widowControl/>
        <w:tabs>
          <w:tab w:val="left" w:pos="0" w:leader="none"/>
        </w:tabs>
        <w:rPr>
          <w:rFonts w:hint="eastAsia" w:ascii="宋体" w:hAnsi="宋体" w:eastAsia="宋体" w:cs="宋体"/>
          <w:iCs/>
          <w:sz w:val="24"/>
          <w:szCs w:val="24"/>
          <w:u w:val="single"/>
        </w:rPr>
      </w:pPr>
      <w:r>
        <w:rPr>
          <w:rFonts w:hint="eastAsia" w:ascii="宋体" w:hAnsi="宋体" w:eastAsia="宋体" w:cs="宋体"/>
          <w:iCs/>
          <w:sz w:val="24"/>
          <w:szCs w:val="24"/>
          <w:u w:val="single"/>
          <w:lang w:val="en-US" w:eastAsia="zh-CN"/>
        </w:rPr>
        <w:t xml:space="preserve">1.</w:t>
      </w:r>
      <w:r>
        <w:rPr>
          <w:rFonts w:hint="eastAsia" w:ascii="宋体" w:hAnsi="宋体" w:eastAsia="宋体" w:cs="宋体"/>
          <w:iCs/>
          <w:sz w:val="24"/>
          <w:szCs w:val="24"/>
          <w:u w:val="single"/>
        </w:rPr>
        <w:t xml:space="preserve">根据实际完成项目按实结算。</w:t>
      </w:r>
      <w:r/>
    </w:p>
    <w:p>
      <w:pPr>
        <w:ind w:right="-27" w:firstLine="480"/>
        <w:jc w:val="both"/>
        <w:keepLines w:val="0"/>
        <w:keepNext w:val="0"/>
        <w:pageBreakBefore w:val="0"/>
        <w:spacing w:line="360" w:lineRule="auto"/>
        <w:tabs>
          <w:tab w:val="left" w:pos="0" w:leader="none"/>
        </w:tabs>
        <w:rPr>
          <w:rFonts w:hint="eastAsia" w:ascii="宋体" w:hAnsi="宋体" w:eastAsia="宋体" w:cs="宋体"/>
          <w:iCs/>
          <w:sz w:val="24"/>
          <w:szCs w:val="24"/>
          <w:u w:val="single"/>
        </w:rPr>
      </w:pPr>
      <w:r>
        <w:rPr>
          <w:rFonts w:hint="eastAsia" w:hAnsi="宋体" w:cs="宋体"/>
          <w:iCs/>
          <w:sz w:val="24"/>
          <w:szCs w:val="24"/>
          <w:u w:val="single"/>
          <w:lang w:val="en-US" w:eastAsia="zh-CN"/>
        </w:rPr>
        <w:t xml:space="preserve">2</w:t>
      </w:r>
      <w:r>
        <w:rPr>
          <w:rFonts w:hint="eastAsia" w:ascii="宋体" w:hAnsi="宋体" w:eastAsia="宋体" w:cs="宋体"/>
          <w:iCs/>
          <w:sz w:val="24"/>
          <w:szCs w:val="24"/>
          <w:u w:val="single"/>
        </w:rPr>
        <w:t xml:space="preserve">.付款方式：</w:t>
      </w:r>
      <w:r/>
    </w:p>
    <w:p>
      <w:pPr>
        <w:ind w:firstLine="422"/>
        <w:keepLines w:val="0"/>
        <w:keepNext w:val="0"/>
        <w:pageBreakBefore w:val="0"/>
        <w:spacing w:line="360" w:lineRule="auto"/>
        <w:rPr>
          <w:rFonts w:hint="eastAsia" w:ascii="宋体" w:hAnsi="宋体" w:eastAsia="宋体" w:cs="宋体"/>
          <w:iCs/>
          <w:sz w:val="24"/>
          <w:szCs w:val="24"/>
          <w:u w:val="single"/>
        </w:rPr>
      </w:pPr>
      <w:r>
        <w:rPr>
          <w:rFonts w:hint="eastAsia" w:ascii="宋体" w:hAnsi="宋体" w:eastAsia="宋体" w:cs="宋体"/>
          <w:iCs/>
          <w:sz w:val="24"/>
          <w:szCs w:val="24"/>
          <w:u w:val="single"/>
        </w:rPr>
        <w:t xml:space="preserve">根据实际工作量每季度进行一次付款结算,提交最终成果或取得上级主管部门的批复文件后方可申请付款。单个项目获取林木采伐许可证视作该项目进度达到100.00%。</w:t>
      </w:r>
      <w:r/>
    </w:p>
    <w:p>
      <w:pPr>
        <w:ind w:firstLine="422"/>
        <w:keepLines w:val="0"/>
        <w:keepNext w:val="0"/>
        <w:pageBreakBefore w:val="0"/>
        <w:spacing w:line="360" w:lineRule="auto"/>
        <w:rPr>
          <w:rFonts w:hint="eastAsia" w:ascii="宋体" w:hAnsi="宋体" w:eastAsia="宋体" w:cs="宋体"/>
          <w:iCs/>
          <w:sz w:val="24"/>
          <w:szCs w:val="24"/>
          <w:u w:val="single"/>
        </w:rPr>
      </w:pPr>
      <w:r>
        <w:rPr>
          <w:rFonts w:hint="eastAsia" w:ascii="宋体" w:hAnsi="宋体" w:eastAsia="宋体" w:cs="宋体"/>
          <w:iCs/>
          <w:sz w:val="24"/>
          <w:szCs w:val="24"/>
          <w:u w:val="single"/>
        </w:rPr>
        <w:t xml:space="preserve">乙方每累计获取两个项目林木采伐许可证可作为一次阶段决算节点，可向甲方申请支付合同总额的 20%，甲方于该季度末进行统一支付，最终以实际获取的项目林木采伐许可证数量以及未完成报批的项目进度情况进行统一决算。</w:t>
      </w:r>
      <w:r/>
    </w:p>
    <w:p>
      <w:pPr>
        <w:ind w:firstLine="422"/>
        <w:keepLines w:val="0"/>
        <w:keepNext w:val="0"/>
        <w:pageBreakBefore w:val="0"/>
        <w:spacing w:line="360" w:lineRule="auto"/>
        <w:rPr>
          <w:rFonts w:hint="eastAsia" w:ascii="宋体" w:hAnsi="宋体" w:eastAsia="宋体" w:cs="宋体"/>
          <w:iCs/>
          <w:sz w:val="24"/>
          <w:szCs w:val="24"/>
          <w:u w:val="single"/>
        </w:rPr>
      </w:pPr>
      <w:r>
        <w:rPr>
          <w:rFonts w:hint="eastAsia" w:ascii="宋体" w:hAnsi="宋体" w:eastAsia="宋体" w:cs="宋体"/>
          <w:iCs/>
          <w:sz w:val="24"/>
          <w:szCs w:val="24"/>
          <w:u w:val="single"/>
        </w:rPr>
        <w:t xml:space="preserve">项目统一决算阶段,因相关政策变化或其他不可抗力导致项目最终不需再继续进行林地报批服务，如乙方已完成使用林地可行性报告编制并上报至太仓市林业局，视作该项目进度达到50.00%，;如乙方已获得使用林地的批复，但甲方不需再编制林木采伐作业设计书材料，视作该项目进度达到70.00%;如乙方已完成林木采伐作业设计书材料编制并上报至太仓市林业局，但甲方不需再获取林木采伐许可证，视作该项目进度达到90.00%。</w:t>
      </w:r>
      <w:r/>
    </w:p>
    <w:p>
      <w:pPr>
        <w:ind w:firstLine="422"/>
        <w:keepLines w:val="0"/>
        <w:keepNext w:val="0"/>
        <w:pageBreakBefore w:val="0"/>
        <w:spacing w:line="360" w:lineRule="auto"/>
        <w:rPr>
          <w:rFonts w:hint="eastAsia" w:ascii="宋体" w:hAnsi="宋体" w:eastAsia="宋体" w:cs="宋体"/>
          <w:iCs/>
          <w:sz w:val="24"/>
          <w:szCs w:val="24"/>
          <w:u w:val="single"/>
        </w:rPr>
      </w:pPr>
      <w:r>
        <w:rPr>
          <w:rFonts w:hint="eastAsia" w:ascii="宋体" w:hAnsi="宋体" w:eastAsia="宋体" w:cs="宋体"/>
          <w:iCs/>
          <w:sz w:val="24"/>
          <w:szCs w:val="24"/>
          <w:u w:val="single"/>
        </w:rPr>
        <w:t xml:space="preserve">甲方每次付款前，乙方均应当向甲方开具等额合格符合相关税务部门和甲方认可的发票，并提出书面付款申请，否则甲方有权延迟付款且无须承担任何责任。</w:t>
      </w:r>
      <w:r/>
    </w:p>
    <w:p>
      <w:pPr>
        <w:ind w:firstLine="422"/>
        <w:keepLines w:val="0"/>
        <w:keepNext w:val="0"/>
        <w:pageBreakBefore w:val="0"/>
        <w:spacing w:line="360" w:lineRule="auto"/>
        <w:rPr>
          <w:rFonts w:hint="eastAsia" w:ascii="宋体" w:hAnsi="宋体" w:eastAsia="宋体" w:cs="宋体"/>
          <w:iCs/>
          <w:sz w:val="24"/>
          <w:szCs w:val="24"/>
          <w:u w:val="single"/>
        </w:rPr>
      </w:pPr>
      <w:r>
        <w:rPr>
          <w:rFonts w:hint="eastAsia" w:ascii="宋体" w:hAnsi="宋体" w:eastAsia="宋体" w:cs="宋体"/>
          <w:iCs/>
          <w:sz w:val="24"/>
          <w:szCs w:val="24"/>
          <w:u w:val="single"/>
        </w:rPr>
        <w:t xml:space="preserve">合同履行过程中涉及的研究成果、林地报批文件(含初步成果、中间成果、最终成果)及调研阶段、专家评审阶段涉及初步成果、中间成果及最终成果的咨询、审查、验收等工作发生的费用均由乙方承担，此费用已包含在合同总价中，甲方不再另行支付。</w:t>
      </w:r>
      <w:r/>
    </w:p>
    <w:p>
      <w:pPr>
        <w:ind w:firstLine="422"/>
        <w:keepLines w:val="0"/>
        <w:keepNext w:val="0"/>
        <w:pageBreakBefore w:val="0"/>
        <w:spacing w:line="360" w:lineRule="auto"/>
        <w:rPr>
          <w:rFonts w:hint="eastAsia" w:ascii="宋体" w:hAnsi="宋体" w:eastAsia="宋体" w:cs="宋体"/>
          <w:iCs/>
          <w:sz w:val="24"/>
          <w:szCs w:val="24"/>
          <w:u w:val="single"/>
        </w:rPr>
      </w:pPr>
      <w:r>
        <w:rPr>
          <w:rFonts w:hint="eastAsia" w:ascii="宋体" w:hAnsi="宋体" w:eastAsia="宋体" w:cs="宋体"/>
          <w:iCs/>
          <w:sz w:val="24"/>
          <w:szCs w:val="24"/>
          <w:u w:val="single"/>
        </w:rPr>
        <w:t xml:space="preserve">若乙方提交的任何研究成果、林地报批文件存在未一次性通过甲方或甲方委托、组织的专家评审及相关主管部门审核等情况，甲方有权根据规划研究成果或林地报批文件的质量情况以及甲方遭受损失的数额，要求乙方补偿甲方全部损失，并经双方协商确定降低相应服务价格</w:t>
      </w:r>
      <w:r/>
    </w:p>
    <w:p>
      <w:pPr>
        <w:ind w:firstLine="422"/>
        <w:keepLines w:val="0"/>
        <w:keepNext w:val="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服务方案要求</w:t>
      </w:r>
      <w:r>
        <w:rPr>
          <w:rFonts w:hint="eastAsia" w:ascii="宋体" w:hAnsi="宋体" w:eastAsia="宋体" w:cs="宋体"/>
          <w:b/>
          <w:bCs/>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投标单位需根据本项目工作内容，需制定针对性强、操作性高的各项服务方案。包括但不限于对项目理解认知、工作技术方案、项目实施组织方案、项目保障措施、项目优化措施和合理化建议。</w:t>
      </w:r>
      <w:r/>
    </w:p>
    <w:p>
      <w:pPr>
        <w:ind w:firstLine="482"/>
        <w:jc w:val="both"/>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项目理解认知</w:t>
      </w:r>
      <w:r/>
    </w:p>
    <w:p>
      <w:pPr>
        <w:ind w:firstLine="482"/>
        <w:jc w:val="both"/>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投标人结合本项目实际情况，针对本项目的理解认知，内容至少包括：</w:t>
      </w:r>
      <w:r/>
    </w:p>
    <w:p>
      <w:pPr>
        <w:ind w:firstLine="482"/>
        <w:jc w:val="both"/>
        <w:keepLines w:val="0"/>
        <w:keepNext w:val="0"/>
        <w:pageBreakBefore w:val="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①项目概况</w:t>
      </w:r>
      <w:r/>
    </w:p>
    <w:p>
      <w:pPr>
        <w:ind w:firstLine="482"/>
        <w:jc w:val="both"/>
        <w:keepLines w:val="0"/>
        <w:keepNext w:val="0"/>
        <w:pageBreakBefore w:val="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②项目需求的理解</w:t>
      </w:r>
      <w:r/>
    </w:p>
    <w:p>
      <w:pPr>
        <w:ind w:firstLine="482"/>
        <w:jc w:val="both"/>
        <w:keepLines w:val="0"/>
        <w:keepNext w:val="0"/>
        <w:pageBreakBefore w:val="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③项目相关政策的理解</w:t>
      </w:r>
      <w:r/>
    </w:p>
    <w:p>
      <w:pPr>
        <w:ind w:firstLine="482"/>
        <w:jc w:val="both"/>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工作技术方案</w:t>
      </w:r>
      <w:r/>
    </w:p>
    <w:p>
      <w:pPr>
        <w:ind w:firstLine="482"/>
        <w:jc w:val="both"/>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rPr>
        <w:t xml:space="preserve">投标人结合本项目实际情况，</w:t>
      </w:r>
      <w:r>
        <w:rPr>
          <w:rFonts w:hint="eastAsia" w:ascii="宋体" w:hAnsi="宋体" w:eastAsia="宋体" w:cs="宋体"/>
          <w:b w:val="0"/>
          <w:bCs w:val="0"/>
          <w:sz w:val="24"/>
          <w:szCs w:val="24"/>
          <w:highlight w:val="none"/>
        </w:rPr>
        <w:t xml:space="preserve">针对本项目</w:t>
      </w:r>
      <w:r>
        <w:rPr>
          <w:rFonts w:hint="eastAsia" w:ascii="宋体" w:hAnsi="宋体" w:eastAsia="宋体" w:cs="宋体"/>
          <w:b w:val="0"/>
          <w:bCs w:val="0"/>
          <w:sz w:val="24"/>
          <w:szCs w:val="24"/>
          <w:highlight w:val="none"/>
          <w:lang w:eastAsia="zh-CN"/>
        </w:rPr>
        <w:t xml:space="preserve">提供工作技术方案</w:t>
      </w:r>
      <w:r>
        <w:rPr>
          <w:rFonts w:hint="eastAsia" w:ascii="宋体" w:hAnsi="宋体" w:eastAsia="宋体" w:cs="宋体"/>
          <w:b w:val="0"/>
          <w:bCs w:val="0"/>
          <w:sz w:val="24"/>
          <w:szCs w:val="24"/>
          <w:highlight w:val="none"/>
        </w:rPr>
        <w:t xml:space="preserve">，方案内容至少包括：</w:t>
      </w:r>
      <w:r/>
    </w:p>
    <w:p>
      <w:pPr>
        <w:ind w:firstLine="482"/>
        <w:jc w:val="both"/>
        <w:keepLines w:val="0"/>
        <w:keepNext w:val="0"/>
        <w:pageBreakBefore w:val="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①主要的工作方法</w:t>
      </w:r>
      <w:r/>
    </w:p>
    <w:p>
      <w:pPr>
        <w:ind w:firstLine="482"/>
        <w:jc w:val="both"/>
        <w:keepLines w:val="0"/>
        <w:keepNext w:val="0"/>
        <w:pageBreakBefore w:val="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②项目的重点、难点分析</w:t>
      </w:r>
      <w:r/>
    </w:p>
    <w:p>
      <w:pPr>
        <w:ind w:firstLine="482"/>
        <w:jc w:val="both"/>
        <w:keepLines w:val="0"/>
        <w:keepNext w:val="0"/>
        <w:pageBreakBefore w:val="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③针对重点、难点的应对策略</w:t>
      </w:r>
      <w:r/>
    </w:p>
    <w:p>
      <w:pPr>
        <w:ind w:firstLine="482"/>
        <w:jc w:val="both"/>
        <w:keepLines w:val="0"/>
        <w:keepNext w:val="0"/>
        <w:pageBreakBefore w:val="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④项目时间节点安排</w:t>
      </w:r>
      <w:r/>
    </w:p>
    <w:p>
      <w:pPr>
        <w:ind w:firstLine="482"/>
        <w:jc w:val="both"/>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项目实施组织方案</w:t>
      </w:r>
      <w:r/>
    </w:p>
    <w:p>
      <w:pPr>
        <w:ind w:firstLine="482"/>
        <w:jc w:val="both"/>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rPr>
        <w:t xml:space="preserve">投标人结合本项目实际情况</w:t>
      </w:r>
      <w:r>
        <w:rPr>
          <w:rFonts w:hint="eastAsia" w:ascii="宋体" w:hAnsi="宋体" w:eastAsia="宋体" w:cs="宋体"/>
          <w:b w:val="0"/>
          <w:bCs w:val="0"/>
          <w:sz w:val="24"/>
          <w:szCs w:val="24"/>
          <w:highlight w:val="none"/>
        </w:rPr>
        <w:t xml:space="preserve">，针对本项目</w:t>
      </w:r>
      <w:r>
        <w:rPr>
          <w:rFonts w:hint="eastAsia" w:ascii="宋体" w:hAnsi="宋体" w:eastAsia="宋体" w:cs="宋体"/>
          <w:b w:val="0"/>
          <w:bCs w:val="0"/>
          <w:sz w:val="24"/>
          <w:szCs w:val="24"/>
          <w:highlight w:val="none"/>
          <w:lang w:eastAsia="zh-CN"/>
        </w:rPr>
        <w:t xml:space="preserve">提供</w:t>
      </w:r>
      <w:r>
        <w:rPr>
          <w:rFonts w:hint="eastAsia" w:ascii="宋体" w:hAnsi="宋体" w:eastAsia="宋体" w:cs="宋体"/>
          <w:b w:val="0"/>
          <w:bCs w:val="0"/>
          <w:color w:val="auto"/>
          <w:sz w:val="24"/>
          <w:szCs w:val="24"/>
          <w:highlight w:val="none"/>
          <w:lang w:val="en-US" w:eastAsia="zh-CN"/>
        </w:rPr>
        <w:t xml:space="preserve">项目实施组织方案，</w:t>
      </w:r>
      <w:r>
        <w:rPr>
          <w:rFonts w:hint="eastAsia" w:ascii="宋体" w:hAnsi="宋体" w:eastAsia="宋体" w:cs="宋体"/>
          <w:b w:val="0"/>
          <w:bCs w:val="0"/>
          <w:sz w:val="24"/>
          <w:szCs w:val="24"/>
          <w:highlight w:val="none"/>
        </w:rPr>
        <w:t xml:space="preserve">方案内容至少包括：</w:t>
      </w:r>
      <w:r/>
    </w:p>
    <w:p>
      <w:pPr>
        <w:ind w:firstLine="482"/>
        <w:jc w:val="both"/>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①项目工作流程</w:t>
      </w:r>
      <w:r/>
    </w:p>
    <w:p>
      <w:pPr>
        <w:ind w:firstLine="482"/>
        <w:jc w:val="both"/>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②工作内容组织实施</w:t>
      </w:r>
      <w:r/>
    </w:p>
    <w:p>
      <w:pPr>
        <w:ind w:firstLine="482"/>
        <w:jc w:val="both"/>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③后续服务承诺及服务响应速度</w:t>
      </w:r>
      <w:r/>
    </w:p>
    <w:p>
      <w:pPr>
        <w:ind w:firstLine="482"/>
        <w:jc w:val="both"/>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w:t>
      </w:r>
      <w:r>
        <w:rPr>
          <w:rFonts w:hint="eastAsia" w:ascii="宋体" w:hAnsi="宋体" w:eastAsia="宋体" w:cs="宋体"/>
          <w:b w:val="0"/>
          <w:bCs w:val="0"/>
          <w:color w:val="auto"/>
          <w:sz w:val="24"/>
          <w:szCs w:val="24"/>
          <w:highlight w:val="none"/>
          <w:lang w:val="en-US" w:eastAsia="zh-CN"/>
        </w:rPr>
        <w:t xml:space="preserve">项目保障措施</w:t>
      </w:r>
      <w:r/>
    </w:p>
    <w:p>
      <w:pPr>
        <w:ind w:firstLine="482"/>
        <w:jc w:val="both"/>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rPr>
        <w:t xml:space="preserve">投标人结合本项目实际情况</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针对本项目</w:t>
      </w:r>
      <w:r>
        <w:rPr>
          <w:rFonts w:hint="eastAsia" w:ascii="宋体" w:hAnsi="宋体" w:eastAsia="宋体" w:cs="宋体"/>
          <w:b w:val="0"/>
          <w:bCs w:val="0"/>
          <w:sz w:val="24"/>
          <w:szCs w:val="24"/>
          <w:highlight w:val="none"/>
          <w:lang w:eastAsia="zh-CN"/>
        </w:rPr>
        <w:t xml:space="preserve">提供</w:t>
      </w:r>
      <w:r>
        <w:rPr>
          <w:rFonts w:hint="eastAsia" w:ascii="宋体" w:hAnsi="宋体" w:eastAsia="宋体" w:cs="宋体"/>
          <w:b w:val="0"/>
          <w:bCs w:val="0"/>
          <w:sz w:val="24"/>
          <w:szCs w:val="24"/>
          <w:highlight w:val="none"/>
        </w:rPr>
        <w:t xml:space="preserve">项目保障措施，措施内容至少包括</w:t>
      </w:r>
      <w:r/>
    </w:p>
    <w:p>
      <w:pPr>
        <w:ind w:firstLine="482"/>
        <w:jc w:val="both"/>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①项目进度保障措施</w:t>
      </w:r>
      <w:r/>
    </w:p>
    <w:p>
      <w:pPr>
        <w:ind w:firstLine="482"/>
        <w:jc w:val="both"/>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②技术质量保障措施</w:t>
      </w:r>
      <w:r/>
    </w:p>
    <w:p>
      <w:pPr>
        <w:ind w:firstLine="482"/>
        <w:jc w:val="both"/>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③安全保密保障措施等。</w:t>
      </w:r>
      <w:r/>
    </w:p>
    <w:p>
      <w:pPr>
        <w:ind w:firstLine="482"/>
        <w:jc w:val="both"/>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5、</w:t>
      </w:r>
      <w:r>
        <w:rPr>
          <w:rFonts w:hint="eastAsia" w:ascii="宋体" w:hAnsi="宋体" w:eastAsia="宋体" w:cs="宋体"/>
          <w:b w:val="0"/>
          <w:bCs w:val="0"/>
          <w:color w:val="auto"/>
          <w:sz w:val="24"/>
          <w:szCs w:val="24"/>
          <w:highlight w:val="none"/>
          <w:lang w:val="en-US" w:eastAsia="zh-CN"/>
        </w:rPr>
        <w:t xml:space="preserve">项目优化措施和合理化建议</w:t>
      </w:r>
      <w:r/>
    </w:p>
    <w:p>
      <w:pPr>
        <w:ind w:firstLine="480"/>
        <w:jc w:val="both"/>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rPr>
        <w:t xml:space="preserve">投标人结合本项目实际情况</w:t>
      </w:r>
      <w:r>
        <w:rPr>
          <w:rFonts w:hint="eastAsia" w:ascii="宋体" w:hAnsi="宋体" w:eastAsia="宋体" w:cs="宋体"/>
          <w:b w:val="0"/>
          <w:bCs w:val="0"/>
          <w:color w:val="000000"/>
          <w:sz w:val="24"/>
          <w:szCs w:val="24"/>
          <w:lang w:eastAsia="zh-CN"/>
        </w:rPr>
        <w:t xml:space="preserve">，针对本项目提供</w:t>
      </w:r>
      <w:r>
        <w:rPr>
          <w:rFonts w:hint="eastAsia" w:ascii="宋体" w:hAnsi="宋体" w:eastAsia="宋体" w:cs="宋体"/>
          <w:b w:val="0"/>
          <w:bCs w:val="0"/>
          <w:sz w:val="24"/>
          <w:szCs w:val="24"/>
        </w:rPr>
        <w:t xml:space="preserve">优化措施和合理化建议</w:t>
      </w:r>
      <w:r>
        <w:rPr>
          <w:rFonts w:hint="eastAsia" w:ascii="宋体" w:hAnsi="宋体" w:eastAsia="宋体" w:cs="宋体"/>
          <w:b w:val="0"/>
          <w:bCs w:val="0"/>
          <w:sz w:val="24"/>
          <w:szCs w:val="24"/>
          <w:highlight w:val="none"/>
        </w:rPr>
        <w:t xml:space="preserve">，内容至少包括：</w:t>
      </w:r>
      <w:r/>
    </w:p>
    <w:p>
      <w:pPr>
        <w:ind w:firstLine="482"/>
        <w:jc w:val="both"/>
        <w:keepLines w:val="0"/>
        <w:keepNext w:val="0"/>
        <w:pageBreakBefore w:val="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①可缩短报批周期</w:t>
      </w:r>
      <w:r/>
    </w:p>
    <w:p>
      <w:pPr>
        <w:ind w:firstLine="482"/>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②减少釆购人工作量</w:t>
      </w:r>
      <w:r/>
    </w:p>
    <w:p>
      <w:pPr>
        <w:ind w:firstLine="482"/>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③提高报批服务质量</w:t>
      </w:r>
      <w:r/>
    </w:p>
    <w:p>
      <w:pPr>
        <w:ind w:firstLine="480"/>
        <w:jc w:val="both"/>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九、综合说明及其他要求：</w:t>
      </w:r>
      <w:r/>
    </w:p>
    <w:p>
      <w:pPr>
        <w:ind w:firstLine="480"/>
        <w:jc w:val="both"/>
        <w:keepLines w:val="0"/>
        <w:keepNext w:val="0"/>
        <w:pageBreakBefore w:val="0"/>
        <w:spacing w:line="360" w:lineRule="auto"/>
        <w:rPr>
          <w:rFonts w:hint="eastAsia" w:ascii="宋体" w:hAnsi="宋体" w:eastAsia="宋体" w:cs="宋体"/>
          <w:sz w:val="24"/>
          <w:szCs w:val="24"/>
          <w:highlight w:val="none"/>
          <w:lang w:val="zh-CN"/>
        </w:rPr>
        <w:outlineLvl w:val="1"/>
      </w:pPr>
      <w:r>
        <w:rPr>
          <w:rFonts w:hint="eastAsia" w:ascii="宋体" w:hAnsi="宋体" w:eastAsia="宋体" w:cs="宋体"/>
          <w:sz w:val="24"/>
          <w:szCs w:val="24"/>
          <w:highlight w:val="none"/>
          <w:lang w:val="zh-CN"/>
        </w:rPr>
        <w:t xml:space="preserve">1、报价要求：人民币报价。</w:t>
      </w:r>
      <w:r/>
    </w:p>
    <w:p>
      <w:pPr>
        <w:ind w:firstLine="480"/>
        <w:jc w:val="both"/>
        <w:keepLines w:val="0"/>
        <w:keepNext w:val="0"/>
        <w:pageBreakBefore w:val="0"/>
        <w:spacing w:line="360" w:lineRule="auto"/>
        <w:rPr>
          <w:rFonts w:hint="eastAsia" w:ascii="宋体" w:hAnsi="宋体" w:eastAsia="宋体" w:cs="宋体"/>
          <w:sz w:val="24"/>
          <w:szCs w:val="24"/>
          <w:highlight w:val="none"/>
          <w:lang w:val="zh-CN"/>
        </w:rPr>
        <w:outlineLvl w:val="1"/>
      </w:pPr>
      <w:r>
        <w:rPr>
          <w:rFonts w:hint="eastAsia" w:ascii="宋体" w:hAnsi="宋体" w:eastAsia="宋体" w:cs="宋体"/>
          <w:sz w:val="24"/>
          <w:szCs w:val="24"/>
          <w:highlight w:val="none"/>
          <w:lang w:val="zh-CN"/>
        </w:rPr>
        <w:t xml:space="preserve">2、报价内容：投标人应对所投标段的全部内容进行报价，只投其中部分内容者，其标书将被拒绝。</w:t>
      </w:r>
      <w:r/>
    </w:p>
    <w:p>
      <w:pPr>
        <w:ind w:firstLine="480"/>
        <w:jc w:val="both"/>
        <w:keepLines w:val="0"/>
        <w:keepNext w:val="0"/>
        <w:pageBreakBefore w:val="0"/>
        <w:spacing w:line="360" w:lineRule="auto"/>
        <w:rPr>
          <w:rFonts w:hint="eastAsia" w:ascii="宋体" w:hAnsi="宋体" w:eastAsia="宋体" w:cs="宋体"/>
          <w:sz w:val="24"/>
          <w:szCs w:val="24"/>
          <w:highlight w:val="none"/>
          <w:lang w:val="zh-CN"/>
        </w:rPr>
        <w:outlineLvl w:val="1"/>
      </w:pPr>
      <w:r>
        <w:rPr>
          <w:rFonts w:hint="eastAsia" w:ascii="宋体" w:hAnsi="宋体" w:eastAsia="宋体" w:cs="宋体"/>
          <w:sz w:val="24"/>
          <w:szCs w:val="24"/>
          <w:highlight w:val="none"/>
          <w:lang w:val="zh-CN"/>
        </w:rPr>
        <w:t xml:space="preserve">3、</w:t>
      </w:r>
      <w:r>
        <w:rPr>
          <w:rFonts w:hint="eastAsia" w:ascii="宋体" w:hAnsi="宋体" w:eastAsia="宋体" w:cs="宋体"/>
          <w:sz w:val="24"/>
          <w:szCs w:val="24"/>
          <w:highlight w:val="none"/>
        </w:rPr>
        <w:t xml:space="preserve">投标单位</w:t>
      </w:r>
      <w:r>
        <w:rPr>
          <w:rFonts w:hint="eastAsia" w:ascii="宋体" w:hAnsi="宋体" w:eastAsia="宋体" w:cs="宋体"/>
          <w:sz w:val="24"/>
          <w:szCs w:val="24"/>
          <w:highlight w:val="none"/>
          <w:lang w:val="zh-TW"/>
        </w:rPr>
        <w:t xml:space="preserve">应对所投项目的全部内容进行报价，只投其中部分内容或者出现选择性报价的，其</w:t>
      </w:r>
      <w:r>
        <w:rPr>
          <w:rFonts w:hint="eastAsia" w:ascii="宋体" w:hAnsi="宋体" w:eastAsia="宋体" w:cs="宋体"/>
          <w:sz w:val="24"/>
          <w:szCs w:val="24"/>
          <w:highlight w:val="none"/>
        </w:rPr>
        <w:t xml:space="preserve">投标</w:t>
      </w:r>
      <w:r>
        <w:rPr>
          <w:rFonts w:hint="eastAsia" w:ascii="宋体" w:hAnsi="宋体" w:eastAsia="宋体" w:cs="宋体"/>
          <w:sz w:val="24"/>
          <w:szCs w:val="24"/>
          <w:highlight w:val="none"/>
          <w:lang w:val="zh-TW"/>
        </w:rPr>
        <w:t xml:space="preserve">文件将被拒绝。</w:t>
      </w:r>
      <w:r>
        <w:rPr>
          <w:rFonts w:hint="eastAsia" w:ascii="宋体" w:hAnsi="宋体" w:eastAsia="宋体" w:cs="宋体"/>
          <w:sz w:val="24"/>
          <w:szCs w:val="24"/>
          <w:highlight w:val="none"/>
        </w:rPr>
        <w:t xml:space="preserve">投标</w:t>
      </w:r>
      <w:r>
        <w:rPr>
          <w:rFonts w:hint="eastAsia" w:ascii="宋体" w:hAnsi="宋体" w:eastAsia="宋体" w:cs="宋体"/>
          <w:sz w:val="24"/>
          <w:szCs w:val="24"/>
          <w:highlight w:val="none"/>
          <w:lang w:val="zh-TW"/>
        </w:rPr>
        <w:t xml:space="preserve">总报价包括但不限于</w:t>
      </w:r>
      <w:r>
        <w:rPr>
          <w:rFonts w:hint="eastAsia" w:ascii="宋体" w:hAnsi="宋体" w:eastAsia="宋体" w:cs="宋体"/>
          <w:sz w:val="24"/>
          <w:szCs w:val="24"/>
          <w:highlight w:val="none"/>
        </w:rPr>
        <w:t xml:space="preserve">完成</w:t>
      </w:r>
      <w:r>
        <w:rPr>
          <w:rFonts w:hint="eastAsia" w:ascii="宋体" w:hAnsi="宋体" w:eastAsia="宋体" w:cs="宋体"/>
          <w:sz w:val="24"/>
          <w:szCs w:val="24"/>
          <w:highlight w:val="none"/>
          <w:lang w:val="zh-TW"/>
        </w:rPr>
        <w:t xml:space="preserve">全部服务所需的人工费、通讯费、交通费、资料费、调查费、报告及编制费（含印刷费）、专家论证费、咨询费、后续服务费、利润、税金、政策性文件规定及合同包含的所有风险、责任等完成本项目的各项应有费用</w:t>
      </w:r>
      <w:r>
        <w:rPr>
          <w:rFonts w:hint="eastAsia" w:ascii="宋体" w:hAnsi="宋体" w:eastAsia="宋体" w:cs="宋体"/>
          <w:sz w:val="24"/>
          <w:szCs w:val="24"/>
          <w:highlight w:val="none"/>
          <w:lang w:val="zh-CN"/>
        </w:rPr>
        <w:t xml:space="preserve">。</w:t>
      </w:r>
      <w:r/>
    </w:p>
    <w:p>
      <w:pPr>
        <w:ind w:firstLine="480"/>
        <w:jc w:val="both"/>
        <w:keepLines w:val="0"/>
        <w:keepNext w:val="0"/>
        <w:pageBreakBefore w:val="0"/>
        <w:spacing w:line="360" w:lineRule="auto"/>
        <w:rPr>
          <w:rFonts w:hint="eastAsia" w:ascii="宋体" w:hAnsi="宋体" w:eastAsia="宋体" w:cs="宋体"/>
          <w:sz w:val="24"/>
          <w:szCs w:val="24"/>
          <w:highlight w:val="none"/>
          <w:lang w:val="zh-CN"/>
        </w:rPr>
        <w:outlineLvl w:val="1"/>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rPr>
        <w:t xml:space="preserve">、中标人在合同履行过程中应对本项目的安全生产负全责，项目实施过程中发生的任何安全生产事故均由中标人负责，采购人不承担任何法律和经济上的责任。</w:t>
      </w:r>
      <w:r/>
    </w:p>
    <w:p>
      <w:pPr>
        <w:ind w:firstLine="480"/>
        <w:jc w:val="both"/>
        <w:keepLines w:val="0"/>
        <w:keepNext w:val="0"/>
        <w:pageBreakBefore w:val="0"/>
        <w:spacing w:line="360" w:lineRule="auto"/>
        <w:rPr>
          <w:rFonts w:hint="eastAsia" w:ascii="宋体" w:hAnsi="宋体" w:eastAsia="宋体" w:cs="宋体"/>
          <w:sz w:val="24"/>
          <w:szCs w:val="24"/>
          <w:highlight w:val="none"/>
          <w:lang w:val="zh-CN"/>
        </w:rPr>
        <w:outlineLvl w:val="1"/>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zh-CN"/>
        </w:rPr>
        <w:t xml:space="preserve">、因中标人原因，给采购人及第三人造成的一切后果及损失，由中标人承担，后果严重的采购方有权解除合同。</w:t>
      </w:r>
      <w:r/>
    </w:p>
    <w:p>
      <w:pPr>
        <w:ind w:firstLine="480"/>
        <w:jc w:val="both"/>
        <w:keepLines w:val="0"/>
        <w:keepNext w:val="0"/>
        <w:pageBreakBefore w:val="0"/>
        <w:spacing w:line="360" w:lineRule="auto"/>
        <w:rPr>
          <w:rFonts w:hint="eastAsia" w:ascii="宋体" w:hAnsi="宋体" w:eastAsia="宋体" w:cs="宋体"/>
          <w:sz w:val="24"/>
          <w:szCs w:val="24"/>
          <w:highlight w:val="none"/>
          <w:lang w:val="zh-CN"/>
        </w:rPr>
        <w:outlineLvl w:val="1"/>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zh-CN"/>
        </w:rPr>
        <w:t xml:space="preserve">、中标人在合同履行期间应严格遵守国家相关法律法规和项目所在地的相关规定，所有产生的一切纠纷由中标人承担，采购人不承担任何责任。</w:t>
      </w:r>
      <w:r/>
    </w:p>
    <w:p>
      <w:pPr>
        <w:ind w:firstLine="480"/>
        <w:jc w:val="both"/>
        <w:keepLines w:val="0"/>
        <w:keepNext w:val="0"/>
        <w:pageBreakBefore w:val="0"/>
        <w:spacing w:line="360" w:lineRule="auto"/>
        <w:rPr>
          <w:rFonts w:hint="eastAsia" w:ascii="宋体" w:hAnsi="宋体" w:eastAsia="宋体" w:cs="宋体"/>
          <w:sz w:val="24"/>
          <w:szCs w:val="24"/>
          <w:highlight w:val="none"/>
          <w:lang w:val="zh-TW"/>
        </w:rPr>
        <w:outlineLvl w:val="1"/>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val="zh-TW"/>
        </w:rPr>
        <w:t xml:space="preserve">、中标人在合同履行期间应严格遵守采购人的廉政、保密等相关制度，如有违反，采购人有权无条件终止合同，情节严重的，移交纪委、司法部门处理。</w:t>
      </w:r>
      <w:r/>
    </w:p>
    <w:p>
      <w:pPr>
        <w:ind w:firstLine="480"/>
        <w:jc w:val="both"/>
        <w:keepLines w:val="0"/>
        <w:keepNext w:val="0"/>
        <w:pageBreakBefore w:val="0"/>
        <w:spacing w:line="360" w:lineRule="auto"/>
        <w:rPr>
          <w:rFonts w:hint="eastAsia" w:ascii="宋体" w:hAnsi="宋体" w:eastAsia="宋体" w:cs="宋体"/>
          <w:sz w:val="24"/>
          <w:szCs w:val="24"/>
          <w:highlight w:val="none"/>
          <w:lang w:val="zh-TW"/>
        </w:rPr>
        <w:outlineLvl w:val="1"/>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val="zh-TW"/>
        </w:rPr>
        <w:t xml:space="preserve">、中标人须按招标文件的要求和投标承诺完成全部工作。</w:t>
      </w:r>
      <w:r/>
    </w:p>
    <w:p>
      <w:pPr>
        <w:ind w:firstLine="480"/>
        <w:jc w:val="both"/>
        <w:keepLines w:val="0"/>
        <w:keepNext w:val="0"/>
        <w:pageBreakBefore w:val="0"/>
        <w:spacing w:line="360" w:lineRule="auto"/>
        <w:rPr>
          <w:rFonts w:hint="eastAsia" w:ascii="宋体" w:hAnsi="宋体" w:eastAsia="宋体" w:cs="宋体"/>
          <w:sz w:val="24"/>
          <w:szCs w:val="24"/>
          <w:highlight w:val="none"/>
          <w:lang w:val="zh-TW"/>
        </w:rPr>
        <w:outlineLvl w:val="1"/>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lang w:val="zh-TW"/>
        </w:rPr>
        <w:t xml:space="preserve">、中标人对服务缺陷不予更正，采购人有权另请其他单位更正，所发生的费用在</w:t>
      </w:r>
      <w:r>
        <w:rPr>
          <w:rFonts w:hint="eastAsia" w:ascii="宋体" w:hAnsi="宋体" w:eastAsia="宋体" w:cs="宋体"/>
          <w:sz w:val="24"/>
          <w:szCs w:val="24"/>
          <w:highlight w:val="none"/>
        </w:rPr>
        <w:t xml:space="preserve">服务费</w:t>
      </w:r>
      <w:r>
        <w:rPr>
          <w:rFonts w:hint="eastAsia" w:ascii="宋体" w:hAnsi="宋体" w:eastAsia="宋体" w:cs="宋体"/>
          <w:sz w:val="24"/>
          <w:szCs w:val="24"/>
          <w:highlight w:val="none"/>
          <w:lang w:val="zh-TW"/>
        </w:rPr>
        <w:t xml:space="preserve">中扣除。</w:t>
      </w:r>
      <w:r/>
    </w:p>
    <w:p>
      <w:pPr>
        <w:ind w:firstLine="480"/>
        <w:jc w:val="both"/>
        <w:keepLines w:val="0"/>
        <w:keepNext w:val="0"/>
        <w:pageBreakBefore w:val="0"/>
        <w:spacing w:line="360" w:lineRule="auto"/>
        <w:rPr>
          <w:rFonts w:hint="eastAsia" w:ascii="宋体" w:hAnsi="宋体" w:eastAsia="宋体" w:cs="宋体"/>
          <w:sz w:val="24"/>
          <w:szCs w:val="24"/>
          <w:highlight w:val="none"/>
          <w:lang w:val="zh-CN"/>
        </w:rPr>
        <w:outlineLvl w:val="1"/>
      </w:pPr>
      <w:r>
        <w:rPr>
          <w:rFonts w:hint="eastAsia" w:ascii="宋体" w:hAnsi="宋体" w:eastAsia="宋体" w:cs="宋体"/>
          <w:sz w:val="24"/>
          <w:szCs w:val="24"/>
          <w:highlight w:val="none"/>
          <w:lang w:val="en-US" w:eastAsia="zh-CN"/>
        </w:rPr>
        <w:t xml:space="preserve">1</w:t>
      </w:r>
      <w:r>
        <w:rPr>
          <w:rFonts w:hint="eastAsia" w:hAnsi="宋体" w:cs="宋体"/>
          <w:sz w:val="24"/>
          <w:szCs w:val="24"/>
          <w:highlight w:val="none"/>
          <w:lang w:val="en-US" w:eastAsia="zh-CN"/>
        </w:rPr>
        <w:t xml:space="preserve">0</w:t>
      </w:r>
      <w:r>
        <w:rPr>
          <w:rFonts w:hint="eastAsia" w:ascii="宋体" w:hAnsi="宋体" w:eastAsia="宋体" w:cs="宋体"/>
          <w:sz w:val="24"/>
          <w:szCs w:val="24"/>
          <w:highlight w:val="none"/>
          <w:lang w:val="zh-CN"/>
        </w:rPr>
        <w:t xml:space="preserve">、本项目采购人不组织统一现场勘察，请各投标人认真阅读招标文件，自行踏勘现场，充分了解本次招标情况，承担投标风险。任何因投标人对招标文件理解、现场踏勘原因导致的投标失误，均由投标人承担，采购人不承担任何责任。</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sz w:val="24"/>
          <w:szCs w:val="24"/>
          <w:highlight w:val="none"/>
          <w:lang w:val="en-US" w:eastAsia="zh-CN"/>
        </w:rPr>
        <w:t xml:space="preserve">1</w:t>
      </w:r>
      <w:r>
        <w:rPr>
          <w:rFonts w:hint="eastAsia" w:hAnsi="宋体" w:cs="宋体"/>
          <w:sz w:val="24"/>
          <w:szCs w:val="24"/>
          <w:highlight w:val="none"/>
          <w:lang w:val="en-US" w:eastAsia="zh-CN"/>
        </w:rPr>
        <w:t xml:space="preserve">1</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zh-TW"/>
        </w:rPr>
        <w:t xml:space="preserve">凡涉及招标文件的补充说明和修改，均以江苏省政府采购网、苏州市政府采购网最后发布的内容为准。</w:t>
      </w:r>
      <w:r/>
    </w:p>
    <w:p>
      <w:pPr>
        <w:ind w:left="0" w:firstLine="420"/>
        <w:jc w:val="both"/>
        <w:keepLines w:val="0"/>
        <w:keepNext w:val="0"/>
        <w:pageBreakBefore w:val="0"/>
        <w:spacing w:line="360" w:lineRule="auto"/>
        <w:widowControl w:val="off"/>
        <w:rPr>
          <w:rFonts w:hint="eastAsia" w:ascii="宋体" w:hAnsi="宋体" w:eastAsia="宋体" w:cs="宋体"/>
          <w:b/>
          <w:bCs/>
          <w:sz w:val="24"/>
          <w:szCs w:val="24"/>
          <w:lang w:val="en-US" w:eastAsia="zh-CN"/>
        </w:rPr>
        <w:outlineLvl w:val="5"/>
      </w:pPr>
      <w:r>
        <w:rPr>
          <w:rFonts w:hint="eastAsia" w:ascii="宋体" w:hAnsi="宋体" w:eastAsia="宋体" w:cs="宋体"/>
          <w:b/>
          <w:bCs/>
          <w:sz w:val="24"/>
          <w:szCs w:val="24"/>
          <w:lang w:val="zh-CN" w:eastAsia="zh-CN"/>
        </w:rPr>
        <w:t xml:space="preserve">十、</w:t>
      </w:r>
      <w:r>
        <w:rPr>
          <w:rFonts w:hint="eastAsia" w:ascii="宋体" w:hAnsi="宋体" w:eastAsia="宋体" w:cs="宋体"/>
          <w:b/>
          <w:bCs/>
          <w:sz w:val="24"/>
          <w:szCs w:val="24"/>
          <w:lang w:val="en-US" w:eastAsia="zh-CN"/>
        </w:rPr>
        <w:t xml:space="preserve">政府采购政策：</w:t>
      </w:r>
      <w:r/>
    </w:p>
    <w:p>
      <w:pPr>
        <w:ind w:left="0"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5"/>
      </w:pPr>
      <w:r>
        <w:rPr>
          <w:rFonts w:hint="eastAsia" w:ascii="宋体" w:hAnsi="宋体" w:eastAsia="宋体" w:cs="宋体"/>
          <w:color w:val="000000"/>
          <w:sz w:val="24"/>
          <w:szCs w:val="24"/>
          <w:highlight w:val="none"/>
          <w:lang w:val="en-US" w:eastAsia="zh-CN" w:bidi="ar-SA"/>
        </w:rPr>
        <w:t xml:space="preserve">1、节能产品和环境标志产品</w:t>
      </w:r>
      <w:r/>
    </w:p>
    <w:p>
      <w:pPr>
        <w:ind w:left="0" w:firstLine="42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color w:val="000000"/>
          <w:sz w:val="24"/>
          <w:szCs w:val="24"/>
          <w:highlight w:val="none"/>
          <w:lang w:val="en-US" w:eastAsia="zh-CN" w:bidi="ar-SA"/>
        </w:rPr>
        <w:t xml:space="preserve">根据《关于调整优化节能产品、环境标志产品政府采购执行机制的通知》（财库〔2019〕9号）及《关于贯彻执行绿色采购、促进残疾人就业和支持监狱企业发展有关政策的通知》（苏财购〔2019〕10号）的文件规定，</w:t>
      </w:r>
      <w:r>
        <w:rPr>
          <w:rFonts w:hint="eastAsia" w:ascii="宋体" w:hAnsi="宋体" w:eastAsia="宋体" w:cs="宋体"/>
          <w:b/>
          <w:bCs/>
          <w:color w:val="000000"/>
          <w:sz w:val="24"/>
          <w:szCs w:val="24"/>
          <w:highlight w:val="none"/>
          <w:lang w:val="en-US" w:eastAsia="zh-CN" w:bidi="ar-SA"/>
        </w:rPr>
        <w:t xml:space="preserve">采购产品如属于国家节能环保品目清单的强制采购产品的，投标人应当选择强制采购产品，并提供由国家确定的认证机构出具的、处于有效期之内的节能产品或环境标志产品认证证书，否则视为未实质响应。</w:t>
      </w:r>
      <w:r/>
    </w:p>
    <w:p>
      <w:pPr>
        <w:ind w:left="0"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5"/>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b/>
          <w:bCs/>
          <w:color w:val="000000"/>
          <w:sz w:val="24"/>
          <w:szCs w:val="24"/>
          <w:highlight w:val="none"/>
          <w:lang w:val="en-US" w:eastAsia="zh-CN" w:bidi="ar-SA"/>
        </w:rPr>
        <w:t xml:space="preserve">小微企业的价格分评审</w:t>
      </w:r>
      <w:r/>
    </w:p>
    <w:p>
      <w:pPr>
        <w:ind w:left="0" w:firstLine="42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t xml:space="preserve">2.1 根据《政府采购促进中小企业发展管理办法（财库〔2020〕46号）及《关于贯彻执行绿色采购、促进残疾人就业和支持监狱企业发展有关政策的通知》（苏财购〔2019〕10号）的规定：</w:t>
      </w:r>
      <w:r/>
    </w:p>
    <w:p>
      <w:pPr>
        <w:ind w:left="0"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5"/>
      </w:pPr>
      <w:r>
        <w:rPr>
          <w:rFonts w:hint="eastAsia" w:ascii="宋体" w:hAnsi="宋体" w:eastAsia="宋体" w:cs="宋体"/>
          <w:color w:val="000000"/>
          <w:sz w:val="24"/>
          <w:szCs w:val="24"/>
          <w:highlight w:val="none"/>
          <w:lang w:val="en-US" w:eastAsia="zh-CN" w:bidi="ar-SA"/>
        </w:rPr>
        <w:t xml:space="preserve">（1）在货物采购项目中，货物由小型或微型企业制造，即货物由小型或微型企业生产且使用该小型或微型企业商号或者注册商标的，其报价在评审时给予20%的扣除，用扣除后的价格参与价格评审；</w:t>
      </w:r>
      <w:r/>
    </w:p>
    <w:p>
      <w:pPr>
        <w:ind w:left="0"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5"/>
      </w:pPr>
      <w:r>
        <w:rPr>
          <w:rFonts w:hint="eastAsia" w:ascii="宋体" w:hAnsi="宋体" w:eastAsia="宋体" w:cs="宋体"/>
          <w:color w:val="000000"/>
          <w:sz w:val="24"/>
          <w:szCs w:val="24"/>
          <w:highlight w:val="none"/>
          <w:lang w:val="en-US" w:eastAsia="zh-CN" w:bidi="ar-SA"/>
        </w:rPr>
        <w:t xml:space="preserve">（2）在服务采购项目中，服务由小型或微型企业承接，即提供服务的人员为小型或微型企业依照《中华人民共和国民法典》订立劳动合同的从业人员，其报价在评审时给予20%的扣除，用扣除后的价格参与价格评审。</w:t>
      </w:r>
      <w:r/>
    </w:p>
    <w:p>
      <w:pPr>
        <w:ind w:left="0"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5"/>
      </w:pPr>
      <w:r>
        <w:rPr>
          <w:rFonts w:hint="eastAsia" w:ascii="宋体" w:hAnsi="宋体" w:eastAsia="宋体" w:cs="宋体"/>
          <w:color w:val="000000"/>
          <w:sz w:val="24"/>
          <w:szCs w:val="24"/>
          <w:highlight w:val="none"/>
          <w:lang w:val="en-US" w:eastAsia="zh-CN" w:bidi="ar-SA"/>
        </w:rPr>
        <w:t xml:space="preserve">（3）在货物采购项目中，供应商提供的货物既有小型或微型企业制造货物，也有中型或大型企业制造货物的，不享受本办法规定的小微企业价格扶持政策。</w:t>
      </w:r>
      <w:r/>
    </w:p>
    <w:p>
      <w:pPr>
        <w:ind w:left="0"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5"/>
      </w:pPr>
      <w:r>
        <w:rPr>
          <w:rFonts w:hint="eastAsia" w:ascii="宋体" w:hAnsi="宋体" w:eastAsia="宋体" w:cs="宋体"/>
          <w:color w:val="000000"/>
          <w:sz w:val="24"/>
          <w:szCs w:val="24"/>
          <w:highlight w:val="none"/>
          <w:lang w:val="en-US" w:eastAsia="zh-CN" w:bidi="ar-SA"/>
        </w:rPr>
        <w:t xml:space="preserve">（4）以联合体形式参加政府采购活动，联合体各方均为中小企业的，联合体视同中小企业。其中，联合体各方均为小微企业的，联合体视同小微企业。</w:t>
      </w:r>
      <w:r/>
    </w:p>
    <w:p>
      <w:pPr>
        <w:ind w:left="0"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5"/>
      </w:pPr>
      <w:r>
        <w:rPr>
          <w:rFonts w:hint="eastAsia" w:ascii="宋体" w:hAnsi="宋体" w:eastAsia="宋体" w:cs="宋体"/>
          <w:color w:val="000000"/>
          <w:sz w:val="24"/>
          <w:szCs w:val="24"/>
          <w:highlight w:val="none"/>
          <w:lang w:val="en-US" w:eastAsia="zh-CN" w:bidi="ar-SA"/>
        </w:rPr>
        <w:t xml:space="preserve">（5）符合中小企业划分标准的个体工商户，在政府采购活动中视同中小企业。</w:t>
      </w:r>
      <w:r/>
    </w:p>
    <w:p>
      <w:pPr>
        <w:ind w:left="0"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5"/>
      </w:pPr>
      <w:r>
        <w:rPr>
          <w:rFonts w:hint="eastAsia" w:ascii="宋体" w:hAnsi="宋体" w:eastAsia="宋体" w:cs="宋体"/>
          <w:color w:val="000000"/>
          <w:sz w:val="24"/>
          <w:szCs w:val="24"/>
          <w:highlight w:val="none"/>
          <w:lang w:val="en-US" w:eastAsia="zh-CN" w:bidi="ar-SA"/>
        </w:rPr>
        <w:t xml:space="preserve">（6）中小企业划分标准详见“工信部联企业〔2011〕300号通知”。</w:t>
      </w:r>
      <w:r/>
    </w:p>
    <w:p>
      <w:pPr>
        <w:ind w:left="0"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5"/>
      </w:pPr>
      <w:r>
        <w:rPr>
          <w:rFonts w:hint="eastAsia" w:ascii="宋体" w:hAnsi="宋体" w:eastAsia="宋体" w:cs="宋体"/>
          <w:color w:val="000000"/>
          <w:sz w:val="24"/>
          <w:szCs w:val="24"/>
          <w:highlight w:val="none"/>
          <w:lang w:val="en-US" w:eastAsia="zh-CN" w:bidi="ar-SA"/>
        </w:rPr>
        <w:t xml:space="preserve">（7）中标、中标供应商享受本办法规定的中小企业扶持政策的，《中小企业声明函》应当随中标、成交结果同时公告，接受社会监督。</w:t>
      </w:r>
      <w:r/>
    </w:p>
    <w:p>
      <w:pPr>
        <w:ind w:left="0"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5"/>
      </w:pPr>
      <w:r>
        <w:rPr>
          <w:rFonts w:hint="eastAsia" w:ascii="宋体" w:hAnsi="宋体" w:eastAsia="宋体" w:cs="宋体"/>
          <w:color w:val="000000"/>
          <w:sz w:val="24"/>
          <w:szCs w:val="24"/>
          <w:highlight w:val="none"/>
          <w:lang w:val="en-US" w:eastAsia="zh-CN" w:bidi="ar-SA"/>
        </w:rPr>
        <w:t xml:space="preserve">（8）以上规定未尽事项，按《政府采购促进中小企业发展管理办法》（财库﹝2020﹞46号）等有关制度规定执行。</w:t>
      </w:r>
      <w:r/>
    </w:p>
    <w:p>
      <w:pPr>
        <w:ind w:left="0"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5"/>
      </w:pPr>
      <w:r>
        <w:rPr>
          <w:rFonts w:hint="eastAsia" w:ascii="宋体" w:hAnsi="宋体" w:eastAsia="宋体" w:cs="宋体"/>
          <w:color w:val="000000"/>
          <w:sz w:val="24"/>
          <w:szCs w:val="24"/>
          <w:highlight w:val="none"/>
          <w:lang w:val="en-US" w:eastAsia="zh-CN" w:bidi="ar-SA"/>
        </w:rPr>
        <w:t xml:space="preserve">2.2 残疾人福利性单位政策</w:t>
      </w:r>
      <w:r/>
    </w:p>
    <w:p>
      <w:pPr>
        <w:ind w:left="0"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5"/>
      </w:pPr>
      <w:r>
        <w:rPr>
          <w:rFonts w:hint="eastAsia" w:ascii="宋体" w:hAnsi="宋体" w:eastAsia="宋体" w:cs="宋体"/>
          <w:color w:val="000000"/>
          <w:sz w:val="24"/>
          <w:szCs w:val="24"/>
          <w:highlight w:val="none"/>
          <w:lang w:val="en-US" w:eastAsia="zh-CN" w:bidi="ar-SA"/>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p>
    <w:p>
      <w:pPr>
        <w:ind w:left="0"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5"/>
      </w:pPr>
      <w:r>
        <w:rPr>
          <w:rFonts w:hint="eastAsia" w:ascii="宋体" w:hAnsi="宋体" w:eastAsia="宋体" w:cs="宋体"/>
          <w:color w:val="000000"/>
          <w:sz w:val="24"/>
          <w:szCs w:val="24"/>
          <w:highlight w:val="none"/>
          <w:lang w:val="en-US" w:eastAsia="zh-CN" w:bidi="ar-SA"/>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left="0"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5"/>
      </w:pPr>
      <w:r>
        <w:rPr>
          <w:rFonts w:hint="eastAsia" w:ascii="宋体" w:hAnsi="宋体" w:eastAsia="宋体" w:cs="宋体"/>
          <w:color w:val="000000"/>
          <w:sz w:val="24"/>
          <w:szCs w:val="24"/>
          <w:highlight w:val="none"/>
          <w:lang w:val="en-US" w:eastAsia="zh-CN" w:bidi="ar-SA"/>
        </w:rPr>
        <w:t xml:space="preserve">（3）中标、中标供应商为残疾人福利性单位的，《残疾人福利性单位声明函》应当随中标、成交结果同时公告，接受社会监督。</w:t>
      </w:r>
      <w:r/>
    </w:p>
    <w:p>
      <w:pPr>
        <w:ind w:left="0"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5"/>
      </w:pPr>
      <w:r>
        <w:rPr>
          <w:rFonts w:hint="eastAsia" w:ascii="宋体" w:hAnsi="宋体" w:eastAsia="宋体" w:cs="宋体"/>
          <w:color w:val="000000"/>
          <w:sz w:val="24"/>
          <w:szCs w:val="24"/>
          <w:highlight w:val="none"/>
          <w:lang w:val="en-US" w:eastAsia="zh-CN" w:bidi="ar-SA"/>
        </w:rPr>
        <w:t xml:space="preserve">2.3 监狱企业发展政策</w:t>
      </w:r>
      <w:r/>
    </w:p>
    <w:p>
      <w:pPr>
        <w:ind w:left="0"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5"/>
      </w:pPr>
      <w:r>
        <w:rPr>
          <w:rFonts w:hint="eastAsia" w:ascii="宋体" w:hAnsi="宋体" w:eastAsia="宋体" w:cs="宋体"/>
          <w:color w:val="000000"/>
          <w:sz w:val="24"/>
          <w:szCs w:val="24"/>
          <w:highlight w:val="none"/>
          <w:lang w:val="en-US" w:eastAsia="zh-CN" w:bidi="ar-SA"/>
        </w:rPr>
        <w:t xml:space="preserve">（1）根据《关于政府采购支持监狱企业发展有关问题的通知》（财库〔2014〕68号）规定，投标供应商若为监狱企业的，视同小微型企业，享受评审中价格扣除等政府采购促进中小企业发展的政府采购政策。</w:t>
      </w:r>
      <w:r/>
    </w:p>
    <w:p>
      <w:pPr>
        <w:ind w:left="0"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5"/>
      </w:pPr>
      <w:r>
        <w:rPr>
          <w:rFonts w:hint="eastAsia" w:ascii="宋体" w:hAnsi="宋体" w:eastAsia="宋体" w:cs="宋体"/>
          <w:color w:val="000000"/>
          <w:sz w:val="24"/>
          <w:szCs w:val="24"/>
          <w:highlight w:val="none"/>
          <w:lang w:val="en-US" w:eastAsia="zh-CN" w:bidi="ar-SA"/>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left="0" w:firstLine="42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2.4 专门面向中小企业采购的项目，不再执行价格评审优惠的扶持政策。</w:t>
      </w:r>
      <w:r/>
    </w:p>
    <w:p>
      <w:pPr>
        <w:ind w:left="0" w:firstLine="42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本项目专门面向中小企业采购，所属行业为其他未列明行业，投标时须提供《中小企业声明函》，未提供视为无效投标。若为残疾人福利性单位，在政府采购活动中，视同小微企业，并提供相关证明材料；若为监狱企业，在政府采购活动中，视同小型企业，并提供相关证明材料。</w:t>
      </w:r>
      <w:r/>
    </w:p>
    <w:p>
      <w:pPr>
        <w:ind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lang w:val="zh-CN" w:eastAsia="zh-CN" w:bidi="ar-SA"/>
        </w:rPr>
      </w:pPr>
      <w:r>
        <w:rPr>
          <w:rFonts w:hint="eastAsia" w:ascii="宋体" w:hAnsi="宋体" w:eastAsia="宋体" w:cs="宋体"/>
          <w:bCs/>
          <w:color w:val="000000"/>
          <w:sz w:val="24"/>
          <w:szCs w:val="24"/>
          <w:highlight w:val="none"/>
          <w:lang w:val="en-US" w:eastAsia="zh-CN" w:bidi="ar-SA"/>
        </w:rPr>
        <w:t xml:space="preserve">3、</w:t>
      </w:r>
      <w:r>
        <w:rPr>
          <w:rFonts w:hint="eastAsia" w:ascii="宋体" w:hAnsi="宋体" w:eastAsia="宋体" w:cs="宋体"/>
          <w:bCs/>
          <w:color w:val="000000"/>
          <w:sz w:val="24"/>
          <w:szCs w:val="24"/>
          <w:highlight w:val="none"/>
          <w:lang w:val="zh-CN" w:eastAsia="zh-CN" w:bidi="ar-SA"/>
        </w:rPr>
        <w:t xml:space="preserve">信用记录</w:t>
      </w:r>
      <w:r/>
    </w:p>
    <w:p>
      <w:pPr>
        <w:ind w:firstLine="505"/>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的规定</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采购人将对供应商进行信用查询。对列入失信被执行人、重大税收违法案件当事人名单、政府采购严重违法失信行为记录名单的供应商，拒绝其参与政府采购活动。</w:t>
      </w:r>
      <w:r/>
    </w:p>
    <w:p>
      <w:pPr>
        <w:ind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lang w:val="zh-CN" w:eastAsia="zh-CN" w:bidi="ar-SA"/>
        </w:rPr>
      </w:pPr>
      <w:r>
        <w:rPr>
          <w:rFonts w:hint="eastAsia" w:ascii="宋体" w:hAnsi="宋体" w:eastAsia="宋体" w:cs="宋体"/>
          <w:bCs/>
          <w:color w:val="000000"/>
          <w:sz w:val="24"/>
          <w:szCs w:val="24"/>
          <w:highlight w:val="none"/>
          <w:lang w:val="zh-CN" w:eastAsia="zh-CN" w:bidi="ar-SA"/>
        </w:rPr>
        <w:t xml:space="preserve">（1）查询截止时点：投标文件递交截止时间。</w:t>
      </w:r>
      <w:r/>
    </w:p>
    <w:p>
      <w:pPr>
        <w:ind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lang w:val="zh-CN" w:eastAsia="zh-CN" w:bidi="ar-SA"/>
        </w:rPr>
      </w:pPr>
      <w:r>
        <w:rPr>
          <w:rFonts w:hint="eastAsia" w:ascii="宋体" w:hAnsi="宋体" w:eastAsia="宋体" w:cs="宋体"/>
          <w:bCs/>
          <w:color w:val="000000"/>
          <w:sz w:val="24"/>
          <w:szCs w:val="24"/>
          <w:highlight w:val="none"/>
          <w:lang w:val="zh-CN" w:eastAsia="zh-CN" w:bidi="ar-SA"/>
        </w:rPr>
        <w:t xml:space="preserve">（2）查询渠道：</w:t>
      </w:r>
      <w:r>
        <w:rPr>
          <w:rFonts w:hint="eastAsia" w:ascii="宋体" w:hAnsi="宋体" w:eastAsia="宋体" w:cs="宋体"/>
          <w:color w:val="000000"/>
          <w:sz w:val="24"/>
          <w:szCs w:val="24"/>
          <w:highlight w:val="none"/>
          <w:lang w:val="zh-CN" w:eastAsia="zh-CN" w:bidi="ar-SA"/>
        </w:rPr>
        <w:t xml:space="preserve">通过“信用中国”网站、中国政府采购网等渠道查询相关主体信用记录。</w:t>
      </w:r>
      <w:r/>
    </w:p>
    <w:p>
      <w:pPr>
        <w:ind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lang w:val="zh-CN" w:eastAsia="zh-CN" w:bidi="ar-SA"/>
        </w:rPr>
      </w:pPr>
      <w:r>
        <w:rPr>
          <w:rFonts w:hint="eastAsia" w:ascii="宋体" w:hAnsi="宋体" w:eastAsia="宋体" w:cs="宋体"/>
          <w:bCs/>
          <w:color w:val="000000"/>
          <w:sz w:val="24"/>
          <w:szCs w:val="24"/>
          <w:highlight w:val="none"/>
          <w:lang w:val="zh-CN" w:eastAsia="zh-CN" w:bidi="ar-SA"/>
        </w:rPr>
        <w:t xml:space="preserve">（3）查询证据留存方式：</w:t>
      </w:r>
      <w:r/>
    </w:p>
    <w:p>
      <w:pPr>
        <w:ind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lang w:val="zh-CN" w:eastAsia="zh-CN" w:bidi="ar-SA"/>
        </w:rPr>
      </w:pPr>
      <w:r>
        <w:rPr>
          <w:rFonts w:hint="eastAsia" w:ascii="宋体" w:hAnsi="宋体" w:eastAsia="宋体" w:cs="宋体"/>
          <w:bCs/>
          <w:color w:val="000000"/>
          <w:sz w:val="24"/>
          <w:szCs w:val="24"/>
          <w:highlight w:val="none"/>
          <w:lang w:val="zh-CN" w:eastAsia="zh-CN" w:bidi="ar-SA"/>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lang w:val="zh-CN" w:eastAsia="zh-CN" w:bidi="ar-SA"/>
        </w:rPr>
      </w:pPr>
      <w:r>
        <w:rPr>
          <w:rFonts w:hint="eastAsia" w:ascii="宋体" w:hAnsi="宋体" w:eastAsia="宋体" w:cs="宋体"/>
          <w:bCs/>
          <w:color w:val="000000"/>
          <w:sz w:val="24"/>
          <w:szCs w:val="24"/>
          <w:highlight w:val="none"/>
          <w:lang w:val="zh-CN" w:eastAsia="zh-CN" w:bidi="ar-SA"/>
        </w:rPr>
        <w:t xml:space="preserve">（4）信用记录使用规则：</w:t>
      </w:r>
      <w:r/>
    </w:p>
    <w:p>
      <w:pPr>
        <w:ind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lang w:val="zh-CN" w:eastAsia="zh-CN" w:bidi="ar-SA"/>
        </w:rPr>
      </w:pPr>
      <w:r>
        <w:rPr>
          <w:rFonts w:hint="eastAsia" w:ascii="宋体" w:hAnsi="宋体" w:eastAsia="宋体" w:cs="宋体"/>
          <w:bCs/>
          <w:color w:val="000000"/>
          <w:sz w:val="24"/>
          <w:szCs w:val="24"/>
          <w:highlight w:val="none"/>
          <w:lang w:val="zh-CN" w:eastAsia="zh-CN" w:bidi="ar-SA"/>
        </w:rPr>
        <w:t xml:space="preserve">评审小组在对供应商进行资格性审查时，应根据查询结果对供应商的不良信用记录逐项甄别确认。</w:t>
      </w:r>
      <w:r/>
    </w:p>
    <w:p>
      <w:pPr>
        <w:ind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若投标</w:t>
      </w:r>
      <w:r>
        <w:rPr>
          <w:rFonts w:hint="eastAsia" w:ascii="宋体" w:hAnsi="宋体" w:eastAsia="宋体" w:cs="宋体"/>
          <w:b/>
          <w:bCs/>
          <w:color w:val="000000"/>
          <w:sz w:val="24"/>
          <w:szCs w:val="24"/>
          <w:highlight w:val="none"/>
          <w:lang w:val="en-US"/>
        </w:rPr>
        <w:t xml:space="preserve">人</w:t>
      </w:r>
      <w:r>
        <w:rPr>
          <w:rFonts w:hint="eastAsia" w:ascii="宋体" w:hAnsi="宋体" w:eastAsia="宋体" w:cs="宋体"/>
          <w:b/>
          <w:bCs/>
          <w:color w:val="000000"/>
          <w:sz w:val="24"/>
          <w:szCs w:val="24"/>
          <w:highlight w:val="none"/>
        </w:rPr>
        <w:t xml:space="preserve">提供的声明函或认定证明为虚假声明则视同提供虚假材料，按“政府采购法”相关规定处理并报请政府监管部门给予行政处罚。</w:t>
      </w:r>
      <w:r/>
    </w:p>
    <w:p>
      <w:pPr>
        <w:ind w:firstLine="480"/>
        <w:jc w:val="both"/>
        <w:keepLines w:val="0"/>
        <w:keepNext w:val="0"/>
        <w:pageBreakBefore w:val="0"/>
        <w:spacing w:line="360" w:lineRule="auto"/>
        <w:rPr>
          <w:rFonts w:hint="eastAsia" w:ascii="宋体" w:hAnsi="宋体" w:eastAsia="宋体" w:cs="宋体"/>
          <w:sz w:val="24"/>
          <w:szCs w:val="24"/>
          <w:highlight w:val="none"/>
          <w:lang w:val="zh-CN"/>
        </w:rPr>
        <w:outlineLvl w:val="1"/>
      </w:pPr>
      <w:r>
        <w:rPr>
          <w:rFonts w:hint="eastAsia" w:ascii="宋体" w:hAnsi="宋体" w:eastAsia="宋体" w:cs="宋体"/>
          <w:sz w:val="24"/>
          <w:szCs w:val="24"/>
          <w:highlight w:val="none"/>
          <w:lang w:val="zh-CN"/>
        </w:rPr>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bookmarkEnd w:id="11"/>
      <w:r/>
      <w:r/>
    </w:p>
    <w:p>
      <w:pPr>
        <w:jc w:val="center"/>
        <w:rPr>
          <w:rFonts w:hAnsi="宋体"/>
          <w:b/>
          <w:bCs/>
          <w:color w:val="auto"/>
          <w:sz w:val="32"/>
          <w:szCs w:val="32"/>
          <w:highlight w:val="none"/>
        </w:rPr>
        <w:outlineLvl w:val="0"/>
      </w:pPr>
      <w:r/>
      <w:bookmarkStart w:id="20" w:name="_Toc159507038"/>
      <w:r>
        <w:rPr>
          <w:rFonts w:hint="eastAsia" w:hAnsi="宋体"/>
          <w:b/>
          <w:bCs/>
          <w:color w:val="auto"/>
          <w:sz w:val="32"/>
          <w:szCs w:val="32"/>
          <w:highlight w:val="none"/>
        </w:rPr>
        <w:t xml:space="preserve">第四章 评分办法及评标标准</w:t>
      </w:r>
      <w:bookmarkEnd w:id="20"/>
      <w:r/>
      <w:r/>
    </w:p>
    <w:p>
      <w:pPr>
        <w:ind w:firstLine="482"/>
        <w:keepLines w:val="0"/>
        <w:keepNext w:val="0"/>
        <w:pageBreakBefore w:val="0"/>
        <w:spacing w:line="360" w:lineRule="auto"/>
        <w:widowControl w:val="off"/>
        <w:rPr>
          <w:rFonts w:hAnsi="宋体"/>
          <w:b/>
          <w:color w:val="auto"/>
          <w:sz w:val="24"/>
          <w:szCs w:val="24"/>
          <w:highlight w:val="none"/>
        </w:rPr>
      </w:pPr>
      <w:r>
        <w:rPr>
          <w:rFonts w:hint="eastAsia" w:hAnsi="宋体"/>
          <w:b/>
          <w:color w:val="auto"/>
          <w:sz w:val="24"/>
          <w:szCs w:val="24"/>
          <w:highlight w:val="none"/>
        </w:rPr>
        <w:t xml:space="preserve">一、评标方法</w:t>
      </w:r>
      <w:r/>
    </w:p>
    <w:p>
      <w:pPr>
        <w:ind w:firstLine="480"/>
        <w:keepLines w:val="0"/>
        <w:keepNext w:val="0"/>
        <w:pageBreakBefore w:val="0"/>
        <w:spacing w:line="360" w:lineRule="auto"/>
        <w:widowControl w:val="off"/>
        <w:rPr>
          <w:rFonts w:hAnsi="宋体"/>
          <w:bCs/>
          <w:color w:val="auto"/>
          <w:sz w:val="24"/>
          <w:szCs w:val="24"/>
          <w:highlight w:val="none"/>
        </w:rPr>
      </w:pPr>
      <w:r>
        <w:rPr>
          <w:rFonts w:hint="eastAsia" w:hAnsi="宋体"/>
          <w:bCs/>
          <w:color w:val="auto"/>
          <w:sz w:val="24"/>
          <w:szCs w:val="24"/>
          <w:highlight w:val="none"/>
        </w:rPr>
        <w:t xml:space="preserve">1、本次招标评标采用为综合评分法，即在满足招标文件实质性要求前提下，按照招标文件中规定的评分标准和各项因素进行综合评审，以评标总得分最高的投标人作为中标候选人。</w:t>
      </w:r>
      <w:r/>
    </w:p>
    <w:p>
      <w:pPr>
        <w:ind w:firstLine="482"/>
        <w:keepLines w:val="0"/>
        <w:keepNext w:val="0"/>
        <w:pageBreakBefore w:val="0"/>
        <w:spacing w:line="360" w:lineRule="auto"/>
        <w:widowControl w:val="off"/>
        <w:rPr>
          <w:rFonts w:hAnsi="宋体"/>
          <w:color w:val="auto"/>
          <w:sz w:val="24"/>
          <w:szCs w:val="24"/>
          <w:highlight w:val="none"/>
        </w:rPr>
      </w:pPr>
      <w:r>
        <w:rPr>
          <w:rFonts w:hint="eastAsia" w:hAnsi="宋体"/>
          <w:b/>
          <w:color w:val="auto"/>
          <w:sz w:val="24"/>
          <w:szCs w:val="24"/>
          <w:highlight w:val="none"/>
          <w:lang w:val="en-US" w:eastAsia="zh-CN"/>
        </w:rPr>
        <w:t xml:space="preserve">2</w:t>
      </w:r>
      <w:r>
        <w:rPr>
          <w:rFonts w:hAnsi="宋体"/>
          <w:b/>
          <w:color w:val="auto"/>
          <w:sz w:val="24"/>
          <w:szCs w:val="24"/>
          <w:highlight w:val="none"/>
        </w:rPr>
        <w:t xml:space="preserve">、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p>
    <w:p>
      <w:pPr>
        <w:ind w:firstLine="480"/>
        <w:keepLines w:val="0"/>
        <w:keepNext w:val="0"/>
        <w:pageBreakBefore w:val="0"/>
        <w:spacing w:line="360" w:lineRule="auto"/>
        <w:widowControl w:val="off"/>
        <w:rPr>
          <w:rFonts w:hAnsi="宋体"/>
          <w:bCs/>
          <w:color w:val="auto"/>
          <w:sz w:val="24"/>
          <w:szCs w:val="24"/>
          <w:highlight w:val="none"/>
        </w:rPr>
      </w:pPr>
      <w:r>
        <w:rPr>
          <w:rFonts w:hint="eastAsia" w:hAnsi="宋体"/>
          <w:bCs/>
          <w:color w:val="auto"/>
          <w:sz w:val="24"/>
          <w:szCs w:val="24"/>
          <w:highlight w:val="none"/>
          <w:lang w:val="en-US" w:eastAsia="zh-CN"/>
        </w:rPr>
        <w:t xml:space="preserve">3</w:t>
      </w:r>
      <w:r>
        <w:rPr>
          <w:rFonts w:hint="eastAsia" w:hAnsi="宋体"/>
          <w:bCs/>
          <w:color w:val="auto"/>
          <w:sz w:val="24"/>
          <w:szCs w:val="24"/>
          <w:highlight w:val="none"/>
        </w:rPr>
        <w:t xml:space="preserve">、如出现评标总得分最高的投标人有两个或两个以上的，以投标报价较低者优先作为中标候选人，如果投标报价也相同的，则由评标委员会组织以抽签方式确定中标候选人。</w:t>
      </w:r>
      <w:r/>
    </w:p>
    <w:p>
      <w:pPr>
        <w:ind w:firstLine="480"/>
        <w:keepLines w:val="0"/>
        <w:keepNext w:val="0"/>
        <w:pageBreakBefore w:val="0"/>
        <w:spacing w:line="360" w:lineRule="auto"/>
        <w:widowControl w:val="off"/>
        <w:rPr>
          <w:rFonts w:hAnsi="宋体"/>
          <w:bCs/>
          <w:color w:val="auto"/>
          <w:sz w:val="24"/>
          <w:szCs w:val="24"/>
          <w:highlight w:val="none"/>
        </w:rPr>
      </w:pPr>
      <w:r>
        <w:rPr>
          <w:rFonts w:hint="eastAsia" w:hAnsi="宋体"/>
          <w:bCs/>
          <w:color w:val="auto"/>
          <w:sz w:val="24"/>
          <w:szCs w:val="24"/>
          <w:highlight w:val="none"/>
          <w:lang w:val="en-US" w:eastAsia="zh-CN"/>
        </w:rPr>
        <w:t xml:space="preserve">4</w:t>
      </w:r>
      <w:r>
        <w:rPr>
          <w:rFonts w:hint="eastAsia" w:hAnsi="宋体"/>
          <w:bCs/>
          <w:color w:val="auto"/>
          <w:sz w:val="24"/>
          <w:szCs w:val="24"/>
          <w:highlight w:val="none"/>
        </w:rPr>
        <w:t xml:space="preserve">、</w:t>
      </w:r>
      <w:bookmarkStart w:id="21" w:name="OLE_LINK27"/>
      <w:r/>
      <w:bookmarkStart w:id="22" w:name="OLE_LINK26"/>
      <w:r>
        <w:rPr>
          <w:rFonts w:hint="eastAsia" w:hAnsi="宋体"/>
          <w:b/>
          <w:bCs/>
          <w:color w:val="auto"/>
          <w:sz w:val="24"/>
          <w:szCs w:val="24"/>
          <w:highlight w:val="none"/>
        </w:rPr>
        <w:t xml:space="preserve">本项目专门面向中小企业采购的项目，不再执行价格评审优惠的扶持政策。</w:t>
      </w:r>
      <w:bookmarkEnd w:id="21"/>
      <w:r/>
      <w:bookmarkEnd w:id="22"/>
      <w:r>
        <w:rPr>
          <w:rFonts w:hint="eastAsia" w:hAnsi="宋体"/>
          <w:bCs/>
          <w:color w:val="auto"/>
          <w:sz w:val="24"/>
          <w:szCs w:val="24"/>
          <w:highlight w:val="none"/>
        </w:rPr>
        <w:t xml:space="preserve">若投标供应商提供的声明函或认定证明为虚假声明则视同提供虚假材料，按“政府采购法”相关规定处理并报请政府监管部门给予行政处罚。</w:t>
      </w:r>
      <w:r/>
    </w:p>
    <w:p>
      <w:pPr>
        <w:ind w:firstLine="482"/>
        <w:keepLines w:val="0"/>
        <w:keepNext w:val="0"/>
        <w:pageBreakBefore w:val="0"/>
        <w:spacing w:line="360" w:lineRule="auto"/>
        <w:widowControl w:val="off"/>
        <w:rPr>
          <w:rFonts w:hAnsi="宋体"/>
          <w:b/>
          <w:color w:val="auto"/>
          <w:sz w:val="24"/>
          <w:szCs w:val="24"/>
          <w:highlight w:val="none"/>
        </w:rPr>
      </w:pPr>
      <w:r>
        <w:rPr>
          <w:rFonts w:hint="eastAsia" w:hAnsi="宋体"/>
          <w:b/>
          <w:color w:val="auto"/>
          <w:sz w:val="24"/>
          <w:szCs w:val="24"/>
          <w:highlight w:val="none"/>
        </w:rPr>
        <w:t xml:space="preserve">二、评分标准</w:t>
      </w:r>
      <w:r/>
    </w:p>
    <w:p>
      <w:pPr>
        <w:ind w:firstLine="482"/>
        <w:keepLines w:val="0"/>
        <w:keepNext w:val="0"/>
        <w:pageBreakBefore w:val="0"/>
        <w:spacing w:line="360" w:lineRule="auto"/>
        <w:widowControl w:val="off"/>
        <w:tabs>
          <w:tab w:val="left" w:pos="-3420" w:leader="none"/>
          <w:tab w:val="left" w:pos="1620" w:leader="none"/>
        </w:tabs>
        <w:rPr>
          <w:rFonts w:hAnsi="宋体" w:cs="Times New Roman"/>
          <w:b/>
          <w:color w:val="auto"/>
          <w:sz w:val="24"/>
          <w:szCs w:val="24"/>
          <w:highlight w:val="none"/>
        </w:rPr>
      </w:pPr>
      <w:r>
        <w:rPr>
          <w:rFonts w:hAnsi="宋体" w:cs="Times New Roman"/>
          <w:b/>
          <w:color w:val="auto"/>
          <w:sz w:val="24"/>
          <w:szCs w:val="24"/>
          <w:highlight w:val="none"/>
        </w:rPr>
        <w:t xml:space="preserve">（一）价格分（</w:t>
      </w:r>
      <w:r>
        <w:rPr>
          <w:rFonts w:hint="eastAsia" w:hAnsi="宋体" w:cs="Times New Roman"/>
          <w:b/>
          <w:color w:val="auto"/>
          <w:sz w:val="24"/>
          <w:szCs w:val="24"/>
          <w:highlight w:val="none"/>
        </w:rPr>
        <w:t xml:space="preserve">2</w:t>
      </w:r>
      <w:r>
        <w:rPr>
          <w:rFonts w:hAnsi="宋体" w:cs="Times New Roman"/>
          <w:b/>
          <w:color w:val="auto"/>
          <w:sz w:val="24"/>
          <w:szCs w:val="24"/>
          <w:highlight w:val="none"/>
        </w:rPr>
        <w:t xml:space="preserve">0分）</w:t>
      </w:r>
      <w:r/>
    </w:p>
    <w:p>
      <w:pPr>
        <w:ind w:firstLine="480"/>
        <w:keepLines w:val="0"/>
        <w:keepNext w:val="0"/>
        <w:pageBreakBefore w:val="0"/>
        <w:spacing w:line="360" w:lineRule="auto"/>
        <w:widowControl w:val="off"/>
        <w:tabs>
          <w:tab w:val="left" w:pos="-3420" w:leader="none"/>
          <w:tab w:val="left" w:pos="1620" w:leader="none"/>
        </w:tabs>
        <w:rPr>
          <w:rFonts w:hAnsi="宋体" w:cs="Times New Roman"/>
          <w:color w:val="auto"/>
          <w:sz w:val="24"/>
          <w:szCs w:val="24"/>
          <w:highlight w:val="none"/>
        </w:rPr>
      </w:pPr>
      <w:r/>
      <w:bookmarkStart w:id="23" w:name="OLE_LINK10"/>
      <w:r/>
      <w:bookmarkStart w:id="24" w:name="OLE_LINK11"/>
      <w:r>
        <w:rPr>
          <w:rFonts w:hAnsi="宋体" w:cs="Times New Roman"/>
          <w:color w:val="auto"/>
          <w:sz w:val="24"/>
          <w:szCs w:val="24"/>
          <w:highlight w:val="none"/>
        </w:rPr>
        <w:t xml:space="preserve">第一步：投标报价低于或等于财政预算价格的，为有效投标报价。超财政预算的投标报价或招标文件规定的报价为无效投标报价。无效投标报价的投标文件不进行评审，也不得标。</w:t>
      </w:r>
      <w:r/>
    </w:p>
    <w:p>
      <w:pPr>
        <w:ind w:firstLine="480"/>
        <w:keepLines w:val="0"/>
        <w:keepNext w:val="0"/>
        <w:pageBreakBefore w:val="0"/>
        <w:spacing w:line="360" w:lineRule="auto"/>
        <w:widowControl w:val="off"/>
        <w:tabs>
          <w:tab w:val="left" w:pos="-3420" w:leader="none"/>
          <w:tab w:val="left" w:pos="1620" w:leader="none"/>
        </w:tabs>
        <w:rPr>
          <w:rFonts w:hAnsi="宋体" w:cs="Times New Roman"/>
          <w:color w:val="auto"/>
          <w:sz w:val="24"/>
          <w:szCs w:val="24"/>
          <w:highlight w:val="none"/>
        </w:rPr>
      </w:pPr>
      <w:r>
        <w:rPr>
          <w:rFonts w:hAnsi="宋体" w:cs="Times New Roman"/>
          <w:color w:val="auto"/>
          <w:sz w:val="24"/>
          <w:szCs w:val="24"/>
          <w:highlight w:val="none"/>
        </w:rPr>
        <w:t xml:space="preserve">第二步：在所有有效投标报价中满足招标文件要求，且投标价格最低的投标报价为评标基准价，其价格分为</w:t>
      </w:r>
      <w:r>
        <w:rPr>
          <w:rFonts w:hint="eastAsia" w:hAnsi="宋体" w:cs="Times New Roman"/>
          <w:color w:val="auto"/>
          <w:sz w:val="24"/>
          <w:szCs w:val="24"/>
          <w:highlight w:val="none"/>
        </w:rPr>
        <w:t xml:space="preserve">2</w:t>
      </w:r>
      <w:r>
        <w:rPr>
          <w:rFonts w:hAnsi="宋体" w:cs="Times New Roman"/>
          <w:color w:val="auto"/>
          <w:sz w:val="24"/>
          <w:szCs w:val="24"/>
          <w:highlight w:val="none"/>
        </w:rPr>
        <w:t xml:space="preserve">0分，其他投标人的价格分按照下列公式计算（计算结果四舍五入保留两位小数）。</w:t>
      </w:r>
      <w:r/>
    </w:p>
    <w:p>
      <w:pPr>
        <w:ind w:firstLine="480"/>
        <w:keepLines w:val="0"/>
        <w:keepNext w:val="0"/>
        <w:pageBreakBefore w:val="0"/>
        <w:spacing w:line="360" w:lineRule="auto"/>
        <w:widowControl w:val="off"/>
        <w:tabs>
          <w:tab w:val="left" w:pos="-3420" w:leader="none"/>
          <w:tab w:val="left" w:pos="1620" w:leader="none"/>
        </w:tabs>
        <w:rPr>
          <w:rFonts w:hAnsi="宋体" w:cs="Times New Roman"/>
          <w:color w:val="auto"/>
          <w:sz w:val="24"/>
          <w:szCs w:val="24"/>
          <w:highlight w:val="none"/>
        </w:rPr>
      </w:pPr>
      <w:r>
        <w:rPr>
          <w:rFonts w:hAnsi="宋体" w:cs="Times New Roman"/>
          <w:color w:val="auto"/>
          <w:sz w:val="24"/>
          <w:szCs w:val="24"/>
          <w:highlight w:val="none"/>
        </w:rPr>
        <w:t xml:space="preserve">投标报价得分＝（评标基准价/投标报价）×</w:t>
      </w:r>
      <w:r>
        <w:rPr>
          <w:rFonts w:hint="eastAsia" w:hAnsi="宋体" w:cs="Times New Roman"/>
          <w:color w:val="auto"/>
          <w:sz w:val="24"/>
          <w:szCs w:val="24"/>
          <w:highlight w:val="none"/>
        </w:rPr>
        <w:t xml:space="preserve">2</w:t>
      </w:r>
      <w:r>
        <w:rPr>
          <w:rFonts w:hAnsi="宋体" w:cs="Times New Roman"/>
          <w:color w:val="auto"/>
          <w:sz w:val="24"/>
          <w:szCs w:val="24"/>
          <w:highlight w:val="none"/>
        </w:rPr>
        <w:t xml:space="preserve">0％×100</w:t>
      </w:r>
      <w:r>
        <w:rPr>
          <w:rFonts w:hint="eastAsia" w:hAnsi="宋体" w:cs="Times New Roman"/>
          <w:color w:val="auto"/>
          <w:sz w:val="24"/>
          <w:szCs w:val="24"/>
          <w:highlight w:val="none"/>
        </w:rPr>
        <w:t xml:space="preserve">。</w:t>
      </w:r>
      <w:bookmarkEnd w:id="23"/>
      <w:r/>
      <w:bookmarkEnd w:id="24"/>
      <w:r/>
      <w:r/>
    </w:p>
    <w:p>
      <w:pPr>
        <w:jc w:val="left"/>
        <w:keepNext/>
        <w:spacing w:line="440" w:lineRule="exact"/>
        <w:widowControl w:val="off"/>
        <w:rPr>
          <w:rFonts w:ascii="宋体" w:hAnsi="宋体" w:eastAsia="宋体" w:cs="Times New Roman"/>
          <w:b/>
          <w:bCs/>
          <w:sz w:val="28"/>
          <w:szCs w:val="28"/>
          <w:lang w:val="en-US" w:eastAsia="zh-CN" w:bidi="ar-SA"/>
        </w:rPr>
        <w:outlineLvl w:val="1"/>
      </w:pPr>
      <w:r/>
      <w:bookmarkStart w:id="25" w:name="_Hlk38632310"/>
      <w:r>
        <w:rPr>
          <w:rFonts w:hint="eastAsia" w:ascii="宋体" w:hAnsi="宋体" w:eastAsia="宋体" w:cs="Times New Roman"/>
          <w:b/>
          <w:bCs/>
          <w:sz w:val="28"/>
          <w:szCs w:val="28"/>
          <w:lang w:val="en-US" w:eastAsia="zh-CN" w:bidi="ar-SA"/>
        </w:rPr>
        <w:t xml:space="preserve">（二）</w:t>
      </w:r>
      <w:bookmarkEnd w:id="25"/>
      <w:r>
        <w:rPr>
          <w:rFonts w:hint="eastAsia" w:ascii="宋体" w:hAnsi="宋体" w:eastAsia="宋体" w:cs="Times New Roman"/>
          <w:b/>
          <w:bCs/>
          <w:sz w:val="28"/>
          <w:szCs w:val="28"/>
          <w:lang w:val="en-US" w:eastAsia="zh-CN" w:bidi="ar-SA"/>
        </w:rPr>
        <w:t xml:space="preserve">服务方案（48分）</w:t>
      </w:r>
      <w:r/>
    </w:p>
    <w:tbl>
      <w:tblPr>
        <w:tblStyle w:val="826"/>
        <w:tblW w:w="93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905"/>
        <w:gridCol w:w="795"/>
        <w:gridCol w:w="5857"/>
      </w:tblGrid>
      <w:tr>
        <w:trPr>
          <w:jc w:val="center"/>
          <w:trHeight w:val="438"/>
        </w:trPr>
        <w:tc>
          <w:tcPr>
            <w:tcW w:w="75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序号</w:t>
            </w:r>
            <w:r/>
          </w:p>
        </w:tc>
        <w:tc>
          <w:tcPr>
            <w:tcW w:w="190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评审因素</w:t>
            </w:r>
            <w:r/>
          </w:p>
        </w:tc>
        <w:tc>
          <w:tcPr>
            <w:tcW w:w="79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权值</w:t>
            </w:r>
            <w:r/>
          </w:p>
        </w:tc>
        <w:tc>
          <w:tcPr>
            <w:tcW w:w="585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评分标准</w:t>
            </w:r>
            <w:r/>
          </w:p>
        </w:tc>
      </w:tr>
      <w:tr>
        <w:trPr>
          <w:jc w:val="center"/>
          <w:trHeight w:val="1306"/>
        </w:trPr>
        <w:tc>
          <w:tcPr>
            <w:tcW w:w="75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w:t>
            </w:r>
            <w:r/>
          </w:p>
        </w:tc>
        <w:tc>
          <w:tcPr>
            <w:tcW w:w="190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项目理解认知</w:t>
            </w:r>
            <w:r/>
          </w:p>
        </w:tc>
        <w:tc>
          <w:tcPr>
            <w:tcW w:w="79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分</w:t>
            </w:r>
            <w:r/>
          </w:p>
        </w:tc>
        <w:tc>
          <w:tcPr>
            <w:tcW w:w="5857" w:type="dxa"/>
            <w:vAlign w:val="center"/>
            <w:textDirection w:val="lrTb"/>
            <w:noWrap w:val="false"/>
          </w:tcPr>
          <w:p>
            <w:pPr>
              <w:jc w:val="both"/>
              <w:rPr>
                <w:rFonts w:hint="default" w:ascii="宋体" w:hAnsi="宋体" w:eastAsia="宋体" w:cs="Times New Roman"/>
                <w:sz w:val="24"/>
                <w:szCs w:val="24"/>
                <w:highlight w:val="none"/>
              </w:rPr>
            </w:pPr>
            <w:r>
              <w:rPr>
                <w:rFonts w:hint="eastAsia" w:ascii="宋体" w:hAnsi="宋体" w:eastAsia="宋体" w:cs="宋体"/>
                <w:sz w:val="24"/>
                <w:szCs w:val="24"/>
              </w:rPr>
              <w:t xml:space="preserve">对本项目的理解与对整个项目的整体把握进行阐述，内容至少包括①项目概况、②项目需求的理解、③项目相关政策的理解等。</w:t>
            </w:r>
            <w:r>
              <w:rPr>
                <w:rFonts w:hint="eastAsia" w:ascii="宋体" w:hAnsi="宋体" w:eastAsia="宋体" w:cs="Times New Roman"/>
                <w:sz w:val="24"/>
                <w:szCs w:val="24"/>
                <w:highlight w:val="none"/>
              </w:rPr>
              <w:t xml:space="preserve">方案内容针对本项目且符合本项目实际需求的，得9分，</w:t>
            </w:r>
            <w:r>
              <w:rPr>
                <w:rFonts w:hint="eastAsia" w:hAnsi="宋体" w:cs="Times New Roman"/>
                <w:sz w:val="24"/>
                <w:szCs w:val="24"/>
                <w:highlight w:val="none"/>
                <w:lang w:eastAsia="zh-CN"/>
              </w:rPr>
              <w:t xml:space="preserve">每缺少一项内容，或内容非专门针对本项目，不能满足本项目实际需求的</w:t>
            </w:r>
            <w:r>
              <w:rPr>
                <w:rFonts w:hint="eastAsia" w:ascii="宋体" w:hAnsi="宋体" w:eastAsia="宋体" w:cs="Times New Roman"/>
                <w:sz w:val="24"/>
                <w:szCs w:val="24"/>
                <w:highlight w:val="none"/>
              </w:rPr>
              <w:t xml:space="preserve">，每一项扣3分，不提供方案不得分。</w:t>
            </w:r>
            <w:r/>
          </w:p>
          <w:p>
            <w:pPr>
              <w:jc w:val="both"/>
              <w:rPr>
                <w:rFonts w:ascii="宋体" w:hAnsi="宋体" w:eastAsia="宋体" w:cs="宋体"/>
                <w:sz w:val="24"/>
                <w:szCs w:val="24"/>
              </w:rPr>
            </w:pPr>
            <w:r>
              <w:rPr>
                <w:rFonts w:ascii="宋体" w:hAnsi="宋体" w:eastAsia="宋体" w:cs="宋体"/>
                <w:sz w:val="24"/>
                <w:szCs w:val="24"/>
              </w:rPr>
            </w:r>
            <w:r/>
          </w:p>
        </w:tc>
      </w:tr>
      <w:tr>
        <w:trPr>
          <w:jc w:val="center"/>
          <w:trHeight w:val="546"/>
        </w:trPr>
        <w:tc>
          <w:tcPr>
            <w:tcW w:w="75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w:t>
            </w:r>
            <w:r/>
          </w:p>
        </w:tc>
        <w:tc>
          <w:tcPr>
            <w:tcW w:w="190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工作技术方案</w:t>
            </w:r>
            <w:r/>
          </w:p>
        </w:tc>
        <w:tc>
          <w:tcPr>
            <w:tcW w:w="79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tcW w:w="5857" w:type="dxa"/>
            <w:vAlign w:val="center"/>
            <w:textDirection w:val="lrTb"/>
            <w:noWrap w:val="false"/>
          </w:tcPr>
          <w:p>
            <w:pPr>
              <w:jc w:val="both"/>
              <w:rPr>
                <w:rFonts w:hint="eastAsia" w:ascii="宋体" w:hAnsi="宋体" w:eastAsia="宋体" w:cs="宋体"/>
                <w:sz w:val="24"/>
                <w:szCs w:val="24"/>
              </w:rPr>
            </w:pPr>
            <w:r>
              <w:rPr>
                <w:rFonts w:hint="eastAsia" w:ascii="宋体" w:hAnsi="宋体" w:eastAsia="宋体" w:cs="宋体"/>
                <w:sz w:val="24"/>
                <w:szCs w:val="24"/>
              </w:rPr>
              <w:t xml:space="preserve">根据投标人针对本项目的工作技术方案进行评分，方案内容至少包括①主要的工作方法、②项目的重点、难点分析、③针对重点、难点的应对策略、④项目时间节点安排等。</w:t>
            </w:r>
            <w:r/>
          </w:p>
          <w:p>
            <w:pPr>
              <w:jc w:val="both"/>
              <w:rPr>
                <w:rFonts w:ascii="宋体" w:hAnsi="宋体" w:eastAsia="宋体" w:cs="宋体"/>
                <w:sz w:val="24"/>
                <w:szCs w:val="24"/>
              </w:rPr>
            </w:pPr>
            <w:r>
              <w:rPr>
                <w:rFonts w:hint="eastAsia" w:ascii="宋体" w:hAnsi="宋体" w:eastAsia="宋体" w:cs="宋体"/>
                <w:sz w:val="24"/>
                <w:szCs w:val="24"/>
              </w:rPr>
              <w:t xml:space="preserve">方案内容针对本项目且符合本项目实际需求的，得</w:t>
            </w:r>
            <w:r>
              <w:rPr>
                <w:rFonts w:hint="eastAsia" w:hAnsi="宋体" w:cs="宋体"/>
                <w:sz w:val="24"/>
                <w:szCs w:val="24"/>
                <w:lang w:val="en-US" w:eastAsia="zh-CN"/>
              </w:rPr>
              <w:t xml:space="preserve">12</w:t>
            </w:r>
            <w:r>
              <w:rPr>
                <w:rFonts w:hint="eastAsia" w:ascii="宋体" w:hAnsi="宋体" w:eastAsia="宋体" w:cs="宋体"/>
                <w:sz w:val="24"/>
                <w:szCs w:val="24"/>
              </w:rPr>
              <w:t xml:space="preserve">分，</w:t>
            </w:r>
            <w:r>
              <w:rPr>
                <w:rFonts w:hint="eastAsia" w:hAnsi="宋体" w:cs="宋体"/>
                <w:sz w:val="24"/>
                <w:szCs w:val="24"/>
                <w:lang w:eastAsia="zh-CN"/>
              </w:rPr>
              <w:t xml:space="preserve">每缺少一项内容，或内容非专门针对本项目，不能满足本项目实际需求的</w:t>
            </w:r>
            <w:r>
              <w:rPr>
                <w:rFonts w:hint="eastAsia" w:ascii="宋体" w:hAnsi="宋体" w:eastAsia="宋体" w:cs="宋体"/>
                <w:sz w:val="24"/>
                <w:szCs w:val="24"/>
              </w:rPr>
              <w:t xml:space="preserve">，每一项扣3分，不提供方案不得分。</w:t>
            </w:r>
            <w:r/>
          </w:p>
        </w:tc>
      </w:tr>
      <w:tr>
        <w:trPr>
          <w:jc w:val="center"/>
          <w:trHeight w:val="353"/>
        </w:trPr>
        <w:tc>
          <w:tcPr>
            <w:tcW w:w="75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3</w:t>
            </w:r>
            <w:r/>
          </w:p>
        </w:tc>
        <w:tc>
          <w:tcPr>
            <w:tcW w:w="190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项目实施</w:t>
            </w:r>
            <w:r/>
          </w:p>
          <w:p>
            <w:pPr>
              <w:jc w:val="center"/>
              <w:rPr>
                <w:rFonts w:ascii="宋体" w:hAnsi="宋体" w:eastAsia="宋体" w:cs="宋体"/>
                <w:sz w:val="24"/>
                <w:szCs w:val="24"/>
              </w:rPr>
            </w:pPr>
            <w:r>
              <w:rPr>
                <w:rFonts w:hint="eastAsia" w:ascii="宋体" w:hAnsi="宋体" w:eastAsia="宋体" w:cs="宋体"/>
                <w:sz w:val="24"/>
                <w:szCs w:val="24"/>
              </w:rPr>
              <w:t xml:space="preserve">组织方案</w:t>
            </w:r>
            <w:r/>
          </w:p>
        </w:tc>
        <w:tc>
          <w:tcPr>
            <w:tcW w:w="79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分</w:t>
            </w:r>
            <w:r/>
          </w:p>
        </w:tc>
        <w:tc>
          <w:tcPr>
            <w:tcW w:w="5857" w:type="dxa"/>
            <w:vAlign w:val="center"/>
            <w:textDirection w:val="lrTb"/>
            <w:noWrap w:val="false"/>
          </w:tcPr>
          <w:p>
            <w:pPr>
              <w:jc w:val="both"/>
              <w:rPr>
                <w:rFonts w:hint="eastAsia" w:ascii="宋体" w:hAnsi="宋体" w:eastAsia="宋体" w:cs="宋体"/>
                <w:sz w:val="24"/>
                <w:szCs w:val="24"/>
              </w:rPr>
            </w:pPr>
            <w:r>
              <w:rPr>
                <w:rFonts w:hint="eastAsia" w:ascii="宋体" w:hAnsi="宋体" w:eastAsia="宋体" w:cs="宋体"/>
                <w:sz w:val="24"/>
                <w:szCs w:val="24"/>
              </w:rPr>
              <w:t xml:space="preserve">根据投标人针对本项目的项目组织方案进行评分，方案内容至少包括：①项目工作流程、②工作内容组织实施、③后续服务承诺及服务响应速度等。</w:t>
            </w:r>
            <w:r/>
          </w:p>
          <w:p>
            <w:pPr>
              <w:jc w:val="both"/>
              <w:rPr>
                <w:rFonts w:ascii="宋体" w:hAnsi="宋体" w:eastAsia="宋体" w:cs="宋体"/>
                <w:sz w:val="24"/>
                <w:szCs w:val="24"/>
              </w:rPr>
            </w:pPr>
            <w:r>
              <w:rPr>
                <w:rFonts w:hint="eastAsia" w:ascii="宋体" w:hAnsi="宋体" w:eastAsia="宋体" w:cs="宋体"/>
                <w:sz w:val="24"/>
                <w:szCs w:val="24"/>
              </w:rPr>
              <w:t xml:space="preserve">方案内容针对本项目且符合本项目实际需求的，得9分，</w:t>
            </w:r>
            <w:r>
              <w:rPr>
                <w:rFonts w:hint="eastAsia" w:hAnsi="宋体" w:cs="宋体"/>
                <w:sz w:val="24"/>
                <w:szCs w:val="24"/>
                <w:lang w:eastAsia="zh-CN"/>
              </w:rPr>
              <w:t xml:space="preserve">每缺少一项内容，或内容非专门针对本项目，不能满足本项目实际需求的</w:t>
            </w:r>
            <w:r>
              <w:rPr>
                <w:rFonts w:hint="eastAsia" w:ascii="宋体" w:hAnsi="宋体" w:eastAsia="宋体" w:cs="宋体"/>
                <w:sz w:val="24"/>
                <w:szCs w:val="24"/>
              </w:rPr>
              <w:t xml:space="preserve">，每一项扣3分，不提供方案不得分。</w:t>
            </w:r>
            <w:r/>
          </w:p>
        </w:tc>
      </w:tr>
      <w:tr>
        <w:trPr>
          <w:jc w:val="center"/>
          <w:trHeight w:val="964"/>
        </w:trPr>
        <w:tc>
          <w:tcPr>
            <w:tcW w:w="75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4</w:t>
            </w:r>
            <w:r/>
          </w:p>
        </w:tc>
        <w:tc>
          <w:tcPr>
            <w:tcW w:w="190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项目保障措施</w:t>
            </w:r>
            <w:r/>
          </w:p>
        </w:tc>
        <w:tc>
          <w:tcPr>
            <w:tcW w:w="79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分</w:t>
            </w:r>
            <w:r/>
          </w:p>
        </w:tc>
        <w:tc>
          <w:tcPr>
            <w:tcW w:w="5857" w:type="dxa"/>
            <w:vAlign w:val="center"/>
            <w:textDirection w:val="lrTb"/>
            <w:noWrap w:val="false"/>
          </w:tcPr>
          <w:p>
            <w:pPr>
              <w:jc w:val="both"/>
              <w:rPr>
                <w:rFonts w:hint="eastAsia" w:ascii="宋体" w:hAnsi="宋体" w:eastAsia="宋体" w:cs="宋体"/>
                <w:sz w:val="24"/>
                <w:szCs w:val="24"/>
              </w:rPr>
            </w:pPr>
            <w:r>
              <w:rPr>
                <w:rFonts w:hint="eastAsia" w:ascii="宋体" w:hAnsi="宋体" w:eastAsia="宋体" w:cs="宋体"/>
                <w:sz w:val="24"/>
                <w:szCs w:val="24"/>
              </w:rPr>
              <w:t xml:space="preserve">根据投标人针对本项目的项目保障措施进行评分，措施内容至少包括：①项目进度保障措施、②技术质量保障措施、③安全保密保障措施等。</w:t>
            </w:r>
            <w:r/>
          </w:p>
          <w:p>
            <w:pPr>
              <w:jc w:val="both"/>
              <w:rPr>
                <w:rFonts w:ascii="宋体" w:hAnsi="宋体" w:eastAsia="宋体" w:cs="宋体"/>
                <w:sz w:val="24"/>
                <w:szCs w:val="24"/>
              </w:rPr>
            </w:pPr>
            <w:r>
              <w:rPr>
                <w:rFonts w:hint="eastAsia" w:ascii="宋体" w:hAnsi="宋体" w:eastAsia="宋体" w:cs="宋体"/>
                <w:sz w:val="24"/>
                <w:szCs w:val="24"/>
              </w:rPr>
              <w:t xml:space="preserve">方案内容针对本项目且符合本项目实际需求的，得9分，</w:t>
            </w:r>
            <w:r>
              <w:rPr>
                <w:rFonts w:hint="eastAsia" w:hAnsi="宋体" w:cs="宋体"/>
                <w:sz w:val="24"/>
                <w:szCs w:val="24"/>
                <w:lang w:eastAsia="zh-CN"/>
              </w:rPr>
              <w:t xml:space="preserve">每缺少一项内容，或内容非专门针对本项目，不能满足本项目实际需求的</w:t>
            </w:r>
            <w:r>
              <w:rPr>
                <w:rFonts w:hint="eastAsia" w:ascii="宋体" w:hAnsi="宋体" w:eastAsia="宋体" w:cs="宋体"/>
                <w:sz w:val="24"/>
                <w:szCs w:val="24"/>
              </w:rPr>
              <w:t xml:space="preserve">，每一项扣3分，不提供方案不得分。</w:t>
            </w:r>
            <w:r/>
          </w:p>
        </w:tc>
      </w:tr>
      <w:tr>
        <w:trPr>
          <w:jc w:val="center"/>
          <w:trHeight w:val="851"/>
        </w:trPr>
        <w:tc>
          <w:tcPr>
            <w:tcW w:w="75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5</w:t>
            </w:r>
            <w:r/>
          </w:p>
        </w:tc>
        <w:tc>
          <w:tcPr>
            <w:tcW w:w="190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项目优化措施和合理化建议</w:t>
            </w:r>
            <w:r/>
          </w:p>
        </w:tc>
        <w:tc>
          <w:tcPr>
            <w:tcW w:w="79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分</w:t>
            </w:r>
            <w:r/>
          </w:p>
        </w:tc>
        <w:tc>
          <w:tcPr>
            <w:tcW w:w="5857" w:type="dxa"/>
            <w:vAlign w:val="center"/>
            <w:textDirection w:val="lrTb"/>
            <w:noWrap w:val="false"/>
          </w:tcPr>
          <w:p>
            <w:pPr>
              <w:jc w:val="both"/>
              <w:rPr>
                <w:rFonts w:hint="eastAsia" w:ascii="宋体" w:hAnsi="宋体" w:eastAsia="宋体" w:cs="宋体"/>
                <w:sz w:val="24"/>
                <w:szCs w:val="24"/>
              </w:rPr>
            </w:pPr>
            <w:r>
              <w:rPr>
                <w:rFonts w:hint="eastAsia" w:ascii="宋体" w:hAnsi="宋体" w:eastAsia="宋体" w:cs="宋体"/>
                <w:sz w:val="24"/>
                <w:szCs w:val="24"/>
              </w:rPr>
              <w:t xml:space="preserve">根据投标人针对本项目的项目优化措施和合理化建议进行评分，对各类服务优化措施等方面进行比较，内容至少包括①可缩短报批周期、②减少釆购人工作量、③提高报批服务质量等。</w:t>
            </w:r>
            <w:r/>
          </w:p>
          <w:p>
            <w:pPr>
              <w:jc w:val="both"/>
              <w:rPr>
                <w:rFonts w:ascii="宋体" w:hAnsi="宋体" w:eastAsia="宋体" w:cs="宋体"/>
                <w:sz w:val="24"/>
                <w:szCs w:val="24"/>
              </w:rPr>
            </w:pPr>
            <w:r>
              <w:rPr>
                <w:rFonts w:hint="eastAsia" w:ascii="宋体" w:hAnsi="宋体" w:eastAsia="宋体" w:cs="宋体"/>
                <w:sz w:val="24"/>
                <w:szCs w:val="24"/>
              </w:rPr>
              <w:t xml:space="preserve">方案内容针对本项目且符合本项目实际需求的，得9分，</w:t>
            </w:r>
            <w:r>
              <w:rPr>
                <w:rFonts w:hint="eastAsia" w:hAnsi="宋体" w:cs="宋体"/>
                <w:sz w:val="24"/>
                <w:szCs w:val="24"/>
                <w:lang w:eastAsia="zh-CN"/>
              </w:rPr>
              <w:t xml:space="preserve">每缺少一项内容，或内容非专门针对本项目，不能满足本项目实际需求的</w:t>
            </w:r>
            <w:r>
              <w:rPr>
                <w:rFonts w:hint="eastAsia" w:ascii="宋体" w:hAnsi="宋体" w:eastAsia="宋体" w:cs="宋体"/>
                <w:sz w:val="24"/>
                <w:szCs w:val="24"/>
              </w:rPr>
              <w:t xml:space="preserve">，每一项扣3分，不提供方案不得分。</w:t>
            </w:r>
            <w:r/>
          </w:p>
        </w:tc>
      </w:tr>
    </w:tbl>
    <w:p>
      <w:pPr>
        <w:jc w:val="left"/>
        <w:spacing w:line="440" w:lineRule="exact"/>
        <w:widowControl/>
        <w:rPr>
          <w:rFonts w:ascii="Times New Roman" w:hAnsi="Times New Roman" w:eastAsia="宋体" w:cs="Times New Roman"/>
          <w:sz w:val="21"/>
          <w:szCs w:val="20"/>
        </w:rPr>
      </w:pPr>
      <w:r>
        <w:rPr>
          <w:rFonts w:ascii="Times New Roman" w:hAnsi="Times New Roman" w:eastAsia="宋体" w:cs="Times New Roman"/>
          <w:sz w:val="21"/>
          <w:szCs w:val="20"/>
        </w:rPr>
      </w:r>
      <w:r/>
    </w:p>
    <w:p>
      <w:pPr>
        <w:jc w:val="left"/>
        <w:keepNext/>
        <w:spacing w:line="440" w:lineRule="exact"/>
        <w:widowControl w:val="off"/>
        <w:rPr>
          <w:rFonts w:ascii="宋体" w:hAnsi="宋体" w:eastAsia="宋体" w:cs="Times New Roman"/>
          <w:b/>
          <w:bCs/>
          <w:sz w:val="28"/>
          <w:szCs w:val="28"/>
          <w:lang w:val="en-US" w:eastAsia="zh-CN" w:bidi="ar-SA"/>
        </w:rPr>
        <w:outlineLvl w:val="1"/>
      </w:pPr>
      <w:r>
        <w:rPr>
          <w:rFonts w:hint="eastAsia" w:ascii="宋体" w:hAnsi="宋体" w:eastAsia="宋体" w:cs="Times New Roman"/>
          <w:b/>
          <w:bCs/>
          <w:sz w:val="28"/>
          <w:szCs w:val="28"/>
          <w:lang w:val="en-US" w:eastAsia="zh-CN" w:bidi="ar-SA"/>
        </w:rPr>
        <w:t xml:space="preserve">（三）人员配置</w:t>
      </w:r>
      <w:r>
        <w:rPr>
          <w:rFonts w:ascii="宋体" w:hAnsi="宋体" w:eastAsia="宋体" w:cs="Times New Roman"/>
          <w:b/>
          <w:bCs/>
          <w:sz w:val="28"/>
          <w:szCs w:val="28"/>
          <w:lang w:val="en-US" w:eastAsia="zh-CN" w:bidi="ar-SA"/>
        </w:rPr>
        <w:t xml:space="preserve">1</w:t>
      </w:r>
      <w:r>
        <w:rPr>
          <w:rFonts w:hint="eastAsia" w:hAnsi="宋体" w:cs="Times New Roman"/>
          <w:b/>
          <w:bCs/>
          <w:sz w:val="28"/>
          <w:szCs w:val="28"/>
          <w:lang w:val="en-US" w:eastAsia="zh-CN" w:bidi="ar-SA"/>
        </w:rPr>
        <w:t xml:space="preserve">8</w:t>
      </w:r>
      <w:r>
        <w:rPr>
          <w:rFonts w:hint="eastAsia" w:ascii="宋体" w:hAnsi="宋体" w:eastAsia="宋体" w:cs="Times New Roman"/>
          <w:b/>
          <w:bCs/>
          <w:sz w:val="28"/>
          <w:szCs w:val="28"/>
          <w:lang w:val="en-US" w:eastAsia="zh-CN" w:bidi="ar-SA"/>
        </w:rPr>
        <w:t xml:space="preserve">分</w:t>
      </w:r>
      <w:r/>
    </w:p>
    <w:tbl>
      <w:tblPr>
        <w:tblStyle w:val="826"/>
        <w:tblW w:w="95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2"/>
        <w:gridCol w:w="1883"/>
        <w:gridCol w:w="817"/>
        <w:gridCol w:w="5964"/>
      </w:tblGrid>
      <w:tr>
        <w:trPr>
          <w:jc w:val="center"/>
          <w:trHeight w:val="593"/>
        </w:trPr>
        <w:tc>
          <w:tcPr>
            <w:tcW w:w="872"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序号</w:t>
            </w:r>
            <w:r/>
          </w:p>
        </w:tc>
        <w:tc>
          <w:tcPr>
            <w:tcW w:w="1883"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评审因素</w:t>
            </w:r>
            <w:r/>
          </w:p>
        </w:tc>
        <w:tc>
          <w:tcPr>
            <w:tcW w:w="817"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权值</w:t>
            </w:r>
            <w:r/>
          </w:p>
        </w:tc>
        <w:tc>
          <w:tcPr>
            <w:tcW w:w="5964"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评分标准</w:t>
            </w:r>
            <w:r/>
          </w:p>
        </w:tc>
      </w:tr>
      <w:tr>
        <w:trPr>
          <w:jc w:val="center"/>
          <w:trHeight w:val="477"/>
        </w:trPr>
        <w:tc>
          <w:tcPr>
            <w:tcW w:w="872"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w:t>
            </w:r>
            <w:r/>
          </w:p>
        </w:tc>
        <w:tc>
          <w:tcPr>
            <w:tcW w:w="1883"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项目负责人</w:t>
            </w:r>
            <w:r/>
          </w:p>
        </w:tc>
        <w:tc>
          <w:tcPr>
            <w:tcW w:w="817"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6</w:t>
            </w:r>
            <w:r/>
          </w:p>
        </w:tc>
        <w:tc>
          <w:tcPr>
            <w:tcW w:w="5964" w:type="dxa"/>
            <w:vAlign w:val="center"/>
            <w:textDirection w:val="lrTb"/>
            <w:noWrap w:val="false"/>
          </w:tcPr>
          <w:p>
            <w:pPr>
              <w:jc w:val="left"/>
              <w:spacing w:line="440" w:lineRule="exact"/>
              <w:rPr>
                <w:rFonts w:ascii="宋体" w:hAnsi="宋体" w:eastAsia="宋体" w:cs="宋体"/>
                <w:b w:val="0"/>
                <w:bCs w:val="0"/>
                <w:sz w:val="24"/>
                <w:szCs w:val="24"/>
              </w:rPr>
            </w:pPr>
            <w:r>
              <w:rPr>
                <w:rFonts w:hint="eastAsia" w:ascii="宋体" w:hAnsi="宋体" w:eastAsia="宋体" w:cs="宋体"/>
                <w:b w:val="0"/>
                <w:bCs w:val="0"/>
                <w:sz w:val="24"/>
                <w:szCs w:val="24"/>
              </w:rPr>
              <w:t xml:space="preserve">（1）项目负责人具有</w:t>
            </w:r>
            <w:r>
              <w:rPr>
                <w:rFonts w:hint="eastAsia" w:ascii="宋体" w:hAnsi="宋体" w:eastAsia="宋体" w:cs="宋体"/>
                <w:b w:val="0"/>
                <w:bCs w:val="0"/>
                <w:color w:val="000000"/>
                <w:sz w:val="24"/>
                <w:szCs w:val="24"/>
              </w:rPr>
              <w:t xml:space="preserve">林业类</w:t>
            </w:r>
            <w:r>
              <w:rPr>
                <w:rFonts w:hint="eastAsia" w:ascii="宋体" w:hAnsi="宋体" w:eastAsia="宋体" w:cs="宋体"/>
                <w:b w:val="0"/>
                <w:bCs w:val="0"/>
                <w:sz w:val="24"/>
                <w:szCs w:val="24"/>
              </w:rPr>
              <w:t xml:space="preserve">或土地类</w:t>
            </w:r>
            <w:r>
              <w:rPr>
                <w:rFonts w:hint="eastAsia" w:ascii="宋体" w:hAnsi="宋体" w:eastAsia="宋体" w:cs="宋体"/>
                <w:b w:val="0"/>
                <w:bCs w:val="0"/>
                <w:color w:val="000000"/>
                <w:sz w:val="24"/>
                <w:szCs w:val="24"/>
              </w:rPr>
              <w:t xml:space="preserve">专</w:t>
            </w:r>
            <w:r>
              <w:rPr>
                <w:rFonts w:hint="eastAsia" w:ascii="宋体" w:hAnsi="宋体" w:eastAsia="宋体" w:cs="宋体"/>
                <w:b w:val="0"/>
                <w:bCs w:val="0"/>
                <w:sz w:val="24"/>
                <w:szCs w:val="24"/>
              </w:rPr>
              <w:t xml:space="preserve">业高级工程师及以上职称的得4分；工程师职称的得2分。注：需提供供应商为其缴纳社保（近3个月内任意一个月）及职称证书扫描件，否则不得分。</w:t>
            </w:r>
            <w:r/>
          </w:p>
          <w:p>
            <w:pPr>
              <w:jc w:val="left"/>
              <w:spacing w:line="440" w:lineRule="exact"/>
              <w:rPr>
                <w:rFonts w:ascii="Times New Roman" w:hAnsi="Times New Roman" w:eastAsia="宋体" w:cs="宋体"/>
                <w:b/>
                <w:bCs/>
                <w:sz w:val="24"/>
                <w:szCs w:val="24"/>
              </w:rPr>
            </w:pPr>
            <w:r>
              <w:rPr>
                <w:rFonts w:hint="eastAsia" w:ascii="Times New Roman" w:hAnsi="Times New Roman" w:eastAsia="宋体" w:cs="宋体"/>
                <w:b w:val="0"/>
                <w:bCs w:val="0"/>
                <w:sz w:val="24"/>
                <w:szCs w:val="24"/>
              </w:rPr>
              <w:t xml:space="preserve">（2）项目负责人</w:t>
            </w:r>
            <w:r>
              <w:rPr>
                <w:rFonts w:ascii="Times New Roman" w:hAnsi="Times New Roman" w:eastAsia="宋体" w:cs="宋体"/>
                <w:b w:val="0"/>
                <w:bCs w:val="0"/>
                <w:sz w:val="24"/>
                <w:szCs w:val="24"/>
              </w:rPr>
              <w:t xml:space="preserve">202</w:t>
            </w:r>
            <w:r>
              <w:rPr>
                <w:rFonts w:hint="eastAsia" w:ascii="Times New Roman" w:hAnsi="Times New Roman" w:eastAsia="宋体" w:cs="宋体"/>
                <w:b w:val="0"/>
                <w:bCs w:val="0"/>
                <w:sz w:val="24"/>
                <w:szCs w:val="24"/>
                <w:lang w:val="en-US" w:eastAsia="zh-CN"/>
              </w:rPr>
              <w:t xml:space="preserve">2</w:t>
            </w:r>
            <w:r>
              <w:rPr>
                <w:rFonts w:ascii="Times New Roman" w:hAnsi="Times New Roman" w:eastAsia="宋体" w:cs="宋体"/>
                <w:b w:val="0"/>
                <w:bCs w:val="0"/>
                <w:sz w:val="24"/>
                <w:szCs w:val="24"/>
              </w:rPr>
              <w:t xml:space="preserve">年以来承担过林地报批项目的，有1个得1分，最高2分（时间合同签订时间为准，</w:t>
            </w:r>
            <w:r>
              <w:rPr>
                <w:rFonts w:hint="eastAsia" w:ascii="Times New Roman" w:hAnsi="Times New Roman" w:eastAsia="宋体" w:cs="宋体"/>
                <w:b w:val="0"/>
                <w:bCs w:val="0"/>
                <w:sz w:val="24"/>
                <w:szCs w:val="24"/>
              </w:rPr>
              <w:t xml:space="preserve">证明资料上需有项目负责人姓名体现，</w:t>
            </w:r>
            <w:r>
              <w:rPr>
                <w:rFonts w:ascii="Times New Roman" w:hAnsi="Times New Roman" w:eastAsia="宋体" w:cs="宋体"/>
                <w:b w:val="0"/>
                <w:bCs w:val="0"/>
                <w:sz w:val="24"/>
                <w:szCs w:val="24"/>
              </w:rPr>
              <w:t xml:space="preserve">否则不得分）</w:t>
            </w:r>
            <w:r/>
          </w:p>
        </w:tc>
      </w:tr>
      <w:tr>
        <w:trPr>
          <w:jc w:val="center"/>
          <w:trHeight w:val="1097"/>
        </w:trPr>
        <w:tc>
          <w:tcPr>
            <w:tcW w:w="872"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tcW w:w="1883"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项目组成员</w:t>
            </w:r>
            <w:r/>
          </w:p>
        </w:tc>
        <w:tc>
          <w:tcPr>
            <w:tcW w:w="817" w:type="dxa"/>
            <w:vAlign w:val="center"/>
            <w:textDirection w:val="lrTb"/>
            <w:noWrap w:val="false"/>
          </w:tcPr>
          <w:p>
            <w:pPr>
              <w:jc w:val="center"/>
              <w:spacing w:line="440" w:lineRule="exact"/>
              <w:rPr>
                <w:rFonts w:hint="eastAsia" w:ascii="Times New Roman" w:hAnsi="Times New Roman" w:eastAsia="宋体" w:cs="Times New Roman"/>
                <w:sz w:val="24"/>
                <w:szCs w:val="20"/>
                <w:lang w:eastAsia="zh-CN"/>
              </w:rPr>
            </w:pPr>
            <w:r>
              <w:rPr>
                <w:rFonts w:ascii="Times New Roman" w:hAnsi="Times New Roman" w:eastAsia="宋体" w:cs="Times New Roman"/>
                <w:sz w:val="24"/>
                <w:szCs w:val="20"/>
              </w:rPr>
              <w:t xml:space="preserve">1</w:t>
            </w:r>
            <w:r>
              <w:rPr>
                <w:rFonts w:hint="eastAsia" w:ascii="Times New Roman" w:hAnsi="Times New Roman" w:eastAsia="宋体" w:cs="Times New Roman"/>
                <w:sz w:val="24"/>
                <w:szCs w:val="20"/>
                <w:lang w:val="en-US" w:eastAsia="zh-CN"/>
              </w:rPr>
              <w:t xml:space="preserve">2</w:t>
            </w:r>
            <w:r/>
          </w:p>
        </w:tc>
        <w:tc>
          <w:tcPr>
            <w:tcW w:w="5964" w:type="dxa"/>
            <w:vAlign w:val="center"/>
            <w:textDirection w:val="lrTb"/>
            <w:noWrap w:val="false"/>
          </w:tcPr>
          <w:p>
            <w:pPr>
              <w:jc w:val="left"/>
              <w:spacing w:line="440" w:lineRule="exact"/>
              <w:rPr>
                <w:rFonts w:ascii="宋体" w:hAnsi="宋体" w:eastAsia="宋体" w:cs="宋体"/>
                <w:sz w:val="24"/>
                <w:szCs w:val="24"/>
              </w:rPr>
            </w:pPr>
            <w:r>
              <w:rPr>
                <w:rFonts w:hint="eastAsia" w:ascii="宋体" w:hAnsi="宋体" w:eastAsia="宋体" w:cs="宋体"/>
                <w:sz w:val="24"/>
                <w:szCs w:val="24"/>
              </w:rPr>
              <w:t xml:space="preserve">供应商拟投入本项目的专业技术人员（项目负责人除外）</w:t>
            </w:r>
            <w:r/>
          </w:p>
          <w:p>
            <w:pPr>
              <w:jc w:val="left"/>
              <w:spacing w:line="440" w:lineRule="exact"/>
              <w:rPr>
                <w:rFonts w:hint="eastAsia" w:ascii="宋体" w:hAnsi="宋体" w:eastAsia="宋体" w:cs="宋体"/>
                <w:sz w:val="24"/>
                <w:szCs w:val="24"/>
              </w:rPr>
            </w:pPr>
            <w:r/>
            <w:bookmarkStart w:id="26" w:name="OLE_LINK8"/>
            <w:r>
              <w:rPr>
                <w:rFonts w:hint="eastAsia" w:ascii="宋体" w:hAnsi="宋体" w:eastAsia="宋体" w:cs="宋体"/>
                <w:sz w:val="24"/>
                <w:szCs w:val="24"/>
              </w:rPr>
              <w:t xml:space="preserve">（1）具有林业、土地、地信、测绘类专业高级及以上职称的，有1人得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分，最高得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p>
            <w:pPr>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（2）具有林业、土地、地信、测绘类专业中级职称的，有1人得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分，最高得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p>
            <w:pPr>
              <w:jc w:val="left"/>
              <w:spacing w:line="440" w:lineRule="exact"/>
              <w:rPr>
                <w:rFonts w:ascii="宋体" w:hAnsi="宋体" w:eastAsia="宋体" w:cs="宋体"/>
                <w:sz w:val="24"/>
                <w:szCs w:val="24"/>
              </w:rPr>
            </w:pPr>
            <w:r>
              <w:rPr>
                <w:rFonts w:hint="eastAsia" w:ascii="宋体" w:hAnsi="宋体" w:eastAsia="宋体" w:cs="宋体"/>
                <w:sz w:val="24"/>
                <w:szCs w:val="24"/>
              </w:rPr>
              <w:t xml:space="preserve">（3）具有林业、土地、地信、测绘类专业初级职称的，有1人得1分，最高得</w:t>
            </w:r>
            <w:r>
              <w:rPr>
                <w:rFonts w:ascii="宋体" w:hAnsi="宋体" w:eastAsia="宋体" w:cs="宋体"/>
                <w:sz w:val="24"/>
                <w:szCs w:val="24"/>
              </w:rPr>
              <w:t xml:space="preserve">5</w:t>
            </w:r>
            <w:r>
              <w:rPr>
                <w:rFonts w:hint="eastAsia" w:ascii="宋体" w:hAnsi="宋体" w:eastAsia="宋体" w:cs="宋体"/>
                <w:sz w:val="24"/>
                <w:szCs w:val="24"/>
              </w:rPr>
              <w:t xml:space="preserve">分</w:t>
            </w:r>
            <w:bookmarkEnd w:id="26"/>
            <w:r/>
            <w:r/>
          </w:p>
          <w:p>
            <w:pPr>
              <w:jc w:val="left"/>
              <w:spacing w:line="440" w:lineRule="exact"/>
              <w:rPr>
                <w:rFonts w:ascii="Times New Roman" w:hAnsi="Times New Roman" w:eastAsia="宋体" w:cs="宋体"/>
                <w:b/>
                <w:bCs/>
                <w:sz w:val="24"/>
                <w:szCs w:val="24"/>
              </w:rPr>
            </w:pPr>
            <w:r>
              <w:rPr>
                <w:rFonts w:hint="eastAsia" w:ascii="宋体" w:hAnsi="宋体" w:eastAsia="宋体" w:cs="宋体"/>
                <w:b/>
                <w:bCs/>
                <w:sz w:val="24"/>
                <w:szCs w:val="24"/>
              </w:rPr>
              <w:t xml:space="preserve">注：需提供供应商为其缴纳社保（近3个月内任意一个月）及职称证书扫描件，否则不得分。</w:t>
            </w:r>
            <w:r/>
          </w:p>
        </w:tc>
      </w:tr>
    </w:tbl>
    <w:p>
      <w:pPr>
        <w:jc w:val="left"/>
        <w:keepNext/>
        <w:spacing w:line="440" w:lineRule="exact"/>
        <w:widowControl w:val="off"/>
        <w:rPr>
          <w:rFonts w:ascii="宋体" w:hAnsi="宋体" w:eastAsia="宋体" w:cs="Times New Roman"/>
          <w:b/>
          <w:bCs/>
          <w:sz w:val="28"/>
          <w:szCs w:val="28"/>
          <w:lang w:val="en-US" w:eastAsia="zh-CN" w:bidi="ar-SA"/>
        </w:rPr>
        <w:outlineLvl w:val="1"/>
      </w:pPr>
      <w:r>
        <w:rPr>
          <w:rFonts w:hint="eastAsia" w:ascii="宋体" w:hAnsi="宋体" w:eastAsia="宋体" w:cs="Times New Roman"/>
          <w:b/>
          <w:bCs/>
          <w:sz w:val="28"/>
          <w:szCs w:val="28"/>
          <w:lang w:val="en-US" w:eastAsia="zh-CN" w:bidi="ar-SA"/>
        </w:rPr>
        <w:t xml:space="preserve">（四）综合实力14分</w:t>
      </w:r>
      <w:r/>
    </w:p>
    <w:tbl>
      <w:tblPr>
        <w:tblStyle w:val="826"/>
        <w:tblW w:w="96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3"/>
        <w:gridCol w:w="1867"/>
        <w:gridCol w:w="850"/>
        <w:gridCol w:w="6048"/>
      </w:tblGrid>
      <w:tr>
        <w:trPr>
          <w:jc w:val="center"/>
          <w:trHeight w:val="477"/>
        </w:trPr>
        <w:tc>
          <w:tcPr>
            <w:tcW w:w="883"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序号</w:t>
            </w:r>
            <w:r/>
          </w:p>
        </w:tc>
        <w:tc>
          <w:tcPr>
            <w:tcW w:w="1867"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评审因素</w:t>
            </w:r>
            <w:r/>
          </w:p>
        </w:tc>
        <w:tc>
          <w:tcPr>
            <w:tcW w:w="850"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权值</w:t>
            </w:r>
            <w:r/>
          </w:p>
        </w:tc>
        <w:tc>
          <w:tcPr>
            <w:tcW w:w="6048"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评分标准</w:t>
            </w:r>
            <w:r/>
          </w:p>
        </w:tc>
      </w:tr>
      <w:tr>
        <w:trPr>
          <w:jc w:val="center"/>
          <w:trHeight w:val="1097"/>
        </w:trPr>
        <w:tc>
          <w:tcPr>
            <w:tcW w:w="883"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w:t>
            </w:r>
            <w:r/>
          </w:p>
        </w:tc>
        <w:tc>
          <w:tcPr>
            <w:tcW w:w="1867" w:type="dxa"/>
            <w:vAlign w:val="center"/>
            <w:textDirection w:val="lrTb"/>
            <w:noWrap w:val="false"/>
          </w:tcPr>
          <w:p>
            <w:pPr>
              <w:jc w:val="center"/>
              <w:spacing w:line="440" w:lineRule="exact"/>
              <w:rPr>
                <w:rFonts w:ascii="Times New Roman" w:hAnsi="Times New Roman" w:eastAsia="宋体" w:cs="Times New Roman"/>
                <w:sz w:val="28"/>
                <w:szCs w:val="24"/>
              </w:rPr>
            </w:pPr>
            <w:r>
              <w:rPr>
                <w:rFonts w:hint="eastAsia" w:ascii="Times New Roman" w:hAnsi="Times New Roman" w:eastAsia="宋体" w:cs="Times New Roman"/>
                <w:sz w:val="24"/>
                <w:szCs w:val="20"/>
              </w:rPr>
              <w:t xml:space="preserve">业绩情况</w:t>
            </w:r>
            <w:r/>
          </w:p>
        </w:tc>
        <w:tc>
          <w:tcPr>
            <w:tcW w:w="850" w:type="dxa"/>
            <w:vAlign w:val="center"/>
            <w:textDirection w:val="lrTb"/>
            <w:noWrap w:val="false"/>
          </w:tcPr>
          <w:p>
            <w:pPr>
              <w:jc w:val="center"/>
              <w:spacing w:line="440" w:lineRule="exact"/>
              <w:rPr>
                <w:rFonts w:hint="default" w:ascii="Times New Roman" w:hAnsi="Times New Roman" w:eastAsia="宋体" w:cs="Times New Roman"/>
                <w:sz w:val="24"/>
                <w:szCs w:val="20"/>
                <w:lang w:val="en-US" w:eastAsia="zh-CN"/>
              </w:rPr>
            </w:pPr>
            <w:r>
              <w:rPr>
                <w:rFonts w:hint="eastAsia" w:ascii="Times New Roman" w:hAnsi="Times New Roman" w:eastAsia="宋体" w:cs="Times New Roman"/>
                <w:bCs/>
                <w:sz w:val="24"/>
                <w:szCs w:val="20"/>
                <w:lang w:val="en-US" w:eastAsia="zh-CN"/>
              </w:rPr>
              <w:t xml:space="preserve">10</w:t>
            </w:r>
            <w:r/>
          </w:p>
        </w:tc>
        <w:tc>
          <w:tcPr>
            <w:tcW w:w="6048" w:type="dxa"/>
            <w:vAlign w:val="center"/>
            <w:textDirection w:val="lrTb"/>
            <w:noWrap w:val="false"/>
          </w:tcPr>
          <w:p>
            <w:pPr>
              <w:jc w:val="both"/>
              <w:spacing w:line="440" w:lineRule="exact"/>
              <w:rPr>
                <w:rFonts w:ascii="Times New Roman" w:hAnsi="Times New Roman" w:eastAsia="宋体" w:cs="宋体"/>
                <w:b/>
                <w:bCs/>
                <w:sz w:val="24"/>
                <w:szCs w:val="24"/>
              </w:rPr>
            </w:pPr>
            <w:r>
              <w:rPr>
                <w:rFonts w:hint="eastAsia" w:ascii="Times New Roman" w:hAnsi="Times New Roman" w:eastAsia="宋体" w:cs="Times New Roman"/>
                <w:sz w:val="24"/>
                <w:szCs w:val="20"/>
              </w:rPr>
              <w:t xml:space="preserve">（1）</w:t>
            </w:r>
            <w:r>
              <w:rPr>
                <w:rFonts w:ascii="Times New Roman" w:hAnsi="Times New Roman" w:eastAsia="宋体" w:cs="Times New Roman"/>
                <w:sz w:val="24"/>
                <w:szCs w:val="20"/>
              </w:rPr>
              <w:t xml:space="preserve">202</w:t>
            </w:r>
            <w:r>
              <w:rPr>
                <w:rFonts w:hint="eastAsia" w:ascii="Times New Roman" w:hAnsi="Times New Roman" w:eastAsia="宋体" w:cs="Times New Roman"/>
                <w:sz w:val="24"/>
                <w:szCs w:val="20"/>
                <w:lang w:val="en-US" w:eastAsia="zh-CN"/>
              </w:rPr>
              <w:t xml:space="preserve">2</w:t>
            </w:r>
            <w:r>
              <w:rPr>
                <w:rFonts w:hint="eastAsia" w:ascii="Times New Roman" w:hAnsi="Times New Roman" w:eastAsia="宋体" w:cs="Times New Roman"/>
                <w:sz w:val="24"/>
                <w:szCs w:val="20"/>
              </w:rPr>
              <w:t xml:space="preserve">年</w:t>
            </w:r>
            <w:r>
              <w:rPr>
                <w:rFonts w:hint="eastAsia" w:ascii="Times New Roman" w:hAnsi="Times New Roman" w:eastAsia="宋体" w:cs="Times New Roman"/>
                <w:sz w:val="24"/>
                <w:szCs w:val="20"/>
                <w:lang w:val="en-US" w:eastAsia="zh-CN"/>
              </w:rPr>
              <w:t xml:space="preserve">4</w:t>
            </w:r>
            <w:r>
              <w:rPr>
                <w:rFonts w:hint="eastAsia" w:ascii="Times New Roman" w:hAnsi="Times New Roman" w:eastAsia="宋体" w:cs="Times New Roman"/>
                <w:sz w:val="24"/>
                <w:szCs w:val="20"/>
              </w:rPr>
              <w:t xml:space="preserve">月1日至今（以</w:t>
            </w:r>
            <w:r>
              <w:rPr>
                <w:rFonts w:ascii="Times New Roman" w:hAnsi="Times New Roman" w:eastAsia="宋体" w:cs="Times New Roman"/>
                <w:sz w:val="24"/>
                <w:szCs w:val="20"/>
              </w:rPr>
              <w:t xml:space="preserve">合</w:t>
            </w:r>
            <w:r>
              <w:rPr>
                <w:rFonts w:hint="eastAsia" w:ascii="Times New Roman" w:hAnsi="Times New Roman" w:eastAsia="宋体" w:cs="Times New Roman"/>
                <w:sz w:val="24"/>
                <w:szCs w:val="20"/>
              </w:rPr>
              <w:t xml:space="preserve">签订</w:t>
            </w:r>
            <w:r>
              <w:rPr>
                <w:rFonts w:ascii="Times New Roman" w:hAnsi="Times New Roman" w:eastAsia="宋体" w:cs="Times New Roman"/>
                <w:sz w:val="24"/>
                <w:szCs w:val="20"/>
              </w:rPr>
              <w:t xml:space="preserve">时间为准</w:t>
            </w:r>
            <w:r>
              <w:rPr>
                <w:rFonts w:hint="eastAsia" w:ascii="Times New Roman" w:hAnsi="Times New Roman" w:eastAsia="宋体" w:cs="Times New Roman"/>
                <w:sz w:val="24"/>
                <w:szCs w:val="20"/>
              </w:rPr>
              <w:t xml:space="preserve">）实施的林地报批项目业绩情况进行评定，每提供一个得</w:t>
            </w:r>
            <w:r>
              <w:rPr>
                <w:rFonts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分，最高得</w:t>
            </w:r>
            <w:r>
              <w:rPr>
                <w:rFonts w:ascii="Times New Roman" w:hAnsi="Times New Roman" w:eastAsia="宋体" w:cs="Times New Roman"/>
                <w:sz w:val="24"/>
                <w:szCs w:val="20"/>
              </w:rPr>
              <w:t xml:space="preserve">6</w:t>
            </w:r>
            <w:r>
              <w:rPr>
                <w:rFonts w:hint="eastAsia" w:ascii="Times New Roman" w:hAnsi="Times New Roman" w:eastAsia="宋体" w:cs="Times New Roman"/>
                <w:sz w:val="24"/>
                <w:szCs w:val="20"/>
              </w:rPr>
              <w:t xml:space="preserve">分</w:t>
            </w:r>
            <w:r>
              <w:rPr>
                <w:rFonts w:hint="eastAsia" w:ascii="Times New Roman" w:hAnsi="Times New Roman" w:eastAsia="宋体" w:cs="Times New Roman"/>
                <w:sz w:val="24"/>
                <w:szCs w:val="24"/>
              </w:rPr>
              <w:t xml:space="preserve">。</w:t>
            </w:r>
            <w:r>
              <w:rPr>
                <w:rFonts w:hint="eastAsia" w:ascii="Times New Roman" w:hAnsi="Times New Roman" w:eastAsia="宋体" w:cs="宋体"/>
                <w:b/>
                <w:bCs/>
                <w:sz w:val="24"/>
                <w:szCs w:val="24"/>
              </w:rPr>
              <w:t xml:space="preserve">注</w:t>
            </w:r>
            <w:r>
              <w:rPr>
                <w:rFonts w:ascii="Times New Roman" w:hAnsi="Times New Roman" w:eastAsia="宋体" w:cs="宋体"/>
                <w:b/>
                <w:bCs/>
                <w:sz w:val="24"/>
                <w:szCs w:val="24"/>
              </w:rPr>
              <w:t xml:space="preserve">：</w:t>
            </w:r>
            <w:r>
              <w:rPr>
                <w:rFonts w:hint="eastAsia" w:ascii="Times New Roman" w:hAnsi="Times New Roman" w:eastAsia="宋体" w:cs="宋体"/>
                <w:b/>
                <w:bCs/>
                <w:sz w:val="24"/>
                <w:szCs w:val="24"/>
              </w:rPr>
              <w:t xml:space="preserve">投标</w:t>
            </w:r>
            <w:r>
              <w:rPr>
                <w:rFonts w:ascii="Times New Roman" w:hAnsi="Times New Roman" w:eastAsia="宋体" w:cs="宋体"/>
                <w:b/>
                <w:bCs/>
                <w:sz w:val="24"/>
                <w:szCs w:val="24"/>
              </w:rPr>
              <w:t xml:space="preserve">文件中提供业绩相关合同</w:t>
            </w:r>
            <w:r>
              <w:rPr>
                <w:rFonts w:hint="eastAsia" w:ascii="Times New Roman" w:hAnsi="Times New Roman" w:eastAsia="宋体" w:cs="宋体"/>
                <w:b/>
                <w:bCs/>
                <w:sz w:val="24"/>
                <w:szCs w:val="24"/>
              </w:rPr>
              <w:t xml:space="preserve">和由林业部门签发的《使用林地审核同意书》</w:t>
            </w:r>
            <w:r>
              <w:rPr>
                <w:rFonts w:ascii="Times New Roman" w:hAnsi="Times New Roman" w:eastAsia="宋体" w:cs="宋体"/>
                <w:b/>
                <w:bCs/>
                <w:sz w:val="24"/>
                <w:szCs w:val="24"/>
              </w:rPr>
              <w:t xml:space="preserve">扫描件</w:t>
            </w:r>
            <w:r>
              <w:rPr>
                <w:rFonts w:hint="eastAsia" w:ascii="Times New Roman" w:hAnsi="Times New Roman" w:eastAsia="宋体" w:cs="宋体"/>
                <w:b/>
                <w:bCs/>
                <w:sz w:val="24"/>
                <w:szCs w:val="24"/>
              </w:rPr>
              <w:t xml:space="preserve">，如建设单位名称不一致，需提供甲方盖章的相关证明材料。未提供的不得分</w:t>
            </w:r>
            <w:r>
              <w:rPr>
                <w:rFonts w:ascii="Times New Roman" w:hAnsi="Times New Roman" w:eastAsia="宋体" w:cs="宋体"/>
                <w:b/>
                <w:bCs/>
                <w:sz w:val="24"/>
                <w:szCs w:val="24"/>
              </w:rPr>
              <w:t xml:space="preserve">。</w:t>
            </w:r>
            <w:r/>
          </w:p>
          <w:p>
            <w:pPr>
              <w:jc w:val="both"/>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w:t>
            </w:r>
            <w:r>
              <w:rPr>
                <w:rFonts w:ascii="Times New Roman" w:hAnsi="Times New Roman" w:eastAsia="宋体" w:cs="Times New Roman"/>
                <w:sz w:val="24"/>
                <w:szCs w:val="20"/>
              </w:rPr>
              <w:t xml:space="preserve">202</w:t>
            </w:r>
            <w:r>
              <w:rPr>
                <w:rFonts w:hint="eastAsia" w:ascii="Times New Roman" w:hAnsi="Times New Roman" w:eastAsia="宋体" w:cs="Times New Roman"/>
                <w:sz w:val="24"/>
                <w:szCs w:val="20"/>
                <w:lang w:val="en-US" w:eastAsia="zh-CN"/>
              </w:rPr>
              <w:t xml:space="preserve">2</w:t>
            </w:r>
            <w:r>
              <w:rPr>
                <w:rFonts w:ascii="Times New Roman" w:hAnsi="Times New Roman" w:eastAsia="宋体" w:cs="Times New Roman"/>
                <w:sz w:val="24"/>
                <w:szCs w:val="20"/>
              </w:rPr>
              <w:t xml:space="preserve">年</w:t>
            </w:r>
            <w:r>
              <w:rPr>
                <w:rFonts w:hint="eastAsia" w:ascii="Times New Roman" w:hAnsi="Times New Roman" w:eastAsia="宋体" w:cs="Times New Roman"/>
                <w:sz w:val="24"/>
                <w:szCs w:val="20"/>
                <w:lang w:val="en-US" w:eastAsia="zh-CN"/>
              </w:rPr>
              <w:t xml:space="preserve">4</w:t>
            </w:r>
            <w:r>
              <w:rPr>
                <w:rFonts w:ascii="Times New Roman" w:hAnsi="Times New Roman" w:eastAsia="宋体" w:cs="Times New Roman"/>
                <w:sz w:val="24"/>
                <w:szCs w:val="20"/>
              </w:rPr>
              <w:t xml:space="preserve">月1日至今（以合签订时间为准）实施的</w:t>
            </w:r>
            <w:r>
              <w:rPr>
                <w:rFonts w:hint="eastAsia" w:ascii="Times New Roman" w:hAnsi="Times New Roman" w:eastAsia="宋体" w:cs="Times New Roman"/>
                <w:sz w:val="24"/>
                <w:szCs w:val="20"/>
              </w:rPr>
              <w:t xml:space="preserve">林地保护利用规划业绩情况进行评定，每提供一个得</w:t>
            </w:r>
            <w:r>
              <w:rPr>
                <w:rFonts w:hint="eastAsia" w:ascii="Times New Roman" w:hAnsi="Times New Roman" w:eastAsia="宋体" w:cs="Times New Roman"/>
                <w:sz w:val="24"/>
                <w:szCs w:val="20"/>
                <w:lang w:val="en-US" w:eastAsia="zh-CN"/>
              </w:rPr>
              <w:t xml:space="preserve">2</w:t>
            </w:r>
            <w:r>
              <w:rPr>
                <w:rFonts w:ascii="Times New Roman" w:hAnsi="Times New Roman" w:eastAsia="宋体" w:cs="Times New Roman"/>
                <w:sz w:val="24"/>
                <w:szCs w:val="20"/>
              </w:rPr>
              <w:t xml:space="preserve">分，最高得</w:t>
            </w:r>
            <w:r>
              <w:rPr>
                <w:rFonts w:hint="eastAsia" w:ascii="Times New Roman" w:hAnsi="Times New Roman" w:eastAsia="宋体" w:cs="Times New Roman"/>
                <w:sz w:val="24"/>
                <w:szCs w:val="20"/>
                <w:lang w:val="en-US" w:eastAsia="zh-CN"/>
              </w:rPr>
              <w:t xml:space="preserve">4</w:t>
            </w:r>
            <w:r>
              <w:rPr>
                <w:rFonts w:ascii="Times New Roman" w:hAnsi="Times New Roman" w:eastAsia="宋体" w:cs="Times New Roman"/>
                <w:sz w:val="24"/>
                <w:szCs w:val="20"/>
              </w:rPr>
              <w:t xml:space="preserve">分。</w:t>
            </w:r>
            <w:r/>
          </w:p>
          <w:p>
            <w:pPr>
              <w:jc w:val="both"/>
              <w:spacing w:line="440" w:lineRule="exact"/>
              <w:rPr>
                <w:rFonts w:ascii="Times New Roman" w:hAnsi="Times New Roman" w:eastAsia="宋体" w:cs="Times New Roman"/>
                <w:sz w:val="21"/>
                <w:szCs w:val="20"/>
              </w:rPr>
            </w:pPr>
            <w:r>
              <w:rPr>
                <w:rFonts w:hint="eastAsia" w:ascii="Times New Roman" w:hAnsi="Times New Roman" w:eastAsia="宋体" w:cs="Times New Roman"/>
                <w:b/>
                <w:sz w:val="24"/>
                <w:szCs w:val="20"/>
              </w:rPr>
              <w:t xml:space="preserve">注：</w:t>
            </w:r>
            <w:r>
              <w:rPr>
                <w:rFonts w:hint="eastAsia" w:ascii="Times New Roman" w:cs="Times New Roman"/>
                <w:b/>
                <w:sz w:val="24"/>
                <w:szCs w:val="20"/>
                <w:lang w:eastAsia="zh-CN"/>
              </w:rPr>
              <w:t xml:space="preserve">投标</w:t>
            </w:r>
            <w:r>
              <w:rPr>
                <w:rFonts w:hint="eastAsia" w:ascii="Times New Roman" w:hAnsi="Times New Roman" w:eastAsia="宋体" w:cs="Times New Roman"/>
                <w:b/>
                <w:sz w:val="24"/>
                <w:szCs w:val="20"/>
              </w:rPr>
              <w:t xml:space="preserve">文件中提供业绩相关合同</w:t>
            </w:r>
            <w:r/>
          </w:p>
        </w:tc>
      </w:tr>
      <w:tr>
        <w:trPr>
          <w:jc w:val="center"/>
          <w:trHeight w:val="502"/>
        </w:trPr>
        <w:tc>
          <w:tcPr>
            <w:tcW w:w="883"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w:t>
            </w:r>
            <w:r/>
          </w:p>
        </w:tc>
        <w:tc>
          <w:tcPr>
            <w:tcW w:w="1867"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无人机设备</w:t>
            </w:r>
            <w:r/>
          </w:p>
        </w:tc>
        <w:tc>
          <w:tcPr>
            <w:tcW w:w="850" w:type="dxa"/>
            <w:vAlign w:val="center"/>
            <w:textDirection w:val="lrTb"/>
            <w:noWrap w:val="false"/>
          </w:tcPr>
          <w:p>
            <w:pPr>
              <w:jc w:val="center"/>
              <w:spacing w:line="440" w:lineRule="exact"/>
              <w:rPr>
                <w:rFonts w:ascii="Times New Roman" w:hAnsi="Times New Roman" w:eastAsia="宋体" w:cs="Times New Roman"/>
                <w:bCs/>
                <w:sz w:val="24"/>
                <w:szCs w:val="20"/>
              </w:rPr>
            </w:pPr>
            <w:r>
              <w:rPr>
                <w:rFonts w:hint="eastAsia" w:ascii="Times New Roman" w:hAnsi="Times New Roman" w:eastAsia="宋体" w:cs="Times New Roman"/>
                <w:bCs/>
                <w:sz w:val="24"/>
                <w:szCs w:val="20"/>
              </w:rPr>
              <w:t xml:space="preserve">4</w:t>
            </w:r>
            <w:r/>
          </w:p>
        </w:tc>
        <w:tc>
          <w:tcPr>
            <w:tcW w:w="6048" w:type="dxa"/>
            <w:vAlign w:val="center"/>
            <w:textDirection w:val="lrTb"/>
            <w:noWrap w:val="false"/>
          </w:tcPr>
          <w:p>
            <w:pPr>
              <w:jc w:val="both"/>
              <w:spacing w:line="440" w:lineRule="exact"/>
              <w:rPr>
                <w:rFonts w:ascii="Times New Roman" w:hAnsi="Times New Roman" w:eastAsia="宋体" w:cs="宋体"/>
                <w:sz w:val="24"/>
                <w:szCs w:val="24"/>
              </w:rPr>
            </w:pPr>
            <w:r/>
            <w:bookmarkStart w:id="40" w:name="_GoBack"/>
            <w:r>
              <w:rPr>
                <w:rFonts w:hint="eastAsia" w:ascii="Times New Roman" w:hAnsi="Times New Roman" w:eastAsia="宋体" w:cs="宋体"/>
                <w:sz w:val="24"/>
                <w:szCs w:val="24"/>
              </w:rPr>
              <w:t xml:space="preserve">投标人具有无人机的，每提供一项得2</w:t>
            </w:r>
            <w:r>
              <w:rPr>
                <w:rFonts w:ascii="Times New Roman" w:hAnsi="Times New Roman" w:eastAsia="宋体" w:cs="宋体"/>
                <w:sz w:val="24"/>
                <w:szCs w:val="24"/>
              </w:rPr>
              <w:t xml:space="preserve">分，最高得</w:t>
            </w:r>
            <w:r>
              <w:rPr>
                <w:rFonts w:hint="eastAsia" w:ascii="Times New Roman" w:hAnsi="Times New Roman" w:eastAsia="宋体" w:cs="宋体"/>
                <w:sz w:val="24"/>
                <w:szCs w:val="24"/>
              </w:rPr>
              <w:t xml:space="preserve">4</w:t>
            </w:r>
            <w:r>
              <w:rPr>
                <w:rFonts w:ascii="Times New Roman" w:hAnsi="Times New Roman" w:eastAsia="宋体" w:cs="宋体"/>
                <w:sz w:val="24"/>
                <w:szCs w:val="24"/>
              </w:rPr>
              <w:t xml:space="preserve">分。（</w:t>
            </w:r>
            <w:r>
              <w:rPr>
                <w:rFonts w:hint="eastAsia" w:ascii="Times New Roman" w:hAnsi="Times New Roman" w:eastAsia="宋体" w:cs="宋体"/>
                <w:sz w:val="24"/>
                <w:szCs w:val="24"/>
              </w:rPr>
              <w:t xml:space="preserve">如自有的提供</w:t>
            </w:r>
            <w:r>
              <w:rPr>
                <w:rFonts w:hint="eastAsia" w:ascii="Times New Roman" w:cs="宋体"/>
                <w:sz w:val="24"/>
                <w:szCs w:val="24"/>
                <w:lang w:eastAsia="zh-CN"/>
              </w:rPr>
              <w:t xml:space="preserve">购买发票或相关凭证</w:t>
            </w:r>
            <w:r>
              <w:rPr>
                <w:rFonts w:hint="eastAsia" w:ascii="Times New Roman" w:hAnsi="Times New Roman" w:eastAsia="宋体" w:cs="宋体"/>
                <w:sz w:val="24"/>
                <w:szCs w:val="24"/>
              </w:rPr>
              <w:t xml:space="preserve">；如为租赁的提供租赁合同，未提供的不得分。</w:t>
            </w:r>
            <w:r>
              <w:rPr>
                <w:rFonts w:ascii="Times New Roman" w:hAnsi="Times New Roman" w:eastAsia="宋体" w:cs="宋体"/>
                <w:sz w:val="24"/>
                <w:szCs w:val="24"/>
              </w:rPr>
              <w:t xml:space="preserve">）</w:t>
            </w:r>
            <w:bookmarkEnd w:id="40"/>
            <w:r/>
            <w:r/>
          </w:p>
        </w:tc>
      </w:tr>
    </w:tbl>
    <w:p>
      <w:pPr>
        <w:pStyle w:val="1106"/>
        <w:keepLines w:val="0"/>
        <w:keepNext w:val="0"/>
        <w:pageBreakBefore w:val="0"/>
        <w:spacing w:line="360" w:lineRule="auto"/>
        <w:rPr>
          <w:rFonts w:hint="eastAsia" w:hAnsi="宋体" w:eastAsia="宋体" w:cs="宋体"/>
          <w:b w:val="0"/>
          <w:bCs w:val="0"/>
          <w:color w:val="auto"/>
          <w:sz w:val="24"/>
          <w:szCs w:val="24"/>
          <w:highlight w:val="none"/>
        </w:rPr>
      </w:pPr>
      <w:r>
        <w:rPr>
          <w:rFonts w:hint="eastAsia" w:hAnsi="宋体" w:eastAsia="宋体" w:cs="宋体"/>
          <w:b w:val="0"/>
          <w:bCs w:val="0"/>
          <w:color w:val="auto"/>
          <w:sz w:val="24"/>
          <w:szCs w:val="24"/>
          <w:highlight w:val="none"/>
        </w:rPr>
      </w:r>
      <w:r/>
    </w:p>
    <w:p>
      <w:pPr>
        <w:pStyle w:val="1106"/>
        <w:keepLines w:val="0"/>
        <w:keepNext w:val="0"/>
        <w:pageBreakBefore w:val="0"/>
        <w:spacing w:line="360" w:lineRule="auto"/>
        <w:rPr>
          <w:rFonts w:hint="eastAsia" w:hAnsi="宋体" w:eastAsia="宋体" w:cs="宋体"/>
          <w:b w:val="0"/>
          <w:bCs w:val="0"/>
          <w:color w:val="auto"/>
          <w:sz w:val="24"/>
          <w:szCs w:val="24"/>
          <w:highlight w:val="none"/>
        </w:rPr>
      </w:pPr>
      <w:r>
        <w:rPr>
          <w:rFonts w:hint="eastAsia" w:hAnsi="宋体" w:eastAsia="宋体" w:cs="宋体"/>
          <w:b w:val="0"/>
          <w:bCs w:val="0"/>
          <w:color w:val="auto"/>
          <w:sz w:val="24"/>
          <w:szCs w:val="24"/>
          <w:highlight w:val="none"/>
        </w:rPr>
        <w:t xml:space="preserve">注：1、报价要求、付款步骤、合同履行期限如有负偏离的不得中标。</w:t>
      </w:r>
      <w:r/>
    </w:p>
    <w:p>
      <w:pPr>
        <w:ind w:firstLine="422"/>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2、针对评分标准中评分的每一条，投标人均应提供相关的电子资料并作出相应说明供评委评判，不提供相关资料的视为不具备该项得分的条件。</w:t>
      </w:r>
      <w:r/>
    </w:p>
    <w:p>
      <w:pPr>
        <w:ind w:firstLine="422"/>
        <w:keepLines w:val="0"/>
        <w:keepNext w:val="0"/>
        <w:pageBreakBefore w:val="0"/>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3、所有要求提供的扫描件字迹须清晰可见</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扫描不全或字迹不清晰的，视为未提供。</w:t>
      </w:r>
      <w:r/>
    </w:p>
    <w:p>
      <w:pPr>
        <w:ind w:firstLine="422"/>
        <w:keepLines w:val="0"/>
        <w:keepNext w:val="0"/>
        <w:pageBreakBefore w:val="0"/>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4、防止虚假应标，招标单位保留调查的权利，并由此引发的一切调查与诉讼费用由投标方承担。</w:t>
      </w:r>
      <w:r/>
    </w:p>
    <w:p>
      <w:pPr>
        <w:ind w:firstLine="422"/>
        <w:keepLines w:val="0"/>
        <w:keepNext w:val="0"/>
        <w:pageBreakBefore w:val="0"/>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5、评标委员会可以书面方式要求投标人对投标文件中含义不明、对同类问题表述不一致或有明显文字及计算错误的内容作必要澄清、说明和补正。如投标人拒绝上述请求，则视为其投标无效。</w:t>
      </w:r>
      <w:r/>
    </w:p>
    <w:p>
      <w:pPr>
        <w:ind w:firstLine="420"/>
        <w:spacing w:line="360" w:lineRule="auto"/>
        <w:rPr>
          <w:rFonts w:hAnsi="宋体"/>
          <w:bCs/>
          <w:color w:val="auto"/>
          <w:sz w:val="21"/>
          <w:szCs w:val="21"/>
          <w:highlight w:val="none"/>
        </w:rPr>
      </w:pPr>
      <w:r>
        <w:rPr>
          <w:rFonts w:hAnsi="宋体"/>
          <w:bCs/>
          <w:color w:val="auto"/>
          <w:sz w:val="21"/>
          <w:szCs w:val="21"/>
          <w:highlight w:val="none"/>
        </w:rPr>
      </w:r>
      <w:r/>
    </w:p>
    <w:p>
      <w:pPr>
        <w:jc w:val="center"/>
        <w:rPr>
          <w:rFonts w:hint="eastAsia" w:hAnsi="宋体"/>
          <w:b/>
          <w:bCs/>
          <w:color w:val="auto"/>
          <w:sz w:val="32"/>
          <w:szCs w:val="32"/>
          <w:highlight w:val="none"/>
        </w:rPr>
        <w:outlineLvl w:val="0"/>
      </w:pPr>
      <w:r/>
      <w:bookmarkStart w:id="27" w:name="_Toc159507039"/>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int="eastAsia" w:hAnsi="宋体"/>
          <w:b/>
          <w:bCs/>
          <w:color w:val="auto"/>
          <w:sz w:val="32"/>
          <w:szCs w:val="32"/>
          <w:highlight w:val="none"/>
        </w:rPr>
        <w:outlineLvl w:val="0"/>
      </w:pPr>
      <w:r>
        <w:rPr>
          <w:rFonts w:hint="eastAsia" w:hAnsi="宋体"/>
          <w:b/>
          <w:bCs/>
          <w:color w:val="auto"/>
          <w:sz w:val="32"/>
          <w:szCs w:val="32"/>
          <w:highlight w:val="none"/>
        </w:rPr>
      </w:r>
      <w:r/>
    </w:p>
    <w:p>
      <w:pPr>
        <w:jc w:val="center"/>
        <w:rPr>
          <w:rFonts w:hAnsi="宋体"/>
          <w:b/>
          <w:bCs/>
          <w:color w:val="auto"/>
          <w:sz w:val="32"/>
          <w:szCs w:val="32"/>
          <w:highlight w:val="none"/>
        </w:rPr>
        <w:outlineLvl w:val="0"/>
      </w:pPr>
      <w:r>
        <w:rPr>
          <w:rFonts w:hint="eastAsia" w:hAnsi="宋体"/>
          <w:b/>
          <w:bCs/>
          <w:color w:val="auto"/>
          <w:sz w:val="32"/>
          <w:szCs w:val="32"/>
          <w:highlight w:val="none"/>
        </w:rPr>
        <w:t xml:space="preserve">第五章</w:t>
      </w:r>
      <w:r>
        <w:rPr>
          <w:rFonts w:hAnsi="宋体"/>
          <w:b/>
          <w:bCs/>
          <w:color w:val="auto"/>
          <w:sz w:val="32"/>
          <w:szCs w:val="32"/>
          <w:highlight w:val="none"/>
        </w:rPr>
        <w:t xml:space="preserve"> </w:t>
      </w:r>
      <w:r>
        <w:rPr>
          <w:rFonts w:hint="eastAsia" w:hAnsi="宋体"/>
          <w:b/>
          <w:bCs/>
          <w:color w:val="auto"/>
          <w:sz w:val="32"/>
          <w:szCs w:val="32"/>
          <w:highlight w:val="none"/>
        </w:rPr>
        <w:t xml:space="preserve">投标文件格式</w:t>
      </w:r>
      <w:bookmarkEnd w:id="27"/>
      <w:r/>
      <w:r/>
    </w:p>
    <w:p>
      <w:pPr>
        <w:pStyle w:val="834"/>
        <w:ind w:left="0"/>
        <w:jc w:val="both"/>
        <w:spacing w:before="0" w:line="360" w:lineRule="auto"/>
        <w:rPr>
          <w:rFonts w:hAnsi="宋体"/>
          <w:color w:val="auto"/>
          <w:sz w:val="21"/>
          <w:highlight w:val="none"/>
        </w:rPr>
      </w:pPr>
      <w:r>
        <w:rPr>
          <w:rFonts w:hAnsi="宋体"/>
          <w:color w:val="auto"/>
          <w:sz w:val="21"/>
          <w:highlight w:val="none"/>
        </w:rPr>
      </w:r>
      <w:r/>
    </w:p>
    <w:p>
      <w:pPr>
        <w:pStyle w:val="834"/>
        <w:ind w:left="0"/>
        <w:jc w:val="both"/>
        <w:spacing w:before="0" w:line="360" w:lineRule="auto"/>
        <w:rPr>
          <w:rFonts w:hAnsi="宋体" w:cs="宋体"/>
          <w:color w:val="auto"/>
          <w:sz w:val="22"/>
          <w:highlight w:val="none"/>
          <w:shd w:val="clear" w:color="auto" w:fill="ffffff"/>
        </w:rPr>
      </w:pPr>
      <w:r>
        <w:rPr>
          <w:rFonts w:hint="eastAsia" w:hAnsi="宋体" w:cs="宋体"/>
          <w:color w:val="auto"/>
          <w:sz w:val="22"/>
          <w:highlight w:val="none"/>
          <w:shd w:val="clear" w:color="auto" w:fill="ffffff"/>
        </w:rPr>
        <w:t xml:space="preserve">说明：</w:t>
      </w:r>
      <w:r>
        <w:rPr>
          <w:rFonts w:hAnsi="宋体" w:cs="宋体"/>
          <w:color w:val="auto"/>
          <w:sz w:val="22"/>
          <w:highlight w:val="none"/>
          <w:shd w:val="clear" w:color="auto" w:fill="ffffff"/>
        </w:rPr>
        <w:t xml:space="preserve"> </w:t>
      </w:r>
      <w:r/>
    </w:p>
    <w:p>
      <w:pPr>
        <w:pStyle w:val="834"/>
        <w:ind w:left="0" w:firstLine="440"/>
        <w:jc w:val="both"/>
        <w:spacing w:before="0" w:line="360" w:lineRule="auto"/>
        <w:rPr>
          <w:rFonts w:hAnsi="宋体" w:cs="宋体"/>
          <w:color w:val="auto"/>
          <w:sz w:val="22"/>
          <w:highlight w:val="none"/>
          <w:shd w:val="clear" w:color="auto" w:fill="ffffff"/>
        </w:rPr>
      </w:pPr>
      <w:r>
        <w:rPr>
          <w:rFonts w:hint="eastAsia" w:hAnsi="宋体" w:cs="宋体"/>
          <w:color w:val="auto"/>
          <w:sz w:val="22"/>
          <w:highlight w:val="none"/>
          <w:shd w:val="clear" w:color="auto" w:fill="ffffff"/>
        </w:rPr>
        <w:t xml:space="preserve">1、对本章所有的格式，供应商可根据自身情况进行补充和修改，但补充和修改不得造成与本格式内容有实质性的违背。</w:t>
      </w:r>
      <w:r/>
    </w:p>
    <w:p>
      <w:pPr>
        <w:pStyle w:val="834"/>
        <w:ind w:left="0" w:firstLine="440"/>
        <w:jc w:val="both"/>
        <w:spacing w:before="0" w:line="360" w:lineRule="auto"/>
        <w:rPr>
          <w:rFonts w:hAnsi="宋体" w:cs="宋体"/>
          <w:color w:val="auto"/>
          <w:sz w:val="22"/>
          <w:highlight w:val="none"/>
          <w:shd w:val="clear" w:color="auto" w:fill="ffffff"/>
        </w:rPr>
      </w:pPr>
      <w:r>
        <w:rPr>
          <w:rFonts w:hint="eastAsia" w:hAnsi="宋体" w:cs="宋体"/>
          <w:color w:val="auto"/>
          <w:sz w:val="22"/>
          <w:highlight w:val="none"/>
          <w:shd w:val="clear" w:color="auto" w:fill="ffffff"/>
        </w:rPr>
        <w:t xml:space="preserve">2、所附表格中要求回答的全部问题和信息都必须正面回答。</w:t>
      </w:r>
      <w:r/>
    </w:p>
    <w:p>
      <w:pPr>
        <w:pStyle w:val="834"/>
        <w:ind w:left="0" w:firstLine="440"/>
        <w:jc w:val="both"/>
        <w:spacing w:before="0" w:line="360" w:lineRule="auto"/>
        <w:rPr>
          <w:rFonts w:hAnsi="宋体" w:cs="宋体"/>
          <w:color w:val="auto"/>
          <w:sz w:val="22"/>
          <w:highlight w:val="none"/>
          <w:shd w:val="clear" w:color="auto" w:fill="ffffff"/>
        </w:rPr>
      </w:pPr>
      <w:r>
        <w:rPr>
          <w:rFonts w:hint="eastAsia" w:hAnsi="宋体" w:cs="宋体"/>
          <w:color w:val="auto"/>
          <w:sz w:val="22"/>
          <w:highlight w:val="none"/>
          <w:shd w:val="clear" w:color="auto" w:fill="ffffff"/>
        </w:rPr>
        <w:t xml:space="preserve">3、本资格声明的签字人应保证全部声明和问题的回答是真实的和准确的。</w:t>
      </w:r>
      <w:r/>
    </w:p>
    <w:p>
      <w:pPr>
        <w:pStyle w:val="834"/>
        <w:ind w:left="0" w:firstLine="440"/>
        <w:jc w:val="both"/>
        <w:spacing w:before="0" w:line="360" w:lineRule="auto"/>
        <w:rPr>
          <w:rFonts w:hAnsi="宋体" w:cs="宋体"/>
          <w:color w:val="auto"/>
          <w:sz w:val="22"/>
          <w:highlight w:val="none"/>
          <w:shd w:val="clear" w:color="auto" w:fill="ffffff"/>
        </w:rPr>
      </w:pPr>
      <w:r>
        <w:rPr>
          <w:rFonts w:hAnsi="宋体" w:cs="宋体"/>
          <w:color w:val="auto"/>
          <w:sz w:val="22"/>
          <w:highlight w:val="none"/>
          <w:shd w:val="clear" w:color="auto" w:fill="ffffff"/>
        </w:rPr>
        <w:t xml:space="preserve">4</w:t>
      </w:r>
      <w:r>
        <w:rPr>
          <w:rFonts w:hint="eastAsia" w:hAnsi="宋体" w:cs="宋体"/>
          <w:color w:val="auto"/>
          <w:sz w:val="22"/>
          <w:highlight w:val="none"/>
          <w:shd w:val="clear" w:color="auto" w:fill="ffffff"/>
        </w:rPr>
        <w:t xml:space="preserve">、投标人提交的材料将被保密保存，但不退还。</w:t>
      </w:r>
      <w:r/>
    </w:p>
    <w:p>
      <w:pPr>
        <w:pStyle w:val="834"/>
        <w:ind w:left="0" w:firstLine="440"/>
        <w:jc w:val="both"/>
        <w:spacing w:before="0" w:line="360" w:lineRule="auto"/>
        <w:rPr>
          <w:rFonts w:hAnsi="宋体" w:cs="宋体"/>
          <w:color w:val="auto"/>
          <w:sz w:val="22"/>
          <w:highlight w:val="none"/>
          <w:shd w:val="clear" w:color="auto" w:fill="ffffff"/>
        </w:rPr>
      </w:pPr>
      <w:r>
        <w:rPr>
          <w:rFonts w:hAnsi="宋体" w:cs="宋体"/>
          <w:color w:val="auto"/>
          <w:sz w:val="22"/>
          <w:highlight w:val="none"/>
          <w:shd w:val="clear" w:color="auto" w:fill="ffffff"/>
        </w:rPr>
        <w:t xml:space="preserve">5</w:t>
      </w:r>
      <w:r>
        <w:rPr>
          <w:rFonts w:hint="eastAsia" w:hAnsi="宋体" w:cs="宋体"/>
          <w:color w:val="auto"/>
          <w:sz w:val="22"/>
          <w:highlight w:val="none"/>
          <w:shd w:val="clear" w:color="auto" w:fill="ffffff"/>
        </w:rPr>
        <w:t xml:space="preserve">、全部文件应按投标人须知中规定的语言和份数提交。</w:t>
      </w:r>
      <w:r/>
    </w:p>
    <w:p>
      <w:pPr>
        <w:pStyle w:val="834"/>
        <w:ind w:left="0"/>
        <w:jc w:val="both"/>
        <w:spacing w:before="0" w:line="360" w:lineRule="auto"/>
        <w:rPr>
          <w:rFonts w:hAnsi="宋体"/>
          <w:color w:val="auto"/>
          <w:sz w:val="21"/>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color w:val="auto"/>
          <w:sz w:val="21"/>
          <w:highlight w:val="none"/>
        </w:rPr>
      </w:r>
      <w:r/>
    </w:p>
    <w:p>
      <w:pPr>
        <w:pStyle w:val="834"/>
        <w:ind w:left="0"/>
        <w:jc w:val="both"/>
        <w:spacing w:before="0" w:line="360" w:lineRule="auto"/>
        <w:rPr>
          <w:rFonts w:hAnsi="宋体"/>
          <w:color w:val="auto"/>
          <w:sz w:val="21"/>
          <w:highlight w:val="none"/>
        </w:rPr>
      </w:pPr>
      <w:r>
        <w:rPr>
          <w:rFonts w:hAnsi="宋体"/>
          <w:color w:val="auto"/>
          <w:sz w:val="21"/>
          <w:highlight w:val="none"/>
        </w:rPr>
      </w:r>
      <w:r/>
    </w:p>
    <w:p>
      <w:pPr>
        <w:pStyle w:val="834"/>
        <w:ind w:left="0"/>
        <w:jc w:val="both"/>
        <w:spacing w:before="0" w:line="360" w:lineRule="auto"/>
        <w:rPr>
          <w:rFonts w:hAnsi="宋体"/>
          <w:b/>
          <w:bCs/>
          <w:color w:val="auto"/>
          <w:sz w:val="44"/>
          <w:szCs w:val="44"/>
          <w:highlight w:val="none"/>
        </w:rPr>
      </w:pPr>
      <w:r/>
      <w:bookmarkStart w:id="28" w:name="_Toc467507044"/>
      <w:r/>
      <w:bookmarkStart w:id="29" w:name="_Toc467507054"/>
      <w:r/>
      <w:bookmarkStart w:id="30" w:name="_Toc322442932"/>
      <w:r/>
      <w:bookmarkStart w:id="31" w:name="_Toc430265233"/>
      <w:r/>
      <w:bookmarkStart w:id="32" w:name="_Toc405288080"/>
      <w:r>
        <w:rPr>
          <w:rFonts w:hint="eastAsia" w:hAnsi="宋体"/>
          <w:b/>
          <w:bCs/>
          <w:color w:val="auto"/>
          <w:sz w:val="32"/>
          <w:szCs w:val="32"/>
          <w:highlight w:val="none"/>
        </w:rPr>
        <w:t xml:space="preserve">封</w:t>
      </w:r>
      <w:r>
        <w:rPr>
          <w:rFonts w:hAnsi="宋体"/>
          <w:b/>
          <w:bCs/>
          <w:color w:val="auto"/>
          <w:sz w:val="32"/>
          <w:szCs w:val="32"/>
          <w:highlight w:val="none"/>
        </w:rPr>
        <w:t xml:space="preserve"> </w:t>
      </w:r>
      <w:r>
        <w:rPr>
          <w:rFonts w:hint="eastAsia" w:hAnsi="宋体"/>
          <w:b/>
          <w:bCs/>
          <w:color w:val="auto"/>
          <w:sz w:val="32"/>
          <w:szCs w:val="32"/>
          <w:highlight w:val="none"/>
        </w:rPr>
        <w:t xml:space="preserve">面</w:t>
      </w:r>
      <w:r>
        <w:rPr>
          <w:rFonts w:hAnsi="宋体"/>
          <w:b/>
          <w:bCs/>
          <w:color w:val="auto"/>
          <w:sz w:val="32"/>
          <w:szCs w:val="32"/>
          <w:highlight w:val="none"/>
        </w:rPr>
        <w:t xml:space="preserve"> </w:t>
      </w:r>
      <w:r>
        <w:rPr>
          <w:rFonts w:hint="eastAsia" w:hAnsi="宋体"/>
          <w:b/>
          <w:bCs/>
          <w:color w:val="auto"/>
          <w:sz w:val="32"/>
          <w:szCs w:val="32"/>
          <w:highlight w:val="none"/>
        </w:rPr>
        <w:t xml:space="preserve">：</w:t>
      </w:r>
      <w:r>
        <w:rPr>
          <w:rFonts w:hAnsi="宋体"/>
          <w:b/>
          <w:bCs/>
          <w:color w:val="auto"/>
          <w:sz w:val="44"/>
          <w:szCs w:val="44"/>
          <w:highlight w:val="none"/>
        </w:rPr>
        <w:t xml:space="preserve">                          </w:t>
      </w:r>
      <w:r/>
    </w:p>
    <w:p>
      <w:pPr>
        <w:pStyle w:val="834"/>
        <w:ind w:left="0"/>
        <w:jc w:val="both"/>
        <w:spacing w:before="0" w:line="360" w:lineRule="auto"/>
        <w:rPr>
          <w:rFonts w:hAnsi="宋体"/>
          <w:color w:val="auto"/>
          <w:sz w:val="21"/>
          <w:highlight w:val="none"/>
        </w:rPr>
      </w:pPr>
      <w:r>
        <w:rPr>
          <w:rFonts w:hAnsi="宋体"/>
          <w:color w:val="auto"/>
          <w:sz w:val="21"/>
          <w:highlight w:val="none"/>
        </w:rPr>
      </w:r>
      <w:r/>
    </w:p>
    <w:p>
      <w:pPr>
        <w:pStyle w:val="834"/>
        <w:ind w:left="0"/>
        <w:jc w:val="both"/>
        <w:spacing w:before="0" w:line="360" w:lineRule="auto"/>
        <w:rPr>
          <w:rFonts w:hAnsi="宋体"/>
          <w:color w:val="auto"/>
          <w:sz w:val="21"/>
          <w:highlight w:val="none"/>
        </w:rPr>
      </w:pPr>
      <w:r>
        <w:rPr>
          <w:rFonts w:hAnsi="宋体"/>
          <w:color w:val="auto"/>
          <w:sz w:val="21"/>
          <w:highlight w:val="none"/>
        </w:rPr>
      </w:r>
      <w:r/>
    </w:p>
    <w:p>
      <w:pPr>
        <w:pStyle w:val="834"/>
        <w:ind w:left="0"/>
        <w:jc w:val="both"/>
        <w:spacing w:before="0" w:line="360" w:lineRule="auto"/>
        <w:rPr>
          <w:rFonts w:hAnsi="宋体"/>
          <w:color w:val="auto"/>
          <w:sz w:val="21"/>
          <w:highlight w:val="none"/>
        </w:rPr>
      </w:pPr>
      <w:r>
        <w:rPr>
          <w:rFonts w:hAnsi="宋体"/>
          <w:color w:val="auto"/>
          <w:sz w:val="21"/>
          <w:highlight w:val="none"/>
        </w:rPr>
      </w:r>
      <w:r/>
    </w:p>
    <w:p>
      <w:pPr>
        <w:pStyle w:val="834"/>
        <w:ind w:left="0"/>
        <w:jc w:val="center"/>
        <w:spacing w:before="0" w:line="360" w:lineRule="auto"/>
        <w:rPr>
          <w:rFonts w:hAnsi="宋体"/>
          <w:b/>
          <w:bCs/>
          <w:color w:val="auto"/>
          <w:sz w:val="72"/>
          <w:szCs w:val="72"/>
          <w:highlight w:val="none"/>
        </w:rPr>
      </w:pPr>
      <w:r>
        <w:rPr>
          <w:rFonts w:hint="eastAsia" w:hAnsi="宋体"/>
          <w:b/>
          <w:bCs/>
          <w:color w:val="auto"/>
          <w:sz w:val="72"/>
          <w:szCs w:val="72"/>
          <w:highlight w:val="none"/>
        </w:rPr>
        <w:t xml:space="preserve">投标文件</w:t>
      </w:r>
      <w:r/>
    </w:p>
    <w:p>
      <w:pPr>
        <w:pStyle w:val="834"/>
        <w:ind w:left="0"/>
        <w:jc w:val="both"/>
        <w:spacing w:before="0" w:line="360" w:lineRule="auto"/>
        <w:rPr>
          <w:rFonts w:hAnsi="宋体"/>
          <w:color w:val="auto"/>
          <w:sz w:val="21"/>
          <w:highlight w:val="none"/>
        </w:rPr>
      </w:pPr>
      <w:r>
        <w:rPr>
          <w:rFonts w:hAnsi="宋体"/>
          <w:color w:val="auto"/>
          <w:sz w:val="21"/>
          <w:highlight w:val="none"/>
        </w:rPr>
      </w:r>
      <w:r/>
    </w:p>
    <w:p>
      <w:pPr>
        <w:pStyle w:val="834"/>
        <w:ind w:left="0"/>
        <w:jc w:val="both"/>
        <w:spacing w:before="0" w:line="360" w:lineRule="auto"/>
        <w:rPr>
          <w:rFonts w:hAnsi="宋体"/>
          <w:color w:val="auto"/>
          <w:sz w:val="21"/>
          <w:highlight w:val="none"/>
        </w:rPr>
      </w:pPr>
      <w:r>
        <w:rPr>
          <w:rFonts w:hAnsi="宋体"/>
          <w:color w:val="auto"/>
          <w:sz w:val="21"/>
          <w:highlight w:val="none"/>
        </w:rPr>
      </w:r>
      <w:r/>
    </w:p>
    <w:p>
      <w:pPr>
        <w:pStyle w:val="834"/>
        <w:ind w:left="0"/>
        <w:jc w:val="both"/>
        <w:spacing w:before="0" w:line="360" w:lineRule="auto"/>
        <w:rPr>
          <w:rFonts w:hAnsi="宋体"/>
          <w:color w:val="auto"/>
          <w:sz w:val="21"/>
          <w:highlight w:val="none"/>
        </w:rPr>
      </w:pPr>
      <w:r>
        <w:rPr>
          <w:rFonts w:hAnsi="宋体"/>
          <w:color w:val="auto"/>
          <w:sz w:val="21"/>
          <w:highlight w:val="none"/>
        </w:rPr>
      </w:r>
      <w:r/>
    </w:p>
    <w:p>
      <w:pPr>
        <w:pStyle w:val="834"/>
        <w:ind w:left="0"/>
        <w:jc w:val="both"/>
        <w:spacing w:before="0" w:line="360" w:lineRule="auto"/>
        <w:rPr>
          <w:rFonts w:hAnsi="宋体"/>
          <w:color w:val="auto"/>
          <w:sz w:val="21"/>
          <w:highlight w:val="none"/>
        </w:rPr>
      </w:pPr>
      <w:r>
        <w:rPr>
          <w:rFonts w:hAnsi="宋体"/>
          <w:color w:val="auto"/>
          <w:sz w:val="21"/>
          <w:highlight w:val="none"/>
        </w:rPr>
      </w:r>
      <w:r/>
    </w:p>
    <w:p>
      <w:pPr>
        <w:pStyle w:val="834"/>
        <w:ind w:left="0"/>
        <w:jc w:val="both"/>
        <w:spacing w:before="0" w:line="360" w:lineRule="auto"/>
        <w:rPr>
          <w:rFonts w:hint="eastAsia" w:hAnsi="宋体" w:eastAsia="宋体"/>
          <w:b/>
          <w:bCs/>
          <w:color w:val="auto"/>
          <w:sz w:val="32"/>
          <w:szCs w:val="32"/>
          <w:highlight w:val="none"/>
          <w:lang w:eastAsia="zh-CN"/>
        </w:rPr>
      </w:pPr>
      <w:r>
        <w:rPr>
          <w:rFonts w:hint="eastAsia" w:hAnsi="宋体"/>
          <w:b/>
          <w:bCs/>
          <w:color w:val="auto"/>
          <w:sz w:val="36"/>
          <w:szCs w:val="36"/>
          <w:highlight w:val="none"/>
        </w:rPr>
        <w:t xml:space="preserve">采购单位：</w:t>
      </w:r>
      <w:r>
        <w:rPr>
          <w:rFonts w:hint="eastAsia" w:hAnsi="宋体"/>
          <w:color w:val="auto"/>
          <w:sz w:val="32"/>
          <w:szCs w:val="32"/>
          <w:highlight w:val="none"/>
          <w:lang w:eastAsia="zh-CN"/>
        </w:rPr>
        <w:t xml:space="preserve">江苏省太仓高新技术产业开发区管理委员会</w:t>
      </w:r>
      <w:r/>
    </w:p>
    <w:p>
      <w:pPr>
        <w:pStyle w:val="834"/>
        <w:ind w:left="0"/>
        <w:jc w:val="both"/>
        <w:spacing w:before="0" w:line="360" w:lineRule="auto"/>
        <w:rPr>
          <w:rFonts w:hint="eastAsia" w:hAnsi="宋体" w:eastAsia="宋体"/>
          <w:b/>
          <w:bCs/>
          <w:color w:val="auto"/>
          <w:sz w:val="36"/>
          <w:szCs w:val="36"/>
          <w:highlight w:val="none"/>
          <w:lang w:eastAsia="zh-CN"/>
        </w:rPr>
      </w:pPr>
      <w:r>
        <w:rPr>
          <w:rFonts w:hint="eastAsia" w:hAnsi="宋体"/>
          <w:b/>
          <w:bCs/>
          <w:color w:val="auto"/>
          <w:sz w:val="36"/>
          <w:szCs w:val="36"/>
          <w:highlight w:val="none"/>
        </w:rPr>
        <w:t xml:space="preserve">项目名称：</w:t>
      </w:r>
      <w:r>
        <w:rPr>
          <w:rFonts w:hint="eastAsia" w:hAnsi="宋体"/>
          <w:color w:val="auto"/>
          <w:sz w:val="32"/>
          <w:szCs w:val="32"/>
          <w:highlight w:val="none"/>
          <w:lang w:eastAsia="zh-CN"/>
        </w:rPr>
        <w:t xml:space="preserve">太仓高新区2025年重点项目征占用林地、采伐报批材料编制服务</w:t>
      </w:r>
      <w:r/>
    </w:p>
    <w:p>
      <w:pPr>
        <w:pStyle w:val="834"/>
        <w:ind w:left="0"/>
        <w:jc w:val="both"/>
        <w:spacing w:before="0" w:line="360" w:lineRule="auto"/>
        <w:rPr>
          <w:rFonts w:hint="eastAsia" w:hAnsi="宋体" w:eastAsia="宋体"/>
          <w:color w:val="auto"/>
          <w:sz w:val="32"/>
          <w:szCs w:val="32"/>
          <w:highlight w:val="none"/>
          <w:lang w:eastAsia="zh-CN"/>
        </w:rPr>
      </w:pPr>
      <w:r>
        <w:rPr>
          <w:rFonts w:hint="eastAsia" w:hAnsi="宋体"/>
          <w:b/>
          <w:bCs/>
          <w:color w:val="auto"/>
          <w:sz w:val="36"/>
          <w:szCs w:val="36"/>
          <w:highlight w:val="none"/>
        </w:rPr>
        <w:t xml:space="preserve">项目编号：</w:t>
      </w:r>
      <w:r>
        <w:rPr>
          <w:rFonts w:hint="eastAsia" w:hAnsi="宋体"/>
          <w:color w:val="auto"/>
          <w:sz w:val="32"/>
          <w:szCs w:val="32"/>
          <w:highlight w:val="none"/>
          <w:lang w:eastAsia="zh-CN"/>
        </w:rPr>
        <w:t xml:space="preserve">JSZC-320585-ZFXM-G2025-0007 </w:t>
      </w:r>
      <w:r/>
    </w:p>
    <w:p>
      <w:pPr>
        <w:pStyle w:val="834"/>
        <w:ind w:left="0"/>
        <w:jc w:val="both"/>
        <w:spacing w:before="0" w:line="360" w:lineRule="auto"/>
        <w:rPr>
          <w:rFonts w:hAnsi="宋体"/>
          <w:color w:val="auto"/>
          <w:sz w:val="21"/>
          <w:highlight w:val="none"/>
        </w:rPr>
      </w:pPr>
      <w:r>
        <w:rPr>
          <w:rFonts w:hAnsi="宋体"/>
          <w:color w:val="auto"/>
          <w:sz w:val="21"/>
          <w:highlight w:val="none"/>
        </w:rPr>
      </w:r>
      <w:r/>
    </w:p>
    <w:p>
      <w:pPr>
        <w:pStyle w:val="834"/>
        <w:ind w:left="0"/>
        <w:jc w:val="both"/>
        <w:spacing w:before="0" w:line="360" w:lineRule="auto"/>
        <w:rPr>
          <w:rFonts w:hAnsi="宋体"/>
          <w:color w:val="auto"/>
          <w:sz w:val="21"/>
          <w:highlight w:val="none"/>
        </w:rPr>
      </w:pPr>
      <w:r>
        <w:rPr>
          <w:rFonts w:hAnsi="宋体"/>
          <w:color w:val="auto"/>
          <w:sz w:val="21"/>
          <w:highlight w:val="none"/>
        </w:rPr>
      </w:r>
      <w:r/>
    </w:p>
    <w:p>
      <w:pPr>
        <w:pStyle w:val="834"/>
        <w:ind w:left="0"/>
        <w:jc w:val="both"/>
        <w:spacing w:before="0" w:line="360" w:lineRule="auto"/>
        <w:rPr>
          <w:rFonts w:hAnsi="宋体"/>
          <w:color w:val="auto"/>
          <w:sz w:val="21"/>
          <w:highlight w:val="none"/>
        </w:rPr>
      </w:pPr>
      <w:r>
        <w:rPr>
          <w:rFonts w:hAnsi="宋体"/>
          <w:color w:val="auto"/>
          <w:sz w:val="21"/>
          <w:highlight w:val="none"/>
        </w:rPr>
      </w:r>
      <w:r/>
    </w:p>
    <w:p>
      <w:pPr>
        <w:pStyle w:val="834"/>
        <w:ind w:left="0"/>
        <w:jc w:val="both"/>
        <w:spacing w:before="0" w:line="360" w:lineRule="auto"/>
        <w:rPr>
          <w:rFonts w:hAnsi="宋体"/>
          <w:color w:val="auto"/>
          <w:sz w:val="21"/>
          <w:highlight w:val="none"/>
        </w:rPr>
      </w:pPr>
      <w:r>
        <w:rPr>
          <w:rFonts w:hAnsi="宋体"/>
          <w:color w:val="auto"/>
          <w:sz w:val="21"/>
          <w:highlight w:val="none"/>
        </w:rPr>
      </w:r>
      <w:r/>
    </w:p>
    <w:p>
      <w:pPr>
        <w:pStyle w:val="834"/>
        <w:ind w:left="0"/>
        <w:jc w:val="both"/>
        <w:spacing w:before="0" w:line="360" w:lineRule="auto"/>
        <w:rPr>
          <w:rFonts w:hAnsi="宋体"/>
          <w:color w:val="auto"/>
          <w:sz w:val="21"/>
          <w:highlight w:val="none"/>
        </w:rPr>
      </w:pPr>
      <w:r>
        <w:rPr>
          <w:rFonts w:hAnsi="宋体"/>
          <w:color w:val="auto"/>
          <w:sz w:val="21"/>
          <w:highlight w:val="none"/>
        </w:rPr>
      </w:r>
      <w:r/>
    </w:p>
    <w:p>
      <w:pPr>
        <w:pStyle w:val="834"/>
        <w:ind w:left="0"/>
        <w:jc w:val="both"/>
        <w:spacing w:before="0" w:line="360" w:lineRule="auto"/>
        <w:rPr>
          <w:rFonts w:hAnsi="宋体"/>
          <w:b/>
          <w:bCs/>
          <w:color w:val="auto"/>
          <w:sz w:val="36"/>
          <w:szCs w:val="36"/>
          <w:highlight w:val="none"/>
          <w:u w:val="single"/>
        </w:rPr>
      </w:pPr>
      <w:r>
        <w:rPr>
          <w:rFonts w:hint="eastAsia" w:hAnsi="宋体"/>
          <w:b/>
          <w:bCs/>
          <w:color w:val="auto"/>
          <w:sz w:val="36"/>
          <w:szCs w:val="36"/>
          <w:highlight w:val="none"/>
        </w:rPr>
        <w:t xml:space="preserve">投标人</w:t>
      </w:r>
      <w:r>
        <w:rPr>
          <w:rFonts w:hAnsi="宋体"/>
          <w:color w:val="auto"/>
          <w:sz w:val="24"/>
          <w:szCs w:val="24"/>
          <w:highlight w:val="none"/>
        </w:rPr>
        <w:t xml:space="preserve">(</w:t>
      </w:r>
      <w:r>
        <w:rPr>
          <w:rFonts w:hint="eastAsia" w:hAnsi="宋体"/>
          <w:color w:val="auto"/>
          <w:sz w:val="24"/>
          <w:szCs w:val="24"/>
          <w:highlight w:val="none"/>
        </w:rPr>
        <w:t xml:space="preserve">盖章</w:t>
      </w:r>
      <w:r>
        <w:rPr>
          <w:rFonts w:hAnsi="宋体"/>
          <w:color w:val="auto"/>
          <w:sz w:val="24"/>
          <w:szCs w:val="24"/>
          <w:highlight w:val="none"/>
        </w:rPr>
        <w:t xml:space="preserve">)</w:t>
      </w:r>
      <w:r>
        <w:rPr>
          <w:rFonts w:hint="eastAsia" w:hAnsi="宋体"/>
          <w:b/>
          <w:bCs/>
          <w:color w:val="auto"/>
          <w:sz w:val="36"/>
          <w:szCs w:val="36"/>
          <w:highlight w:val="none"/>
        </w:rPr>
        <w:t xml:space="preserve">：</w:t>
      </w:r>
      <w:r>
        <w:rPr>
          <w:rFonts w:hAnsi="宋体"/>
          <w:b/>
          <w:bCs/>
          <w:color w:val="auto"/>
          <w:sz w:val="36"/>
          <w:szCs w:val="36"/>
          <w:highlight w:val="none"/>
          <w:u w:val="single"/>
        </w:rPr>
        <w:t xml:space="preserve">                              </w:t>
      </w:r>
      <w:r/>
    </w:p>
    <w:p>
      <w:pPr>
        <w:pStyle w:val="834"/>
        <w:ind w:left="0"/>
        <w:jc w:val="both"/>
        <w:spacing w:before="0" w:line="360" w:lineRule="auto"/>
        <w:rPr>
          <w:rFonts w:hAnsi="宋体"/>
          <w:color w:val="auto"/>
          <w:sz w:val="32"/>
          <w:szCs w:val="32"/>
          <w:highlight w:val="none"/>
        </w:rPr>
      </w:pPr>
      <w:r>
        <w:rPr>
          <w:rFonts w:hint="eastAsia" w:hAnsi="宋体"/>
          <w:b/>
          <w:bCs/>
          <w:color w:val="auto"/>
          <w:spacing w:val="-3"/>
          <w:sz w:val="36"/>
          <w:szCs w:val="36"/>
          <w:highlight w:val="none"/>
        </w:rPr>
        <w:t xml:space="preserve">法定代表人或其委托代理人</w:t>
      </w:r>
      <w:r>
        <w:rPr>
          <w:rFonts w:hAnsi="宋体"/>
          <w:color w:val="auto"/>
          <w:sz w:val="24"/>
          <w:szCs w:val="24"/>
          <w:highlight w:val="none"/>
        </w:rPr>
        <w:t xml:space="preserve">(</w:t>
      </w:r>
      <w:r>
        <w:rPr>
          <w:rFonts w:hint="eastAsia" w:hAnsi="宋体"/>
          <w:color w:val="auto"/>
          <w:sz w:val="24"/>
          <w:szCs w:val="24"/>
          <w:highlight w:val="none"/>
        </w:rPr>
        <w:t xml:space="preserve">签字或盖章</w:t>
      </w:r>
      <w:r>
        <w:rPr>
          <w:rFonts w:hAnsi="宋体"/>
          <w:color w:val="auto"/>
          <w:sz w:val="24"/>
          <w:szCs w:val="24"/>
          <w:highlight w:val="none"/>
        </w:rPr>
        <w:t xml:space="preserve">)</w:t>
      </w:r>
      <w:r>
        <w:rPr>
          <w:rFonts w:hint="eastAsia" w:hAnsi="宋体"/>
          <w:b/>
          <w:bCs/>
          <w:color w:val="auto"/>
          <w:sz w:val="36"/>
          <w:szCs w:val="36"/>
          <w:highlight w:val="none"/>
        </w:rPr>
        <w:t xml:space="preserve">：</w:t>
      </w:r>
      <w:r>
        <w:rPr>
          <w:rFonts w:hAnsi="宋体"/>
          <w:b/>
          <w:bCs/>
          <w:color w:val="auto"/>
          <w:spacing w:val="101"/>
          <w:sz w:val="36"/>
          <w:szCs w:val="36"/>
          <w:highlight w:val="none"/>
          <w:u w:val="single"/>
        </w:rPr>
        <w:t xml:space="preserve">    </w:t>
      </w:r>
      <w:r/>
    </w:p>
    <w:p>
      <w:pPr>
        <w:pStyle w:val="834"/>
        <w:ind w:left="0"/>
        <w:jc w:val="both"/>
        <w:spacing w:before="0" w:line="360" w:lineRule="auto"/>
        <w:rPr>
          <w:rFonts w:hAnsi="宋体"/>
          <w:color w:val="auto"/>
          <w:sz w:val="21"/>
          <w:highlight w:val="none"/>
        </w:rPr>
      </w:pPr>
      <w:r>
        <w:rPr>
          <w:rFonts w:hAnsi="宋体"/>
          <w:color w:val="auto"/>
          <w:sz w:val="21"/>
          <w:highlight w:val="none"/>
        </w:rPr>
      </w:r>
      <w:r/>
    </w:p>
    <w:p>
      <w:pPr>
        <w:pStyle w:val="834"/>
        <w:ind w:left="0"/>
        <w:jc w:val="both"/>
        <w:spacing w:before="0" w:line="360" w:lineRule="auto"/>
        <w:rPr>
          <w:rFonts w:hAnsi="宋体"/>
          <w:color w:val="auto"/>
          <w:sz w:val="21"/>
          <w:highlight w:val="none"/>
        </w:rPr>
      </w:pPr>
      <w:r>
        <w:rPr>
          <w:rFonts w:hAnsi="宋体"/>
          <w:color w:val="auto"/>
          <w:sz w:val="21"/>
          <w:highlight w:val="none"/>
        </w:rPr>
      </w:r>
      <w:r/>
    </w:p>
    <w:p>
      <w:pPr>
        <w:pStyle w:val="834"/>
        <w:ind w:left="0"/>
        <w:jc w:val="both"/>
        <w:spacing w:before="0" w:line="360" w:lineRule="auto"/>
        <w:rPr>
          <w:rFonts w:hAnsi="宋体"/>
          <w:color w:val="auto"/>
          <w:sz w:val="21"/>
          <w:highlight w:val="none"/>
        </w:rPr>
      </w:pPr>
      <w:r>
        <w:rPr>
          <w:rFonts w:hAnsi="宋体"/>
          <w:color w:val="auto"/>
          <w:sz w:val="21"/>
          <w:highlight w:val="none"/>
        </w:rPr>
      </w:r>
      <w:r/>
    </w:p>
    <w:p>
      <w:pPr>
        <w:pStyle w:val="834"/>
        <w:ind w:left="0"/>
        <w:jc w:val="both"/>
        <w:spacing w:before="0" w:line="360" w:lineRule="auto"/>
        <w:rPr>
          <w:rFonts w:hAnsi="宋体"/>
          <w:color w:val="auto"/>
          <w:sz w:val="21"/>
          <w:highlight w:val="none"/>
        </w:rPr>
      </w:pPr>
      <w:r>
        <w:rPr>
          <w:rFonts w:hAnsi="宋体"/>
          <w:color w:val="auto"/>
          <w:sz w:val="21"/>
          <w:highlight w:val="none"/>
        </w:rPr>
      </w:r>
      <w:r/>
    </w:p>
    <w:p>
      <w:pPr>
        <w:pStyle w:val="834"/>
        <w:ind w:left="0"/>
        <w:jc w:val="center"/>
        <w:spacing w:before="0" w:line="360" w:lineRule="auto"/>
        <w:rPr>
          <w:rFonts w:hAnsi="宋体"/>
          <w:b/>
          <w:bCs/>
          <w:color w:val="auto"/>
          <w:sz w:val="36"/>
          <w:szCs w:val="36"/>
          <w:highlight w:val="none"/>
        </w:rPr>
      </w:pPr>
      <w:r>
        <w:rPr>
          <w:rFonts w:hint="eastAsia" w:hAnsi="宋体"/>
          <w:b/>
          <w:bCs/>
          <w:color w:val="auto"/>
          <w:sz w:val="36"/>
          <w:szCs w:val="36"/>
          <w:highlight w:val="none"/>
        </w:rPr>
        <w:t xml:space="preserve">日期： </w:t>
      </w:r>
      <w:r>
        <w:rPr>
          <w:rFonts w:hAnsi="宋体"/>
          <w:b/>
          <w:bCs/>
          <w:color w:val="auto"/>
          <w:sz w:val="36"/>
          <w:szCs w:val="36"/>
          <w:highlight w:val="none"/>
        </w:rPr>
        <w:t xml:space="preserve">    </w:t>
      </w:r>
      <w:r>
        <w:rPr>
          <w:rFonts w:hint="eastAsia" w:hAnsi="宋体"/>
          <w:b/>
          <w:bCs/>
          <w:color w:val="auto"/>
          <w:sz w:val="36"/>
          <w:szCs w:val="36"/>
          <w:highlight w:val="none"/>
        </w:rPr>
        <w:t xml:space="preserve">年</w:t>
      </w:r>
      <w:r>
        <w:rPr>
          <w:rFonts w:hAnsi="宋体"/>
          <w:b/>
          <w:bCs/>
          <w:color w:val="auto"/>
          <w:sz w:val="36"/>
          <w:szCs w:val="36"/>
          <w:highlight w:val="none"/>
        </w:rPr>
        <w:t xml:space="preserve">    </w:t>
      </w:r>
      <w:r>
        <w:rPr>
          <w:rFonts w:hint="eastAsia" w:hAnsi="宋体"/>
          <w:b/>
          <w:bCs/>
          <w:color w:val="auto"/>
          <w:sz w:val="36"/>
          <w:szCs w:val="36"/>
          <w:highlight w:val="none"/>
        </w:rPr>
        <w:t xml:space="preserve">月</w:t>
      </w:r>
      <w:r>
        <w:rPr>
          <w:rFonts w:hAnsi="宋体"/>
          <w:b/>
          <w:bCs/>
          <w:color w:val="auto"/>
          <w:sz w:val="36"/>
          <w:szCs w:val="36"/>
          <w:highlight w:val="none"/>
        </w:rPr>
        <w:t xml:space="preserve">    </w:t>
      </w:r>
      <w:r>
        <w:rPr>
          <w:rFonts w:hint="eastAsia" w:hAnsi="宋体"/>
          <w:b/>
          <w:bCs/>
          <w:color w:val="auto"/>
          <w:sz w:val="36"/>
          <w:szCs w:val="36"/>
          <w:highlight w:val="none"/>
        </w:rPr>
        <w:t xml:space="preserve">日</w:t>
      </w:r>
      <w:r/>
    </w:p>
    <w:p>
      <w:pPr>
        <w:pStyle w:val="834"/>
        <w:ind w:left="0"/>
        <w:jc w:val="center"/>
        <w:keepLines w:val="0"/>
        <w:keepNext w:val="0"/>
        <w:pageBreakBefore w:val="0"/>
        <w:spacing w:before="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1、投标承诺函</w:t>
      </w:r>
      <w:r/>
    </w:p>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投标承诺函</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江苏兆丰项目管理有限公司</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我们收到贵单位</w:t>
      </w:r>
      <w:r>
        <w:rPr>
          <w:rFonts w:hint="eastAsia" w:ascii="宋体" w:hAnsi="宋体" w:eastAsia="宋体" w:cs="宋体"/>
          <w:color w:val="auto"/>
          <w:sz w:val="24"/>
          <w:szCs w:val="24"/>
          <w:highlight w:val="none"/>
          <w:u w:val="single"/>
        </w:rPr>
        <w:t xml:space="preserve">   （项目名称）   </w:t>
      </w:r>
      <w:r>
        <w:rPr>
          <w:rFonts w:hint="eastAsia" w:ascii="宋体" w:hAnsi="宋体" w:eastAsia="宋体" w:cs="宋体"/>
          <w:color w:val="auto"/>
          <w:sz w:val="24"/>
          <w:szCs w:val="24"/>
          <w:highlight w:val="none"/>
        </w:rPr>
        <w:t xml:space="preserve">招标文件（项目编号：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），经仔细阅读和研究，我们决定参加投标。</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我们愿意按照招标文件的一切要求，提供完成该项目的全部内容，我们的投标报价包括但不限于服务期内完成本项目所需的人工费（包括人员工资、福利费、社保费、正常节假日的加班费等），从事服务等相关工具、设备使用费以及在从事该劳动过程中发生的一切费用。报价中还包括耗材、通讯、服装、胸卡、办公设备、巡检器材、各种税费、人工、保险、劳保、维护、利润、税金、工作餐、政策性文件规定及合同包含的所有风险、责任等各项应有费用，其他临时性杂项应急服务费用也包含在投标报价中。甲方不再支付其他费用。</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2、如果我们的投标书被接受，我们将严格履行招标文件中规定的每一项要求，按期、按质、按量履行合同的义务。</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3、我们已详细审查全部招标文件，包括补充文件(更正公告)(如有)。我们完全理解并同意放弃对这方面有不明及误解的权力。</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4、我们同意按招标文件中的规定，本投标书的有效期限为投标截止日起90天。</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5、我们愿意提供采购人或采购代理机构在招标文件中要求的所有资料。</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6、我们声明：我们在参加本次政府采购活动前3年内在经营活动中没有重大违法记录。</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7、我们愿意遵守招标公告及招标文件中所列的收费标准。</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8、我们承诺该项投标在开标后的全过程中保持有效，不作任何更改和变动。</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9、如果我们中标，我们愿意按招标文件的规定支付代理服务费；</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10、我们承诺我公司符合招标文件投标人须知中“合格投标人的资格条件”的要求，若与真实情况不符，本公司愿意承担由此而产生的一切后果。</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11、我们承诺我公司中标后，合同部分或全部不予转包。</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12、综合说明：</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（1）伴随服务及配合措施；</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（2）要求甲方提供的配合；</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（3）对招标文件有不同意见的偏离说明；</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（4）其它说明。</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所有有关标书的函电，请按下列地址联系：</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单位：联系人：</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地址：邮政编码：</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联系电话：传真：</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电子邮箱：</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righ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投标单位：（单位盖章）</w:t>
      </w:r>
      <w:r/>
    </w:p>
    <w:p>
      <w:pPr>
        <w:ind w:firstLine="420"/>
        <w:jc w:val="righ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ind w:firstLine="420"/>
        <w:jc w:val="right"/>
        <w:keepLines w:val="0"/>
        <w:keepNext w:val="0"/>
        <w:pageBreakBefore w:val="0"/>
        <w:spacing w:line="360" w:lineRule="auto"/>
        <w:rPr>
          <w:rFonts w:hint="eastAsia" w:ascii="宋体" w:hAnsi="宋体" w:eastAsia="宋体" w:cs="宋体"/>
          <w:color w:val="auto"/>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int="eastAsia" w:ascii="宋体" w:hAnsi="宋体" w:eastAsia="宋体" w:cs="宋体"/>
          <w:color w:val="auto"/>
          <w:sz w:val="24"/>
          <w:szCs w:val="24"/>
          <w:highlight w:val="none"/>
        </w:rPr>
        <w:t xml:space="preserve">日期：   年  月  日</w:t>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2、法定代表人授权委托书 （如有）</w:t>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360" w:lineRule="auto"/>
        <w:rPr>
          <w:rFonts w:hint="eastAsia" w:ascii="宋体" w:hAnsi="宋体" w:eastAsia="宋体" w:cs="宋体"/>
          <w:color w:val="auto"/>
          <w:sz w:val="24"/>
          <w:szCs w:val="24"/>
          <w:highlight w:val="none"/>
        </w:rPr>
      </w:pPr>
      <w:r/>
      <w:bookmarkStart w:id="33" w:name="OLE_LINK22"/>
      <w:r>
        <w:rPr>
          <w:rFonts w:hint="eastAsia" w:ascii="宋体" w:hAnsi="宋体" w:eastAsia="宋体" w:cs="宋体"/>
          <w:color w:val="auto"/>
          <w:sz w:val="24"/>
          <w:szCs w:val="24"/>
          <w:highlight w:val="none"/>
        </w:rPr>
        <w:t xml:space="preserve">授权委托书</w:t>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本授权委托书声明：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（投标单位名称）的法定代表人，现授权委托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（单位名称）的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（姓名）为我公司代理人，以本公司的名义参加</w:t>
      </w:r>
      <w:r>
        <w:rPr>
          <w:rFonts w:hint="eastAsia" w:ascii="宋体" w:hAnsi="宋体" w:eastAsia="宋体" w:cs="宋体"/>
          <w:color w:val="auto"/>
          <w:sz w:val="24"/>
          <w:szCs w:val="24"/>
          <w:highlight w:val="none"/>
          <w:lang w:eastAsia="zh-CN"/>
        </w:rPr>
        <w:t xml:space="preserve">江苏兆丰项目管理有限公司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号的招标活动。代理人在开标、评标、合同谈判过程中所签署的一切文件和处理与这有关的一切事务，我均予以承认。</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代理人在授权委托书有效期内签署的所有文件不因授权委托的撤销而失效，除非有撤销授权委托的书面通知，本授权委托书自投标开始至合同履行完毕止。</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代理人无转委托权。特此委托！</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投标单位：（单位盖章）</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授权代理人：（签字或盖章）</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投标日期：年   月   日</w:t>
      </w:r>
      <w:bookmarkEnd w:id="33"/>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right"/>
        <w:keepLines w:val="0"/>
        <w:keepNext w:val="0"/>
        <w:pageBreakBefore w:val="0"/>
        <w:spacing w:line="360" w:lineRule="auto"/>
        <w:rPr>
          <w:rFonts w:hint="eastAsia" w:ascii="宋体" w:hAnsi="宋体" w:eastAsia="宋体" w:cs="宋体"/>
          <w:color w:val="auto"/>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3、开标一览表</w:t>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（一）</w:t>
      </w:r>
      <w:r>
        <w:rPr>
          <w:rFonts w:hint="eastAsia" w:ascii="宋体" w:hAnsi="宋体" w:eastAsia="宋体" w:cs="宋体"/>
          <w:color w:val="auto"/>
          <w:sz w:val="24"/>
          <w:szCs w:val="24"/>
          <w:highlight w:val="none"/>
        </w:rPr>
        <w:t xml:space="preserve">开标一览表</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bl>
      <w:tblPr>
        <w:tblStyle w:val="826"/>
        <w:tblW w:w="9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13"/>
        <w:gridCol w:w="6463"/>
      </w:tblGrid>
      <w:tr>
        <w:trPr>
          <w:cantSplit/>
          <w:jc w:val="center"/>
          <w:trHeight w:val="675"/>
        </w:trPr>
        <w:tc>
          <w:tcPr>
            <w:tcW w:w="2613" w:type="dxa"/>
            <w:vAlign w:val="center"/>
            <w:textDirection w:val="lrTb"/>
            <w:noWrap w:val="false"/>
          </w:tcPr>
          <w:p>
            <w:pPr>
              <w:jc w:val="center"/>
              <w:spacing w:line="320" w:lineRule="exact"/>
              <w:rPr>
                <w:rFonts w:hint="default" w:ascii="宋体" w:hAnsi="宋体" w:eastAsia="宋体" w:cs="宋体"/>
                <w:sz w:val="24"/>
                <w:szCs w:val="24"/>
              </w:rPr>
            </w:pPr>
            <w:r>
              <w:rPr>
                <w:rFonts w:hint="eastAsia" w:ascii="宋体" w:hAnsi="宋体" w:eastAsia="宋体" w:cs="宋体"/>
                <w:sz w:val="24"/>
                <w:szCs w:val="24"/>
              </w:rPr>
              <w:t xml:space="preserve">项目名称</w:t>
            </w:r>
            <w:r/>
          </w:p>
        </w:tc>
        <w:tc>
          <w:tcPr>
            <w:tcW w:w="6463" w:type="dxa"/>
            <w:vAlign w:val="center"/>
            <w:textDirection w:val="lrTb"/>
            <w:noWrap w:val="false"/>
          </w:tcPr>
          <w:p>
            <w:pPr>
              <w:jc w:val="both"/>
              <w:spacing w:line="320" w:lineRule="exact"/>
              <w:rPr>
                <w:rFonts w:hint="default" w:ascii="宋体" w:hAnsi="宋体" w:eastAsia="宋体" w:cs="宋体"/>
                <w:sz w:val="24"/>
                <w:szCs w:val="24"/>
              </w:rPr>
            </w:pPr>
            <w:r>
              <w:rPr>
                <w:rFonts w:hint="default" w:ascii="宋体" w:hAnsi="宋体" w:eastAsia="宋体" w:cs="宋体"/>
                <w:sz w:val="24"/>
                <w:szCs w:val="24"/>
              </w:rPr>
            </w:r>
            <w:r/>
          </w:p>
        </w:tc>
      </w:tr>
      <w:tr>
        <w:trPr>
          <w:cantSplit/>
          <w:jc w:val="center"/>
          <w:trHeight w:val="684"/>
        </w:trPr>
        <w:tc>
          <w:tcPr>
            <w:tcW w:w="2613" w:type="dxa"/>
            <w:vAlign w:val="center"/>
            <w:textDirection w:val="lrTb"/>
            <w:noWrap w:val="false"/>
          </w:tcPr>
          <w:p>
            <w:pPr>
              <w:jc w:val="center"/>
              <w:spacing w:line="320" w:lineRule="exact"/>
              <w:rPr>
                <w:rFonts w:hint="default" w:ascii="宋体" w:hAnsi="宋体" w:eastAsia="宋体" w:cs="宋体"/>
                <w:sz w:val="24"/>
                <w:szCs w:val="24"/>
              </w:rPr>
            </w:pPr>
            <w:r>
              <w:rPr>
                <w:rFonts w:hint="eastAsia" w:ascii="宋体" w:hAnsi="宋体" w:eastAsia="宋体" w:cs="宋体"/>
                <w:sz w:val="24"/>
                <w:szCs w:val="24"/>
              </w:rPr>
              <w:t xml:space="preserve">项目</w:t>
            </w:r>
            <w:r>
              <w:rPr>
                <w:rFonts w:hint="default" w:ascii="宋体" w:hAnsi="宋体" w:eastAsia="宋体" w:cs="宋体"/>
                <w:sz w:val="24"/>
                <w:szCs w:val="24"/>
              </w:rPr>
              <w:t xml:space="preserve">编号</w:t>
            </w:r>
            <w:r/>
          </w:p>
        </w:tc>
        <w:tc>
          <w:tcPr>
            <w:tcW w:w="6463" w:type="dxa"/>
            <w:vAlign w:val="center"/>
            <w:textDirection w:val="lrTb"/>
            <w:noWrap w:val="false"/>
          </w:tcPr>
          <w:p>
            <w:pPr>
              <w:jc w:val="both"/>
              <w:spacing w:line="360" w:lineRule="auto"/>
              <w:rPr>
                <w:rFonts w:hint="default" w:ascii="宋体" w:hAnsi="宋体" w:eastAsia="宋体" w:cs="宋体"/>
                <w:sz w:val="24"/>
                <w:szCs w:val="24"/>
              </w:rPr>
            </w:pPr>
            <w:r>
              <w:rPr>
                <w:rFonts w:hint="default" w:ascii="宋体" w:hAnsi="宋体" w:eastAsia="宋体" w:cs="宋体"/>
                <w:sz w:val="24"/>
                <w:szCs w:val="24"/>
              </w:rPr>
            </w:r>
            <w:r/>
          </w:p>
        </w:tc>
      </w:tr>
      <w:tr>
        <w:trPr>
          <w:cantSplit/>
          <w:jc w:val="center"/>
          <w:trHeight w:val="1073"/>
        </w:trPr>
        <w:tc>
          <w:tcPr>
            <w:tcW w:w="2613" w:type="dxa"/>
            <w:vAlign w:val="center"/>
            <w:textDirection w:val="lrTb"/>
            <w:noWrap w:val="false"/>
          </w:tcPr>
          <w:p>
            <w:pPr>
              <w:jc w:val="center"/>
              <w:spacing w:line="320" w:lineRule="exact"/>
              <w:rPr>
                <w:rFonts w:hint="default" w:ascii="宋体" w:hAnsi="宋体" w:eastAsia="宋体" w:cs="宋体"/>
                <w:sz w:val="24"/>
                <w:szCs w:val="24"/>
              </w:rPr>
            </w:pPr>
            <w:r>
              <w:rPr>
                <w:rFonts w:hint="eastAsia" w:ascii="宋体" w:hAnsi="宋体" w:eastAsia="宋体" w:cs="宋体"/>
                <w:sz w:val="24"/>
                <w:szCs w:val="24"/>
              </w:rPr>
              <w:t xml:space="preserve">投标报价（元）</w:t>
            </w:r>
            <w:r/>
          </w:p>
        </w:tc>
        <w:tc>
          <w:tcPr>
            <w:tcW w:w="6463" w:type="dxa"/>
            <w:vAlign w:val="center"/>
            <w:textDirection w:val="lrTb"/>
            <w:noWrap w:val="false"/>
          </w:tcPr>
          <w:p>
            <w:pPr>
              <w:jc w:val="both"/>
              <w:spacing w:line="320" w:lineRule="exact"/>
              <w:rPr>
                <w:rFonts w:hint="default" w:ascii="宋体" w:hAnsi="宋体" w:eastAsia="宋体" w:cs="宋体"/>
                <w:sz w:val="24"/>
                <w:szCs w:val="24"/>
              </w:rPr>
            </w:pPr>
            <w:r>
              <w:rPr>
                <w:rFonts w:hint="eastAsia" w:ascii="宋体" w:hAnsi="宋体" w:eastAsia="宋体" w:cs="宋体"/>
                <w:sz w:val="24"/>
                <w:szCs w:val="24"/>
              </w:rPr>
              <w:t xml:space="preserve">小写：</w:t>
            </w:r>
            <w:r/>
          </w:p>
          <w:p>
            <w:pPr>
              <w:jc w:val="both"/>
              <w:spacing w:line="320" w:lineRule="exact"/>
              <w:rPr>
                <w:rFonts w:hint="default" w:ascii="Times New Roman" w:hAnsi="Times New Roman" w:eastAsia="宋体" w:cs="Times New Roman"/>
                <w:sz w:val="24"/>
                <w:szCs w:val="24"/>
              </w:rPr>
            </w:pPr>
            <w:r>
              <w:rPr>
                <w:rFonts w:hint="default" w:ascii="宋体" w:hAnsi="宋体" w:eastAsia="宋体" w:cs="宋体"/>
                <w:sz w:val="24"/>
                <w:szCs w:val="24"/>
              </w:rPr>
              <w:t xml:space="preserve">大写</w:t>
            </w:r>
            <w:r>
              <w:rPr>
                <w:rFonts w:hint="eastAsia" w:ascii="宋体" w:hAnsi="宋体" w:eastAsia="宋体" w:cs="宋体"/>
                <w:sz w:val="24"/>
                <w:szCs w:val="24"/>
              </w:rPr>
              <w:t xml:space="preserve">：</w:t>
            </w:r>
            <w:r/>
          </w:p>
        </w:tc>
      </w:tr>
    </w:tbl>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投标单位：（单位盖章）</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center"/>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numPr>
          <w:ilvl w:val="0"/>
          <w:numId w:val="2"/>
        </w:numPr>
        <w:ind w:left="0"/>
        <w:jc w:val="center"/>
        <w:keepLines w:val="0"/>
        <w:keepNext w:val="0"/>
        <w:pageBreakBefore w:val="0"/>
        <w:spacing w:before="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报价明细表</w:t>
      </w:r>
      <w:r/>
    </w:p>
    <w:tbl>
      <w:tblPr>
        <w:tblStyle w:val="826"/>
        <w:tblW w:w="4967" w:type="pct"/>
        <w:jc w:val="center"/>
        <w:tblLayout w:type="autofit"/>
        <w:tblCellMar>
          <w:left w:w="108" w:type="dxa"/>
          <w:top w:w="15" w:type="dxa"/>
          <w:right w:w="108" w:type="dxa"/>
          <w:bottom w:w="15" w:type="dxa"/>
        </w:tblCellMar>
        <w:tblLook w:val="04A0" w:firstRow="1" w:lastRow="0" w:firstColumn="1" w:lastColumn="0" w:noHBand="0" w:noVBand="1"/>
      </w:tblPr>
      <w:tblGrid>
        <w:gridCol w:w="637"/>
        <w:gridCol w:w="1120"/>
        <w:gridCol w:w="1308"/>
        <w:gridCol w:w="857"/>
        <w:gridCol w:w="1447"/>
        <w:gridCol w:w="1036"/>
        <w:gridCol w:w="2990"/>
      </w:tblGrid>
      <w:tr>
        <w:trPr>
          <w:jc w:val="center"/>
          <w:trHeight w:val="540"/>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center"/>
              <w:keepLines w:val="0"/>
              <w:keepNext w:val="0"/>
              <w:pageBreakBefore w:val="0"/>
              <w:spacing w:line="360" w:lineRule="auto"/>
              <w:tabs>
                <w:tab w:val="left" w:pos="0" w:leader="none"/>
              </w:tabs>
              <w:rPr>
                <w:rFonts w:hint="eastAsia" w:ascii="宋体" w:hAnsi="宋体" w:eastAsia="宋体" w:cs="宋体"/>
                <w:b/>
                <w:sz w:val="24"/>
                <w:szCs w:val="24"/>
              </w:rPr>
            </w:pPr>
            <w:r>
              <w:rPr>
                <w:rFonts w:hint="eastAsia" w:ascii="宋体" w:hAnsi="宋体" w:eastAsia="宋体" w:cs="宋体"/>
                <w:b/>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工作内容</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单价（万元）</w:t>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总价（万元）</w:t>
            </w:r>
            <w:r/>
          </w:p>
        </w:tc>
        <w:tc>
          <w:tcPr>
            <w:tcBorders>
              <w:top w:val="single" w:color="000000" w:sz="4" w:space="0"/>
              <w:left w:val="single" w:color="000000" w:sz="4" w:space="0"/>
              <w:bottom w:val="single" w:color="000000" w:sz="4" w:space="0"/>
              <w:right w:val="single" w:color="000000" w:sz="4" w:space="0"/>
            </w:tcBorders>
            <w:tcW w:w="159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备注</w:t>
            </w:r>
            <w:r/>
          </w:p>
        </w:tc>
      </w:tr>
      <w:tr>
        <w:trPr>
          <w:jc w:val="center"/>
          <w:trHeight w:val="1008"/>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right w:val="single" w:color="000000" w:sz="4" w:space="0"/>
            </w:tcBorders>
            <w:tcW w:w="596" w:type="pct"/>
            <w:vAlign w:val="center"/>
            <w:vMerge w:val="restart"/>
            <w:textDirection w:val="lrTb"/>
            <w:noWrap w:val="false"/>
          </w:tcPr>
          <w:p>
            <w:pPr>
              <w:jc w:val="center"/>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太仓高新区2025年重点项目征占用林地、采伐报批材料编制服务</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使用林地可行性报告或者使用林地现状调查表材料编制</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color w:val="333333"/>
                <w:sz w:val="24"/>
                <w:szCs w:val="24"/>
                <w:lang w:val="en-US" w:eastAsia="zh-CN"/>
              </w:rPr>
              <w:t xml:space="preserve">10</w:t>
            </w:r>
            <w:r>
              <w:rPr>
                <w:rFonts w:hint="eastAsia" w:ascii="宋体" w:hAnsi="宋体" w:eastAsia="宋体" w:cs="宋体"/>
                <w:color w:val="333333"/>
                <w:sz w:val="24"/>
                <w:szCs w:val="24"/>
              </w:rPr>
              <w:t xml:space="preserve"> </w:t>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ind w:left="-82"/>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90" w:type="pct"/>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使用林地可行性报告或者使用林地现状调查表材料编制费用=5（基础价）+1.5（标准单价）x1公顷x1.5（通用调整系数，苏南发达地区为1.5）x1（专业调整系数），实际费用以占用林地面积为准</w:t>
            </w:r>
            <w:r/>
          </w:p>
        </w:tc>
      </w:tr>
      <w:tr>
        <w:trPr>
          <w:jc w:val="center"/>
          <w:trHeight w:val="1008"/>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left w:val="single" w:color="000000" w:sz="4" w:space="0"/>
              <w:right w:val="single" w:color="000000" w:sz="4" w:space="0"/>
            </w:tcBorders>
            <w:tcW w:w="596"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林木采伐作业设计书材料编制</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333333"/>
                <w:sz w:val="24"/>
                <w:szCs w:val="24"/>
                <w:lang w:val="en-US" w:eastAsia="zh-CN"/>
              </w:rPr>
            </w:pPr>
            <w:r>
              <w:rPr>
                <w:rFonts w:hint="eastAsia" w:ascii="宋体" w:hAnsi="宋体" w:eastAsia="宋体" w:cs="宋体"/>
                <w:color w:val="333333"/>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ind w:left="-82"/>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90" w:type="pct"/>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标准规定收费金额低于10w的按照10w计算，已将价格做一定的优惠</w:t>
            </w:r>
            <w:r/>
          </w:p>
        </w:tc>
      </w:tr>
      <w:tr>
        <w:trPr>
          <w:jc w:val="center"/>
          <w:trHeight w:val="1008"/>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left w:val="single" w:color="000000" w:sz="4" w:space="0"/>
              <w:bottom w:val="single" w:color="000000" w:sz="4" w:space="0"/>
              <w:right w:val="single" w:color="000000" w:sz="4" w:space="0"/>
            </w:tcBorders>
            <w:tcW w:w="596"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组卷报批</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333333"/>
                <w:sz w:val="24"/>
                <w:szCs w:val="24"/>
                <w:lang w:val="en-US" w:eastAsia="zh-CN"/>
              </w:rPr>
            </w:pPr>
            <w:r>
              <w:rPr>
                <w:rFonts w:hint="eastAsia" w:ascii="宋体" w:hAnsi="宋体" w:eastAsia="宋体" w:cs="宋体"/>
                <w:color w:val="333333"/>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ind w:left="-82"/>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90" w:type="pct"/>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723"/>
        </w:trPr>
        <w:tc>
          <w:tcPr>
            <w:gridSpan w:val="3"/>
            <w:tcBorders>
              <w:top w:val="single" w:color="auto" w:sz="4" w:space="0"/>
              <w:left w:val="single" w:color="auto" w:sz="4" w:space="0"/>
              <w:bottom w:val="single" w:color="auto" w:sz="4" w:space="0"/>
              <w:right w:val="single" w:color="000000" w:sz="4" w:space="0"/>
            </w:tcBorders>
            <w:tcW w:w="163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合计（大写）</w:t>
            </w:r>
            <w:r/>
          </w:p>
        </w:tc>
        <w:tc>
          <w:tcPr>
            <w:gridSpan w:val="4"/>
            <w:tcBorders>
              <w:top w:val="single" w:color="auto" w:sz="4" w:space="0"/>
              <w:left w:val="single" w:color="auto" w:sz="4" w:space="0"/>
              <w:bottom w:val="single" w:color="auto" w:sz="4" w:space="0"/>
              <w:right w:val="single" w:color="000000" w:sz="4" w:space="0"/>
            </w:tcBorders>
            <w:tcW w:w="336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bl>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注：1.合计金额须与开标一览表投标报价一致。</w:t>
      </w:r>
      <w:r/>
    </w:p>
    <w:p>
      <w:pPr>
        <w:ind w:firstLine="422"/>
        <w:jc w:val="left"/>
        <w:keepLines w:val="0"/>
        <w:keepNext w:val="0"/>
        <w:pageBreakBefore w:val="0"/>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rPr>
        <w:t xml:space="preserve">2.服务期内可能因政策原因导致具体实施项目数量减少，供应商在报价时应综合考虑。</w:t>
      </w:r>
      <w:r/>
    </w:p>
    <w:p>
      <w:pPr>
        <w:ind w:firstLine="480"/>
        <w:jc w:val="both"/>
        <w:keepLines w:val="0"/>
        <w:keepNext w:val="0"/>
        <w:pageBreakBefore w:val="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firstLine="480"/>
        <w:jc w:val="both"/>
        <w:keepLines w:val="0"/>
        <w:keepNext w:val="0"/>
        <w:pageBreakBefore w:val="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firstLine="480"/>
        <w:jc w:val="both"/>
        <w:keepLines w:val="0"/>
        <w:keepNext w:val="0"/>
        <w:pageBreakBefore w:val="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投标人：（</w:t>
      </w:r>
      <w:r>
        <w:rPr>
          <w:rFonts w:hint="eastAsia" w:ascii="宋体" w:hAnsi="宋体" w:eastAsia="宋体" w:cs="宋体"/>
          <w:sz w:val="24"/>
          <w:szCs w:val="24"/>
          <w:lang w:val="zh-CN"/>
        </w:rPr>
        <w:t xml:space="preserve">公章</w:t>
      </w:r>
      <w:r>
        <w:rPr>
          <w:rFonts w:hint="eastAsia" w:ascii="宋体" w:hAnsi="宋体" w:eastAsia="宋体" w:cs="宋体"/>
          <w:bCs/>
          <w:sz w:val="24"/>
          <w:szCs w:val="24"/>
          <w:lang w:val="zh-CN"/>
        </w:rPr>
        <w:t xml:space="preserve">）</w:t>
      </w:r>
      <w:r/>
    </w:p>
    <w:p>
      <w:pPr>
        <w:ind w:firstLine="480"/>
        <w:jc w:val="both"/>
        <w:keepLines w:val="0"/>
        <w:keepNext w:val="0"/>
        <w:pageBreakBefore w:val="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法定代表人或代理人：（签字或盖章）</w:t>
      </w:r>
      <w:r/>
    </w:p>
    <w:p>
      <w:pPr>
        <w:ind w:firstLine="480"/>
        <w:jc w:val="both"/>
        <w:keepLines w:val="0"/>
        <w:keepNext w:val="0"/>
        <w:pageBreakBefore w:val="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日期：年月日</w:t>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right"/>
        <w:keepLines w:val="0"/>
        <w:keepNext w:val="0"/>
        <w:pageBreakBefore w:val="0"/>
        <w:spacing w:line="360" w:lineRule="auto"/>
        <w:rPr>
          <w:rFonts w:hint="eastAsia" w:ascii="宋体" w:hAnsi="宋体" w:eastAsia="宋体" w:cs="宋体"/>
          <w:color w:val="auto"/>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4、关于资格文件的声明函</w:t>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关于资格文件的声明函</w:t>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江苏兆丰项目管理有限公司</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本公司愿就由贵单位组织实施的编号为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投标单位（单位盖章）：</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法定代表人或授权代理人（签字或盖章）：</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投标日期：     年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月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日</w:t>
      </w:r>
      <w:r/>
    </w:p>
    <w:p>
      <w:pPr>
        <w:ind w:firstLine="420"/>
        <w:jc w:val="right"/>
        <w:keepLines w:val="0"/>
        <w:keepNext w:val="0"/>
        <w:pageBreakBefore w:val="0"/>
        <w:spacing w:line="360" w:lineRule="auto"/>
        <w:rPr>
          <w:rFonts w:hint="eastAsia" w:ascii="宋体" w:hAnsi="宋体" w:eastAsia="宋体" w:cs="宋体"/>
          <w:color w:val="auto"/>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5、参加政府采购活动前三年内，在经营活动中没有重大违法记录声明</w:t>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参加政府采购活动前三年内，在经营活动中没有重大违法记录声明</w:t>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lang w:eastAsia="zh-CN"/>
        </w:rPr>
        <w:t xml:space="preserve">江苏兆丰项目管理有限公司</w:t>
      </w:r>
      <w:r>
        <w:rPr>
          <w:rFonts w:hint="eastAsia" w:ascii="宋体" w:hAnsi="宋体" w:eastAsia="宋体" w:cs="宋体"/>
          <w:color w:val="auto"/>
          <w:sz w:val="24"/>
          <w:szCs w:val="24"/>
          <w:highlight w:val="none"/>
        </w:rPr>
        <w:t xml:space="preserve">：</w:t>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w:t>
      </w:r>
      <w:r>
        <w:rPr>
          <w:rFonts w:hint="eastAsia" w:ascii="宋体" w:hAnsi="宋体" w:eastAsia="宋体" w:cs="宋体"/>
          <w:color w:val="auto"/>
          <w:sz w:val="24"/>
          <w:szCs w:val="24"/>
          <w:highlight w:val="none"/>
          <w:u w:val="single"/>
        </w:rPr>
        <w:t xml:space="preserve">         （供应商名称）         </w:t>
      </w:r>
      <w:r>
        <w:rPr>
          <w:rFonts w:hint="eastAsia" w:ascii="宋体" w:hAnsi="宋体" w:eastAsia="宋体" w:cs="宋体"/>
          <w:color w:val="auto"/>
          <w:sz w:val="24"/>
          <w:szCs w:val="24"/>
          <w:highlight w:val="none"/>
        </w:rPr>
        <w:t xml:space="preserve">在参加政府采购活动前三年内，没有重大违法记录，特此声明。</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若采购代理机构在本项目采购过程中发现我单位近三年内在经营活动中有重大违法记录，我单位将无条件退出本项目的招标，并承担因此引起的一切后果。</w:t>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投标单位：（单位盖章）</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法定代表人（负责人）或代理人（签字或盖章）：   </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投标日期：  年   月   日  </w:t>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6、投标单位情况表</w:t>
      </w:r>
      <w:r/>
    </w:p>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投标单位情况表</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单位名称（盖章）：</w:t>
      </w:r>
      <w:r/>
    </w:p>
    <w:tbl>
      <w:tblPr>
        <w:tblStyle w:val="826"/>
        <w:tblW w:w="9356"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68"/>
        <w:gridCol w:w="2552"/>
        <w:gridCol w:w="1417"/>
        <w:gridCol w:w="1701"/>
        <w:gridCol w:w="1418"/>
      </w:tblGrid>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成立日期</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企业地址</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职工人数</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11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净资产</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股东权益</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ind w:firstLine="84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销售收入</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上一</w:t>
            </w:r>
            <w:r>
              <w:rPr>
                <w:rFonts w:hint="eastAsia" w:ascii="宋体" w:hAnsi="宋体" w:eastAsia="宋体" w:cs="宋体"/>
                <w:color w:val="auto"/>
                <w:sz w:val="24"/>
                <w:szCs w:val="24"/>
                <w:highlight w:val="none"/>
              </w:rPr>
              <w:t xml:space="preserve">年           万元</w:t>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上一</w:t>
            </w:r>
            <w:r>
              <w:rPr>
                <w:rFonts w:hint="eastAsia" w:ascii="宋体" w:hAnsi="宋体" w:eastAsia="宋体" w:cs="宋体"/>
                <w:color w:val="auto"/>
                <w:sz w:val="24"/>
                <w:szCs w:val="24"/>
                <w:highlight w:val="none"/>
              </w:rPr>
              <w:t xml:space="preserve">年   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营业面积（含厂房面积）</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平方米</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自有面积         平方米</w:t>
            </w:r>
            <w:r/>
          </w:p>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承租面积         平方米</w:t>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近两年来完成或正在履行的重大合同情况</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最近2年内在经营过程中受到何种奖励或处分（包括情况和结果）</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最近3年内有无因售假、售劣或是其他原因被消费者投诉或起诉的情况及说明（包括解决方式和结果）</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最近3年内主要负责人有无因经济犯罪被司法机关追究的情况及说明</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获得资格认证的负责人及简介</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keepLines w:val="0"/>
        <w:keepNext w:val="0"/>
        <w:pageBreakBefore w:val="0"/>
        <w:spacing w:line="360" w:lineRule="auto"/>
        <w:rPr>
          <w:rFonts w:hint="eastAsia" w:ascii="宋体" w:hAnsi="宋体" w:eastAsia="宋体" w:cs="宋体"/>
          <w:b/>
          <w:bCs/>
          <w:color w:val="auto"/>
          <w:sz w:val="24"/>
          <w:szCs w:val="24"/>
          <w:highlight w:val="none"/>
        </w:rPr>
      </w:pPr>
      <w:r/>
      <w:bookmarkStart w:id="34" w:name="_Hlk150944067"/>
      <w:r/>
      <w:bookmarkEnd w:id="34"/>
      <w:r>
        <w:rPr>
          <w:rFonts w:hint="eastAsia" w:ascii="宋体" w:hAnsi="宋体" w:eastAsia="宋体" w:cs="宋体"/>
          <w:b/>
          <w:bCs/>
          <w:color w:val="auto"/>
          <w:sz w:val="24"/>
          <w:szCs w:val="24"/>
          <w:highlight w:val="none"/>
        </w:rPr>
        <w:t xml:space="preserve">7、服务</w:t>
      </w:r>
      <w:r>
        <w:rPr>
          <w:rFonts w:hint="eastAsia" w:ascii="宋体" w:hAnsi="宋体" w:eastAsia="宋体" w:cs="宋体"/>
          <w:b/>
          <w:bCs/>
          <w:color w:val="auto"/>
          <w:sz w:val="24"/>
          <w:szCs w:val="24"/>
          <w:highlight w:val="none"/>
          <w:lang w:val="en-US" w:eastAsia="zh-CN"/>
        </w:rPr>
        <w:t xml:space="preserve">(技术)</w:t>
      </w:r>
      <w:r>
        <w:rPr>
          <w:rFonts w:hint="eastAsia" w:ascii="宋体" w:hAnsi="宋体" w:eastAsia="宋体" w:cs="宋体"/>
          <w:b/>
          <w:bCs/>
          <w:color w:val="auto"/>
          <w:sz w:val="24"/>
          <w:szCs w:val="24"/>
          <w:highlight w:val="none"/>
        </w:rPr>
        <w:t xml:space="preserve">要求偏离表</w:t>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360" w:lineRule="auto"/>
        <w:rPr>
          <w:rFonts w:hint="eastAsia" w:ascii="宋体" w:hAnsi="宋体" w:eastAsia="宋体" w:cs="宋体"/>
          <w:color w:val="auto"/>
          <w:sz w:val="24"/>
          <w:szCs w:val="24"/>
          <w:highlight w:val="none"/>
        </w:rPr>
      </w:pPr>
      <w:r/>
      <w:bookmarkStart w:id="35" w:name="OLE_LINK25"/>
      <w:r>
        <w:rPr>
          <w:rFonts w:hint="eastAsia" w:ascii="宋体" w:hAnsi="宋体" w:eastAsia="宋体" w:cs="宋体"/>
          <w:color w:val="auto"/>
          <w:sz w:val="24"/>
          <w:szCs w:val="24"/>
          <w:highlight w:val="none"/>
        </w:rPr>
        <w:t xml:space="preserve">服务(技术)要求偏离表</w:t>
      </w:r>
      <w:r/>
    </w:p>
    <w:tbl>
      <w:tblPr>
        <w:tblStyle w:val="826"/>
        <w:tblW w:w="94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1959"/>
        <w:gridCol w:w="1843"/>
        <w:gridCol w:w="1559"/>
        <w:gridCol w:w="1134"/>
      </w:tblGrid>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w:t>
            </w:r>
            <w:r/>
          </w:p>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服务要求</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w:t>
            </w:r>
            <w:r/>
          </w:p>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偏离情况</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注：1.投标人应在本表中对照招标文件服务要求与实际投标服务要求逐项对应列出，并在“偏离说明”项下填写以下内容：优于的，填写“正偏离”；符合的，填写“无偏离”；低于的，填写“负偏离”。</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2.若事项较多，投标人可根据投标内容的实际情况另纸说明，不列出视为完全响应。</w:t>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投标单位：（公章）</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bookmarkEnd w:id="35"/>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8、商务偏离表</w:t>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360" w:lineRule="auto"/>
        <w:rPr>
          <w:rFonts w:hint="eastAsia" w:ascii="宋体" w:hAnsi="宋体" w:eastAsia="宋体" w:cs="宋体"/>
          <w:color w:val="auto"/>
          <w:sz w:val="24"/>
          <w:szCs w:val="24"/>
          <w:highlight w:val="none"/>
        </w:rPr>
      </w:pPr>
      <w:r/>
      <w:bookmarkStart w:id="36" w:name="OLE_LINK24"/>
      <w:r/>
      <w:bookmarkStart w:id="37" w:name="OLE_LINK23"/>
      <w:r>
        <w:rPr>
          <w:rFonts w:hint="eastAsia" w:ascii="宋体" w:hAnsi="宋体" w:eastAsia="宋体" w:cs="宋体"/>
          <w:color w:val="auto"/>
          <w:sz w:val="24"/>
          <w:szCs w:val="24"/>
          <w:highlight w:val="none"/>
        </w:rPr>
        <w:t xml:space="preserve">商务条款偏离表</w:t>
      </w:r>
      <w:r/>
    </w:p>
    <w:tbl>
      <w:tblPr>
        <w:tblStyle w:val="826"/>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959"/>
        <w:gridCol w:w="1842"/>
        <w:gridCol w:w="1578"/>
        <w:gridCol w:w="1000"/>
      </w:tblGrid>
      <w:tr>
        <w:trPr>
          <w:cantSplit/>
          <w:trHeight w:val="567"/>
          <w:tblHeader/>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招标文件的商务条款</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投标文件的商务条款</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偏离说明</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服务地点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付款方式</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结算方式</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其他商务要求</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1.投标人提交的投标文件中与招标文件的商务要求有不同时，应在本表中把招标文件要求与投标实际响应内容逐项对应列出，优于的，填写“正偏离”；低于的，填写“负偏离”。</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2.若事项较多，投标人可根据投标内容的实际情况另纸说明，不列出视为完全响应。</w:t>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投标单位：（公章）</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投标日期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年  月   日</w:t>
      </w:r>
      <w:bookmarkEnd w:id="36"/>
      <w:r/>
      <w:bookmarkEnd w:id="37"/>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pStyle w:val="831"/>
        <w:ind w:right="960"/>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9、企业类似业绩一览表</w:t>
      </w:r>
      <w:r/>
    </w:p>
    <w:p>
      <w:pPr>
        <w:ind w:firstLine="480"/>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企业类似业绩一览表</w:t>
      </w:r>
      <w:r/>
    </w:p>
    <w:tbl>
      <w:tblPr>
        <w:tblStyle w:val="826"/>
        <w:tblW w:w="92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530"/>
        <w:gridCol w:w="1462"/>
        <w:gridCol w:w="1485"/>
        <w:gridCol w:w="2164"/>
        <w:gridCol w:w="1923"/>
      </w:tblGrid>
      <w:tr>
        <w:trPr>
          <w:jc w:val="center"/>
        </w:trPr>
        <w:tc>
          <w:tcPr>
            <w:tcW w:w="688" w:type="dxa"/>
            <w:vAlign w:val="center"/>
            <w:textDirection w:val="lrTb"/>
            <w:noWrap w:val="false"/>
          </w:tcPr>
          <w:p>
            <w:pPr>
              <w:pStyle w:val="109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530" w:type="dxa"/>
            <w:vAlign w:val="center"/>
            <w:textDirection w:val="lrTb"/>
            <w:noWrap w:val="false"/>
          </w:tcPr>
          <w:p>
            <w:pPr>
              <w:pStyle w:val="109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1462" w:type="dxa"/>
            <w:vAlign w:val="center"/>
            <w:textDirection w:val="lrTb"/>
            <w:noWrap w:val="false"/>
          </w:tcPr>
          <w:p>
            <w:pPr>
              <w:pStyle w:val="109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签订时间</w:t>
            </w:r>
            <w:r/>
          </w:p>
        </w:tc>
        <w:tc>
          <w:tcPr>
            <w:tcW w:w="1485" w:type="dxa"/>
            <w:vAlign w:val="center"/>
            <w:textDirection w:val="lrTb"/>
            <w:noWrap w:val="false"/>
          </w:tcPr>
          <w:p>
            <w:pPr>
              <w:pStyle w:val="109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合同金额</w:t>
            </w:r>
            <w:r/>
          </w:p>
          <w:p>
            <w:pPr>
              <w:pStyle w:val="109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w:t>
            </w:r>
            <w:r/>
          </w:p>
        </w:tc>
        <w:tc>
          <w:tcPr>
            <w:tcW w:w="2164" w:type="dxa"/>
            <w:vAlign w:val="center"/>
            <w:textDirection w:val="lrTb"/>
            <w:noWrap w:val="false"/>
          </w:tcPr>
          <w:p>
            <w:pPr>
              <w:pStyle w:val="109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业主单位</w:t>
            </w:r>
            <w:r/>
          </w:p>
        </w:tc>
        <w:tc>
          <w:tcPr>
            <w:tcW w:w="1923" w:type="dxa"/>
            <w:vAlign w:val="center"/>
            <w:textDirection w:val="lrTb"/>
            <w:noWrap w:val="false"/>
          </w:tcPr>
          <w:p>
            <w:pPr>
              <w:pStyle w:val="109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Pr>
        <w:tc>
          <w:tcPr>
            <w:tcW w:w="688" w:type="dxa"/>
            <w:vAlign w:val="center"/>
            <w:textDirection w:val="lrTb"/>
            <w:noWrap w:val="false"/>
          </w:tcPr>
          <w:p>
            <w:pPr>
              <w:pStyle w:val="109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530" w:type="dxa"/>
            <w:vAlign w:val="center"/>
            <w:textDirection w:val="lrTb"/>
            <w:noWrap w:val="false"/>
          </w:tcPr>
          <w:p>
            <w:pPr>
              <w:pStyle w:val="109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2" w:type="dxa"/>
            <w:textDirection w:val="lrTb"/>
            <w:noWrap w:val="false"/>
          </w:tcPr>
          <w:p>
            <w:pPr>
              <w:pStyle w:val="109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5" w:type="dxa"/>
            <w:vAlign w:val="center"/>
            <w:textDirection w:val="lrTb"/>
            <w:noWrap w:val="false"/>
          </w:tcPr>
          <w:p>
            <w:pPr>
              <w:pStyle w:val="109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4" w:type="dxa"/>
            <w:vAlign w:val="center"/>
            <w:textDirection w:val="lrTb"/>
            <w:noWrap w:val="false"/>
          </w:tcPr>
          <w:p>
            <w:pPr>
              <w:pStyle w:val="109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3" w:type="dxa"/>
            <w:vAlign w:val="center"/>
            <w:textDirection w:val="lrTb"/>
            <w:noWrap w:val="false"/>
          </w:tcPr>
          <w:p>
            <w:pPr>
              <w:pStyle w:val="109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688" w:type="dxa"/>
            <w:vAlign w:val="center"/>
            <w:textDirection w:val="lrTb"/>
            <w:noWrap w:val="false"/>
          </w:tcPr>
          <w:p>
            <w:pPr>
              <w:pStyle w:val="109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530" w:type="dxa"/>
            <w:vAlign w:val="center"/>
            <w:textDirection w:val="lrTb"/>
            <w:noWrap w:val="false"/>
          </w:tcPr>
          <w:p>
            <w:pPr>
              <w:pStyle w:val="109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2" w:type="dxa"/>
            <w:textDirection w:val="lrTb"/>
            <w:noWrap w:val="false"/>
          </w:tcPr>
          <w:p>
            <w:pPr>
              <w:pStyle w:val="109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5" w:type="dxa"/>
            <w:vAlign w:val="center"/>
            <w:textDirection w:val="lrTb"/>
            <w:noWrap w:val="false"/>
          </w:tcPr>
          <w:p>
            <w:pPr>
              <w:pStyle w:val="109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4" w:type="dxa"/>
            <w:vAlign w:val="center"/>
            <w:textDirection w:val="lrTb"/>
            <w:noWrap w:val="false"/>
          </w:tcPr>
          <w:p>
            <w:pPr>
              <w:pStyle w:val="109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3" w:type="dxa"/>
            <w:vAlign w:val="center"/>
            <w:textDirection w:val="lrTb"/>
            <w:noWrap w:val="false"/>
          </w:tcPr>
          <w:p>
            <w:pPr>
              <w:pStyle w:val="109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688" w:type="dxa"/>
            <w:vAlign w:val="center"/>
            <w:textDirection w:val="lrTb"/>
            <w:noWrap w:val="false"/>
          </w:tcPr>
          <w:p>
            <w:pPr>
              <w:pStyle w:val="109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530" w:type="dxa"/>
            <w:vAlign w:val="center"/>
            <w:textDirection w:val="lrTb"/>
            <w:noWrap w:val="false"/>
          </w:tcPr>
          <w:p>
            <w:pPr>
              <w:pStyle w:val="109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2" w:type="dxa"/>
            <w:textDirection w:val="lrTb"/>
            <w:noWrap w:val="false"/>
          </w:tcPr>
          <w:p>
            <w:pPr>
              <w:pStyle w:val="109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5" w:type="dxa"/>
            <w:vAlign w:val="center"/>
            <w:textDirection w:val="lrTb"/>
            <w:noWrap w:val="false"/>
          </w:tcPr>
          <w:p>
            <w:pPr>
              <w:pStyle w:val="109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4" w:type="dxa"/>
            <w:vAlign w:val="center"/>
            <w:textDirection w:val="lrTb"/>
            <w:noWrap w:val="false"/>
          </w:tcPr>
          <w:p>
            <w:pPr>
              <w:pStyle w:val="109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3" w:type="dxa"/>
            <w:vAlign w:val="center"/>
            <w:textDirection w:val="lrTb"/>
            <w:noWrap w:val="false"/>
          </w:tcPr>
          <w:p>
            <w:pPr>
              <w:pStyle w:val="109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688" w:type="dxa"/>
            <w:vAlign w:val="center"/>
            <w:textDirection w:val="lrTb"/>
            <w:noWrap w:val="false"/>
          </w:tcPr>
          <w:p>
            <w:pPr>
              <w:pStyle w:val="109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530" w:type="dxa"/>
            <w:vAlign w:val="center"/>
            <w:textDirection w:val="lrTb"/>
            <w:noWrap w:val="false"/>
          </w:tcPr>
          <w:p>
            <w:pPr>
              <w:pStyle w:val="109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2" w:type="dxa"/>
            <w:textDirection w:val="lrTb"/>
            <w:noWrap w:val="false"/>
          </w:tcPr>
          <w:p>
            <w:pPr>
              <w:pStyle w:val="109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5" w:type="dxa"/>
            <w:vAlign w:val="center"/>
            <w:textDirection w:val="lrTb"/>
            <w:noWrap w:val="false"/>
          </w:tcPr>
          <w:p>
            <w:pPr>
              <w:pStyle w:val="109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4" w:type="dxa"/>
            <w:vAlign w:val="center"/>
            <w:textDirection w:val="lrTb"/>
            <w:noWrap w:val="false"/>
          </w:tcPr>
          <w:p>
            <w:pPr>
              <w:pStyle w:val="109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3" w:type="dxa"/>
            <w:vAlign w:val="center"/>
            <w:textDirection w:val="lrTb"/>
            <w:noWrap w:val="false"/>
          </w:tcPr>
          <w:p>
            <w:pPr>
              <w:pStyle w:val="109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688" w:type="dxa"/>
            <w:vAlign w:val="center"/>
            <w:textDirection w:val="lrTb"/>
            <w:noWrap w:val="false"/>
          </w:tcPr>
          <w:p>
            <w:pPr>
              <w:pStyle w:val="109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530" w:type="dxa"/>
            <w:vAlign w:val="center"/>
            <w:textDirection w:val="lrTb"/>
            <w:noWrap w:val="false"/>
          </w:tcPr>
          <w:p>
            <w:pPr>
              <w:pStyle w:val="109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2" w:type="dxa"/>
            <w:textDirection w:val="lrTb"/>
            <w:noWrap w:val="false"/>
          </w:tcPr>
          <w:p>
            <w:pPr>
              <w:pStyle w:val="109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5" w:type="dxa"/>
            <w:vAlign w:val="center"/>
            <w:textDirection w:val="lrTb"/>
            <w:noWrap w:val="false"/>
          </w:tcPr>
          <w:p>
            <w:pPr>
              <w:pStyle w:val="109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4" w:type="dxa"/>
            <w:vAlign w:val="center"/>
            <w:textDirection w:val="lrTb"/>
            <w:noWrap w:val="false"/>
          </w:tcPr>
          <w:p>
            <w:pPr>
              <w:pStyle w:val="109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3" w:type="dxa"/>
            <w:vAlign w:val="center"/>
            <w:textDirection w:val="lrTb"/>
            <w:noWrap w:val="false"/>
          </w:tcPr>
          <w:p>
            <w:pPr>
              <w:pStyle w:val="109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688" w:type="dxa"/>
            <w:vAlign w:val="center"/>
            <w:textDirection w:val="lrTb"/>
            <w:noWrap w:val="false"/>
          </w:tcPr>
          <w:p>
            <w:pPr>
              <w:pStyle w:val="109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530" w:type="dxa"/>
            <w:vAlign w:val="center"/>
            <w:textDirection w:val="lrTb"/>
            <w:noWrap w:val="false"/>
          </w:tcPr>
          <w:p>
            <w:pPr>
              <w:pStyle w:val="109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2" w:type="dxa"/>
            <w:textDirection w:val="lrTb"/>
            <w:noWrap w:val="false"/>
          </w:tcPr>
          <w:p>
            <w:pPr>
              <w:pStyle w:val="109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5" w:type="dxa"/>
            <w:vAlign w:val="center"/>
            <w:textDirection w:val="lrTb"/>
            <w:noWrap w:val="false"/>
          </w:tcPr>
          <w:p>
            <w:pPr>
              <w:pStyle w:val="109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4" w:type="dxa"/>
            <w:vAlign w:val="center"/>
            <w:textDirection w:val="lrTb"/>
            <w:noWrap w:val="false"/>
          </w:tcPr>
          <w:p>
            <w:pPr>
              <w:pStyle w:val="109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3" w:type="dxa"/>
            <w:vAlign w:val="center"/>
            <w:textDirection w:val="lrTb"/>
            <w:noWrap w:val="false"/>
          </w:tcPr>
          <w:p>
            <w:pPr>
              <w:pStyle w:val="109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688" w:type="dxa"/>
            <w:vAlign w:val="center"/>
            <w:textDirection w:val="lrTb"/>
            <w:noWrap w:val="false"/>
          </w:tcPr>
          <w:p>
            <w:pPr>
              <w:pStyle w:val="109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0" w:type="dxa"/>
            <w:vAlign w:val="center"/>
            <w:textDirection w:val="lrTb"/>
            <w:noWrap w:val="false"/>
          </w:tcPr>
          <w:p>
            <w:pPr>
              <w:pStyle w:val="109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2" w:type="dxa"/>
            <w:textDirection w:val="lrTb"/>
            <w:noWrap w:val="false"/>
          </w:tcPr>
          <w:p>
            <w:pPr>
              <w:pStyle w:val="109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5" w:type="dxa"/>
            <w:vAlign w:val="center"/>
            <w:textDirection w:val="lrTb"/>
            <w:noWrap w:val="false"/>
          </w:tcPr>
          <w:p>
            <w:pPr>
              <w:pStyle w:val="109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4" w:type="dxa"/>
            <w:vAlign w:val="center"/>
            <w:textDirection w:val="lrTb"/>
            <w:noWrap w:val="false"/>
          </w:tcPr>
          <w:p>
            <w:pPr>
              <w:pStyle w:val="109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3" w:type="dxa"/>
            <w:vAlign w:val="center"/>
            <w:textDirection w:val="lrTb"/>
            <w:noWrap w:val="false"/>
          </w:tcPr>
          <w:p>
            <w:pPr>
              <w:pStyle w:val="109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688" w:type="dxa"/>
            <w:vAlign w:val="center"/>
            <w:textDirection w:val="lrTb"/>
            <w:noWrap w:val="false"/>
          </w:tcPr>
          <w:p>
            <w:pPr>
              <w:pStyle w:val="109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0" w:type="dxa"/>
            <w:vAlign w:val="center"/>
            <w:textDirection w:val="lrTb"/>
            <w:noWrap w:val="false"/>
          </w:tcPr>
          <w:p>
            <w:pPr>
              <w:pStyle w:val="109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2" w:type="dxa"/>
            <w:textDirection w:val="lrTb"/>
            <w:noWrap w:val="false"/>
          </w:tcPr>
          <w:p>
            <w:pPr>
              <w:pStyle w:val="109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5" w:type="dxa"/>
            <w:vAlign w:val="center"/>
            <w:textDirection w:val="lrTb"/>
            <w:noWrap w:val="false"/>
          </w:tcPr>
          <w:p>
            <w:pPr>
              <w:pStyle w:val="109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4" w:type="dxa"/>
            <w:vAlign w:val="center"/>
            <w:textDirection w:val="lrTb"/>
            <w:noWrap w:val="false"/>
          </w:tcPr>
          <w:p>
            <w:pPr>
              <w:pStyle w:val="109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3" w:type="dxa"/>
            <w:vAlign w:val="center"/>
            <w:textDirection w:val="lrTb"/>
            <w:noWrap w:val="false"/>
          </w:tcPr>
          <w:p>
            <w:pPr>
              <w:pStyle w:val="1096"/>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附：1.根据招标文件及评分标书填写，并附相关证明文件；2、表格不够填写可添加。</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3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投标单位（单位盖章）： </w:t>
      </w:r>
      <w:r/>
    </w:p>
    <w:p>
      <w:pPr>
        <w:ind w:firstLine="43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ind w:firstLine="43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10、拟投入本项目的专业技术（服务）人员情况一览表</w:t>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拟投入本项目的专业技术（服务）人员情况一览表</w:t>
      </w:r>
      <w:r/>
    </w:p>
    <w:p>
      <w:pPr>
        <w:keepLines w:val="0"/>
        <w:keepNext w:val="0"/>
        <w:pageBreakBefore w:val="0"/>
        <w:spacing w:line="360" w:lineRule="auto"/>
        <w:rPr>
          <w:rFonts w:hint="eastAsia" w:ascii="宋体" w:hAnsi="宋体" w:eastAsia="宋体" w:cs="宋体"/>
          <w:b/>
          <w:color w:val="auto"/>
          <w:sz w:val="24"/>
          <w:szCs w:val="24"/>
          <w:highlight w:val="none"/>
          <w:lang w:val="zh-CN"/>
        </w:rPr>
      </w:pPr>
      <w:r>
        <w:rPr>
          <w:rFonts w:hint="eastAsia" w:ascii="宋体" w:hAnsi="宋体" w:eastAsia="宋体" w:cs="宋体"/>
          <w:color w:val="auto"/>
          <w:sz w:val="24"/>
          <w:szCs w:val="24"/>
          <w:highlight w:val="none"/>
          <w:lang w:val="zh-CN"/>
        </w:rPr>
        <w:t xml:space="preserve">采购项目名称：                                 采购项目编号：</w:t>
      </w:r>
      <w:r/>
    </w:p>
    <w:tbl>
      <w:tblPr>
        <w:tblStyle w:val="826"/>
        <w:tblW w:w="95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828"/>
        <w:gridCol w:w="1389"/>
        <w:gridCol w:w="1357"/>
        <w:gridCol w:w="1967"/>
        <w:gridCol w:w="2251"/>
      </w:tblGrid>
      <w:tr>
        <w:trPr/>
        <w:tc>
          <w:tcPr>
            <w:tcW w:w="71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82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岗位</w:t>
            </w:r>
            <w:r/>
          </w:p>
        </w:tc>
        <w:tc>
          <w:tcPr>
            <w:tcW w:w="138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135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性别</w:t>
            </w:r>
            <w:r/>
          </w:p>
        </w:tc>
        <w:tc>
          <w:tcPr>
            <w:tcW w:w="196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资格</w:t>
            </w:r>
            <w:r/>
          </w:p>
        </w:tc>
        <w:tc>
          <w:tcPr>
            <w:tcW w:w="225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r>
      <w:tr>
        <w:trPr/>
        <w:tc>
          <w:tcPr>
            <w:tcW w:w="71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5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1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38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5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1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5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1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5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1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5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1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5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1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5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1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5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1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5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1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5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附：按照招标文件要求提供相应证明材料。</w:t>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投标单位（单位盖章）： </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、中小企业声明函</w:t>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jc w:val="cente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中小企业声明函</w:t>
      </w:r>
      <w:r>
        <w:rPr>
          <w:rFonts w:hint="eastAsia" w:ascii="宋体" w:hAnsi="宋体" w:eastAsia="宋体" w:cs="宋体"/>
          <w:color w:val="auto"/>
          <w:sz w:val="24"/>
          <w:szCs w:val="24"/>
          <w:highlight w:val="none"/>
        </w:rPr>
        <w:t xml:space="preserve">（服务）</w:t>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u w:val="single"/>
          <w:lang w:eastAsia="zh-CN"/>
        </w:rPr>
        <w:t xml:space="preserve">太仓高新区2025年重点项目征占用林地、采伐报批材料编制服务</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（十五）租赁和商务服务业</w:t>
      </w:r>
      <w:r>
        <w:rPr>
          <w:rFonts w:hint="eastAsia" w:ascii="宋体" w:hAnsi="宋体" w:eastAsia="宋体" w:cs="宋体"/>
          <w:color w:val="auto"/>
          <w:sz w:val="24"/>
          <w:szCs w:val="24"/>
          <w:highlight w:val="none"/>
        </w:rPr>
        <w:t xml:space="preserve">行业；承建（承接）企业为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（人数）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（金额）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（金额）</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u w:val="single"/>
        </w:rPr>
        <w:t xml:space="preserve">中型企业/小型企业/微型企业，三选一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righ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firstLine="480"/>
        <w:jc w:val="righ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rPr>
          <w:rFonts w:hint="eastAsia" w:ascii="宋体" w:hAnsi="宋体" w:eastAsia="宋体" w:cs="宋体"/>
          <w:color w:val="auto"/>
          <w:sz w:val="24"/>
          <w:szCs w:val="24"/>
          <w:highlight w:val="none"/>
        </w:rPr>
        <w:t xml:space="preserve">1、中小企业参加政府采购活动，应当出具《中小企业声明函》，否则不得享受相关中小企业扶持政策。</w:t>
      </w:r>
      <w:r/>
    </w:p>
    <w:p>
      <w:pPr>
        <w:pStyle w:val="854"/>
        <w:ind w:firstLine="44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2、中标、中标供应商享受规定的中小企业扶持政策的，《中小企业声明函》应当随中标、成交结果同时公告，接受社会监督。</w:t>
      </w:r>
      <w:r/>
    </w:p>
    <w:p>
      <w:pPr>
        <w:pStyle w:val="854"/>
        <w:ind w:firstLine="44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3、供应商提供声明函内容不实的，属于提供虚假材料谋取中标、 成交， 依照《中华人民共和国政府采购法》 等国家有关规定追究相应责任。</w:t>
      </w:r>
      <w:r/>
    </w:p>
    <w:p>
      <w:pPr>
        <w:pStyle w:val="854"/>
        <w:ind w:firstLine="44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4、在服务采购项目中，服务由中小企业承接，即提供服务的人员为中小企业依照《中华人民共和国劳动合同法》订立劳动合同的从业人员。</w:t>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、残疾人福利性单位声明函</w:t>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残疾人福利性单位声明函</w:t>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单位名称（盖章）：</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28"/>
      <w:r/>
      <w:bookmarkEnd w:id="29"/>
      <w:r/>
      <w:bookmarkEnd w:id="30"/>
      <w:r/>
      <w:bookmarkEnd w:id="31"/>
      <w:r/>
      <w:bookmarkEnd w:id="32"/>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4"/>
        <w:ind w:left="0"/>
        <w:jc w:val="both"/>
        <w:keepLines w:val="0"/>
        <w:keepNext w:val="0"/>
        <w:pageBreakBefore w:val="0"/>
        <w:spacing w:before="0" w:line="360" w:lineRule="auto"/>
        <w:rPr>
          <w:rFonts w:hint="eastAsia" w:ascii="宋体" w:hAnsi="宋体" w:eastAsia="宋体" w:cs="宋体"/>
          <w:color w:val="auto"/>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int="eastAsia" w:ascii="宋体" w:hAnsi="宋体" w:eastAsia="宋体" w:cs="宋体"/>
          <w:color w:val="auto"/>
          <w:sz w:val="24"/>
          <w:szCs w:val="24"/>
          <w:highlight w:val="none"/>
        </w:rPr>
      </w:r>
      <w:r/>
    </w:p>
    <w:p>
      <w:pPr>
        <w:jc w:val="center"/>
        <w:keepLines w:val="0"/>
        <w:keepNext w:val="0"/>
        <w:pageBreakBefore w:val="0"/>
        <w:spacing w:line="360" w:lineRule="auto"/>
        <w:rPr>
          <w:rFonts w:hint="eastAsia" w:ascii="宋体" w:hAnsi="宋体" w:eastAsia="宋体" w:cs="宋体"/>
          <w:b/>
          <w:bCs/>
          <w:color w:val="auto"/>
          <w:sz w:val="24"/>
          <w:szCs w:val="24"/>
          <w:highlight w:val="none"/>
        </w:rPr>
        <w:outlineLvl w:val="0"/>
      </w:pPr>
      <w:r/>
      <w:bookmarkStart w:id="38" w:name="_Toc159507040"/>
      <w:r>
        <w:rPr>
          <w:rFonts w:hint="eastAsia" w:ascii="宋体" w:hAnsi="宋体" w:eastAsia="宋体" w:cs="宋体"/>
          <w:b/>
          <w:bCs/>
          <w:color w:val="auto"/>
          <w:sz w:val="24"/>
          <w:szCs w:val="24"/>
          <w:highlight w:val="none"/>
        </w:rPr>
        <w:t xml:space="preserve">第六章 合同主要条款</w:t>
      </w:r>
      <w:bookmarkEnd w:id="38"/>
      <w:r/>
      <w:r/>
    </w:p>
    <w:p>
      <w:pPr>
        <w:pStyle w:val="834"/>
        <w:keepLines w:val="0"/>
        <w:keepNext w:val="0"/>
        <w:pageBreakBefore w:val="0"/>
        <w:spacing w:before="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合同编号：</w:t>
      </w:r>
      <w:r>
        <w:rPr>
          <w:rFonts w:hint="eastAsia" w:ascii="宋体" w:hAnsi="宋体" w:eastAsia="宋体" w:cs="宋体"/>
          <w:color w:val="auto"/>
          <w:sz w:val="24"/>
          <w:szCs w:val="24"/>
          <w:highlight w:val="none"/>
          <w:u w:val="single"/>
        </w:rPr>
        <w:t xml:space="preserve">           </w:t>
      </w:r>
      <w:r/>
    </w:p>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before="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1430"/>
        <w:keepLines w:val="0"/>
        <w:keepNext w:val="0"/>
        <w:pageBreakBefore w:val="0"/>
        <w:spacing w:before="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w:t>
      </w:r>
      <w:r/>
    </w:p>
    <w:p>
      <w:pPr>
        <w:ind w:left="1430"/>
        <w:keepLines w:val="0"/>
        <w:keepNext w:val="0"/>
        <w:pageBreakBefore w:val="0"/>
        <w:spacing w:before="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1430"/>
        <w:keepLines w:val="0"/>
        <w:keepNext w:val="0"/>
        <w:pageBreakBefore w:val="0"/>
        <w:spacing w:before="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2200" w:firstLine="0"/>
        <w:keepLines w:val="0"/>
        <w:keepNext w:val="0"/>
        <w:pageBreakBefore w:val="0"/>
        <w:spacing w:before="120"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u w:val="single"/>
          <w:lang w:eastAsia="zh-CN"/>
        </w:rPr>
        <w:t xml:space="preserve">江苏省太仓高新技术产业开发区管理委员会</w:t>
      </w:r>
      <w:r/>
    </w:p>
    <w:p>
      <w:pPr>
        <w:ind w:left="2200" w:firstLine="0"/>
        <w:keepLines w:val="0"/>
        <w:keepNext w:val="0"/>
        <w:pageBreakBefore w:val="0"/>
        <w:spacing w:before="12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single"/>
        </w:rPr>
        <w:t xml:space="preserve">                       </w:t>
      </w:r>
      <w:r/>
    </w:p>
    <w:p>
      <w:pPr>
        <w:ind w:left="2200" w:firstLine="0"/>
        <w:keepLines w:val="0"/>
        <w:keepNext w:val="0"/>
        <w:pageBreakBefore w:val="0"/>
        <w:spacing w:before="12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签订地：</w:t>
      </w:r>
      <w:r>
        <w:rPr>
          <w:rFonts w:hint="eastAsia" w:ascii="宋体" w:hAnsi="宋体" w:eastAsia="宋体" w:cs="宋体"/>
          <w:color w:val="auto"/>
          <w:sz w:val="24"/>
          <w:szCs w:val="24"/>
          <w:highlight w:val="none"/>
          <w:u w:val="single"/>
        </w:rPr>
        <w:t xml:space="preserve">太仓市</w:t>
      </w:r>
      <w:r/>
    </w:p>
    <w:p>
      <w:pPr>
        <w:ind w:left="2200" w:firstLine="0"/>
        <w:keepLines w:val="0"/>
        <w:keepNext w:val="0"/>
        <w:pageBreakBefore w:val="0"/>
        <w:spacing w:before="12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签订日期：</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ind w:firstLine="482"/>
        <w:jc w:val="cente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合同主要条款</w:t>
      </w:r>
      <w:r/>
    </w:p>
    <w:p>
      <w:pPr>
        <w:jc w:val="both"/>
        <w:keepLines w:val="0"/>
        <w:keepNext w:val="0"/>
        <w:pageBreakBefore w:val="0"/>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甲方：</w:t>
      </w:r>
      <w:r/>
    </w:p>
    <w:p>
      <w:pPr>
        <w:jc w:val="both"/>
        <w:keepLines w:val="0"/>
        <w:keepNext w:val="0"/>
        <w:pageBreakBefore w:val="0"/>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乙方：</w:t>
      </w:r>
      <w:r/>
    </w:p>
    <w:p>
      <w:pPr>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依据《中华人民共和国民法典》及有关法律法规、</w:t>
      </w:r>
      <w:r>
        <w:rPr>
          <w:rFonts w:hint="eastAsia" w:ascii="宋体" w:hAnsi="宋体" w:eastAsia="宋体" w:cs="宋体"/>
          <w:bCs/>
          <w:sz w:val="24"/>
          <w:szCs w:val="24"/>
        </w:rPr>
        <w:t xml:space="preserve">招标编号</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号招标文件及乙方的投标文件和中标通知书</w:t>
      </w:r>
      <w:r>
        <w:rPr>
          <w:rFonts w:hint="eastAsia" w:ascii="宋体" w:hAnsi="宋体" w:eastAsia="宋体" w:cs="宋体"/>
          <w:sz w:val="24"/>
          <w:szCs w:val="24"/>
        </w:rPr>
        <w:t xml:space="preserve">，双方本着平等、自愿、公平和诚实信用的原则，经友好协商，特订立如下协议：</w:t>
      </w:r>
      <w:r/>
    </w:p>
    <w:p>
      <w:pPr>
        <w:jc w:val="both"/>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第一条 合同内容</w:t>
      </w:r>
      <w:r/>
    </w:p>
    <w:p>
      <w:pPr>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1、项目名称：</w:t>
      </w:r>
      <w:r>
        <w:rPr>
          <w:rFonts w:hint="eastAsia" w:ascii="宋体" w:hAnsi="宋体" w:eastAsia="宋体" w:cs="宋体"/>
          <w:sz w:val="24"/>
          <w:szCs w:val="24"/>
          <w:lang w:eastAsia="zh-CN"/>
        </w:rPr>
        <w:t xml:space="preserve">太仓高新区2025年重点项目征占用林地、采伐报批材料编制服务</w:t>
      </w:r>
      <w:r>
        <w:rPr>
          <w:rFonts w:hint="eastAsia" w:ascii="宋体" w:hAnsi="宋体" w:eastAsia="宋体" w:cs="宋体"/>
          <w:sz w:val="24"/>
          <w:szCs w:val="24"/>
        </w:rPr>
        <w:t xml:space="preserve">。</w:t>
      </w:r>
      <w:r/>
    </w:p>
    <w:p>
      <w:pPr>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2、服务内容：</w:t>
      </w:r>
      <w:r>
        <w:rPr>
          <w:rFonts w:hint="eastAsia" w:ascii="宋体" w:hAnsi="宋体" w:eastAsia="宋体" w:cs="宋体"/>
          <w:sz w:val="24"/>
          <w:szCs w:val="24"/>
          <w:lang w:eastAsia="zh-CN"/>
        </w:rPr>
        <w:t xml:space="preserve">太仓高新区2025年重点项目征占用林地、采伐报批材料编制服务</w:t>
      </w:r>
      <w:r>
        <w:rPr>
          <w:rFonts w:hint="eastAsia" w:ascii="宋体" w:hAnsi="宋体" w:eastAsia="宋体" w:cs="宋体"/>
          <w:sz w:val="24"/>
          <w:szCs w:val="24"/>
        </w:rPr>
        <w:t xml:space="preserve">，主要对拟占用林地进行调查和分析，编制使用林地可行性研究报告，完成采伐作业设计书，完成有关报批手续并取得《使用林地审核同意书》，取得《林木采伐许可证》。 </w:t>
      </w:r>
      <w:r/>
    </w:p>
    <w:p>
      <w:pPr>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3、服务地点：太仓市。</w:t>
      </w:r>
      <w:r/>
    </w:p>
    <w:p>
      <w:pPr>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4、合同履行期限：自合同生效之日起至2026年12月31日截止。至截止之日已经启动的项目仍由成交供应商负责完成，至截止之日还未启动项目不再由成交供商负责</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5、下列文件为本合同不可分割部分：</w:t>
      </w:r>
      <w:r/>
    </w:p>
    <w:p>
      <w:pPr>
        <w:ind w:firstLine="480"/>
        <w:jc w:val="both"/>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①中标（成交）通知书；②乙方的投标（响应）文件；③本项目招标文件；④乙方在投标（响应）过程中所作的其他承诺、声明、书面澄清等。</w:t>
      </w:r>
      <w:r/>
    </w:p>
    <w:p>
      <w:pPr>
        <w:jc w:val="both"/>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第二条 合同价款的支付及付款方式</w:t>
      </w:r>
      <w:r/>
    </w:p>
    <w:p>
      <w:pPr>
        <w:ind w:firstLine="480"/>
        <w:jc w:val="both"/>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1、结算方式及付款方式：</w:t>
      </w:r>
      <w:r/>
    </w:p>
    <w:p>
      <w:pPr>
        <w:ind w:firstLine="480"/>
        <w:jc w:val="both"/>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1.1</w:t>
      </w:r>
      <w:r>
        <w:rPr>
          <w:rFonts w:hint="eastAsia" w:ascii="宋体" w:hAnsi="宋体" w:eastAsia="宋体" w:cs="宋体"/>
          <w:color w:val="auto"/>
          <w:sz w:val="24"/>
          <w:szCs w:val="24"/>
        </w:rPr>
        <w:t xml:space="preserve">根据实际完成项目按实结算。</w:t>
      </w:r>
      <w:r/>
    </w:p>
    <w:p>
      <w:pPr>
        <w:ind w:firstLine="480"/>
        <w:jc w:val="both"/>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合同总价为￥</w:t>
      </w:r>
      <w:r>
        <w:rPr>
          <w:rFonts w:hint="eastAsia"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元(大写:</w:t>
      </w:r>
      <w:r>
        <w:rPr>
          <w:rFonts w:hint="eastAsia" w:hAnsi="宋体" w:cs="宋体"/>
          <w:color w:val="auto"/>
          <w:sz w:val="24"/>
          <w:szCs w:val="24"/>
          <w:lang w:val="en-US" w:eastAsia="zh-CN"/>
        </w:rPr>
        <w:t xml:space="preserve">  </w:t>
      </w:r>
      <w:r>
        <w:rPr>
          <w:rFonts w:hint="eastAsia"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)。单个项目价格为￥</w:t>
      </w:r>
      <w:r>
        <w:rPr>
          <w:rFonts w:hint="eastAsia"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元(大写:</w:t>
      </w:r>
      <w:r>
        <w:rPr>
          <w:rFonts w:hint="eastAsia" w:hAnsi="宋体" w:cs="宋体"/>
          <w:color w:val="auto"/>
          <w:sz w:val="24"/>
          <w:szCs w:val="24"/>
          <w:lang w:val="en-US" w:eastAsia="zh-CN"/>
        </w:rPr>
        <w:t xml:space="preserve">    </w:t>
      </w:r>
      <w:r>
        <w:rPr>
          <w:rFonts w:hint="eastAsia" w:ascii="宋体" w:hAnsi="宋体" w:eastAsia="宋体" w:cs="宋体"/>
          <w:color w:val="auto"/>
          <w:sz w:val="24"/>
          <w:szCs w:val="24"/>
        </w:rPr>
        <w:t xml:space="preserve">);</w:t>
      </w:r>
      <w:r/>
    </w:p>
    <w:p>
      <w:pPr>
        <w:jc w:val="both"/>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付款方式：</w:t>
      </w:r>
      <w:r/>
    </w:p>
    <w:p>
      <w:pPr>
        <w:ind w:firstLine="480"/>
        <w:jc w:val="both"/>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根据实际工作量每季度进行一次付款结算,提交最终成果或取得上级主管部门的批复文件后方可申请付款。单个项目获取林木采伐许可证视作该项目进度达到100.00%。</w:t>
      </w:r>
      <w:r/>
    </w:p>
    <w:p>
      <w:pPr>
        <w:ind w:firstLine="480"/>
        <w:jc w:val="both"/>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乙方每累计获取两个项目林木采伐许可证可作为一次阶段决算节点，可向甲方申请支付合同总额的 20%，甲方于该季度末进行统一支付，最终以实际获取的项目林木采伐许可证数量以及未完成报批的项目进度情况进行统一决算。</w:t>
      </w:r>
      <w:r/>
    </w:p>
    <w:p>
      <w:pPr>
        <w:ind w:firstLine="480"/>
        <w:jc w:val="both"/>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统一决算阶段,因相关政策变化或其他不可抗力导致项目最终不需再继续进行林地报批服务，如乙方已完成使用林地可行性报告编制并上报至太仓市林业局，视作该项目进度达到50.00%，;如乙方已获得使用林地的批复，但甲方不需再编制林木采伐作业设计书材料，视作该项目进度达到70.00%;如乙方已完成林木采伐作业设计书材料编制并上报至太仓市林业局，但甲方不需再获取林木采伐许可证，视作该项目进度达到90.00%。</w:t>
      </w:r>
      <w:r/>
    </w:p>
    <w:p>
      <w:pPr>
        <w:ind w:firstLine="480"/>
        <w:jc w:val="both"/>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甲方每次付款前，乙方均应当向甲方开具等额合格符合相关税务部门和甲方认可的发票，并提出书面付款申请，否则甲方有权延迟付款且无须承担任何责任。</w:t>
      </w:r>
      <w:r/>
    </w:p>
    <w:p>
      <w:pPr>
        <w:ind w:firstLine="480"/>
        <w:jc w:val="both"/>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履行过程中涉及的研究成果、林地报批文件(含初步成果、中间成果、最终成果)及调研阶段、专家评审阶段涉及初步成果、中间成果及最终成果的咨询、审查、验收等工作发生的费用均由乙方承担，此费用已包含在合同总价中，甲方不再另行支付。</w:t>
      </w:r>
      <w:r/>
    </w:p>
    <w:p>
      <w:pPr>
        <w:ind w:firstLine="480"/>
        <w:jc w:val="both"/>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若乙方提交的任何研究成果、林地报批文件存在未一次性通过甲方或甲方委托、组织的专家评审及相关主管部门审核等情况，甲方有权根据规划研究成果或林地报批文件的质量情况以及甲方遭受损失的数额，要求乙方补偿甲方全部损失，并经双方协商确定降低相应服务价格</w:t>
      </w:r>
      <w:r/>
    </w:p>
    <w:p>
      <w:pPr>
        <w:jc w:val="both"/>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、价款结算时，需提供以下资料：</w:t>
      </w:r>
      <w:r/>
    </w:p>
    <w:p>
      <w:pPr>
        <w:ind w:firstLine="480"/>
        <w:jc w:val="both"/>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A.足额合格的发票。</w:t>
      </w:r>
      <w:r/>
    </w:p>
    <w:p>
      <w:pPr>
        <w:ind w:firstLine="480"/>
        <w:jc w:val="both"/>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B.验收合格证明。</w:t>
      </w:r>
      <w:r/>
    </w:p>
    <w:p>
      <w:pPr>
        <w:jc w:val="both"/>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第三条 质量要求及验收</w:t>
      </w:r>
      <w:r/>
    </w:p>
    <w:p>
      <w:pPr>
        <w:ind w:firstLine="480"/>
        <w:jc w:val="both"/>
        <w:keepLines w:val="0"/>
        <w:keepNext w:val="0"/>
        <w:pageBreakBefore w:val="0"/>
        <w:spacing w:line="360" w:lineRule="auto"/>
        <w:rPr>
          <w:rFonts w:hint="eastAsia" w:ascii="宋体" w:hAnsi="宋体" w:eastAsia="宋体" w:cs="宋体"/>
          <w:color w:val="auto"/>
          <w:sz w:val="24"/>
          <w:szCs w:val="24"/>
        </w:rPr>
      </w:pPr>
      <w:r/>
      <w:bookmarkStart w:id="39" w:name="_Hlk73610128"/>
      <w:r>
        <w:rPr>
          <w:rFonts w:hint="eastAsia" w:ascii="宋体" w:hAnsi="宋体" w:eastAsia="宋体" w:cs="宋体"/>
          <w:color w:val="auto"/>
          <w:sz w:val="24"/>
          <w:szCs w:val="24"/>
        </w:rPr>
        <w:t xml:space="preserve">各项成果应严格按照相关文件、行业规范、技术标准执行，确保满足相关要求。</w:t>
      </w:r>
      <w:bookmarkEnd w:id="39"/>
      <w:r/>
      <w:r/>
    </w:p>
    <w:p>
      <w:pPr>
        <w:jc w:val="both"/>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第四条 甲、乙双方的权力和义务</w:t>
      </w:r>
      <w:r/>
    </w:p>
    <w:p>
      <w:pPr>
        <w:ind w:firstLine="480"/>
        <w:jc w:val="both"/>
        <w:keepLines w:val="0"/>
        <w:keepNext w:val="0"/>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1、甲方的权力和义务</w:t>
      </w:r>
      <w:r/>
    </w:p>
    <w:p>
      <w:pPr>
        <w:ind w:firstLine="480"/>
        <w:jc w:val="both"/>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（1）甲方权利</w:t>
      </w:r>
      <w:r/>
    </w:p>
    <w:p>
      <w:pPr>
        <w:jc w:val="both"/>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甲方有权随时向乙方了解服务进展，提出改进意见和建议；甲方有权根据实际履约质量和进度情况要求乙方按照本合同约定加强管理直至提供符合约定的服务。</w:t>
      </w:r>
      <w:r/>
    </w:p>
    <w:p>
      <w:pPr>
        <w:ind w:firstLine="480"/>
        <w:jc w:val="both"/>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（2）甲方义务</w:t>
      </w:r>
      <w:r/>
    </w:p>
    <w:p>
      <w:pPr>
        <w:ind w:firstLine="480"/>
        <w:jc w:val="both"/>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甲方应按时支付合同价款；为乙方履行合同提供必要的便利条件；本合同约定的其他义务。</w:t>
      </w:r>
      <w:r/>
    </w:p>
    <w:p>
      <w:pPr>
        <w:ind w:firstLine="480"/>
        <w:jc w:val="both"/>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2、乙方的权力和义务</w:t>
      </w:r>
      <w:r/>
    </w:p>
    <w:p>
      <w:pPr>
        <w:ind w:right="-27" w:firstLine="480"/>
        <w:jc w:val="both"/>
        <w:keepLines w:val="0"/>
        <w:keepNext w:val="0"/>
        <w:pageBreakBefore w:val="0"/>
        <w:spacing w:line="360" w:lineRule="auto"/>
        <w:tabs>
          <w:tab w:val="left" w:pos="0" w:leader="none"/>
        </w:tabs>
        <w:rPr>
          <w:rFonts w:hint="eastAsia" w:ascii="宋体" w:hAnsi="宋体" w:eastAsia="宋体" w:cs="宋体"/>
          <w:bCs/>
          <w:i w:val="0"/>
          <w:color w:val="auto"/>
          <w:sz w:val="24"/>
          <w:szCs w:val="24"/>
          <w:u w:val="none"/>
        </w:rPr>
      </w:pPr>
      <w:r>
        <w:rPr>
          <w:rFonts w:hint="eastAsia" w:ascii="宋体" w:hAnsi="宋体" w:eastAsia="宋体" w:cs="宋体"/>
          <w:bCs/>
          <w:i w:val="0"/>
          <w:color w:val="auto"/>
          <w:sz w:val="24"/>
          <w:szCs w:val="24"/>
          <w:u w:val="none"/>
        </w:rPr>
        <w:t xml:space="preserve">（1）乙方权利</w:t>
      </w:r>
      <w:r/>
    </w:p>
    <w:p>
      <w:pPr>
        <w:ind w:right="-27" w:firstLine="480"/>
        <w:jc w:val="both"/>
        <w:keepLines w:val="0"/>
        <w:keepNext w:val="0"/>
        <w:pageBreakBefore w:val="0"/>
        <w:spacing w:line="360" w:lineRule="auto"/>
        <w:tabs>
          <w:tab w:val="left" w:pos="0" w:leader="none"/>
        </w:tabs>
        <w:rPr>
          <w:rFonts w:hint="eastAsia" w:ascii="宋体" w:hAnsi="宋体" w:eastAsia="宋体" w:cs="宋体"/>
          <w:bCs/>
          <w:i w:val="0"/>
          <w:color w:val="auto"/>
          <w:sz w:val="24"/>
          <w:szCs w:val="24"/>
          <w:u w:val="none"/>
        </w:rPr>
      </w:pPr>
      <w:r>
        <w:rPr>
          <w:rFonts w:hint="eastAsia" w:ascii="宋体" w:hAnsi="宋体" w:eastAsia="宋体" w:cs="宋体"/>
          <w:bCs/>
          <w:i w:val="0"/>
          <w:color w:val="auto"/>
          <w:sz w:val="24"/>
          <w:szCs w:val="24"/>
          <w:u w:val="none"/>
        </w:rPr>
        <w:t xml:space="preserve">乙方有权按照合同获得合同价款；乙方有权根据服务内容的需要，请求甲方予以配合。</w:t>
      </w:r>
      <w:r/>
    </w:p>
    <w:p>
      <w:pPr>
        <w:ind w:right="-27" w:firstLine="480"/>
        <w:jc w:val="both"/>
        <w:keepLines w:val="0"/>
        <w:keepNext w:val="0"/>
        <w:pageBreakBefore w:val="0"/>
        <w:spacing w:line="360" w:lineRule="auto"/>
        <w:tabs>
          <w:tab w:val="left" w:pos="0" w:leader="none"/>
        </w:tabs>
        <w:rPr>
          <w:rFonts w:hint="eastAsia" w:ascii="宋体" w:hAnsi="宋体" w:eastAsia="宋体" w:cs="宋体"/>
          <w:bCs/>
          <w:i w:val="0"/>
          <w:color w:val="auto"/>
          <w:sz w:val="24"/>
          <w:szCs w:val="24"/>
          <w:u w:val="none"/>
        </w:rPr>
      </w:pPr>
      <w:r>
        <w:rPr>
          <w:rFonts w:hint="eastAsia" w:ascii="宋体" w:hAnsi="宋体" w:eastAsia="宋体" w:cs="宋体"/>
          <w:bCs/>
          <w:i w:val="0"/>
          <w:color w:val="auto"/>
          <w:sz w:val="24"/>
          <w:szCs w:val="24"/>
          <w:u w:val="none"/>
        </w:rPr>
        <w:t xml:space="preserve">（2）除其他有关条款的约定外，乙方义务还包括：</w:t>
      </w:r>
      <w:r/>
    </w:p>
    <w:p>
      <w:pPr>
        <w:ind w:right="-27" w:firstLine="480"/>
        <w:jc w:val="both"/>
        <w:keepLines w:val="0"/>
        <w:keepNext w:val="0"/>
        <w:pageBreakBefore w:val="0"/>
        <w:spacing w:line="360" w:lineRule="auto"/>
        <w:tabs>
          <w:tab w:val="left" w:pos="0" w:leader="none"/>
        </w:tabs>
        <w:rPr>
          <w:rFonts w:hint="eastAsia" w:ascii="宋体" w:hAnsi="宋体" w:eastAsia="宋体" w:cs="宋体"/>
          <w:bCs/>
          <w:i w:val="0"/>
          <w:color w:val="auto"/>
          <w:sz w:val="24"/>
          <w:szCs w:val="24"/>
          <w:u w:val="none"/>
        </w:rPr>
      </w:pPr>
      <w:r>
        <w:rPr>
          <w:rFonts w:hint="eastAsia" w:ascii="宋体" w:hAnsi="宋体" w:eastAsia="宋体" w:cs="宋体"/>
          <w:bCs/>
          <w:i w:val="0"/>
          <w:color w:val="auto"/>
          <w:sz w:val="24"/>
          <w:szCs w:val="24"/>
          <w:u w:val="none"/>
        </w:rPr>
        <w:fldChar w:fldCharType="begin"/>
      </w:r>
      <w:r>
        <w:rPr>
          <w:rFonts w:hint="eastAsia" w:ascii="宋体" w:hAnsi="宋体" w:eastAsia="宋体" w:cs="宋体"/>
          <w:bCs/>
          <w:i w:val="0"/>
          <w:color w:val="auto"/>
          <w:sz w:val="24"/>
          <w:szCs w:val="24"/>
          <w:u w:val="none"/>
        </w:rPr>
        <w:instrText xml:space="preserve"> = 1 \* GB3 </w:instrText>
      </w:r>
      <w:r>
        <w:rPr>
          <w:rFonts w:hint="eastAsia" w:ascii="宋体" w:hAnsi="宋体" w:eastAsia="宋体" w:cs="宋体"/>
          <w:bCs/>
          <w:i w:val="0"/>
          <w:color w:val="auto"/>
          <w:sz w:val="24"/>
          <w:szCs w:val="24"/>
          <w:u w:val="none"/>
        </w:rPr>
        <w:fldChar w:fldCharType="separate"/>
      </w:r>
      <w:r>
        <w:rPr>
          <w:rFonts w:hint="eastAsia" w:ascii="宋体" w:hAnsi="宋体" w:eastAsia="宋体" w:cs="宋体"/>
          <w:bCs/>
          <w:i w:val="0"/>
          <w:color w:val="auto"/>
          <w:sz w:val="24"/>
          <w:szCs w:val="24"/>
          <w:u w:val="none"/>
        </w:rPr>
        <w:t xml:space="preserve">①</w:t>
      </w:r>
      <w:r>
        <w:rPr>
          <w:rFonts w:hint="eastAsia" w:ascii="宋体" w:hAnsi="宋体" w:eastAsia="宋体" w:cs="宋体"/>
          <w:bCs/>
          <w:i w:val="0"/>
          <w:color w:val="auto"/>
          <w:sz w:val="24"/>
          <w:szCs w:val="24"/>
          <w:u w:val="none"/>
        </w:rPr>
        <w:fldChar w:fldCharType="end"/>
      </w:r>
      <w:r>
        <w:rPr>
          <w:rFonts w:hint="eastAsia" w:ascii="宋体" w:hAnsi="宋体" w:eastAsia="宋体" w:cs="宋体"/>
          <w:bCs/>
          <w:i w:val="0"/>
          <w:color w:val="auto"/>
          <w:sz w:val="24"/>
          <w:szCs w:val="24"/>
          <w:u w:val="none"/>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20%的，视为乙方丧失提供服务的能力。</w:t>
      </w:r>
      <w:r/>
    </w:p>
    <w:p>
      <w:pPr>
        <w:ind w:right="-27" w:firstLine="480"/>
        <w:jc w:val="both"/>
        <w:keepLines w:val="0"/>
        <w:keepNext w:val="0"/>
        <w:pageBreakBefore w:val="0"/>
        <w:spacing w:line="360" w:lineRule="auto"/>
        <w:tabs>
          <w:tab w:val="left" w:pos="0" w:leader="none"/>
        </w:tabs>
        <w:rPr>
          <w:rFonts w:hint="eastAsia" w:ascii="宋体" w:hAnsi="宋体" w:eastAsia="宋体" w:cs="宋体"/>
          <w:bCs/>
          <w:i w:val="0"/>
          <w:color w:val="auto"/>
          <w:sz w:val="24"/>
          <w:szCs w:val="24"/>
          <w:u w:val="none"/>
        </w:rPr>
      </w:pPr>
      <w:r>
        <w:rPr>
          <w:rFonts w:hint="eastAsia" w:ascii="宋体" w:hAnsi="宋体" w:eastAsia="宋体" w:cs="宋体"/>
          <w:bCs/>
          <w:i w:val="0"/>
          <w:color w:val="auto"/>
          <w:sz w:val="24"/>
          <w:szCs w:val="24"/>
          <w:u w:val="none"/>
        </w:rPr>
        <w:fldChar w:fldCharType="begin"/>
      </w:r>
      <w:r>
        <w:rPr>
          <w:rFonts w:hint="eastAsia" w:ascii="宋体" w:hAnsi="宋体" w:eastAsia="宋体" w:cs="宋体"/>
          <w:bCs/>
          <w:i w:val="0"/>
          <w:color w:val="auto"/>
          <w:sz w:val="24"/>
          <w:szCs w:val="24"/>
          <w:u w:val="none"/>
        </w:rPr>
        <w:instrText xml:space="preserve"> = 2 \* GB3 </w:instrText>
      </w:r>
      <w:r>
        <w:rPr>
          <w:rFonts w:hint="eastAsia" w:ascii="宋体" w:hAnsi="宋体" w:eastAsia="宋体" w:cs="宋体"/>
          <w:bCs/>
          <w:i w:val="0"/>
          <w:color w:val="auto"/>
          <w:sz w:val="24"/>
          <w:szCs w:val="24"/>
          <w:u w:val="none"/>
        </w:rPr>
        <w:fldChar w:fldCharType="separate"/>
      </w:r>
      <w:r>
        <w:rPr>
          <w:rFonts w:hint="eastAsia" w:ascii="宋体" w:hAnsi="宋体" w:eastAsia="宋体" w:cs="宋体"/>
          <w:bCs/>
          <w:i w:val="0"/>
          <w:color w:val="auto"/>
          <w:sz w:val="24"/>
          <w:szCs w:val="24"/>
          <w:u w:val="none"/>
        </w:rPr>
        <w:t xml:space="preserve">②</w:t>
      </w:r>
      <w:r>
        <w:rPr>
          <w:rFonts w:hint="eastAsia" w:ascii="宋体" w:hAnsi="宋体" w:eastAsia="宋体" w:cs="宋体"/>
          <w:bCs/>
          <w:i w:val="0"/>
          <w:color w:val="auto"/>
          <w:sz w:val="24"/>
          <w:szCs w:val="24"/>
          <w:u w:val="none"/>
        </w:rPr>
        <w:fldChar w:fldCharType="end"/>
      </w:r>
      <w:r>
        <w:rPr>
          <w:rFonts w:hint="eastAsia" w:ascii="宋体" w:hAnsi="宋体" w:eastAsia="宋体" w:cs="宋体"/>
          <w:bCs/>
          <w:i w:val="0"/>
          <w:color w:val="auto"/>
          <w:sz w:val="24"/>
          <w:szCs w:val="24"/>
          <w:u w:val="none"/>
        </w:rPr>
        <w:t xml:space="preserve">乙方应安排身体健康、品性良好的服务人员为甲方提供服务。</w:t>
      </w:r>
      <w:r/>
    </w:p>
    <w:p>
      <w:pPr>
        <w:ind w:left="239" w:right="-27" w:firstLine="240"/>
        <w:jc w:val="both"/>
        <w:keepLines w:val="0"/>
        <w:keepNext w:val="0"/>
        <w:pageBreakBefore w:val="0"/>
        <w:spacing w:line="360" w:lineRule="auto"/>
        <w:tabs>
          <w:tab w:val="left" w:pos="0" w:leader="none"/>
        </w:tabs>
        <w:rPr>
          <w:rFonts w:hint="eastAsia" w:ascii="宋体" w:hAnsi="宋体" w:eastAsia="宋体" w:cs="宋体"/>
          <w:bCs/>
          <w:i w:val="0"/>
          <w:color w:val="auto"/>
          <w:sz w:val="24"/>
          <w:szCs w:val="24"/>
          <w:u w:val="none"/>
        </w:rPr>
      </w:pPr>
      <w:r>
        <w:rPr>
          <w:rFonts w:hint="eastAsia" w:ascii="宋体" w:hAnsi="宋体" w:eastAsia="宋体" w:cs="宋体"/>
          <w:bCs/>
          <w:i w:val="0"/>
          <w:color w:val="auto"/>
          <w:sz w:val="24"/>
          <w:szCs w:val="24"/>
          <w:u w:val="none"/>
        </w:rPr>
        <w:fldChar w:fldCharType="begin"/>
      </w:r>
      <w:r>
        <w:rPr>
          <w:rFonts w:hint="eastAsia" w:ascii="宋体" w:hAnsi="宋体" w:eastAsia="宋体" w:cs="宋体"/>
          <w:bCs/>
          <w:i w:val="0"/>
          <w:color w:val="auto"/>
          <w:sz w:val="24"/>
          <w:szCs w:val="24"/>
          <w:u w:val="none"/>
        </w:rPr>
        <w:instrText xml:space="preserve"> = 3 \* GB3 </w:instrText>
      </w:r>
      <w:r>
        <w:rPr>
          <w:rFonts w:hint="eastAsia" w:ascii="宋体" w:hAnsi="宋体" w:eastAsia="宋体" w:cs="宋体"/>
          <w:bCs/>
          <w:i w:val="0"/>
          <w:color w:val="auto"/>
          <w:sz w:val="24"/>
          <w:szCs w:val="24"/>
          <w:u w:val="none"/>
        </w:rPr>
        <w:fldChar w:fldCharType="separate"/>
      </w:r>
      <w:r>
        <w:rPr>
          <w:rFonts w:hint="eastAsia" w:ascii="宋体" w:hAnsi="宋体" w:eastAsia="宋体" w:cs="宋体"/>
          <w:bCs/>
          <w:i w:val="0"/>
          <w:color w:val="auto"/>
          <w:sz w:val="24"/>
          <w:szCs w:val="24"/>
          <w:u w:val="none"/>
        </w:rPr>
        <w:t xml:space="preserve">③</w:t>
      </w:r>
      <w:r>
        <w:rPr>
          <w:rFonts w:hint="eastAsia" w:ascii="宋体" w:hAnsi="宋体" w:eastAsia="宋体" w:cs="宋体"/>
          <w:bCs/>
          <w:i w:val="0"/>
          <w:color w:val="auto"/>
          <w:sz w:val="24"/>
          <w:szCs w:val="24"/>
          <w:u w:val="none"/>
        </w:rPr>
        <w:fldChar w:fldCharType="end"/>
      </w:r>
      <w:r>
        <w:rPr>
          <w:rFonts w:hint="eastAsia" w:ascii="宋体" w:hAnsi="宋体" w:eastAsia="宋体" w:cs="宋体"/>
          <w:bCs/>
          <w:i w:val="0"/>
          <w:color w:val="auto"/>
          <w:sz w:val="24"/>
          <w:szCs w:val="24"/>
          <w:u w:val="none"/>
        </w:rPr>
        <w:t xml:space="preserve">乙方应保证服务人员的稳定，未经甲方同意，不得变更服务人员。</w:t>
      </w:r>
      <w:r/>
    </w:p>
    <w:p>
      <w:pPr>
        <w:ind w:right="-27" w:firstLine="480"/>
        <w:jc w:val="both"/>
        <w:keepLines w:val="0"/>
        <w:keepNext w:val="0"/>
        <w:pageBreakBefore w:val="0"/>
        <w:spacing w:line="360" w:lineRule="auto"/>
        <w:tabs>
          <w:tab w:val="left" w:pos="0" w:leader="none"/>
        </w:tabs>
        <w:rPr>
          <w:rFonts w:hint="eastAsia" w:ascii="宋体" w:hAnsi="宋体" w:eastAsia="宋体" w:cs="宋体"/>
          <w:bCs/>
          <w:i w:val="0"/>
          <w:color w:val="auto"/>
          <w:sz w:val="24"/>
          <w:szCs w:val="24"/>
          <w:u w:val="none"/>
        </w:rPr>
      </w:pPr>
      <w:r>
        <w:rPr>
          <w:rFonts w:hint="eastAsia" w:ascii="宋体" w:hAnsi="宋体" w:eastAsia="宋体" w:cs="宋体"/>
          <w:bCs/>
          <w:i w:val="0"/>
          <w:color w:val="auto"/>
          <w:sz w:val="24"/>
          <w:szCs w:val="24"/>
          <w:u w:val="none"/>
        </w:rPr>
        <w:fldChar w:fldCharType="begin"/>
      </w:r>
      <w:r>
        <w:rPr>
          <w:rFonts w:hint="eastAsia" w:ascii="宋体" w:hAnsi="宋体" w:eastAsia="宋体" w:cs="宋体"/>
          <w:bCs/>
          <w:i w:val="0"/>
          <w:color w:val="auto"/>
          <w:sz w:val="24"/>
          <w:szCs w:val="24"/>
          <w:u w:val="none"/>
        </w:rPr>
        <w:instrText xml:space="preserve"> = 4 \* GB3 </w:instrText>
      </w:r>
      <w:r>
        <w:rPr>
          <w:rFonts w:hint="eastAsia" w:ascii="宋体" w:hAnsi="宋体" w:eastAsia="宋体" w:cs="宋体"/>
          <w:bCs/>
          <w:i w:val="0"/>
          <w:color w:val="auto"/>
          <w:sz w:val="24"/>
          <w:szCs w:val="24"/>
          <w:u w:val="none"/>
        </w:rPr>
        <w:fldChar w:fldCharType="separate"/>
      </w:r>
      <w:r>
        <w:rPr>
          <w:rFonts w:hint="eastAsia" w:ascii="宋体" w:hAnsi="宋体" w:eastAsia="宋体" w:cs="宋体"/>
          <w:bCs/>
          <w:i w:val="0"/>
          <w:color w:val="auto"/>
          <w:sz w:val="24"/>
          <w:szCs w:val="24"/>
          <w:u w:val="none"/>
        </w:rPr>
        <w:t xml:space="preserve">④</w:t>
      </w:r>
      <w:r>
        <w:rPr>
          <w:rFonts w:hint="eastAsia" w:ascii="宋体" w:hAnsi="宋体" w:eastAsia="宋体" w:cs="宋体"/>
          <w:bCs/>
          <w:i w:val="0"/>
          <w:color w:val="auto"/>
          <w:sz w:val="24"/>
          <w:szCs w:val="24"/>
          <w:u w:val="none"/>
        </w:rPr>
        <w:fldChar w:fldCharType="end"/>
      </w:r>
      <w:r>
        <w:rPr>
          <w:rFonts w:hint="eastAsia" w:ascii="宋体" w:hAnsi="宋体" w:eastAsia="宋体" w:cs="宋体"/>
          <w:bCs/>
          <w:i w:val="0"/>
          <w:color w:val="auto"/>
          <w:sz w:val="24"/>
          <w:szCs w:val="24"/>
          <w:u w:val="none"/>
        </w:rPr>
        <w:t xml:space="preserve">乙方应当及时响应甲方的服务需求，在甲方提出派员到场服务时，应当与甲方确定到场时间。甲方紧急服务需求时，乙方应在2小时内派员到场。</w:t>
      </w:r>
      <w:r/>
    </w:p>
    <w:p>
      <w:pPr>
        <w:ind w:right="-27" w:firstLine="480"/>
        <w:jc w:val="both"/>
        <w:keepLines w:val="0"/>
        <w:keepNext w:val="0"/>
        <w:pageBreakBefore w:val="0"/>
        <w:spacing w:line="360" w:lineRule="auto"/>
        <w:tabs>
          <w:tab w:val="left" w:pos="0" w:leader="none"/>
        </w:tabs>
        <w:rPr>
          <w:rFonts w:hint="eastAsia" w:ascii="宋体" w:hAnsi="宋体" w:eastAsia="宋体" w:cs="宋体"/>
          <w:bCs/>
          <w:i w:val="0"/>
          <w:color w:val="auto"/>
          <w:sz w:val="24"/>
          <w:szCs w:val="24"/>
          <w:u w:val="none"/>
        </w:rPr>
      </w:pPr>
      <w:r>
        <w:rPr>
          <w:rFonts w:hint="eastAsia" w:ascii="宋体" w:hAnsi="宋体" w:eastAsia="宋体" w:cs="宋体"/>
          <w:bCs/>
          <w:i w:val="0"/>
          <w:color w:val="auto"/>
          <w:sz w:val="24"/>
          <w:szCs w:val="24"/>
          <w:u w:val="none"/>
        </w:rPr>
        <w:fldChar w:fldCharType="begin"/>
      </w:r>
      <w:r>
        <w:rPr>
          <w:rFonts w:hint="eastAsia" w:ascii="宋体" w:hAnsi="宋体" w:eastAsia="宋体" w:cs="宋体"/>
          <w:bCs/>
          <w:i w:val="0"/>
          <w:color w:val="auto"/>
          <w:sz w:val="24"/>
          <w:szCs w:val="24"/>
          <w:u w:val="none"/>
        </w:rPr>
        <w:instrText xml:space="preserve"> = 5 \* GB3 </w:instrText>
      </w:r>
      <w:r>
        <w:rPr>
          <w:rFonts w:hint="eastAsia" w:ascii="宋体" w:hAnsi="宋体" w:eastAsia="宋体" w:cs="宋体"/>
          <w:bCs/>
          <w:i w:val="0"/>
          <w:color w:val="auto"/>
          <w:sz w:val="24"/>
          <w:szCs w:val="24"/>
          <w:u w:val="none"/>
        </w:rPr>
        <w:fldChar w:fldCharType="separate"/>
      </w:r>
      <w:r>
        <w:rPr>
          <w:rFonts w:hint="eastAsia" w:ascii="宋体" w:hAnsi="宋体" w:eastAsia="宋体" w:cs="宋体"/>
          <w:bCs/>
          <w:i w:val="0"/>
          <w:color w:val="auto"/>
          <w:sz w:val="24"/>
          <w:szCs w:val="24"/>
          <w:u w:val="none"/>
        </w:rPr>
        <w:t xml:space="preserve">⑤</w:t>
      </w:r>
      <w:r>
        <w:rPr>
          <w:rFonts w:hint="eastAsia" w:ascii="宋体" w:hAnsi="宋体" w:eastAsia="宋体" w:cs="宋体"/>
          <w:bCs/>
          <w:i w:val="0"/>
          <w:color w:val="auto"/>
          <w:sz w:val="24"/>
          <w:szCs w:val="24"/>
          <w:u w:val="none"/>
        </w:rPr>
        <w:fldChar w:fldCharType="end"/>
      </w:r>
      <w:r>
        <w:rPr>
          <w:rFonts w:hint="eastAsia" w:ascii="宋体" w:hAnsi="宋体" w:eastAsia="宋体" w:cs="宋体"/>
          <w:bCs/>
          <w:i w:val="0"/>
          <w:color w:val="auto"/>
          <w:sz w:val="24"/>
          <w:szCs w:val="24"/>
          <w:u w:val="none"/>
        </w:rPr>
        <w:t xml:space="preserve">定期组织服务人员进行培训学习，不断提高服务人员业务技能。</w:t>
      </w:r>
      <w:r/>
    </w:p>
    <w:p>
      <w:pPr>
        <w:ind w:right="-27" w:firstLine="480"/>
        <w:jc w:val="both"/>
        <w:keepLines w:val="0"/>
        <w:keepNext w:val="0"/>
        <w:pageBreakBefore w:val="0"/>
        <w:spacing w:line="360" w:lineRule="auto"/>
        <w:tabs>
          <w:tab w:val="left" w:pos="0" w:leader="none"/>
        </w:tabs>
        <w:rPr>
          <w:rFonts w:hint="eastAsia" w:ascii="宋体" w:hAnsi="宋体" w:eastAsia="宋体" w:cs="宋体"/>
          <w:bCs/>
          <w:i w:val="0"/>
          <w:color w:val="auto"/>
          <w:sz w:val="24"/>
          <w:szCs w:val="24"/>
          <w:u w:val="none"/>
        </w:rPr>
      </w:pPr>
      <w:r>
        <w:rPr>
          <w:rFonts w:hint="eastAsia" w:ascii="宋体" w:hAnsi="宋体" w:eastAsia="宋体" w:cs="宋体"/>
          <w:bCs/>
          <w:i w:val="0"/>
          <w:color w:val="auto"/>
          <w:sz w:val="24"/>
          <w:szCs w:val="24"/>
          <w:u w:val="none"/>
        </w:rPr>
        <w:fldChar w:fldCharType="begin"/>
      </w:r>
      <w:r>
        <w:rPr>
          <w:rFonts w:hint="eastAsia" w:ascii="宋体" w:hAnsi="宋体" w:eastAsia="宋体" w:cs="宋体"/>
          <w:bCs/>
          <w:i w:val="0"/>
          <w:color w:val="auto"/>
          <w:sz w:val="24"/>
          <w:szCs w:val="24"/>
          <w:u w:val="none"/>
        </w:rPr>
        <w:instrText xml:space="preserve"> = 6 \* GB3 </w:instrText>
      </w:r>
      <w:r>
        <w:rPr>
          <w:rFonts w:hint="eastAsia" w:ascii="宋体" w:hAnsi="宋体" w:eastAsia="宋体" w:cs="宋体"/>
          <w:bCs/>
          <w:i w:val="0"/>
          <w:color w:val="auto"/>
          <w:sz w:val="24"/>
          <w:szCs w:val="24"/>
          <w:u w:val="none"/>
        </w:rPr>
        <w:fldChar w:fldCharType="separate"/>
      </w:r>
      <w:r>
        <w:rPr>
          <w:rFonts w:hint="eastAsia" w:ascii="宋体" w:hAnsi="宋体" w:eastAsia="宋体" w:cs="宋体"/>
          <w:bCs/>
          <w:i w:val="0"/>
          <w:color w:val="auto"/>
          <w:sz w:val="24"/>
          <w:szCs w:val="24"/>
          <w:u w:val="none"/>
        </w:rPr>
        <w:t xml:space="preserve">⑥</w:t>
      </w:r>
      <w:r>
        <w:rPr>
          <w:rFonts w:hint="eastAsia" w:ascii="宋体" w:hAnsi="宋体" w:eastAsia="宋体" w:cs="宋体"/>
          <w:bCs/>
          <w:i w:val="0"/>
          <w:color w:val="auto"/>
          <w:sz w:val="24"/>
          <w:szCs w:val="24"/>
          <w:u w:val="none"/>
        </w:rPr>
        <w:fldChar w:fldCharType="end"/>
      </w:r>
      <w:r>
        <w:rPr>
          <w:rFonts w:hint="eastAsia" w:ascii="宋体" w:hAnsi="宋体" w:eastAsia="宋体" w:cs="宋体"/>
          <w:bCs/>
          <w:i w:val="0"/>
          <w:color w:val="auto"/>
          <w:sz w:val="24"/>
          <w:szCs w:val="24"/>
          <w:u w:val="none"/>
        </w:rPr>
        <w:t xml:space="preserve">乙方做好安全生产工作，对在工作中出现的服务人员的人身安全承担责任，并对由于服务人员的原因导致的第三人的人身财产损失承担赔偿责任。</w:t>
      </w:r>
      <w:r/>
    </w:p>
    <w:p>
      <w:pPr>
        <w:ind w:right="-27" w:firstLine="480"/>
        <w:jc w:val="both"/>
        <w:keepLines w:val="0"/>
        <w:keepNext w:val="0"/>
        <w:pageBreakBefore w:val="0"/>
        <w:spacing w:line="360" w:lineRule="auto"/>
        <w:tabs>
          <w:tab w:val="left" w:pos="0" w:leader="none"/>
        </w:tabs>
        <w:rPr>
          <w:rFonts w:hint="eastAsia" w:ascii="宋体" w:hAnsi="宋体" w:eastAsia="宋体" w:cs="宋体"/>
          <w:bCs/>
          <w:color w:val="auto"/>
          <w:sz w:val="24"/>
          <w:szCs w:val="24"/>
        </w:rPr>
      </w:pPr>
      <w:r>
        <w:rPr>
          <w:rFonts w:hint="eastAsia" w:ascii="宋体" w:hAnsi="宋体" w:eastAsia="宋体" w:cs="宋体"/>
          <w:bCs/>
          <w:i w:val="0"/>
          <w:color w:val="auto"/>
          <w:sz w:val="24"/>
          <w:szCs w:val="24"/>
          <w:u w:val="none"/>
        </w:rPr>
        <w:fldChar w:fldCharType="begin"/>
      </w:r>
      <w:r>
        <w:rPr>
          <w:rFonts w:hint="eastAsia" w:ascii="宋体" w:hAnsi="宋体" w:eastAsia="宋体" w:cs="宋体"/>
          <w:bCs/>
          <w:i w:val="0"/>
          <w:color w:val="auto"/>
          <w:sz w:val="24"/>
          <w:szCs w:val="24"/>
          <w:u w:val="none"/>
        </w:rPr>
        <w:instrText xml:space="preserve"> = 7 \* GB3 </w:instrText>
      </w:r>
      <w:r>
        <w:rPr>
          <w:rFonts w:hint="eastAsia" w:ascii="宋体" w:hAnsi="宋体" w:eastAsia="宋体" w:cs="宋体"/>
          <w:bCs/>
          <w:i w:val="0"/>
          <w:color w:val="auto"/>
          <w:sz w:val="24"/>
          <w:szCs w:val="24"/>
          <w:u w:val="none"/>
        </w:rPr>
        <w:fldChar w:fldCharType="separate"/>
      </w:r>
      <w:r>
        <w:rPr>
          <w:rFonts w:hint="eastAsia" w:ascii="宋体" w:hAnsi="宋体" w:eastAsia="宋体" w:cs="宋体"/>
          <w:bCs/>
          <w:i w:val="0"/>
          <w:color w:val="auto"/>
          <w:sz w:val="24"/>
          <w:szCs w:val="24"/>
          <w:u w:val="none"/>
        </w:rPr>
        <w:t xml:space="preserve">⑦</w:t>
      </w:r>
      <w:r>
        <w:rPr>
          <w:rFonts w:hint="eastAsia" w:ascii="宋体" w:hAnsi="宋体" w:eastAsia="宋体" w:cs="宋体"/>
          <w:bCs/>
          <w:i w:val="0"/>
          <w:color w:val="auto"/>
          <w:sz w:val="24"/>
          <w:szCs w:val="24"/>
          <w:u w:val="none"/>
        </w:rPr>
        <w:fldChar w:fldCharType="end"/>
      </w:r>
      <w:r>
        <w:rPr>
          <w:rFonts w:hint="eastAsia" w:ascii="宋体" w:hAnsi="宋体" w:eastAsia="宋体" w:cs="宋体"/>
          <w:bCs/>
          <w:i w:val="0"/>
          <w:color w:val="auto"/>
          <w:sz w:val="24"/>
          <w:szCs w:val="24"/>
          <w:u w:val="none"/>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jc w:val="both"/>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第五条 知识产权</w:t>
      </w:r>
      <w:r/>
    </w:p>
    <w:p>
      <w:pPr>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要充分考虑知识产权问题，应保证甲方不承担由于乙方在使用该项目所需的服务和设计或其任何一部分时而引起第三方提出的侵犯专利权、商标权或工业设计权的起诉、行动、行政程序索赔、请求等任何责任，并依法赔偿甲方为此而产生的损失和损害、费用和支出（包括律师费）。</w:t>
      </w:r>
      <w:r/>
    </w:p>
    <w:p>
      <w:pPr>
        <w:jc w:val="both"/>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第六条 保密条款</w:t>
      </w:r>
      <w:r/>
    </w:p>
    <w:p>
      <w:pPr>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1、乙方负责对甲方所提供的所有资料保密，乙方及其工作人员需遵守甲方的保密规定，不以任何形式将收集的所有资料、数据等进行泄漏、传播。</w:t>
      </w:r>
      <w:r/>
    </w:p>
    <w:p>
      <w:pPr>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2、乙方项目服务人员需签署相关保密协议，承担工作中接触相关内容的保密义务。</w:t>
      </w:r>
      <w:r/>
    </w:p>
    <w:p>
      <w:pPr>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3、以上保密规定如有违反，甲方有权追究乙方相关法律责任。</w:t>
      </w:r>
      <w:r/>
    </w:p>
    <w:p>
      <w:pPr>
        <w:jc w:val="both"/>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第七条 风险责任</w:t>
      </w:r>
      <w:r/>
    </w:p>
    <w:p>
      <w:pPr>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1、乙方在合同履行过程中应对本项目的安全生产负全责，项目实施过程中发生的任何安全生产事故均由乙方负责，甲方不承担任何法律和经济上的责任。</w:t>
      </w:r>
      <w:r/>
    </w:p>
    <w:p>
      <w:pPr>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2、因乙方原因，给甲方及第三人造成的一切后果及损失，由乙方承担，后果严重的甲方有权解除合同。如发生甲方因上述情况被第三方主张权利的，甲方将依法向乙方追究责任，并向乙方追偿。</w:t>
      </w:r>
      <w:r/>
    </w:p>
    <w:p>
      <w:pPr>
        <w:jc w:val="both"/>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第八条 不可抗力</w:t>
      </w:r>
      <w:r/>
    </w:p>
    <w:p>
      <w:pPr>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1、因不可抗力不能履行合同的，根据不可抗力的影响，部分或者全部免除责任。但合同一方迟延履行后发生不可抗力的，不能免除责任。</w:t>
      </w:r>
      <w:r/>
    </w:p>
    <w:p>
      <w:pPr>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2、合同一方因不可抗力不能履行合同的，应当及时通知对方，以减轻可能给对方造成的损失，并应当在合理期限内提供证明。</w:t>
      </w:r>
      <w:r/>
    </w:p>
    <w:p>
      <w:pPr>
        <w:jc w:val="both"/>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第九条 索赔</w:t>
      </w:r>
      <w:r/>
    </w:p>
    <w:p>
      <w:pPr>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服务过程或结束后，甲方发现乙方提供的服务（或成果）有不符或不满足采购要求或响应承诺或国家标准或行业标准的，有权向乙方提出索赔，乙方在收到甲方索赔通知后3天内应免费进行补救或弥补相应的缺陷。如果乙方在收到通知后</w:t>
      </w:r>
      <w:r>
        <w:rPr>
          <w:rFonts w:hint="eastAsia" w:ascii="宋体" w:hAnsi="宋体" w:eastAsia="宋体" w:cs="宋体"/>
          <w:sz w:val="24"/>
          <w:szCs w:val="24"/>
          <w:u w:val="single"/>
        </w:rPr>
        <w:t xml:space="preserve">3</w:t>
      </w:r>
      <w:r>
        <w:rPr>
          <w:rFonts w:hint="eastAsia" w:ascii="宋体" w:hAnsi="宋体" w:eastAsia="宋体" w:cs="宋体"/>
          <w:sz w:val="24"/>
          <w:szCs w:val="24"/>
        </w:rPr>
        <w:t xml:space="preserve">天内没有弥补缺陷，或不能弥补缺陷，甲方可采取必要的补救措施，但风险和费用将由乙方承担，同时甲方对乙方行使的其它权利不受影响。甲方因采取补救措施所承担的应由乙方承担的费用，有权在甲方应支付给乙方的款项中直接扣除。  </w:t>
      </w:r>
      <w:r/>
    </w:p>
    <w:p>
      <w:pPr>
        <w:jc w:val="both"/>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第十条 合同的变更、终止和转让</w:t>
      </w:r>
      <w:r/>
    </w:p>
    <w:p>
      <w:pPr>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（一）合同的变更、终止</w:t>
      </w:r>
      <w:r/>
    </w:p>
    <w:p>
      <w:pPr>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按照《中华人民共和国政府采购法》第五十条：政府采购合同的双方当事人不得擅自变更、中止或者终止合同。政府采购合同继续履行将损害国家利益和社会公共利益的，双方当事人应当变更、中止或者终止合同。有过错的一方应当承担赔偿责任，双方都有过错的，各自承担相应的责任。</w:t>
      </w:r>
      <w:r/>
    </w:p>
    <w:p>
      <w:pPr>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因合同一方违反合同约定导致合同不能继续履行的或根据合同条约定可以终止合同的，另一方有权终止合同。有权终止合同的一方，应当在违约事实发生之后三十天内书面通知对方以主张终止合同，并由过错方承担赔偿责任。</w:t>
      </w:r>
      <w:r/>
    </w:p>
    <w:p>
      <w:pPr>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（二）合同的转让</w:t>
      </w:r>
      <w:r/>
    </w:p>
    <w:p>
      <w:pPr>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合同的全部不得转让。</w:t>
      </w:r>
      <w:r/>
    </w:p>
    <w:p>
      <w:pPr>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第十一条 合同生效及其它</w:t>
      </w:r>
      <w:r/>
    </w:p>
    <w:p>
      <w:pPr>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1、合同经甲乙双方代表签字并加盖公章（或合同章）后生效，同时须经采购代理机构备案。</w:t>
      </w:r>
      <w:r/>
    </w:p>
    <w:p>
      <w:pPr>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2、合同在执行过程中出现的未尽事宜，双方在不违背本合同和采购文件的原则下协商解决，协商结果以书面形式盖章记录在案，作为本合同的附件，与本合同具有同等效力，但需向采购代理机构提交一份备存。</w:t>
      </w:r>
      <w:r/>
    </w:p>
    <w:p>
      <w:pPr>
        <w:jc w:val="both"/>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第十一条 附则</w:t>
      </w:r>
      <w:r/>
    </w:p>
    <w:p>
      <w:pPr>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1、合同份数</w:t>
      </w:r>
      <w:r/>
    </w:p>
    <w:p>
      <w:pPr>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本合同一式</w:t>
      </w:r>
      <w:r>
        <w:rPr>
          <w:rFonts w:hint="eastAsia" w:ascii="宋体" w:hAnsi="宋体" w:eastAsia="宋体" w:cs="宋体"/>
          <w:sz w:val="24"/>
          <w:szCs w:val="24"/>
          <w:lang w:val="en-US" w:eastAsia="zh-CN"/>
        </w:rPr>
        <w:t xml:space="preserve">七</w:t>
      </w:r>
      <w:r>
        <w:rPr>
          <w:rFonts w:hint="eastAsia" w:ascii="宋体" w:hAnsi="宋体" w:eastAsia="宋体" w:cs="宋体"/>
          <w:sz w:val="24"/>
          <w:szCs w:val="24"/>
        </w:rPr>
        <w:t xml:space="preserve">份，甲乙双方各执</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份，采购代理机构一份。</w:t>
      </w:r>
      <w:r/>
    </w:p>
    <w:p>
      <w:pPr>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2、未尽事宜</w:t>
      </w:r>
      <w:r/>
    </w:p>
    <w:p>
      <w:pPr>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本合同未尽事宜应按《中华人民共和国民法典》、《中华人民共和国政府采购法》以及其相关法律、法规之规定解释。</w:t>
      </w:r>
      <w:r/>
    </w:p>
    <w:p>
      <w:pPr>
        <w:jc w:val="both"/>
        <w:keepLines w:val="0"/>
        <w:keepNext w:val="0"/>
        <w:pageBreakBefore w:val="0"/>
        <w:spacing w:line="360" w:lineRule="auto"/>
        <w:tabs>
          <w:tab w:val="left" w:pos="630" w:leader="none"/>
        </w:tabs>
        <w:rPr>
          <w:rFonts w:hint="eastAsia" w:ascii="宋体" w:hAnsi="宋体" w:eastAsia="宋体" w:cs="宋体"/>
          <w:sz w:val="24"/>
          <w:szCs w:val="24"/>
        </w:rPr>
      </w:pPr>
      <w:r>
        <w:rPr>
          <w:rFonts w:hint="eastAsia" w:ascii="宋体" w:hAnsi="宋体" w:eastAsia="宋体" w:cs="宋体"/>
          <w:sz w:val="24"/>
          <w:szCs w:val="24"/>
        </w:rPr>
      </w:r>
      <w:r/>
    </w:p>
    <w:p>
      <w:pPr>
        <w:jc w:val="both"/>
        <w:keepLines w:val="0"/>
        <w:keepNext w:val="0"/>
        <w:pageBreakBefore w:val="0"/>
        <w:spacing w:line="360" w:lineRule="auto"/>
        <w:tabs>
          <w:tab w:val="left" w:pos="630" w:leader="none"/>
        </w:tabs>
        <w:rPr>
          <w:rFonts w:hint="eastAsia" w:ascii="宋体" w:hAnsi="宋体" w:eastAsia="宋体" w:cs="宋体"/>
          <w:sz w:val="24"/>
          <w:szCs w:val="24"/>
        </w:rPr>
      </w:pPr>
      <w:r>
        <w:rPr>
          <w:rFonts w:hint="eastAsia" w:ascii="宋体" w:hAnsi="宋体" w:eastAsia="宋体" w:cs="宋体"/>
          <w:sz w:val="24"/>
          <w:szCs w:val="24"/>
        </w:rPr>
        <w:t xml:space="preserve">甲方：（盖章）                                 乙方：（盖章）</w:t>
      </w:r>
      <w:r/>
    </w:p>
    <w:p>
      <w:pPr>
        <w:jc w:val="both"/>
        <w:keepLines w:val="0"/>
        <w:keepNext w:val="0"/>
        <w:pageBreakBefore w:val="0"/>
        <w:spacing w:line="360" w:lineRule="auto"/>
        <w:tabs>
          <w:tab w:val="left" w:pos="630" w:leader="none"/>
        </w:tabs>
        <w:rPr>
          <w:rFonts w:hint="eastAsia" w:ascii="宋体" w:hAnsi="宋体" w:eastAsia="宋体" w:cs="宋体"/>
          <w:sz w:val="24"/>
          <w:szCs w:val="24"/>
        </w:rPr>
      </w:pPr>
      <w:r>
        <w:rPr>
          <w:rFonts w:hint="eastAsia" w:ascii="宋体" w:hAnsi="宋体" w:eastAsia="宋体" w:cs="宋体"/>
          <w:sz w:val="24"/>
          <w:szCs w:val="24"/>
        </w:rPr>
        <w:t xml:space="preserve">法定代表人：(签字)                             法定代表人：(签字)</w:t>
      </w:r>
      <w:r/>
    </w:p>
    <w:p>
      <w:pPr>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或委托代理人：(签字)                           或委托代理人：(签字)</w:t>
      </w:r>
      <w:r/>
    </w:p>
    <w:p>
      <w:pPr>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  期：   年   月   日                        日  期：   年   月   日</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附件</w:t>
      </w:r>
      <w:r>
        <w:rPr>
          <w:rFonts w:hint="eastAsia" w:hAnsi="宋体" w:cs="宋体"/>
          <w:b/>
          <w:bCs/>
          <w:color w:val="auto"/>
          <w:sz w:val="24"/>
          <w:szCs w:val="24"/>
          <w:highlight w:val="none"/>
          <w:lang w:val="en-US" w:eastAsia="zh-CN"/>
        </w:rPr>
        <w:t xml:space="preserve">1</w:t>
      </w:r>
      <w:r/>
    </w:p>
    <w:p>
      <w:pPr>
        <w:ind w:left="1410" w:firstLine="788"/>
        <w:jc w:val="left"/>
        <w:spacing w:before="263" w:line="223" w:lineRule="auto"/>
        <w:widowControl/>
        <w:rPr>
          <w:rFonts w:ascii="微软雅黑" w:hAnsi="微软雅黑" w:eastAsia="微软雅黑" w:cs="微软雅黑"/>
          <w:color w:val="auto"/>
          <w:sz w:val="36"/>
          <w:szCs w:val="36"/>
          <w:highlight w:val="none"/>
          <w:lang w:eastAsia="en-US"/>
        </w:rPr>
        <w:outlineLvl w:val="0"/>
      </w:pPr>
      <w:r>
        <w:rPr>
          <w:rFonts w:ascii="微软雅黑" w:hAnsi="微软雅黑" w:eastAsia="微软雅黑" w:cs="微软雅黑"/>
          <w:color w:val="auto"/>
          <w:spacing w:val="17"/>
          <w:sz w:val="36"/>
          <w:szCs w:val="36"/>
          <w:highlight w:val="none"/>
          <w:lang w:eastAsia="en-US"/>
        </w:rPr>
        <w:t xml:space="preserve">政府采购履约验收通知单</w:t>
      </w:r>
      <w:r/>
    </w:p>
    <w:p>
      <w:pPr>
        <w:ind w:left="85"/>
        <w:jc w:val="left"/>
        <w:spacing w:before="216" w:line="214" w:lineRule="auto"/>
        <w:widowControl/>
        <w:rPr>
          <w:rFonts w:ascii="宋体" w:hAnsi="宋体" w:eastAsia="宋体" w:cs="宋体"/>
          <w:color w:val="auto"/>
          <w:sz w:val="23"/>
          <w:szCs w:val="23"/>
          <w:highlight w:val="none"/>
          <w:lang w:eastAsia="en-US"/>
        </w:rPr>
      </w:pPr>
      <w:r>
        <w:rPr>
          <w:rFonts w:ascii="宋体" w:hAnsi="宋体" w:eastAsia="宋体" w:cs="宋体"/>
          <w:color w:val="auto"/>
          <w:spacing w:val="9"/>
          <w:sz w:val="23"/>
          <w:szCs w:val="23"/>
          <w:highlight w:val="none"/>
          <w:lang w:eastAsia="en-US"/>
        </w:rPr>
        <w:t xml:space="preserve">供应商：</w:t>
      </w:r>
      <w:r/>
    </w:p>
    <w:p>
      <w:pPr>
        <w:jc w:val="left"/>
        <w:spacing w:line="44" w:lineRule="exact"/>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bl>
      <w:tblPr>
        <w:tblStyle w:val="1102"/>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vAlign w:val="top"/>
            <w:textDirection w:val="lrTb"/>
            <w:noWrap w:val="false"/>
          </w:tcPr>
          <w:p>
            <w:pPr>
              <w:ind w:left="961"/>
              <w:jc w:val="left"/>
              <w:spacing w:before="249" w:line="212" w:lineRule="auto"/>
              <w:widowControl w:val="off"/>
              <w:rPr>
                <w:rFonts w:ascii="黑体" w:hAnsi="黑体" w:eastAsia="黑体" w:cs="黑体"/>
                <w:color w:val="auto"/>
                <w:sz w:val="23"/>
                <w:szCs w:val="23"/>
                <w:highlight w:val="none"/>
                <w:lang w:eastAsia="en-US"/>
              </w:rPr>
            </w:pPr>
            <w:r>
              <w:rPr>
                <w:rFonts w:ascii="黑体" w:hAnsi="黑体" w:eastAsia="黑体" w:cs="黑体"/>
                <w:color w:val="auto"/>
                <w:spacing w:val="2"/>
                <w:sz w:val="23"/>
                <w:szCs w:val="23"/>
                <w:highlight w:val="none"/>
                <w:lang w:eastAsia="en-US"/>
              </w:rPr>
              <w:t xml:space="preserve">采购人</w:t>
            </w:r>
            <w:r/>
          </w:p>
        </w:tc>
        <w:tc>
          <w:tcPr>
            <w:gridSpan w:val="3"/>
            <w:tcW w:w="6708" w:type="dxa"/>
            <w:vAlign w:val="top"/>
            <w:textDirection w:val="lrTb"/>
            <w:noWrap w:val="false"/>
          </w:tcPr>
          <w:p>
            <w:pPr>
              <w:jc w:val="left"/>
              <w:spacing w:line="240"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tc>
      </w:tr>
      <w:tr>
        <w:trPr>
          <w:trHeight w:val="560"/>
        </w:trPr>
        <w:tc>
          <w:tcPr>
            <w:tcW w:w="2610" w:type="dxa"/>
            <w:vAlign w:val="top"/>
            <w:textDirection w:val="lrTb"/>
            <w:noWrap w:val="false"/>
          </w:tcPr>
          <w:p>
            <w:pPr>
              <w:ind w:left="841"/>
              <w:jc w:val="left"/>
              <w:spacing w:before="249" w:line="211" w:lineRule="auto"/>
              <w:widowControl w:val="off"/>
              <w:rPr>
                <w:rFonts w:ascii="黑体" w:hAnsi="黑体" w:eastAsia="黑体" w:cs="黑体"/>
                <w:color w:val="auto"/>
                <w:sz w:val="23"/>
                <w:szCs w:val="23"/>
                <w:highlight w:val="none"/>
                <w:lang w:eastAsia="en-US"/>
              </w:rPr>
            </w:pPr>
            <w:r>
              <w:rPr>
                <w:rFonts w:ascii="黑体" w:hAnsi="黑体" w:eastAsia="黑体" w:cs="黑体"/>
                <w:color w:val="auto"/>
                <w:spacing w:val="2"/>
                <w:sz w:val="23"/>
                <w:szCs w:val="23"/>
                <w:highlight w:val="none"/>
                <w:lang w:eastAsia="en-US"/>
              </w:rPr>
              <w:t xml:space="preserve">项目名称</w:t>
            </w:r>
            <w:r/>
          </w:p>
        </w:tc>
        <w:tc>
          <w:tcPr>
            <w:gridSpan w:val="3"/>
            <w:tcW w:w="6708" w:type="dxa"/>
            <w:vAlign w:val="top"/>
            <w:textDirection w:val="lrTb"/>
            <w:noWrap w:val="false"/>
          </w:tcPr>
          <w:p>
            <w:pPr>
              <w:jc w:val="left"/>
              <w:spacing w:line="240"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tc>
      </w:tr>
      <w:tr>
        <w:trPr>
          <w:trHeight w:val="559"/>
        </w:trPr>
        <w:tc>
          <w:tcPr>
            <w:tcW w:w="2610" w:type="dxa"/>
            <w:vAlign w:val="top"/>
            <w:textDirection w:val="lrTb"/>
            <w:noWrap w:val="false"/>
          </w:tcPr>
          <w:p>
            <w:pPr>
              <w:ind w:left="841"/>
              <w:jc w:val="left"/>
              <w:spacing w:before="247" w:line="213" w:lineRule="auto"/>
              <w:widowControl w:val="off"/>
              <w:rPr>
                <w:rFonts w:ascii="黑体" w:hAnsi="黑体" w:eastAsia="黑体" w:cs="黑体"/>
                <w:color w:val="auto"/>
                <w:sz w:val="23"/>
                <w:szCs w:val="23"/>
                <w:highlight w:val="none"/>
                <w:lang w:eastAsia="en-US"/>
              </w:rPr>
            </w:pPr>
            <w:r>
              <w:rPr>
                <w:rFonts w:ascii="黑体" w:hAnsi="黑体" w:eastAsia="黑体" w:cs="黑体"/>
                <w:color w:val="auto"/>
                <w:spacing w:val="2"/>
                <w:sz w:val="23"/>
                <w:szCs w:val="23"/>
                <w:highlight w:val="none"/>
                <w:lang w:eastAsia="en-US"/>
              </w:rPr>
              <w:t xml:space="preserve">合同名称</w:t>
            </w:r>
            <w:r/>
          </w:p>
        </w:tc>
        <w:tc>
          <w:tcPr>
            <w:gridSpan w:val="3"/>
            <w:tcW w:w="6708" w:type="dxa"/>
            <w:vAlign w:val="top"/>
            <w:textDirection w:val="lrTb"/>
            <w:noWrap w:val="false"/>
          </w:tcPr>
          <w:p>
            <w:pPr>
              <w:jc w:val="left"/>
              <w:spacing w:line="240"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tc>
      </w:tr>
      <w:tr>
        <w:trPr>
          <w:trHeight w:val="560"/>
        </w:trPr>
        <w:tc>
          <w:tcPr>
            <w:tcW w:w="2610" w:type="dxa"/>
            <w:vAlign w:val="top"/>
            <w:textDirection w:val="lrTb"/>
            <w:noWrap w:val="false"/>
          </w:tcPr>
          <w:p>
            <w:pPr>
              <w:ind w:left="841"/>
              <w:jc w:val="left"/>
              <w:spacing w:before="247" w:line="212" w:lineRule="auto"/>
              <w:widowControl w:val="off"/>
              <w:rPr>
                <w:rFonts w:ascii="黑体" w:hAnsi="黑体" w:eastAsia="黑体" w:cs="黑体"/>
                <w:color w:val="auto"/>
                <w:sz w:val="23"/>
                <w:szCs w:val="23"/>
                <w:highlight w:val="none"/>
                <w:lang w:eastAsia="en-US"/>
              </w:rPr>
            </w:pPr>
            <w:r>
              <w:rPr>
                <w:rFonts w:ascii="黑体" w:hAnsi="黑体" w:eastAsia="黑体" w:cs="黑体"/>
                <w:color w:val="auto"/>
                <w:spacing w:val="2"/>
                <w:sz w:val="23"/>
                <w:szCs w:val="23"/>
                <w:highlight w:val="none"/>
                <w:lang w:eastAsia="en-US"/>
              </w:rPr>
              <w:t xml:space="preserve">合同编号</w:t>
            </w:r>
            <w:r/>
          </w:p>
        </w:tc>
        <w:tc>
          <w:tcPr>
            <w:tcW w:w="1961" w:type="dxa"/>
            <w:vAlign w:val="top"/>
            <w:textDirection w:val="lrTb"/>
            <w:noWrap w:val="false"/>
          </w:tcPr>
          <w:p>
            <w:pPr>
              <w:jc w:val="left"/>
              <w:spacing w:line="240"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tc>
        <w:tc>
          <w:tcPr>
            <w:tcW w:w="2139" w:type="dxa"/>
            <w:vAlign w:val="top"/>
            <w:textDirection w:val="lrTb"/>
            <w:noWrap w:val="false"/>
          </w:tcPr>
          <w:p>
            <w:pPr>
              <w:ind w:left="607"/>
              <w:jc w:val="left"/>
              <w:spacing w:before="247" w:line="213" w:lineRule="auto"/>
              <w:widowControl w:val="off"/>
              <w:rPr>
                <w:rFonts w:ascii="黑体" w:hAnsi="黑体" w:eastAsia="黑体" w:cs="黑体"/>
                <w:color w:val="auto"/>
                <w:sz w:val="23"/>
                <w:szCs w:val="23"/>
                <w:highlight w:val="none"/>
                <w:lang w:eastAsia="en-US"/>
              </w:rPr>
            </w:pPr>
            <w:r>
              <w:rPr>
                <w:rFonts w:ascii="黑体" w:hAnsi="黑体" w:eastAsia="黑体" w:cs="黑体"/>
                <w:color w:val="auto"/>
                <w:spacing w:val="2"/>
                <w:sz w:val="23"/>
                <w:szCs w:val="23"/>
                <w:highlight w:val="none"/>
                <w:lang w:eastAsia="en-US"/>
              </w:rPr>
              <w:t xml:space="preserve">合同金额</w:t>
            </w:r>
            <w:r/>
          </w:p>
        </w:tc>
        <w:tc>
          <w:tcPr>
            <w:tcW w:w="2608" w:type="dxa"/>
            <w:vAlign w:val="top"/>
            <w:textDirection w:val="lrTb"/>
            <w:noWrap w:val="false"/>
          </w:tcPr>
          <w:p>
            <w:pPr>
              <w:jc w:val="left"/>
              <w:spacing w:line="240"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tc>
      </w:tr>
      <w:tr>
        <w:trPr>
          <w:trHeight w:val="559"/>
        </w:trPr>
        <w:tc>
          <w:tcPr>
            <w:tcW w:w="2610" w:type="dxa"/>
            <w:vAlign w:val="top"/>
            <w:textDirection w:val="lrTb"/>
            <w:noWrap w:val="false"/>
          </w:tcPr>
          <w:p>
            <w:pPr>
              <w:ind w:left="841"/>
              <w:jc w:val="left"/>
              <w:spacing w:before="248" w:line="212" w:lineRule="auto"/>
              <w:widowControl w:val="off"/>
              <w:rPr>
                <w:rFonts w:ascii="黑体" w:hAnsi="黑体" w:eastAsia="黑体" w:cs="黑体"/>
                <w:color w:val="auto"/>
                <w:sz w:val="23"/>
                <w:szCs w:val="23"/>
                <w:highlight w:val="none"/>
                <w:lang w:eastAsia="en-US"/>
              </w:rPr>
            </w:pPr>
            <w:r>
              <w:rPr>
                <w:rFonts w:ascii="黑体" w:hAnsi="黑体" w:eastAsia="黑体" w:cs="黑体"/>
                <w:color w:val="auto"/>
                <w:spacing w:val="4"/>
                <w:sz w:val="23"/>
                <w:szCs w:val="23"/>
                <w:highlight w:val="none"/>
                <w:lang w:eastAsia="en-US"/>
              </w:rPr>
              <w:t xml:space="preserve">验收时间</w:t>
            </w:r>
            <w:r/>
          </w:p>
        </w:tc>
        <w:tc>
          <w:tcPr>
            <w:tcW w:w="1961" w:type="dxa"/>
            <w:vAlign w:val="top"/>
            <w:textDirection w:val="lrTb"/>
            <w:noWrap w:val="false"/>
          </w:tcPr>
          <w:p>
            <w:pPr>
              <w:jc w:val="left"/>
              <w:spacing w:line="240"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tc>
        <w:tc>
          <w:tcPr>
            <w:tcW w:w="2139" w:type="dxa"/>
            <w:vAlign w:val="top"/>
            <w:textDirection w:val="lrTb"/>
            <w:noWrap w:val="false"/>
          </w:tcPr>
          <w:p>
            <w:pPr>
              <w:ind w:left="607"/>
              <w:jc w:val="left"/>
              <w:spacing w:before="248" w:line="213" w:lineRule="auto"/>
              <w:widowControl w:val="off"/>
              <w:rPr>
                <w:rFonts w:ascii="黑体" w:hAnsi="黑体" w:eastAsia="黑体" w:cs="黑体"/>
                <w:color w:val="auto"/>
                <w:sz w:val="23"/>
                <w:szCs w:val="23"/>
                <w:highlight w:val="none"/>
                <w:lang w:eastAsia="en-US"/>
              </w:rPr>
            </w:pPr>
            <w:r>
              <w:rPr>
                <w:rFonts w:ascii="黑体" w:hAnsi="黑体" w:eastAsia="黑体" w:cs="黑体"/>
                <w:color w:val="auto"/>
                <w:spacing w:val="4"/>
                <w:sz w:val="23"/>
                <w:szCs w:val="23"/>
                <w:highlight w:val="none"/>
                <w:lang w:eastAsia="en-US"/>
              </w:rPr>
              <w:t xml:space="preserve">验收地点</w:t>
            </w:r>
            <w:r/>
          </w:p>
        </w:tc>
        <w:tc>
          <w:tcPr>
            <w:tcW w:w="2608" w:type="dxa"/>
            <w:vAlign w:val="top"/>
            <w:textDirection w:val="lrTb"/>
            <w:noWrap w:val="false"/>
          </w:tcPr>
          <w:p>
            <w:pPr>
              <w:jc w:val="left"/>
              <w:spacing w:line="240"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tc>
      </w:tr>
      <w:tr>
        <w:trPr>
          <w:trHeight w:val="560"/>
        </w:trPr>
        <w:tc>
          <w:tcPr>
            <w:tcW w:w="2610" w:type="dxa"/>
            <w:vAlign w:val="top"/>
            <w:textDirection w:val="lrTb"/>
            <w:noWrap w:val="false"/>
          </w:tcPr>
          <w:p>
            <w:pPr>
              <w:ind w:left="960"/>
              <w:jc w:val="left"/>
              <w:spacing w:before="248" w:line="213" w:lineRule="auto"/>
              <w:widowControl w:val="off"/>
              <w:rPr>
                <w:rFonts w:ascii="黑体" w:hAnsi="黑体" w:eastAsia="黑体" w:cs="黑体"/>
                <w:color w:val="auto"/>
                <w:sz w:val="23"/>
                <w:szCs w:val="23"/>
                <w:highlight w:val="none"/>
                <w:lang w:eastAsia="en-US"/>
              </w:rPr>
            </w:pPr>
            <w:r>
              <w:rPr>
                <w:rFonts w:ascii="黑体" w:hAnsi="黑体" w:eastAsia="黑体" w:cs="黑体"/>
                <w:color w:val="auto"/>
                <w:spacing w:val="1"/>
                <w:sz w:val="23"/>
                <w:szCs w:val="23"/>
                <w:highlight w:val="none"/>
                <w:lang w:eastAsia="en-US"/>
              </w:rPr>
              <w:t xml:space="preserve">联系人</w:t>
            </w:r>
            <w:r/>
          </w:p>
        </w:tc>
        <w:tc>
          <w:tcPr>
            <w:tcW w:w="1961" w:type="dxa"/>
            <w:vAlign w:val="top"/>
            <w:textDirection w:val="lrTb"/>
            <w:noWrap w:val="false"/>
          </w:tcPr>
          <w:p>
            <w:pPr>
              <w:jc w:val="left"/>
              <w:spacing w:line="240"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tc>
        <w:tc>
          <w:tcPr>
            <w:tcW w:w="2139" w:type="dxa"/>
            <w:vAlign w:val="top"/>
            <w:textDirection w:val="lrTb"/>
            <w:noWrap w:val="false"/>
          </w:tcPr>
          <w:p>
            <w:pPr>
              <w:ind w:left="605"/>
              <w:jc w:val="left"/>
              <w:spacing w:before="248" w:line="213" w:lineRule="auto"/>
              <w:widowControl w:val="off"/>
              <w:rPr>
                <w:rFonts w:ascii="黑体" w:hAnsi="黑体" w:eastAsia="黑体" w:cs="黑体"/>
                <w:color w:val="auto"/>
                <w:sz w:val="23"/>
                <w:szCs w:val="23"/>
                <w:highlight w:val="none"/>
                <w:lang w:eastAsia="en-US"/>
              </w:rPr>
            </w:pPr>
            <w:r>
              <w:rPr>
                <w:rFonts w:ascii="黑体" w:hAnsi="黑体" w:eastAsia="黑体" w:cs="黑体"/>
                <w:color w:val="auto"/>
                <w:spacing w:val="3"/>
                <w:sz w:val="23"/>
                <w:szCs w:val="23"/>
                <w:highlight w:val="none"/>
                <w:lang w:eastAsia="en-US"/>
              </w:rPr>
              <w:t xml:space="preserve">联系电话</w:t>
            </w:r>
            <w:r/>
          </w:p>
        </w:tc>
        <w:tc>
          <w:tcPr>
            <w:tcW w:w="2608" w:type="dxa"/>
            <w:vAlign w:val="top"/>
            <w:textDirection w:val="lrTb"/>
            <w:noWrap w:val="false"/>
          </w:tcPr>
          <w:p>
            <w:pPr>
              <w:jc w:val="left"/>
              <w:spacing w:line="240"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tc>
      </w:tr>
      <w:tr>
        <w:trPr>
          <w:trHeight w:val="560"/>
        </w:trPr>
        <w:tc>
          <w:tcPr>
            <w:gridSpan w:val="4"/>
            <w:tcW w:w="9318" w:type="dxa"/>
            <w:vAlign w:val="top"/>
            <w:textDirection w:val="lrTb"/>
            <w:noWrap w:val="false"/>
          </w:tcPr>
          <w:p>
            <w:pPr>
              <w:ind w:left="3353"/>
              <w:jc w:val="left"/>
              <w:spacing w:before="250" w:line="212" w:lineRule="auto"/>
              <w:widowControl w:val="off"/>
              <w:rPr>
                <w:rFonts w:ascii="黑体" w:hAnsi="黑体" w:eastAsia="黑体" w:cs="黑体"/>
                <w:color w:val="auto"/>
                <w:sz w:val="23"/>
                <w:szCs w:val="23"/>
                <w:highlight w:val="none"/>
                <w:lang w:eastAsia="en-US"/>
              </w:rPr>
            </w:pPr>
            <w:r>
              <w:rPr>
                <w:rFonts w:ascii="黑体" w:hAnsi="黑体" w:eastAsia="黑体" w:cs="黑体"/>
                <w:color w:val="auto"/>
                <w:spacing w:val="7"/>
                <w:sz w:val="23"/>
                <w:szCs w:val="23"/>
                <w:highlight w:val="none"/>
                <w:lang w:eastAsia="en-US"/>
              </w:rPr>
              <w:t xml:space="preserve">履约验收方案及工作要求</w:t>
            </w:r>
            <w:r/>
          </w:p>
        </w:tc>
      </w:tr>
      <w:tr>
        <w:trPr>
          <w:trHeight w:val="7569"/>
        </w:trPr>
        <w:tc>
          <w:tcPr>
            <w:gridSpan w:val="4"/>
            <w:tcW w:w="9318" w:type="dxa"/>
            <w:vAlign w:val="top"/>
            <w:textDirection w:val="lrTb"/>
            <w:noWrap w:val="false"/>
          </w:tcPr>
          <w:p>
            <w:pPr>
              <w:jc w:val="left"/>
              <w:spacing w:line="241"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2"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2"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ind w:left="5128" w:right="2893" w:firstLine="183"/>
              <w:jc w:val="left"/>
              <w:spacing w:before="75" w:line="507" w:lineRule="auto"/>
              <w:widowControl w:val="off"/>
              <w:rPr>
                <w:rFonts w:ascii="黑体" w:hAnsi="黑体" w:eastAsia="黑体" w:cs="黑体"/>
                <w:color w:val="auto"/>
                <w:sz w:val="23"/>
                <w:szCs w:val="23"/>
                <w:highlight w:val="none"/>
                <w:lang w:eastAsia="en-US"/>
              </w:rPr>
            </w:pPr>
            <w:r>
              <w:rPr>
                <w:rFonts w:ascii="黑体" w:hAnsi="黑体" w:eastAsia="黑体" w:cs="黑体"/>
                <w:color w:val="auto"/>
                <w:spacing w:val="3"/>
                <w:sz w:val="23"/>
                <w:szCs w:val="23"/>
                <w:highlight w:val="none"/>
                <w:lang w:eastAsia="en-US"/>
              </w:rPr>
              <w:t xml:space="preserve">单位公章</w:t>
            </w:r>
            <w:r>
              <w:rPr>
                <w:rFonts w:ascii="黑体" w:hAnsi="黑体" w:eastAsia="黑体" w:cs="黑体"/>
                <w:color w:val="auto"/>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年</w:t>
            </w:r>
            <w:r>
              <w:rPr>
                <w:rFonts w:ascii="黑体" w:hAnsi="黑体" w:eastAsia="黑体" w:cs="黑体"/>
                <w:color w:val="auto"/>
                <w:spacing w:val="18"/>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月</w:t>
            </w:r>
            <w:r>
              <w:rPr>
                <w:rFonts w:ascii="黑体" w:hAnsi="黑体" w:eastAsia="黑体" w:cs="黑体"/>
                <w:color w:val="auto"/>
                <w:spacing w:val="12"/>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日</w:t>
            </w:r>
            <w:r/>
          </w:p>
        </w:tc>
      </w:tr>
    </w:tbl>
    <w:p>
      <w:pPr>
        <w:rPr>
          <w:rFonts w:hint="eastAsia" w:ascii="宋体" w:hAnsi="宋体"/>
          <w:color w:val="auto"/>
          <w:sz w:val="24"/>
          <w:szCs w:val="24"/>
          <w:highlight w:val="none"/>
          <w:lang w:val="en-US" w:eastAsia="zh-CN"/>
        </w:rPr>
        <w:sectPr>
          <w:headerReference w:type="default" r:id="rId10"/>
          <w:footerReference w:type="default" r:id="rId13"/>
          <w:footnotePr/>
          <w:endnotePr/>
          <w:type w:val="nextPage"/>
          <w:pgSz w:w="11906" w:h="16838" w:orient="portrait"/>
          <w:pgMar w:top="1361" w:right="1304" w:bottom="1304" w:left="1361" w:header="851" w:footer="992" w:gutter="0"/>
          <w:cols w:num="1" w:sep="0" w:space="720" w:equalWidth="1"/>
          <w:docGrid w:linePitch="360"/>
        </w:sectPr>
      </w:pPr>
      <w:r>
        <w:rPr>
          <w:rFonts w:hint="eastAsia" w:ascii="宋体" w:hAnsi="宋体"/>
          <w:color w:val="auto"/>
          <w:sz w:val="24"/>
          <w:szCs w:val="24"/>
          <w:highlight w:val="none"/>
          <w:lang w:val="en-US" w:eastAsia="zh-CN"/>
        </w:rPr>
      </w:r>
      <w:r/>
    </w:p>
    <w:p>
      <w:pPr>
        <w:rPr>
          <w:rFonts w:hint="eastAsia" w:asciiTheme="minorEastAsia" w:hAnsiTheme="minorEastAsia" w:eastAsiaTheme="minorEastAsia"/>
          <w:b/>
          <w:bCs/>
          <w:color w:val="auto"/>
          <w:highlight w:val="none"/>
          <w:lang w:val="en-US" w:eastAsia="zh-CN"/>
        </w:rPr>
      </w:pPr>
      <w:r>
        <w:rPr>
          <w:rFonts w:hint="eastAsia" w:asciiTheme="minorEastAsia" w:hAnsiTheme="minorEastAsia" w:eastAsiaTheme="minorEastAsia"/>
          <w:b/>
          <w:bCs/>
          <w:color w:val="auto"/>
          <w:highlight w:val="none"/>
          <w:lang w:val="en-US" w:eastAsia="zh-CN"/>
        </w:rPr>
        <w:t xml:space="preserve">附件2：</w:t>
      </w:r>
      <w:r/>
    </w:p>
    <w:p>
      <w:pPr>
        <w:ind w:left="0" w:firstLine="0"/>
        <w:jc w:val="center"/>
        <w:spacing w:before="104" w:line="185" w:lineRule="auto"/>
        <w:rPr>
          <w:rFonts w:ascii="微软雅黑" w:hAnsi="微软雅黑" w:eastAsia="微软雅黑" w:cs="微软雅黑"/>
          <w:color w:val="auto"/>
          <w:sz w:val="36"/>
          <w:szCs w:val="36"/>
          <w:highlight w:val="none"/>
        </w:rPr>
      </w:pPr>
      <w:r>
        <w:rPr>
          <w:rFonts w:ascii="微软雅黑" w:hAnsi="微软雅黑" w:eastAsia="微软雅黑" w:cs="微软雅黑"/>
          <w:color w:val="auto"/>
          <w:spacing w:val="19"/>
          <w:sz w:val="36"/>
          <w:szCs w:val="36"/>
          <w:highlight w:val="none"/>
        </w:rPr>
        <w:t xml:space="preserve">政府采购履约验收书(服务类)</w:t>
      </w:r>
      <w:r/>
    </w:p>
    <w:tbl>
      <w:tblPr>
        <w:tblStyle w:val="1102"/>
        <w:tblW w:w="14225" w:type="dxa"/>
        <w:tblInd w:w="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195"/>
        <w:gridCol w:w="2694"/>
      </w:tblGrid>
      <w:tr>
        <w:trPr>
          <w:trHeight w:val="454"/>
        </w:trPr>
        <w:tc>
          <w:tcPr>
            <w:tcW w:w="162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采购人</w:t>
            </w:r>
            <w:r/>
          </w:p>
        </w:tc>
        <w:tc>
          <w:tcPr>
            <w:tcW w:w="1714" w:type="dxa"/>
            <w:vAlign w:val="center"/>
            <w:textDirection w:val="lrTb"/>
            <w:noWrap w:val="false"/>
          </w:tcPr>
          <w:p>
            <w:pPr>
              <w:pStyle w:val="1110"/>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r>
            <w:r/>
          </w:p>
        </w:tc>
        <w:tc>
          <w:tcPr>
            <w:tcW w:w="181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项目名称</w:t>
            </w:r>
            <w:r/>
          </w:p>
        </w:tc>
        <w:tc>
          <w:tcPr>
            <w:tcW w:w="2476" w:type="dxa"/>
            <w:vAlign w:val="center"/>
            <w:textDirection w:val="lrTb"/>
            <w:noWrap w:val="false"/>
          </w:tcPr>
          <w:p>
            <w:pPr>
              <w:pStyle w:val="1110"/>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r>
            <w:r/>
          </w:p>
        </w:tc>
        <w:tc>
          <w:tcPr>
            <w:gridSpan w:val="2"/>
            <w:tcW w:w="390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合同名称</w:t>
            </w:r>
            <w:r/>
          </w:p>
        </w:tc>
        <w:tc>
          <w:tcPr>
            <w:tcW w:w="2694" w:type="dxa"/>
            <w:vAlign w:val="center"/>
            <w:textDirection w:val="lrTb"/>
            <w:noWrap w:val="false"/>
          </w:tcPr>
          <w:p>
            <w:pPr>
              <w:pStyle w:val="1110"/>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r>
            <w:r/>
          </w:p>
        </w:tc>
      </w:tr>
      <w:tr>
        <w:trPr>
          <w:trHeight w:val="454"/>
        </w:trPr>
        <w:tc>
          <w:tcPr>
            <w:tcW w:w="162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供应商</w:t>
            </w:r>
            <w:r/>
          </w:p>
        </w:tc>
        <w:tc>
          <w:tcPr>
            <w:tcW w:w="1714" w:type="dxa"/>
            <w:vAlign w:val="center"/>
            <w:textDirection w:val="lrTb"/>
            <w:noWrap w:val="false"/>
          </w:tcPr>
          <w:p>
            <w:pPr>
              <w:pStyle w:val="1110"/>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r>
            <w:r/>
          </w:p>
        </w:tc>
        <w:tc>
          <w:tcPr>
            <w:tcW w:w="181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项目及合同编号</w:t>
            </w:r>
            <w:r/>
          </w:p>
        </w:tc>
        <w:tc>
          <w:tcPr>
            <w:tcW w:w="2476" w:type="dxa"/>
            <w:vAlign w:val="center"/>
            <w:textDirection w:val="lrTb"/>
            <w:noWrap w:val="false"/>
          </w:tcPr>
          <w:p>
            <w:pPr>
              <w:pStyle w:val="1110"/>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r>
            <w:r/>
          </w:p>
        </w:tc>
        <w:tc>
          <w:tcPr>
            <w:gridSpan w:val="2"/>
            <w:tcW w:w="390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合同金额</w:t>
            </w:r>
            <w:r/>
          </w:p>
        </w:tc>
        <w:tc>
          <w:tcPr>
            <w:tcW w:w="2694" w:type="dxa"/>
            <w:vAlign w:val="center"/>
            <w:textDirection w:val="lrTb"/>
            <w:noWrap w:val="false"/>
          </w:tcPr>
          <w:p>
            <w:pPr>
              <w:pStyle w:val="1110"/>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r>
            <w:r/>
          </w:p>
        </w:tc>
      </w:tr>
      <w:tr>
        <w:trPr>
          <w:trHeight w:val="454"/>
        </w:trPr>
        <w:tc>
          <w:tcPr>
            <w:tcW w:w="162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分期（段）验收</w:t>
            </w:r>
            <w:r/>
          </w:p>
        </w:tc>
        <w:tc>
          <w:tcPr>
            <w:tcW w:w="171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是□   否□</w:t>
            </w:r>
            <w:r/>
          </w:p>
        </w:tc>
        <w:tc>
          <w:tcPr>
            <w:tcW w:w="181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分期（段）情况</w:t>
            </w:r>
            <w:r/>
          </w:p>
        </w:tc>
        <w:tc>
          <w:tcPr>
            <w:gridSpan w:val="4"/>
            <w:tcW w:w="907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共分   期（段），此为第   期（段）验收</w:t>
            </w:r>
            <w:r/>
          </w:p>
        </w:tc>
      </w:tr>
      <w:tr>
        <w:trPr>
          <w:trHeight w:val="454"/>
        </w:trPr>
        <w:tc>
          <w:tcPr>
            <w:tcW w:w="162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验收时间</w:t>
            </w:r>
            <w:r/>
          </w:p>
        </w:tc>
        <w:tc>
          <w:tcPr>
            <w:tcW w:w="1714" w:type="dxa"/>
            <w:vAlign w:val="center"/>
            <w:textDirection w:val="lrTb"/>
            <w:noWrap w:val="false"/>
          </w:tcPr>
          <w:p>
            <w:pPr>
              <w:pStyle w:val="1110"/>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r>
            <w:r/>
          </w:p>
        </w:tc>
        <w:tc>
          <w:tcPr>
            <w:tcW w:w="181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验收地点</w:t>
            </w:r>
            <w:r/>
          </w:p>
        </w:tc>
        <w:tc>
          <w:tcPr>
            <w:tcW w:w="2476" w:type="dxa"/>
            <w:vAlign w:val="center"/>
            <w:textDirection w:val="lrTb"/>
            <w:noWrap w:val="false"/>
          </w:tcPr>
          <w:p>
            <w:pPr>
              <w:pStyle w:val="1110"/>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r>
            <w:r/>
          </w:p>
        </w:tc>
        <w:tc>
          <w:tcPr>
            <w:gridSpan w:val="2"/>
            <w:tcW w:w="390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验收组织形式</w:t>
            </w:r>
            <w:r/>
          </w:p>
        </w:tc>
        <w:tc>
          <w:tcPr>
            <w:tcW w:w="2694" w:type="dxa"/>
            <w:vAlign w:val="center"/>
            <w:textDirection w:val="lrTb"/>
            <w:noWrap w:val="false"/>
          </w:tcPr>
          <w:p>
            <w:pPr>
              <w:ind w:left="0" w:right="0" w:firstLine="0"/>
              <w:jc w:val="both"/>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□自行简易验收</w:t>
            </w:r>
            <w:r/>
          </w:p>
          <w:p>
            <w:pPr>
              <w:ind w:left="0" w:right="0" w:firstLine="0"/>
              <w:jc w:val="both"/>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□验收小组验收</w:t>
            </w:r>
            <w:r/>
          </w:p>
          <w:p>
            <w:pPr>
              <w:ind w:left="0" w:right="0" w:firstLine="0"/>
              <w:jc w:val="both"/>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□采购代理机构验收</w:t>
            </w:r>
            <w:r/>
          </w:p>
        </w:tc>
      </w:tr>
      <w:tr>
        <w:trPr>
          <w:trHeight w:val="454"/>
        </w:trPr>
        <w:tc>
          <w:tcPr>
            <w:tcBorders>
              <w:bottom w:val="none" w:color="000000" w:sz="4" w:space="0"/>
            </w:tcBorders>
            <w:tcW w:w="1625" w:type="dxa"/>
            <w:vAlign w:val="center"/>
            <w:vMerge w:val="restart"/>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验收内容</w:t>
            </w:r>
            <w:r/>
          </w:p>
        </w:tc>
        <w:tc>
          <w:tcPr>
            <w:tcW w:w="171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服务质量</w:t>
            </w:r>
            <w:r/>
          </w:p>
        </w:tc>
        <w:tc>
          <w:tcPr>
            <w:tcW w:w="181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服务进度</w:t>
            </w:r>
            <w:r/>
          </w:p>
        </w:tc>
        <w:tc>
          <w:tcPr>
            <w:tcW w:w="247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人员、设备 配备情况</w:t>
            </w:r>
            <w:r/>
          </w:p>
        </w:tc>
        <w:tc>
          <w:tcP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行业、安全标准</w:t>
            </w:r>
            <w:r/>
          </w:p>
        </w:tc>
        <w:tc>
          <w:tcPr>
            <w:tcW w:w="219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项目需求、服务承诺</w:t>
            </w:r>
            <w:r/>
          </w:p>
        </w:tc>
        <w:tc>
          <w:tcPr>
            <w:tcW w:w="269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合同履约时间、 地点、方式</w:t>
            </w:r>
            <w:r/>
          </w:p>
        </w:tc>
      </w:tr>
      <w:tr>
        <w:trPr>
          <w:trHeight w:val="454"/>
        </w:trPr>
        <w:tc>
          <w:tcPr>
            <w:tcBorders>
              <w:top w:val="none" w:color="000000" w:sz="4" w:space="0"/>
            </w:tcBorders>
            <w:tcW w:w="1625" w:type="dxa"/>
            <w:vAlign w:val="center"/>
            <w:vMerge w:val="continue"/>
            <w:textDirection w:val="lrTb"/>
            <w:noWrap w:val="false"/>
          </w:tcPr>
          <w:p>
            <w:pPr>
              <w:pStyle w:val="1110"/>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r>
            <w:r/>
          </w:p>
        </w:tc>
        <w:tc>
          <w:tcPr>
            <w:tcW w:w="171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合 格□ 不合格□</w:t>
            </w:r>
            <w:r/>
          </w:p>
        </w:tc>
        <w:tc>
          <w:tcPr>
            <w:tcW w:w="181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按 时□ 不按时□</w:t>
            </w:r>
            <w:r/>
          </w:p>
        </w:tc>
        <w:tc>
          <w:tcPr>
            <w:tcW w:w="247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合 格□ 不合格□</w:t>
            </w:r>
            <w:r/>
          </w:p>
        </w:tc>
        <w:tc>
          <w:tcP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合 格□ 不合格□</w:t>
            </w:r>
            <w:r/>
          </w:p>
        </w:tc>
        <w:tc>
          <w:tcPr>
            <w:tcW w:w="219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合 格□ 不合格□</w:t>
            </w:r>
            <w:r/>
          </w:p>
        </w:tc>
        <w:tc>
          <w:tcPr>
            <w:tcW w:w="269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合 格□ 不合格□</w:t>
            </w:r>
            <w:r/>
          </w:p>
        </w:tc>
      </w:tr>
      <w:tr>
        <w:trPr>
          <w:trHeight w:val="454"/>
        </w:trPr>
        <w:tc>
          <w:tcPr>
            <w:tcW w:w="162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存在问题</w:t>
            </w:r>
            <w:r/>
          </w:p>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和改进意见</w:t>
            </w:r>
            <w:r/>
          </w:p>
        </w:tc>
        <w:tc>
          <w:tcPr>
            <w:gridSpan w:val="6"/>
            <w:tcW w:w="12600" w:type="dxa"/>
            <w:vAlign w:val="center"/>
            <w:textDirection w:val="lrTb"/>
            <w:noWrap w:val="false"/>
          </w:tcPr>
          <w:p>
            <w:pPr>
              <w:pStyle w:val="1110"/>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r>
            <w:r/>
          </w:p>
        </w:tc>
      </w:tr>
      <w:tr>
        <w:trPr>
          <w:trHeight w:val="599"/>
        </w:trPr>
        <w:tc>
          <w:tcPr>
            <w:shd w:val="clear" w:color="auto" w:fill="auto"/>
            <w:tcW w:w="162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lang w:val="en-US" w:eastAsia="en-US"/>
              </w:rPr>
            </w:pPr>
            <w:r>
              <w:rPr>
                <w:rFonts w:hint="eastAsia" w:ascii="宋体" w:hAnsi="宋体" w:eastAsia="宋体" w:cs="宋体"/>
                <w:color w:val="auto"/>
                <w:spacing w:val="0"/>
                <w:position w:val="0"/>
                <w:sz w:val="21"/>
                <w:szCs w:val="21"/>
                <w:highlight w:val="none"/>
              </w:rPr>
              <w:t xml:space="preserve">最终结论</w:t>
            </w:r>
            <w:r/>
          </w:p>
        </w:tc>
        <w:tc>
          <w:tcPr>
            <w:gridSpan w:val="6"/>
            <w:shd w:val="clear" w:color="auto" w:fill="auto"/>
            <w:tcW w:w="1260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lang w:val="en-US" w:eastAsia="en-US"/>
              </w:rPr>
            </w:pPr>
            <w:r>
              <w:rPr>
                <w:rFonts w:hint="eastAsia" w:ascii="宋体" w:hAnsi="宋体" w:eastAsia="宋体" w:cs="宋体"/>
                <w:color w:val="auto"/>
                <w:spacing w:val="0"/>
                <w:position w:val="0"/>
                <w:sz w:val="21"/>
                <w:szCs w:val="21"/>
                <w:highlight w:val="none"/>
              </w:rPr>
              <w:t xml:space="preserve">合  格□                              不合格□</w:t>
            </w:r>
            <w:r/>
          </w:p>
        </w:tc>
      </w:tr>
      <w:tr>
        <w:trPr>
          <w:trHeight w:val="704"/>
        </w:trPr>
        <w:tc>
          <w:tcPr>
            <w:shd w:val="clear" w:color="auto" w:fill="auto"/>
            <w:tcW w:w="162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en-US" w:bidi="ar-SA"/>
              </w:rPr>
            </w:pPr>
            <w:r>
              <w:rPr>
                <w:rFonts w:ascii="宋体" w:hAnsi="宋体" w:eastAsia="宋体" w:cs="宋体"/>
                <w:color w:val="auto"/>
                <w:spacing w:val="-2"/>
                <w:sz w:val="21"/>
                <w:szCs w:val="21"/>
                <w:highlight w:val="none"/>
              </w:rPr>
              <w:t xml:space="preserve">验收小组成员</w:t>
            </w:r>
            <w:r>
              <w:rPr>
                <w:rFonts w:ascii="宋体" w:hAnsi="宋体" w:eastAsia="宋体" w:cs="宋体"/>
                <w:color w:val="auto"/>
                <w:spacing w:val="-4"/>
                <w:sz w:val="21"/>
                <w:szCs w:val="21"/>
                <w:highlight w:val="none"/>
              </w:rPr>
              <w:t xml:space="preserve">签字</w:t>
            </w:r>
            <w:r/>
          </w:p>
        </w:tc>
        <w:tc>
          <w:tcPr>
            <w:gridSpan w:val="6"/>
            <w:shd w:val="clear" w:color="auto" w:fill="auto"/>
            <w:tcW w:w="12600" w:type="dxa"/>
            <w:vAlign w:val="top"/>
            <w:textDirection w:val="lrTb"/>
            <w:noWrap w:val="false"/>
          </w:tcPr>
          <w:p>
            <w:pPr>
              <w:pStyle w:val="1110"/>
              <w:widowControl w:val="off"/>
              <w:rPr>
                <w:rFonts w:hint="eastAsia" w:ascii="Arial" w:hAnsi="Arial" w:eastAsia="Arial" w:cs="Arial"/>
                <w:color w:val="auto"/>
                <w:sz w:val="21"/>
                <w:szCs w:val="21"/>
                <w:highlight w:val="none"/>
                <w:lang w:val="en-US" w:eastAsia="en-US" w:bidi="ar-SA"/>
              </w:rPr>
            </w:pPr>
            <w:r>
              <w:rPr>
                <w:rFonts w:hint="eastAsia" w:ascii="Arial" w:hAnsi="Arial" w:eastAsia="Arial" w:cs="Arial"/>
                <w:color w:val="auto"/>
                <w:sz w:val="21"/>
                <w:szCs w:val="21"/>
                <w:highlight w:val="none"/>
                <w:lang w:val="en-US" w:eastAsia="en-US" w:bidi="ar-SA"/>
              </w:rPr>
            </w:r>
            <w:r/>
          </w:p>
        </w:tc>
      </w:tr>
      <w:tr>
        <w:trPr>
          <w:trHeight w:val="454"/>
        </w:trPr>
        <w:tc>
          <w:tcPr>
            <w:gridSpan w:val="7"/>
            <w:shd w:val="clear" w:color="auto" w:fill="auto"/>
            <w:tcW w:w="14225" w:type="dxa"/>
            <w:vAlign w:val="top"/>
            <w:textDirection w:val="lrTb"/>
            <w:noWrap w:val="false"/>
          </w:tcPr>
          <w:p>
            <w:pPr>
              <w:pStyle w:val="1110"/>
              <w:ind w:left="0" w:firstLine="257"/>
              <w:spacing w:line="255" w:lineRule="auto"/>
              <w:widowControl w:val="off"/>
              <w:rPr>
                <w:color w:val="auto"/>
                <w:sz w:val="21"/>
                <w:szCs w:val="21"/>
                <w:highlight w:val="none"/>
              </w:rPr>
            </w:pPr>
            <w:r>
              <w:rPr>
                <w:rFonts w:ascii="宋体" w:hAnsi="宋体" w:eastAsia="宋体" w:cs="宋体"/>
                <w:color w:val="auto"/>
                <w:spacing w:val="-2"/>
                <w:sz w:val="21"/>
                <w:szCs w:val="21"/>
                <w:highlight w:val="none"/>
              </w:rPr>
              <w:t xml:space="preserve">采购人意见</w:t>
            </w:r>
            <w:r/>
          </w:p>
          <w:p>
            <w:pPr>
              <w:pStyle w:val="1110"/>
              <w:ind w:left="0" w:firstLine="262"/>
              <w:spacing w:line="255" w:lineRule="auto"/>
              <w:widowControl w:val="off"/>
              <w:rPr>
                <w:color w:val="auto"/>
                <w:sz w:val="21"/>
                <w:szCs w:val="21"/>
                <w:highlight w:val="none"/>
              </w:rPr>
            </w:pPr>
            <w:r>
              <w:rPr>
                <w:color w:val="auto"/>
                <w:sz w:val="21"/>
                <w:szCs w:val="21"/>
                <w:highlight w:val="none"/>
              </w:rPr>
            </w:r>
            <w:r/>
          </w:p>
          <w:p>
            <w:pPr>
              <w:pStyle w:val="1110"/>
              <w:ind w:left="0" w:firstLine="262"/>
              <w:spacing w:line="255" w:lineRule="auto"/>
              <w:widowControl w:val="off"/>
              <w:rPr>
                <w:color w:val="auto"/>
                <w:sz w:val="21"/>
                <w:szCs w:val="21"/>
                <w:highlight w:val="none"/>
              </w:rPr>
            </w:pPr>
            <w:r>
              <w:rPr>
                <w:color w:val="auto"/>
                <w:sz w:val="21"/>
                <w:szCs w:val="21"/>
                <w:highlight w:val="none"/>
              </w:rPr>
            </w:r>
            <w:r/>
          </w:p>
          <w:p>
            <w:pPr>
              <w:ind w:left="0" w:firstLine="265"/>
              <w:jc w:val="right"/>
              <w:spacing w:before="59" w:line="238" w:lineRule="exact"/>
              <w:rPr>
                <w:rFonts w:hint="eastAsia" w:ascii="宋体" w:hAnsi="宋体" w:eastAsia="宋体" w:cs="宋体"/>
                <w:color w:val="auto"/>
                <w:sz w:val="21"/>
                <w:szCs w:val="21"/>
                <w:highlight w:val="none"/>
                <w:lang w:val="en-US" w:eastAsia="en-US" w:bidi="ar-SA"/>
              </w:rPr>
            </w:pPr>
            <w:r>
              <w:rPr>
                <w:rFonts w:ascii="宋体" w:hAnsi="宋体" w:eastAsia="宋体" w:cs="宋体"/>
                <w:color w:val="auto"/>
                <w:spacing w:val="1"/>
                <w:position w:val="1"/>
                <w:sz w:val="21"/>
                <w:szCs w:val="21"/>
                <w:highlight w:val="none"/>
              </w:rPr>
              <w:t xml:space="preserve">经办人：         负责人</w:t>
            </w:r>
            <w:r>
              <w:rPr>
                <w:rFonts w:ascii="宋体" w:hAnsi="宋体" w:eastAsia="宋体" w:cs="宋体"/>
                <w:color w:val="auto"/>
                <w:spacing w:val="-17"/>
                <w:position w:val="1"/>
                <w:sz w:val="21"/>
                <w:szCs w:val="21"/>
                <w:highlight w:val="none"/>
              </w:rPr>
              <w:t xml:space="preserve">：</w:t>
            </w:r>
            <w:r>
              <w:rPr>
                <w:rFonts w:ascii="宋体" w:hAnsi="宋体" w:eastAsia="宋体" w:cs="宋体"/>
                <w:color w:val="auto"/>
                <w:position w:val="1"/>
                <w:sz w:val="21"/>
                <w:szCs w:val="21"/>
                <w:highlight w:val="none"/>
              </w:rPr>
              <w:t xml:space="preserve">               </w:t>
            </w:r>
            <w:r>
              <w:rPr>
                <w:rFonts w:ascii="宋体" w:hAnsi="宋体" w:eastAsia="宋体" w:cs="宋体"/>
                <w:color w:val="auto"/>
                <w:spacing w:val="-17"/>
                <w:position w:val="1"/>
                <w:sz w:val="21"/>
                <w:szCs w:val="21"/>
                <w:highlight w:val="none"/>
              </w:rPr>
              <w:t xml:space="preserve">（</w:t>
            </w:r>
            <w:r>
              <w:rPr>
                <w:rFonts w:ascii="宋体" w:hAnsi="宋体" w:eastAsia="宋体" w:cs="宋体"/>
                <w:color w:val="auto"/>
                <w:spacing w:val="1"/>
                <w:position w:val="1"/>
                <w:sz w:val="21"/>
                <w:szCs w:val="21"/>
                <w:highlight w:val="none"/>
              </w:rPr>
              <w:t xml:space="preserve">采购人公章）</w:t>
            </w:r>
            <w:r/>
          </w:p>
        </w:tc>
      </w:tr>
      <w:tr>
        <w:trPr>
          <w:trHeight w:val="1325"/>
        </w:trPr>
        <w:tc>
          <w:tcPr>
            <w:gridSpan w:val="7"/>
            <w:shd w:val="clear" w:color="auto" w:fill="auto"/>
            <w:tcW w:w="14225" w:type="dxa"/>
            <w:vAlign w:val="top"/>
            <w:textDirection w:val="lrTb"/>
            <w:noWrap w:val="false"/>
          </w:tcPr>
          <w:p>
            <w:pPr>
              <w:ind w:left="0" w:firstLine="257"/>
              <w:spacing w:before="299" w:line="207" w:lineRule="auto"/>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 xml:space="preserve">供应商确认：</w:t>
            </w:r>
            <w:r/>
          </w:p>
          <w:p>
            <w:pPr>
              <w:pStyle w:val="1110"/>
              <w:ind w:left="0" w:firstLine="262"/>
              <w:spacing w:line="275" w:lineRule="auto"/>
              <w:widowControl w:val="off"/>
              <w:rPr>
                <w:color w:val="auto"/>
                <w:sz w:val="21"/>
                <w:szCs w:val="21"/>
                <w:highlight w:val="none"/>
              </w:rPr>
            </w:pPr>
            <w:r>
              <w:rPr>
                <w:color w:val="auto"/>
                <w:sz w:val="21"/>
                <w:szCs w:val="21"/>
                <w:highlight w:val="none"/>
              </w:rPr>
            </w:r>
            <w:r/>
          </w:p>
          <w:p>
            <w:pPr>
              <w:ind w:left="0" w:firstLine="260"/>
              <w:spacing w:before="59" w:line="238" w:lineRule="exact"/>
              <w:rPr>
                <w:rFonts w:ascii="宋体" w:hAnsi="宋体" w:eastAsia="宋体" w:cs="宋体"/>
                <w:color w:val="auto"/>
                <w:spacing w:val="1"/>
                <w:position w:val="1"/>
                <w:sz w:val="21"/>
                <w:szCs w:val="21"/>
                <w:highlight w:val="none"/>
              </w:rPr>
            </w:pPr>
            <w:r>
              <w:rPr>
                <w:rFonts w:ascii="宋体" w:hAnsi="宋体" w:eastAsia="宋体" w:cs="宋体"/>
                <w:color w:val="auto"/>
                <w:spacing w:val="-1"/>
                <w:position w:val="1"/>
                <w:sz w:val="21"/>
                <w:szCs w:val="21"/>
                <w:highlight w:val="none"/>
              </w:rPr>
              <w:t xml:space="preserve">（单位公章或授权代表签字）</w:t>
            </w:r>
            <w:r/>
          </w:p>
        </w:tc>
      </w:tr>
    </w:tbl>
    <w:p>
      <w:pPr>
        <w:rPr>
          <w:rFonts w:ascii="Arial"/>
          <w:color w:val="auto"/>
          <w:sz w:val="21"/>
          <w:highlight w:val="none"/>
        </w:rPr>
      </w:pPr>
      <w:r>
        <w:rPr>
          <w:rFonts w:ascii="Arial"/>
          <w:color w:val="auto"/>
          <w:sz w:val="21"/>
          <w:highlight w:val="none"/>
        </w:rPr>
      </w:r>
      <w:r/>
    </w:p>
    <w:p>
      <w:pPr>
        <w:jc w:val="right"/>
        <w:rPr>
          <w:rFonts w:hint="eastAsia" w:eastAsia="宋体"/>
          <w:color w:val="auto"/>
          <w:highlight w:val="none"/>
          <w:lang w:val="en-US" w:eastAsia="zh-CN"/>
        </w:rPr>
      </w:pPr>
      <w:r>
        <w:rPr>
          <w:rFonts w:hint="eastAsia"/>
          <w:color w:val="auto"/>
          <w:highlight w:val="none"/>
          <w:lang w:val="en-US" w:eastAsia="zh-CN"/>
        </w:rPr>
        <w:t xml:space="preserve">全文完</w:t>
      </w:r>
      <w:r/>
    </w:p>
    <w:sectPr>
      <w:footnotePr/>
      <w:endnotePr/>
      <w:type w:val="nextPage"/>
      <w:pgSz w:w="16838" w:h="11906" w:orient="landscape"/>
      <w:pgMar w:top="1361" w:right="1361" w:bottom="1304" w:left="130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宋体ラ...">
    <w:panose1 w:val="02010600030101010101"/>
  </w:font>
  <w:font w:name="Verdana">
    <w:panose1 w:val="020B0604030504040204"/>
  </w:font>
  <w:font w:name="仿宋_GB2312">
    <w:panose1 w:val="02010609060101010101"/>
  </w:font>
  <w:font w:name="黑体">
    <w:panose1 w:val="02010609060101010101"/>
  </w:font>
  <w:font w:name="微软雅黑">
    <w:panose1 w:val="020B0503020204020204"/>
  </w:font>
  <w:font w:name="Calibri">
    <w:panose1 w:val="020F0502020204030204"/>
  </w:font>
  <w:font w:name="Helvetica Neue">
    <w:panose1 w:val="020B0503020202020204"/>
  </w:font>
  <w:font w:name="Courier New">
    <w:panose1 w:val="02070309020205020404"/>
  </w:font>
  <w:font w:name="楷体_GB2312">
    <w:panose1 w:val="02010609060101010101"/>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txbxContent>
              </v:textbox>
            </v:shape>
          </w:pict>
        </mc:Fallback>
      </mc:AlternateContent>
    </w:r>
    <w:r/>
  </w:p>
  <w:p>
    <w:pPr>
      <w:pStyle w:val="834"/>
      <w:ind w:left="0"/>
      <w:spacing w:before="0" w:line="14" w:lineRule="auto"/>
      <w:rPr>
        <w:rFonts w:ascii="Times New Roman" w:eastAsia="等线"/>
        <w:szCs w:val="20"/>
      </w:rPr>
    </w:pPr>
    <w:r>
      <w:rPr>
        <w:rFonts w:ascii="Times New Roman" w:eastAsia="等线"/>
        <w:szCs w:val="20"/>
      </w:rPr>
    </w:r>
    <w:r/>
  </w:p>
  <w:p>
    <w:pPr>
      <w:pStyle w:val="834"/>
      <w:ind w:left="0"/>
      <w:spacing w:before="0" w:line="14" w:lineRule="auto"/>
      <w:rPr>
        <w:rFonts w:ascii="Times New Roman" w:eastAsia="等线"/>
        <w:szCs w:val="20"/>
      </w:rPr>
    </w:pPr>
    <w:r>
      <w:rPr>
        <w:rFonts w:ascii="Times New Roman" w:eastAsia="等线"/>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3"/>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3"/>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3"/>
                          </w:pPr>
                          <w:r>
                            <w:t xml:space="preserve">第 </w:t>
                          </w:r>
                          <w:r>
                            <w:fldChar w:fldCharType="begin"/>
                          </w:r>
                          <w:r>
                            <w:instrText xml:space="preserve"> PAGE  \* MERGEFORMAT </w:instrText>
                          </w:r>
                          <w:r>
                            <w:fldChar w:fldCharType="separate"/>
                          </w:r>
                          <w:r>
                            <w:t xml:space="preserve">53</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3"/>
                    </w:pPr>
                    <w:r>
                      <w:t xml:space="preserve">第 </w:t>
                    </w:r>
                    <w:r>
                      <w:fldChar w:fldCharType="begin"/>
                    </w:r>
                    <w:r>
                      <w:instrText xml:space="preserve"> PAGE  \* MERGEFORMAT </w:instrText>
                    </w:r>
                    <w:r>
                      <w:fldChar w:fldCharType="separate"/>
                    </w:r>
                    <w:r>
                      <w:t xml:space="preserve">53</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1、"/>
      <w:lvlJc w:val="left"/>
      <w:pPr>
        <w:ind w:left="425" w:hanging="425"/>
      </w:pPr>
      <w:rPr>
        <w:rFonts w:hint="eastAsia"/>
        <w:lang w:val="en-US"/>
      </w:rPr>
    </w:lvl>
    <w:lvl w:ilvl="1">
      <w:start w:val="1"/>
      <w:numFmt w:val="decimal"/>
      <w:isLgl/>
      <w:suff w:val="nothing"/>
      <w:lvlText w:val="%1.%2、"/>
      <w:lvlJc w:val="left"/>
      <w:pPr>
        <w:ind w:left="993" w:hanging="567"/>
      </w:pPr>
      <w:rPr>
        <w:rFonts w:hint="default" w:ascii="Times New Roman" w:hAnsi="Times New Roman" w:cs="Times New Roman"/>
      </w:rPr>
    </w:lvl>
    <w:lvl w:ilvl="2">
      <w:start w:val="1"/>
      <w:numFmt w:val="decimal"/>
      <w:isLgl/>
      <w:suff w:val="nothing"/>
      <w:lvlText w:val="%1.%2.%3、"/>
      <w:lvlJc w:val="left"/>
      <w:pPr>
        <w:ind w:left="2346" w:hanging="1069"/>
      </w:pPr>
      <w:rPr>
        <w:rFonts w:hint="eastAsia" w:ascii="Times New Roman" w:hAnsi="Times New Roman" w:cs="Times New Roman"/>
        <w:b w:val="0"/>
        <w:bCs w:val="0"/>
        <w:i w:val="0"/>
        <w:iCs w:val="0"/>
        <w:caps w:val="0"/>
        <w:smallCaps w:val="0"/>
        <w:strike w:val="0"/>
        <w:vanish w:val="0"/>
        <w:color w:val="000000"/>
        <w:spacing w:val="0"/>
        <w:position w:val="0"/>
        <w:u w:val="none"/>
        <w:vertAlign w:val="baseline"/>
      </w:rPr>
    </w:lvl>
    <w:lvl w:ilvl="3">
      <w:start w:val="1"/>
      <w:numFmt w:val="decimal"/>
      <w:pStyle w:val="867"/>
      <w:isLgl/>
      <w:suff w:val="nothing"/>
      <w:lvlText w:val="%1.%2.%3.%4、"/>
      <w:lvlJc w:val="left"/>
      <w:pPr>
        <w:ind w:left="1277" w:hanging="851"/>
      </w:pPr>
      <w:rPr>
        <w:rFonts w:hint="default" w:ascii="Times New Roman" w:hAnsi="Times New Roman" w:eastAsia="宋体" w:cs="Times New Roman"/>
        <w:sz w:val="24"/>
        <w:szCs w:val="24"/>
      </w:rPr>
    </w:lvl>
    <w:lvl w:ilvl="4">
      <w:start w:val="1"/>
      <w:numFmt w:val="decimal"/>
      <w:isLgl/>
      <w:suff w:val="nothing"/>
      <w:lvlText w:val="%1.%2.%3.%4.%5、"/>
      <w:lvlJc w:val="left"/>
      <w:pPr>
        <w:ind w:left="2126" w:hanging="992"/>
      </w:pPr>
      <w:rPr>
        <w:rFonts w:hint="eastAsia"/>
      </w:rPr>
    </w:lvl>
    <w:lvl w:ilvl="5">
      <w:start w:val="1"/>
      <w:numFmt w:val="decimal"/>
      <w:isLgl/>
      <w:suff w:val="nothing"/>
      <w:lvlText w:val="%1.%2.%3.%4.%5.%6、"/>
      <w:lvlJc w:val="left"/>
      <w:pPr>
        <w:ind w:left="2268" w:hanging="1134"/>
      </w:pPr>
      <w:rPr>
        <w:rFonts w:hint="default" w:ascii="Times New Roman" w:hAnsi="Times New Roman" w:cs="Times New Roman"/>
      </w:rPr>
    </w:lvl>
    <w:lvl w:ilvl="6">
      <w:start w:val="1"/>
      <w:numFmt w:val="decimal"/>
      <w:isLgl/>
      <w:suff w:val="tab"/>
      <w:lvlText w:val="%1.%2.%3.%4.%5.%6.%7"/>
      <w:lvlJc w:val="left"/>
      <w:pPr>
        <w:ind w:left="1702" w:hanging="1276"/>
        <w:tabs>
          <w:tab w:val="left" w:pos="2226" w:leader="none"/>
        </w:tabs>
      </w:pPr>
      <w:rPr>
        <w:rFonts w:hint="eastAsia"/>
      </w:rPr>
    </w:lvl>
    <w:lvl w:ilvl="7">
      <w:start w:val="1"/>
      <w:numFmt w:val="decimal"/>
      <w:isLgl/>
      <w:suff w:val="tab"/>
      <w:lvlText w:val="%1.%2.%3.%4.%5.%6.%7.%8"/>
      <w:lvlJc w:val="left"/>
      <w:pPr>
        <w:ind w:left="1844" w:hanging="1418"/>
        <w:tabs>
          <w:tab w:val="left" w:pos="2226" w:leader="none"/>
        </w:tabs>
      </w:pPr>
      <w:rPr>
        <w:rFonts w:hint="eastAsia"/>
      </w:rPr>
    </w:lvl>
    <w:lvl w:ilvl="8">
      <w:start w:val="1"/>
      <w:numFmt w:val="decimal"/>
      <w:isLgl/>
      <w:suff w:val="tab"/>
      <w:lvlText w:val="%1.%2.%3.%4.%5.%6.%7.%8.%9"/>
      <w:lvlJc w:val="left"/>
      <w:pPr>
        <w:ind w:left="1985" w:hanging="1559"/>
        <w:tabs>
          <w:tab w:val="left" w:pos="2586" w:leader="none"/>
        </w:tabs>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95">
    <w:name w:val="Plain Table 1"/>
    <w:basedOn w:val="8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2"/>
    <w:basedOn w:val="82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3"/>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name w:val="Plain Table 4"/>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name w:val="Plain Table 5"/>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0">
    <w:name w:val="Grid Table 1 Light"/>
    <w:basedOn w:val="82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1">
    <w:name w:val="Grid Table 2"/>
    <w:basedOn w:val="8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2">
    <w:name w:val="Grid Table 3"/>
    <w:basedOn w:val="8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4"/>
    <w:basedOn w:val="82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name w:val="Grid Table 5 Dark"/>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5">
    <w:name w:val="Grid Table 6 Colorful"/>
    <w:basedOn w:val="82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6">
    <w:name w:val="Grid Table 7 Colorful"/>
    <w:basedOn w:val="82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7">
    <w:name w:val="List Table 1 Light"/>
    <w:basedOn w:val="82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name w:val="List Table 2"/>
    <w:basedOn w:val="82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9">
    <w:name w:val="List Table 3"/>
    <w:basedOn w:val="8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4"/>
    <w:basedOn w:val="8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5 Dark"/>
    <w:basedOn w:val="82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6 Colorful"/>
    <w:basedOn w:val="82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3">
    <w:name w:val="List Table 7 Colorful"/>
    <w:basedOn w:val="82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14">
    <w:name w:val="TOC Heading"/>
    <w:uiPriority w:val="39"/>
    <w:unhideWhenUsed/>
  </w:style>
  <w:style w:type="paragraph" w:styleId="815" w:default="1">
    <w:name w:val="Normal"/>
    <w:uiPriority w:val="1"/>
    <w:qFormat/>
    <w:pPr>
      <w:widowControl w:val="off"/>
    </w:pPr>
    <w:rPr>
      <w:rFonts w:ascii="宋体" w:hAnsi="Times New Roman" w:eastAsia="宋体" w:cs="宋体"/>
      <w:sz w:val="22"/>
      <w:szCs w:val="22"/>
      <w:lang w:val="en-US" w:eastAsia="zh-CN" w:bidi="ar-SA"/>
    </w:rPr>
  </w:style>
  <w:style w:type="paragraph" w:styleId="816">
    <w:name w:val="Heading 1"/>
    <w:basedOn w:val="815"/>
    <w:next w:val="815"/>
    <w:link w:val="1027"/>
    <w:uiPriority w:val="1"/>
    <w:qFormat/>
    <w:pPr>
      <w:ind w:right="406"/>
      <w:jc w:val="center"/>
      <w:outlineLvl w:val="0"/>
    </w:pPr>
    <w:rPr>
      <w:rFonts w:cs="Times New Roman"/>
      <w:b/>
      <w:bCs/>
      <w:sz w:val="72"/>
      <w:szCs w:val="72"/>
    </w:rPr>
  </w:style>
  <w:style w:type="paragraph" w:styleId="817">
    <w:name w:val="Heading 2"/>
    <w:basedOn w:val="815"/>
    <w:next w:val="815"/>
    <w:link w:val="1028"/>
    <w:uiPriority w:val="1"/>
    <w:qFormat/>
    <w:pPr>
      <w:ind w:left="2791"/>
      <w:spacing w:before="26"/>
      <w:outlineLvl w:val="1"/>
    </w:pPr>
    <w:rPr>
      <w:rFonts w:cs="Times New Roman"/>
      <w:b/>
      <w:bCs/>
      <w:sz w:val="44"/>
      <w:szCs w:val="44"/>
    </w:rPr>
  </w:style>
  <w:style w:type="paragraph" w:styleId="818">
    <w:name w:val="Heading 3"/>
    <w:basedOn w:val="815"/>
    <w:next w:val="815"/>
    <w:link w:val="1029"/>
    <w:uiPriority w:val="1"/>
    <w:qFormat/>
    <w:pPr>
      <w:ind w:left="909"/>
      <w:spacing w:before="1"/>
      <w:outlineLvl w:val="2"/>
    </w:pPr>
    <w:rPr>
      <w:rFonts w:cs="Times New Roman"/>
      <w:b/>
      <w:bCs/>
      <w:sz w:val="36"/>
      <w:szCs w:val="36"/>
    </w:rPr>
  </w:style>
  <w:style w:type="paragraph" w:styleId="819">
    <w:name w:val="Heading 4"/>
    <w:basedOn w:val="815"/>
    <w:next w:val="815"/>
    <w:link w:val="868"/>
    <w:uiPriority w:val="1"/>
    <w:qFormat/>
    <w:pPr>
      <w:outlineLvl w:val="3"/>
    </w:pPr>
    <w:rPr>
      <w:rFonts w:cs="Times New Roman"/>
      <w:b/>
      <w:bCs/>
      <w:sz w:val="32"/>
      <w:szCs w:val="32"/>
    </w:rPr>
  </w:style>
  <w:style w:type="paragraph" w:styleId="820">
    <w:name w:val="Heading 5"/>
    <w:basedOn w:val="815"/>
    <w:next w:val="815"/>
    <w:link w:val="1030"/>
    <w:uiPriority w:val="1"/>
    <w:qFormat/>
    <w:pPr>
      <w:ind w:left="847"/>
      <w:outlineLvl w:val="4"/>
    </w:pPr>
    <w:rPr>
      <w:rFonts w:cs="Times New Roman"/>
      <w:sz w:val="24"/>
      <w:szCs w:val="24"/>
    </w:rPr>
  </w:style>
  <w:style w:type="paragraph" w:styleId="821">
    <w:name w:val="Heading 6"/>
    <w:basedOn w:val="815"/>
    <w:next w:val="815"/>
    <w:link w:val="1031"/>
    <w:uiPriority w:val="1"/>
    <w:qFormat/>
    <w:pPr>
      <w:ind w:left="367"/>
      <w:outlineLvl w:val="5"/>
    </w:pPr>
    <w:rPr>
      <w:rFonts w:cs="Times New Roman"/>
      <w:b/>
      <w:bCs/>
      <w:sz w:val="20"/>
      <w:szCs w:val="21"/>
    </w:rPr>
  </w:style>
  <w:style w:type="paragraph" w:styleId="822">
    <w:name w:val="Heading 7"/>
    <w:basedOn w:val="815"/>
    <w:next w:val="815"/>
    <w:link w:val="904"/>
    <w:uiPriority w:val="9"/>
    <w:unhideWhenUsed/>
    <w:qFormat/>
    <w:pPr>
      <w:keepLines/>
      <w:keepNext/>
      <w:spacing w:before="320" w:after="200"/>
      <w:outlineLvl w:val="6"/>
    </w:pPr>
    <w:rPr>
      <w:rFonts w:ascii="Arial" w:hAnsi="Arial" w:eastAsia="Arial" w:cs="Arial"/>
      <w:b/>
      <w:bCs/>
      <w:i/>
      <w:iCs/>
    </w:rPr>
  </w:style>
  <w:style w:type="paragraph" w:styleId="823">
    <w:name w:val="Heading 8"/>
    <w:basedOn w:val="815"/>
    <w:next w:val="815"/>
    <w:link w:val="905"/>
    <w:uiPriority w:val="9"/>
    <w:unhideWhenUsed/>
    <w:qFormat/>
    <w:pPr>
      <w:keepLines/>
      <w:keepNext/>
      <w:spacing w:before="320" w:after="200"/>
      <w:outlineLvl w:val="7"/>
    </w:pPr>
    <w:rPr>
      <w:rFonts w:ascii="Arial" w:hAnsi="Arial" w:eastAsia="Arial" w:cs="Arial"/>
      <w:i/>
      <w:iCs/>
    </w:rPr>
  </w:style>
  <w:style w:type="paragraph" w:styleId="824">
    <w:name w:val="Heading 9"/>
    <w:basedOn w:val="815"/>
    <w:next w:val="815"/>
    <w:link w:val="906"/>
    <w:uiPriority w:val="9"/>
    <w:unhideWhenUsed/>
    <w:qFormat/>
    <w:pPr>
      <w:keepLines/>
      <w:keepNext/>
      <w:spacing w:before="320" w:after="200"/>
      <w:outlineLvl w:val="8"/>
    </w:pPr>
    <w:rPr>
      <w:rFonts w:ascii="Arial" w:hAnsi="Arial" w:eastAsia="Arial" w:cs="Arial"/>
      <w:i/>
      <w:iCs/>
      <w:sz w:val="21"/>
      <w:szCs w:val="21"/>
    </w:rPr>
  </w:style>
  <w:style w:type="character" w:styleId="825" w:default="1">
    <w:name w:val="Default Paragraph Font"/>
    <w:uiPriority w:val="1"/>
    <w:semiHidden/>
    <w:unhideWhenUsed/>
    <w:qFormat/>
  </w:style>
  <w:style w:type="table" w:styleId="826" w:default="1">
    <w:name w:val="Normal Table"/>
    <w:uiPriority w:val="99"/>
    <w:semiHidden/>
    <w:unhideWhenUsed/>
    <w:qFormat/>
    <w:tblPr>
      <w:tblCellMar>
        <w:left w:w="108" w:type="dxa"/>
        <w:top w:w="0" w:type="dxa"/>
        <w:right w:w="108" w:type="dxa"/>
        <w:bottom w:w="0" w:type="dxa"/>
      </w:tblCellMar>
    </w:tblPr>
  </w:style>
  <w:style w:type="paragraph" w:styleId="827">
    <w:name w:val="toc 7"/>
    <w:basedOn w:val="815"/>
    <w:next w:val="815"/>
    <w:uiPriority w:val="39"/>
    <w:unhideWhenUsed/>
    <w:qFormat/>
    <w:pPr>
      <w:ind w:left="1701"/>
      <w:spacing w:after="57"/>
    </w:pPr>
  </w:style>
  <w:style w:type="paragraph" w:styleId="828">
    <w:name w:val="Normal Indent"/>
    <w:basedOn w:val="815"/>
    <w:link w:val="1032"/>
    <w:uiPriority w:val="0"/>
    <w:qFormat/>
    <w:pPr>
      <w:ind w:firstLine="420"/>
    </w:pPr>
    <w:rPr>
      <w:rFonts w:ascii="Times New Roman" w:eastAsia="楷体_GB2312" w:cs="Times New Roman"/>
      <w:sz w:val="21"/>
      <w:szCs w:val="20"/>
    </w:rPr>
  </w:style>
  <w:style w:type="paragraph" w:styleId="829">
    <w:name w:val="Caption"/>
    <w:basedOn w:val="815"/>
    <w:next w:val="81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0">
    <w:name w:val="Document Map"/>
    <w:next w:val="831"/>
    <w:uiPriority w:val="99"/>
    <w:qFormat/>
    <w:pPr>
      <w:widowControl/>
      <w:framePr w:wrap="around" w:vAnchor="margin" w:hAnchor="text" w:y="1"/>
    </w:pPr>
    <w:rPr>
      <w:rFonts w:ascii="宋体" w:hAnsi="Times New Roman" w:eastAsia="Arial Unicode MS" w:cs="Times New Roman"/>
      <w:sz w:val="18"/>
      <w:szCs w:val="18"/>
      <w:lang w:val="en-US" w:eastAsia="en-US" w:bidi="ar-SA"/>
    </w:rPr>
  </w:style>
  <w:style w:type="paragraph" w:styleId="831">
    <w:name w:val="Plain Text"/>
    <w:basedOn w:val="815"/>
    <w:next w:val="832"/>
    <w:link w:val="1087"/>
    <w:uiPriority w:val="0"/>
    <w:qFormat/>
    <w:pPr>
      <w:jc w:val="both"/>
    </w:pPr>
    <w:rPr>
      <w:rFonts w:hAnsi="Courier New" w:eastAsia="楷体_GB2312" w:cs="Times New Roman"/>
      <w:sz w:val="26"/>
      <w:szCs w:val="20"/>
    </w:rPr>
  </w:style>
  <w:style w:type="paragraph" w:styleId="832">
    <w:name w:val="Header"/>
    <w:basedOn w:val="815"/>
    <w:next w:val="815"/>
    <w:link w:val="1039"/>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paragraph" w:styleId="833">
    <w:name w:val="annotation text"/>
    <w:basedOn w:val="815"/>
    <w:link w:val="1033"/>
    <w:uiPriority w:val="0"/>
    <w:qFormat/>
    <w:rPr>
      <w:rFonts w:ascii="Calibri" w:hAnsi="Calibri" w:cs="Times New Roman"/>
      <w:sz w:val="20"/>
      <w:szCs w:val="20"/>
    </w:rPr>
  </w:style>
  <w:style w:type="paragraph" w:styleId="834">
    <w:name w:val="Body Text"/>
    <w:basedOn w:val="815"/>
    <w:link w:val="1034"/>
    <w:uiPriority w:val="99"/>
    <w:qFormat/>
    <w:pPr>
      <w:ind w:left="367"/>
      <w:spacing w:before="132"/>
    </w:pPr>
    <w:rPr>
      <w:rFonts w:cs="Times New Roman"/>
      <w:sz w:val="20"/>
      <w:szCs w:val="21"/>
    </w:rPr>
  </w:style>
  <w:style w:type="paragraph" w:styleId="835">
    <w:name w:val="Body Text Indent"/>
    <w:basedOn w:val="815"/>
    <w:next w:val="815"/>
    <w:link w:val="1035"/>
    <w:uiPriority w:val="99"/>
    <w:unhideWhenUsed/>
    <w:qFormat/>
    <w:pPr>
      <w:ind w:left="420"/>
      <w:spacing w:after="120"/>
    </w:pPr>
    <w:rPr>
      <w:rFonts w:cs="Times New Roman"/>
      <w:szCs w:val="20"/>
    </w:rPr>
  </w:style>
  <w:style w:type="paragraph" w:styleId="836">
    <w:name w:val="index 4"/>
    <w:basedOn w:val="815"/>
    <w:next w:val="815"/>
    <w:uiPriority w:val="0"/>
    <w:semiHidden/>
    <w:qFormat/>
    <w:pPr>
      <w:ind w:left="600"/>
      <w:jc w:val="both"/>
    </w:pPr>
    <w:rPr>
      <w:rFonts w:ascii="Calibri" w:hAnsi="Calibri"/>
      <w:sz w:val="21"/>
      <w:szCs w:val="20"/>
    </w:rPr>
  </w:style>
  <w:style w:type="paragraph" w:styleId="837">
    <w:name w:val="toc 5"/>
    <w:basedOn w:val="815"/>
    <w:next w:val="815"/>
    <w:uiPriority w:val="39"/>
    <w:unhideWhenUsed/>
    <w:qFormat/>
    <w:pPr>
      <w:ind w:left="1134"/>
      <w:spacing w:after="57"/>
    </w:pPr>
  </w:style>
  <w:style w:type="paragraph" w:styleId="838">
    <w:name w:val="toc 3"/>
    <w:basedOn w:val="815"/>
    <w:next w:val="815"/>
    <w:uiPriority w:val="39"/>
    <w:unhideWhenUsed/>
    <w:qFormat/>
    <w:pPr>
      <w:ind w:left="567"/>
      <w:spacing w:after="57"/>
    </w:pPr>
  </w:style>
  <w:style w:type="paragraph" w:styleId="839">
    <w:name w:val="toc 8"/>
    <w:basedOn w:val="815"/>
    <w:next w:val="815"/>
    <w:uiPriority w:val="39"/>
    <w:unhideWhenUsed/>
    <w:qFormat/>
    <w:pPr>
      <w:ind w:left="1984"/>
      <w:spacing w:after="57"/>
    </w:pPr>
  </w:style>
  <w:style w:type="paragraph" w:styleId="840">
    <w:name w:val="Date"/>
    <w:basedOn w:val="815"/>
    <w:next w:val="815"/>
    <w:link w:val="1037"/>
    <w:uiPriority w:val="99"/>
    <w:unhideWhenUsed/>
    <w:qFormat/>
    <w:pPr>
      <w:ind w:left="100"/>
    </w:pPr>
    <w:rPr>
      <w:rFonts w:cs="Times New Roman"/>
    </w:rPr>
  </w:style>
  <w:style w:type="paragraph" w:styleId="841">
    <w:name w:val="endnote text"/>
    <w:basedOn w:val="815"/>
    <w:link w:val="1025"/>
    <w:uiPriority w:val="99"/>
    <w:semiHidden/>
    <w:unhideWhenUsed/>
    <w:qFormat/>
    <w:rPr>
      <w:sz w:val="20"/>
    </w:rPr>
  </w:style>
  <w:style w:type="paragraph" w:styleId="842">
    <w:name w:val="Balloon Text"/>
    <w:basedOn w:val="815"/>
    <w:link w:val="1103"/>
    <w:uiPriority w:val="99"/>
    <w:semiHidden/>
    <w:unhideWhenUsed/>
    <w:qFormat/>
    <w:rPr>
      <w:sz w:val="18"/>
      <w:szCs w:val="18"/>
    </w:rPr>
  </w:style>
  <w:style w:type="paragraph" w:styleId="843">
    <w:name w:val="Footer"/>
    <w:basedOn w:val="815"/>
    <w:link w:val="1038"/>
    <w:uiPriority w:val="99"/>
    <w:unhideWhenUsed/>
    <w:qFormat/>
    <w:pPr>
      <w:tabs>
        <w:tab w:val="center" w:pos="4153" w:leader="none"/>
        <w:tab w:val="right" w:pos="8306" w:leader="none"/>
      </w:tabs>
    </w:pPr>
    <w:rPr>
      <w:rFonts w:cs="Times New Roman"/>
      <w:sz w:val="18"/>
      <w:szCs w:val="18"/>
    </w:rPr>
  </w:style>
  <w:style w:type="paragraph" w:styleId="844">
    <w:name w:val="envelope return"/>
    <w:basedOn w:val="815"/>
    <w:uiPriority w:val="0"/>
    <w:qFormat/>
    <w:rPr>
      <w:rFonts w:ascii="Arial" w:hAnsi="Arial" w:eastAsia="宋体"/>
      <w:sz w:val="21"/>
      <w:szCs w:val="24"/>
    </w:rPr>
  </w:style>
  <w:style w:type="paragraph" w:styleId="845">
    <w:name w:val="toc 1"/>
    <w:basedOn w:val="815"/>
    <w:next w:val="815"/>
    <w:uiPriority w:val="39"/>
    <w:qFormat/>
    <w:pPr>
      <w:ind w:left="210"/>
      <w:jc w:val="both"/>
      <w:spacing w:before="100" w:beforeAutospacing="1" w:after="100" w:afterAutospacing="1" w:line="360" w:lineRule="exact"/>
      <w:tabs>
        <w:tab w:val="right" w:pos="9450" w:leader="dot"/>
      </w:tabs>
    </w:pPr>
    <w:rPr>
      <w:rFonts w:ascii="Calibri" w:hAnsi="Calibri" w:cs="Times New Roman"/>
      <w:b/>
      <w:bCs/>
      <w:caps/>
      <w:sz w:val="28"/>
      <w:szCs w:val="36"/>
    </w:rPr>
  </w:style>
  <w:style w:type="paragraph" w:styleId="846">
    <w:name w:val="toc 4"/>
    <w:basedOn w:val="815"/>
    <w:next w:val="815"/>
    <w:uiPriority w:val="39"/>
    <w:unhideWhenUsed/>
    <w:qFormat/>
    <w:pPr>
      <w:ind w:left="850"/>
      <w:spacing w:after="57"/>
    </w:pPr>
  </w:style>
  <w:style w:type="paragraph" w:styleId="847">
    <w:name w:val="Subtitle"/>
    <w:basedOn w:val="815"/>
    <w:next w:val="815"/>
    <w:link w:val="910"/>
    <w:uiPriority w:val="11"/>
    <w:qFormat/>
    <w:pPr>
      <w:spacing w:before="200" w:after="200"/>
    </w:pPr>
    <w:rPr>
      <w:sz w:val="24"/>
      <w:szCs w:val="24"/>
    </w:rPr>
  </w:style>
  <w:style w:type="paragraph" w:styleId="848">
    <w:name w:val="footnote text"/>
    <w:basedOn w:val="815"/>
    <w:link w:val="1024"/>
    <w:uiPriority w:val="99"/>
    <w:semiHidden/>
    <w:unhideWhenUsed/>
    <w:qFormat/>
    <w:pPr>
      <w:spacing w:after="40"/>
    </w:pPr>
    <w:rPr>
      <w:sz w:val="18"/>
    </w:rPr>
  </w:style>
  <w:style w:type="paragraph" w:styleId="849">
    <w:name w:val="toc 6"/>
    <w:basedOn w:val="815"/>
    <w:next w:val="815"/>
    <w:uiPriority w:val="39"/>
    <w:unhideWhenUsed/>
    <w:qFormat/>
    <w:pPr>
      <w:ind w:left="1417"/>
      <w:spacing w:after="57"/>
    </w:pPr>
  </w:style>
  <w:style w:type="paragraph" w:styleId="850">
    <w:name w:val="Body Text Indent 3"/>
    <w:basedOn w:val="815"/>
    <w:link w:val="1040"/>
    <w:uiPriority w:val="99"/>
    <w:unhideWhenUsed/>
    <w:qFormat/>
    <w:pPr>
      <w:ind w:left="420"/>
      <w:spacing w:after="120"/>
    </w:pPr>
    <w:rPr>
      <w:rFonts w:cs="Times New Roman"/>
      <w:sz w:val="16"/>
      <w:szCs w:val="16"/>
    </w:rPr>
  </w:style>
  <w:style w:type="paragraph" w:styleId="851">
    <w:name w:val="table of figures"/>
    <w:basedOn w:val="815"/>
    <w:next w:val="815"/>
    <w:uiPriority w:val="99"/>
    <w:unhideWhenUsed/>
    <w:qFormat/>
  </w:style>
  <w:style w:type="paragraph" w:styleId="852">
    <w:name w:val="toc 2"/>
    <w:basedOn w:val="815"/>
    <w:next w:val="815"/>
    <w:uiPriority w:val="39"/>
    <w:unhideWhenUsed/>
    <w:qFormat/>
    <w:pPr>
      <w:ind w:left="283"/>
      <w:spacing w:after="57"/>
    </w:pPr>
  </w:style>
  <w:style w:type="paragraph" w:styleId="853">
    <w:name w:val="toc 9"/>
    <w:basedOn w:val="815"/>
    <w:next w:val="815"/>
    <w:uiPriority w:val="39"/>
    <w:unhideWhenUsed/>
    <w:qFormat/>
    <w:pPr>
      <w:ind w:left="2268"/>
      <w:spacing w:after="57"/>
    </w:pPr>
  </w:style>
  <w:style w:type="paragraph" w:styleId="854">
    <w:name w:val="Normal (Web)"/>
    <w:basedOn w:val="815"/>
    <w:next w:val="815"/>
    <w:link w:val="1041"/>
    <w:uiPriority w:val="0"/>
    <w:qFormat/>
    <w:pPr>
      <w:jc w:val="both"/>
    </w:pPr>
    <w:rPr>
      <w:rFonts w:ascii="Times New Roman" w:cs="Times New Roman"/>
      <w:sz w:val="24"/>
      <w:szCs w:val="21"/>
    </w:rPr>
  </w:style>
  <w:style w:type="paragraph" w:styleId="855">
    <w:name w:val="Title"/>
    <w:basedOn w:val="815"/>
    <w:next w:val="815"/>
    <w:link w:val="909"/>
    <w:uiPriority w:val="10"/>
    <w:qFormat/>
    <w:pPr>
      <w:contextualSpacing/>
      <w:spacing w:before="300" w:after="200"/>
    </w:pPr>
    <w:rPr>
      <w:sz w:val="48"/>
      <w:szCs w:val="48"/>
    </w:rPr>
  </w:style>
  <w:style w:type="paragraph" w:styleId="856">
    <w:name w:val="annotation subject"/>
    <w:basedOn w:val="833"/>
    <w:next w:val="833"/>
    <w:link w:val="1042"/>
    <w:uiPriority w:val="99"/>
    <w:unhideWhenUsed/>
    <w:qFormat/>
    <w:rPr>
      <w:rFonts w:ascii="宋体" w:hAnsi="Times New Roman"/>
      <w:b/>
      <w:bCs/>
      <w:sz w:val="22"/>
      <w:szCs w:val="22"/>
    </w:rPr>
  </w:style>
  <w:style w:type="paragraph" w:styleId="857">
    <w:name w:val="Body Text First Indent 2"/>
    <w:basedOn w:val="835"/>
    <w:link w:val="1104"/>
    <w:uiPriority w:val="99"/>
    <w:semiHidden/>
    <w:unhideWhenUsed/>
    <w:qFormat/>
    <w:pPr>
      <w:ind w:left="200" w:firstLine="420"/>
    </w:pPr>
    <w:rPr>
      <w:rFonts w:cs="宋体"/>
      <w:szCs w:val="22"/>
    </w:rPr>
  </w:style>
  <w:style w:type="table" w:styleId="858">
    <w:name w:val="Table Grid"/>
    <w:basedOn w:val="82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9">
    <w:name w:val="Strong"/>
    <w:uiPriority w:val="22"/>
    <w:qFormat/>
    <w:rPr>
      <w:b/>
    </w:rPr>
  </w:style>
  <w:style w:type="character" w:styleId="860">
    <w:name w:val="endnote reference"/>
    <w:uiPriority w:val="99"/>
    <w:semiHidden/>
    <w:unhideWhenUsed/>
    <w:qFormat/>
    <w:rPr>
      <w:vertAlign w:val="superscript"/>
    </w:rPr>
  </w:style>
  <w:style w:type="character" w:styleId="861">
    <w:name w:val="page number"/>
    <w:uiPriority w:val="0"/>
    <w:qFormat/>
  </w:style>
  <w:style w:type="character" w:styleId="862">
    <w:name w:val="HTML Typewriter"/>
    <w:uiPriority w:val="0"/>
    <w:qFormat/>
    <w:rPr>
      <w:rFonts w:ascii="黑体" w:hAnsi="Courier New" w:eastAsia="黑体" w:cs="Courier New"/>
      <w:sz w:val="14"/>
      <w:szCs w:val="14"/>
      <w:lang w:val="en-US" w:eastAsia="zh-CN" w:bidi="ar-SA"/>
    </w:rPr>
  </w:style>
  <w:style w:type="character" w:styleId="863">
    <w:name w:val="Hyperlink"/>
    <w:uiPriority w:val="99"/>
    <w:unhideWhenUsed/>
    <w:qFormat/>
    <w:rPr>
      <w:color w:val="0563c1"/>
      <w:u w:val="single"/>
    </w:rPr>
  </w:style>
  <w:style w:type="character" w:styleId="864">
    <w:name w:val="annotation reference"/>
    <w:uiPriority w:val="99"/>
    <w:unhideWhenUsed/>
    <w:qFormat/>
    <w:rPr>
      <w:sz w:val="21"/>
      <w:szCs w:val="21"/>
    </w:rPr>
  </w:style>
  <w:style w:type="character" w:styleId="865">
    <w:name w:val="footnote reference"/>
    <w:uiPriority w:val="99"/>
    <w:unhideWhenUsed/>
    <w:qFormat/>
    <w:rPr>
      <w:vertAlign w:val="superscript"/>
    </w:rPr>
  </w:style>
  <w:style w:type="paragraph" w:styleId="866" w:customStyle="1">
    <w:name w:val="Default"/>
    <w:uiPriority w:val="0"/>
    <w:qFormat/>
    <w:pPr>
      <w:widowControl w:val="off"/>
    </w:pPr>
    <w:rPr>
      <w:rFonts w:ascii="宋体ラ..." w:hAnsi="Times New Roman" w:eastAsia="宋体ラ..." w:cs="宋体ラ..."/>
      <w:color w:val="000000"/>
      <w:sz w:val="24"/>
      <w:szCs w:val="24"/>
      <w:lang w:val="en-US" w:eastAsia="zh-CN" w:bidi="ar-SA"/>
    </w:rPr>
  </w:style>
  <w:style w:type="paragraph" w:styleId="867" w:customStyle="1">
    <w:name w:val="Heading 4"/>
    <w:next w:val="815"/>
    <w:uiPriority w:val="0"/>
    <w:unhideWhenUsed/>
    <w:qFormat/>
    <w:pPr>
      <w:numPr>
        <w:ilvl w:val="3"/>
        <w:numId w:val="1"/>
      </w:numPr>
      <w:jc w:val="both"/>
      <w:keepLines/>
      <w:keepNext/>
      <w:spacing w:before="120" w:after="120" w:line="360" w:lineRule="auto"/>
      <w:widowControl w:val="off"/>
      <w:outlineLvl w:val="3"/>
    </w:pPr>
    <w:rPr>
      <w:rFonts w:ascii="Times New Roman" w:hAnsi="Times New Roman" w:eastAsia="黑体" w:cs="Times New Roman"/>
      <w:b/>
      <w:bCs/>
      <w:sz w:val="24"/>
      <w:szCs w:val="28"/>
      <w:lang w:val="en-US" w:eastAsia="zh-CN" w:bidi="ar-SA"/>
    </w:rPr>
  </w:style>
  <w:style w:type="character" w:styleId="868" w:customStyle="1">
    <w:name w:val="标题 4 字符"/>
    <w:link w:val="819"/>
    <w:uiPriority w:val="1"/>
    <w:qFormat/>
    <w:rPr>
      <w:rFonts w:ascii="宋体" w:hAnsi="Times New Roman" w:eastAsia="宋体" w:cs="宋体"/>
      <w:b/>
      <w:bCs/>
      <w:sz w:val="32"/>
      <w:szCs w:val="32"/>
    </w:rPr>
  </w:style>
  <w:style w:type="character" w:styleId="869" w:customStyle="1">
    <w:name w:val="Heading 7 Char"/>
    <w:basedOn w:val="825"/>
    <w:uiPriority w:val="9"/>
    <w:qFormat/>
    <w:rPr>
      <w:rFonts w:ascii="Arial" w:hAnsi="Arial" w:eastAsia="Arial" w:cs="Arial"/>
      <w:b/>
      <w:bCs/>
      <w:i/>
      <w:iCs/>
      <w:sz w:val="22"/>
      <w:szCs w:val="22"/>
    </w:rPr>
  </w:style>
  <w:style w:type="character" w:styleId="870" w:customStyle="1">
    <w:name w:val="Heading 8 Char"/>
    <w:basedOn w:val="825"/>
    <w:uiPriority w:val="9"/>
    <w:qFormat/>
    <w:rPr>
      <w:rFonts w:ascii="Arial" w:hAnsi="Arial" w:eastAsia="Arial" w:cs="Arial"/>
      <w:i/>
      <w:iCs/>
      <w:sz w:val="22"/>
      <w:szCs w:val="22"/>
    </w:rPr>
  </w:style>
  <w:style w:type="character" w:styleId="871" w:customStyle="1">
    <w:name w:val="Heading 9 Char"/>
    <w:basedOn w:val="825"/>
    <w:uiPriority w:val="9"/>
    <w:qFormat/>
    <w:rPr>
      <w:rFonts w:ascii="Arial" w:hAnsi="Arial" w:eastAsia="Arial" w:cs="Arial"/>
      <w:i/>
      <w:iCs/>
      <w:sz w:val="21"/>
      <w:szCs w:val="21"/>
    </w:rPr>
  </w:style>
  <w:style w:type="character" w:styleId="872" w:customStyle="1">
    <w:name w:val="Title Char"/>
    <w:basedOn w:val="825"/>
    <w:uiPriority w:val="10"/>
    <w:qFormat/>
    <w:rPr>
      <w:sz w:val="48"/>
      <w:szCs w:val="48"/>
    </w:rPr>
  </w:style>
  <w:style w:type="character" w:styleId="873" w:customStyle="1">
    <w:name w:val="Subtitle Char"/>
    <w:basedOn w:val="825"/>
    <w:uiPriority w:val="11"/>
    <w:qFormat/>
    <w:rPr>
      <w:sz w:val="24"/>
      <w:szCs w:val="24"/>
    </w:rPr>
  </w:style>
  <w:style w:type="character" w:styleId="874" w:customStyle="1">
    <w:name w:val="Quote Char"/>
    <w:uiPriority w:val="29"/>
    <w:qFormat/>
    <w:rPr>
      <w:i/>
    </w:rPr>
  </w:style>
  <w:style w:type="character" w:styleId="875" w:customStyle="1">
    <w:name w:val="Intense Quote Char"/>
    <w:uiPriority w:val="30"/>
    <w:qFormat/>
    <w:rPr>
      <w:i/>
    </w:rPr>
  </w:style>
  <w:style w:type="table" w:styleId="876" w:customStyle="1">
    <w:name w:val="无格式表格 11"/>
    <w:basedOn w:val="82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无格式表格 21"/>
    <w:basedOn w:val="82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8" w:customStyle="1">
    <w:name w:val="无格式表格 31"/>
    <w:basedOn w:val="82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9" w:customStyle="1">
    <w:name w:val="无格式表格 41"/>
    <w:basedOn w:val="82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0" w:customStyle="1">
    <w:name w:val="无格式表格 51"/>
    <w:basedOn w:val="82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1" w:customStyle="1">
    <w:name w:val="网格表 1 浅色1"/>
    <w:basedOn w:val="82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2" w:customStyle="1">
    <w:name w:val="网格表 21"/>
    <w:basedOn w:val="82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3" w:customStyle="1">
    <w:name w:val="网格表 31"/>
    <w:basedOn w:val="82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网格表 41"/>
    <w:basedOn w:val="82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5" w:customStyle="1">
    <w:name w:val="网格表 5 深色1"/>
    <w:basedOn w:val="8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6" w:customStyle="1">
    <w:name w:val="网格表 6 彩色1"/>
    <w:basedOn w:val="82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7" w:customStyle="1">
    <w:name w:val="网格表 7 彩色1"/>
    <w:basedOn w:val="82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清单表 1 浅色1"/>
    <w:basedOn w:val="826"/>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customStyle="1">
    <w:name w:val="清单表 21"/>
    <w:basedOn w:val="82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0" w:customStyle="1">
    <w:name w:val="清单表 31"/>
    <w:basedOn w:val="82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清单表 41"/>
    <w:basedOn w:val="82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清单表 5 深色1"/>
    <w:basedOn w:val="82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清单表 6 彩色1"/>
    <w:basedOn w:val="826"/>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4" w:customStyle="1">
    <w:name w:val="清单表 7 彩色1"/>
    <w:basedOn w:val="826"/>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95" w:customStyle="1">
    <w:name w:val="Footnote Text Char"/>
    <w:uiPriority w:val="99"/>
    <w:qFormat/>
    <w:rPr>
      <w:sz w:val="18"/>
    </w:rPr>
  </w:style>
  <w:style w:type="character" w:styleId="896" w:customStyle="1">
    <w:name w:val="Endnote Text Char"/>
    <w:uiPriority w:val="99"/>
    <w:qFormat/>
    <w:rPr>
      <w:sz w:val="20"/>
    </w:rPr>
  </w:style>
  <w:style w:type="paragraph" w:styleId="897" w:customStyle="1">
    <w:name w:val="TOC 标题1"/>
    <w:uiPriority w:val="39"/>
    <w:unhideWhenUsed/>
    <w:qFormat/>
    <w:rPr>
      <w:rFonts w:ascii="Times New Roman" w:hAnsi="Times New Roman" w:eastAsia="宋体" w:cs="Times New Roman"/>
      <w:lang w:val="en-US" w:eastAsia="zh-CN" w:bidi="ar-SA"/>
    </w:rPr>
  </w:style>
  <w:style w:type="character" w:styleId="898" w:customStyle="1">
    <w:name w:val="Heading 1 Char"/>
    <w:uiPriority w:val="9"/>
    <w:qFormat/>
    <w:rPr>
      <w:rFonts w:ascii="Arial" w:hAnsi="Arial" w:eastAsia="Arial" w:cs="Arial"/>
      <w:sz w:val="40"/>
      <w:szCs w:val="40"/>
    </w:rPr>
  </w:style>
  <w:style w:type="character" w:styleId="899" w:customStyle="1">
    <w:name w:val="Heading 2 Char"/>
    <w:uiPriority w:val="9"/>
    <w:qFormat/>
    <w:rPr>
      <w:rFonts w:ascii="Arial" w:hAnsi="Arial" w:eastAsia="Arial" w:cs="Arial"/>
      <w:sz w:val="34"/>
    </w:rPr>
  </w:style>
  <w:style w:type="character" w:styleId="900" w:customStyle="1">
    <w:name w:val="Heading 3 Char"/>
    <w:uiPriority w:val="9"/>
    <w:qFormat/>
    <w:rPr>
      <w:rFonts w:ascii="Arial" w:hAnsi="Arial" w:eastAsia="Arial" w:cs="Arial"/>
      <w:sz w:val="30"/>
      <w:szCs w:val="30"/>
    </w:rPr>
  </w:style>
  <w:style w:type="character" w:styleId="901" w:customStyle="1">
    <w:name w:val="Heading 4 Char"/>
    <w:uiPriority w:val="9"/>
    <w:qFormat/>
    <w:rPr>
      <w:rFonts w:ascii="Arial" w:hAnsi="Arial" w:eastAsia="Arial" w:cs="Arial"/>
      <w:b/>
      <w:bCs/>
      <w:sz w:val="26"/>
      <w:szCs w:val="26"/>
    </w:rPr>
  </w:style>
  <w:style w:type="character" w:styleId="902" w:customStyle="1">
    <w:name w:val="Heading 5 Char"/>
    <w:uiPriority w:val="9"/>
    <w:qFormat/>
    <w:rPr>
      <w:rFonts w:ascii="Arial" w:hAnsi="Arial" w:eastAsia="Arial" w:cs="Arial"/>
      <w:b/>
      <w:bCs/>
      <w:sz w:val="24"/>
      <w:szCs w:val="24"/>
    </w:rPr>
  </w:style>
  <w:style w:type="character" w:styleId="903" w:customStyle="1">
    <w:name w:val="Heading 6 Char"/>
    <w:uiPriority w:val="9"/>
    <w:qFormat/>
    <w:rPr>
      <w:rFonts w:ascii="Arial" w:hAnsi="Arial" w:eastAsia="Arial" w:cs="Arial"/>
      <w:b/>
      <w:bCs/>
      <w:sz w:val="22"/>
      <w:szCs w:val="22"/>
    </w:rPr>
  </w:style>
  <w:style w:type="character" w:styleId="904" w:customStyle="1">
    <w:name w:val="标题 7 字符"/>
    <w:link w:val="822"/>
    <w:uiPriority w:val="9"/>
    <w:qFormat/>
    <w:rPr>
      <w:rFonts w:ascii="Arial" w:hAnsi="Arial" w:eastAsia="Arial" w:cs="Arial"/>
      <w:b/>
      <w:bCs/>
      <w:i/>
      <w:iCs/>
      <w:sz w:val="22"/>
      <w:szCs w:val="22"/>
    </w:rPr>
  </w:style>
  <w:style w:type="character" w:styleId="905" w:customStyle="1">
    <w:name w:val="标题 8 字符"/>
    <w:link w:val="823"/>
    <w:uiPriority w:val="9"/>
    <w:qFormat/>
    <w:rPr>
      <w:rFonts w:ascii="Arial" w:hAnsi="Arial" w:eastAsia="Arial" w:cs="Arial"/>
      <w:i/>
      <w:iCs/>
      <w:sz w:val="22"/>
      <w:szCs w:val="22"/>
    </w:rPr>
  </w:style>
  <w:style w:type="character" w:styleId="906" w:customStyle="1">
    <w:name w:val="标题 9 字符"/>
    <w:link w:val="824"/>
    <w:uiPriority w:val="9"/>
    <w:qFormat/>
    <w:rPr>
      <w:rFonts w:ascii="Arial" w:hAnsi="Arial" w:eastAsia="Arial" w:cs="Arial"/>
      <w:i/>
      <w:iCs/>
      <w:sz w:val="21"/>
      <w:szCs w:val="21"/>
    </w:rPr>
  </w:style>
  <w:style w:type="paragraph" w:styleId="907">
    <w:name w:val="List Paragraph"/>
    <w:basedOn w:val="815"/>
    <w:uiPriority w:val="1"/>
    <w:qFormat/>
    <w:pPr>
      <w:contextualSpacing/>
      <w:ind w:left="720"/>
    </w:pPr>
  </w:style>
  <w:style w:type="paragraph" w:styleId="908">
    <w:name w:val="No Spacing"/>
    <w:uiPriority w:val="1"/>
    <w:qFormat/>
    <w:pPr>
      <w:jc w:val="both"/>
      <w:widowControl w:val="off"/>
    </w:pPr>
    <w:rPr>
      <w:rFonts w:ascii="Times New Roman" w:hAnsi="Times New Roman" w:eastAsia="宋体" w:cs="Times New Roman"/>
      <w:sz w:val="21"/>
      <w:szCs w:val="22"/>
      <w:lang w:val="en-US" w:eastAsia="zh-CN" w:bidi="ar-SA"/>
    </w:rPr>
  </w:style>
  <w:style w:type="character" w:styleId="909" w:customStyle="1">
    <w:name w:val="标题 字符"/>
    <w:link w:val="855"/>
    <w:uiPriority w:val="10"/>
    <w:qFormat/>
    <w:rPr>
      <w:sz w:val="48"/>
      <w:szCs w:val="48"/>
    </w:rPr>
  </w:style>
  <w:style w:type="character" w:styleId="910" w:customStyle="1">
    <w:name w:val="副标题 字符"/>
    <w:link w:val="847"/>
    <w:uiPriority w:val="11"/>
    <w:qFormat/>
    <w:rPr>
      <w:sz w:val="24"/>
      <w:szCs w:val="24"/>
    </w:rPr>
  </w:style>
  <w:style w:type="paragraph" w:styleId="911">
    <w:name w:val="Quote"/>
    <w:basedOn w:val="815"/>
    <w:next w:val="815"/>
    <w:link w:val="912"/>
    <w:uiPriority w:val="29"/>
    <w:qFormat/>
    <w:pPr>
      <w:ind w:left="720" w:right="720"/>
    </w:pPr>
    <w:rPr>
      <w:i/>
    </w:rPr>
  </w:style>
  <w:style w:type="character" w:styleId="912" w:customStyle="1">
    <w:name w:val="引用 字符"/>
    <w:link w:val="911"/>
    <w:uiPriority w:val="29"/>
    <w:qFormat/>
    <w:rPr>
      <w:i/>
    </w:rPr>
  </w:style>
  <w:style w:type="paragraph" w:styleId="913">
    <w:name w:val="Intense Quote"/>
    <w:basedOn w:val="815"/>
    <w:next w:val="815"/>
    <w:link w:val="9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4" w:customStyle="1">
    <w:name w:val="明显引用 字符"/>
    <w:link w:val="913"/>
    <w:uiPriority w:val="30"/>
    <w:qFormat/>
    <w:rPr>
      <w:i/>
    </w:rPr>
  </w:style>
  <w:style w:type="character" w:styleId="915" w:customStyle="1">
    <w:name w:val="Header Char"/>
    <w:uiPriority w:val="99"/>
    <w:qFormat/>
  </w:style>
  <w:style w:type="character" w:styleId="916" w:customStyle="1">
    <w:name w:val="Footer Char"/>
    <w:uiPriority w:val="99"/>
    <w:qFormat/>
  </w:style>
  <w:style w:type="character" w:styleId="917" w:customStyle="1">
    <w:name w:val="Caption Char"/>
    <w:uiPriority w:val="99"/>
    <w:qFormat/>
  </w:style>
  <w:style w:type="table" w:styleId="91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5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4" w:customStyle="1">
    <w:name w:val="脚注文本 字符"/>
    <w:link w:val="848"/>
    <w:uiPriority w:val="99"/>
    <w:qFormat/>
    <w:rPr>
      <w:sz w:val="18"/>
    </w:rPr>
  </w:style>
  <w:style w:type="character" w:styleId="1025" w:customStyle="1">
    <w:name w:val="尾注文本 字符"/>
    <w:link w:val="841"/>
    <w:uiPriority w:val="99"/>
    <w:qFormat/>
    <w:rPr>
      <w:sz w:val="20"/>
    </w:rPr>
  </w:style>
  <w:style w:type="paragraph" w:styleId="1026" w:customStyle="1">
    <w:name w:val="TOC 标题11"/>
    <w:uiPriority w:val="39"/>
    <w:unhideWhenUsed/>
    <w:qFormat/>
    <w:rPr>
      <w:rFonts w:ascii="Times New Roman" w:hAnsi="Times New Roman" w:eastAsia="宋体" w:cs="Times New Roman"/>
      <w:lang w:val="en-US" w:eastAsia="zh-CN" w:bidi="ar-SA"/>
    </w:rPr>
  </w:style>
  <w:style w:type="character" w:styleId="1027" w:customStyle="1">
    <w:name w:val="标题 1 字符"/>
    <w:link w:val="816"/>
    <w:uiPriority w:val="1"/>
    <w:qFormat/>
    <w:rPr>
      <w:rFonts w:ascii="宋体" w:hAnsi="Times New Roman" w:eastAsia="宋体" w:cs="宋体"/>
      <w:b/>
      <w:bCs/>
      <w:sz w:val="72"/>
      <w:szCs w:val="72"/>
    </w:rPr>
  </w:style>
  <w:style w:type="character" w:styleId="1028" w:customStyle="1">
    <w:name w:val="标题 2 字符"/>
    <w:link w:val="817"/>
    <w:uiPriority w:val="0"/>
    <w:qFormat/>
    <w:rPr>
      <w:rFonts w:ascii="宋体" w:hAnsi="Times New Roman" w:eastAsia="宋体" w:cs="宋体"/>
      <w:b/>
      <w:bCs/>
      <w:sz w:val="44"/>
      <w:szCs w:val="44"/>
    </w:rPr>
  </w:style>
  <w:style w:type="character" w:styleId="1029" w:customStyle="1">
    <w:name w:val="标题 3 字符"/>
    <w:link w:val="818"/>
    <w:uiPriority w:val="1"/>
    <w:qFormat/>
    <w:rPr>
      <w:rFonts w:ascii="宋体" w:hAnsi="Times New Roman" w:eastAsia="宋体" w:cs="宋体"/>
      <w:b/>
      <w:bCs/>
      <w:sz w:val="36"/>
      <w:szCs w:val="36"/>
    </w:rPr>
  </w:style>
  <w:style w:type="character" w:styleId="1030" w:customStyle="1">
    <w:name w:val="标题 5 字符"/>
    <w:link w:val="820"/>
    <w:uiPriority w:val="1"/>
    <w:qFormat/>
    <w:rPr>
      <w:rFonts w:ascii="宋体" w:hAnsi="Times New Roman" w:eastAsia="宋体" w:cs="宋体"/>
      <w:sz w:val="24"/>
      <w:szCs w:val="24"/>
    </w:rPr>
  </w:style>
  <w:style w:type="character" w:styleId="1031" w:customStyle="1">
    <w:name w:val="标题 6 字符"/>
    <w:link w:val="821"/>
    <w:uiPriority w:val="1"/>
    <w:qFormat/>
    <w:rPr>
      <w:rFonts w:ascii="宋体" w:hAnsi="Times New Roman" w:eastAsia="宋体" w:cs="宋体"/>
      <w:b/>
      <w:bCs/>
      <w:szCs w:val="21"/>
    </w:rPr>
  </w:style>
  <w:style w:type="character" w:styleId="1032" w:customStyle="1">
    <w:name w:val="正文缩进 字符"/>
    <w:link w:val="828"/>
    <w:uiPriority w:val="0"/>
    <w:qFormat/>
    <w:rPr>
      <w:rFonts w:ascii="Times New Roman" w:hAnsi="Times New Roman" w:eastAsia="楷体_GB2312"/>
      <w:sz w:val="21"/>
    </w:rPr>
  </w:style>
  <w:style w:type="character" w:styleId="1033" w:customStyle="1">
    <w:name w:val="批注文字 字符"/>
    <w:link w:val="833"/>
    <w:uiPriority w:val="0"/>
    <w:qFormat/>
    <w:rPr>
      <w:rFonts w:ascii="Calibri" w:hAnsi="Calibri" w:eastAsia="宋体" w:cs="宋体"/>
    </w:rPr>
  </w:style>
  <w:style w:type="character" w:styleId="1034" w:customStyle="1">
    <w:name w:val="正文文本 字符"/>
    <w:link w:val="834"/>
    <w:uiPriority w:val="99"/>
    <w:qFormat/>
    <w:rPr>
      <w:rFonts w:ascii="宋体" w:hAnsi="Times New Roman" w:eastAsia="宋体" w:cs="宋体"/>
      <w:szCs w:val="21"/>
    </w:rPr>
  </w:style>
  <w:style w:type="character" w:styleId="1035" w:customStyle="1">
    <w:name w:val="正文文本缩进 字符"/>
    <w:link w:val="835"/>
    <w:uiPriority w:val="99"/>
    <w:qFormat/>
    <w:rPr>
      <w:rFonts w:ascii="宋体" w:hAnsi="Times New Roman" w:eastAsia="宋体" w:cs="宋体"/>
      <w:sz w:val="22"/>
    </w:rPr>
  </w:style>
  <w:style w:type="character" w:styleId="1036" w:customStyle="1">
    <w:name w:val="纯文本 字符"/>
    <w:uiPriority w:val="0"/>
    <w:qFormat/>
    <w:rPr>
      <w:rFonts w:ascii="宋体" w:hAnsi="Courier New" w:eastAsia="楷体_GB2312"/>
      <w:sz w:val="26"/>
    </w:rPr>
  </w:style>
  <w:style w:type="character" w:styleId="1037" w:customStyle="1">
    <w:name w:val="日期 字符"/>
    <w:link w:val="840"/>
    <w:uiPriority w:val="99"/>
    <w:semiHidden/>
    <w:qFormat/>
    <w:rPr>
      <w:rFonts w:ascii="宋体" w:hAnsi="Times New Roman" w:eastAsia="宋体" w:cs="宋体"/>
      <w:sz w:val="22"/>
      <w:szCs w:val="22"/>
    </w:rPr>
  </w:style>
  <w:style w:type="character" w:styleId="1038" w:customStyle="1">
    <w:name w:val="页脚 字符"/>
    <w:link w:val="843"/>
    <w:uiPriority w:val="99"/>
    <w:qFormat/>
    <w:rPr>
      <w:rFonts w:ascii="宋体" w:hAnsi="Times New Roman" w:eastAsia="宋体" w:cs="宋体"/>
      <w:sz w:val="18"/>
      <w:szCs w:val="18"/>
    </w:rPr>
  </w:style>
  <w:style w:type="character" w:styleId="1039" w:customStyle="1">
    <w:name w:val="页眉 字符"/>
    <w:link w:val="832"/>
    <w:uiPriority w:val="99"/>
    <w:qFormat/>
    <w:rPr>
      <w:rFonts w:ascii="宋体" w:hAnsi="Times New Roman" w:eastAsia="宋体" w:cs="宋体"/>
      <w:sz w:val="18"/>
      <w:szCs w:val="18"/>
    </w:rPr>
  </w:style>
  <w:style w:type="character" w:styleId="1040" w:customStyle="1">
    <w:name w:val="正文文本缩进 3 字符"/>
    <w:link w:val="850"/>
    <w:uiPriority w:val="99"/>
    <w:qFormat/>
    <w:rPr>
      <w:rFonts w:ascii="宋体" w:hAnsi="Times New Roman" w:eastAsia="宋体" w:cs="宋体"/>
      <w:sz w:val="16"/>
      <w:szCs w:val="16"/>
    </w:rPr>
  </w:style>
  <w:style w:type="character" w:styleId="1041" w:customStyle="1">
    <w:name w:val="普通(网站) 字符"/>
    <w:link w:val="854"/>
    <w:uiPriority w:val="99"/>
    <w:qFormat/>
    <w:rPr>
      <w:rFonts w:ascii="Times New Roman" w:hAnsi="Times New Roman" w:eastAsia="宋体" w:cs="宋体"/>
      <w:sz w:val="24"/>
      <w:szCs w:val="21"/>
    </w:rPr>
  </w:style>
  <w:style w:type="character" w:styleId="1042" w:customStyle="1">
    <w:name w:val="批注主题 字符"/>
    <w:link w:val="856"/>
    <w:uiPriority w:val="99"/>
    <w:semiHidden/>
    <w:qFormat/>
    <w:rPr>
      <w:rFonts w:ascii="宋体" w:hAnsi="Times New Roman" w:eastAsia="宋体" w:cs="宋体"/>
      <w:b/>
      <w:bCs/>
      <w:sz w:val="22"/>
      <w:szCs w:val="22"/>
    </w:rPr>
  </w:style>
  <w:style w:type="paragraph" w:styleId="1043" w:customStyle="1">
    <w:name w:val="正文文本首行缩进1"/>
    <w:basedOn w:val="834"/>
    <w:link w:val="1044"/>
    <w:uiPriority w:val="99"/>
    <w:unhideWhenUsed/>
    <w:qFormat/>
    <w:pPr>
      <w:ind w:left="0" w:firstLine="420"/>
      <w:spacing w:before="0" w:after="120"/>
    </w:pPr>
    <w:rPr>
      <w:sz w:val="22"/>
      <w:szCs w:val="22"/>
    </w:rPr>
  </w:style>
  <w:style w:type="character" w:styleId="1044" w:customStyle="1">
    <w:name w:val="正文文本首行缩进 字符"/>
    <w:link w:val="1043"/>
    <w:uiPriority w:val="99"/>
    <w:qFormat/>
    <w:rPr>
      <w:rFonts w:ascii="宋体" w:hAnsi="Times New Roman" w:eastAsia="宋体" w:cs="宋体"/>
      <w:sz w:val="22"/>
      <w:szCs w:val="22"/>
    </w:rPr>
  </w:style>
  <w:style w:type="paragraph" w:styleId="1045" w:customStyle="1">
    <w:name w:val="正文文本首行缩进 21"/>
    <w:basedOn w:val="835"/>
    <w:link w:val="1046"/>
    <w:uiPriority w:val="0"/>
    <w:qFormat/>
    <w:pPr>
      <w:ind w:firstLine="420"/>
      <w:jc w:val="both"/>
    </w:pPr>
    <w:rPr>
      <w:sz w:val="21"/>
      <w:szCs w:val="24"/>
    </w:rPr>
  </w:style>
  <w:style w:type="character" w:styleId="1046" w:customStyle="1">
    <w:name w:val="正文文本首行缩进 2 字符"/>
    <w:link w:val="1045"/>
    <w:uiPriority w:val="0"/>
    <w:qFormat/>
    <w:rPr>
      <w:rFonts w:ascii="宋体" w:hAnsi="Times New Roman" w:eastAsia="宋体" w:cs="宋体"/>
      <w:sz w:val="21"/>
      <w:szCs w:val="24"/>
    </w:rPr>
  </w:style>
  <w:style w:type="paragraph" w:styleId="1047" w:customStyle="1">
    <w:name w:val="段"/>
    <w:next w:val="815"/>
    <w:uiPriority w:val="0"/>
    <w:qFormat/>
    <w:pPr>
      <w:ind w:firstLine="200"/>
      <w:jc w:val="both"/>
    </w:pPr>
    <w:rPr>
      <w:rFonts w:ascii="宋体" w:hAnsi="Times New Roman" w:eastAsia="宋体" w:cs="Times New Roman"/>
      <w:sz w:val="21"/>
      <w:lang w:val="en-US" w:eastAsia="zh-CN" w:bidi="ar-SA"/>
    </w:rPr>
  </w:style>
  <w:style w:type="paragraph" w:styleId="1048" w:customStyle="1">
    <w:name w:val="列表段落1"/>
    <w:basedOn w:val="815"/>
    <w:link w:val="1049"/>
    <w:uiPriority w:val="34"/>
    <w:qFormat/>
    <w:pPr>
      <w:ind w:left="367" w:firstLine="420"/>
      <w:spacing w:before="132"/>
    </w:pPr>
    <w:rPr>
      <w:sz w:val="24"/>
      <w:szCs w:val="24"/>
    </w:rPr>
  </w:style>
  <w:style w:type="character" w:styleId="1049" w:customStyle="1">
    <w:name w:val="列表段落 字符"/>
    <w:link w:val="1048"/>
    <w:uiPriority w:val="34"/>
    <w:qFormat/>
    <w:rPr>
      <w:rFonts w:ascii="宋体" w:cs="宋体"/>
      <w:sz w:val="24"/>
      <w:szCs w:val="24"/>
    </w:rPr>
  </w:style>
  <w:style w:type="paragraph" w:styleId="1050" w:customStyle="1">
    <w:name w:val="Table Paragraph"/>
    <w:basedOn w:val="815"/>
    <w:uiPriority w:val="1"/>
    <w:qFormat/>
    <w:pPr>
      <w:jc w:val="center"/>
      <w:spacing w:before="111"/>
    </w:pPr>
    <w:rPr>
      <w:sz w:val="24"/>
      <w:szCs w:val="24"/>
    </w:rPr>
  </w:style>
  <w:style w:type="paragraph" w:styleId="1051" w:customStyle="1">
    <w:name w:val="Plain Text2"/>
    <w:basedOn w:val="815"/>
    <w:uiPriority w:val="0"/>
    <w:qFormat/>
    <w:pPr>
      <w:jc w:val="both"/>
    </w:pPr>
    <w:rPr>
      <w:rFonts w:hAnsi="Courier New" w:eastAsia="楷体_GB2312" w:cs="Times New Roman"/>
      <w:sz w:val="28"/>
      <w:szCs w:val="24"/>
    </w:rPr>
  </w:style>
  <w:style w:type="paragraph" w:styleId="1052" w:customStyle="1">
    <w:name w:val="列表段落11"/>
    <w:basedOn w:val="815"/>
    <w:uiPriority w:val="34"/>
    <w:qFormat/>
    <w:pPr>
      <w:ind w:firstLine="420"/>
      <w:jc w:val="both"/>
    </w:pPr>
    <w:rPr>
      <w:rFonts w:ascii="等线" w:hAnsi="等线" w:eastAsia="等线" w:cs="Times New Roman"/>
      <w:sz w:val="21"/>
      <w:szCs w:val="24"/>
    </w:rPr>
  </w:style>
  <w:style w:type="paragraph" w:styleId="1053" w:customStyle="1">
    <w:name w:val="彩色列表 - 强调文字颜色 11"/>
    <w:basedOn w:val="815"/>
    <w:uiPriority w:val="0"/>
    <w:qFormat/>
    <w:pPr>
      <w:ind w:firstLine="420"/>
      <w:jc w:val="both"/>
    </w:pPr>
    <w:rPr>
      <w:rFonts w:ascii="Times New Roman" w:eastAsia="等线" w:cs="Times New Roman"/>
      <w:sz w:val="21"/>
      <w:szCs w:val="24"/>
    </w:rPr>
  </w:style>
  <w:style w:type="character" w:styleId="1054" w:customStyle="1">
    <w:name w:val="标题 4 Char"/>
    <w:uiPriority w:val="0"/>
    <w:qFormat/>
    <w:rPr>
      <w:rFonts w:ascii="Arial" w:hAnsi="Arial" w:eastAsia="黑体"/>
      <w:b/>
      <w:sz w:val="28"/>
    </w:rPr>
  </w:style>
  <w:style w:type="paragraph" w:styleId="1055" w:customStyle="1">
    <w:name w:val="xl24"/>
    <w:basedOn w:val="815"/>
    <w:uiPriority w:val="0"/>
    <w:qFormat/>
    <w:pPr>
      <w:jc w:val="center"/>
      <w:spacing w:before="100" w:beforeAutospacing="1" w:after="100" w:afterAutospacing="1"/>
      <w:widowControl/>
    </w:pPr>
    <w:rPr>
      <w:rFonts w:hint="eastAsia" w:hAnsi="宋体" w:cs="Times New Roman"/>
      <w:sz w:val="24"/>
      <w:szCs w:val="24"/>
    </w:rPr>
  </w:style>
  <w:style w:type="character" w:styleId="1056" w:customStyle="1">
    <w:name w:val="正文文本缩进 字符1"/>
    <w:uiPriority w:val="0"/>
    <w:qFormat/>
    <w:rPr>
      <w:rFonts w:ascii="宋体" w:eastAsia="宋体"/>
      <w:sz w:val="28"/>
      <w:lang w:val="en-US" w:eastAsia="zh-CN" w:bidi="ar-SA"/>
    </w:rPr>
  </w:style>
  <w:style w:type="character" w:styleId="1057" w:customStyle="1">
    <w:name w:val="方案正文 Char"/>
    <w:link w:val="1058"/>
    <w:uiPriority w:val="0"/>
    <w:qFormat/>
    <w:rPr>
      <w:sz w:val="24"/>
    </w:rPr>
  </w:style>
  <w:style w:type="paragraph" w:styleId="1058" w:customStyle="1">
    <w:name w:val="方案正文"/>
    <w:basedOn w:val="815"/>
    <w:link w:val="1057"/>
    <w:uiPriority w:val="0"/>
    <w:qFormat/>
    <w:pPr>
      <w:jc w:val="both"/>
      <w:spacing w:line="440" w:lineRule="atLeast"/>
    </w:pPr>
    <w:rPr>
      <w:rFonts w:ascii="Times New Roman" w:cs="Times New Roman"/>
      <w:sz w:val="24"/>
      <w:szCs w:val="20"/>
    </w:rPr>
  </w:style>
  <w:style w:type="paragraph" w:styleId="1059" w:customStyle="1">
    <w:name w:val="列出段落2"/>
    <w:basedOn w:val="815"/>
    <w:uiPriority w:val="34"/>
    <w:qFormat/>
    <w:pPr>
      <w:ind w:firstLine="420"/>
      <w:jc w:val="both"/>
      <w:spacing w:line="360" w:lineRule="auto"/>
    </w:pPr>
    <w:rPr>
      <w:rFonts w:ascii="Calibri" w:hAnsi="Calibri" w:cs="Times New Roman"/>
      <w:sz w:val="24"/>
      <w:szCs w:val="20"/>
    </w:rPr>
  </w:style>
  <w:style w:type="paragraph" w:styleId="1060" w:customStyle="1">
    <w:name w:val="列出段落12"/>
    <w:basedOn w:val="815"/>
    <w:uiPriority w:val="0"/>
    <w:qFormat/>
    <w:pPr>
      <w:ind w:firstLine="420"/>
      <w:jc w:val="both"/>
    </w:pPr>
    <w:rPr>
      <w:rFonts w:ascii="Times New Roman" w:cs="Times New Roman"/>
      <w:sz w:val="21"/>
      <w:szCs w:val="20"/>
    </w:rPr>
  </w:style>
  <w:style w:type="paragraph" w:styleId="1061" w:customStyle="1">
    <w:name w:val="列出段落5"/>
    <w:basedOn w:val="815"/>
    <w:uiPriority w:val="0"/>
    <w:qFormat/>
    <w:pPr>
      <w:ind w:firstLine="420"/>
      <w:jc w:val="both"/>
    </w:pPr>
    <w:rPr>
      <w:rFonts w:ascii="Calibri" w:hAnsi="Calibri" w:cs="Times New Roman"/>
      <w:sz w:val="21"/>
      <w:szCs w:val="20"/>
    </w:rPr>
  </w:style>
  <w:style w:type="paragraph" w:styleId="1062" w:customStyle="1">
    <w:name w:val="正文1"/>
    <w:basedOn w:val="815"/>
    <w:next w:val="815"/>
    <w:uiPriority w:val="0"/>
    <w:qFormat/>
    <w:pPr>
      <w:ind w:firstLine="420"/>
      <w:jc w:val="both"/>
      <w:spacing w:line="360" w:lineRule="auto"/>
      <w:tabs>
        <w:tab w:val="left" w:pos="420" w:leader="none"/>
      </w:tabs>
    </w:pPr>
    <w:rPr>
      <w:rFonts w:hAnsi="宋体" w:cs="Times New Roman"/>
      <w:sz w:val="21"/>
      <w:szCs w:val="20"/>
    </w:rPr>
  </w:style>
  <w:style w:type="character" w:styleId="1063" w:customStyle="1">
    <w:name w:val="font41"/>
    <w:uiPriority w:val="0"/>
    <w:qFormat/>
    <w:rPr>
      <w:rFonts w:hint="eastAsia" w:ascii="宋体" w:hAnsi="宋体" w:eastAsia="宋体" w:cs="宋体"/>
      <w:color w:val="000000"/>
      <w:sz w:val="20"/>
      <w:szCs w:val="20"/>
      <w:u w:val="none"/>
    </w:rPr>
  </w:style>
  <w:style w:type="character" w:styleId="1064" w:customStyle="1">
    <w:name w:val="Plain Text Char1"/>
    <w:link w:val="1065"/>
    <w:uiPriority w:val="0"/>
    <w:qFormat/>
    <w:rPr>
      <w:rFonts w:ascii="宋体" w:hAnsi="Courier New" w:eastAsia="楷体_GB2312"/>
      <w:sz w:val="26"/>
    </w:rPr>
  </w:style>
  <w:style w:type="paragraph" w:styleId="1065" w:customStyle="1">
    <w:name w:val="纯文本1"/>
    <w:basedOn w:val="815"/>
    <w:link w:val="1064"/>
    <w:uiPriority w:val="0"/>
    <w:qFormat/>
    <w:pPr>
      <w:jc w:val="both"/>
    </w:pPr>
    <w:rPr>
      <w:rFonts w:hAnsi="Courier New" w:eastAsia="楷体_GB2312" w:cs="Times New Roman"/>
      <w:sz w:val="26"/>
      <w:szCs w:val="20"/>
    </w:rPr>
  </w:style>
  <w:style w:type="character" w:styleId="1066" w:customStyle="1">
    <w:name w:val="页眉 字符2"/>
    <w:uiPriority w:val="99"/>
    <w:qFormat/>
    <w:rPr>
      <w:rFonts w:eastAsia="宋体"/>
      <w:sz w:val="18"/>
      <w:lang w:val="en-US" w:eastAsia="zh-CN" w:bidi="ar-SA"/>
    </w:rPr>
  </w:style>
  <w:style w:type="character" w:styleId="1067" w:customStyle="1">
    <w:name w:val="页脚 字符2"/>
    <w:uiPriority w:val="99"/>
    <w:qFormat/>
    <w:rPr>
      <w:rFonts w:eastAsia="宋体"/>
      <w:sz w:val="18"/>
      <w:lang w:val="en-US" w:eastAsia="zh-CN" w:bidi="ar-SA"/>
    </w:rPr>
  </w:style>
  <w:style w:type="character" w:styleId="1068" w:customStyle="1">
    <w:name w:val="01 章标 Char"/>
    <w:link w:val="1069"/>
    <w:uiPriority w:val="0"/>
    <w:qFormat/>
    <w:rPr>
      <w:b/>
      <w:sz w:val="44"/>
      <w:szCs w:val="44"/>
    </w:rPr>
  </w:style>
  <w:style w:type="paragraph" w:styleId="1069" w:customStyle="1">
    <w:name w:val="01 章标"/>
    <w:basedOn w:val="815"/>
    <w:link w:val="1068"/>
    <w:uiPriority w:val="0"/>
    <w:qFormat/>
    <w:pPr>
      <w:ind w:firstLine="883"/>
      <w:jc w:val="center"/>
      <w:outlineLvl w:val="0"/>
    </w:pPr>
    <w:rPr>
      <w:rFonts w:ascii="Times New Roman" w:cs="Times New Roman"/>
      <w:b/>
      <w:sz w:val="44"/>
      <w:szCs w:val="44"/>
    </w:rPr>
  </w:style>
  <w:style w:type="character" w:styleId="1070" w:customStyle="1">
    <w:name w:val="纯文本 字符1"/>
    <w:uiPriority w:val="99"/>
    <w:qFormat/>
    <w:rPr>
      <w:rFonts w:ascii="宋体" w:hAnsi="Courier New" w:eastAsia="宋体" w:cs="Courier New"/>
      <w:sz w:val="21"/>
      <w:szCs w:val="21"/>
    </w:rPr>
  </w:style>
  <w:style w:type="paragraph" w:styleId="1071" w:customStyle="1">
    <w:name w:val="页眉与页脚"/>
    <w:uiPriority w:val="0"/>
    <w:qFormat/>
    <w:pPr>
      <w:tabs>
        <w:tab w:val="right" w:pos="9020" w:leader="none"/>
      </w:tabs>
      <w:framePr w:wrap="around" w:vAnchor="margin" w:hAnchor="text" w:y="1"/>
    </w:pPr>
    <w:rPr>
      <w:rFonts w:ascii="Helvetica Neue" w:hAnsi="Helvetica Neue" w:eastAsia="Arial Unicode MS" w:cs="Arial Unicode MS"/>
      <w:color w:val="000000"/>
      <w:sz w:val="24"/>
      <w:szCs w:val="24"/>
      <w:lang w:val="en-US" w:eastAsia="zh-CN" w:bidi="ar-SA"/>
    </w:rPr>
  </w:style>
  <w:style w:type="paragraph" w:styleId="1072" w:customStyle="1">
    <w:name w:val="正文 A A"/>
    <w:uiPriority w:val="0"/>
    <w:qFormat/>
    <w:pPr>
      <w:jc w:val="both"/>
      <w:widowControl w:val="off"/>
      <w:framePr w:wrap="around" w:vAnchor="margin" w:hAnchor="text" w:y="1"/>
    </w:pPr>
    <w:rPr>
      <w:rFonts w:ascii="Calibri" w:hAnsi="Calibri" w:eastAsia="Calibri" w:cs="Calibri"/>
      <w:color w:val="000000"/>
      <w:sz w:val="21"/>
      <w:szCs w:val="21"/>
      <w:lang w:val="en-US" w:eastAsia="zh-CN" w:bidi="ar-SA"/>
    </w:rPr>
  </w:style>
  <w:style w:type="character" w:styleId="1073" w:customStyle="1">
    <w:name w:val="未处理的提及1"/>
    <w:uiPriority w:val="99"/>
    <w:unhideWhenUsed/>
    <w:qFormat/>
    <w:rPr>
      <w:color w:val="605e5c"/>
      <w:shd w:val="clear" w:color="auto" w:fill="e1dfdd"/>
    </w:rPr>
  </w:style>
  <w:style w:type="character" w:styleId="1074" w:customStyle="1">
    <w:name w:val="font01"/>
    <w:uiPriority w:val="0"/>
    <w:qFormat/>
    <w:rPr>
      <w:rFonts w:ascii="Arial" w:hAnsi="Arial" w:cs="Arial"/>
      <w:color w:val="000000"/>
      <w:sz w:val="20"/>
      <w:szCs w:val="20"/>
      <w:u w:val="none"/>
    </w:rPr>
  </w:style>
  <w:style w:type="paragraph" w:styleId="1075" w:customStyle="1">
    <w:name w:val="正文 A"/>
    <w:uiPriority w:val="0"/>
    <w:qFormat/>
    <w:pPr>
      <w:jc w:val="both"/>
      <w:widowControl w:val="off"/>
      <w:framePr w:wrap="around" w:vAnchor="margin" w:hAnchor="text" w:y="1"/>
    </w:pPr>
    <w:rPr>
      <w:rFonts w:ascii="Times New Roman" w:hAnsi="Times New Roman" w:eastAsia="Arial Unicode MS" w:cs="Arial Unicode MS"/>
      <w:color w:val="000000"/>
      <w:sz w:val="21"/>
      <w:szCs w:val="21"/>
      <w:lang w:val="en-US" w:eastAsia="zh-CN" w:bidi="ar-SA"/>
    </w:rPr>
  </w:style>
  <w:style w:type="character" w:styleId="1076" w:customStyle="1">
    <w:name w:val="NormalCharacter1"/>
    <w:uiPriority w:val="0"/>
    <w:qFormat/>
  </w:style>
  <w:style w:type="paragraph" w:styleId="1077" w:customStyle="1">
    <w:name w:val="Andy_正文"/>
    <w:basedOn w:val="815"/>
    <w:uiPriority w:val="0"/>
    <w:qFormat/>
    <w:pPr>
      <w:ind w:firstLine="480"/>
      <w:jc w:val="both"/>
      <w:spacing w:line="360" w:lineRule="auto"/>
    </w:pPr>
    <w:rPr>
      <w:rFonts w:ascii="Times New Roman" w:cs="Times New Roman"/>
      <w:sz w:val="24"/>
      <w:szCs w:val="24"/>
    </w:rPr>
  </w:style>
  <w:style w:type="character" w:styleId="1078" w:customStyle="1">
    <w:name w:val="font51"/>
    <w:uiPriority w:val="0"/>
    <w:qFormat/>
    <w:rPr>
      <w:rFonts w:hint="eastAsia" w:ascii="宋体" w:hAnsi="宋体" w:eastAsia="宋体" w:cs="宋体"/>
      <w:b/>
      <w:bCs/>
      <w:color w:val="000000"/>
      <w:sz w:val="21"/>
      <w:szCs w:val="21"/>
      <w:u w:val="none"/>
    </w:rPr>
  </w:style>
  <w:style w:type="character" w:styleId="1079" w:customStyle="1">
    <w:name w:val="font71"/>
    <w:uiPriority w:val="0"/>
    <w:qFormat/>
    <w:rPr>
      <w:rFonts w:hint="eastAsia" w:ascii="宋体" w:hAnsi="宋体" w:eastAsia="宋体" w:cs="宋体"/>
      <w:color w:val="000000"/>
      <w:sz w:val="24"/>
      <w:szCs w:val="24"/>
      <w:u w:val="none"/>
    </w:rPr>
  </w:style>
  <w:style w:type="character" w:styleId="1080" w:customStyle="1">
    <w:name w:val="font91"/>
    <w:uiPriority w:val="0"/>
    <w:qFormat/>
    <w:rPr>
      <w:rFonts w:hint="eastAsia" w:ascii="宋体" w:hAnsi="宋体" w:eastAsia="宋体" w:cs="宋体"/>
      <w:color w:val="000000"/>
      <w:sz w:val="21"/>
      <w:szCs w:val="21"/>
      <w:u w:val="none"/>
    </w:rPr>
  </w:style>
  <w:style w:type="character" w:styleId="1081" w:customStyle="1">
    <w:name w:val="font61"/>
    <w:uiPriority w:val="0"/>
    <w:qFormat/>
    <w:rPr>
      <w:rFonts w:hint="eastAsia" w:ascii="宋体" w:hAnsi="宋体" w:eastAsia="宋体" w:cs="宋体"/>
      <w:color w:val="000000"/>
      <w:sz w:val="21"/>
      <w:szCs w:val="21"/>
      <w:u w:val="none"/>
    </w:rPr>
  </w:style>
  <w:style w:type="character" w:styleId="1082" w:customStyle="1">
    <w:name w:val="font81"/>
    <w:uiPriority w:val="0"/>
    <w:qFormat/>
    <w:rPr>
      <w:rFonts w:ascii="Calibri" w:hAnsi="Calibri" w:cs="Calibri"/>
      <w:color w:val="000000"/>
      <w:sz w:val="21"/>
      <w:szCs w:val="21"/>
      <w:u w:val="none"/>
    </w:rPr>
  </w:style>
  <w:style w:type="character" w:styleId="1083" w:customStyle="1">
    <w:name w:val="font101"/>
    <w:uiPriority w:val="0"/>
    <w:qFormat/>
    <w:rPr>
      <w:rFonts w:ascii="Calibri" w:hAnsi="Calibri" w:cs="Calibri"/>
      <w:b/>
      <w:bCs/>
      <w:color w:val="000000"/>
      <w:sz w:val="21"/>
      <w:szCs w:val="21"/>
      <w:u w:val="none"/>
    </w:rPr>
  </w:style>
  <w:style w:type="character" w:styleId="1084" w:customStyle="1">
    <w:name w:val="font111"/>
    <w:uiPriority w:val="0"/>
    <w:qFormat/>
    <w:rPr>
      <w:rFonts w:hint="eastAsia" w:ascii="宋体" w:hAnsi="宋体" w:eastAsia="宋体" w:cs="宋体"/>
      <w:b/>
      <w:bCs/>
      <w:color w:val="000000"/>
      <w:sz w:val="22"/>
      <w:szCs w:val="22"/>
      <w:u w:val="none"/>
    </w:rPr>
  </w:style>
  <w:style w:type="character" w:styleId="1085" w:customStyle="1">
    <w:name w:val="正文缩进 字符1"/>
    <w:uiPriority w:val="0"/>
    <w:qFormat/>
    <w:rPr>
      <w:rFonts w:eastAsia="宋体"/>
      <w:sz w:val="21"/>
      <w:szCs w:val="24"/>
      <w:lang w:val="en-US" w:eastAsia="zh-CN" w:bidi="ar-SA"/>
    </w:rPr>
  </w:style>
  <w:style w:type="paragraph" w:styleId="1086" w:customStyle="1">
    <w:name w:val="首行缩进"/>
    <w:basedOn w:val="815"/>
    <w:uiPriority w:val="0"/>
    <w:qFormat/>
    <w:pPr>
      <w:ind w:firstLine="480"/>
    </w:pPr>
    <w:rPr>
      <w:szCs w:val="20"/>
      <w:lang w:val="zh-CN"/>
    </w:rPr>
  </w:style>
  <w:style w:type="character" w:styleId="1087" w:customStyle="1">
    <w:name w:val="纯文本 字符2"/>
    <w:link w:val="831"/>
    <w:uiPriority w:val="0"/>
    <w:qFormat/>
    <w:rPr>
      <w:rFonts w:ascii="宋体" w:hAnsi="Courier New" w:eastAsia="楷体_GB2312"/>
      <w:sz w:val="26"/>
    </w:rPr>
  </w:style>
  <w:style w:type="paragraph" w:styleId="1088" w:customStyle="1">
    <w:name w:val="+正文"/>
    <w:basedOn w:val="815"/>
    <w:uiPriority w:val="0"/>
    <w:qFormat/>
    <w:pPr>
      <w:ind w:firstLine="200"/>
      <w:spacing w:line="360" w:lineRule="auto"/>
      <w:widowControl/>
    </w:pPr>
    <w:rPr>
      <w:rFonts w:ascii="Times New Roman" w:cs="Times New Roman"/>
      <w:sz w:val="24"/>
      <w:szCs w:val="24"/>
    </w:rPr>
  </w:style>
  <w:style w:type="paragraph" w:styleId="1089" w:customStyle="1">
    <w:name w:val="*正文"/>
    <w:basedOn w:val="815"/>
    <w:uiPriority w:val="0"/>
    <w:qFormat/>
    <w:rPr>
      <w:rFonts w:hAnsi="宋体"/>
      <w:sz w:val="24"/>
      <w:lang w:val="zh-CN"/>
    </w:rPr>
  </w:style>
  <w:style w:type="paragraph" w:styleId="1090" w:customStyle="1">
    <w:name w:val="p17"/>
    <w:basedOn w:val="815"/>
    <w:uiPriority w:val="99"/>
    <w:qFormat/>
    <w:pPr>
      <w:widowControl/>
    </w:pPr>
    <w:rPr>
      <w:rFonts w:hAnsi="宋体"/>
      <w:sz w:val="26"/>
      <w:szCs w:val="26"/>
    </w:rPr>
  </w:style>
  <w:style w:type="paragraph" w:styleId="1091" w:customStyle="1">
    <w:name w:val="列出段落1"/>
    <w:basedOn w:val="815"/>
    <w:uiPriority w:val="0"/>
    <w:qFormat/>
    <w:pPr>
      <w:ind w:firstLine="420"/>
    </w:pPr>
    <w:rPr>
      <w:rFonts w:ascii="Calibri" w:hAnsi="Calibri"/>
    </w:rPr>
  </w:style>
  <w:style w:type="character" w:styleId="1092" w:customStyle="1">
    <w:name w:val="正文缩进 Char"/>
    <w:uiPriority w:val="0"/>
    <w:qFormat/>
    <w:rPr>
      <w:rFonts w:eastAsia="楷体_GB2312"/>
      <w:sz w:val="24"/>
      <w:lang w:bidi="ar-SA"/>
    </w:rPr>
  </w:style>
  <w:style w:type="paragraph" w:styleId="1093" w:customStyle="1">
    <w:name w:val="Char"/>
    <w:basedOn w:val="815"/>
    <w:uiPriority w:val="0"/>
    <w:qFormat/>
    <w:pPr>
      <w:spacing w:after="160" w:line="240" w:lineRule="exact"/>
      <w:widowControl/>
    </w:pPr>
    <w:rPr>
      <w:rFonts w:ascii="Verdana" w:hAnsi="Verdana" w:eastAsia="仿宋_GB2312" w:cs="Times New Roman"/>
      <w:sz w:val="24"/>
      <w:lang w:eastAsia="en-US"/>
    </w:rPr>
  </w:style>
  <w:style w:type="character" w:styleId="1094" w:customStyle="1">
    <w:name w:val="正文缩进 字符3"/>
    <w:uiPriority w:val="0"/>
    <w:qFormat/>
    <w:rPr>
      <w:sz w:val="21"/>
    </w:rPr>
  </w:style>
  <w:style w:type="character" w:styleId="1095" w:customStyle="1">
    <w:name w:val="Plain Text Char Char"/>
    <w:link w:val="1096"/>
    <w:uiPriority w:val="0"/>
    <w:qFormat/>
    <w:rPr>
      <w:rFonts w:ascii="宋体" w:hAnsi="Courier New" w:eastAsia="楷体_GB2312"/>
      <w:sz w:val="26"/>
    </w:rPr>
  </w:style>
  <w:style w:type="paragraph" w:styleId="1096" w:customStyle="1">
    <w:name w:val="纯文本2"/>
    <w:basedOn w:val="815"/>
    <w:link w:val="1095"/>
    <w:uiPriority w:val="0"/>
    <w:qFormat/>
    <w:pPr>
      <w:jc w:val="both"/>
    </w:pPr>
    <w:rPr>
      <w:rFonts w:hAnsi="Courier New" w:eastAsia="楷体_GB2312" w:cs="Times New Roman"/>
      <w:sz w:val="26"/>
      <w:szCs w:val="20"/>
    </w:rPr>
  </w:style>
  <w:style w:type="character" w:styleId="1097" w:customStyle="1">
    <w:name w:val="正文文本 Char"/>
    <w:uiPriority w:val="99"/>
    <w:qFormat/>
    <w:rPr>
      <w:rFonts w:ascii="宋体" w:hAnsi="Times New Roman" w:eastAsia="宋体" w:cs="宋体"/>
      <w:szCs w:val="21"/>
    </w:rPr>
  </w:style>
  <w:style w:type="character" w:styleId="1098" w:customStyle="1">
    <w:name w:val="纯文本 Char"/>
    <w:uiPriority w:val="0"/>
    <w:qFormat/>
    <w:rPr>
      <w:rFonts w:ascii="宋体" w:hAnsi="Courier New" w:eastAsia="楷体_GB2312"/>
      <w:sz w:val="26"/>
    </w:rPr>
  </w:style>
  <w:style w:type="paragraph" w:styleId="1099" w:customStyle="1">
    <w:name w:val="_Style 172"/>
    <w:basedOn w:val="815"/>
    <w:next w:val="907"/>
    <w:uiPriority w:val="0"/>
    <w:qFormat/>
    <w:pPr>
      <w:ind w:firstLine="420"/>
      <w:jc w:val="both"/>
      <w:spacing w:line="360" w:lineRule="auto"/>
    </w:pPr>
    <w:rPr>
      <w:rFonts w:ascii="Calibri" w:hAnsi="Calibri" w:cs="Times New Roman"/>
      <w:sz w:val="24"/>
      <w:szCs w:val="20"/>
    </w:rPr>
  </w:style>
  <w:style w:type="character" w:styleId="1100" w:customStyle="1">
    <w:name w:val="_正文段落 Char"/>
    <w:link w:val="1101"/>
    <w:uiPriority w:val="0"/>
    <w:qFormat/>
    <w:rPr>
      <w:rFonts w:ascii="宋体" w:hAnsi="宋体"/>
      <w:sz w:val="24"/>
      <w:szCs w:val="24"/>
    </w:rPr>
  </w:style>
  <w:style w:type="paragraph" w:styleId="1101" w:customStyle="1">
    <w:name w:val="_正文段落"/>
    <w:basedOn w:val="815"/>
    <w:next w:val="815"/>
    <w:link w:val="1100"/>
    <w:uiPriority w:val="0"/>
    <w:qFormat/>
    <w:pPr>
      <w:ind w:firstLine="200"/>
      <w:jc w:val="both"/>
      <w:spacing w:line="360" w:lineRule="auto"/>
    </w:pPr>
    <w:rPr>
      <w:rFonts w:hAnsi="宋体" w:cs="Times New Roman"/>
      <w:sz w:val="24"/>
      <w:szCs w:val="24"/>
    </w:rPr>
  </w:style>
  <w:style w:type="table" w:styleId="1102" w:customStyle="1">
    <w:name w:val="Table Normal"/>
    <w:uiPriority w:val="0"/>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character" w:styleId="1103" w:customStyle="1">
    <w:name w:val="批注框文本 字符"/>
    <w:basedOn w:val="825"/>
    <w:link w:val="842"/>
    <w:uiPriority w:val="99"/>
    <w:semiHidden/>
    <w:qFormat/>
    <w:rPr>
      <w:rFonts w:ascii="宋体" w:cs="宋体"/>
      <w:sz w:val="18"/>
      <w:szCs w:val="18"/>
    </w:rPr>
  </w:style>
  <w:style w:type="character" w:styleId="1104" w:customStyle="1">
    <w:name w:val="正文首行缩进 2 字符"/>
    <w:basedOn w:val="1035"/>
    <w:link w:val="857"/>
    <w:uiPriority w:val="99"/>
    <w:semiHidden/>
    <w:qFormat/>
    <w:rPr>
      <w:rFonts w:ascii="宋体" w:hAnsi="Times New Roman" w:eastAsia="宋体" w:cs="宋体"/>
      <w:sz w:val="22"/>
      <w:szCs w:val="22"/>
    </w:rPr>
  </w:style>
  <w:style w:type="character" w:styleId="1105" w:customStyle="1">
    <w:name w:val="纯文本 Char Char"/>
    <w:link w:val="1106"/>
    <w:uiPriority w:val="0"/>
    <w:qFormat/>
    <w:rPr>
      <w:rFonts w:ascii="宋体" w:hAnsi="Courier New" w:eastAsia="楷体_GB2312"/>
      <w:sz w:val="26"/>
      <w:szCs w:val="24"/>
    </w:rPr>
  </w:style>
  <w:style w:type="paragraph" w:styleId="1106" w:customStyle="1">
    <w:name w:val="纯文本11"/>
    <w:basedOn w:val="815"/>
    <w:next w:val="1107"/>
    <w:link w:val="1105"/>
    <w:uiPriority w:val="0"/>
    <w:qFormat/>
    <w:pPr>
      <w:widowControl/>
    </w:pPr>
    <w:rPr>
      <w:rFonts w:hAnsi="Courier New" w:eastAsia="楷体_GB2312" w:cs="Times New Roman"/>
      <w:sz w:val="26"/>
      <w:szCs w:val="24"/>
    </w:rPr>
  </w:style>
  <w:style w:type="paragraph" w:styleId="1107" w:customStyle="1">
    <w:name w:val="页眉1"/>
    <w:basedOn w:val="815"/>
    <w:next w:val="815"/>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character" w:styleId="1108">
    <w:name w:val="Placeholder Text"/>
    <w:basedOn w:val="825"/>
    <w:uiPriority w:val="99"/>
    <w:semiHidden/>
    <w:qFormat/>
    <w:rPr>
      <w:color w:val="808080"/>
    </w:rPr>
  </w:style>
  <w:style w:type="character" w:styleId="1109" w:customStyle="1">
    <w:name w:val="Table Text Char1"/>
    <w:link w:val="1110"/>
    <w:uiPriority w:val="0"/>
    <w:qFormat/>
    <w:rPr>
      <w:rFonts w:ascii="Arial" w:hAnsi="Arial" w:eastAsia="Times New Roman" w:cs="Arial"/>
      <w:sz w:val="18"/>
      <w:szCs w:val="18"/>
    </w:rPr>
  </w:style>
  <w:style w:type="paragraph" w:styleId="1110" w:customStyle="1">
    <w:name w:val="Table Text"/>
    <w:link w:val="1109"/>
    <w:uiPriority w:val="0"/>
    <w:qFormat/>
    <w:pPr>
      <w:spacing w:before="80" w:after="80"/>
    </w:pPr>
    <w:rPr>
      <w:rFonts w:ascii="Arial" w:hAnsi="Arial" w:eastAsia="Times New Roman" w:cs="Arial"/>
      <w:sz w:val="18"/>
      <w:szCs w:val="18"/>
      <w:lang w:val="en-US" w:eastAsia="zh-CN" w:bidi="ar-SA"/>
    </w:rPr>
  </w:style>
  <w:style w:type="paragraph" w:styleId="1111" w:customStyle="1">
    <w:name w:val="文档结构图1"/>
    <w:basedOn w:val="815"/>
    <w:next w:val="1106"/>
    <w:uiPriority w:val="0"/>
    <w:qFormat/>
    <w:pPr>
      <w:widowControl/>
      <w:framePr w:wrap="around" w:vAnchor="margin" w:hAnchor="text" w:y="1"/>
    </w:pPr>
    <w:rPr>
      <w:rFonts w:eastAsia="Arial Unicode MS" w:cs="Times New Roman"/>
      <w:sz w:val="18"/>
      <w:szCs w:val="18"/>
      <w:lang w:eastAsia="en-US"/>
    </w:rPr>
  </w:style>
  <w:style w:type="paragraph" w:styleId="1112" w:customStyle="1">
    <w:name w:val="正文文本缩进1"/>
    <w:basedOn w:val="815"/>
    <w:next w:val="1113"/>
    <w:uiPriority w:val="99"/>
    <w:unhideWhenUsed/>
    <w:qFormat/>
    <w:pPr>
      <w:ind w:left="420"/>
      <w:spacing w:after="120"/>
    </w:pPr>
    <w:rPr>
      <w:rFonts w:cs="Times New Roman"/>
      <w:szCs w:val="20"/>
    </w:rPr>
  </w:style>
  <w:style w:type="paragraph" w:styleId="1113" w:customStyle="1">
    <w:name w:val="寄信人地址1"/>
    <w:basedOn w:val="815"/>
    <w:uiPriority w:val="0"/>
    <w:qFormat/>
    <w:rPr>
      <w:sz w:val="26"/>
    </w:rPr>
  </w:style>
  <w:style w:type="paragraph" w:styleId="1114" w:customStyle="1">
    <w:name w:val="_正文"/>
    <w:basedOn w:val="815"/>
    <w:uiPriority w:val="0"/>
    <w:qFormat/>
    <w:pPr>
      <w:ind w:firstLine="200"/>
      <w:spacing w:beforeAutospacing="0" w:afterAutospacing="0" w:line="360" w:lineRule="auto"/>
    </w:pPr>
    <w:rPr>
      <w:sz w:val="24"/>
      <w:szCs w:val="24"/>
    </w:rPr>
  </w:style>
  <w:style w:type="paragraph" w:styleId="1115" w:customStyle="1">
    <w:name w:val="Plain Text"/>
    <w:basedOn w:val="815"/>
    <w:uiPriority w:val="0"/>
    <w:qFormat/>
    <w:rPr>
      <w:rFonts w:hAnsi="Courier New" w:eastAsia="楷体_GB2312"/>
      <w:sz w:val="26"/>
      <w:szCs w:val="20"/>
    </w:rPr>
  </w:style>
  <w:style w:type="numbering" w:styleId="11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陈雪娇</cp:lastModifiedBy>
  <cp:revision>153</cp:revision>
  <dcterms:created xsi:type="dcterms:W3CDTF">2024-08-07T02:37:00Z</dcterms:created>
  <dcterms:modified xsi:type="dcterms:W3CDTF">2025-05-06T09:12:09Z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B0B3000D72DF49F9A01B9FD9132E918C_13</vt:lpwstr>
  </property>
  <property fmtid="{D5CDD505-2E9C-101B-9397-08002B2CF9AE}" pid="4" name="KSOTemplateDocerSaveRecord">
    <vt:lpwstr>eyJoZGlkIjoiNmRjNDI1ZTVmNGE2MWE4ZGYzNjIxYWMwMDNmYmM1ZDgiLCJ1c2VySWQiOiI0NDI4MzcyMTYifQ==</vt:lpwstr>
  </property>
</Properties>
</file>