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E42FC73">
      <w:pPr>
        <w:spacing w:before="120" w:after="120" w:line="360" w:lineRule="auto"/>
        <w:ind w:firstLine="1687"/>
        <w:jc w:val="left"/>
        <w:rPr>
          <w:rFonts w:ascii="Arial" w:hAnsi="Arial" w:eastAsia="黑体"/>
          <w:b/>
          <w:bCs/>
          <w:color w:val="000000" w:themeColor="text1"/>
          <w:sz w:val="84"/>
          <w:szCs w:val="24"/>
          <w:highlight w:val="none"/>
          <w14:textFill>
            <w14:solidFill>
              <w14:schemeClr w14:val="tx1"/>
            </w14:solidFill>
          </w14:textFill>
        </w:rPr>
      </w:pPr>
    </w:p>
    <w:p w14:paraId="70E0E55A">
      <w:pPr>
        <w:spacing w:before="120" w:after="120" w:line="360" w:lineRule="auto"/>
        <w:ind w:firstLine="1687"/>
        <w:jc w:val="center"/>
        <w:rPr>
          <w:rFonts w:ascii="Arial" w:hAnsi="Arial" w:eastAsia="黑体"/>
          <w:b/>
          <w:bCs/>
          <w:color w:val="000000" w:themeColor="text1"/>
          <w:sz w:val="84"/>
          <w:szCs w:val="24"/>
          <w:highlight w:val="none"/>
          <w14:textFill>
            <w14:solidFill>
              <w14:schemeClr w14:val="tx1"/>
            </w14:solidFill>
          </w14:textFill>
        </w:rPr>
      </w:pPr>
      <w:r>
        <w:rPr>
          <w:rFonts w:hint="eastAsia" w:ascii="Arial" w:hAnsi="Arial" w:eastAsia="黑体"/>
          <w:b/>
          <w:bCs/>
          <w:color w:val="000000" w:themeColor="text1"/>
          <w:sz w:val="84"/>
          <w:szCs w:val="24"/>
          <w:highlight w:val="none"/>
          <w14:textFill>
            <w14:solidFill>
              <w14:schemeClr w14:val="tx1"/>
            </w14:solidFill>
          </w14:textFill>
        </w:rPr>
        <w:t>招　标　文　件</w:t>
      </w:r>
    </w:p>
    <w:p w14:paraId="568352A9">
      <w:pPr>
        <w:spacing w:before="120" w:after="120" w:line="360" w:lineRule="auto"/>
        <w:ind w:firstLine="643"/>
        <w:jc w:val="left"/>
        <w:rPr>
          <w:rFonts w:ascii="Arial" w:hAnsi="Arial"/>
          <w:b/>
          <w:bCs/>
          <w:color w:val="000000" w:themeColor="text1"/>
          <w:sz w:val="32"/>
          <w:szCs w:val="24"/>
          <w:highlight w:val="none"/>
          <w14:textFill>
            <w14:solidFill>
              <w14:schemeClr w14:val="tx1"/>
            </w14:solidFill>
          </w14:textFill>
        </w:rPr>
      </w:pPr>
    </w:p>
    <w:p w14:paraId="36797A4D">
      <w:pPr>
        <w:spacing w:before="120" w:after="120" w:line="360" w:lineRule="auto"/>
        <w:ind w:firstLine="643"/>
        <w:jc w:val="left"/>
        <w:rPr>
          <w:rFonts w:ascii="Arial" w:hAnsi="Arial"/>
          <w:b/>
          <w:bCs/>
          <w:color w:val="000000" w:themeColor="text1"/>
          <w:sz w:val="32"/>
          <w:szCs w:val="24"/>
          <w:highlight w:val="none"/>
          <w14:textFill>
            <w14:solidFill>
              <w14:schemeClr w14:val="tx1"/>
            </w14:solidFill>
          </w14:textFill>
        </w:rPr>
      </w:pPr>
    </w:p>
    <w:p w14:paraId="75801609">
      <w:pPr>
        <w:spacing w:before="120" w:after="120" w:line="360" w:lineRule="auto"/>
        <w:ind w:firstLine="643"/>
        <w:jc w:val="left"/>
        <w:rPr>
          <w:rFonts w:ascii="Arial" w:hAnsi="Arial"/>
          <w:b/>
          <w:bCs/>
          <w:color w:val="000000" w:themeColor="text1"/>
          <w:sz w:val="32"/>
          <w:szCs w:val="24"/>
          <w:highlight w:val="none"/>
          <w14:textFill>
            <w14:solidFill>
              <w14:schemeClr w14:val="tx1"/>
            </w14:solidFill>
          </w14:textFill>
        </w:rPr>
      </w:pPr>
    </w:p>
    <w:p w14:paraId="4650AA12">
      <w:pPr>
        <w:spacing w:line="600" w:lineRule="exact"/>
        <w:ind w:firstLine="361"/>
        <w:jc w:val="left"/>
        <w:rPr>
          <w:rFonts w:hint="eastAsia" w:asciiTheme="minorEastAsia" w:hAnsiTheme="minorEastAsia" w:eastAsiaTheme="minorEastAsia"/>
          <w:b/>
          <w:bCs/>
          <w:color w:val="000000" w:themeColor="text1"/>
          <w:sz w:val="36"/>
          <w:szCs w:val="24"/>
          <w:highlight w:val="none"/>
          <w:lang w:eastAsia="zh-CN"/>
          <w14:textFill>
            <w14:solidFill>
              <w14:schemeClr w14:val="tx1"/>
            </w14:solidFill>
          </w14:textFill>
        </w:rPr>
      </w:pPr>
      <w:r>
        <w:rPr>
          <w:rFonts w:hint="eastAsia" w:asciiTheme="minorEastAsia" w:hAnsiTheme="minorEastAsia" w:eastAsiaTheme="minorEastAsia"/>
          <w:b/>
          <w:bCs/>
          <w:color w:val="000000" w:themeColor="text1"/>
          <w:sz w:val="36"/>
          <w:szCs w:val="24"/>
          <w:highlight w:val="none"/>
          <w14:textFill>
            <w14:solidFill>
              <w14:schemeClr w14:val="tx1"/>
            </w14:solidFill>
          </w14:textFill>
        </w:rPr>
        <w:t>项目编号：</w:t>
      </w:r>
      <w:r>
        <w:rPr>
          <w:rFonts w:hint="eastAsia" w:asciiTheme="minorEastAsia" w:hAnsiTheme="minorEastAsia" w:eastAsiaTheme="minorEastAsia"/>
          <w:b/>
          <w:bCs/>
          <w:color w:val="000000" w:themeColor="text1"/>
          <w:sz w:val="36"/>
          <w:szCs w:val="24"/>
          <w:highlight w:val="none"/>
          <w:lang w:eastAsia="zh-CN"/>
          <w14:textFill>
            <w14:solidFill>
              <w14:schemeClr w14:val="tx1"/>
            </w14:solidFill>
          </w14:textFill>
        </w:rPr>
        <w:t>JSZC-320581-SZXY-G2025-0002</w:t>
      </w:r>
    </w:p>
    <w:p w14:paraId="3007C596">
      <w:pPr>
        <w:spacing w:line="600" w:lineRule="exact"/>
        <w:ind w:firstLine="361"/>
        <w:rPr>
          <w:rFonts w:hint="eastAsia" w:asciiTheme="minorEastAsia" w:hAnsiTheme="minorEastAsia" w:eastAsiaTheme="minorEastAsia"/>
          <w:b/>
          <w:bCs/>
          <w:color w:val="000000" w:themeColor="text1"/>
          <w:sz w:val="36"/>
          <w:szCs w:val="24"/>
          <w:highlight w:val="none"/>
          <w:lang w:eastAsia="zh-CN"/>
          <w14:textFill>
            <w14:solidFill>
              <w14:schemeClr w14:val="tx1"/>
            </w14:solidFill>
          </w14:textFill>
        </w:rPr>
      </w:pPr>
      <w:r>
        <w:rPr>
          <w:rFonts w:hint="eastAsia" w:asciiTheme="minorEastAsia" w:hAnsiTheme="minorEastAsia" w:eastAsiaTheme="minorEastAsia"/>
          <w:b/>
          <w:bCs/>
          <w:color w:val="000000" w:themeColor="text1"/>
          <w:sz w:val="36"/>
          <w:szCs w:val="24"/>
          <w:highlight w:val="none"/>
          <w14:textFill>
            <w14:solidFill>
              <w14:schemeClr w14:val="tx1"/>
            </w14:solidFill>
          </w14:textFill>
        </w:rPr>
        <w:t>项目名称：</w:t>
      </w:r>
      <w:r>
        <w:rPr>
          <w:rFonts w:hint="eastAsia" w:asciiTheme="minorEastAsia" w:hAnsiTheme="minorEastAsia" w:eastAsiaTheme="minorEastAsia"/>
          <w:b/>
          <w:bCs/>
          <w:color w:val="000000" w:themeColor="text1"/>
          <w:sz w:val="36"/>
          <w:szCs w:val="24"/>
          <w:highlight w:val="none"/>
          <w:lang w:eastAsia="zh-CN"/>
          <w14:textFill>
            <w14:solidFill>
              <w14:schemeClr w14:val="tx1"/>
            </w14:solidFill>
          </w14:textFill>
        </w:rPr>
        <w:t>琴川街道2025年度雨污水管网设施养护</w:t>
      </w:r>
    </w:p>
    <w:p w14:paraId="3A74BA34">
      <w:pPr>
        <w:spacing w:line="600" w:lineRule="exact"/>
        <w:ind w:firstLine="361"/>
        <w:jc w:val="left"/>
        <w:rPr>
          <w:rFonts w:asciiTheme="minorEastAsia" w:hAnsiTheme="minorEastAsia" w:eastAsiaTheme="minorEastAsia"/>
          <w:b/>
          <w:bCs/>
          <w:color w:val="000000" w:themeColor="text1"/>
          <w:sz w:val="36"/>
          <w:szCs w:val="24"/>
          <w:highlight w:val="none"/>
          <w14:textFill>
            <w14:solidFill>
              <w14:schemeClr w14:val="tx1"/>
            </w14:solidFill>
          </w14:textFill>
        </w:rPr>
      </w:pPr>
      <w:r>
        <w:rPr>
          <w:rFonts w:hint="eastAsia" w:asciiTheme="minorEastAsia" w:hAnsiTheme="minorEastAsia" w:eastAsiaTheme="minorEastAsia"/>
          <w:b/>
          <w:bCs/>
          <w:color w:val="000000" w:themeColor="text1"/>
          <w:sz w:val="36"/>
          <w:szCs w:val="24"/>
          <w:highlight w:val="none"/>
          <w14:textFill>
            <w14:solidFill>
              <w14:schemeClr w14:val="tx1"/>
            </w14:solidFill>
          </w14:textFill>
        </w:rPr>
        <w:t>项目属性：服务类项目</w:t>
      </w:r>
    </w:p>
    <w:p w14:paraId="51F0712C">
      <w:pPr>
        <w:ind w:left="2100" w:firstLine="480"/>
        <w:rPr>
          <w:rFonts w:ascii="Times New Roman" w:hAnsi="Times New Roman"/>
          <w:b/>
          <w:color w:val="000000" w:themeColor="text1"/>
          <w:sz w:val="30"/>
          <w:szCs w:val="30"/>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           </w:t>
      </w:r>
      <w:r>
        <w:rPr>
          <w:rFonts w:hint="eastAsia" w:ascii="Times New Roman" w:hAnsi="Times New Roman"/>
          <w:b/>
          <w:color w:val="000000" w:themeColor="text1"/>
          <w:sz w:val="30"/>
          <w:szCs w:val="30"/>
          <w:highlight w:val="none"/>
          <w14:textFill>
            <w14:solidFill>
              <w14:schemeClr w14:val="tx1"/>
            </w14:solidFill>
          </w14:textFill>
        </w:rPr>
        <w:t xml:space="preserve">    </w:t>
      </w:r>
    </w:p>
    <w:p w14:paraId="63B4DAD0">
      <w:pPr>
        <w:spacing w:line="360" w:lineRule="auto"/>
        <w:jc w:val="left"/>
        <w:rPr>
          <w:rFonts w:ascii="宋体" w:hAnsi="宋体"/>
          <w:color w:val="000000" w:themeColor="text1"/>
          <w:sz w:val="24"/>
          <w:szCs w:val="24"/>
          <w:highlight w:val="none"/>
          <w14:textFill>
            <w14:solidFill>
              <w14:schemeClr w14:val="tx1"/>
            </w14:solidFill>
          </w14:textFill>
        </w:rPr>
      </w:pPr>
    </w:p>
    <w:p w14:paraId="33AB7391">
      <w:pPr>
        <w:spacing w:line="360" w:lineRule="auto"/>
        <w:jc w:val="left"/>
        <w:rPr>
          <w:rFonts w:ascii="宋体" w:hAnsi="宋体"/>
          <w:color w:val="000000" w:themeColor="text1"/>
          <w:sz w:val="24"/>
          <w:szCs w:val="24"/>
          <w:highlight w:val="none"/>
          <w14:textFill>
            <w14:solidFill>
              <w14:schemeClr w14:val="tx1"/>
            </w14:solidFill>
          </w14:textFill>
        </w:rPr>
      </w:pPr>
    </w:p>
    <w:p w14:paraId="777201E4">
      <w:pPr>
        <w:spacing w:line="360" w:lineRule="auto"/>
        <w:jc w:val="left"/>
        <w:rPr>
          <w:rFonts w:ascii="宋体" w:hAnsi="宋体"/>
          <w:color w:val="000000" w:themeColor="text1"/>
          <w:sz w:val="24"/>
          <w:szCs w:val="24"/>
          <w:highlight w:val="none"/>
          <w14:textFill>
            <w14:solidFill>
              <w14:schemeClr w14:val="tx1"/>
            </w14:solidFill>
          </w14:textFill>
        </w:rPr>
      </w:pPr>
    </w:p>
    <w:p w14:paraId="56C7D343">
      <w:pPr>
        <w:spacing w:line="360" w:lineRule="auto"/>
        <w:jc w:val="left"/>
        <w:rPr>
          <w:rFonts w:ascii="宋体" w:hAnsi="宋体"/>
          <w:color w:val="000000" w:themeColor="text1"/>
          <w:sz w:val="24"/>
          <w:szCs w:val="24"/>
          <w:highlight w:val="none"/>
          <w14:textFill>
            <w14:solidFill>
              <w14:schemeClr w14:val="tx1"/>
            </w14:solidFill>
          </w14:textFill>
        </w:rPr>
      </w:pPr>
    </w:p>
    <w:p w14:paraId="4F36E0D9">
      <w:pPr>
        <w:spacing w:line="360" w:lineRule="auto"/>
        <w:jc w:val="left"/>
        <w:rPr>
          <w:rFonts w:ascii="宋体" w:hAnsi="宋体"/>
          <w:color w:val="000000" w:themeColor="text1"/>
          <w:sz w:val="24"/>
          <w:szCs w:val="24"/>
          <w:highlight w:val="none"/>
          <w14:textFill>
            <w14:solidFill>
              <w14:schemeClr w14:val="tx1"/>
            </w14:solidFill>
          </w14:textFill>
        </w:rPr>
      </w:pPr>
    </w:p>
    <w:p w14:paraId="1C47EA19">
      <w:pPr>
        <w:spacing w:line="360" w:lineRule="auto"/>
        <w:jc w:val="left"/>
        <w:rPr>
          <w:rFonts w:ascii="宋体" w:hAnsi="宋体"/>
          <w:color w:val="000000" w:themeColor="text1"/>
          <w:sz w:val="24"/>
          <w:szCs w:val="24"/>
          <w:highlight w:val="none"/>
          <w14:textFill>
            <w14:solidFill>
              <w14:schemeClr w14:val="tx1"/>
            </w14:solidFill>
          </w14:textFill>
        </w:rPr>
      </w:pPr>
    </w:p>
    <w:p w14:paraId="0E8667B0">
      <w:pPr>
        <w:pStyle w:val="14"/>
        <w:rPr>
          <w:rFonts w:ascii="宋体" w:hAnsi="宋体"/>
          <w:color w:val="000000" w:themeColor="text1"/>
          <w:sz w:val="24"/>
          <w:szCs w:val="24"/>
          <w:highlight w:val="none"/>
          <w14:textFill>
            <w14:solidFill>
              <w14:schemeClr w14:val="tx1"/>
            </w14:solidFill>
          </w14:textFill>
        </w:rPr>
      </w:pPr>
    </w:p>
    <w:p w14:paraId="7A86C97F">
      <w:pPr>
        <w:rPr>
          <w:color w:val="000000" w:themeColor="text1"/>
          <w:highlight w:val="none"/>
          <w14:textFill>
            <w14:solidFill>
              <w14:schemeClr w14:val="tx1"/>
            </w14:solidFill>
          </w14:textFill>
        </w:rPr>
      </w:pPr>
    </w:p>
    <w:p w14:paraId="3C5B12C9">
      <w:pPr>
        <w:spacing w:line="360" w:lineRule="auto"/>
        <w:jc w:val="left"/>
        <w:rPr>
          <w:rFonts w:ascii="宋体" w:hAnsi="宋体"/>
          <w:color w:val="000000" w:themeColor="text1"/>
          <w:sz w:val="24"/>
          <w:szCs w:val="24"/>
          <w:highlight w:val="none"/>
          <w14:textFill>
            <w14:solidFill>
              <w14:schemeClr w14:val="tx1"/>
            </w14:solidFill>
          </w14:textFill>
        </w:rPr>
      </w:pPr>
    </w:p>
    <w:p w14:paraId="27285B99">
      <w:pPr>
        <w:rPr>
          <w:color w:val="000000" w:themeColor="text1"/>
          <w:highlight w:val="none"/>
          <w14:textFill>
            <w14:solidFill>
              <w14:schemeClr w14:val="tx1"/>
            </w14:solidFill>
          </w14:textFill>
        </w:rPr>
      </w:pPr>
    </w:p>
    <w:p w14:paraId="52989C79">
      <w:pPr>
        <w:spacing w:before="120" w:after="120" w:line="360" w:lineRule="auto"/>
        <w:jc w:val="center"/>
        <w:rPr>
          <w:rFonts w:ascii="宋体" w:hAnsi="宋体"/>
          <w:b/>
          <w:bCs/>
          <w:color w:val="000000" w:themeColor="text1"/>
          <w:sz w:val="40"/>
          <w:szCs w:val="28"/>
          <w:highlight w:val="none"/>
          <w14:textFill>
            <w14:solidFill>
              <w14:schemeClr w14:val="tx1"/>
            </w14:solidFill>
          </w14:textFill>
        </w:rPr>
      </w:pPr>
      <w:r>
        <w:rPr>
          <w:rFonts w:hint="eastAsia" w:ascii="宋体" w:hAnsi="宋体"/>
          <w:b/>
          <w:bCs/>
          <w:color w:val="000000" w:themeColor="text1"/>
          <w:sz w:val="40"/>
          <w:szCs w:val="28"/>
          <w:highlight w:val="none"/>
          <w14:textFill>
            <w14:solidFill>
              <w14:schemeClr w14:val="tx1"/>
            </w14:solidFill>
          </w14:textFill>
        </w:rPr>
        <w:t>苏州新一造价师价格事务所有限公司</w:t>
      </w:r>
    </w:p>
    <w:p w14:paraId="1FA24C78">
      <w:pPr>
        <w:spacing w:before="120" w:after="120" w:line="360" w:lineRule="auto"/>
        <w:jc w:val="center"/>
        <w:rPr>
          <w:rFonts w:hint="default" w:ascii="宋体" w:hAnsi="宋体"/>
          <w:color w:val="000000" w:themeColor="text1"/>
          <w:sz w:val="32"/>
          <w:szCs w:val="28"/>
          <w:highlight w:val="none"/>
          <w:lang w:val="en-US"/>
          <w14:textFill>
            <w14:solidFill>
              <w14:schemeClr w14:val="tx1"/>
            </w14:solidFill>
          </w14:textFill>
        </w:rPr>
      </w:pPr>
      <w:r>
        <w:rPr>
          <w:rFonts w:ascii="宋体" w:hAnsi="宋体"/>
          <w:b/>
          <w:bCs/>
          <w:color w:val="000000" w:themeColor="text1"/>
          <w:sz w:val="40"/>
          <w:szCs w:val="28"/>
          <w:highlight w:val="none"/>
          <w14:textFill>
            <w14:solidFill>
              <w14:schemeClr w14:val="tx1"/>
            </w14:solidFill>
          </w14:textFill>
        </w:rPr>
        <w:t>202</w:t>
      </w:r>
      <w:r>
        <w:rPr>
          <w:rFonts w:hint="eastAsia" w:ascii="宋体" w:hAnsi="宋体"/>
          <w:b/>
          <w:bCs/>
          <w:color w:val="000000" w:themeColor="text1"/>
          <w:sz w:val="40"/>
          <w:szCs w:val="28"/>
          <w:highlight w:val="none"/>
          <w:lang w:val="en-US" w:eastAsia="zh-CN"/>
          <w14:textFill>
            <w14:solidFill>
              <w14:schemeClr w14:val="tx1"/>
            </w14:solidFill>
          </w14:textFill>
        </w:rPr>
        <w:t>5</w:t>
      </w:r>
      <w:r>
        <w:rPr>
          <w:rFonts w:hint="eastAsia" w:ascii="宋体" w:hAnsi="宋体"/>
          <w:b/>
          <w:bCs/>
          <w:color w:val="000000" w:themeColor="text1"/>
          <w:sz w:val="40"/>
          <w:szCs w:val="28"/>
          <w:highlight w:val="none"/>
          <w14:textFill>
            <w14:solidFill>
              <w14:schemeClr w14:val="tx1"/>
            </w14:solidFill>
          </w14:textFill>
        </w:rPr>
        <w:t>年</w:t>
      </w:r>
      <w:r>
        <w:rPr>
          <w:rFonts w:hint="eastAsia" w:ascii="宋体" w:hAnsi="宋体"/>
          <w:b/>
          <w:bCs/>
          <w:color w:val="000000" w:themeColor="text1"/>
          <w:sz w:val="40"/>
          <w:szCs w:val="28"/>
          <w:highlight w:val="none"/>
          <w:lang w:val="en-US" w:eastAsia="zh-CN"/>
          <w14:textFill>
            <w14:solidFill>
              <w14:schemeClr w14:val="tx1"/>
            </w14:solidFill>
          </w14:textFill>
        </w:rPr>
        <w:t>2</w:t>
      </w:r>
      <w:r>
        <w:rPr>
          <w:rFonts w:hint="eastAsia" w:ascii="宋体" w:hAnsi="宋体"/>
          <w:b/>
          <w:bCs/>
          <w:color w:val="000000" w:themeColor="text1"/>
          <w:sz w:val="40"/>
          <w:szCs w:val="28"/>
          <w:highlight w:val="none"/>
          <w14:textFill>
            <w14:solidFill>
              <w14:schemeClr w14:val="tx1"/>
            </w14:solidFill>
          </w14:textFill>
        </w:rPr>
        <w:t>月</w:t>
      </w:r>
      <w:r>
        <w:rPr>
          <w:rFonts w:hint="eastAsia" w:ascii="宋体" w:hAnsi="宋体"/>
          <w:b/>
          <w:bCs/>
          <w:color w:val="000000" w:themeColor="text1"/>
          <w:sz w:val="40"/>
          <w:szCs w:val="28"/>
          <w:highlight w:val="none"/>
          <w:lang w:val="en-US" w:eastAsia="zh-CN"/>
          <w14:textFill>
            <w14:solidFill>
              <w14:schemeClr w14:val="tx1"/>
            </w14:solidFill>
          </w14:textFill>
        </w:rPr>
        <w:t>6日</w:t>
      </w:r>
    </w:p>
    <w:p w14:paraId="51D7555E">
      <w:pPr>
        <w:pStyle w:val="396"/>
        <w:ind w:firstLine="640"/>
        <w:jc w:val="center"/>
        <w:rPr>
          <w:b/>
          <w:bCs/>
          <w:color w:val="000000" w:themeColor="text1"/>
          <w:highlight w:val="none"/>
          <w14:textFill>
            <w14:solidFill>
              <w14:schemeClr w14:val="tx1"/>
            </w14:solidFill>
          </w14:textFill>
        </w:rPr>
      </w:pPr>
      <w:r>
        <w:rPr>
          <w:rFonts w:ascii="Times New Roman" w:hAnsi="Times New Roman"/>
          <w:color w:val="000000" w:themeColor="text1"/>
          <w:szCs w:val="21"/>
          <w:highlight w:val="none"/>
          <w14:textFill>
            <w14:solidFill>
              <w14:schemeClr w14:val="tx1"/>
            </w14:solidFill>
          </w14:textFill>
        </w:rPr>
        <w:br w:type="page" w:clear="all"/>
      </w:r>
      <w:bookmarkStart w:id="0" w:name="_Toc120614210"/>
      <w:bookmarkStart w:id="1" w:name="_Toc479757206"/>
      <w:bookmarkStart w:id="2" w:name="_Toc523127445"/>
      <w:bookmarkStart w:id="3" w:name="_Toc16938516"/>
      <w:bookmarkStart w:id="4" w:name="_Toc513029200"/>
      <w:bookmarkStart w:id="5" w:name="_Toc20823272"/>
      <w:r>
        <w:rPr>
          <w:b/>
          <w:bCs/>
          <w:color w:val="000000" w:themeColor="text1"/>
          <w:highlight w:val="none"/>
          <w:lang w:val="zh-CN"/>
          <w14:textFill>
            <w14:solidFill>
              <w14:schemeClr w14:val="tx1"/>
            </w14:solidFill>
          </w14:textFill>
        </w:rPr>
        <w:t>目录</w:t>
      </w:r>
    </w:p>
    <w:p w14:paraId="17549430">
      <w:pPr>
        <w:pStyle w:val="27"/>
        <w:tabs>
          <w:tab w:val="right" w:leader="dot" w:pos="10466"/>
        </w:tabs>
      </w:pPr>
      <w:r>
        <w:rPr>
          <w:rFonts w:ascii="Times New Roman" w:hAnsi="Times New Roman"/>
          <w:color w:val="000000" w:themeColor="text1"/>
          <w:highlight w:val="none"/>
          <w14:textFill>
            <w14:solidFill>
              <w14:schemeClr w14:val="tx1"/>
            </w14:solidFill>
          </w14:textFill>
        </w:rPr>
        <w:fldChar w:fldCharType="begin"/>
      </w:r>
      <w:r>
        <w:rPr>
          <w:rFonts w:ascii="Times New Roman" w:hAnsi="Times New Roman"/>
          <w:color w:val="000000" w:themeColor="text1"/>
          <w:highlight w:val="none"/>
          <w14:textFill>
            <w14:solidFill>
              <w14:schemeClr w14:val="tx1"/>
            </w14:solidFill>
          </w14:textFill>
        </w:rPr>
        <w:instrText xml:space="preserve"> TOC \o "1-3" \h \z \u </w:instrText>
      </w:r>
      <w:r>
        <w:rPr>
          <w:rFonts w:ascii="Times New Roman" w:hAnsi="Times New Roman"/>
          <w:color w:val="000000" w:themeColor="text1"/>
          <w:highlight w:val="none"/>
          <w14:textFill>
            <w14:solidFill>
              <w14:schemeClr w14:val="tx1"/>
            </w14:solidFill>
          </w14:textFill>
        </w:rPr>
        <w:fldChar w:fldCharType="separate"/>
      </w:r>
      <w:r>
        <w:rPr>
          <w:rFonts w:ascii="Times New Roman" w:hAnsi="Times New Roman"/>
          <w:color w:val="000000" w:themeColor="text1"/>
          <w:highlight w:val="none"/>
          <w14:textFill>
            <w14:solidFill>
              <w14:schemeClr w14:val="tx1"/>
            </w14:solidFill>
          </w14:textFill>
        </w:rPr>
        <w:fldChar w:fldCharType="begin"/>
      </w:r>
      <w:r>
        <w:rPr>
          <w:rFonts w:ascii="Times New Roman" w:hAnsi="Times New Roman"/>
          <w:highlight w:val="none"/>
        </w:rPr>
        <w:instrText xml:space="preserve"> HYPERLINK \l _Toc18999 </w:instrText>
      </w:r>
      <w:r>
        <w:rPr>
          <w:rFonts w:ascii="Times New Roman" w:hAnsi="Times New Roman"/>
          <w:highlight w:val="none"/>
        </w:rPr>
        <w:fldChar w:fldCharType="separate"/>
      </w:r>
      <w:r>
        <w:rPr>
          <w:rFonts w:hint="eastAsia" w:ascii="黑体" w:hAnsi="Times New Roman" w:eastAsia="黑体"/>
          <w:szCs w:val="44"/>
          <w:highlight w:val="none"/>
        </w:rPr>
        <w:t>第一章  投标邀请</w:t>
      </w:r>
      <w:r>
        <w:tab/>
      </w:r>
      <w:r>
        <w:fldChar w:fldCharType="begin"/>
      </w:r>
      <w:r>
        <w:instrText xml:space="preserve"> PAGEREF _Toc18999 \h </w:instrText>
      </w:r>
      <w:r>
        <w:fldChar w:fldCharType="separate"/>
      </w:r>
      <w:r>
        <w:t>3</w:t>
      </w:r>
      <w:r>
        <w:fldChar w:fldCharType="end"/>
      </w:r>
      <w:r>
        <w:rPr>
          <w:rFonts w:ascii="Times New Roman" w:hAnsi="Times New Roman"/>
          <w:color w:val="000000" w:themeColor="text1"/>
          <w:highlight w:val="none"/>
          <w14:textFill>
            <w14:solidFill>
              <w14:schemeClr w14:val="tx1"/>
            </w14:solidFill>
          </w14:textFill>
        </w:rPr>
        <w:fldChar w:fldCharType="end"/>
      </w:r>
    </w:p>
    <w:p w14:paraId="4B62FF4E">
      <w:pPr>
        <w:pStyle w:val="33"/>
        <w:tabs>
          <w:tab w:val="right" w:leader="dot" w:pos="10466"/>
        </w:tabs>
      </w:pPr>
      <w:r>
        <w:rPr>
          <w:rFonts w:ascii="Times New Roman" w:hAnsi="Times New Roman"/>
          <w:caps/>
          <w:color w:val="000000" w:themeColor="text1"/>
          <w:szCs w:val="24"/>
          <w:highlight w:val="none"/>
          <w14:textFill>
            <w14:solidFill>
              <w14:schemeClr w14:val="tx1"/>
            </w14:solidFill>
          </w14:textFill>
        </w:rPr>
        <w:fldChar w:fldCharType="begin"/>
      </w:r>
      <w:r>
        <w:rPr>
          <w:rFonts w:ascii="Times New Roman" w:hAnsi="Times New Roman"/>
          <w:caps/>
          <w:szCs w:val="24"/>
          <w:highlight w:val="none"/>
        </w:rPr>
        <w:instrText xml:space="preserve"> HYPERLINK \l _Toc14232 </w:instrText>
      </w:r>
      <w:r>
        <w:rPr>
          <w:rFonts w:ascii="Times New Roman" w:hAnsi="Times New Roman"/>
          <w:caps/>
          <w:szCs w:val="24"/>
          <w:highlight w:val="none"/>
        </w:rPr>
        <w:fldChar w:fldCharType="separate"/>
      </w:r>
      <w:r>
        <w:rPr>
          <w:rFonts w:ascii="Times New Roman" w:hAnsi="Times New Roman"/>
          <w:bCs/>
          <w:szCs w:val="24"/>
          <w:highlight w:val="none"/>
        </w:rPr>
        <w:t>一、项目基本情况</w:t>
      </w:r>
      <w:r>
        <w:tab/>
      </w:r>
      <w:r>
        <w:fldChar w:fldCharType="begin"/>
      </w:r>
      <w:r>
        <w:instrText xml:space="preserve"> PAGEREF _Toc14232 \h </w:instrText>
      </w:r>
      <w:r>
        <w:fldChar w:fldCharType="separate"/>
      </w:r>
      <w:r>
        <w:t>3</w:t>
      </w:r>
      <w:r>
        <w:fldChar w:fldCharType="end"/>
      </w:r>
      <w:r>
        <w:rPr>
          <w:rFonts w:ascii="Times New Roman" w:hAnsi="Times New Roman"/>
          <w:caps/>
          <w:color w:val="000000" w:themeColor="text1"/>
          <w:szCs w:val="24"/>
          <w:highlight w:val="none"/>
          <w14:textFill>
            <w14:solidFill>
              <w14:schemeClr w14:val="tx1"/>
            </w14:solidFill>
          </w14:textFill>
        </w:rPr>
        <w:fldChar w:fldCharType="end"/>
      </w:r>
    </w:p>
    <w:p w14:paraId="61FCC36B">
      <w:pPr>
        <w:pStyle w:val="33"/>
        <w:tabs>
          <w:tab w:val="right" w:leader="dot" w:pos="10466"/>
        </w:tabs>
      </w:pPr>
      <w:r>
        <w:rPr>
          <w:rFonts w:ascii="Times New Roman" w:hAnsi="Times New Roman"/>
          <w:caps/>
          <w:color w:val="000000" w:themeColor="text1"/>
          <w:szCs w:val="24"/>
          <w:highlight w:val="none"/>
          <w14:textFill>
            <w14:solidFill>
              <w14:schemeClr w14:val="tx1"/>
            </w14:solidFill>
          </w14:textFill>
        </w:rPr>
        <w:fldChar w:fldCharType="begin"/>
      </w:r>
      <w:r>
        <w:rPr>
          <w:rFonts w:ascii="Times New Roman" w:hAnsi="Times New Roman"/>
          <w:caps/>
          <w:szCs w:val="24"/>
          <w:highlight w:val="none"/>
        </w:rPr>
        <w:instrText xml:space="preserve"> HYPERLINK \l _Toc26921 </w:instrText>
      </w:r>
      <w:r>
        <w:rPr>
          <w:rFonts w:ascii="Times New Roman" w:hAnsi="Times New Roman"/>
          <w:caps/>
          <w:szCs w:val="24"/>
          <w:highlight w:val="none"/>
        </w:rPr>
        <w:fldChar w:fldCharType="separate"/>
      </w:r>
      <w:r>
        <w:rPr>
          <w:rFonts w:hint="eastAsia" w:ascii="Times New Roman" w:hAnsi="Times New Roman"/>
          <w:bCs/>
          <w:szCs w:val="24"/>
          <w:highlight w:val="none"/>
        </w:rPr>
        <w:t>二、申请人的资格要求</w:t>
      </w:r>
      <w:r>
        <w:tab/>
      </w:r>
      <w:r>
        <w:fldChar w:fldCharType="begin"/>
      </w:r>
      <w:r>
        <w:instrText xml:space="preserve"> PAGEREF _Toc26921 \h </w:instrText>
      </w:r>
      <w:r>
        <w:fldChar w:fldCharType="separate"/>
      </w:r>
      <w:r>
        <w:t>3</w:t>
      </w:r>
      <w:r>
        <w:fldChar w:fldCharType="end"/>
      </w:r>
      <w:r>
        <w:rPr>
          <w:rFonts w:ascii="Times New Roman" w:hAnsi="Times New Roman"/>
          <w:caps/>
          <w:color w:val="000000" w:themeColor="text1"/>
          <w:szCs w:val="24"/>
          <w:highlight w:val="none"/>
          <w14:textFill>
            <w14:solidFill>
              <w14:schemeClr w14:val="tx1"/>
            </w14:solidFill>
          </w14:textFill>
        </w:rPr>
        <w:fldChar w:fldCharType="end"/>
      </w:r>
    </w:p>
    <w:p w14:paraId="12056278">
      <w:pPr>
        <w:pStyle w:val="33"/>
        <w:tabs>
          <w:tab w:val="right" w:leader="dot" w:pos="10466"/>
        </w:tabs>
      </w:pPr>
      <w:r>
        <w:rPr>
          <w:rFonts w:ascii="Times New Roman" w:hAnsi="Times New Roman"/>
          <w:caps/>
          <w:color w:val="000000" w:themeColor="text1"/>
          <w:szCs w:val="24"/>
          <w:highlight w:val="none"/>
          <w14:textFill>
            <w14:solidFill>
              <w14:schemeClr w14:val="tx1"/>
            </w14:solidFill>
          </w14:textFill>
        </w:rPr>
        <w:fldChar w:fldCharType="begin"/>
      </w:r>
      <w:r>
        <w:rPr>
          <w:rFonts w:ascii="Times New Roman" w:hAnsi="Times New Roman"/>
          <w:caps/>
          <w:szCs w:val="24"/>
          <w:highlight w:val="none"/>
        </w:rPr>
        <w:instrText xml:space="preserve"> HYPERLINK \l _Toc779 </w:instrText>
      </w:r>
      <w:r>
        <w:rPr>
          <w:rFonts w:ascii="Times New Roman" w:hAnsi="Times New Roman"/>
          <w:caps/>
          <w:szCs w:val="24"/>
          <w:highlight w:val="none"/>
        </w:rPr>
        <w:fldChar w:fldCharType="separate"/>
      </w:r>
      <w:r>
        <w:rPr>
          <w:rFonts w:hint="eastAsia" w:ascii="Times New Roman" w:hAnsi="Times New Roman"/>
          <w:bCs/>
          <w:szCs w:val="24"/>
          <w:highlight w:val="none"/>
        </w:rPr>
        <w:t>三、获取招标文件</w:t>
      </w:r>
      <w:r>
        <w:tab/>
      </w:r>
      <w:r>
        <w:fldChar w:fldCharType="begin"/>
      </w:r>
      <w:r>
        <w:instrText xml:space="preserve"> PAGEREF _Toc779 \h </w:instrText>
      </w:r>
      <w:r>
        <w:fldChar w:fldCharType="separate"/>
      </w:r>
      <w:r>
        <w:t>4</w:t>
      </w:r>
      <w:r>
        <w:fldChar w:fldCharType="end"/>
      </w:r>
      <w:r>
        <w:rPr>
          <w:rFonts w:ascii="Times New Roman" w:hAnsi="Times New Roman"/>
          <w:caps/>
          <w:color w:val="000000" w:themeColor="text1"/>
          <w:szCs w:val="24"/>
          <w:highlight w:val="none"/>
          <w14:textFill>
            <w14:solidFill>
              <w14:schemeClr w14:val="tx1"/>
            </w14:solidFill>
          </w14:textFill>
        </w:rPr>
        <w:fldChar w:fldCharType="end"/>
      </w:r>
    </w:p>
    <w:p w14:paraId="38FA9AE1">
      <w:pPr>
        <w:pStyle w:val="33"/>
        <w:tabs>
          <w:tab w:val="right" w:leader="dot" w:pos="10466"/>
        </w:tabs>
      </w:pPr>
      <w:r>
        <w:rPr>
          <w:rFonts w:ascii="Times New Roman" w:hAnsi="Times New Roman"/>
          <w:caps/>
          <w:color w:val="000000" w:themeColor="text1"/>
          <w:szCs w:val="24"/>
          <w:highlight w:val="none"/>
          <w14:textFill>
            <w14:solidFill>
              <w14:schemeClr w14:val="tx1"/>
            </w14:solidFill>
          </w14:textFill>
        </w:rPr>
        <w:fldChar w:fldCharType="begin"/>
      </w:r>
      <w:r>
        <w:rPr>
          <w:rFonts w:ascii="Times New Roman" w:hAnsi="Times New Roman"/>
          <w:caps/>
          <w:szCs w:val="24"/>
          <w:highlight w:val="none"/>
        </w:rPr>
        <w:instrText xml:space="preserve"> HYPERLINK \l _Toc5777 </w:instrText>
      </w:r>
      <w:r>
        <w:rPr>
          <w:rFonts w:ascii="Times New Roman" w:hAnsi="Times New Roman"/>
          <w:caps/>
          <w:szCs w:val="24"/>
          <w:highlight w:val="none"/>
        </w:rPr>
        <w:fldChar w:fldCharType="separate"/>
      </w:r>
      <w:r>
        <w:rPr>
          <w:rFonts w:hint="eastAsia" w:ascii="Times New Roman" w:hAnsi="Times New Roman"/>
          <w:bCs/>
          <w:szCs w:val="24"/>
          <w:highlight w:val="none"/>
        </w:rPr>
        <w:t>四、提交投标文件截止时间、开标</w:t>
      </w:r>
      <w:r>
        <w:rPr>
          <w:rFonts w:ascii="Times New Roman" w:hAnsi="Times New Roman"/>
          <w:bCs/>
          <w:szCs w:val="24"/>
          <w:highlight w:val="none"/>
        </w:rPr>
        <w:t>时间和地点</w:t>
      </w:r>
      <w:r>
        <w:tab/>
      </w:r>
      <w:r>
        <w:fldChar w:fldCharType="begin"/>
      </w:r>
      <w:r>
        <w:instrText xml:space="preserve"> PAGEREF _Toc5777 \h </w:instrText>
      </w:r>
      <w:r>
        <w:fldChar w:fldCharType="separate"/>
      </w:r>
      <w:r>
        <w:t>4</w:t>
      </w:r>
      <w:r>
        <w:fldChar w:fldCharType="end"/>
      </w:r>
      <w:r>
        <w:rPr>
          <w:rFonts w:ascii="Times New Roman" w:hAnsi="Times New Roman"/>
          <w:caps/>
          <w:color w:val="000000" w:themeColor="text1"/>
          <w:szCs w:val="24"/>
          <w:highlight w:val="none"/>
          <w14:textFill>
            <w14:solidFill>
              <w14:schemeClr w14:val="tx1"/>
            </w14:solidFill>
          </w14:textFill>
        </w:rPr>
        <w:fldChar w:fldCharType="end"/>
      </w:r>
    </w:p>
    <w:p w14:paraId="406449EA">
      <w:pPr>
        <w:pStyle w:val="33"/>
        <w:tabs>
          <w:tab w:val="right" w:leader="dot" w:pos="10466"/>
        </w:tabs>
      </w:pPr>
      <w:r>
        <w:rPr>
          <w:rFonts w:ascii="Times New Roman" w:hAnsi="Times New Roman"/>
          <w:caps/>
          <w:color w:val="000000" w:themeColor="text1"/>
          <w:szCs w:val="24"/>
          <w:highlight w:val="none"/>
          <w14:textFill>
            <w14:solidFill>
              <w14:schemeClr w14:val="tx1"/>
            </w14:solidFill>
          </w14:textFill>
        </w:rPr>
        <w:fldChar w:fldCharType="begin"/>
      </w:r>
      <w:r>
        <w:rPr>
          <w:rFonts w:ascii="Times New Roman" w:hAnsi="Times New Roman"/>
          <w:caps/>
          <w:szCs w:val="24"/>
          <w:highlight w:val="none"/>
        </w:rPr>
        <w:instrText xml:space="preserve"> HYPERLINK \l _Toc12715 </w:instrText>
      </w:r>
      <w:r>
        <w:rPr>
          <w:rFonts w:ascii="Times New Roman" w:hAnsi="Times New Roman"/>
          <w:caps/>
          <w:szCs w:val="24"/>
          <w:highlight w:val="none"/>
        </w:rPr>
        <w:fldChar w:fldCharType="separate"/>
      </w:r>
      <w:r>
        <w:rPr>
          <w:rFonts w:hint="eastAsia" w:ascii="Times New Roman" w:hAnsi="Times New Roman"/>
          <w:bCs/>
          <w:szCs w:val="24"/>
          <w:highlight w:val="none"/>
        </w:rPr>
        <w:t>五、</w:t>
      </w:r>
      <w:r>
        <w:rPr>
          <w:rFonts w:ascii="Times New Roman" w:hAnsi="Times New Roman"/>
          <w:bCs/>
          <w:szCs w:val="24"/>
          <w:highlight w:val="none"/>
        </w:rPr>
        <w:t>公告</w:t>
      </w:r>
      <w:r>
        <w:rPr>
          <w:rFonts w:hint="eastAsia" w:ascii="Times New Roman" w:hAnsi="Times New Roman"/>
          <w:bCs/>
          <w:szCs w:val="24"/>
          <w:highlight w:val="none"/>
        </w:rPr>
        <w:t>期限</w:t>
      </w:r>
      <w:r>
        <w:tab/>
      </w:r>
      <w:r>
        <w:fldChar w:fldCharType="begin"/>
      </w:r>
      <w:r>
        <w:instrText xml:space="preserve"> PAGEREF _Toc12715 \h </w:instrText>
      </w:r>
      <w:r>
        <w:fldChar w:fldCharType="separate"/>
      </w:r>
      <w:r>
        <w:t>4</w:t>
      </w:r>
      <w:r>
        <w:fldChar w:fldCharType="end"/>
      </w:r>
      <w:r>
        <w:rPr>
          <w:rFonts w:ascii="Times New Roman" w:hAnsi="Times New Roman"/>
          <w:caps/>
          <w:color w:val="000000" w:themeColor="text1"/>
          <w:szCs w:val="24"/>
          <w:highlight w:val="none"/>
          <w14:textFill>
            <w14:solidFill>
              <w14:schemeClr w14:val="tx1"/>
            </w14:solidFill>
          </w14:textFill>
        </w:rPr>
        <w:fldChar w:fldCharType="end"/>
      </w:r>
    </w:p>
    <w:p w14:paraId="4120C9EF">
      <w:pPr>
        <w:pStyle w:val="33"/>
        <w:tabs>
          <w:tab w:val="right" w:leader="dot" w:pos="10466"/>
        </w:tabs>
      </w:pPr>
      <w:r>
        <w:rPr>
          <w:rFonts w:ascii="Times New Roman" w:hAnsi="Times New Roman"/>
          <w:caps/>
          <w:color w:val="000000" w:themeColor="text1"/>
          <w:szCs w:val="24"/>
          <w:highlight w:val="none"/>
          <w14:textFill>
            <w14:solidFill>
              <w14:schemeClr w14:val="tx1"/>
            </w14:solidFill>
          </w14:textFill>
        </w:rPr>
        <w:fldChar w:fldCharType="begin"/>
      </w:r>
      <w:r>
        <w:rPr>
          <w:rFonts w:ascii="Times New Roman" w:hAnsi="Times New Roman"/>
          <w:caps/>
          <w:szCs w:val="24"/>
          <w:highlight w:val="none"/>
        </w:rPr>
        <w:instrText xml:space="preserve"> HYPERLINK \l _Toc13261 </w:instrText>
      </w:r>
      <w:r>
        <w:rPr>
          <w:rFonts w:ascii="Times New Roman" w:hAnsi="Times New Roman"/>
          <w:caps/>
          <w:szCs w:val="24"/>
          <w:highlight w:val="none"/>
        </w:rPr>
        <w:fldChar w:fldCharType="separate"/>
      </w:r>
      <w:r>
        <w:rPr>
          <w:rFonts w:hint="eastAsia" w:ascii="Times New Roman" w:hAnsi="Times New Roman"/>
          <w:bCs/>
          <w:szCs w:val="24"/>
          <w:highlight w:val="none"/>
        </w:rPr>
        <w:t>六、其他补充事宜</w:t>
      </w:r>
      <w:r>
        <w:tab/>
      </w:r>
      <w:r>
        <w:fldChar w:fldCharType="begin"/>
      </w:r>
      <w:r>
        <w:instrText xml:space="preserve"> PAGEREF _Toc13261 \h </w:instrText>
      </w:r>
      <w:r>
        <w:fldChar w:fldCharType="separate"/>
      </w:r>
      <w:r>
        <w:t>4</w:t>
      </w:r>
      <w:r>
        <w:fldChar w:fldCharType="end"/>
      </w:r>
      <w:r>
        <w:rPr>
          <w:rFonts w:ascii="Times New Roman" w:hAnsi="Times New Roman"/>
          <w:caps/>
          <w:color w:val="000000" w:themeColor="text1"/>
          <w:szCs w:val="24"/>
          <w:highlight w:val="none"/>
          <w14:textFill>
            <w14:solidFill>
              <w14:schemeClr w14:val="tx1"/>
            </w14:solidFill>
          </w14:textFill>
        </w:rPr>
        <w:fldChar w:fldCharType="end"/>
      </w:r>
    </w:p>
    <w:p w14:paraId="7EA90C6F">
      <w:pPr>
        <w:pStyle w:val="33"/>
        <w:tabs>
          <w:tab w:val="right" w:leader="dot" w:pos="10466"/>
        </w:tabs>
      </w:pPr>
      <w:r>
        <w:rPr>
          <w:rFonts w:ascii="Times New Roman" w:hAnsi="Times New Roman"/>
          <w:caps/>
          <w:color w:val="000000" w:themeColor="text1"/>
          <w:szCs w:val="24"/>
          <w:highlight w:val="none"/>
          <w14:textFill>
            <w14:solidFill>
              <w14:schemeClr w14:val="tx1"/>
            </w14:solidFill>
          </w14:textFill>
        </w:rPr>
        <w:fldChar w:fldCharType="begin"/>
      </w:r>
      <w:r>
        <w:rPr>
          <w:rFonts w:ascii="Times New Roman" w:hAnsi="Times New Roman"/>
          <w:caps/>
          <w:szCs w:val="24"/>
          <w:highlight w:val="none"/>
        </w:rPr>
        <w:instrText xml:space="preserve"> HYPERLINK \l _Toc30149 </w:instrText>
      </w:r>
      <w:r>
        <w:rPr>
          <w:rFonts w:ascii="Times New Roman" w:hAnsi="Times New Roman"/>
          <w:caps/>
          <w:szCs w:val="24"/>
          <w:highlight w:val="none"/>
        </w:rPr>
        <w:fldChar w:fldCharType="separate"/>
      </w:r>
      <w:r>
        <w:rPr>
          <w:rFonts w:hint="eastAsia" w:ascii="Times New Roman" w:hAnsi="Times New Roman"/>
          <w:bCs/>
          <w:szCs w:val="24"/>
          <w:highlight w:val="none"/>
        </w:rPr>
        <w:t>七、本次招标联系方式</w:t>
      </w:r>
      <w:r>
        <w:tab/>
      </w:r>
      <w:r>
        <w:fldChar w:fldCharType="begin"/>
      </w:r>
      <w:r>
        <w:instrText xml:space="preserve"> PAGEREF _Toc30149 \h </w:instrText>
      </w:r>
      <w:r>
        <w:fldChar w:fldCharType="separate"/>
      </w:r>
      <w:r>
        <w:t>5</w:t>
      </w:r>
      <w:r>
        <w:fldChar w:fldCharType="end"/>
      </w:r>
      <w:r>
        <w:rPr>
          <w:rFonts w:ascii="Times New Roman" w:hAnsi="Times New Roman"/>
          <w:caps/>
          <w:color w:val="000000" w:themeColor="text1"/>
          <w:szCs w:val="24"/>
          <w:highlight w:val="none"/>
          <w14:textFill>
            <w14:solidFill>
              <w14:schemeClr w14:val="tx1"/>
            </w14:solidFill>
          </w14:textFill>
        </w:rPr>
        <w:fldChar w:fldCharType="end"/>
      </w:r>
    </w:p>
    <w:p w14:paraId="19C8B577">
      <w:pPr>
        <w:pStyle w:val="27"/>
        <w:tabs>
          <w:tab w:val="right" w:leader="dot" w:pos="10466"/>
        </w:tabs>
      </w:pPr>
      <w:r>
        <w:rPr>
          <w:rFonts w:ascii="Times New Roman" w:hAnsi="Times New Roman"/>
          <w:caps/>
          <w:color w:val="000000" w:themeColor="text1"/>
          <w:szCs w:val="24"/>
          <w:highlight w:val="none"/>
          <w14:textFill>
            <w14:solidFill>
              <w14:schemeClr w14:val="tx1"/>
            </w14:solidFill>
          </w14:textFill>
        </w:rPr>
        <w:fldChar w:fldCharType="begin"/>
      </w:r>
      <w:r>
        <w:rPr>
          <w:rFonts w:ascii="Times New Roman" w:hAnsi="Times New Roman"/>
          <w:caps/>
          <w:szCs w:val="24"/>
          <w:highlight w:val="none"/>
        </w:rPr>
        <w:instrText xml:space="preserve"> HYPERLINK \l _Toc20148 </w:instrText>
      </w:r>
      <w:r>
        <w:rPr>
          <w:rFonts w:ascii="Times New Roman" w:hAnsi="Times New Roman"/>
          <w:caps/>
          <w:szCs w:val="24"/>
          <w:highlight w:val="none"/>
        </w:rPr>
        <w:fldChar w:fldCharType="separate"/>
      </w:r>
      <w:r>
        <w:rPr>
          <w:rFonts w:hint="eastAsia" w:ascii="黑体" w:hAnsi="Times New Roman" w:eastAsia="黑体"/>
          <w:szCs w:val="44"/>
          <w:highlight w:val="none"/>
        </w:rPr>
        <w:t>第二章  投标人须知</w:t>
      </w:r>
      <w:r>
        <w:tab/>
      </w:r>
      <w:r>
        <w:fldChar w:fldCharType="begin"/>
      </w:r>
      <w:r>
        <w:instrText xml:space="preserve"> PAGEREF _Toc20148 \h </w:instrText>
      </w:r>
      <w:r>
        <w:fldChar w:fldCharType="separate"/>
      </w:r>
      <w:r>
        <w:t>6</w:t>
      </w:r>
      <w:r>
        <w:fldChar w:fldCharType="end"/>
      </w:r>
      <w:r>
        <w:rPr>
          <w:rFonts w:ascii="Times New Roman" w:hAnsi="Times New Roman"/>
          <w:caps/>
          <w:color w:val="000000" w:themeColor="text1"/>
          <w:szCs w:val="24"/>
          <w:highlight w:val="none"/>
          <w14:textFill>
            <w14:solidFill>
              <w14:schemeClr w14:val="tx1"/>
            </w14:solidFill>
          </w14:textFill>
        </w:rPr>
        <w:fldChar w:fldCharType="end"/>
      </w:r>
    </w:p>
    <w:p w14:paraId="4B3ED939">
      <w:pPr>
        <w:pStyle w:val="33"/>
        <w:tabs>
          <w:tab w:val="right" w:leader="dot" w:pos="10466"/>
        </w:tabs>
      </w:pPr>
      <w:r>
        <w:rPr>
          <w:rFonts w:ascii="Times New Roman" w:hAnsi="Times New Roman"/>
          <w:caps/>
          <w:color w:val="000000" w:themeColor="text1"/>
          <w:szCs w:val="24"/>
          <w:highlight w:val="none"/>
          <w14:textFill>
            <w14:solidFill>
              <w14:schemeClr w14:val="tx1"/>
            </w14:solidFill>
          </w14:textFill>
        </w:rPr>
        <w:fldChar w:fldCharType="begin"/>
      </w:r>
      <w:r>
        <w:rPr>
          <w:rFonts w:ascii="Times New Roman" w:hAnsi="Times New Roman"/>
          <w:caps/>
          <w:szCs w:val="24"/>
          <w:highlight w:val="none"/>
        </w:rPr>
        <w:instrText xml:space="preserve"> HYPERLINK \l _Toc16270 </w:instrText>
      </w:r>
      <w:r>
        <w:rPr>
          <w:rFonts w:ascii="Times New Roman" w:hAnsi="Times New Roman"/>
          <w:caps/>
          <w:szCs w:val="24"/>
          <w:highlight w:val="none"/>
        </w:rPr>
        <w:fldChar w:fldCharType="separate"/>
      </w:r>
      <w:r>
        <w:rPr>
          <w:rFonts w:hint="eastAsia" w:ascii="宋体" w:hAnsi="宋体" w:cs="宋体"/>
          <w:bCs/>
          <w:szCs w:val="28"/>
          <w:highlight w:val="none"/>
        </w:rPr>
        <w:t>一、总则</w:t>
      </w:r>
      <w:r>
        <w:tab/>
      </w:r>
      <w:r>
        <w:fldChar w:fldCharType="begin"/>
      </w:r>
      <w:r>
        <w:instrText xml:space="preserve"> PAGEREF _Toc16270 \h </w:instrText>
      </w:r>
      <w:r>
        <w:fldChar w:fldCharType="separate"/>
      </w:r>
      <w:r>
        <w:t>6</w:t>
      </w:r>
      <w:r>
        <w:fldChar w:fldCharType="end"/>
      </w:r>
      <w:r>
        <w:rPr>
          <w:rFonts w:ascii="Times New Roman" w:hAnsi="Times New Roman"/>
          <w:caps/>
          <w:color w:val="000000" w:themeColor="text1"/>
          <w:szCs w:val="24"/>
          <w:highlight w:val="none"/>
          <w14:textFill>
            <w14:solidFill>
              <w14:schemeClr w14:val="tx1"/>
            </w14:solidFill>
          </w14:textFill>
        </w:rPr>
        <w:fldChar w:fldCharType="end"/>
      </w:r>
    </w:p>
    <w:p w14:paraId="5DB8614C">
      <w:pPr>
        <w:pStyle w:val="33"/>
        <w:tabs>
          <w:tab w:val="right" w:leader="dot" w:pos="10466"/>
        </w:tabs>
      </w:pPr>
      <w:r>
        <w:rPr>
          <w:rFonts w:ascii="Times New Roman" w:hAnsi="Times New Roman"/>
          <w:caps/>
          <w:color w:val="000000" w:themeColor="text1"/>
          <w:szCs w:val="24"/>
          <w:highlight w:val="none"/>
          <w14:textFill>
            <w14:solidFill>
              <w14:schemeClr w14:val="tx1"/>
            </w14:solidFill>
          </w14:textFill>
        </w:rPr>
        <w:fldChar w:fldCharType="begin"/>
      </w:r>
      <w:r>
        <w:rPr>
          <w:rFonts w:ascii="Times New Roman" w:hAnsi="Times New Roman"/>
          <w:caps/>
          <w:szCs w:val="24"/>
          <w:highlight w:val="none"/>
        </w:rPr>
        <w:instrText xml:space="preserve"> HYPERLINK \l _Toc12668 </w:instrText>
      </w:r>
      <w:r>
        <w:rPr>
          <w:rFonts w:ascii="Times New Roman" w:hAnsi="Times New Roman"/>
          <w:caps/>
          <w:szCs w:val="24"/>
          <w:highlight w:val="none"/>
        </w:rPr>
        <w:fldChar w:fldCharType="separate"/>
      </w:r>
      <w:r>
        <w:rPr>
          <w:rFonts w:hint="eastAsia" w:ascii="宋体" w:hAnsi="宋体" w:cs="宋体"/>
          <w:bCs/>
          <w:szCs w:val="28"/>
          <w:highlight w:val="none"/>
        </w:rPr>
        <w:t>二、招标文件</w:t>
      </w:r>
      <w:r>
        <w:tab/>
      </w:r>
      <w:r>
        <w:fldChar w:fldCharType="begin"/>
      </w:r>
      <w:r>
        <w:instrText xml:space="preserve"> PAGEREF _Toc12668 \h </w:instrText>
      </w:r>
      <w:r>
        <w:fldChar w:fldCharType="separate"/>
      </w:r>
      <w:r>
        <w:t>6</w:t>
      </w:r>
      <w:r>
        <w:fldChar w:fldCharType="end"/>
      </w:r>
      <w:r>
        <w:rPr>
          <w:rFonts w:ascii="Times New Roman" w:hAnsi="Times New Roman"/>
          <w:caps/>
          <w:color w:val="000000" w:themeColor="text1"/>
          <w:szCs w:val="24"/>
          <w:highlight w:val="none"/>
          <w14:textFill>
            <w14:solidFill>
              <w14:schemeClr w14:val="tx1"/>
            </w14:solidFill>
          </w14:textFill>
        </w:rPr>
        <w:fldChar w:fldCharType="end"/>
      </w:r>
    </w:p>
    <w:p w14:paraId="3A9356C3">
      <w:pPr>
        <w:pStyle w:val="33"/>
        <w:tabs>
          <w:tab w:val="right" w:leader="dot" w:pos="10466"/>
        </w:tabs>
      </w:pPr>
      <w:r>
        <w:rPr>
          <w:rFonts w:ascii="Times New Roman" w:hAnsi="Times New Roman"/>
          <w:caps/>
          <w:color w:val="000000" w:themeColor="text1"/>
          <w:szCs w:val="24"/>
          <w:highlight w:val="none"/>
          <w14:textFill>
            <w14:solidFill>
              <w14:schemeClr w14:val="tx1"/>
            </w14:solidFill>
          </w14:textFill>
        </w:rPr>
        <w:fldChar w:fldCharType="begin"/>
      </w:r>
      <w:r>
        <w:rPr>
          <w:rFonts w:ascii="Times New Roman" w:hAnsi="Times New Roman"/>
          <w:caps/>
          <w:szCs w:val="24"/>
          <w:highlight w:val="none"/>
        </w:rPr>
        <w:instrText xml:space="preserve"> HYPERLINK \l _Toc10227 </w:instrText>
      </w:r>
      <w:r>
        <w:rPr>
          <w:rFonts w:ascii="Times New Roman" w:hAnsi="Times New Roman"/>
          <w:caps/>
          <w:szCs w:val="24"/>
          <w:highlight w:val="none"/>
        </w:rPr>
        <w:fldChar w:fldCharType="separate"/>
      </w:r>
      <w:r>
        <w:rPr>
          <w:rFonts w:hint="eastAsia" w:ascii="宋体" w:hAnsi="宋体" w:cs="宋体"/>
          <w:bCs/>
          <w:szCs w:val="28"/>
          <w:highlight w:val="none"/>
        </w:rPr>
        <w:t>三、投标文件的编制</w:t>
      </w:r>
      <w:r>
        <w:tab/>
      </w:r>
      <w:r>
        <w:fldChar w:fldCharType="begin"/>
      </w:r>
      <w:r>
        <w:instrText xml:space="preserve"> PAGEREF _Toc10227 \h </w:instrText>
      </w:r>
      <w:r>
        <w:fldChar w:fldCharType="separate"/>
      </w:r>
      <w:r>
        <w:t>7</w:t>
      </w:r>
      <w:r>
        <w:fldChar w:fldCharType="end"/>
      </w:r>
      <w:r>
        <w:rPr>
          <w:rFonts w:ascii="Times New Roman" w:hAnsi="Times New Roman"/>
          <w:caps/>
          <w:color w:val="000000" w:themeColor="text1"/>
          <w:szCs w:val="24"/>
          <w:highlight w:val="none"/>
          <w14:textFill>
            <w14:solidFill>
              <w14:schemeClr w14:val="tx1"/>
            </w14:solidFill>
          </w14:textFill>
        </w:rPr>
        <w:fldChar w:fldCharType="end"/>
      </w:r>
    </w:p>
    <w:p w14:paraId="5AFF139D">
      <w:pPr>
        <w:pStyle w:val="33"/>
        <w:tabs>
          <w:tab w:val="right" w:leader="dot" w:pos="10466"/>
        </w:tabs>
      </w:pPr>
      <w:r>
        <w:rPr>
          <w:rFonts w:ascii="Times New Roman" w:hAnsi="Times New Roman"/>
          <w:caps/>
          <w:color w:val="000000" w:themeColor="text1"/>
          <w:szCs w:val="24"/>
          <w:highlight w:val="none"/>
          <w14:textFill>
            <w14:solidFill>
              <w14:schemeClr w14:val="tx1"/>
            </w14:solidFill>
          </w14:textFill>
        </w:rPr>
        <w:fldChar w:fldCharType="begin"/>
      </w:r>
      <w:r>
        <w:rPr>
          <w:rFonts w:ascii="Times New Roman" w:hAnsi="Times New Roman"/>
          <w:caps/>
          <w:szCs w:val="24"/>
          <w:highlight w:val="none"/>
        </w:rPr>
        <w:instrText xml:space="preserve"> HYPERLINK \l _Toc21182 </w:instrText>
      </w:r>
      <w:r>
        <w:rPr>
          <w:rFonts w:ascii="Times New Roman" w:hAnsi="Times New Roman"/>
          <w:caps/>
          <w:szCs w:val="24"/>
          <w:highlight w:val="none"/>
        </w:rPr>
        <w:fldChar w:fldCharType="separate"/>
      </w:r>
      <w:r>
        <w:rPr>
          <w:rFonts w:hint="eastAsia" w:ascii="宋体" w:hAnsi="宋体" w:cs="宋体"/>
          <w:bCs/>
          <w:szCs w:val="28"/>
          <w:highlight w:val="none"/>
        </w:rPr>
        <w:t>四、投标文件的递交</w:t>
      </w:r>
      <w:r>
        <w:tab/>
      </w:r>
      <w:r>
        <w:fldChar w:fldCharType="begin"/>
      </w:r>
      <w:r>
        <w:instrText xml:space="preserve"> PAGEREF _Toc21182 \h </w:instrText>
      </w:r>
      <w:r>
        <w:fldChar w:fldCharType="separate"/>
      </w:r>
      <w:r>
        <w:t>8</w:t>
      </w:r>
      <w:r>
        <w:fldChar w:fldCharType="end"/>
      </w:r>
      <w:r>
        <w:rPr>
          <w:rFonts w:ascii="Times New Roman" w:hAnsi="Times New Roman"/>
          <w:caps/>
          <w:color w:val="000000" w:themeColor="text1"/>
          <w:szCs w:val="24"/>
          <w:highlight w:val="none"/>
          <w14:textFill>
            <w14:solidFill>
              <w14:schemeClr w14:val="tx1"/>
            </w14:solidFill>
          </w14:textFill>
        </w:rPr>
        <w:fldChar w:fldCharType="end"/>
      </w:r>
    </w:p>
    <w:p w14:paraId="59B42C81">
      <w:pPr>
        <w:pStyle w:val="33"/>
        <w:tabs>
          <w:tab w:val="right" w:leader="dot" w:pos="10466"/>
        </w:tabs>
      </w:pPr>
      <w:r>
        <w:rPr>
          <w:rFonts w:ascii="Times New Roman" w:hAnsi="Times New Roman"/>
          <w:caps/>
          <w:color w:val="000000" w:themeColor="text1"/>
          <w:szCs w:val="24"/>
          <w:highlight w:val="none"/>
          <w14:textFill>
            <w14:solidFill>
              <w14:schemeClr w14:val="tx1"/>
            </w14:solidFill>
          </w14:textFill>
        </w:rPr>
        <w:fldChar w:fldCharType="begin"/>
      </w:r>
      <w:r>
        <w:rPr>
          <w:rFonts w:ascii="Times New Roman" w:hAnsi="Times New Roman"/>
          <w:caps/>
          <w:szCs w:val="24"/>
          <w:highlight w:val="none"/>
        </w:rPr>
        <w:instrText xml:space="preserve"> HYPERLINK \l _Toc3835 </w:instrText>
      </w:r>
      <w:r>
        <w:rPr>
          <w:rFonts w:ascii="Times New Roman" w:hAnsi="Times New Roman"/>
          <w:caps/>
          <w:szCs w:val="24"/>
          <w:highlight w:val="none"/>
        </w:rPr>
        <w:fldChar w:fldCharType="separate"/>
      </w:r>
      <w:r>
        <w:rPr>
          <w:rFonts w:hint="eastAsia" w:ascii="宋体" w:hAnsi="宋体" w:cs="宋体"/>
          <w:bCs/>
          <w:szCs w:val="28"/>
          <w:highlight w:val="none"/>
        </w:rPr>
        <w:t>五、开标与评标</w:t>
      </w:r>
      <w:r>
        <w:tab/>
      </w:r>
      <w:r>
        <w:fldChar w:fldCharType="begin"/>
      </w:r>
      <w:r>
        <w:instrText xml:space="preserve"> PAGEREF _Toc3835 \h </w:instrText>
      </w:r>
      <w:r>
        <w:fldChar w:fldCharType="separate"/>
      </w:r>
      <w:r>
        <w:t>9</w:t>
      </w:r>
      <w:r>
        <w:fldChar w:fldCharType="end"/>
      </w:r>
      <w:r>
        <w:rPr>
          <w:rFonts w:ascii="Times New Roman" w:hAnsi="Times New Roman"/>
          <w:caps/>
          <w:color w:val="000000" w:themeColor="text1"/>
          <w:szCs w:val="24"/>
          <w:highlight w:val="none"/>
          <w14:textFill>
            <w14:solidFill>
              <w14:schemeClr w14:val="tx1"/>
            </w14:solidFill>
          </w14:textFill>
        </w:rPr>
        <w:fldChar w:fldCharType="end"/>
      </w:r>
    </w:p>
    <w:p w14:paraId="375E503E">
      <w:pPr>
        <w:pStyle w:val="33"/>
        <w:tabs>
          <w:tab w:val="right" w:leader="dot" w:pos="10466"/>
        </w:tabs>
      </w:pPr>
      <w:r>
        <w:rPr>
          <w:rFonts w:ascii="Times New Roman" w:hAnsi="Times New Roman"/>
          <w:caps/>
          <w:color w:val="000000" w:themeColor="text1"/>
          <w:szCs w:val="24"/>
          <w:highlight w:val="none"/>
          <w14:textFill>
            <w14:solidFill>
              <w14:schemeClr w14:val="tx1"/>
            </w14:solidFill>
          </w14:textFill>
        </w:rPr>
        <w:fldChar w:fldCharType="begin"/>
      </w:r>
      <w:r>
        <w:rPr>
          <w:rFonts w:ascii="Times New Roman" w:hAnsi="Times New Roman"/>
          <w:caps/>
          <w:szCs w:val="24"/>
          <w:highlight w:val="none"/>
        </w:rPr>
        <w:instrText xml:space="preserve"> HYPERLINK \l _Toc11988 </w:instrText>
      </w:r>
      <w:r>
        <w:rPr>
          <w:rFonts w:ascii="Times New Roman" w:hAnsi="Times New Roman"/>
          <w:caps/>
          <w:szCs w:val="24"/>
          <w:highlight w:val="none"/>
        </w:rPr>
        <w:fldChar w:fldCharType="separate"/>
      </w:r>
      <w:r>
        <w:rPr>
          <w:rFonts w:hint="eastAsia" w:ascii="宋体" w:hAnsi="宋体" w:cs="宋体"/>
          <w:bCs/>
          <w:szCs w:val="28"/>
          <w:highlight w:val="none"/>
        </w:rPr>
        <w:t>六、定标</w:t>
      </w:r>
      <w:r>
        <w:tab/>
      </w:r>
      <w:r>
        <w:fldChar w:fldCharType="begin"/>
      </w:r>
      <w:r>
        <w:instrText xml:space="preserve"> PAGEREF _Toc11988 \h </w:instrText>
      </w:r>
      <w:r>
        <w:fldChar w:fldCharType="separate"/>
      </w:r>
      <w:r>
        <w:t>12</w:t>
      </w:r>
      <w:r>
        <w:fldChar w:fldCharType="end"/>
      </w:r>
      <w:r>
        <w:rPr>
          <w:rFonts w:ascii="Times New Roman" w:hAnsi="Times New Roman"/>
          <w:caps/>
          <w:color w:val="000000" w:themeColor="text1"/>
          <w:szCs w:val="24"/>
          <w:highlight w:val="none"/>
          <w14:textFill>
            <w14:solidFill>
              <w14:schemeClr w14:val="tx1"/>
            </w14:solidFill>
          </w14:textFill>
        </w:rPr>
        <w:fldChar w:fldCharType="end"/>
      </w:r>
    </w:p>
    <w:p w14:paraId="75F92F8A">
      <w:pPr>
        <w:pStyle w:val="33"/>
        <w:tabs>
          <w:tab w:val="right" w:leader="dot" w:pos="10466"/>
        </w:tabs>
      </w:pPr>
      <w:r>
        <w:rPr>
          <w:rFonts w:ascii="Times New Roman" w:hAnsi="Times New Roman"/>
          <w:caps/>
          <w:color w:val="000000" w:themeColor="text1"/>
          <w:szCs w:val="24"/>
          <w:highlight w:val="none"/>
          <w14:textFill>
            <w14:solidFill>
              <w14:schemeClr w14:val="tx1"/>
            </w14:solidFill>
          </w14:textFill>
        </w:rPr>
        <w:fldChar w:fldCharType="begin"/>
      </w:r>
      <w:r>
        <w:rPr>
          <w:rFonts w:ascii="Times New Roman" w:hAnsi="Times New Roman"/>
          <w:caps/>
          <w:szCs w:val="24"/>
          <w:highlight w:val="none"/>
        </w:rPr>
        <w:instrText xml:space="preserve"> HYPERLINK \l _Toc29256 </w:instrText>
      </w:r>
      <w:r>
        <w:rPr>
          <w:rFonts w:ascii="Times New Roman" w:hAnsi="Times New Roman"/>
          <w:caps/>
          <w:szCs w:val="24"/>
          <w:highlight w:val="none"/>
        </w:rPr>
        <w:fldChar w:fldCharType="separate"/>
      </w:r>
      <w:r>
        <w:rPr>
          <w:rFonts w:hint="eastAsia" w:ascii="宋体" w:hAnsi="宋体" w:cs="宋体"/>
          <w:bCs/>
          <w:szCs w:val="28"/>
          <w:highlight w:val="none"/>
        </w:rPr>
        <w:t>七、授予合同</w:t>
      </w:r>
      <w:r>
        <w:tab/>
      </w:r>
      <w:r>
        <w:fldChar w:fldCharType="begin"/>
      </w:r>
      <w:r>
        <w:instrText xml:space="preserve"> PAGEREF _Toc29256 \h </w:instrText>
      </w:r>
      <w:r>
        <w:fldChar w:fldCharType="separate"/>
      </w:r>
      <w:r>
        <w:t>14</w:t>
      </w:r>
      <w:r>
        <w:fldChar w:fldCharType="end"/>
      </w:r>
      <w:r>
        <w:rPr>
          <w:rFonts w:ascii="Times New Roman" w:hAnsi="Times New Roman"/>
          <w:caps/>
          <w:color w:val="000000" w:themeColor="text1"/>
          <w:szCs w:val="24"/>
          <w:highlight w:val="none"/>
          <w14:textFill>
            <w14:solidFill>
              <w14:schemeClr w14:val="tx1"/>
            </w14:solidFill>
          </w14:textFill>
        </w:rPr>
        <w:fldChar w:fldCharType="end"/>
      </w:r>
    </w:p>
    <w:p w14:paraId="758EC692">
      <w:pPr>
        <w:pStyle w:val="27"/>
        <w:tabs>
          <w:tab w:val="right" w:leader="dot" w:pos="10466"/>
        </w:tabs>
      </w:pPr>
      <w:r>
        <w:rPr>
          <w:rFonts w:ascii="Times New Roman" w:hAnsi="Times New Roman"/>
          <w:caps/>
          <w:color w:val="000000" w:themeColor="text1"/>
          <w:szCs w:val="24"/>
          <w:highlight w:val="none"/>
          <w14:textFill>
            <w14:solidFill>
              <w14:schemeClr w14:val="tx1"/>
            </w14:solidFill>
          </w14:textFill>
        </w:rPr>
        <w:fldChar w:fldCharType="begin"/>
      </w:r>
      <w:r>
        <w:rPr>
          <w:rFonts w:ascii="Times New Roman" w:hAnsi="Times New Roman"/>
          <w:caps/>
          <w:szCs w:val="24"/>
          <w:highlight w:val="none"/>
        </w:rPr>
        <w:instrText xml:space="preserve"> HYPERLINK \l _Toc7392 </w:instrText>
      </w:r>
      <w:r>
        <w:rPr>
          <w:rFonts w:ascii="Times New Roman" w:hAnsi="Times New Roman"/>
          <w:caps/>
          <w:szCs w:val="24"/>
          <w:highlight w:val="none"/>
        </w:rPr>
        <w:fldChar w:fldCharType="separate"/>
      </w:r>
      <w:r>
        <w:rPr>
          <w:rFonts w:hint="eastAsia" w:ascii="黑体" w:hAnsi="Times New Roman" w:eastAsia="黑体"/>
          <w:bCs/>
          <w:szCs w:val="28"/>
          <w:highlight w:val="none"/>
        </w:rPr>
        <w:t>第三章  合同文本</w:t>
      </w:r>
      <w:r>
        <w:tab/>
      </w:r>
      <w:r>
        <w:fldChar w:fldCharType="begin"/>
      </w:r>
      <w:r>
        <w:instrText xml:space="preserve"> PAGEREF _Toc7392 \h </w:instrText>
      </w:r>
      <w:r>
        <w:fldChar w:fldCharType="separate"/>
      </w:r>
      <w:r>
        <w:t>16</w:t>
      </w:r>
      <w:r>
        <w:fldChar w:fldCharType="end"/>
      </w:r>
      <w:r>
        <w:rPr>
          <w:rFonts w:ascii="Times New Roman" w:hAnsi="Times New Roman"/>
          <w:caps/>
          <w:color w:val="000000" w:themeColor="text1"/>
          <w:szCs w:val="24"/>
          <w:highlight w:val="none"/>
          <w14:textFill>
            <w14:solidFill>
              <w14:schemeClr w14:val="tx1"/>
            </w14:solidFill>
          </w14:textFill>
        </w:rPr>
        <w:fldChar w:fldCharType="end"/>
      </w:r>
    </w:p>
    <w:p w14:paraId="7A51D2EA">
      <w:pPr>
        <w:pStyle w:val="27"/>
        <w:tabs>
          <w:tab w:val="right" w:leader="dot" w:pos="10466"/>
        </w:tabs>
      </w:pPr>
      <w:r>
        <w:rPr>
          <w:rFonts w:ascii="Times New Roman" w:hAnsi="Times New Roman"/>
          <w:caps/>
          <w:color w:val="000000" w:themeColor="text1"/>
          <w:szCs w:val="24"/>
          <w:highlight w:val="none"/>
          <w14:textFill>
            <w14:solidFill>
              <w14:schemeClr w14:val="tx1"/>
            </w14:solidFill>
          </w14:textFill>
        </w:rPr>
        <w:fldChar w:fldCharType="begin"/>
      </w:r>
      <w:r>
        <w:rPr>
          <w:rFonts w:ascii="Times New Roman" w:hAnsi="Times New Roman"/>
          <w:caps/>
          <w:szCs w:val="24"/>
          <w:highlight w:val="none"/>
        </w:rPr>
        <w:instrText xml:space="preserve"> HYPERLINK \l _Toc25711 </w:instrText>
      </w:r>
      <w:r>
        <w:rPr>
          <w:rFonts w:ascii="Times New Roman" w:hAnsi="Times New Roman"/>
          <w:caps/>
          <w:szCs w:val="24"/>
          <w:highlight w:val="none"/>
        </w:rPr>
        <w:fldChar w:fldCharType="separate"/>
      </w:r>
      <w:r>
        <w:rPr>
          <w:rFonts w:hint="eastAsia" w:ascii="黑体" w:hAnsi="Courier New" w:eastAsia="黑体" w:cs="Courier New"/>
          <w:bCs/>
          <w:szCs w:val="21"/>
          <w:highlight w:val="none"/>
        </w:rPr>
        <w:t xml:space="preserve">第四章 </w:t>
      </w:r>
      <w:r>
        <w:rPr>
          <w:rFonts w:ascii="黑体" w:hAnsi="Courier New" w:eastAsia="黑体" w:cs="Courier New"/>
          <w:bCs/>
          <w:szCs w:val="21"/>
          <w:highlight w:val="none"/>
        </w:rPr>
        <w:t xml:space="preserve"> </w:t>
      </w:r>
      <w:r>
        <w:rPr>
          <w:rFonts w:hint="eastAsia" w:ascii="黑体" w:hAnsi="Courier New" w:eastAsia="黑体" w:cs="Courier New"/>
          <w:bCs/>
          <w:szCs w:val="21"/>
          <w:highlight w:val="none"/>
        </w:rPr>
        <w:t>采购需求</w:t>
      </w:r>
      <w:r>
        <w:tab/>
      </w:r>
      <w:r>
        <w:fldChar w:fldCharType="begin"/>
      </w:r>
      <w:r>
        <w:instrText xml:space="preserve"> PAGEREF _Toc25711 \h </w:instrText>
      </w:r>
      <w:r>
        <w:fldChar w:fldCharType="separate"/>
      </w:r>
      <w:r>
        <w:t>22</w:t>
      </w:r>
      <w:r>
        <w:fldChar w:fldCharType="end"/>
      </w:r>
      <w:r>
        <w:rPr>
          <w:rFonts w:ascii="Times New Roman" w:hAnsi="Times New Roman"/>
          <w:caps/>
          <w:color w:val="000000" w:themeColor="text1"/>
          <w:szCs w:val="24"/>
          <w:highlight w:val="none"/>
          <w14:textFill>
            <w14:solidFill>
              <w14:schemeClr w14:val="tx1"/>
            </w14:solidFill>
          </w14:textFill>
        </w:rPr>
        <w:fldChar w:fldCharType="end"/>
      </w:r>
    </w:p>
    <w:p w14:paraId="5B90E5B0">
      <w:pPr>
        <w:pStyle w:val="33"/>
        <w:tabs>
          <w:tab w:val="right" w:leader="dot" w:pos="10466"/>
        </w:tabs>
      </w:pPr>
      <w:r>
        <w:rPr>
          <w:rFonts w:ascii="Times New Roman" w:hAnsi="Times New Roman"/>
          <w:caps/>
          <w:color w:val="000000" w:themeColor="text1"/>
          <w:szCs w:val="24"/>
          <w:highlight w:val="none"/>
          <w14:textFill>
            <w14:solidFill>
              <w14:schemeClr w14:val="tx1"/>
            </w14:solidFill>
          </w14:textFill>
        </w:rPr>
        <w:fldChar w:fldCharType="begin"/>
      </w:r>
      <w:r>
        <w:rPr>
          <w:rFonts w:ascii="Times New Roman" w:hAnsi="Times New Roman"/>
          <w:caps/>
          <w:szCs w:val="24"/>
          <w:highlight w:val="none"/>
        </w:rPr>
        <w:instrText xml:space="preserve"> HYPERLINK \l _Toc1332 </w:instrText>
      </w:r>
      <w:r>
        <w:rPr>
          <w:rFonts w:ascii="Times New Roman" w:hAnsi="Times New Roman"/>
          <w:caps/>
          <w:szCs w:val="24"/>
          <w:highlight w:val="none"/>
        </w:rPr>
        <w:fldChar w:fldCharType="separate"/>
      </w:r>
      <w:r>
        <w:rPr>
          <w:rFonts w:hint="eastAsia"/>
          <w:bCs/>
          <w:szCs w:val="28"/>
          <w:highlight w:val="none"/>
          <w:lang w:val="en-US" w:eastAsia="zh-CN"/>
        </w:rPr>
        <w:t>一、项目说明</w:t>
      </w:r>
      <w:r>
        <w:tab/>
      </w:r>
      <w:r>
        <w:fldChar w:fldCharType="begin"/>
      </w:r>
      <w:r>
        <w:instrText xml:space="preserve"> PAGEREF _Toc1332 \h </w:instrText>
      </w:r>
      <w:r>
        <w:fldChar w:fldCharType="separate"/>
      </w:r>
      <w:r>
        <w:t>22</w:t>
      </w:r>
      <w:r>
        <w:fldChar w:fldCharType="end"/>
      </w:r>
      <w:r>
        <w:rPr>
          <w:rFonts w:ascii="Times New Roman" w:hAnsi="Times New Roman"/>
          <w:caps/>
          <w:color w:val="000000" w:themeColor="text1"/>
          <w:szCs w:val="24"/>
          <w:highlight w:val="none"/>
          <w14:textFill>
            <w14:solidFill>
              <w14:schemeClr w14:val="tx1"/>
            </w14:solidFill>
          </w14:textFill>
        </w:rPr>
        <w:fldChar w:fldCharType="end"/>
      </w:r>
    </w:p>
    <w:p w14:paraId="4139ADD5">
      <w:pPr>
        <w:pStyle w:val="33"/>
        <w:tabs>
          <w:tab w:val="right" w:leader="dot" w:pos="10466"/>
        </w:tabs>
      </w:pPr>
      <w:r>
        <w:rPr>
          <w:rFonts w:ascii="Times New Roman" w:hAnsi="Times New Roman"/>
          <w:caps/>
          <w:color w:val="000000" w:themeColor="text1"/>
          <w:szCs w:val="24"/>
          <w:highlight w:val="none"/>
          <w14:textFill>
            <w14:solidFill>
              <w14:schemeClr w14:val="tx1"/>
            </w14:solidFill>
          </w14:textFill>
        </w:rPr>
        <w:fldChar w:fldCharType="begin"/>
      </w:r>
      <w:r>
        <w:rPr>
          <w:rFonts w:ascii="Times New Roman" w:hAnsi="Times New Roman"/>
          <w:caps/>
          <w:szCs w:val="24"/>
          <w:highlight w:val="none"/>
        </w:rPr>
        <w:instrText xml:space="preserve"> HYPERLINK \l _Toc5182 </w:instrText>
      </w:r>
      <w:r>
        <w:rPr>
          <w:rFonts w:ascii="Times New Roman" w:hAnsi="Times New Roman"/>
          <w:caps/>
          <w:szCs w:val="24"/>
          <w:highlight w:val="none"/>
        </w:rPr>
        <w:fldChar w:fldCharType="separate"/>
      </w:r>
      <w:r>
        <w:rPr>
          <w:rFonts w:hint="eastAsia"/>
          <w:bCs/>
          <w:szCs w:val="28"/>
          <w:highlight w:val="none"/>
          <w:lang w:val="en-US" w:eastAsia="zh-CN"/>
        </w:rPr>
        <w:t>二、项目内容</w:t>
      </w:r>
      <w:r>
        <w:tab/>
      </w:r>
      <w:r>
        <w:fldChar w:fldCharType="begin"/>
      </w:r>
      <w:r>
        <w:instrText xml:space="preserve"> PAGEREF _Toc5182 \h </w:instrText>
      </w:r>
      <w:r>
        <w:fldChar w:fldCharType="separate"/>
      </w:r>
      <w:r>
        <w:t>23</w:t>
      </w:r>
      <w:r>
        <w:fldChar w:fldCharType="end"/>
      </w:r>
      <w:r>
        <w:rPr>
          <w:rFonts w:ascii="Times New Roman" w:hAnsi="Times New Roman"/>
          <w:caps/>
          <w:color w:val="000000" w:themeColor="text1"/>
          <w:szCs w:val="24"/>
          <w:highlight w:val="none"/>
          <w14:textFill>
            <w14:solidFill>
              <w14:schemeClr w14:val="tx1"/>
            </w14:solidFill>
          </w14:textFill>
        </w:rPr>
        <w:fldChar w:fldCharType="end"/>
      </w:r>
    </w:p>
    <w:p w14:paraId="22BBF4F5">
      <w:pPr>
        <w:pStyle w:val="33"/>
        <w:tabs>
          <w:tab w:val="right" w:leader="dot" w:pos="10466"/>
        </w:tabs>
      </w:pPr>
      <w:r>
        <w:rPr>
          <w:rFonts w:ascii="Times New Roman" w:hAnsi="Times New Roman"/>
          <w:caps/>
          <w:color w:val="000000" w:themeColor="text1"/>
          <w:szCs w:val="24"/>
          <w:highlight w:val="none"/>
          <w14:textFill>
            <w14:solidFill>
              <w14:schemeClr w14:val="tx1"/>
            </w14:solidFill>
          </w14:textFill>
        </w:rPr>
        <w:fldChar w:fldCharType="begin"/>
      </w:r>
      <w:r>
        <w:rPr>
          <w:rFonts w:ascii="Times New Roman" w:hAnsi="Times New Roman"/>
          <w:caps/>
          <w:szCs w:val="24"/>
          <w:highlight w:val="none"/>
        </w:rPr>
        <w:instrText xml:space="preserve"> HYPERLINK \l _Toc19459 </w:instrText>
      </w:r>
      <w:r>
        <w:rPr>
          <w:rFonts w:ascii="Times New Roman" w:hAnsi="Times New Roman"/>
          <w:caps/>
          <w:szCs w:val="24"/>
          <w:highlight w:val="none"/>
        </w:rPr>
        <w:fldChar w:fldCharType="separate"/>
      </w:r>
      <w:r>
        <w:rPr>
          <w:rFonts w:hint="eastAsia"/>
          <w:bCs/>
          <w:szCs w:val="28"/>
          <w:highlight w:val="none"/>
          <w:lang w:val="en-US" w:eastAsia="zh-CN"/>
        </w:rPr>
        <w:t>三、项目服务要求</w:t>
      </w:r>
      <w:r>
        <w:tab/>
      </w:r>
      <w:r>
        <w:fldChar w:fldCharType="begin"/>
      </w:r>
      <w:r>
        <w:instrText xml:space="preserve"> PAGEREF _Toc19459 \h </w:instrText>
      </w:r>
      <w:r>
        <w:fldChar w:fldCharType="separate"/>
      </w:r>
      <w:r>
        <w:t>29</w:t>
      </w:r>
      <w:r>
        <w:fldChar w:fldCharType="end"/>
      </w:r>
      <w:r>
        <w:rPr>
          <w:rFonts w:ascii="Times New Roman" w:hAnsi="Times New Roman"/>
          <w:caps/>
          <w:color w:val="000000" w:themeColor="text1"/>
          <w:szCs w:val="24"/>
          <w:highlight w:val="none"/>
          <w14:textFill>
            <w14:solidFill>
              <w14:schemeClr w14:val="tx1"/>
            </w14:solidFill>
          </w14:textFill>
        </w:rPr>
        <w:fldChar w:fldCharType="end"/>
      </w:r>
    </w:p>
    <w:p w14:paraId="78A63F64">
      <w:pPr>
        <w:pStyle w:val="33"/>
        <w:tabs>
          <w:tab w:val="right" w:leader="dot" w:pos="10466"/>
        </w:tabs>
      </w:pPr>
      <w:r>
        <w:rPr>
          <w:rFonts w:ascii="Times New Roman" w:hAnsi="Times New Roman"/>
          <w:caps/>
          <w:color w:val="000000" w:themeColor="text1"/>
          <w:szCs w:val="24"/>
          <w:highlight w:val="none"/>
          <w14:textFill>
            <w14:solidFill>
              <w14:schemeClr w14:val="tx1"/>
            </w14:solidFill>
          </w14:textFill>
        </w:rPr>
        <w:fldChar w:fldCharType="begin"/>
      </w:r>
      <w:r>
        <w:rPr>
          <w:rFonts w:ascii="Times New Roman" w:hAnsi="Times New Roman"/>
          <w:caps/>
          <w:szCs w:val="24"/>
          <w:highlight w:val="none"/>
        </w:rPr>
        <w:instrText xml:space="preserve"> HYPERLINK \l _Toc2871 </w:instrText>
      </w:r>
      <w:r>
        <w:rPr>
          <w:rFonts w:ascii="Times New Roman" w:hAnsi="Times New Roman"/>
          <w:caps/>
          <w:szCs w:val="24"/>
          <w:highlight w:val="none"/>
        </w:rPr>
        <w:fldChar w:fldCharType="separate"/>
      </w:r>
      <w:r>
        <w:rPr>
          <w:rFonts w:hint="eastAsia"/>
          <w:bCs/>
          <w:szCs w:val="28"/>
          <w:highlight w:val="none"/>
          <w:lang w:val="en-US" w:eastAsia="zh-CN"/>
        </w:rPr>
        <w:t>四</w:t>
      </w:r>
      <w:r>
        <w:rPr>
          <w:rFonts w:hint="eastAsia"/>
          <w:bCs/>
          <w:szCs w:val="28"/>
          <w:highlight w:val="none"/>
        </w:rPr>
        <w:t>、质量要求以及其他要求</w:t>
      </w:r>
      <w:r>
        <w:tab/>
      </w:r>
      <w:r>
        <w:fldChar w:fldCharType="begin"/>
      </w:r>
      <w:r>
        <w:instrText xml:space="preserve"> PAGEREF _Toc2871 \h </w:instrText>
      </w:r>
      <w:r>
        <w:fldChar w:fldCharType="separate"/>
      </w:r>
      <w:r>
        <w:t>33</w:t>
      </w:r>
      <w:r>
        <w:fldChar w:fldCharType="end"/>
      </w:r>
      <w:r>
        <w:rPr>
          <w:rFonts w:ascii="Times New Roman" w:hAnsi="Times New Roman"/>
          <w:caps/>
          <w:color w:val="000000" w:themeColor="text1"/>
          <w:szCs w:val="24"/>
          <w:highlight w:val="none"/>
          <w14:textFill>
            <w14:solidFill>
              <w14:schemeClr w14:val="tx1"/>
            </w14:solidFill>
          </w14:textFill>
        </w:rPr>
        <w:fldChar w:fldCharType="end"/>
      </w:r>
    </w:p>
    <w:p w14:paraId="65F7DD91">
      <w:pPr>
        <w:pStyle w:val="33"/>
        <w:tabs>
          <w:tab w:val="right" w:leader="dot" w:pos="10466"/>
        </w:tabs>
      </w:pPr>
      <w:r>
        <w:rPr>
          <w:rFonts w:ascii="Times New Roman" w:hAnsi="Times New Roman"/>
          <w:caps/>
          <w:color w:val="000000" w:themeColor="text1"/>
          <w:szCs w:val="24"/>
          <w:highlight w:val="none"/>
          <w14:textFill>
            <w14:solidFill>
              <w14:schemeClr w14:val="tx1"/>
            </w14:solidFill>
          </w14:textFill>
        </w:rPr>
        <w:fldChar w:fldCharType="begin"/>
      </w:r>
      <w:r>
        <w:rPr>
          <w:rFonts w:ascii="Times New Roman" w:hAnsi="Times New Roman"/>
          <w:caps/>
          <w:szCs w:val="24"/>
          <w:highlight w:val="none"/>
        </w:rPr>
        <w:instrText xml:space="preserve"> HYPERLINK \l _Toc6779 </w:instrText>
      </w:r>
      <w:r>
        <w:rPr>
          <w:rFonts w:ascii="Times New Roman" w:hAnsi="Times New Roman"/>
          <w:caps/>
          <w:szCs w:val="24"/>
          <w:highlight w:val="none"/>
        </w:rPr>
        <w:fldChar w:fldCharType="separate"/>
      </w:r>
      <w:r>
        <w:rPr>
          <w:rFonts w:hint="eastAsia"/>
          <w:bCs/>
          <w:szCs w:val="28"/>
          <w:highlight w:val="none"/>
          <w:lang w:val="en-US" w:eastAsia="zh-CN"/>
        </w:rPr>
        <w:t>五</w:t>
      </w:r>
      <w:r>
        <w:rPr>
          <w:rFonts w:hint="eastAsia"/>
          <w:bCs/>
          <w:szCs w:val="28"/>
          <w:highlight w:val="none"/>
        </w:rPr>
        <w:t>、人员及机械配置要求</w:t>
      </w:r>
      <w:r>
        <w:tab/>
      </w:r>
      <w:r>
        <w:fldChar w:fldCharType="begin"/>
      </w:r>
      <w:r>
        <w:instrText xml:space="preserve"> PAGEREF _Toc6779 \h </w:instrText>
      </w:r>
      <w:r>
        <w:fldChar w:fldCharType="separate"/>
      </w:r>
      <w:r>
        <w:t>33</w:t>
      </w:r>
      <w:r>
        <w:fldChar w:fldCharType="end"/>
      </w:r>
      <w:r>
        <w:rPr>
          <w:rFonts w:ascii="Times New Roman" w:hAnsi="Times New Roman"/>
          <w:caps/>
          <w:color w:val="000000" w:themeColor="text1"/>
          <w:szCs w:val="24"/>
          <w:highlight w:val="none"/>
          <w14:textFill>
            <w14:solidFill>
              <w14:schemeClr w14:val="tx1"/>
            </w14:solidFill>
          </w14:textFill>
        </w:rPr>
        <w:fldChar w:fldCharType="end"/>
      </w:r>
    </w:p>
    <w:p w14:paraId="7D801661">
      <w:pPr>
        <w:pStyle w:val="33"/>
        <w:tabs>
          <w:tab w:val="right" w:leader="dot" w:pos="10466"/>
        </w:tabs>
      </w:pPr>
      <w:r>
        <w:rPr>
          <w:rFonts w:ascii="Times New Roman" w:hAnsi="Times New Roman"/>
          <w:caps/>
          <w:color w:val="000000" w:themeColor="text1"/>
          <w:szCs w:val="24"/>
          <w:highlight w:val="none"/>
          <w14:textFill>
            <w14:solidFill>
              <w14:schemeClr w14:val="tx1"/>
            </w14:solidFill>
          </w14:textFill>
        </w:rPr>
        <w:fldChar w:fldCharType="begin"/>
      </w:r>
      <w:r>
        <w:rPr>
          <w:rFonts w:ascii="Times New Roman" w:hAnsi="Times New Roman"/>
          <w:caps/>
          <w:szCs w:val="24"/>
          <w:highlight w:val="none"/>
        </w:rPr>
        <w:instrText xml:space="preserve"> HYPERLINK \l _Toc17600 </w:instrText>
      </w:r>
      <w:r>
        <w:rPr>
          <w:rFonts w:ascii="Times New Roman" w:hAnsi="Times New Roman"/>
          <w:caps/>
          <w:szCs w:val="24"/>
          <w:highlight w:val="none"/>
        </w:rPr>
        <w:fldChar w:fldCharType="separate"/>
      </w:r>
      <w:r>
        <w:rPr>
          <w:rFonts w:hint="eastAsia"/>
          <w:bCs/>
          <w:szCs w:val="28"/>
          <w:highlight w:val="none"/>
          <w:lang w:val="en-US" w:eastAsia="zh-CN"/>
        </w:rPr>
        <w:t>六</w:t>
      </w:r>
      <w:r>
        <w:rPr>
          <w:rFonts w:hint="eastAsia"/>
          <w:bCs/>
          <w:szCs w:val="28"/>
          <w:highlight w:val="none"/>
        </w:rPr>
        <w:t>、报价要求</w:t>
      </w:r>
      <w:r>
        <w:tab/>
      </w:r>
      <w:r>
        <w:fldChar w:fldCharType="begin"/>
      </w:r>
      <w:r>
        <w:instrText xml:space="preserve"> PAGEREF _Toc17600 \h </w:instrText>
      </w:r>
      <w:r>
        <w:fldChar w:fldCharType="separate"/>
      </w:r>
      <w:r>
        <w:t>34</w:t>
      </w:r>
      <w:r>
        <w:fldChar w:fldCharType="end"/>
      </w:r>
      <w:r>
        <w:rPr>
          <w:rFonts w:ascii="Times New Roman" w:hAnsi="Times New Roman"/>
          <w:caps/>
          <w:color w:val="000000" w:themeColor="text1"/>
          <w:szCs w:val="24"/>
          <w:highlight w:val="none"/>
          <w14:textFill>
            <w14:solidFill>
              <w14:schemeClr w14:val="tx1"/>
            </w14:solidFill>
          </w14:textFill>
        </w:rPr>
        <w:fldChar w:fldCharType="end"/>
      </w:r>
    </w:p>
    <w:p w14:paraId="7B1F61BC">
      <w:pPr>
        <w:pStyle w:val="27"/>
        <w:tabs>
          <w:tab w:val="right" w:leader="dot" w:pos="10466"/>
        </w:tabs>
      </w:pPr>
      <w:r>
        <w:rPr>
          <w:rFonts w:ascii="Times New Roman" w:hAnsi="Times New Roman"/>
          <w:caps/>
          <w:color w:val="000000" w:themeColor="text1"/>
          <w:szCs w:val="24"/>
          <w:highlight w:val="none"/>
          <w14:textFill>
            <w14:solidFill>
              <w14:schemeClr w14:val="tx1"/>
            </w14:solidFill>
          </w14:textFill>
        </w:rPr>
        <w:fldChar w:fldCharType="begin"/>
      </w:r>
      <w:r>
        <w:rPr>
          <w:rFonts w:ascii="Times New Roman" w:hAnsi="Times New Roman"/>
          <w:caps/>
          <w:szCs w:val="24"/>
          <w:highlight w:val="none"/>
        </w:rPr>
        <w:instrText xml:space="preserve"> HYPERLINK \l _Toc16818 </w:instrText>
      </w:r>
      <w:r>
        <w:rPr>
          <w:rFonts w:ascii="Times New Roman" w:hAnsi="Times New Roman"/>
          <w:caps/>
          <w:szCs w:val="24"/>
          <w:highlight w:val="none"/>
        </w:rPr>
        <w:fldChar w:fldCharType="separate"/>
      </w:r>
      <w:r>
        <w:rPr>
          <w:rFonts w:hint="eastAsia" w:ascii="黑体" w:hAnsi="Courier New" w:eastAsia="黑体" w:cs="Courier New"/>
          <w:bCs/>
          <w:szCs w:val="21"/>
          <w:highlight w:val="none"/>
        </w:rPr>
        <w:t>第五章  评审因素和评分标准</w:t>
      </w:r>
      <w:r>
        <w:tab/>
      </w:r>
      <w:r>
        <w:fldChar w:fldCharType="begin"/>
      </w:r>
      <w:r>
        <w:instrText xml:space="preserve"> PAGEREF _Toc16818 \h </w:instrText>
      </w:r>
      <w:r>
        <w:fldChar w:fldCharType="separate"/>
      </w:r>
      <w:r>
        <w:t>35</w:t>
      </w:r>
      <w:r>
        <w:fldChar w:fldCharType="end"/>
      </w:r>
      <w:r>
        <w:rPr>
          <w:rFonts w:ascii="Times New Roman" w:hAnsi="Times New Roman"/>
          <w:caps/>
          <w:color w:val="000000" w:themeColor="text1"/>
          <w:szCs w:val="24"/>
          <w:highlight w:val="none"/>
          <w14:textFill>
            <w14:solidFill>
              <w14:schemeClr w14:val="tx1"/>
            </w14:solidFill>
          </w14:textFill>
        </w:rPr>
        <w:fldChar w:fldCharType="end"/>
      </w:r>
    </w:p>
    <w:p w14:paraId="40EA2B9C">
      <w:pPr>
        <w:pStyle w:val="27"/>
        <w:tabs>
          <w:tab w:val="right" w:leader="dot" w:pos="10466"/>
        </w:tabs>
      </w:pPr>
      <w:r>
        <w:rPr>
          <w:rFonts w:ascii="Times New Roman" w:hAnsi="Times New Roman"/>
          <w:caps/>
          <w:color w:val="000000" w:themeColor="text1"/>
          <w:szCs w:val="24"/>
          <w:highlight w:val="none"/>
          <w14:textFill>
            <w14:solidFill>
              <w14:schemeClr w14:val="tx1"/>
            </w14:solidFill>
          </w14:textFill>
        </w:rPr>
        <w:fldChar w:fldCharType="begin"/>
      </w:r>
      <w:r>
        <w:rPr>
          <w:rFonts w:ascii="Times New Roman" w:hAnsi="Times New Roman"/>
          <w:caps/>
          <w:szCs w:val="24"/>
          <w:highlight w:val="none"/>
        </w:rPr>
        <w:instrText xml:space="preserve"> HYPERLINK \l _Toc3022 </w:instrText>
      </w:r>
      <w:r>
        <w:rPr>
          <w:rFonts w:ascii="Times New Roman" w:hAnsi="Times New Roman"/>
          <w:caps/>
          <w:szCs w:val="24"/>
          <w:highlight w:val="none"/>
        </w:rPr>
        <w:fldChar w:fldCharType="separate"/>
      </w:r>
      <w:r>
        <w:rPr>
          <w:rFonts w:hint="eastAsia" w:ascii="黑体" w:hAnsi="Courier New" w:eastAsia="黑体" w:cs="Courier New"/>
          <w:bCs/>
          <w:szCs w:val="21"/>
          <w:highlight w:val="none"/>
        </w:rPr>
        <w:t>第六章  投标文件格式</w:t>
      </w:r>
      <w:r>
        <w:tab/>
      </w:r>
      <w:r>
        <w:fldChar w:fldCharType="begin"/>
      </w:r>
      <w:r>
        <w:instrText xml:space="preserve"> PAGEREF _Toc3022 \h </w:instrText>
      </w:r>
      <w:r>
        <w:fldChar w:fldCharType="separate"/>
      </w:r>
      <w:r>
        <w:t>40</w:t>
      </w:r>
      <w:r>
        <w:fldChar w:fldCharType="end"/>
      </w:r>
      <w:r>
        <w:rPr>
          <w:rFonts w:ascii="Times New Roman" w:hAnsi="Times New Roman"/>
          <w:caps/>
          <w:color w:val="000000" w:themeColor="text1"/>
          <w:szCs w:val="24"/>
          <w:highlight w:val="none"/>
          <w14:textFill>
            <w14:solidFill>
              <w14:schemeClr w14:val="tx1"/>
            </w14:solidFill>
          </w14:textFill>
        </w:rPr>
        <w:fldChar w:fldCharType="end"/>
      </w:r>
    </w:p>
    <w:p w14:paraId="44541FA6">
      <w:pPr>
        <w:pStyle w:val="33"/>
        <w:tabs>
          <w:tab w:val="right" w:leader="dot" w:pos="10466"/>
        </w:tabs>
      </w:pPr>
      <w:r>
        <w:rPr>
          <w:rFonts w:ascii="Times New Roman" w:hAnsi="Times New Roman"/>
          <w:caps/>
          <w:color w:val="000000" w:themeColor="text1"/>
          <w:szCs w:val="24"/>
          <w:highlight w:val="none"/>
          <w14:textFill>
            <w14:solidFill>
              <w14:schemeClr w14:val="tx1"/>
            </w14:solidFill>
          </w14:textFill>
        </w:rPr>
        <w:fldChar w:fldCharType="begin"/>
      </w:r>
      <w:r>
        <w:rPr>
          <w:rFonts w:ascii="Times New Roman" w:hAnsi="Times New Roman"/>
          <w:caps/>
          <w:szCs w:val="24"/>
          <w:highlight w:val="none"/>
        </w:rPr>
        <w:instrText xml:space="preserve"> HYPERLINK \l _Toc3603 </w:instrText>
      </w:r>
      <w:r>
        <w:rPr>
          <w:rFonts w:ascii="Times New Roman" w:hAnsi="Times New Roman"/>
          <w:caps/>
          <w:szCs w:val="24"/>
          <w:highlight w:val="none"/>
        </w:rPr>
        <w:fldChar w:fldCharType="separate"/>
      </w:r>
      <w:r>
        <w:rPr>
          <w:rFonts w:hint="eastAsia" w:ascii="Times New Roman" w:hAnsi="Times New Roman"/>
          <w:bCs/>
          <w:szCs w:val="28"/>
          <w:highlight w:val="none"/>
        </w:rPr>
        <w:t>附件1 开标一览表</w:t>
      </w:r>
      <w:r>
        <w:tab/>
      </w:r>
      <w:r>
        <w:fldChar w:fldCharType="begin"/>
      </w:r>
      <w:r>
        <w:instrText xml:space="preserve"> PAGEREF _Toc3603 \h </w:instrText>
      </w:r>
      <w:r>
        <w:fldChar w:fldCharType="separate"/>
      </w:r>
      <w:r>
        <w:t>42</w:t>
      </w:r>
      <w:r>
        <w:fldChar w:fldCharType="end"/>
      </w:r>
      <w:r>
        <w:rPr>
          <w:rFonts w:ascii="Times New Roman" w:hAnsi="Times New Roman"/>
          <w:caps/>
          <w:color w:val="000000" w:themeColor="text1"/>
          <w:szCs w:val="24"/>
          <w:highlight w:val="none"/>
          <w14:textFill>
            <w14:solidFill>
              <w14:schemeClr w14:val="tx1"/>
            </w14:solidFill>
          </w14:textFill>
        </w:rPr>
        <w:fldChar w:fldCharType="end"/>
      </w:r>
    </w:p>
    <w:p w14:paraId="24ED019D">
      <w:pPr>
        <w:pStyle w:val="33"/>
        <w:tabs>
          <w:tab w:val="right" w:leader="dot" w:pos="10466"/>
        </w:tabs>
      </w:pPr>
      <w:r>
        <w:rPr>
          <w:rFonts w:ascii="Times New Roman" w:hAnsi="Times New Roman"/>
          <w:caps/>
          <w:color w:val="000000" w:themeColor="text1"/>
          <w:szCs w:val="24"/>
          <w:highlight w:val="none"/>
          <w14:textFill>
            <w14:solidFill>
              <w14:schemeClr w14:val="tx1"/>
            </w14:solidFill>
          </w14:textFill>
        </w:rPr>
        <w:fldChar w:fldCharType="begin"/>
      </w:r>
      <w:r>
        <w:rPr>
          <w:rFonts w:ascii="Times New Roman" w:hAnsi="Times New Roman"/>
          <w:caps/>
          <w:szCs w:val="24"/>
          <w:highlight w:val="none"/>
        </w:rPr>
        <w:instrText xml:space="preserve"> HYPERLINK \l _Toc15142 </w:instrText>
      </w:r>
      <w:r>
        <w:rPr>
          <w:rFonts w:ascii="Times New Roman" w:hAnsi="Times New Roman"/>
          <w:caps/>
          <w:szCs w:val="24"/>
          <w:highlight w:val="none"/>
        </w:rPr>
        <w:fldChar w:fldCharType="separate"/>
      </w:r>
      <w:r>
        <w:rPr>
          <w:rFonts w:hint="eastAsia" w:ascii="Times New Roman" w:hAnsi="Times New Roman" w:eastAsia="宋体" w:cs="Times New Roman"/>
          <w:bCs/>
          <w:szCs w:val="28"/>
          <w:highlight w:val="none"/>
        </w:rPr>
        <w:t>附件</w:t>
      </w:r>
      <w:r>
        <w:rPr>
          <w:rFonts w:hint="eastAsia" w:ascii="Times New Roman" w:hAnsi="Times New Roman" w:eastAsia="宋体" w:cs="Times New Roman"/>
          <w:bCs/>
          <w:szCs w:val="28"/>
          <w:highlight w:val="none"/>
          <w:lang w:val="en-US" w:eastAsia="zh-CN"/>
        </w:rPr>
        <w:t>2</w:t>
      </w:r>
      <w:r>
        <w:rPr>
          <w:rFonts w:hint="eastAsia" w:ascii="Times New Roman" w:hAnsi="Times New Roman" w:eastAsia="宋体" w:cs="Times New Roman"/>
          <w:bCs/>
          <w:szCs w:val="28"/>
          <w:highlight w:val="none"/>
        </w:rPr>
        <w:t xml:space="preserve"> 项目服务要求响应及偏离表</w:t>
      </w:r>
      <w:r>
        <w:tab/>
      </w:r>
      <w:r>
        <w:fldChar w:fldCharType="begin"/>
      </w:r>
      <w:r>
        <w:instrText xml:space="preserve"> PAGEREF _Toc15142 \h </w:instrText>
      </w:r>
      <w:r>
        <w:fldChar w:fldCharType="separate"/>
      </w:r>
      <w:r>
        <w:t>43</w:t>
      </w:r>
      <w:r>
        <w:fldChar w:fldCharType="end"/>
      </w:r>
      <w:r>
        <w:rPr>
          <w:rFonts w:ascii="Times New Roman" w:hAnsi="Times New Roman"/>
          <w:caps/>
          <w:color w:val="000000" w:themeColor="text1"/>
          <w:szCs w:val="24"/>
          <w:highlight w:val="none"/>
          <w14:textFill>
            <w14:solidFill>
              <w14:schemeClr w14:val="tx1"/>
            </w14:solidFill>
          </w14:textFill>
        </w:rPr>
        <w:fldChar w:fldCharType="end"/>
      </w:r>
    </w:p>
    <w:p w14:paraId="2BA33FA9">
      <w:pPr>
        <w:pStyle w:val="33"/>
        <w:tabs>
          <w:tab w:val="right" w:leader="dot" w:pos="10466"/>
        </w:tabs>
      </w:pPr>
      <w:r>
        <w:rPr>
          <w:rFonts w:ascii="Times New Roman" w:hAnsi="Times New Roman"/>
          <w:caps/>
          <w:color w:val="000000" w:themeColor="text1"/>
          <w:szCs w:val="24"/>
          <w:highlight w:val="none"/>
          <w14:textFill>
            <w14:solidFill>
              <w14:schemeClr w14:val="tx1"/>
            </w14:solidFill>
          </w14:textFill>
        </w:rPr>
        <w:fldChar w:fldCharType="begin"/>
      </w:r>
      <w:r>
        <w:rPr>
          <w:rFonts w:ascii="Times New Roman" w:hAnsi="Times New Roman"/>
          <w:caps/>
          <w:szCs w:val="24"/>
          <w:highlight w:val="none"/>
        </w:rPr>
        <w:instrText xml:space="preserve"> HYPERLINK \l _Toc22324 </w:instrText>
      </w:r>
      <w:r>
        <w:rPr>
          <w:rFonts w:ascii="Times New Roman" w:hAnsi="Times New Roman"/>
          <w:caps/>
          <w:szCs w:val="24"/>
          <w:highlight w:val="none"/>
        </w:rPr>
        <w:fldChar w:fldCharType="separate"/>
      </w:r>
      <w:r>
        <w:rPr>
          <w:rFonts w:hint="eastAsia" w:ascii="Times New Roman" w:hAnsi="Times New Roman"/>
          <w:bCs/>
          <w:szCs w:val="28"/>
          <w:highlight w:val="none"/>
        </w:rPr>
        <w:t>附件</w:t>
      </w:r>
      <w:r>
        <w:rPr>
          <w:rFonts w:hint="eastAsia" w:ascii="Times New Roman" w:hAnsi="Times New Roman"/>
          <w:bCs/>
          <w:szCs w:val="28"/>
          <w:highlight w:val="none"/>
          <w:lang w:val="en-US" w:eastAsia="zh-CN"/>
        </w:rPr>
        <w:t>3</w:t>
      </w:r>
      <w:r>
        <w:rPr>
          <w:rFonts w:ascii="Times New Roman" w:hAnsi="Times New Roman"/>
          <w:bCs/>
          <w:szCs w:val="28"/>
          <w:highlight w:val="none"/>
        </w:rPr>
        <w:t xml:space="preserve"> </w:t>
      </w:r>
      <w:r>
        <w:rPr>
          <w:rFonts w:hint="eastAsia" w:ascii="Times New Roman" w:hAnsi="Times New Roman"/>
          <w:bCs/>
          <w:szCs w:val="28"/>
          <w:highlight w:val="none"/>
        </w:rPr>
        <w:t>项目方案</w:t>
      </w:r>
      <w:r>
        <w:tab/>
      </w:r>
      <w:r>
        <w:fldChar w:fldCharType="begin"/>
      </w:r>
      <w:r>
        <w:instrText xml:space="preserve"> PAGEREF _Toc22324 \h </w:instrText>
      </w:r>
      <w:r>
        <w:fldChar w:fldCharType="separate"/>
      </w:r>
      <w:r>
        <w:t>44</w:t>
      </w:r>
      <w:r>
        <w:fldChar w:fldCharType="end"/>
      </w:r>
      <w:r>
        <w:rPr>
          <w:rFonts w:ascii="Times New Roman" w:hAnsi="Times New Roman"/>
          <w:caps/>
          <w:color w:val="000000" w:themeColor="text1"/>
          <w:szCs w:val="24"/>
          <w:highlight w:val="none"/>
          <w14:textFill>
            <w14:solidFill>
              <w14:schemeClr w14:val="tx1"/>
            </w14:solidFill>
          </w14:textFill>
        </w:rPr>
        <w:fldChar w:fldCharType="end"/>
      </w:r>
    </w:p>
    <w:p w14:paraId="52762F71">
      <w:pPr>
        <w:pStyle w:val="33"/>
        <w:tabs>
          <w:tab w:val="right" w:leader="dot" w:pos="10466"/>
        </w:tabs>
      </w:pPr>
      <w:r>
        <w:rPr>
          <w:rFonts w:ascii="Times New Roman" w:hAnsi="Times New Roman"/>
          <w:caps/>
          <w:color w:val="000000" w:themeColor="text1"/>
          <w:szCs w:val="24"/>
          <w:highlight w:val="none"/>
          <w14:textFill>
            <w14:solidFill>
              <w14:schemeClr w14:val="tx1"/>
            </w14:solidFill>
          </w14:textFill>
        </w:rPr>
        <w:fldChar w:fldCharType="begin"/>
      </w:r>
      <w:r>
        <w:rPr>
          <w:rFonts w:ascii="Times New Roman" w:hAnsi="Times New Roman"/>
          <w:caps/>
          <w:szCs w:val="24"/>
          <w:highlight w:val="none"/>
        </w:rPr>
        <w:instrText xml:space="preserve"> HYPERLINK \l _Toc7270 </w:instrText>
      </w:r>
      <w:r>
        <w:rPr>
          <w:rFonts w:ascii="Times New Roman" w:hAnsi="Times New Roman"/>
          <w:caps/>
          <w:szCs w:val="24"/>
          <w:highlight w:val="none"/>
        </w:rPr>
        <w:fldChar w:fldCharType="separate"/>
      </w:r>
      <w:r>
        <w:rPr>
          <w:rFonts w:hint="eastAsia" w:ascii="Times New Roman" w:hAnsi="Times New Roman" w:eastAsia="宋体" w:cs="Times New Roman"/>
          <w:bCs/>
          <w:szCs w:val="28"/>
          <w:highlight w:val="none"/>
        </w:rPr>
        <w:t>附件4 人员配置情况</w:t>
      </w:r>
      <w:r>
        <w:tab/>
      </w:r>
      <w:r>
        <w:fldChar w:fldCharType="begin"/>
      </w:r>
      <w:r>
        <w:instrText xml:space="preserve"> PAGEREF _Toc7270 \h </w:instrText>
      </w:r>
      <w:r>
        <w:fldChar w:fldCharType="separate"/>
      </w:r>
      <w:r>
        <w:t>45</w:t>
      </w:r>
      <w:r>
        <w:fldChar w:fldCharType="end"/>
      </w:r>
      <w:r>
        <w:rPr>
          <w:rFonts w:ascii="Times New Roman" w:hAnsi="Times New Roman"/>
          <w:caps/>
          <w:color w:val="000000" w:themeColor="text1"/>
          <w:szCs w:val="24"/>
          <w:highlight w:val="none"/>
          <w14:textFill>
            <w14:solidFill>
              <w14:schemeClr w14:val="tx1"/>
            </w14:solidFill>
          </w14:textFill>
        </w:rPr>
        <w:fldChar w:fldCharType="end"/>
      </w:r>
    </w:p>
    <w:p w14:paraId="78E6D1ED">
      <w:pPr>
        <w:pStyle w:val="33"/>
        <w:tabs>
          <w:tab w:val="right" w:leader="dot" w:pos="10466"/>
        </w:tabs>
      </w:pPr>
      <w:r>
        <w:rPr>
          <w:rFonts w:ascii="Times New Roman" w:hAnsi="Times New Roman"/>
          <w:caps/>
          <w:color w:val="000000" w:themeColor="text1"/>
          <w:szCs w:val="24"/>
          <w:highlight w:val="none"/>
          <w14:textFill>
            <w14:solidFill>
              <w14:schemeClr w14:val="tx1"/>
            </w14:solidFill>
          </w14:textFill>
        </w:rPr>
        <w:fldChar w:fldCharType="begin"/>
      </w:r>
      <w:r>
        <w:rPr>
          <w:rFonts w:ascii="Times New Roman" w:hAnsi="Times New Roman"/>
          <w:caps/>
          <w:szCs w:val="24"/>
          <w:highlight w:val="none"/>
        </w:rPr>
        <w:instrText xml:space="preserve"> HYPERLINK \l _Toc14127 </w:instrText>
      </w:r>
      <w:r>
        <w:rPr>
          <w:rFonts w:ascii="Times New Roman" w:hAnsi="Times New Roman"/>
          <w:caps/>
          <w:szCs w:val="24"/>
          <w:highlight w:val="none"/>
        </w:rPr>
        <w:fldChar w:fldCharType="separate"/>
      </w:r>
      <w:r>
        <w:rPr>
          <w:rFonts w:hint="eastAsia" w:ascii="Times New Roman" w:hAnsi="Times New Roman" w:eastAsia="宋体" w:cs="Times New Roman"/>
          <w:bCs/>
          <w:szCs w:val="28"/>
          <w:highlight w:val="none"/>
        </w:rPr>
        <w:t>附件</w:t>
      </w:r>
      <w:r>
        <w:rPr>
          <w:rFonts w:hint="eastAsia" w:ascii="Times New Roman" w:hAnsi="Times New Roman" w:eastAsia="宋体" w:cs="Times New Roman"/>
          <w:bCs/>
          <w:szCs w:val="28"/>
          <w:highlight w:val="none"/>
          <w:lang w:val="en-US" w:eastAsia="zh-CN"/>
        </w:rPr>
        <w:t>5</w:t>
      </w:r>
      <w:r>
        <w:rPr>
          <w:rFonts w:hint="eastAsia" w:ascii="Times New Roman" w:hAnsi="Times New Roman" w:eastAsia="宋体" w:cs="Times New Roman"/>
          <w:bCs/>
          <w:szCs w:val="28"/>
          <w:highlight w:val="none"/>
        </w:rPr>
        <w:t xml:space="preserve"> 养护车辆配备一览表</w:t>
      </w:r>
      <w:r>
        <w:tab/>
      </w:r>
      <w:r>
        <w:fldChar w:fldCharType="begin"/>
      </w:r>
      <w:r>
        <w:instrText xml:space="preserve"> PAGEREF _Toc14127 \h </w:instrText>
      </w:r>
      <w:r>
        <w:fldChar w:fldCharType="separate"/>
      </w:r>
      <w:r>
        <w:t>46</w:t>
      </w:r>
      <w:r>
        <w:fldChar w:fldCharType="end"/>
      </w:r>
      <w:r>
        <w:rPr>
          <w:rFonts w:ascii="Times New Roman" w:hAnsi="Times New Roman"/>
          <w:caps/>
          <w:color w:val="000000" w:themeColor="text1"/>
          <w:szCs w:val="24"/>
          <w:highlight w:val="none"/>
          <w14:textFill>
            <w14:solidFill>
              <w14:schemeClr w14:val="tx1"/>
            </w14:solidFill>
          </w14:textFill>
        </w:rPr>
        <w:fldChar w:fldCharType="end"/>
      </w:r>
    </w:p>
    <w:p w14:paraId="4BBE4175">
      <w:pPr>
        <w:pStyle w:val="33"/>
        <w:tabs>
          <w:tab w:val="right" w:leader="dot" w:pos="10466"/>
        </w:tabs>
      </w:pPr>
      <w:r>
        <w:rPr>
          <w:rFonts w:ascii="Times New Roman" w:hAnsi="Times New Roman"/>
          <w:caps/>
          <w:color w:val="000000" w:themeColor="text1"/>
          <w:szCs w:val="24"/>
          <w:highlight w:val="none"/>
          <w14:textFill>
            <w14:solidFill>
              <w14:schemeClr w14:val="tx1"/>
            </w14:solidFill>
          </w14:textFill>
        </w:rPr>
        <w:fldChar w:fldCharType="begin"/>
      </w:r>
      <w:r>
        <w:rPr>
          <w:rFonts w:ascii="Times New Roman" w:hAnsi="Times New Roman"/>
          <w:caps/>
          <w:szCs w:val="24"/>
          <w:highlight w:val="none"/>
        </w:rPr>
        <w:instrText xml:space="preserve"> HYPERLINK \l _Toc17511 </w:instrText>
      </w:r>
      <w:r>
        <w:rPr>
          <w:rFonts w:ascii="Times New Roman" w:hAnsi="Times New Roman"/>
          <w:caps/>
          <w:szCs w:val="24"/>
          <w:highlight w:val="none"/>
        </w:rPr>
        <w:fldChar w:fldCharType="separate"/>
      </w:r>
      <w:r>
        <w:rPr>
          <w:rFonts w:hint="eastAsia" w:ascii="Times New Roman" w:hAnsi="Times New Roman" w:eastAsia="宋体" w:cs="Times New Roman"/>
          <w:bCs/>
          <w:szCs w:val="28"/>
          <w:highlight w:val="none"/>
        </w:rPr>
        <w:t>附件</w:t>
      </w:r>
      <w:r>
        <w:rPr>
          <w:rFonts w:hint="eastAsia" w:ascii="Times New Roman" w:hAnsi="Times New Roman" w:eastAsia="宋体" w:cs="Times New Roman"/>
          <w:bCs/>
          <w:szCs w:val="28"/>
          <w:highlight w:val="none"/>
          <w:lang w:val="en-US" w:eastAsia="zh-CN"/>
        </w:rPr>
        <w:t>6</w:t>
      </w:r>
      <w:r>
        <w:rPr>
          <w:rFonts w:hint="eastAsia" w:ascii="Times New Roman" w:hAnsi="Times New Roman" w:eastAsia="宋体" w:cs="Times New Roman"/>
          <w:bCs/>
          <w:szCs w:val="28"/>
          <w:highlight w:val="none"/>
        </w:rPr>
        <w:t xml:space="preserve"> 业绩一览表</w:t>
      </w:r>
      <w:r>
        <w:tab/>
      </w:r>
      <w:r>
        <w:fldChar w:fldCharType="begin"/>
      </w:r>
      <w:r>
        <w:instrText xml:space="preserve"> PAGEREF _Toc17511 \h </w:instrText>
      </w:r>
      <w:r>
        <w:fldChar w:fldCharType="separate"/>
      </w:r>
      <w:r>
        <w:t>47</w:t>
      </w:r>
      <w:r>
        <w:fldChar w:fldCharType="end"/>
      </w:r>
      <w:r>
        <w:rPr>
          <w:rFonts w:ascii="Times New Roman" w:hAnsi="Times New Roman"/>
          <w:caps/>
          <w:color w:val="000000" w:themeColor="text1"/>
          <w:szCs w:val="24"/>
          <w:highlight w:val="none"/>
          <w14:textFill>
            <w14:solidFill>
              <w14:schemeClr w14:val="tx1"/>
            </w14:solidFill>
          </w14:textFill>
        </w:rPr>
        <w:fldChar w:fldCharType="end"/>
      </w:r>
    </w:p>
    <w:p w14:paraId="2D8BE343">
      <w:pPr>
        <w:pStyle w:val="33"/>
        <w:tabs>
          <w:tab w:val="right" w:leader="dot" w:pos="10466"/>
        </w:tabs>
      </w:pPr>
      <w:r>
        <w:rPr>
          <w:rFonts w:ascii="Times New Roman" w:hAnsi="Times New Roman"/>
          <w:caps/>
          <w:color w:val="000000" w:themeColor="text1"/>
          <w:szCs w:val="24"/>
          <w:highlight w:val="none"/>
          <w14:textFill>
            <w14:solidFill>
              <w14:schemeClr w14:val="tx1"/>
            </w14:solidFill>
          </w14:textFill>
        </w:rPr>
        <w:fldChar w:fldCharType="begin"/>
      </w:r>
      <w:r>
        <w:rPr>
          <w:rFonts w:ascii="Times New Roman" w:hAnsi="Times New Roman"/>
          <w:caps/>
          <w:szCs w:val="24"/>
          <w:highlight w:val="none"/>
        </w:rPr>
        <w:instrText xml:space="preserve"> HYPERLINK \l _Toc28152 </w:instrText>
      </w:r>
      <w:r>
        <w:rPr>
          <w:rFonts w:ascii="Times New Roman" w:hAnsi="Times New Roman"/>
          <w:caps/>
          <w:szCs w:val="24"/>
          <w:highlight w:val="none"/>
        </w:rPr>
        <w:fldChar w:fldCharType="separate"/>
      </w:r>
      <w:r>
        <w:rPr>
          <w:rFonts w:hint="eastAsia" w:ascii="Times New Roman" w:hAnsi="Times New Roman"/>
          <w:bCs/>
          <w:szCs w:val="28"/>
          <w:highlight w:val="none"/>
        </w:rPr>
        <w:t>附件</w:t>
      </w:r>
      <w:r>
        <w:rPr>
          <w:rFonts w:hint="eastAsia" w:ascii="Times New Roman" w:hAnsi="Times New Roman"/>
          <w:bCs/>
          <w:szCs w:val="28"/>
          <w:highlight w:val="none"/>
          <w:lang w:val="en-US" w:eastAsia="zh-CN"/>
        </w:rPr>
        <w:t>7</w:t>
      </w:r>
      <w:r>
        <w:rPr>
          <w:rFonts w:hint="eastAsia" w:ascii="Times New Roman" w:hAnsi="Times New Roman"/>
          <w:bCs/>
          <w:szCs w:val="28"/>
          <w:highlight w:val="none"/>
        </w:rPr>
        <w:t xml:space="preserve"> 商务要求响应及偏离表</w:t>
      </w:r>
      <w:r>
        <w:tab/>
      </w:r>
      <w:r>
        <w:fldChar w:fldCharType="begin"/>
      </w:r>
      <w:r>
        <w:instrText xml:space="preserve"> PAGEREF _Toc28152 \h </w:instrText>
      </w:r>
      <w:r>
        <w:fldChar w:fldCharType="separate"/>
      </w:r>
      <w:r>
        <w:t>48</w:t>
      </w:r>
      <w:r>
        <w:fldChar w:fldCharType="end"/>
      </w:r>
      <w:r>
        <w:rPr>
          <w:rFonts w:ascii="Times New Roman" w:hAnsi="Times New Roman"/>
          <w:caps/>
          <w:color w:val="000000" w:themeColor="text1"/>
          <w:szCs w:val="24"/>
          <w:highlight w:val="none"/>
          <w14:textFill>
            <w14:solidFill>
              <w14:schemeClr w14:val="tx1"/>
            </w14:solidFill>
          </w14:textFill>
        </w:rPr>
        <w:fldChar w:fldCharType="end"/>
      </w:r>
    </w:p>
    <w:p w14:paraId="02BFDE2A">
      <w:pPr>
        <w:pStyle w:val="33"/>
        <w:tabs>
          <w:tab w:val="right" w:leader="dot" w:pos="10466"/>
        </w:tabs>
      </w:pPr>
      <w:r>
        <w:rPr>
          <w:rFonts w:ascii="Times New Roman" w:hAnsi="Times New Roman"/>
          <w:caps/>
          <w:color w:val="000000" w:themeColor="text1"/>
          <w:szCs w:val="24"/>
          <w:highlight w:val="none"/>
          <w14:textFill>
            <w14:solidFill>
              <w14:schemeClr w14:val="tx1"/>
            </w14:solidFill>
          </w14:textFill>
        </w:rPr>
        <w:fldChar w:fldCharType="begin"/>
      </w:r>
      <w:r>
        <w:rPr>
          <w:rFonts w:ascii="Times New Roman" w:hAnsi="Times New Roman"/>
          <w:caps/>
          <w:szCs w:val="24"/>
          <w:highlight w:val="none"/>
        </w:rPr>
        <w:instrText xml:space="preserve"> HYPERLINK \l _Toc32709 </w:instrText>
      </w:r>
      <w:r>
        <w:rPr>
          <w:rFonts w:ascii="Times New Roman" w:hAnsi="Times New Roman"/>
          <w:caps/>
          <w:szCs w:val="24"/>
          <w:highlight w:val="none"/>
        </w:rPr>
        <w:fldChar w:fldCharType="separate"/>
      </w:r>
      <w:r>
        <w:rPr>
          <w:rFonts w:hint="eastAsia" w:ascii="Times New Roman" w:hAnsi="Times New Roman"/>
          <w:bCs/>
          <w:szCs w:val="28"/>
          <w:highlight w:val="none"/>
        </w:rPr>
        <w:t>附件</w:t>
      </w:r>
      <w:r>
        <w:rPr>
          <w:rFonts w:hint="eastAsia" w:ascii="Times New Roman" w:hAnsi="Times New Roman"/>
          <w:bCs/>
          <w:szCs w:val="28"/>
          <w:highlight w:val="none"/>
          <w:lang w:val="en-US" w:eastAsia="zh-CN"/>
        </w:rPr>
        <w:t>8</w:t>
      </w:r>
      <w:r>
        <w:rPr>
          <w:rFonts w:hint="eastAsia" w:ascii="Times New Roman" w:hAnsi="Times New Roman"/>
          <w:bCs/>
          <w:szCs w:val="28"/>
          <w:highlight w:val="none"/>
        </w:rPr>
        <w:t xml:space="preserve"> 其他</w:t>
      </w:r>
      <w:r>
        <w:tab/>
      </w:r>
      <w:r>
        <w:fldChar w:fldCharType="begin"/>
      </w:r>
      <w:r>
        <w:instrText xml:space="preserve"> PAGEREF _Toc32709 \h </w:instrText>
      </w:r>
      <w:r>
        <w:fldChar w:fldCharType="separate"/>
      </w:r>
      <w:r>
        <w:t>49</w:t>
      </w:r>
      <w:r>
        <w:fldChar w:fldCharType="end"/>
      </w:r>
      <w:r>
        <w:rPr>
          <w:rFonts w:ascii="Times New Roman" w:hAnsi="Times New Roman"/>
          <w:caps/>
          <w:color w:val="000000" w:themeColor="text1"/>
          <w:szCs w:val="24"/>
          <w:highlight w:val="none"/>
          <w14:textFill>
            <w14:solidFill>
              <w14:schemeClr w14:val="tx1"/>
            </w14:solidFill>
          </w14:textFill>
        </w:rPr>
        <w:fldChar w:fldCharType="end"/>
      </w:r>
    </w:p>
    <w:p w14:paraId="08AE5818">
      <w:pPr>
        <w:pStyle w:val="33"/>
        <w:tabs>
          <w:tab w:val="right" w:leader="dot" w:pos="10466"/>
        </w:tabs>
      </w:pPr>
      <w:r>
        <w:rPr>
          <w:rFonts w:ascii="Times New Roman" w:hAnsi="Times New Roman"/>
          <w:caps/>
          <w:color w:val="000000" w:themeColor="text1"/>
          <w:szCs w:val="24"/>
          <w:highlight w:val="none"/>
          <w14:textFill>
            <w14:solidFill>
              <w14:schemeClr w14:val="tx1"/>
            </w14:solidFill>
          </w14:textFill>
        </w:rPr>
        <w:fldChar w:fldCharType="begin"/>
      </w:r>
      <w:r>
        <w:rPr>
          <w:rFonts w:ascii="Times New Roman" w:hAnsi="Times New Roman"/>
          <w:caps/>
          <w:szCs w:val="24"/>
          <w:highlight w:val="none"/>
        </w:rPr>
        <w:instrText xml:space="preserve"> HYPERLINK \l _Toc22608 </w:instrText>
      </w:r>
      <w:r>
        <w:rPr>
          <w:rFonts w:ascii="Times New Roman" w:hAnsi="Times New Roman"/>
          <w:caps/>
          <w:szCs w:val="24"/>
          <w:highlight w:val="none"/>
        </w:rPr>
        <w:fldChar w:fldCharType="separate"/>
      </w:r>
      <w:r>
        <w:rPr>
          <w:rFonts w:hint="eastAsia" w:ascii="Times New Roman" w:hAnsi="Times New Roman"/>
          <w:bCs/>
          <w:szCs w:val="28"/>
          <w:highlight w:val="none"/>
        </w:rPr>
        <w:t>附件</w:t>
      </w:r>
      <w:r>
        <w:rPr>
          <w:rFonts w:hint="eastAsia" w:ascii="Times New Roman" w:hAnsi="Times New Roman"/>
          <w:bCs/>
          <w:szCs w:val="28"/>
          <w:highlight w:val="none"/>
          <w:lang w:val="en-US" w:eastAsia="zh-CN"/>
        </w:rPr>
        <w:t>9</w:t>
      </w:r>
      <w:r>
        <w:rPr>
          <w:rFonts w:hint="eastAsia" w:ascii="Times New Roman" w:hAnsi="Times New Roman"/>
          <w:bCs/>
          <w:szCs w:val="28"/>
          <w:highlight w:val="none"/>
        </w:rPr>
        <w:t xml:space="preserve"> 具备履行合同所必需的设备和专业技术能力的书面声明</w:t>
      </w:r>
      <w:r>
        <w:tab/>
      </w:r>
      <w:r>
        <w:fldChar w:fldCharType="begin"/>
      </w:r>
      <w:r>
        <w:instrText xml:space="preserve"> PAGEREF _Toc22608 \h </w:instrText>
      </w:r>
      <w:r>
        <w:fldChar w:fldCharType="separate"/>
      </w:r>
      <w:r>
        <w:t>50</w:t>
      </w:r>
      <w:r>
        <w:fldChar w:fldCharType="end"/>
      </w:r>
      <w:r>
        <w:rPr>
          <w:rFonts w:ascii="Times New Roman" w:hAnsi="Times New Roman"/>
          <w:caps/>
          <w:color w:val="000000" w:themeColor="text1"/>
          <w:szCs w:val="24"/>
          <w:highlight w:val="none"/>
          <w14:textFill>
            <w14:solidFill>
              <w14:schemeClr w14:val="tx1"/>
            </w14:solidFill>
          </w14:textFill>
        </w:rPr>
        <w:fldChar w:fldCharType="end"/>
      </w:r>
    </w:p>
    <w:p w14:paraId="03EE48DE">
      <w:pPr>
        <w:pStyle w:val="33"/>
        <w:tabs>
          <w:tab w:val="right" w:leader="dot" w:pos="10466"/>
        </w:tabs>
      </w:pPr>
      <w:r>
        <w:rPr>
          <w:rFonts w:ascii="Times New Roman" w:hAnsi="Times New Roman"/>
          <w:caps/>
          <w:color w:val="000000" w:themeColor="text1"/>
          <w:szCs w:val="24"/>
          <w:highlight w:val="none"/>
          <w14:textFill>
            <w14:solidFill>
              <w14:schemeClr w14:val="tx1"/>
            </w14:solidFill>
          </w14:textFill>
        </w:rPr>
        <w:fldChar w:fldCharType="begin"/>
      </w:r>
      <w:r>
        <w:rPr>
          <w:rFonts w:ascii="Times New Roman" w:hAnsi="Times New Roman"/>
          <w:caps/>
          <w:szCs w:val="24"/>
          <w:highlight w:val="none"/>
        </w:rPr>
        <w:instrText xml:space="preserve"> HYPERLINK \l _Toc14474 </w:instrText>
      </w:r>
      <w:r>
        <w:rPr>
          <w:rFonts w:ascii="Times New Roman" w:hAnsi="Times New Roman"/>
          <w:caps/>
          <w:szCs w:val="24"/>
          <w:highlight w:val="none"/>
        </w:rPr>
        <w:fldChar w:fldCharType="separate"/>
      </w:r>
      <w:r>
        <w:rPr>
          <w:rFonts w:hint="eastAsia" w:ascii="Times New Roman" w:hAnsi="Times New Roman"/>
          <w:bCs/>
          <w:szCs w:val="28"/>
          <w:highlight w:val="none"/>
        </w:rPr>
        <w:t>附件</w:t>
      </w:r>
      <w:r>
        <w:rPr>
          <w:rFonts w:hint="eastAsia" w:ascii="Times New Roman" w:hAnsi="Times New Roman"/>
          <w:bCs/>
          <w:szCs w:val="28"/>
          <w:highlight w:val="none"/>
          <w:lang w:val="en-US" w:eastAsia="zh-CN"/>
        </w:rPr>
        <w:t>10</w:t>
      </w:r>
      <w:r>
        <w:rPr>
          <w:rFonts w:ascii="Times New Roman" w:hAnsi="Times New Roman"/>
          <w:bCs/>
          <w:szCs w:val="28"/>
          <w:highlight w:val="none"/>
        </w:rPr>
        <w:t xml:space="preserve"> </w:t>
      </w:r>
      <w:r>
        <w:rPr>
          <w:rFonts w:hint="eastAsia" w:ascii="Times New Roman" w:hAnsi="Times New Roman"/>
          <w:bCs/>
          <w:szCs w:val="28"/>
          <w:highlight w:val="none"/>
        </w:rPr>
        <w:t>参加政府采购活动前 3 年内在经营活动中没有重大违法记录的书面声明</w:t>
      </w:r>
      <w:r>
        <w:tab/>
      </w:r>
      <w:r>
        <w:fldChar w:fldCharType="begin"/>
      </w:r>
      <w:r>
        <w:instrText xml:space="preserve"> PAGEREF _Toc14474 \h </w:instrText>
      </w:r>
      <w:r>
        <w:fldChar w:fldCharType="separate"/>
      </w:r>
      <w:r>
        <w:t>51</w:t>
      </w:r>
      <w:r>
        <w:fldChar w:fldCharType="end"/>
      </w:r>
      <w:r>
        <w:rPr>
          <w:rFonts w:ascii="Times New Roman" w:hAnsi="Times New Roman"/>
          <w:caps/>
          <w:color w:val="000000" w:themeColor="text1"/>
          <w:szCs w:val="24"/>
          <w:highlight w:val="none"/>
          <w14:textFill>
            <w14:solidFill>
              <w14:schemeClr w14:val="tx1"/>
            </w14:solidFill>
          </w14:textFill>
        </w:rPr>
        <w:fldChar w:fldCharType="end"/>
      </w:r>
    </w:p>
    <w:p w14:paraId="7845F078">
      <w:pPr>
        <w:pStyle w:val="33"/>
        <w:tabs>
          <w:tab w:val="right" w:leader="dot" w:pos="10466"/>
        </w:tabs>
      </w:pPr>
      <w:r>
        <w:rPr>
          <w:rFonts w:ascii="Times New Roman" w:hAnsi="Times New Roman"/>
          <w:caps/>
          <w:color w:val="000000" w:themeColor="text1"/>
          <w:szCs w:val="24"/>
          <w:highlight w:val="none"/>
          <w14:textFill>
            <w14:solidFill>
              <w14:schemeClr w14:val="tx1"/>
            </w14:solidFill>
          </w14:textFill>
        </w:rPr>
        <w:fldChar w:fldCharType="begin"/>
      </w:r>
      <w:r>
        <w:rPr>
          <w:rFonts w:ascii="Times New Roman" w:hAnsi="Times New Roman"/>
          <w:caps/>
          <w:szCs w:val="24"/>
          <w:highlight w:val="none"/>
        </w:rPr>
        <w:instrText xml:space="preserve"> HYPERLINK \l _Toc24375 </w:instrText>
      </w:r>
      <w:r>
        <w:rPr>
          <w:rFonts w:ascii="Times New Roman" w:hAnsi="Times New Roman"/>
          <w:caps/>
          <w:szCs w:val="24"/>
          <w:highlight w:val="none"/>
        </w:rPr>
        <w:fldChar w:fldCharType="separate"/>
      </w:r>
      <w:r>
        <w:rPr>
          <w:rFonts w:hint="eastAsia" w:ascii="Times New Roman" w:hAnsi="Times New Roman"/>
          <w:bCs/>
          <w:szCs w:val="28"/>
          <w:highlight w:val="none"/>
        </w:rPr>
        <w:t>附件</w:t>
      </w:r>
      <w:r>
        <w:rPr>
          <w:rFonts w:hint="eastAsia" w:ascii="Times New Roman" w:hAnsi="Times New Roman"/>
          <w:bCs/>
          <w:szCs w:val="28"/>
          <w:highlight w:val="none"/>
          <w:lang w:val="en-US" w:eastAsia="zh-CN"/>
        </w:rPr>
        <w:t>11</w:t>
      </w:r>
      <w:r>
        <w:rPr>
          <w:rFonts w:ascii="Times New Roman" w:hAnsi="Times New Roman"/>
          <w:bCs/>
          <w:szCs w:val="28"/>
          <w:highlight w:val="none"/>
        </w:rPr>
        <w:t xml:space="preserve"> </w:t>
      </w:r>
      <w:r>
        <w:rPr>
          <w:rFonts w:hint="eastAsia" w:ascii="Times New Roman" w:hAnsi="Times New Roman"/>
          <w:bCs/>
          <w:szCs w:val="28"/>
          <w:highlight w:val="none"/>
        </w:rPr>
        <w:t>法人授权书</w:t>
      </w:r>
      <w:r>
        <w:tab/>
      </w:r>
      <w:r>
        <w:fldChar w:fldCharType="begin"/>
      </w:r>
      <w:r>
        <w:instrText xml:space="preserve"> PAGEREF _Toc24375 \h </w:instrText>
      </w:r>
      <w:r>
        <w:fldChar w:fldCharType="separate"/>
      </w:r>
      <w:r>
        <w:t>52</w:t>
      </w:r>
      <w:r>
        <w:fldChar w:fldCharType="end"/>
      </w:r>
      <w:r>
        <w:rPr>
          <w:rFonts w:ascii="Times New Roman" w:hAnsi="Times New Roman"/>
          <w:caps/>
          <w:color w:val="000000" w:themeColor="text1"/>
          <w:szCs w:val="24"/>
          <w:highlight w:val="none"/>
          <w14:textFill>
            <w14:solidFill>
              <w14:schemeClr w14:val="tx1"/>
            </w14:solidFill>
          </w14:textFill>
        </w:rPr>
        <w:fldChar w:fldCharType="end"/>
      </w:r>
    </w:p>
    <w:p w14:paraId="78B5F7AB">
      <w:pPr>
        <w:pStyle w:val="33"/>
        <w:tabs>
          <w:tab w:val="right" w:leader="dot" w:pos="10466"/>
        </w:tabs>
      </w:pPr>
      <w:r>
        <w:rPr>
          <w:rFonts w:ascii="Times New Roman" w:hAnsi="Times New Roman"/>
          <w:caps/>
          <w:color w:val="000000" w:themeColor="text1"/>
          <w:szCs w:val="24"/>
          <w:highlight w:val="none"/>
          <w14:textFill>
            <w14:solidFill>
              <w14:schemeClr w14:val="tx1"/>
            </w14:solidFill>
          </w14:textFill>
        </w:rPr>
        <w:fldChar w:fldCharType="begin"/>
      </w:r>
      <w:r>
        <w:rPr>
          <w:rFonts w:ascii="Times New Roman" w:hAnsi="Times New Roman"/>
          <w:caps/>
          <w:szCs w:val="24"/>
          <w:highlight w:val="none"/>
        </w:rPr>
        <w:instrText xml:space="preserve"> HYPERLINK \l _Toc18002 </w:instrText>
      </w:r>
      <w:r>
        <w:rPr>
          <w:rFonts w:ascii="Times New Roman" w:hAnsi="Times New Roman"/>
          <w:caps/>
          <w:szCs w:val="24"/>
          <w:highlight w:val="none"/>
        </w:rPr>
        <w:fldChar w:fldCharType="separate"/>
      </w:r>
      <w:r>
        <w:rPr>
          <w:rFonts w:hint="eastAsia" w:ascii="Times New Roman" w:hAnsi="Times New Roman"/>
          <w:bCs/>
          <w:szCs w:val="28"/>
          <w:highlight w:val="none"/>
        </w:rPr>
        <w:t>附件</w:t>
      </w:r>
      <w:r>
        <w:rPr>
          <w:rFonts w:hint="eastAsia" w:ascii="Times New Roman" w:hAnsi="Times New Roman"/>
          <w:bCs/>
          <w:szCs w:val="28"/>
          <w:highlight w:val="none"/>
          <w:lang w:val="en-US" w:eastAsia="zh-CN"/>
        </w:rPr>
        <w:t>12</w:t>
      </w:r>
      <w:r>
        <w:rPr>
          <w:rFonts w:hint="eastAsia" w:ascii="Times New Roman" w:hAnsi="Times New Roman"/>
          <w:bCs/>
          <w:szCs w:val="28"/>
          <w:highlight w:val="none"/>
        </w:rPr>
        <w:t xml:space="preserve"> 中小企业声明函</w:t>
      </w:r>
      <w:r>
        <w:tab/>
      </w:r>
      <w:r>
        <w:fldChar w:fldCharType="begin"/>
      </w:r>
      <w:r>
        <w:instrText xml:space="preserve"> PAGEREF _Toc18002 \h </w:instrText>
      </w:r>
      <w:r>
        <w:fldChar w:fldCharType="separate"/>
      </w:r>
      <w:r>
        <w:t>53</w:t>
      </w:r>
      <w:r>
        <w:fldChar w:fldCharType="end"/>
      </w:r>
      <w:r>
        <w:rPr>
          <w:rFonts w:ascii="Times New Roman" w:hAnsi="Times New Roman"/>
          <w:caps/>
          <w:color w:val="000000" w:themeColor="text1"/>
          <w:szCs w:val="24"/>
          <w:highlight w:val="none"/>
          <w14:textFill>
            <w14:solidFill>
              <w14:schemeClr w14:val="tx1"/>
            </w14:solidFill>
          </w14:textFill>
        </w:rPr>
        <w:fldChar w:fldCharType="end"/>
      </w:r>
    </w:p>
    <w:p w14:paraId="52276BAD">
      <w:pPr>
        <w:pStyle w:val="33"/>
        <w:tabs>
          <w:tab w:val="right" w:leader="dot" w:pos="10466"/>
        </w:tabs>
      </w:pPr>
      <w:r>
        <w:rPr>
          <w:rFonts w:ascii="Times New Roman" w:hAnsi="Times New Roman"/>
          <w:caps/>
          <w:color w:val="000000" w:themeColor="text1"/>
          <w:szCs w:val="24"/>
          <w:highlight w:val="none"/>
          <w14:textFill>
            <w14:solidFill>
              <w14:schemeClr w14:val="tx1"/>
            </w14:solidFill>
          </w14:textFill>
        </w:rPr>
        <w:fldChar w:fldCharType="begin"/>
      </w:r>
      <w:r>
        <w:rPr>
          <w:rFonts w:ascii="Times New Roman" w:hAnsi="Times New Roman"/>
          <w:caps/>
          <w:szCs w:val="24"/>
          <w:highlight w:val="none"/>
        </w:rPr>
        <w:instrText xml:space="preserve"> HYPERLINK \l _Toc11278 </w:instrText>
      </w:r>
      <w:r>
        <w:rPr>
          <w:rFonts w:ascii="Times New Roman" w:hAnsi="Times New Roman"/>
          <w:caps/>
          <w:szCs w:val="24"/>
          <w:highlight w:val="none"/>
        </w:rPr>
        <w:fldChar w:fldCharType="separate"/>
      </w:r>
      <w:r>
        <w:rPr>
          <w:rFonts w:hint="eastAsia" w:ascii="Times New Roman" w:hAnsi="Times New Roman"/>
          <w:bCs/>
          <w:szCs w:val="28"/>
          <w:highlight w:val="none"/>
        </w:rPr>
        <w:t>附件</w:t>
      </w:r>
      <w:r>
        <w:rPr>
          <w:rFonts w:hint="eastAsia" w:ascii="Times New Roman" w:hAnsi="Times New Roman"/>
          <w:bCs/>
          <w:szCs w:val="28"/>
          <w:highlight w:val="none"/>
          <w:lang w:val="en-US" w:eastAsia="zh-CN"/>
        </w:rPr>
        <w:t>13</w:t>
      </w:r>
      <w:r>
        <w:rPr>
          <w:rFonts w:hint="eastAsia" w:ascii="Times New Roman" w:hAnsi="Times New Roman"/>
          <w:bCs/>
          <w:szCs w:val="28"/>
          <w:highlight w:val="none"/>
        </w:rPr>
        <w:t xml:space="preserve"> 残疾人福利性单位声明函</w:t>
      </w:r>
      <w:r>
        <w:tab/>
      </w:r>
      <w:r>
        <w:fldChar w:fldCharType="begin"/>
      </w:r>
      <w:r>
        <w:instrText xml:space="preserve"> PAGEREF _Toc11278 \h </w:instrText>
      </w:r>
      <w:r>
        <w:fldChar w:fldCharType="separate"/>
      </w:r>
      <w:r>
        <w:t>54</w:t>
      </w:r>
      <w:r>
        <w:fldChar w:fldCharType="end"/>
      </w:r>
      <w:r>
        <w:rPr>
          <w:rFonts w:ascii="Times New Roman" w:hAnsi="Times New Roman"/>
          <w:caps/>
          <w:color w:val="000000" w:themeColor="text1"/>
          <w:szCs w:val="24"/>
          <w:highlight w:val="none"/>
          <w14:textFill>
            <w14:solidFill>
              <w14:schemeClr w14:val="tx1"/>
            </w14:solidFill>
          </w14:textFill>
        </w:rPr>
        <w:fldChar w:fldCharType="end"/>
      </w:r>
    </w:p>
    <w:p w14:paraId="73C7B052">
      <w:pPr>
        <w:pStyle w:val="33"/>
        <w:tabs>
          <w:tab w:val="right" w:leader="dot" w:pos="10466"/>
        </w:tabs>
      </w:pPr>
      <w:r>
        <w:rPr>
          <w:rFonts w:ascii="Times New Roman" w:hAnsi="Times New Roman"/>
          <w:caps/>
          <w:color w:val="000000" w:themeColor="text1"/>
          <w:szCs w:val="24"/>
          <w:highlight w:val="none"/>
          <w14:textFill>
            <w14:solidFill>
              <w14:schemeClr w14:val="tx1"/>
            </w14:solidFill>
          </w14:textFill>
        </w:rPr>
        <w:fldChar w:fldCharType="begin"/>
      </w:r>
      <w:r>
        <w:rPr>
          <w:rFonts w:ascii="Times New Roman" w:hAnsi="Times New Roman"/>
          <w:caps/>
          <w:szCs w:val="24"/>
          <w:highlight w:val="none"/>
        </w:rPr>
        <w:instrText xml:space="preserve"> HYPERLINK \l _Toc25694 </w:instrText>
      </w:r>
      <w:r>
        <w:rPr>
          <w:rFonts w:ascii="Times New Roman" w:hAnsi="Times New Roman"/>
          <w:caps/>
          <w:szCs w:val="24"/>
          <w:highlight w:val="none"/>
        </w:rPr>
        <w:fldChar w:fldCharType="separate"/>
      </w:r>
      <w:r>
        <w:rPr>
          <w:rFonts w:hint="eastAsia" w:ascii="Times New Roman" w:hAnsi="Times New Roman"/>
          <w:bCs/>
          <w:szCs w:val="28"/>
          <w:highlight w:val="none"/>
        </w:rPr>
        <w:t>附件</w:t>
      </w:r>
      <w:r>
        <w:rPr>
          <w:rFonts w:hint="eastAsia" w:ascii="Times New Roman" w:hAnsi="Times New Roman"/>
          <w:bCs/>
          <w:szCs w:val="28"/>
          <w:highlight w:val="none"/>
          <w:lang w:val="en-US" w:eastAsia="zh-CN"/>
        </w:rPr>
        <w:t>14</w:t>
      </w:r>
      <w:r>
        <w:rPr>
          <w:rFonts w:hint="eastAsia" w:ascii="Times New Roman" w:hAnsi="Times New Roman"/>
          <w:bCs/>
          <w:szCs w:val="28"/>
          <w:highlight w:val="none"/>
        </w:rPr>
        <w:t>投标函</w:t>
      </w:r>
      <w:r>
        <w:tab/>
      </w:r>
      <w:r>
        <w:fldChar w:fldCharType="begin"/>
      </w:r>
      <w:r>
        <w:instrText xml:space="preserve"> PAGEREF _Toc25694 \h </w:instrText>
      </w:r>
      <w:r>
        <w:fldChar w:fldCharType="separate"/>
      </w:r>
      <w:r>
        <w:t>55</w:t>
      </w:r>
      <w:r>
        <w:fldChar w:fldCharType="end"/>
      </w:r>
      <w:r>
        <w:rPr>
          <w:rFonts w:ascii="Times New Roman" w:hAnsi="Times New Roman"/>
          <w:caps/>
          <w:color w:val="000000" w:themeColor="text1"/>
          <w:szCs w:val="24"/>
          <w:highlight w:val="none"/>
          <w14:textFill>
            <w14:solidFill>
              <w14:schemeClr w14:val="tx1"/>
            </w14:solidFill>
          </w14:textFill>
        </w:rPr>
        <w:fldChar w:fldCharType="end"/>
      </w:r>
    </w:p>
    <w:p w14:paraId="33B5F5F6">
      <w:pPr>
        <w:pStyle w:val="33"/>
        <w:tabs>
          <w:tab w:val="right" w:leader="dot" w:pos="10466"/>
        </w:tabs>
      </w:pPr>
      <w:r>
        <w:rPr>
          <w:rFonts w:ascii="Times New Roman" w:hAnsi="Times New Roman"/>
          <w:caps/>
          <w:color w:val="000000" w:themeColor="text1"/>
          <w:szCs w:val="24"/>
          <w:highlight w:val="none"/>
          <w14:textFill>
            <w14:solidFill>
              <w14:schemeClr w14:val="tx1"/>
            </w14:solidFill>
          </w14:textFill>
        </w:rPr>
        <w:fldChar w:fldCharType="begin"/>
      </w:r>
      <w:r>
        <w:rPr>
          <w:rFonts w:ascii="Times New Roman" w:hAnsi="Times New Roman"/>
          <w:caps/>
          <w:szCs w:val="24"/>
          <w:highlight w:val="none"/>
        </w:rPr>
        <w:instrText xml:space="preserve"> HYPERLINK \l _Toc3796 </w:instrText>
      </w:r>
      <w:r>
        <w:rPr>
          <w:rFonts w:ascii="Times New Roman" w:hAnsi="Times New Roman"/>
          <w:caps/>
          <w:szCs w:val="24"/>
          <w:highlight w:val="none"/>
        </w:rPr>
        <w:fldChar w:fldCharType="separate"/>
      </w:r>
      <w:r>
        <w:rPr>
          <w:rFonts w:hint="eastAsia" w:ascii="Times New Roman" w:hAnsi="Times New Roman"/>
          <w:bCs/>
          <w:szCs w:val="28"/>
          <w:highlight w:val="none"/>
        </w:rPr>
        <w:t>附件</w:t>
      </w:r>
      <w:r>
        <w:rPr>
          <w:rFonts w:hint="eastAsia" w:ascii="Times New Roman" w:hAnsi="Times New Roman"/>
          <w:bCs/>
          <w:szCs w:val="28"/>
          <w:highlight w:val="none"/>
          <w:lang w:val="en-US" w:eastAsia="zh-CN"/>
        </w:rPr>
        <w:t>15</w:t>
      </w:r>
      <w:r>
        <w:rPr>
          <w:rFonts w:hint="eastAsia" w:ascii="Times New Roman" w:hAnsi="Times New Roman"/>
          <w:bCs/>
          <w:szCs w:val="28"/>
          <w:highlight w:val="none"/>
        </w:rPr>
        <w:t>实质性要求响应及偏离表</w:t>
      </w:r>
      <w:r>
        <w:tab/>
      </w:r>
      <w:r>
        <w:fldChar w:fldCharType="begin"/>
      </w:r>
      <w:r>
        <w:instrText xml:space="preserve"> PAGEREF _Toc3796 \h </w:instrText>
      </w:r>
      <w:r>
        <w:fldChar w:fldCharType="separate"/>
      </w:r>
      <w:r>
        <w:t>56</w:t>
      </w:r>
      <w:r>
        <w:fldChar w:fldCharType="end"/>
      </w:r>
      <w:r>
        <w:rPr>
          <w:rFonts w:ascii="Times New Roman" w:hAnsi="Times New Roman"/>
          <w:caps/>
          <w:color w:val="000000" w:themeColor="text1"/>
          <w:szCs w:val="24"/>
          <w:highlight w:val="none"/>
          <w14:textFill>
            <w14:solidFill>
              <w14:schemeClr w14:val="tx1"/>
            </w14:solidFill>
          </w14:textFill>
        </w:rPr>
        <w:fldChar w:fldCharType="end"/>
      </w:r>
    </w:p>
    <w:p w14:paraId="675B7D46">
      <w:pPr>
        <w:spacing w:line="440" w:lineRule="exact"/>
        <w:jc w:val="left"/>
        <w:rPr>
          <w:rFonts w:ascii="Times New Roman" w:hAnsi="Times New Roman"/>
          <w:caps/>
          <w:color w:val="000000" w:themeColor="text1"/>
          <w:sz w:val="24"/>
          <w:szCs w:val="24"/>
          <w:highlight w:val="none"/>
          <w14:textFill>
            <w14:solidFill>
              <w14:schemeClr w14:val="tx1"/>
            </w14:solidFill>
          </w14:textFill>
        </w:rPr>
      </w:pPr>
      <w:r>
        <w:rPr>
          <w:rFonts w:ascii="Times New Roman" w:hAnsi="Times New Roman"/>
          <w:caps/>
          <w:color w:val="000000" w:themeColor="text1"/>
          <w:szCs w:val="24"/>
          <w:highlight w:val="none"/>
          <w14:textFill>
            <w14:solidFill>
              <w14:schemeClr w14:val="tx1"/>
            </w14:solidFill>
          </w14:textFill>
        </w:rPr>
        <w:fldChar w:fldCharType="end"/>
      </w:r>
    </w:p>
    <w:p w14:paraId="2226BCAE">
      <w:pPr>
        <w:widowControl/>
        <w:jc w:val="left"/>
        <w:rPr>
          <w:rFonts w:ascii="Times New Roman" w:hAnsi="Times New Roman"/>
          <w:caps/>
          <w:color w:val="000000" w:themeColor="text1"/>
          <w:sz w:val="24"/>
          <w:szCs w:val="24"/>
          <w:highlight w:val="none"/>
          <w14:textFill>
            <w14:solidFill>
              <w14:schemeClr w14:val="tx1"/>
            </w14:solidFill>
          </w14:textFill>
        </w:rPr>
      </w:pPr>
      <w:r>
        <w:rPr>
          <w:rFonts w:ascii="Times New Roman" w:hAnsi="Times New Roman"/>
          <w:caps/>
          <w:color w:val="000000" w:themeColor="text1"/>
          <w:sz w:val="24"/>
          <w:szCs w:val="24"/>
          <w:highlight w:val="none"/>
          <w14:textFill>
            <w14:solidFill>
              <w14:schemeClr w14:val="tx1"/>
            </w14:solidFill>
          </w14:textFill>
        </w:rPr>
        <w:br w:type="page" w:clear="all"/>
      </w:r>
    </w:p>
    <w:p w14:paraId="6FF4C4D6">
      <w:pPr>
        <w:keepNext/>
        <w:ind w:firstLine="880"/>
        <w:jc w:val="center"/>
        <w:outlineLvl w:val="0"/>
        <w:rPr>
          <w:rFonts w:ascii="黑体" w:hAnsi="Times New Roman" w:eastAsia="黑体"/>
          <w:bCs/>
          <w:color w:val="000000" w:themeColor="text1"/>
          <w:sz w:val="44"/>
          <w:szCs w:val="44"/>
          <w:highlight w:val="none"/>
          <w14:textFill>
            <w14:solidFill>
              <w14:schemeClr w14:val="tx1"/>
            </w14:solidFill>
          </w14:textFill>
        </w:rPr>
      </w:pPr>
      <w:bookmarkStart w:id="6" w:name="_Toc18999"/>
      <w:r>
        <w:rPr>
          <w:rFonts w:hint="eastAsia" w:ascii="黑体" w:hAnsi="Times New Roman" w:eastAsia="黑体"/>
          <w:color w:val="000000" w:themeColor="text1"/>
          <w:sz w:val="44"/>
          <w:szCs w:val="44"/>
          <w:highlight w:val="none"/>
          <w14:textFill>
            <w14:solidFill>
              <w14:schemeClr w14:val="tx1"/>
            </w14:solidFill>
          </w14:textFill>
        </w:rPr>
        <w:t xml:space="preserve">第一章  </w:t>
      </w:r>
      <w:bookmarkEnd w:id="0"/>
      <w:r>
        <w:rPr>
          <w:rFonts w:hint="eastAsia" w:ascii="黑体" w:hAnsi="Times New Roman" w:eastAsia="黑体"/>
          <w:color w:val="000000" w:themeColor="text1"/>
          <w:sz w:val="44"/>
          <w:szCs w:val="44"/>
          <w:highlight w:val="none"/>
          <w14:textFill>
            <w14:solidFill>
              <w14:schemeClr w14:val="tx1"/>
            </w14:solidFill>
          </w14:textFill>
        </w:rPr>
        <w:t>投标邀请</w:t>
      </w:r>
      <w:bookmarkEnd w:id="6"/>
    </w:p>
    <w:p w14:paraId="1E9AA2B8">
      <w:pPr>
        <w:spacing w:line="460" w:lineRule="exact"/>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受</w:t>
      </w:r>
      <w:r>
        <w:rPr>
          <w:rFonts w:hint="eastAsia" w:ascii="宋体" w:hAnsi="宋体"/>
          <w:color w:val="000000" w:themeColor="text1"/>
          <w:sz w:val="24"/>
          <w:szCs w:val="24"/>
          <w:highlight w:val="none"/>
          <w:lang w:eastAsia="zh-CN"/>
          <w14:textFill>
            <w14:solidFill>
              <w14:schemeClr w14:val="tx1"/>
            </w14:solidFill>
          </w14:textFill>
        </w:rPr>
        <w:t>常熟市人民政府琴川街道办事处</w:t>
      </w:r>
      <w:r>
        <w:rPr>
          <w:rFonts w:hint="eastAsia" w:ascii="宋体" w:hAnsi="宋体"/>
          <w:color w:val="000000" w:themeColor="text1"/>
          <w:sz w:val="24"/>
          <w:szCs w:val="24"/>
          <w:highlight w:val="none"/>
          <w14:textFill>
            <w14:solidFill>
              <w14:schemeClr w14:val="tx1"/>
            </w14:solidFill>
          </w14:textFill>
        </w:rPr>
        <w:t>的委托，苏州新一造价师价格事务所有限公司就</w:t>
      </w:r>
      <w:r>
        <w:rPr>
          <w:rFonts w:hint="eastAsia" w:ascii="宋体" w:hAnsi="宋体"/>
          <w:color w:val="000000" w:themeColor="text1"/>
          <w:sz w:val="24"/>
          <w:szCs w:val="24"/>
          <w:highlight w:val="none"/>
          <w:lang w:eastAsia="zh-CN"/>
          <w14:textFill>
            <w14:solidFill>
              <w14:schemeClr w14:val="tx1"/>
            </w14:solidFill>
          </w14:textFill>
        </w:rPr>
        <w:t>琴川街道2025年度雨污水管网设施养护</w:t>
      </w:r>
      <w:r>
        <w:rPr>
          <w:rFonts w:hint="eastAsia" w:ascii="宋体" w:hAnsi="宋体"/>
          <w:color w:val="000000" w:themeColor="text1"/>
          <w:sz w:val="24"/>
          <w:szCs w:val="24"/>
          <w:highlight w:val="none"/>
          <w14:textFill>
            <w14:solidFill>
              <w14:schemeClr w14:val="tx1"/>
            </w14:solidFill>
          </w14:textFill>
        </w:rPr>
        <w:t>(</w:t>
      </w:r>
      <w:r>
        <w:rPr>
          <w:rFonts w:hint="eastAsia" w:ascii="Times New Roman" w:hAnsi="Times New Roman"/>
          <w:color w:val="000000" w:themeColor="text1"/>
          <w:sz w:val="24"/>
          <w:szCs w:val="24"/>
          <w:highlight w:val="none"/>
          <w:lang w:eastAsia="zh-CN"/>
          <w14:textFill>
            <w14:solidFill>
              <w14:schemeClr w14:val="tx1"/>
            </w14:solidFill>
          </w14:textFill>
        </w:rPr>
        <w:t>JSZC-320581-SZXY-G2025-0002</w:t>
      </w:r>
      <w:r>
        <w:rPr>
          <w:rFonts w:hint="eastAsia" w:ascii="宋体" w:hAnsi="宋体"/>
          <w:color w:val="000000" w:themeColor="text1"/>
          <w:sz w:val="24"/>
          <w:szCs w:val="24"/>
          <w:highlight w:val="none"/>
          <w14:textFill>
            <w14:solidFill>
              <w14:schemeClr w14:val="tx1"/>
            </w14:solidFill>
          </w14:textFill>
        </w:rPr>
        <w:t>)项目进行公开招标采购，欢迎符合条件的供应商投标。</w:t>
      </w:r>
    </w:p>
    <w:p w14:paraId="2AA71D9E">
      <w:pPr>
        <w:pBdr>
          <w:top w:val="single" w:color="000000" w:sz="4" w:space="1"/>
          <w:left w:val="single" w:color="000000" w:sz="4" w:space="4"/>
          <w:bottom w:val="single" w:color="000000" w:sz="4" w:space="1"/>
          <w:right w:val="single" w:color="000000" w:sz="4" w:space="4"/>
        </w:pBdr>
        <w:spacing w:line="460" w:lineRule="exact"/>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项目概况</w:t>
      </w:r>
    </w:p>
    <w:p w14:paraId="30C83FA1">
      <w:pPr>
        <w:pBdr>
          <w:top w:val="single" w:color="000000" w:sz="4" w:space="1"/>
          <w:left w:val="single" w:color="000000" w:sz="4" w:space="4"/>
          <w:bottom w:val="single" w:color="000000" w:sz="4" w:space="1"/>
          <w:right w:val="single" w:color="000000" w:sz="4" w:space="4"/>
        </w:pBdr>
        <w:spacing w:line="460" w:lineRule="exact"/>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u w:val="single"/>
          <w:lang w:eastAsia="zh-CN"/>
          <w14:textFill>
            <w14:solidFill>
              <w14:schemeClr w14:val="tx1"/>
            </w14:solidFill>
          </w14:textFill>
        </w:rPr>
        <w:t>琴川街道2025年度雨污水管网设施养护</w:t>
      </w:r>
      <w:r>
        <w:rPr>
          <w:rFonts w:hint="eastAsia" w:ascii="Times New Roman" w:hAnsi="Times New Roman"/>
          <w:color w:val="000000" w:themeColor="text1"/>
          <w:sz w:val="24"/>
          <w:szCs w:val="24"/>
          <w:highlight w:val="none"/>
          <w14:textFill>
            <w14:solidFill>
              <w14:schemeClr w14:val="tx1"/>
            </w14:solidFill>
          </w14:textFill>
        </w:rPr>
        <w:t>招标项目的潜在投标人应在“</w:t>
      </w:r>
      <w:r>
        <w:rPr>
          <w:rFonts w:ascii="Times New Roman" w:hAnsi="Times New Roman"/>
          <w:color w:val="000000" w:themeColor="text1"/>
          <w:sz w:val="24"/>
          <w:szCs w:val="24"/>
          <w:highlight w:val="none"/>
          <w14:textFill>
            <w14:solidFill>
              <w14:schemeClr w14:val="tx1"/>
            </w14:solidFill>
          </w14:textFill>
        </w:rPr>
        <w:t>苏采云政府采购一体化平台</w:t>
      </w:r>
      <w:r>
        <w:rPr>
          <w:rFonts w:hint="eastAsia" w:ascii="Times New Roman" w:hAnsi="Times New Roman"/>
          <w:color w:val="000000" w:themeColor="text1"/>
          <w:sz w:val="24"/>
          <w:szCs w:val="24"/>
          <w:highlight w:val="none"/>
          <w14:textFill>
            <w14:solidFill>
              <w14:schemeClr w14:val="tx1"/>
            </w14:solidFill>
          </w14:textFill>
        </w:rPr>
        <w:t>”</w:t>
      </w:r>
      <w:r>
        <w:rPr>
          <w:rFonts w:ascii="Times New Roman" w:hAnsi="Times New Roman"/>
          <w:color w:val="000000" w:themeColor="text1"/>
          <w:sz w:val="24"/>
          <w:szCs w:val="24"/>
          <w:highlight w:val="none"/>
          <w14:textFill>
            <w14:solidFill>
              <w14:schemeClr w14:val="tx1"/>
            </w14:solidFill>
          </w14:textFill>
        </w:rPr>
        <w:t>中参与项目</w:t>
      </w:r>
      <w:r>
        <w:rPr>
          <w:rFonts w:hint="eastAsia" w:ascii="Times New Roman" w:hAnsi="Times New Roman"/>
          <w:color w:val="000000" w:themeColor="text1"/>
          <w:sz w:val="24"/>
          <w:szCs w:val="24"/>
          <w:highlight w:val="none"/>
          <w14:textFill>
            <w14:solidFill>
              <w14:schemeClr w14:val="tx1"/>
            </w14:solidFill>
          </w14:textFill>
        </w:rPr>
        <w:t>获取招标文件，并于</w:t>
      </w:r>
      <w:r>
        <w:rPr>
          <w:rFonts w:ascii="Times New Roman" w:hAnsi="Times New Roman"/>
          <w:color w:val="000000" w:themeColor="text1"/>
          <w:sz w:val="24"/>
          <w:szCs w:val="21"/>
          <w:highlight w:val="none"/>
          <w:u w:val="single"/>
          <w14:textFill>
            <w14:solidFill>
              <w14:schemeClr w14:val="tx1"/>
            </w14:solidFill>
          </w14:textFill>
        </w:rPr>
        <w:t>202</w:t>
      </w:r>
      <w:r>
        <w:rPr>
          <w:rFonts w:hint="eastAsia" w:ascii="Times New Roman" w:hAnsi="Times New Roman"/>
          <w:color w:val="000000" w:themeColor="text1"/>
          <w:sz w:val="24"/>
          <w:szCs w:val="21"/>
          <w:highlight w:val="none"/>
          <w:u w:val="single"/>
          <w:lang w:val="en-US" w:eastAsia="zh-CN"/>
          <w14:textFill>
            <w14:solidFill>
              <w14:schemeClr w14:val="tx1"/>
            </w14:solidFill>
          </w14:textFill>
        </w:rPr>
        <w:t>5</w:t>
      </w:r>
      <w:r>
        <w:rPr>
          <w:rFonts w:ascii="Times New Roman" w:hAnsi="Times New Roman"/>
          <w:color w:val="000000" w:themeColor="text1"/>
          <w:sz w:val="24"/>
          <w:szCs w:val="21"/>
          <w:highlight w:val="none"/>
          <w:u w:val="single"/>
          <w14:textFill>
            <w14:solidFill>
              <w14:schemeClr w14:val="tx1"/>
            </w14:solidFill>
          </w14:textFill>
        </w:rPr>
        <w:t>年</w:t>
      </w:r>
      <w:r>
        <w:rPr>
          <w:rFonts w:hint="eastAsia" w:ascii="Times New Roman" w:hAnsi="Times New Roman"/>
          <w:color w:val="000000" w:themeColor="text1"/>
          <w:sz w:val="24"/>
          <w:szCs w:val="21"/>
          <w:highlight w:val="none"/>
          <w:u w:val="single"/>
          <w:lang w:val="en-US" w:eastAsia="zh-CN"/>
          <w14:textFill>
            <w14:solidFill>
              <w14:schemeClr w14:val="tx1"/>
            </w14:solidFill>
          </w14:textFill>
        </w:rPr>
        <w:t>2</w:t>
      </w:r>
      <w:r>
        <w:rPr>
          <w:rFonts w:ascii="Times New Roman" w:hAnsi="Times New Roman"/>
          <w:color w:val="000000" w:themeColor="text1"/>
          <w:sz w:val="24"/>
          <w:szCs w:val="21"/>
          <w:highlight w:val="none"/>
          <w:u w:val="single"/>
          <w14:textFill>
            <w14:solidFill>
              <w14:schemeClr w14:val="tx1"/>
            </w14:solidFill>
          </w14:textFill>
        </w:rPr>
        <w:t>月</w:t>
      </w:r>
      <w:r>
        <w:rPr>
          <w:rFonts w:hint="eastAsia" w:ascii="Times New Roman" w:hAnsi="Times New Roman"/>
          <w:color w:val="000000" w:themeColor="text1"/>
          <w:sz w:val="24"/>
          <w:szCs w:val="21"/>
          <w:highlight w:val="none"/>
          <w:u w:val="single"/>
          <w:lang w:val="en-US" w:eastAsia="zh-CN"/>
          <w14:textFill>
            <w14:solidFill>
              <w14:schemeClr w14:val="tx1"/>
            </w14:solidFill>
          </w14:textFill>
        </w:rPr>
        <w:t>27</w:t>
      </w:r>
      <w:r>
        <w:rPr>
          <w:rFonts w:ascii="Times New Roman" w:hAnsi="Times New Roman"/>
          <w:color w:val="000000" w:themeColor="text1"/>
          <w:sz w:val="24"/>
          <w:szCs w:val="21"/>
          <w:highlight w:val="none"/>
          <w:u w:val="single"/>
          <w14:textFill>
            <w14:solidFill>
              <w14:schemeClr w14:val="tx1"/>
            </w14:solidFill>
          </w14:textFill>
        </w:rPr>
        <w:t>日13</w:t>
      </w:r>
      <w:r>
        <w:rPr>
          <w:rFonts w:hint="eastAsia" w:ascii="Times New Roman" w:hAnsi="Times New Roman"/>
          <w:color w:val="000000" w:themeColor="text1"/>
          <w:sz w:val="24"/>
          <w:szCs w:val="21"/>
          <w:highlight w:val="none"/>
          <w:u w:val="single"/>
          <w14:textFill>
            <w14:solidFill>
              <w14:schemeClr w14:val="tx1"/>
            </w14:solidFill>
          </w14:textFill>
        </w:rPr>
        <w:t>点00分（北京时间）</w:t>
      </w:r>
      <w:r>
        <w:rPr>
          <w:rFonts w:hint="eastAsia" w:hAnsi="宋体"/>
          <w:color w:val="000000" w:themeColor="text1"/>
          <w:sz w:val="24"/>
          <w:szCs w:val="21"/>
          <w:highlight w:val="none"/>
          <w14:textFill>
            <w14:solidFill>
              <w14:schemeClr w14:val="tx1"/>
            </w14:solidFill>
          </w14:textFill>
        </w:rPr>
        <w:t>前按规定提交投标</w:t>
      </w:r>
      <w:r>
        <w:rPr>
          <w:rFonts w:hAnsi="宋体"/>
          <w:color w:val="000000" w:themeColor="text1"/>
          <w:sz w:val="24"/>
          <w:szCs w:val="21"/>
          <w:highlight w:val="none"/>
          <w14:textFill>
            <w14:solidFill>
              <w14:schemeClr w14:val="tx1"/>
            </w14:solidFill>
          </w14:textFill>
        </w:rPr>
        <w:t>文件</w:t>
      </w:r>
      <w:r>
        <w:rPr>
          <w:rFonts w:hint="eastAsia" w:hAnsi="宋体"/>
          <w:color w:val="000000" w:themeColor="text1"/>
          <w:sz w:val="24"/>
          <w:szCs w:val="21"/>
          <w:highlight w:val="none"/>
          <w14:textFill>
            <w14:solidFill>
              <w14:schemeClr w14:val="tx1"/>
            </w14:solidFill>
          </w14:textFill>
        </w:rPr>
        <w:t>。</w:t>
      </w:r>
    </w:p>
    <w:p w14:paraId="10C4B3AF">
      <w:pPr>
        <w:keepNext/>
        <w:keepLines/>
        <w:spacing w:line="440" w:lineRule="exact"/>
        <w:ind w:firstLine="482"/>
        <w:outlineLvl w:val="1"/>
        <w:rPr>
          <w:rFonts w:ascii="Times New Roman" w:hAnsi="Times New Roman"/>
          <w:b/>
          <w:bCs/>
          <w:color w:val="000000" w:themeColor="text1"/>
          <w:sz w:val="24"/>
          <w:szCs w:val="24"/>
          <w:highlight w:val="none"/>
          <w14:textFill>
            <w14:solidFill>
              <w14:schemeClr w14:val="tx1"/>
            </w14:solidFill>
          </w14:textFill>
        </w:rPr>
      </w:pPr>
      <w:bookmarkStart w:id="7" w:name="_Toc35393790"/>
      <w:bookmarkStart w:id="8" w:name="_Toc38985263"/>
      <w:bookmarkStart w:id="9" w:name="_Toc35393621"/>
      <w:bookmarkStart w:id="10" w:name="_Toc28359002"/>
      <w:bookmarkStart w:id="11" w:name="_Toc28359079"/>
      <w:bookmarkStart w:id="12" w:name="_Toc14232"/>
      <w:bookmarkStart w:id="13" w:name="_Hlk24379207"/>
      <w:r>
        <w:rPr>
          <w:rFonts w:ascii="Times New Roman" w:hAnsi="Times New Roman"/>
          <w:b/>
          <w:bCs/>
          <w:color w:val="000000" w:themeColor="text1"/>
          <w:sz w:val="24"/>
          <w:szCs w:val="24"/>
          <w:highlight w:val="none"/>
          <w14:textFill>
            <w14:solidFill>
              <w14:schemeClr w14:val="tx1"/>
            </w14:solidFill>
          </w14:textFill>
        </w:rPr>
        <w:t>一、项目基本情况</w:t>
      </w:r>
      <w:bookmarkEnd w:id="7"/>
      <w:bookmarkEnd w:id="8"/>
      <w:bookmarkEnd w:id="9"/>
      <w:bookmarkEnd w:id="10"/>
      <w:bookmarkEnd w:id="11"/>
      <w:bookmarkEnd w:id="12"/>
    </w:p>
    <w:p w14:paraId="19420FDF">
      <w:pPr>
        <w:spacing w:line="460" w:lineRule="exact"/>
        <w:ind w:firstLine="480"/>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项目编号：</w:t>
      </w:r>
      <w:r>
        <w:rPr>
          <w:rFonts w:hint="eastAsia" w:ascii="宋体" w:hAnsi="宋体"/>
          <w:color w:val="000000" w:themeColor="text1"/>
          <w:sz w:val="24"/>
          <w:szCs w:val="24"/>
          <w:highlight w:val="none"/>
          <w:lang w:eastAsia="zh-CN"/>
          <w14:textFill>
            <w14:solidFill>
              <w14:schemeClr w14:val="tx1"/>
            </w14:solidFill>
          </w14:textFill>
        </w:rPr>
        <w:t>JSZC-320581-SZXY-G2025-0002</w:t>
      </w:r>
    </w:p>
    <w:p w14:paraId="0CE33030">
      <w:pPr>
        <w:spacing w:line="460" w:lineRule="exact"/>
        <w:ind w:firstLine="480"/>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项目名称：</w:t>
      </w:r>
      <w:r>
        <w:rPr>
          <w:rFonts w:hint="eastAsia" w:ascii="宋体" w:hAnsi="宋体"/>
          <w:color w:val="000000" w:themeColor="text1"/>
          <w:sz w:val="24"/>
          <w:szCs w:val="24"/>
          <w:highlight w:val="none"/>
          <w:lang w:eastAsia="zh-CN"/>
          <w14:textFill>
            <w14:solidFill>
              <w14:schemeClr w14:val="tx1"/>
            </w14:solidFill>
          </w14:textFill>
        </w:rPr>
        <w:t>琴川街道2025年度雨污水管网设施养护</w:t>
      </w:r>
    </w:p>
    <w:p w14:paraId="5EAB4F5B">
      <w:pPr>
        <w:spacing w:line="460" w:lineRule="exact"/>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采购方式：公开招标</w:t>
      </w:r>
      <w:bookmarkEnd w:id="13"/>
    </w:p>
    <w:p w14:paraId="0D98C5D6">
      <w:pPr>
        <w:spacing w:line="460" w:lineRule="exact"/>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预算金额：人民币</w:t>
      </w:r>
      <w:r>
        <w:rPr>
          <w:rFonts w:hint="eastAsia" w:ascii="宋体" w:hAnsi="宋体"/>
          <w:color w:val="000000" w:themeColor="text1"/>
          <w:sz w:val="24"/>
          <w:szCs w:val="24"/>
          <w:highlight w:val="none"/>
          <w:lang w:val="en-US" w:eastAsia="zh-CN"/>
          <w14:textFill>
            <w14:solidFill>
              <w14:schemeClr w14:val="tx1"/>
            </w14:solidFill>
          </w14:textFill>
        </w:rPr>
        <w:t>294.3万</w:t>
      </w:r>
      <w:r>
        <w:rPr>
          <w:rFonts w:hint="eastAsia" w:ascii="宋体" w:hAnsi="宋体"/>
          <w:color w:val="000000" w:themeColor="text1"/>
          <w:sz w:val="24"/>
          <w:szCs w:val="24"/>
          <w:highlight w:val="none"/>
          <w14:textFill>
            <w14:solidFill>
              <w14:schemeClr w14:val="tx1"/>
            </w14:solidFill>
          </w14:textFill>
        </w:rPr>
        <w:t>元</w:t>
      </w:r>
    </w:p>
    <w:p w14:paraId="0F58D71B">
      <w:pPr>
        <w:spacing w:line="460" w:lineRule="exact"/>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最高限价（如有）：无。</w:t>
      </w:r>
    </w:p>
    <w:p w14:paraId="67103535">
      <w:pPr>
        <w:spacing w:line="460" w:lineRule="exact"/>
        <w:ind w:firstLine="480"/>
        <w:rPr>
          <w:rFonts w:ascii="宋体" w:hAnsi="宋体"/>
          <w:color w:val="000000" w:themeColor="text1"/>
          <w:sz w:val="24"/>
          <w:szCs w:val="24"/>
          <w:highlight w:val="none"/>
          <w14:textFill>
            <w14:solidFill>
              <w14:schemeClr w14:val="tx1"/>
            </w14:solidFill>
          </w14:textFill>
        </w:rPr>
      </w:pPr>
      <w:bookmarkStart w:id="14" w:name="_Toc28359080"/>
      <w:bookmarkStart w:id="15" w:name="_Toc38985264"/>
      <w:bookmarkStart w:id="16" w:name="_Toc35393791"/>
      <w:bookmarkStart w:id="17" w:name="_Toc28359003"/>
      <w:bookmarkStart w:id="18" w:name="_Toc35393622"/>
      <w:r>
        <w:rPr>
          <w:rFonts w:hint="eastAsia" w:ascii="宋体" w:hAnsi="宋体"/>
          <w:color w:val="000000" w:themeColor="text1"/>
          <w:sz w:val="24"/>
          <w:szCs w:val="24"/>
          <w:highlight w:val="none"/>
          <w14:textFill>
            <w14:solidFill>
              <w14:schemeClr w14:val="tx1"/>
            </w14:solidFill>
          </w14:textFill>
        </w:rPr>
        <w:t>采购</w:t>
      </w:r>
      <w:r>
        <w:rPr>
          <w:rFonts w:hint="eastAsia" w:ascii="宋体" w:hAnsi="宋体"/>
          <w:color w:val="000000" w:themeColor="text1"/>
          <w:sz w:val="24"/>
          <w:szCs w:val="24"/>
          <w:highlight w:val="none"/>
          <w:lang w:val="en-US" w:eastAsia="zh-CN"/>
          <w14:textFill>
            <w14:solidFill>
              <w14:schemeClr w14:val="tx1"/>
            </w14:solidFill>
          </w14:textFill>
        </w:rPr>
        <w:t>需求概况：常熟市人民政府琴川街道办事处所需的琴川街道2025年度雨污水管网设施养护管理，主要内容包括但不限于水利水务设施养护管理、水生植物养护管理、雨污管网养护、维修管理等。</w:t>
      </w:r>
    </w:p>
    <w:p w14:paraId="57340C31">
      <w:pPr>
        <w:spacing w:line="460" w:lineRule="exact"/>
        <w:ind w:firstLine="480"/>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合同履行期限：一年，2025年</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3</w:t>
      </w:r>
      <w:r>
        <w:rPr>
          <w:rFonts w:hint="eastAsia" w:ascii="宋体" w:hAnsi="宋体" w:eastAsia="宋体" w:cs="Times New Roman"/>
          <w:color w:val="000000" w:themeColor="text1"/>
          <w:sz w:val="24"/>
          <w:szCs w:val="24"/>
          <w:highlight w:val="none"/>
          <w14:textFill>
            <w14:solidFill>
              <w14:schemeClr w14:val="tx1"/>
            </w14:solidFill>
          </w14:textFill>
        </w:rPr>
        <w:t>月</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1</w:t>
      </w:r>
      <w:r>
        <w:rPr>
          <w:rFonts w:hint="eastAsia" w:ascii="宋体" w:hAnsi="宋体" w:eastAsia="宋体" w:cs="Times New Roman"/>
          <w:color w:val="000000" w:themeColor="text1"/>
          <w:sz w:val="24"/>
          <w:szCs w:val="24"/>
          <w:highlight w:val="none"/>
          <w14:textFill>
            <w14:solidFill>
              <w14:schemeClr w14:val="tx1"/>
            </w14:solidFill>
          </w14:textFill>
        </w:rPr>
        <w:t>日至</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2026</w:t>
      </w:r>
      <w:r>
        <w:rPr>
          <w:rFonts w:hint="eastAsia" w:ascii="宋体" w:hAnsi="宋体" w:eastAsia="宋体" w:cs="Times New Roman"/>
          <w:color w:val="000000" w:themeColor="text1"/>
          <w:sz w:val="24"/>
          <w:szCs w:val="24"/>
          <w:highlight w:val="none"/>
          <w14:textFill>
            <w14:solidFill>
              <w14:schemeClr w14:val="tx1"/>
            </w14:solidFill>
          </w14:textFill>
        </w:rPr>
        <w:t>年</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2</w:t>
      </w:r>
      <w:r>
        <w:rPr>
          <w:rFonts w:hint="eastAsia" w:ascii="宋体" w:hAnsi="宋体" w:eastAsia="宋体" w:cs="Times New Roman"/>
          <w:color w:val="000000" w:themeColor="text1"/>
          <w:sz w:val="24"/>
          <w:szCs w:val="24"/>
          <w:highlight w:val="none"/>
          <w14:textFill>
            <w14:solidFill>
              <w14:schemeClr w14:val="tx1"/>
            </w14:solidFill>
          </w14:textFill>
        </w:rPr>
        <w:t>月</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28</w:t>
      </w:r>
      <w:r>
        <w:rPr>
          <w:rFonts w:hint="eastAsia" w:ascii="宋体" w:hAnsi="宋体" w:eastAsia="宋体" w:cs="Times New Roman"/>
          <w:color w:val="000000" w:themeColor="text1"/>
          <w:sz w:val="24"/>
          <w:szCs w:val="24"/>
          <w:highlight w:val="none"/>
          <w14:textFill>
            <w14:solidFill>
              <w14:schemeClr w14:val="tx1"/>
            </w14:solidFill>
          </w14:textFill>
        </w:rPr>
        <w:t>日。</w:t>
      </w:r>
    </w:p>
    <w:p w14:paraId="03FC0594">
      <w:pPr>
        <w:spacing w:line="460" w:lineRule="exact"/>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本项目不接受联合体投标。</w:t>
      </w:r>
    </w:p>
    <w:p w14:paraId="7C3F514F">
      <w:pPr>
        <w:keepNext/>
        <w:keepLines/>
        <w:spacing w:line="440" w:lineRule="exact"/>
        <w:ind w:firstLine="482"/>
        <w:outlineLvl w:val="1"/>
        <w:rPr>
          <w:rFonts w:ascii="Times New Roman" w:hAnsi="Times New Roman"/>
          <w:b/>
          <w:bCs/>
          <w:color w:val="000000" w:themeColor="text1"/>
          <w:sz w:val="24"/>
          <w:szCs w:val="24"/>
          <w:highlight w:val="none"/>
          <w14:textFill>
            <w14:solidFill>
              <w14:schemeClr w14:val="tx1"/>
            </w14:solidFill>
          </w14:textFill>
        </w:rPr>
      </w:pPr>
      <w:bookmarkStart w:id="19" w:name="_Toc26921"/>
      <w:r>
        <w:rPr>
          <w:rFonts w:hint="eastAsia" w:ascii="Times New Roman" w:hAnsi="Times New Roman"/>
          <w:b/>
          <w:bCs/>
          <w:color w:val="000000" w:themeColor="text1"/>
          <w:sz w:val="24"/>
          <w:szCs w:val="24"/>
          <w:highlight w:val="none"/>
          <w14:textFill>
            <w14:solidFill>
              <w14:schemeClr w14:val="tx1"/>
            </w14:solidFill>
          </w14:textFill>
        </w:rPr>
        <w:t>二、申请人的资格要求</w:t>
      </w:r>
      <w:bookmarkEnd w:id="14"/>
      <w:bookmarkEnd w:id="15"/>
      <w:bookmarkEnd w:id="16"/>
      <w:bookmarkEnd w:id="17"/>
      <w:bookmarkEnd w:id="18"/>
      <w:bookmarkEnd w:id="19"/>
      <w:bookmarkStart w:id="20" w:name="_Toc38985265"/>
      <w:bookmarkStart w:id="21" w:name="_Toc28359004"/>
      <w:bookmarkStart w:id="22" w:name="_Toc35393623"/>
      <w:bookmarkStart w:id="23" w:name="_Toc28359081"/>
      <w:bookmarkStart w:id="24" w:name="_Toc35393792"/>
    </w:p>
    <w:p w14:paraId="1158C2BC">
      <w:pPr>
        <w:spacing w:line="460" w:lineRule="exact"/>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（一）满足《中华人民共和国政府采购法》第二十二条规定；</w:t>
      </w:r>
    </w:p>
    <w:p w14:paraId="2D8E3611">
      <w:pPr>
        <w:spacing w:line="460" w:lineRule="exact"/>
        <w:ind w:firstLine="787"/>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1.具有独立承担民事责任的能力。（法人或者其他组织的营业执照等证明文件）</w:t>
      </w:r>
    </w:p>
    <w:p w14:paraId="20288763">
      <w:pPr>
        <w:spacing w:line="460" w:lineRule="exact"/>
        <w:ind w:firstLine="787"/>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2.具有良好的商业信誉和健全的财务会计制度。（202</w:t>
      </w:r>
      <w:r>
        <w:rPr>
          <w:rFonts w:hint="eastAsia" w:ascii="宋体" w:hAnsi="宋体"/>
          <w:color w:val="000000" w:themeColor="text1"/>
          <w:sz w:val="24"/>
          <w:szCs w:val="24"/>
          <w:highlight w:val="none"/>
          <w:lang w:val="en-US" w:eastAsia="zh-CN"/>
          <w14:textFill>
            <w14:solidFill>
              <w14:schemeClr w14:val="tx1"/>
            </w14:solidFill>
          </w14:textFill>
        </w:rPr>
        <w:t>3</w:t>
      </w:r>
      <w:r>
        <w:rPr>
          <w:rFonts w:hint="eastAsia" w:ascii="宋体" w:hAnsi="宋体"/>
          <w:color w:val="000000" w:themeColor="text1"/>
          <w:sz w:val="24"/>
          <w:szCs w:val="24"/>
          <w:highlight w:val="none"/>
          <w14:textFill>
            <w14:solidFill>
              <w14:schemeClr w14:val="tx1"/>
            </w14:solidFill>
          </w14:textFill>
        </w:rPr>
        <w:t>年度至今任意一期的财务报告（财务报表）或金融机构（中介机构）出具的资信证明）</w:t>
      </w:r>
    </w:p>
    <w:p w14:paraId="533E51FA">
      <w:pPr>
        <w:spacing w:line="460" w:lineRule="exact"/>
        <w:ind w:firstLine="787"/>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3.具有履行合同所必需的设备和专业技术能力。（具备履行合同所必需的设备和专业技术能力的书面声明）</w:t>
      </w:r>
    </w:p>
    <w:p w14:paraId="49EE2A62">
      <w:pPr>
        <w:spacing w:line="460" w:lineRule="exact"/>
        <w:ind w:firstLine="787"/>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4.有依法缴纳税收和社会保障资金的良好记录。（提供投标截止时间前一年内至少一个月依法缴纳税收及缴纳社会保障资金的证明材料，如投标人缴纳税收的凭据、缴纳社会保险的专用收据或社会保险缴纳清单。投标人依法享受免缴税收、社会保障资金的提供证明材料。）</w:t>
      </w:r>
    </w:p>
    <w:p w14:paraId="51ED0A10">
      <w:pPr>
        <w:spacing w:line="460" w:lineRule="exact"/>
        <w:ind w:firstLine="787"/>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5.参加政府采购活动前三年内，在经营活动中没有重大违法记录。（参加政府采购活动前 3 年内在经营活动中没有重大违法记录的书面声明。）</w:t>
      </w:r>
    </w:p>
    <w:p w14:paraId="712B0D9A">
      <w:pPr>
        <w:keepNext/>
        <w:keepLines/>
        <w:spacing w:line="44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（二）落实政府采购政策需满足的资格要求：</w:t>
      </w:r>
    </w:p>
    <w:p w14:paraId="146A2061">
      <w:pPr>
        <w:widowControl/>
        <w:shd w:val="clear" w:color="auto" w:fill="FFFFFF"/>
        <w:spacing w:line="440" w:lineRule="exact"/>
        <w:ind w:firstLine="482"/>
        <w:jc w:val="left"/>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本项目专门面向中小企业采购，所属行业为</w:t>
      </w:r>
      <w:r>
        <w:rPr>
          <w:rFonts w:hint="eastAsia" w:ascii="宋体" w:hAnsi="宋体" w:cs="宋体"/>
          <w:b/>
          <w:color w:val="000000" w:themeColor="text1"/>
          <w:sz w:val="24"/>
          <w:szCs w:val="24"/>
          <w:highlight w:val="none"/>
          <w:lang w:val="en-US" w:eastAsia="zh-CN"/>
          <w14:textFill>
            <w14:solidFill>
              <w14:schemeClr w14:val="tx1"/>
            </w14:solidFill>
          </w14:textFill>
        </w:rPr>
        <w:t>其他未列明行业</w:t>
      </w:r>
      <w:r>
        <w:rPr>
          <w:rFonts w:hint="eastAsia" w:ascii="宋体" w:hAnsi="宋体" w:cs="宋体"/>
          <w:b/>
          <w:color w:val="000000" w:themeColor="text1"/>
          <w:sz w:val="24"/>
          <w:szCs w:val="24"/>
          <w:highlight w:val="none"/>
          <w14:textFill>
            <w14:solidFill>
              <w14:schemeClr w14:val="tx1"/>
            </w14:solidFill>
          </w14:textFill>
        </w:rPr>
        <w:t>，投标时须提供《中小企业声明函》。</w:t>
      </w:r>
    </w:p>
    <w:p w14:paraId="715B804A">
      <w:pPr>
        <w:widowControl/>
        <w:shd w:val="clear" w:color="auto" w:fill="FFFFFF"/>
        <w:spacing w:line="440" w:lineRule="exact"/>
        <w:ind w:firstLine="482"/>
        <w:jc w:val="left"/>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注：对残疾人福利性单位、监狱企业视同小型、微型企业，但须按要求提供有关声明函或证明文件。</w:t>
      </w:r>
    </w:p>
    <w:p w14:paraId="46A3EFBC">
      <w:pPr>
        <w:keepNext/>
        <w:keepLines/>
        <w:spacing w:line="440" w:lineRule="exact"/>
        <w:ind w:firstLine="480"/>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（三）本项目的特定资格要求：</w:t>
      </w:r>
      <w:r>
        <w:rPr>
          <w:rFonts w:hint="eastAsia" w:ascii="宋体" w:hAnsi="宋体" w:cs="宋体"/>
          <w:color w:val="000000" w:themeColor="text1"/>
          <w:sz w:val="24"/>
          <w:szCs w:val="24"/>
          <w:highlight w:val="none"/>
          <w:lang w:val="en-US" w:eastAsia="zh-CN"/>
          <w14:textFill>
            <w14:solidFill>
              <w14:schemeClr w14:val="tx1"/>
            </w14:solidFill>
          </w14:textFill>
        </w:rPr>
        <w:t>无</w:t>
      </w:r>
      <w:r>
        <w:rPr>
          <w:rFonts w:hint="eastAsia" w:ascii="宋体" w:hAnsi="宋体" w:cs="宋体"/>
          <w:color w:val="000000" w:themeColor="text1"/>
          <w:sz w:val="24"/>
          <w:szCs w:val="24"/>
          <w:highlight w:val="none"/>
          <w:lang w:eastAsia="zh-CN"/>
          <w14:textFill>
            <w14:solidFill>
              <w14:schemeClr w14:val="tx1"/>
            </w14:solidFill>
          </w14:textFill>
        </w:rPr>
        <w:t>。</w:t>
      </w:r>
    </w:p>
    <w:p w14:paraId="776D3ECA">
      <w:pPr>
        <w:keepNext/>
        <w:keepLines/>
        <w:spacing w:line="440" w:lineRule="exact"/>
        <w:ind w:firstLine="482"/>
        <w:outlineLvl w:val="1"/>
        <w:rPr>
          <w:rFonts w:ascii="Times New Roman" w:hAnsi="Times New Roman"/>
          <w:b/>
          <w:bCs/>
          <w:color w:val="000000" w:themeColor="text1"/>
          <w:sz w:val="24"/>
          <w:szCs w:val="24"/>
          <w:highlight w:val="none"/>
          <w14:textFill>
            <w14:solidFill>
              <w14:schemeClr w14:val="tx1"/>
            </w14:solidFill>
          </w14:textFill>
        </w:rPr>
      </w:pPr>
      <w:bookmarkStart w:id="25" w:name="_Toc779"/>
      <w:r>
        <w:rPr>
          <w:rFonts w:hint="eastAsia" w:ascii="Times New Roman" w:hAnsi="Times New Roman"/>
          <w:b/>
          <w:bCs/>
          <w:color w:val="000000" w:themeColor="text1"/>
          <w:sz w:val="24"/>
          <w:szCs w:val="24"/>
          <w:highlight w:val="none"/>
          <w14:textFill>
            <w14:solidFill>
              <w14:schemeClr w14:val="tx1"/>
            </w14:solidFill>
          </w14:textFill>
        </w:rPr>
        <w:t>三、获取招标文件</w:t>
      </w:r>
      <w:bookmarkEnd w:id="20"/>
      <w:bookmarkEnd w:id="21"/>
      <w:bookmarkEnd w:id="22"/>
      <w:bookmarkEnd w:id="23"/>
      <w:bookmarkEnd w:id="24"/>
      <w:bookmarkEnd w:id="25"/>
      <w:bookmarkStart w:id="26" w:name="_Toc38985266"/>
      <w:bookmarkStart w:id="27" w:name="_Toc35393624"/>
      <w:bookmarkStart w:id="28" w:name="_Toc28359005"/>
      <w:bookmarkStart w:id="29" w:name="_Toc28359082"/>
      <w:bookmarkStart w:id="30" w:name="_Toc35393793"/>
    </w:p>
    <w:p w14:paraId="231FB42C">
      <w:pPr>
        <w:keepNext/>
        <w:keepLines/>
        <w:spacing w:line="440" w:lineRule="exact"/>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时间：自招标文件公告发布之日起5个工作日 </w:t>
      </w:r>
    </w:p>
    <w:p w14:paraId="7AC0AF3F">
      <w:pPr>
        <w:keepNext/>
        <w:keepLines/>
        <w:spacing w:line="440" w:lineRule="exact"/>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地点：苏采云政府采购一体化平台 </w:t>
      </w:r>
    </w:p>
    <w:p w14:paraId="4F3BF622">
      <w:pPr>
        <w:keepNext/>
        <w:keepLines/>
        <w:spacing w:line="440" w:lineRule="exact"/>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方式：在“苏采云政府采购一体化平台”自行免费下载采购文件 </w:t>
      </w:r>
    </w:p>
    <w:p w14:paraId="71CC4E84">
      <w:pPr>
        <w:keepNext/>
        <w:keepLines/>
        <w:spacing w:line="440" w:lineRule="exact"/>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售价：0.00元 </w:t>
      </w:r>
    </w:p>
    <w:p w14:paraId="062E793C">
      <w:pPr>
        <w:keepNext/>
        <w:keepLines/>
        <w:spacing w:line="440" w:lineRule="exact"/>
        <w:ind w:firstLine="482"/>
        <w:outlineLvl w:val="1"/>
        <w:rPr>
          <w:rFonts w:ascii="Times New Roman" w:hAnsi="Times New Roman"/>
          <w:b/>
          <w:bCs/>
          <w:color w:val="000000" w:themeColor="text1"/>
          <w:sz w:val="24"/>
          <w:szCs w:val="24"/>
          <w:highlight w:val="none"/>
          <w14:textFill>
            <w14:solidFill>
              <w14:schemeClr w14:val="tx1"/>
            </w14:solidFill>
          </w14:textFill>
        </w:rPr>
      </w:pPr>
      <w:bookmarkStart w:id="31" w:name="_Toc5777"/>
      <w:r>
        <w:rPr>
          <w:rFonts w:hint="eastAsia" w:ascii="Times New Roman" w:hAnsi="Times New Roman"/>
          <w:b/>
          <w:bCs/>
          <w:color w:val="000000" w:themeColor="text1"/>
          <w:sz w:val="24"/>
          <w:szCs w:val="24"/>
          <w:highlight w:val="none"/>
          <w14:textFill>
            <w14:solidFill>
              <w14:schemeClr w14:val="tx1"/>
            </w14:solidFill>
          </w14:textFill>
        </w:rPr>
        <w:t>四、</w:t>
      </w:r>
      <w:bookmarkEnd w:id="26"/>
      <w:bookmarkEnd w:id="27"/>
      <w:bookmarkEnd w:id="28"/>
      <w:bookmarkEnd w:id="29"/>
      <w:bookmarkEnd w:id="30"/>
      <w:r>
        <w:rPr>
          <w:rFonts w:hint="eastAsia" w:ascii="Times New Roman" w:hAnsi="Times New Roman"/>
          <w:b/>
          <w:bCs/>
          <w:color w:val="000000" w:themeColor="text1"/>
          <w:sz w:val="24"/>
          <w:szCs w:val="24"/>
          <w:highlight w:val="none"/>
          <w14:textFill>
            <w14:solidFill>
              <w14:schemeClr w14:val="tx1"/>
            </w14:solidFill>
          </w14:textFill>
        </w:rPr>
        <w:t>提交投标文件截止时间、开标</w:t>
      </w:r>
      <w:r>
        <w:rPr>
          <w:rFonts w:ascii="Times New Roman" w:hAnsi="Times New Roman"/>
          <w:b/>
          <w:bCs/>
          <w:color w:val="000000" w:themeColor="text1"/>
          <w:sz w:val="24"/>
          <w:szCs w:val="24"/>
          <w:highlight w:val="none"/>
          <w14:textFill>
            <w14:solidFill>
              <w14:schemeClr w14:val="tx1"/>
            </w14:solidFill>
          </w14:textFill>
        </w:rPr>
        <w:t>时间和地点</w:t>
      </w:r>
      <w:bookmarkEnd w:id="31"/>
    </w:p>
    <w:p w14:paraId="5E1021D3">
      <w:pPr>
        <w:spacing w:line="440" w:lineRule="exact"/>
        <w:ind w:firstLine="480"/>
        <w:rPr>
          <w:rFonts w:ascii="Times New Roman" w:hAnsi="Times New Roman"/>
          <w:color w:val="000000" w:themeColor="text1"/>
          <w:sz w:val="24"/>
          <w:szCs w:val="24"/>
          <w:highlight w:val="none"/>
          <w14:textFill>
            <w14:solidFill>
              <w14:schemeClr w14:val="tx1"/>
            </w14:solidFill>
          </w14:textFill>
        </w:rPr>
      </w:pPr>
      <w:bookmarkStart w:id="32" w:name="_Toc28359007"/>
      <w:bookmarkStart w:id="33" w:name="_Toc35393625"/>
      <w:bookmarkStart w:id="34" w:name="_Toc38985267"/>
      <w:bookmarkStart w:id="35" w:name="_Toc28359084"/>
      <w:bookmarkStart w:id="36" w:name="_Toc35393794"/>
      <w:r>
        <w:rPr>
          <w:rFonts w:hint="eastAsia" w:ascii="Times New Roman" w:hAnsi="Times New Roman"/>
          <w:color w:val="000000" w:themeColor="text1"/>
          <w:sz w:val="24"/>
          <w:szCs w:val="24"/>
          <w:highlight w:val="none"/>
          <w14:textFill>
            <w14:solidFill>
              <w14:schemeClr w14:val="tx1"/>
            </w14:solidFill>
          </w14:textFill>
        </w:rPr>
        <w:t>时间：202</w:t>
      </w:r>
      <w:r>
        <w:rPr>
          <w:rFonts w:hint="eastAsia" w:ascii="Times New Roman" w:hAnsi="Times New Roman"/>
          <w:color w:val="000000" w:themeColor="text1"/>
          <w:sz w:val="24"/>
          <w:szCs w:val="24"/>
          <w:highlight w:val="none"/>
          <w:lang w:val="en-US" w:eastAsia="zh-CN"/>
          <w14:textFill>
            <w14:solidFill>
              <w14:schemeClr w14:val="tx1"/>
            </w14:solidFill>
          </w14:textFill>
        </w:rPr>
        <w:t>5</w:t>
      </w:r>
      <w:r>
        <w:rPr>
          <w:rFonts w:hint="eastAsia" w:ascii="Times New Roman" w:hAnsi="Times New Roman"/>
          <w:color w:val="000000" w:themeColor="text1"/>
          <w:sz w:val="24"/>
          <w:szCs w:val="24"/>
          <w:highlight w:val="none"/>
          <w14:textFill>
            <w14:solidFill>
              <w14:schemeClr w14:val="tx1"/>
            </w14:solidFill>
          </w14:textFill>
        </w:rPr>
        <w:t>-</w:t>
      </w:r>
      <w:r>
        <w:rPr>
          <w:rFonts w:hint="eastAsia" w:ascii="Times New Roman" w:hAnsi="Times New Roman"/>
          <w:color w:val="000000" w:themeColor="text1"/>
          <w:sz w:val="24"/>
          <w:szCs w:val="24"/>
          <w:highlight w:val="none"/>
          <w:lang w:val="en-US" w:eastAsia="zh-CN"/>
          <w14:textFill>
            <w14:solidFill>
              <w14:schemeClr w14:val="tx1"/>
            </w14:solidFill>
          </w14:textFill>
        </w:rPr>
        <w:t>2</w:t>
      </w:r>
      <w:r>
        <w:rPr>
          <w:rFonts w:hint="eastAsia" w:ascii="Times New Roman" w:hAnsi="Times New Roman"/>
          <w:color w:val="000000" w:themeColor="text1"/>
          <w:sz w:val="24"/>
          <w:szCs w:val="24"/>
          <w:highlight w:val="none"/>
          <w14:textFill>
            <w14:solidFill>
              <w14:schemeClr w14:val="tx1"/>
            </w14:solidFill>
          </w14:textFill>
        </w:rPr>
        <w:t>-</w:t>
      </w:r>
      <w:r>
        <w:rPr>
          <w:rFonts w:hint="eastAsia" w:ascii="Times New Roman" w:hAnsi="Times New Roman"/>
          <w:color w:val="000000" w:themeColor="text1"/>
          <w:sz w:val="24"/>
          <w:szCs w:val="24"/>
          <w:highlight w:val="none"/>
          <w:lang w:val="en-US" w:eastAsia="zh-CN"/>
          <w14:textFill>
            <w14:solidFill>
              <w14:schemeClr w14:val="tx1"/>
            </w14:solidFill>
          </w14:textFill>
        </w:rPr>
        <w:t xml:space="preserve">27 </w:t>
      </w:r>
      <w:r>
        <w:rPr>
          <w:rFonts w:hint="eastAsia" w:ascii="Times New Roman" w:hAnsi="Times New Roman"/>
          <w:color w:val="000000" w:themeColor="text1"/>
          <w:sz w:val="24"/>
          <w:szCs w:val="24"/>
          <w:highlight w:val="none"/>
          <w14:textFill>
            <w14:solidFill>
              <w14:schemeClr w14:val="tx1"/>
            </w14:solidFill>
          </w14:textFill>
        </w:rPr>
        <w:t xml:space="preserve"> 13:00（北京时间）</w:t>
      </w:r>
    </w:p>
    <w:p w14:paraId="2DCCC379">
      <w:pPr>
        <w:spacing w:line="440" w:lineRule="exact"/>
        <w:ind w:firstLine="480"/>
        <w:rPr>
          <w:rFonts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地点：苏采云政府采购一体化平台开标大厅</w:t>
      </w:r>
    </w:p>
    <w:p w14:paraId="615442BE">
      <w:pPr>
        <w:keepNext/>
        <w:keepLines/>
        <w:spacing w:line="440" w:lineRule="exact"/>
        <w:ind w:firstLine="482"/>
        <w:outlineLvl w:val="1"/>
        <w:rPr>
          <w:rFonts w:ascii="Times New Roman" w:hAnsi="Times New Roman"/>
          <w:b/>
          <w:bCs/>
          <w:color w:val="000000" w:themeColor="text1"/>
          <w:sz w:val="24"/>
          <w:szCs w:val="24"/>
          <w:highlight w:val="none"/>
          <w14:textFill>
            <w14:solidFill>
              <w14:schemeClr w14:val="tx1"/>
            </w14:solidFill>
          </w14:textFill>
        </w:rPr>
      </w:pPr>
      <w:bookmarkStart w:id="37" w:name="_Toc12715"/>
      <w:r>
        <w:rPr>
          <w:rFonts w:hint="eastAsia" w:ascii="Times New Roman" w:hAnsi="Times New Roman"/>
          <w:b/>
          <w:bCs/>
          <w:color w:val="000000" w:themeColor="text1"/>
          <w:sz w:val="24"/>
          <w:szCs w:val="24"/>
          <w:highlight w:val="none"/>
          <w14:textFill>
            <w14:solidFill>
              <w14:schemeClr w14:val="tx1"/>
            </w14:solidFill>
          </w14:textFill>
        </w:rPr>
        <w:t>五、</w:t>
      </w:r>
      <w:bookmarkEnd w:id="32"/>
      <w:bookmarkEnd w:id="33"/>
      <w:bookmarkEnd w:id="34"/>
      <w:bookmarkEnd w:id="35"/>
      <w:bookmarkEnd w:id="36"/>
      <w:r>
        <w:rPr>
          <w:rFonts w:ascii="Times New Roman" w:hAnsi="Times New Roman"/>
          <w:b/>
          <w:bCs/>
          <w:color w:val="000000" w:themeColor="text1"/>
          <w:sz w:val="24"/>
          <w:szCs w:val="24"/>
          <w:highlight w:val="none"/>
          <w14:textFill>
            <w14:solidFill>
              <w14:schemeClr w14:val="tx1"/>
            </w14:solidFill>
          </w14:textFill>
        </w:rPr>
        <w:t>公告</w:t>
      </w:r>
      <w:r>
        <w:rPr>
          <w:rFonts w:hint="eastAsia" w:ascii="Times New Roman" w:hAnsi="Times New Roman"/>
          <w:b/>
          <w:bCs/>
          <w:color w:val="000000" w:themeColor="text1"/>
          <w:sz w:val="24"/>
          <w:szCs w:val="24"/>
          <w:highlight w:val="none"/>
          <w14:textFill>
            <w14:solidFill>
              <w14:schemeClr w14:val="tx1"/>
            </w14:solidFill>
          </w14:textFill>
        </w:rPr>
        <w:t>期限</w:t>
      </w:r>
      <w:bookmarkEnd w:id="37"/>
    </w:p>
    <w:p w14:paraId="54FD1290">
      <w:pPr>
        <w:spacing w:line="440" w:lineRule="exact"/>
        <w:ind w:firstLine="480"/>
        <w:rPr>
          <w:rFonts w:ascii="Times New Roman" w:hAnsi="Times New Roman"/>
          <w:color w:val="000000" w:themeColor="text1"/>
          <w:sz w:val="24"/>
          <w:szCs w:val="24"/>
          <w:highlight w:val="none"/>
          <w14:textFill>
            <w14:solidFill>
              <w14:schemeClr w14:val="tx1"/>
            </w14:solidFill>
          </w14:textFill>
        </w:rPr>
      </w:pPr>
      <w:bookmarkStart w:id="38" w:name="_Toc35393795"/>
      <w:bookmarkStart w:id="39" w:name="_Toc38985268"/>
      <w:bookmarkStart w:id="40" w:name="_Toc35393626"/>
      <w:r>
        <w:rPr>
          <w:rFonts w:hint="eastAsia" w:ascii="Times New Roman" w:hAnsi="Times New Roman"/>
          <w:color w:val="000000" w:themeColor="text1"/>
          <w:sz w:val="24"/>
          <w:szCs w:val="24"/>
          <w:highlight w:val="none"/>
          <w14:textFill>
            <w14:solidFill>
              <w14:schemeClr w14:val="tx1"/>
            </w14:solidFill>
          </w14:textFill>
        </w:rPr>
        <w:t>公告期限：自本公告发布之日起5个工作日。</w:t>
      </w:r>
    </w:p>
    <w:p w14:paraId="55FE8031">
      <w:pPr>
        <w:keepNext/>
        <w:keepLines/>
        <w:spacing w:line="440" w:lineRule="exact"/>
        <w:ind w:firstLine="482"/>
        <w:outlineLvl w:val="1"/>
        <w:rPr>
          <w:rFonts w:ascii="Times New Roman" w:hAnsi="Times New Roman"/>
          <w:b/>
          <w:bCs/>
          <w:color w:val="000000" w:themeColor="text1"/>
          <w:sz w:val="24"/>
          <w:szCs w:val="24"/>
          <w:highlight w:val="none"/>
          <w14:textFill>
            <w14:solidFill>
              <w14:schemeClr w14:val="tx1"/>
            </w14:solidFill>
          </w14:textFill>
        </w:rPr>
      </w:pPr>
      <w:bookmarkStart w:id="41" w:name="_Toc13261"/>
      <w:r>
        <w:rPr>
          <w:rFonts w:hint="eastAsia" w:ascii="Times New Roman" w:hAnsi="Times New Roman"/>
          <w:b/>
          <w:bCs/>
          <w:color w:val="000000" w:themeColor="text1"/>
          <w:sz w:val="24"/>
          <w:szCs w:val="24"/>
          <w:highlight w:val="none"/>
          <w14:textFill>
            <w14:solidFill>
              <w14:schemeClr w14:val="tx1"/>
            </w14:solidFill>
          </w14:textFill>
        </w:rPr>
        <w:t>六、其他补充事宜</w:t>
      </w:r>
      <w:bookmarkEnd w:id="38"/>
      <w:bookmarkEnd w:id="39"/>
      <w:bookmarkEnd w:id="40"/>
      <w:bookmarkEnd w:id="41"/>
    </w:p>
    <w:p w14:paraId="79EF6FA9">
      <w:pPr>
        <w:spacing w:line="460" w:lineRule="exact"/>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w:t>
      </w:r>
      <w:r>
        <w:rPr>
          <w:rFonts w:ascii="宋体" w:hAnsi="宋体"/>
          <w:color w:val="000000" w:themeColor="text1"/>
          <w:sz w:val="24"/>
          <w:szCs w:val="24"/>
          <w:highlight w:val="none"/>
          <w14:textFill>
            <w14:solidFill>
              <w14:schemeClr w14:val="tx1"/>
            </w14:solidFill>
          </w14:textFill>
        </w:rPr>
        <w:t>根据政府采购法及相关法规，将对供应商进行信用查询。供应商被列入失信被执行人或重大税收违法案件当事人名单或政府采购严重违法失信行为记录名单，以及存在其他不符合《政府采购法》第二十二条规定条件的不良信用记录，拒绝其参与政府采购活动。</w:t>
      </w:r>
    </w:p>
    <w:p w14:paraId="70683858">
      <w:pPr>
        <w:spacing w:line="460" w:lineRule="exact"/>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w:t>
      </w:r>
      <w:r>
        <w:rPr>
          <w:rFonts w:ascii="宋体" w:hAnsi="宋体"/>
          <w:color w:val="000000" w:themeColor="text1"/>
          <w:sz w:val="24"/>
          <w:szCs w:val="24"/>
          <w:highlight w:val="none"/>
          <w14:textFill>
            <w14:solidFill>
              <w14:schemeClr w14:val="tx1"/>
            </w14:solidFill>
          </w14:textFill>
        </w:rPr>
        <w:t>单位负责人为同一人或者存在直接控股、管理关系的不同供应商，不得参加同一合同项下的政府采购活动。</w:t>
      </w:r>
    </w:p>
    <w:p w14:paraId="7C17DE1F">
      <w:pPr>
        <w:spacing w:line="440" w:lineRule="exact"/>
        <w:ind w:firstLine="480"/>
        <w:rPr>
          <w:rFonts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3、CA证书办理：根据省财政厅《关于更换全省政府采购交易系统C A数字证书和电子签章的通知》（苏财购〔2023〕101号），“苏采云”系统目前支持的CA数字证书、电子签章为江苏省电子政务证书认证中心CA和方正国际软件（北京）有限公司电子签章。供应商参与本项目采购活动需办理、使用上述CA证书和电子签章，具体办理方法请访问“苏采云”系统登录页面（http://jszfcg.jscz.gov.cn/jszc/login）点击“新CA办理指南”进行查阅，江苏省内各地区办理的“苏采云”系统下的政务CA证书全省通用。</w:t>
      </w:r>
    </w:p>
    <w:p w14:paraId="428C0A35">
      <w:pPr>
        <w:spacing w:line="440" w:lineRule="exact"/>
        <w:ind w:firstLine="480"/>
        <w:rPr>
          <w:rFonts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4、投标人在“苏采云”系统操作过程中如有疑问，请按以下方式联系：</w:t>
      </w:r>
    </w:p>
    <w:p w14:paraId="1690CB5B">
      <w:pPr>
        <w:spacing w:line="440" w:lineRule="exact"/>
        <w:ind w:firstLine="480"/>
        <w:rPr>
          <w:rFonts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CA技术咨询电话：400-608-6099；电子签章技术咨询电话：15380932027、15371015030、13675197356、13675197221；系统使用指导与咨询电话：18261002950、0512-69820854、0519-86722802。</w:t>
      </w:r>
    </w:p>
    <w:p w14:paraId="5D72A44B">
      <w:pPr>
        <w:spacing w:line="440" w:lineRule="exact"/>
        <w:ind w:firstLine="480"/>
        <w:rPr>
          <w:rFonts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5、有关本次采购的事项若存在变动或修改，敬请及时关注政府采购信息发布媒体上的更正（补充）公告</w:t>
      </w:r>
      <w:bookmarkStart w:id="42" w:name="_Hlk87882297"/>
      <w:r>
        <w:rPr>
          <w:rFonts w:hint="eastAsia" w:ascii="Times New Roman" w:hAnsi="Times New Roman"/>
          <w:color w:val="000000" w:themeColor="text1"/>
          <w:sz w:val="24"/>
          <w:szCs w:val="24"/>
          <w:highlight w:val="none"/>
          <w14:textFill>
            <w14:solidFill>
              <w14:schemeClr w14:val="tx1"/>
            </w14:solidFill>
          </w14:textFill>
        </w:rPr>
        <w:t>，并按规定获取相关信息内容。</w:t>
      </w:r>
      <w:bookmarkEnd w:id="42"/>
    </w:p>
    <w:p w14:paraId="383937A8">
      <w:pPr>
        <w:spacing w:line="440" w:lineRule="exact"/>
        <w:ind w:firstLine="480"/>
        <w:rPr>
          <w:rFonts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6、本次采购项目有关时间要求均以北京时间为标准，使用24小时制。</w:t>
      </w:r>
    </w:p>
    <w:p w14:paraId="410ED4DC">
      <w:pPr>
        <w:spacing w:line="440" w:lineRule="exact"/>
        <w:ind w:firstLine="480"/>
        <w:rPr>
          <w:rFonts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7、本次招标不收取投标保证金。</w:t>
      </w:r>
    </w:p>
    <w:p w14:paraId="103C0EFC">
      <w:pPr>
        <w:spacing w:line="440" w:lineRule="exact"/>
        <w:ind w:firstLine="480"/>
        <w:rPr>
          <w:rFonts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8、公告媒体：苏州市政府采购网、江苏政府采购网。</w:t>
      </w:r>
    </w:p>
    <w:p w14:paraId="42311CA8">
      <w:pPr>
        <w:keepNext/>
        <w:keepLines/>
        <w:spacing w:line="440" w:lineRule="exact"/>
        <w:ind w:firstLine="482"/>
        <w:outlineLvl w:val="1"/>
        <w:rPr>
          <w:rFonts w:ascii="Times New Roman" w:hAnsi="Times New Roman"/>
          <w:b/>
          <w:bCs/>
          <w:color w:val="000000" w:themeColor="text1"/>
          <w:sz w:val="24"/>
          <w:szCs w:val="24"/>
          <w:highlight w:val="none"/>
          <w14:textFill>
            <w14:solidFill>
              <w14:schemeClr w14:val="tx1"/>
            </w14:solidFill>
          </w14:textFill>
        </w:rPr>
      </w:pPr>
      <w:bookmarkStart w:id="43" w:name="_Toc38985269"/>
      <w:bookmarkStart w:id="44" w:name="_Toc35393627"/>
      <w:bookmarkStart w:id="45" w:name="_Toc28359085"/>
      <w:bookmarkStart w:id="46" w:name="_Toc35393796"/>
      <w:bookmarkStart w:id="47" w:name="_Toc28359008"/>
      <w:bookmarkStart w:id="48" w:name="_Toc30149"/>
      <w:r>
        <w:rPr>
          <w:rFonts w:hint="eastAsia" w:ascii="Times New Roman" w:hAnsi="Times New Roman"/>
          <w:b/>
          <w:bCs/>
          <w:color w:val="000000" w:themeColor="text1"/>
          <w:sz w:val="24"/>
          <w:szCs w:val="24"/>
          <w:highlight w:val="none"/>
          <w14:textFill>
            <w14:solidFill>
              <w14:schemeClr w14:val="tx1"/>
            </w14:solidFill>
          </w14:textFill>
        </w:rPr>
        <w:t>七、本次招标联系</w:t>
      </w:r>
      <w:bookmarkEnd w:id="43"/>
      <w:bookmarkEnd w:id="44"/>
      <w:bookmarkEnd w:id="45"/>
      <w:bookmarkEnd w:id="46"/>
      <w:bookmarkEnd w:id="47"/>
      <w:r>
        <w:rPr>
          <w:rFonts w:hint="eastAsia" w:ascii="Times New Roman" w:hAnsi="Times New Roman"/>
          <w:b/>
          <w:bCs/>
          <w:color w:val="000000" w:themeColor="text1"/>
          <w:sz w:val="24"/>
          <w:szCs w:val="24"/>
          <w:highlight w:val="none"/>
          <w14:textFill>
            <w14:solidFill>
              <w14:schemeClr w14:val="tx1"/>
            </w14:solidFill>
          </w14:textFill>
        </w:rPr>
        <w:t>方式</w:t>
      </w:r>
      <w:bookmarkEnd w:id="48"/>
    </w:p>
    <w:p w14:paraId="7B0D16AF">
      <w:pPr>
        <w:spacing w:line="440" w:lineRule="exact"/>
        <w:ind w:firstLine="480"/>
        <w:rPr>
          <w:rFonts w:hint="eastAsia"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1、采购人信息</w:t>
      </w:r>
    </w:p>
    <w:p w14:paraId="39138875">
      <w:pPr>
        <w:spacing w:line="440" w:lineRule="exact"/>
        <w:ind w:firstLine="480"/>
        <w:rPr>
          <w:rFonts w:hint="eastAsia" w:ascii="Times New Roman" w:hAnsi="Times New Roman" w:eastAsia="宋体"/>
          <w:color w:val="000000" w:themeColor="text1"/>
          <w:sz w:val="24"/>
          <w:szCs w:val="24"/>
          <w:highlight w:val="none"/>
          <w:lang w:eastAsia="zh-CN"/>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单位名称：</w:t>
      </w:r>
      <w:r>
        <w:rPr>
          <w:rFonts w:hint="eastAsia" w:ascii="Times New Roman" w:hAnsi="Times New Roman"/>
          <w:color w:val="000000" w:themeColor="text1"/>
          <w:sz w:val="24"/>
          <w:szCs w:val="24"/>
          <w:highlight w:val="none"/>
          <w:lang w:eastAsia="zh-CN"/>
          <w14:textFill>
            <w14:solidFill>
              <w14:schemeClr w14:val="tx1"/>
            </w14:solidFill>
          </w14:textFill>
        </w:rPr>
        <w:t>常熟市人民政府琴川街道办事处</w:t>
      </w:r>
    </w:p>
    <w:p w14:paraId="0BBF0ACA">
      <w:pPr>
        <w:spacing w:line="440" w:lineRule="exact"/>
        <w:ind w:firstLine="480"/>
        <w:rPr>
          <w:rFonts w:hint="default" w:ascii="Times New Roman" w:hAnsi="Times New Roman" w:eastAsia="宋体"/>
          <w:color w:val="000000" w:themeColor="text1"/>
          <w:sz w:val="24"/>
          <w:szCs w:val="24"/>
          <w:highlight w:val="none"/>
          <w:lang w:val="en-US" w:eastAsia="zh-CN"/>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单位地址：苏州市</w:t>
      </w:r>
      <w:r>
        <w:rPr>
          <w:rFonts w:hint="eastAsia" w:ascii="Times New Roman" w:hAnsi="Times New Roman"/>
          <w:color w:val="000000" w:themeColor="text1"/>
          <w:sz w:val="24"/>
          <w:szCs w:val="24"/>
          <w:highlight w:val="none"/>
          <w:lang w:val="en-US" w:eastAsia="zh-CN"/>
          <w14:textFill>
            <w14:solidFill>
              <w14:schemeClr w14:val="tx1"/>
            </w14:solidFill>
          </w14:textFill>
        </w:rPr>
        <w:t>琴川街道金山路9号</w:t>
      </w:r>
    </w:p>
    <w:p w14:paraId="1D6D03D8">
      <w:pPr>
        <w:spacing w:line="440" w:lineRule="exact"/>
        <w:ind w:firstLine="480"/>
        <w:rPr>
          <w:rFonts w:hint="eastAsia" w:ascii="Times New Roman" w:hAnsi="Times New Roman" w:eastAsia="宋体"/>
          <w:color w:val="000000" w:themeColor="text1"/>
          <w:sz w:val="24"/>
          <w:szCs w:val="24"/>
          <w:highlight w:val="none"/>
          <w:lang w:val="en-US" w:eastAsia="zh-CN"/>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联系人：</w:t>
      </w:r>
      <w:r>
        <w:rPr>
          <w:rFonts w:hint="eastAsia" w:ascii="Times New Roman" w:hAnsi="Times New Roman"/>
          <w:color w:val="000000" w:themeColor="text1"/>
          <w:sz w:val="24"/>
          <w:szCs w:val="24"/>
          <w:highlight w:val="none"/>
          <w:lang w:val="en-US" w:eastAsia="zh-CN"/>
          <w14:textFill>
            <w14:solidFill>
              <w14:schemeClr w14:val="tx1"/>
            </w14:solidFill>
          </w14:textFill>
        </w:rPr>
        <w:t>薛晓龙</w:t>
      </w:r>
    </w:p>
    <w:p w14:paraId="0C4A4E1F">
      <w:pPr>
        <w:spacing w:line="440" w:lineRule="exact"/>
        <w:ind w:firstLine="480"/>
        <w:rPr>
          <w:rFonts w:hint="eastAsia"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联系方式：</w:t>
      </w:r>
      <w:bookmarkStart w:id="49" w:name="_Toc28359009"/>
      <w:bookmarkStart w:id="50" w:name="_Toc28359086"/>
      <w:r>
        <w:rPr>
          <w:rFonts w:hint="eastAsia" w:ascii="Times New Roman" w:hAnsi="Times New Roman"/>
          <w:color w:val="000000" w:themeColor="text1"/>
          <w:sz w:val="24"/>
          <w:szCs w:val="24"/>
          <w:highlight w:val="none"/>
          <w:lang w:val="en-US" w:eastAsia="zh-CN"/>
          <w14:textFill>
            <w14:solidFill>
              <w14:schemeClr w14:val="tx1"/>
            </w14:solidFill>
          </w14:textFill>
        </w:rPr>
        <w:t>0512-52890347</w:t>
      </w:r>
      <w:bookmarkEnd w:id="49"/>
      <w:bookmarkEnd w:id="50"/>
    </w:p>
    <w:p w14:paraId="0D257A46">
      <w:pPr>
        <w:spacing w:line="440" w:lineRule="exact"/>
        <w:ind w:firstLine="480"/>
        <w:rPr>
          <w:rFonts w:hint="eastAsia"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2、采购代理机构信息</w:t>
      </w:r>
    </w:p>
    <w:p w14:paraId="01CA9F5A">
      <w:pPr>
        <w:spacing w:line="440" w:lineRule="exact"/>
        <w:ind w:firstLine="480"/>
        <w:rPr>
          <w:rFonts w:hint="eastAsia" w:ascii="Times New Roman" w:hAnsi="Times New Roman"/>
          <w:color w:val="000000" w:themeColor="text1"/>
          <w:sz w:val="24"/>
          <w:szCs w:val="24"/>
          <w:highlight w:val="none"/>
          <w14:textFill>
            <w14:solidFill>
              <w14:schemeClr w14:val="tx1"/>
            </w14:solidFill>
          </w14:textFill>
        </w:rPr>
      </w:pPr>
      <w:bookmarkStart w:id="51" w:name="_Toc28359087"/>
      <w:bookmarkStart w:id="52" w:name="_Toc28359010"/>
      <w:r>
        <w:rPr>
          <w:rFonts w:hint="eastAsia" w:ascii="Times New Roman" w:hAnsi="Times New Roman"/>
          <w:color w:val="000000" w:themeColor="text1"/>
          <w:sz w:val="24"/>
          <w:szCs w:val="24"/>
          <w:highlight w:val="none"/>
          <w14:textFill>
            <w14:solidFill>
              <w14:schemeClr w14:val="tx1"/>
            </w14:solidFill>
          </w14:textFill>
        </w:rPr>
        <w:t>单位名称：苏州新一造价师价格事务所有限公司</w:t>
      </w:r>
    </w:p>
    <w:p w14:paraId="4A29431C">
      <w:pPr>
        <w:spacing w:line="440" w:lineRule="exact"/>
        <w:ind w:firstLine="480"/>
        <w:rPr>
          <w:rFonts w:hint="eastAsia"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单位地址：常熟市九里大街5号</w:t>
      </w:r>
    </w:p>
    <w:p w14:paraId="6DB7F75E">
      <w:pPr>
        <w:spacing w:line="440" w:lineRule="exact"/>
        <w:ind w:firstLine="480"/>
        <w:rPr>
          <w:rFonts w:hint="eastAsia"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联系人：韩忆程</w:t>
      </w:r>
    </w:p>
    <w:p w14:paraId="1C47A819">
      <w:pPr>
        <w:spacing w:line="440" w:lineRule="exact"/>
        <w:ind w:firstLine="480"/>
        <w:rPr>
          <w:rFonts w:hint="eastAsia"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联系方式：0512-52808032</w:t>
      </w:r>
    </w:p>
    <w:p w14:paraId="59EA23F9">
      <w:pPr>
        <w:spacing w:line="440" w:lineRule="exact"/>
        <w:ind w:firstLine="480"/>
        <w:rPr>
          <w:rFonts w:hint="eastAsia"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3、项目联系方式</w:t>
      </w:r>
    </w:p>
    <w:p w14:paraId="3ECF1F4A">
      <w:pPr>
        <w:spacing w:line="440" w:lineRule="exact"/>
        <w:ind w:firstLine="480"/>
        <w:rPr>
          <w:rFonts w:hint="eastAsia"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项目联系人：韩忆程</w:t>
      </w:r>
    </w:p>
    <w:p w14:paraId="1E564C0F">
      <w:pPr>
        <w:spacing w:line="440" w:lineRule="exact"/>
        <w:ind w:firstLine="480"/>
        <w:rPr>
          <w:rFonts w:hint="eastAsia"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电话：0512-52808032</w:t>
      </w:r>
    </w:p>
    <w:bookmarkEnd w:id="51"/>
    <w:bookmarkEnd w:id="52"/>
    <w:p w14:paraId="64E3FE06">
      <w:pPr>
        <w:spacing w:line="440" w:lineRule="exact"/>
        <w:ind w:firstLine="480"/>
        <w:rPr>
          <w:rFonts w:ascii="Times New Roman" w:hAnsi="Times New Roman"/>
          <w:color w:val="000000" w:themeColor="text1"/>
          <w:sz w:val="24"/>
          <w:szCs w:val="24"/>
          <w:highlight w:val="none"/>
          <w14:textFill>
            <w14:solidFill>
              <w14:schemeClr w14:val="tx1"/>
            </w14:solidFill>
          </w14:textFill>
        </w:rPr>
      </w:pPr>
    </w:p>
    <w:p w14:paraId="34574DA8">
      <w:pPr>
        <w:widowControl/>
        <w:jc w:val="lef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br w:type="page" w:clear="all"/>
      </w:r>
    </w:p>
    <w:p w14:paraId="3AF35E14">
      <w:pPr>
        <w:keepNext/>
        <w:ind w:firstLine="880"/>
        <w:jc w:val="center"/>
        <w:outlineLvl w:val="0"/>
        <w:rPr>
          <w:rFonts w:ascii="黑体" w:hAnsi="Times New Roman" w:eastAsia="黑体"/>
          <w:color w:val="000000" w:themeColor="text1"/>
          <w:sz w:val="44"/>
          <w:szCs w:val="44"/>
          <w:highlight w:val="none"/>
          <w14:textFill>
            <w14:solidFill>
              <w14:schemeClr w14:val="tx1"/>
            </w14:solidFill>
          </w14:textFill>
        </w:rPr>
      </w:pPr>
      <w:bookmarkStart w:id="53" w:name="_Toc120614211"/>
      <w:bookmarkStart w:id="54" w:name="_Toc20148"/>
      <w:r>
        <w:rPr>
          <w:rFonts w:hint="eastAsia" w:ascii="黑体" w:hAnsi="Times New Roman" w:eastAsia="黑体"/>
          <w:color w:val="000000" w:themeColor="text1"/>
          <w:sz w:val="44"/>
          <w:szCs w:val="44"/>
          <w:highlight w:val="none"/>
          <w14:textFill>
            <w14:solidFill>
              <w14:schemeClr w14:val="tx1"/>
            </w14:solidFill>
          </w14:textFill>
        </w:rPr>
        <w:t xml:space="preserve">第二章  </w:t>
      </w:r>
      <w:bookmarkEnd w:id="1"/>
      <w:bookmarkEnd w:id="2"/>
      <w:bookmarkEnd w:id="3"/>
      <w:bookmarkEnd w:id="4"/>
      <w:bookmarkEnd w:id="5"/>
      <w:bookmarkEnd w:id="53"/>
      <w:bookmarkStart w:id="55" w:name="_Toc20823274"/>
      <w:bookmarkStart w:id="56" w:name="_Toc120614213"/>
      <w:bookmarkStart w:id="57" w:name="_Toc513029202"/>
      <w:bookmarkStart w:id="58" w:name="_Toc16938518"/>
      <w:r>
        <w:rPr>
          <w:rFonts w:hint="eastAsia" w:ascii="黑体" w:hAnsi="Times New Roman" w:eastAsia="黑体"/>
          <w:color w:val="000000" w:themeColor="text1"/>
          <w:sz w:val="44"/>
          <w:szCs w:val="44"/>
          <w:highlight w:val="none"/>
          <w14:textFill>
            <w14:solidFill>
              <w14:schemeClr w14:val="tx1"/>
            </w14:solidFill>
          </w14:textFill>
        </w:rPr>
        <w:t>投标人须知</w:t>
      </w:r>
      <w:bookmarkEnd w:id="54"/>
      <w:bookmarkEnd w:id="55"/>
      <w:bookmarkEnd w:id="56"/>
      <w:bookmarkEnd w:id="57"/>
      <w:bookmarkEnd w:id="58"/>
    </w:p>
    <w:p w14:paraId="04270244">
      <w:pPr>
        <w:keepNext/>
        <w:keepLines/>
        <w:spacing w:line="440" w:lineRule="exact"/>
        <w:ind w:firstLine="562"/>
        <w:outlineLvl w:val="1"/>
        <w:rPr>
          <w:rFonts w:ascii="宋体" w:hAnsi="宋体" w:cs="宋体"/>
          <w:b/>
          <w:bCs/>
          <w:color w:val="000000" w:themeColor="text1"/>
          <w:sz w:val="28"/>
          <w:szCs w:val="28"/>
          <w:highlight w:val="none"/>
          <w14:textFill>
            <w14:solidFill>
              <w14:schemeClr w14:val="tx1"/>
            </w14:solidFill>
          </w14:textFill>
        </w:rPr>
      </w:pPr>
      <w:bookmarkStart w:id="59" w:name="_Toc20823275"/>
      <w:bookmarkStart w:id="60" w:name="_Toc16938519"/>
      <w:bookmarkStart w:id="61" w:name="_Toc513029203"/>
      <w:bookmarkStart w:id="62" w:name="_Toc120614214"/>
      <w:bookmarkStart w:id="63" w:name="_Toc16270"/>
      <w:r>
        <w:rPr>
          <w:rFonts w:hint="eastAsia" w:ascii="宋体" w:hAnsi="宋体" w:cs="宋体"/>
          <w:b/>
          <w:bCs/>
          <w:color w:val="000000" w:themeColor="text1"/>
          <w:sz w:val="28"/>
          <w:szCs w:val="28"/>
          <w:highlight w:val="none"/>
          <w14:textFill>
            <w14:solidFill>
              <w14:schemeClr w14:val="tx1"/>
            </w14:solidFill>
          </w14:textFill>
        </w:rPr>
        <w:t>一、总则</w:t>
      </w:r>
      <w:bookmarkEnd w:id="59"/>
      <w:bookmarkEnd w:id="60"/>
      <w:bookmarkEnd w:id="61"/>
      <w:bookmarkEnd w:id="62"/>
      <w:bookmarkEnd w:id="63"/>
    </w:p>
    <w:p w14:paraId="7C68AF6C">
      <w:pPr>
        <w:keepNext/>
        <w:keepLines/>
        <w:spacing w:line="440" w:lineRule="exact"/>
        <w:ind w:firstLine="480"/>
        <w:outlineLvl w:val="3"/>
        <w:rPr>
          <w:rFonts w:ascii="宋体" w:hAnsi="宋体" w:cs="宋体"/>
          <w:color w:val="000000" w:themeColor="text1"/>
          <w:sz w:val="24"/>
          <w:szCs w:val="24"/>
          <w:highlight w:val="none"/>
          <w14:textFill>
            <w14:solidFill>
              <w14:schemeClr w14:val="tx1"/>
            </w14:solidFill>
          </w14:textFill>
        </w:rPr>
      </w:pPr>
      <w:bookmarkStart w:id="64" w:name="_Hlt16619475"/>
      <w:bookmarkEnd w:id="64"/>
      <w:bookmarkStart w:id="65" w:name="_Toc458694821"/>
      <w:bookmarkStart w:id="66" w:name="_Toc20823276"/>
      <w:bookmarkStart w:id="67" w:name="_Toc513029204"/>
      <w:bookmarkStart w:id="68" w:name="_Toc16938520"/>
      <w:r>
        <w:rPr>
          <w:rFonts w:hint="eastAsia" w:ascii="宋体" w:hAnsi="宋体" w:cs="宋体"/>
          <w:color w:val="000000" w:themeColor="text1"/>
          <w:sz w:val="24"/>
          <w:szCs w:val="24"/>
          <w:highlight w:val="none"/>
          <w14:textFill>
            <w14:solidFill>
              <w14:schemeClr w14:val="tx1"/>
            </w14:solidFill>
          </w14:textFill>
        </w:rPr>
        <w:t>1</w:t>
      </w:r>
      <w:bookmarkEnd w:id="65"/>
      <w:r>
        <w:rPr>
          <w:rFonts w:hint="eastAsia" w:ascii="宋体" w:hAnsi="宋体" w:cs="宋体"/>
          <w:color w:val="000000" w:themeColor="text1"/>
          <w:sz w:val="24"/>
          <w:szCs w:val="24"/>
          <w:highlight w:val="none"/>
          <w14:textFill>
            <w14:solidFill>
              <w14:schemeClr w14:val="tx1"/>
            </w14:solidFill>
          </w14:textFill>
        </w:rPr>
        <w:t>、采购方式</w:t>
      </w:r>
      <w:bookmarkEnd w:id="66"/>
      <w:bookmarkEnd w:id="67"/>
      <w:bookmarkEnd w:id="68"/>
      <w:r>
        <w:rPr>
          <w:rFonts w:hint="eastAsia" w:ascii="宋体" w:hAnsi="宋体" w:cs="宋体"/>
          <w:color w:val="000000" w:themeColor="text1"/>
          <w:sz w:val="24"/>
          <w:szCs w:val="24"/>
          <w:highlight w:val="none"/>
          <w14:textFill>
            <w14:solidFill>
              <w14:schemeClr w14:val="tx1"/>
            </w14:solidFill>
          </w14:textFill>
        </w:rPr>
        <w:t>及适用法律</w:t>
      </w:r>
    </w:p>
    <w:p w14:paraId="78CDFE9E">
      <w:pPr>
        <w:spacing w:line="440" w:lineRule="exact"/>
        <w:ind w:firstLine="789"/>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1.1 本次招标采取公开招标方式，本招标文件仅适用于招标公告中所述项目。</w:t>
      </w:r>
    </w:p>
    <w:p w14:paraId="4308E506">
      <w:pPr>
        <w:spacing w:line="440" w:lineRule="exact"/>
        <w:ind w:firstLine="789"/>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1.2 本次招标及由此产生的合同受中华人民共和国有关的法律法规制约和保护。</w:t>
      </w:r>
    </w:p>
    <w:p w14:paraId="3C8B6A8B">
      <w:pPr>
        <w:keepNext/>
        <w:keepLines/>
        <w:spacing w:line="440" w:lineRule="exact"/>
        <w:ind w:firstLine="480"/>
        <w:outlineLvl w:val="3"/>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2、定义</w:t>
      </w:r>
    </w:p>
    <w:p w14:paraId="185C4FC7">
      <w:pPr>
        <w:spacing w:line="440" w:lineRule="exact"/>
        <w:ind w:firstLine="789"/>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2.1 “采购人”系指购买本项目货物并接受相关服务的国家机关、事业单位、团体组织。</w:t>
      </w:r>
    </w:p>
    <w:p w14:paraId="7F93BA4C">
      <w:pPr>
        <w:spacing w:line="440" w:lineRule="exact"/>
        <w:ind w:firstLine="789"/>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2.2 “采购代理机构”系指依法接受采购人委托，从事货物和服务等政府采购业务的采购代理机构（以下简称“代理机构”）。本项目采购代理机构为苏州新一造价师价格事务所有限公司。</w:t>
      </w:r>
    </w:p>
    <w:p w14:paraId="78EAF45E">
      <w:pPr>
        <w:spacing w:line="440" w:lineRule="exact"/>
        <w:ind w:firstLine="789"/>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2.3 “投标人”系指响应招标、参加投标竞争的供应商。</w:t>
      </w:r>
    </w:p>
    <w:p w14:paraId="2B19265D">
      <w:pPr>
        <w:keepNext/>
        <w:keepLines/>
        <w:spacing w:line="440" w:lineRule="exact"/>
        <w:ind w:firstLine="480"/>
        <w:outlineLvl w:val="3"/>
        <w:rPr>
          <w:rFonts w:ascii="宋体" w:hAnsi="宋体" w:cs="宋体"/>
          <w:color w:val="000000" w:themeColor="text1"/>
          <w:sz w:val="24"/>
          <w:szCs w:val="24"/>
          <w:highlight w:val="none"/>
          <w14:textFill>
            <w14:solidFill>
              <w14:schemeClr w14:val="tx1"/>
            </w14:solidFill>
          </w14:textFill>
        </w:rPr>
      </w:pPr>
      <w:bookmarkStart w:id="69" w:name="_Toc16938521"/>
      <w:bookmarkStart w:id="70" w:name="_Toc513029205"/>
      <w:bookmarkStart w:id="71" w:name="_Toc20823277"/>
      <w:r>
        <w:rPr>
          <w:rFonts w:hint="eastAsia" w:ascii="宋体" w:hAnsi="宋体" w:cs="宋体"/>
          <w:color w:val="000000" w:themeColor="text1"/>
          <w:sz w:val="24"/>
          <w:szCs w:val="24"/>
          <w:highlight w:val="none"/>
          <w14:textFill>
            <w14:solidFill>
              <w14:schemeClr w14:val="tx1"/>
            </w14:solidFill>
          </w14:textFill>
        </w:rPr>
        <w:t>3、合格的投标人</w:t>
      </w:r>
      <w:bookmarkEnd w:id="69"/>
      <w:bookmarkEnd w:id="70"/>
      <w:bookmarkEnd w:id="71"/>
    </w:p>
    <w:p w14:paraId="1DD9D64A">
      <w:pPr>
        <w:spacing w:line="440" w:lineRule="exact"/>
        <w:ind w:firstLine="789"/>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3.1 满足招标公告中供应商的资格要求的规定，详见《第一章 投标邀请》中投标人资格要求。</w:t>
      </w:r>
    </w:p>
    <w:p w14:paraId="1B3DE909">
      <w:pPr>
        <w:spacing w:line="440" w:lineRule="exact"/>
        <w:ind w:firstLine="789"/>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3.2 满足本文件实质性要求和条件的规定。</w:t>
      </w:r>
    </w:p>
    <w:p w14:paraId="6D405546">
      <w:pPr>
        <w:keepNext/>
        <w:keepLines/>
        <w:spacing w:line="440" w:lineRule="exact"/>
        <w:ind w:firstLine="480"/>
        <w:outlineLvl w:val="3"/>
        <w:rPr>
          <w:rFonts w:ascii="宋体" w:hAnsi="宋体" w:cs="宋体"/>
          <w:color w:val="000000" w:themeColor="text1"/>
          <w:sz w:val="24"/>
          <w:szCs w:val="24"/>
          <w:highlight w:val="none"/>
          <w14:textFill>
            <w14:solidFill>
              <w14:schemeClr w14:val="tx1"/>
            </w14:solidFill>
          </w14:textFill>
        </w:rPr>
      </w:pPr>
      <w:bookmarkStart w:id="72" w:name="_Toc20823279"/>
      <w:bookmarkStart w:id="73" w:name="_Toc462564067"/>
      <w:bookmarkStart w:id="74" w:name="_Toc513029207"/>
      <w:bookmarkStart w:id="75" w:name="_Toc16938523"/>
      <w:r>
        <w:rPr>
          <w:rFonts w:hint="eastAsia" w:ascii="宋体" w:hAnsi="宋体" w:cs="宋体"/>
          <w:color w:val="000000" w:themeColor="text1"/>
          <w:sz w:val="24"/>
          <w:szCs w:val="24"/>
          <w:highlight w:val="none"/>
          <w14:textFill>
            <w14:solidFill>
              <w14:schemeClr w14:val="tx1"/>
            </w14:solidFill>
          </w14:textFill>
        </w:rPr>
        <w:t>4、投标费用</w:t>
      </w:r>
      <w:bookmarkEnd w:id="72"/>
      <w:bookmarkEnd w:id="73"/>
      <w:bookmarkEnd w:id="74"/>
      <w:bookmarkEnd w:id="75"/>
    </w:p>
    <w:p w14:paraId="5CAEC39D">
      <w:pPr>
        <w:spacing w:line="440" w:lineRule="exact"/>
        <w:ind w:firstLine="789"/>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4.1 无论投标过程中的做法和结果如何，投标人应自行承担所有与准备和参加投标有关的全部费用。</w:t>
      </w:r>
    </w:p>
    <w:p w14:paraId="04C894EF">
      <w:pPr>
        <w:spacing w:line="440" w:lineRule="exact"/>
        <w:ind w:firstLine="789"/>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4.2 </w:t>
      </w:r>
      <w:r>
        <w:rPr>
          <w:rFonts w:hint="eastAsia" w:ascii="宋体" w:hAnsi="宋体" w:cs="宋体"/>
          <w:b/>
          <w:color w:val="000000" w:themeColor="text1"/>
          <w:sz w:val="24"/>
          <w:szCs w:val="24"/>
          <w:highlight w:val="none"/>
          <w14:textFill>
            <w14:solidFill>
              <w14:schemeClr w14:val="tx1"/>
            </w14:solidFill>
          </w14:textFill>
        </w:rPr>
        <w:t>本次招标不收取采购文件工本费</w:t>
      </w:r>
    </w:p>
    <w:p w14:paraId="1A423BE9">
      <w:pPr>
        <w:spacing w:line="440" w:lineRule="exact"/>
        <w:ind w:firstLine="789"/>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4.3 </w:t>
      </w:r>
      <w:r>
        <w:rPr>
          <w:rFonts w:hint="eastAsia" w:ascii="宋体" w:hAnsi="宋体" w:cs="宋体"/>
          <w:b/>
          <w:color w:val="000000" w:themeColor="text1"/>
          <w:sz w:val="24"/>
          <w:szCs w:val="24"/>
          <w:highlight w:val="none"/>
          <w14:textFill>
            <w14:solidFill>
              <w14:schemeClr w14:val="tx1"/>
            </w14:solidFill>
          </w14:textFill>
        </w:rPr>
        <w:t>采购代理服务费用：</w:t>
      </w:r>
    </w:p>
    <w:p w14:paraId="66114E22">
      <w:pPr>
        <w:spacing w:line="440" w:lineRule="exact"/>
        <w:ind w:firstLine="790"/>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本项目中标服务费由中标人支付，在采购代理机构发中标通知书时由中标人向采购代理机构支付中标服务费</w:t>
      </w:r>
      <w:r>
        <w:rPr>
          <w:rFonts w:hint="eastAsia" w:ascii="宋体" w:hAnsi="宋体" w:cs="宋体"/>
          <w:b/>
          <w:color w:val="000000" w:themeColor="text1"/>
          <w:sz w:val="24"/>
          <w:szCs w:val="24"/>
          <w:highlight w:val="none"/>
          <w:lang w:val="en-US" w:eastAsia="zh-CN"/>
          <w14:textFill>
            <w14:solidFill>
              <w14:schemeClr w14:val="tx1"/>
            </w14:solidFill>
          </w14:textFill>
        </w:rPr>
        <w:t>21300.00</w:t>
      </w:r>
      <w:r>
        <w:rPr>
          <w:rFonts w:hint="eastAsia" w:ascii="宋体" w:hAnsi="宋体" w:cs="宋体"/>
          <w:b/>
          <w:color w:val="000000" w:themeColor="text1"/>
          <w:sz w:val="24"/>
          <w:szCs w:val="24"/>
          <w:highlight w:val="none"/>
          <w14:textFill>
            <w14:solidFill>
              <w14:schemeClr w14:val="tx1"/>
            </w14:solidFill>
          </w14:textFill>
        </w:rPr>
        <w:t>元整，一次性付清。</w:t>
      </w:r>
    </w:p>
    <w:p w14:paraId="7EED057B">
      <w:pPr>
        <w:spacing w:line="440" w:lineRule="exact"/>
        <w:ind w:firstLine="790"/>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账户名：苏州新一造价师价格事务所有限公司常熟分公司</w:t>
      </w:r>
    </w:p>
    <w:p w14:paraId="1B4CE812">
      <w:pPr>
        <w:spacing w:line="440" w:lineRule="exact"/>
        <w:ind w:firstLine="790"/>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开户银行：常熟农商行开发区支行</w:t>
      </w:r>
    </w:p>
    <w:p w14:paraId="305D44B0">
      <w:pPr>
        <w:spacing w:line="440" w:lineRule="exact"/>
        <w:ind w:firstLine="790"/>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账号：101280001017827625</w:t>
      </w:r>
    </w:p>
    <w:p w14:paraId="4385ADA7">
      <w:pPr>
        <w:keepNext/>
        <w:keepLines/>
        <w:spacing w:line="440" w:lineRule="exact"/>
        <w:ind w:firstLine="480"/>
        <w:outlineLvl w:val="3"/>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5、招标文件的约束力</w:t>
      </w:r>
    </w:p>
    <w:p w14:paraId="152DAEDB">
      <w:pPr>
        <w:spacing w:line="440" w:lineRule="exact"/>
        <w:ind w:firstLine="789"/>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5.1 投标人一旦参加本项目采购活动，即被认为接受了本招标文件的规定和约束。</w:t>
      </w:r>
    </w:p>
    <w:p w14:paraId="6AD60DA8">
      <w:pPr>
        <w:keepNext/>
        <w:keepLines/>
        <w:spacing w:line="440" w:lineRule="exact"/>
        <w:ind w:firstLine="562"/>
        <w:outlineLvl w:val="1"/>
        <w:rPr>
          <w:rFonts w:ascii="宋体" w:hAnsi="宋体" w:cs="宋体"/>
          <w:b/>
          <w:bCs/>
          <w:color w:val="000000" w:themeColor="text1"/>
          <w:sz w:val="28"/>
          <w:szCs w:val="28"/>
          <w:highlight w:val="none"/>
          <w14:textFill>
            <w14:solidFill>
              <w14:schemeClr w14:val="tx1"/>
            </w14:solidFill>
          </w14:textFill>
        </w:rPr>
      </w:pPr>
      <w:bookmarkStart w:id="76" w:name="_Toc513029209"/>
      <w:bookmarkStart w:id="77" w:name="_Toc20823281"/>
      <w:bookmarkStart w:id="78" w:name="_Toc16938525"/>
      <w:bookmarkStart w:id="79" w:name="_Toc120614215"/>
      <w:bookmarkStart w:id="80" w:name="_Toc12668"/>
      <w:r>
        <w:rPr>
          <w:rFonts w:hint="eastAsia" w:ascii="宋体" w:hAnsi="宋体" w:cs="宋体"/>
          <w:b/>
          <w:bCs/>
          <w:color w:val="000000" w:themeColor="text1"/>
          <w:sz w:val="28"/>
          <w:szCs w:val="28"/>
          <w:highlight w:val="none"/>
          <w14:textFill>
            <w14:solidFill>
              <w14:schemeClr w14:val="tx1"/>
            </w14:solidFill>
          </w14:textFill>
        </w:rPr>
        <w:t>二、招标文件</w:t>
      </w:r>
      <w:bookmarkEnd w:id="76"/>
      <w:bookmarkEnd w:id="77"/>
      <w:bookmarkEnd w:id="78"/>
      <w:bookmarkEnd w:id="79"/>
      <w:bookmarkEnd w:id="80"/>
    </w:p>
    <w:p w14:paraId="34FFEAC3">
      <w:pPr>
        <w:keepNext/>
        <w:keepLines/>
        <w:spacing w:line="440" w:lineRule="exact"/>
        <w:ind w:firstLine="480"/>
        <w:outlineLvl w:val="3"/>
        <w:rPr>
          <w:rFonts w:ascii="宋体" w:hAnsi="宋体" w:cs="宋体"/>
          <w:color w:val="000000" w:themeColor="text1"/>
          <w:sz w:val="24"/>
          <w:szCs w:val="24"/>
          <w:highlight w:val="none"/>
          <w14:textFill>
            <w14:solidFill>
              <w14:schemeClr w14:val="tx1"/>
            </w14:solidFill>
          </w14:textFill>
        </w:rPr>
      </w:pPr>
      <w:bookmarkStart w:id="81" w:name="_Toc513029210"/>
      <w:bookmarkStart w:id="82" w:name="_Toc16938526"/>
      <w:bookmarkStart w:id="83" w:name="_Toc20823282"/>
      <w:r>
        <w:rPr>
          <w:rFonts w:hint="eastAsia" w:ascii="宋体" w:hAnsi="宋体" w:cs="宋体"/>
          <w:color w:val="000000" w:themeColor="text1"/>
          <w:sz w:val="24"/>
          <w:szCs w:val="24"/>
          <w:highlight w:val="none"/>
          <w14:textFill>
            <w14:solidFill>
              <w14:schemeClr w14:val="tx1"/>
            </w14:solidFill>
          </w14:textFill>
        </w:rPr>
        <w:t>1、招标文件构成</w:t>
      </w:r>
      <w:bookmarkEnd w:id="81"/>
      <w:bookmarkEnd w:id="82"/>
      <w:bookmarkEnd w:id="83"/>
    </w:p>
    <w:p w14:paraId="392F1526">
      <w:pPr>
        <w:spacing w:line="440" w:lineRule="exact"/>
        <w:ind w:firstLine="789"/>
        <w:rPr>
          <w:rFonts w:ascii="宋体" w:hAnsi="宋体" w:cs="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1.1</w:t>
      </w:r>
      <w:r>
        <w:rPr>
          <w:rFonts w:hint="eastAsia" w:ascii="宋体" w:hAnsi="宋体" w:cs="宋体"/>
          <w:color w:val="000000" w:themeColor="text1"/>
          <w:sz w:val="24"/>
          <w:szCs w:val="24"/>
          <w:highlight w:val="none"/>
          <w14:textFill>
            <w14:solidFill>
              <w14:schemeClr w14:val="tx1"/>
            </w14:solidFill>
          </w14:textFill>
        </w:rPr>
        <w:t xml:space="preserve"> 招标文件由以下部分组成：</w:t>
      </w:r>
    </w:p>
    <w:p w14:paraId="2F0390F1">
      <w:pPr>
        <w:spacing w:line="440" w:lineRule="exact"/>
        <w:ind w:firstLine="789"/>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（1）投标邀请</w:t>
      </w:r>
    </w:p>
    <w:p w14:paraId="24B40910">
      <w:pPr>
        <w:spacing w:line="440" w:lineRule="exact"/>
        <w:ind w:firstLine="789"/>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（2）投标人须知</w:t>
      </w:r>
    </w:p>
    <w:p w14:paraId="7190E0FF">
      <w:pPr>
        <w:spacing w:line="440" w:lineRule="exact"/>
        <w:ind w:firstLine="789"/>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（3）合同文本</w:t>
      </w:r>
    </w:p>
    <w:p w14:paraId="320233A1">
      <w:pPr>
        <w:spacing w:line="440" w:lineRule="exact"/>
        <w:ind w:firstLine="789"/>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（4）采购需求</w:t>
      </w:r>
    </w:p>
    <w:p w14:paraId="700E977A">
      <w:pPr>
        <w:spacing w:line="440" w:lineRule="exact"/>
        <w:ind w:firstLine="789"/>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（5）评标方法与评标标准</w:t>
      </w:r>
    </w:p>
    <w:p w14:paraId="2D2126FB">
      <w:pPr>
        <w:spacing w:line="440" w:lineRule="exact"/>
        <w:ind w:firstLine="789"/>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（6）投标文件格式</w:t>
      </w:r>
    </w:p>
    <w:p w14:paraId="4F531DA7">
      <w:pPr>
        <w:spacing w:line="440" w:lineRule="exact"/>
        <w:ind w:firstLine="789"/>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请仔细检查招标文件是否齐全，如有缺漏请立即与代理机构联系解决。</w:t>
      </w:r>
    </w:p>
    <w:p w14:paraId="1B105D8F">
      <w:pPr>
        <w:spacing w:line="440" w:lineRule="exact"/>
        <w:ind w:firstLine="789"/>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1.2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4FFFF366">
      <w:pPr>
        <w:spacing w:line="440" w:lineRule="exact"/>
        <w:ind w:firstLine="789"/>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1.3 招标文件及其更正事项如不是直接从指定媒体地址下载获得的，采购人或代理机构对招标文件及其补遗的真实性、完整性不承担任何责任。</w:t>
      </w:r>
    </w:p>
    <w:p w14:paraId="013CC7B7">
      <w:pPr>
        <w:keepNext/>
        <w:keepLines/>
        <w:spacing w:line="440" w:lineRule="exact"/>
        <w:ind w:firstLine="480"/>
        <w:outlineLvl w:val="3"/>
        <w:rPr>
          <w:rFonts w:ascii="宋体" w:hAnsi="宋体" w:cs="宋体"/>
          <w:color w:val="000000" w:themeColor="text1"/>
          <w:sz w:val="24"/>
          <w:szCs w:val="24"/>
          <w:highlight w:val="none"/>
          <w14:textFill>
            <w14:solidFill>
              <w14:schemeClr w14:val="tx1"/>
            </w14:solidFill>
          </w14:textFill>
        </w:rPr>
      </w:pPr>
      <w:bookmarkStart w:id="84" w:name="_Toc462564070"/>
      <w:bookmarkStart w:id="85" w:name="_Toc16938527"/>
      <w:bookmarkStart w:id="86" w:name="_Toc513029211"/>
      <w:bookmarkStart w:id="87" w:name="_Toc20823283"/>
      <w:r>
        <w:rPr>
          <w:rFonts w:hint="eastAsia" w:ascii="宋体" w:hAnsi="宋体" w:cs="宋体"/>
          <w:color w:val="000000" w:themeColor="text1"/>
          <w:sz w:val="24"/>
          <w:szCs w:val="24"/>
          <w:highlight w:val="none"/>
          <w14:textFill>
            <w14:solidFill>
              <w14:schemeClr w14:val="tx1"/>
            </w14:solidFill>
          </w14:textFill>
        </w:rPr>
        <w:t>2、招标文件的澄清、修改</w:t>
      </w:r>
    </w:p>
    <w:p w14:paraId="523F493D">
      <w:pPr>
        <w:spacing w:line="440" w:lineRule="exact"/>
        <w:ind w:firstLine="789"/>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2.1 出于实际需要或澄清投标人问题的情况下，代理机构可对已发出的招标文件进行必要的澄清或者修改，并将在指定媒体上发布。</w:t>
      </w:r>
      <w:r>
        <w:rPr>
          <w:rFonts w:hint="eastAsia" w:ascii="宋体" w:hAnsi="宋体" w:cs="宋体"/>
          <w:b/>
          <w:bCs/>
          <w:color w:val="000000" w:themeColor="text1"/>
          <w:sz w:val="24"/>
          <w:szCs w:val="24"/>
          <w:highlight w:val="none"/>
          <w14:textFill>
            <w14:solidFill>
              <w14:schemeClr w14:val="tx1"/>
            </w14:solidFill>
          </w14:textFill>
        </w:rPr>
        <w:t>各投标人应在投标截止时间前关注</w:t>
      </w:r>
      <w:r>
        <w:rPr>
          <w:rFonts w:hint="eastAsia" w:ascii="Times New Roman" w:hAnsi="Times New Roman"/>
          <w:b/>
          <w:bCs/>
          <w:color w:val="000000" w:themeColor="text1"/>
          <w:sz w:val="24"/>
          <w:szCs w:val="24"/>
          <w:highlight w:val="none"/>
          <w14:textFill>
            <w14:solidFill>
              <w14:schemeClr w14:val="tx1"/>
            </w14:solidFill>
          </w14:textFill>
        </w:rPr>
        <w:t>政府采购信息发布媒体上</w:t>
      </w:r>
      <w:r>
        <w:rPr>
          <w:rFonts w:hint="eastAsia" w:ascii="宋体" w:hAnsi="宋体" w:cs="宋体"/>
          <w:b/>
          <w:bCs/>
          <w:color w:val="000000" w:themeColor="text1"/>
          <w:sz w:val="24"/>
          <w:szCs w:val="24"/>
          <w:highlight w:val="none"/>
          <w14:textFill>
            <w14:solidFill>
              <w14:schemeClr w14:val="tx1"/>
            </w14:solidFill>
          </w14:textFill>
        </w:rPr>
        <w:t>“补充通知”栏，按规定获取相关信息内容，否则其投标风险由投标人承担。</w:t>
      </w:r>
    </w:p>
    <w:p w14:paraId="27F75792">
      <w:pPr>
        <w:spacing w:line="440" w:lineRule="exact"/>
        <w:ind w:firstLine="789"/>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2.2 代理机构有权按照法定的要求顺延投标截止时间和开标时间。</w:t>
      </w:r>
    </w:p>
    <w:p w14:paraId="43081498">
      <w:pPr>
        <w:spacing w:line="440" w:lineRule="exact"/>
        <w:ind w:firstLine="789"/>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2.3 有关澄清或者修改的内容将作为招标文件的组成部分，对所有投标人具有约束力。</w:t>
      </w:r>
      <w:bookmarkEnd w:id="84"/>
      <w:bookmarkEnd w:id="85"/>
      <w:bookmarkEnd w:id="86"/>
      <w:bookmarkEnd w:id="87"/>
    </w:p>
    <w:p w14:paraId="42789B72">
      <w:pPr>
        <w:keepNext/>
        <w:keepLines/>
        <w:spacing w:line="440" w:lineRule="exact"/>
        <w:ind w:firstLine="562"/>
        <w:outlineLvl w:val="1"/>
        <w:rPr>
          <w:rFonts w:ascii="宋体" w:hAnsi="宋体" w:cs="宋体"/>
          <w:b/>
          <w:bCs/>
          <w:color w:val="000000" w:themeColor="text1"/>
          <w:sz w:val="28"/>
          <w:szCs w:val="28"/>
          <w:highlight w:val="none"/>
          <w14:textFill>
            <w14:solidFill>
              <w14:schemeClr w14:val="tx1"/>
            </w14:solidFill>
          </w14:textFill>
        </w:rPr>
      </w:pPr>
      <w:bookmarkStart w:id="88" w:name="_Toc10227"/>
      <w:bookmarkStart w:id="89" w:name="_Toc20823285"/>
      <w:bookmarkStart w:id="90" w:name="_Toc16938529"/>
      <w:bookmarkStart w:id="91" w:name="_Toc120614216"/>
      <w:bookmarkStart w:id="92" w:name="_Toc462564072"/>
      <w:bookmarkStart w:id="93" w:name="_Toc513029213"/>
      <w:r>
        <w:rPr>
          <w:rFonts w:hint="eastAsia" w:ascii="宋体" w:hAnsi="宋体" w:cs="宋体"/>
          <w:b/>
          <w:bCs/>
          <w:color w:val="000000" w:themeColor="text1"/>
          <w:sz w:val="28"/>
          <w:szCs w:val="28"/>
          <w:highlight w:val="none"/>
          <w14:textFill>
            <w14:solidFill>
              <w14:schemeClr w14:val="tx1"/>
            </w14:solidFill>
          </w14:textFill>
        </w:rPr>
        <w:t>三、投标文件的编制</w:t>
      </w:r>
      <w:bookmarkEnd w:id="88"/>
      <w:bookmarkEnd w:id="89"/>
      <w:bookmarkEnd w:id="90"/>
      <w:bookmarkEnd w:id="91"/>
      <w:bookmarkEnd w:id="92"/>
      <w:bookmarkEnd w:id="93"/>
    </w:p>
    <w:p w14:paraId="2D5008D2">
      <w:pPr>
        <w:keepNext/>
        <w:keepLines/>
        <w:spacing w:line="440" w:lineRule="exact"/>
        <w:ind w:firstLine="480"/>
        <w:outlineLvl w:val="3"/>
        <w:rPr>
          <w:rFonts w:ascii="宋体" w:hAnsi="宋体" w:cs="宋体"/>
          <w:b/>
          <w:color w:val="000000" w:themeColor="text1"/>
          <w:sz w:val="24"/>
          <w:szCs w:val="24"/>
          <w:highlight w:val="none"/>
          <w14:textFill>
            <w14:solidFill>
              <w14:schemeClr w14:val="tx1"/>
            </w14:solidFill>
          </w14:textFill>
        </w:rPr>
      </w:pPr>
      <w:bookmarkStart w:id="94" w:name="_Toc513029214"/>
      <w:bookmarkStart w:id="95" w:name="_Toc16938530"/>
      <w:bookmarkStart w:id="96" w:name="_Toc20823286"/>
      <w:bookmarkStart w:id="97" w:name="_Toc462564073"/>
      <w:r>
        <w:rPr>
          <w:rFonts w:hint="eastAsia" w:ascii="宋体" w:hAnsi="宋体" w:cs="宋体"/>
          <w:color w:val="000000" w:themeColor="text1"/>
          <w:sz w:val="24"/>
          <w:szCs w:val="24"/>
          <w:highlight w:val="none"/>
          <w14:textFill>
            <w14:solidFill>
              <w14:schemeClr w14:val="tx1"/>
            </w14:solidFill>
          </w14:textFill>
        </w:rPr>
        <w:t>1、投标文件的语言及度量衡单位</w:t>
      </w:r>
      <w:bookmarkEnd w:id="94"/>
      <w:bookmarkEnd w:id="95"/>
      <w:bookmarkEnd w:id="96"/>
      <w:bookmarkEnd w:id="97"/>
    </w:p>
    <w:p w14:paraId="5B262DFE">
      <w:pPr>
        <w:spacing w:line="440" w:lineRule="exact"/>
        <w:ind w:firstLine="789"/>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1.1 投标人提交的投标文件以及投标人与代理机构就有关投标的所有来往通知、函件和文件均应使用</w:t>
      </w:r>
      <w:r>
        <w:rPr>
          <w:rFonts w:hint="eastAsia" w:ascii="宋体" w:hAnsi="宋体" w:cs="宋体"/>
          <w:b/>
          <w:bCs/>
          <w:color w:val="000000" w:themeColor="text1"/>
          <w:sz w:val="24"/>
          <w:szCs w:val="24"/>
          <w:highlight w:val="none"/>
          <w14:textFill>
            <w14:solidFill>
              <w14:schemeClr w14:val="tx1"/>
            </w14:solidFill>
          </w14:textFill>
        </w:rPr>
        <w:t>简体中文</w:t>
      </w:r>
      <w:r>
        <w:rPr>
          <w:rFonts w:hint="eastAsia" w:ascii="宋体" w:hAnsi="宋体" w:cs="宋体"/>
          <w:color w:val="000000" w:themeColor="text1"/>
          <w:sz w:val="24"/>
          <w:szCs w:val="24"/>
          <w:highlight w:val="none"/>
          <w14:textFill>
            <w14:solidFill>
              <w14:schemeClr w14:val="tx1"/>
            </w14:solidFill>
          </w14:textFill>
        </w:rPr>
        <w:t>。</w:t>
      </w:r>
    </w:p>
    <w:p w14:paraId="51A4B59F">
      <w:pPr>
        <w:spacing w:line="440" w:lineRule="exact"/>
        <w:ind w:firstLine="789"/>
        <w:rPr>
          <w:rFonts w:ascii="宋体" w:hAnsi="宋体" w:cs="宋体"/>
          <w:color w:val="000000" w:themeColor="text1"/>
          <w:sz w:val="24"/>
          <w:szCs w:val="21"/>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1.2 除技术性能另有规定外，投标文件所使用的度量衡单位，均须采用国家法定计量单位。</w:t>
      </w:r>
    </w:p>
    <w:p w14:paraId="2C7EFC55">
      <w:pPr>
        <w:keepNext/>
        <w:keepLines/>
        <w:spacing w:line="440" w:lineRule="exact"/>
        <w:ind w:firstLine="480"/>
        <w:outlineLvl w:val="3"/>
        <w:rPr>
          <w:rFonts w:ascii="宋体" w:hAnsi="宋体" w:cs="宋体"/>
          <w:color w:val="000000" w:themeColor="text1"/>
          <w:sz w:val="24"/>
          <w:szCs w:val="24"/>
          <w:highlight w:val="none"/>
          <w14:textFill>
            <w14:solidFill>
              <w14:schemeClr w14:val="tx1"/>
            </w14:solidFill>
          </w14:textFill>
        </w:rPr>
      </w:pPr>
      <w:bookmarkStart w:id="98" w:name="_Toc462564074"/>
      <w:bookmarkStart w:id="99" w:name="_Toc20823287"/>
      <w:bookmarkStart w:id="100" w:name="_Toc513029215"/>
      <w:bookmarkStart w:id="101" w:name="_Toc16938531"/>
      <w:r>
        <w:rPr>
          <w:rFonts w:hint="eastAsia" w:ascii="宋体" w:hAnsi="宋体" w:cs="宋体"/>
          <w:color w:val="000000" w:themeColor="text1"/>
          <w:sz w:val="24"/>
          <w:szCs w:val="24"/>
          <w:highlight w:val="none"/>
          <w14:textFill>
            <w14:solidFill>
              <w14:schemeClr w14:val="tx1"/>
            </w14:solidFill>
          </w14:textFill>
        </w:rPr>
        <w:t>2、投标文件构成</w:t>
      </w:r>
      <w:bookmarkEnd w:id="98"/>
      <w:bookmarkEnd w:id="99"/>
      <w:bookmarkEnd w:id="100"/>
      <w:bookmarkEnd w:id="101"/>
    </w:p>
    <w:p w14:paraId="6632E346">
      <w:pPr>
        <w:spacing w:line="440" w:lineRule="exact"/>
        <w:ind w:firstLine="789"/>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2.1 投标人编写的投标文件应包括资格证明文件、开标一览表、报价明细表、投标函、服务（或商务）要求响应及偏离表、项目实施方案、其他证明文件等部分。</w:t>
      </w:r>
    </w:p>
    <w:p w14:paraId="66E2A932">
      <w:pPr>
        <w:spacing w:line="440" w:lineRule="exact"/>
        <w:ind w:firstLine="789"/>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2.2 如标书制作工具中格式和内容与指定媒体发布的招标文件不一致，请以指定媒体发布的招标文件为准。</w:t>
      </w:r>
    </w:p>
    <w:p w14:paraId="3E825ED2">
      <w:pPr>
        <w:keepNext/>
        <w:keepLines/>
        <w:spacing w:line="440" w:lineRule="exact"/>
        <w:ind w:firstLine="480"/>
        <w:outlineLvl w:val="3"/>
        <w:rPr>
          <w:rFonts w:ascii="宋体" w:hAnsi="宋体" w:cs="宋体"/>
          <w:color w:val="000000" w:themeColor="text1"/>
          <w:sz w:val="24"/>
          <w:szCs w:val="24"/>
          <w:highlight w:val="none"/>
          <w14:textFill>
            <w14:solidFill>
              <w14:schemeClr w14:val="tx1"/>
            </w14:solidFill>
          </w14:textFill>
        </w:rPr>
      </w:pPr>
      <w:bookmarkStart w:id="102" w:name="_Hlt26954838"/>
      <w:bookmarkEnd w:id="102"/>
      <w:bookmarkStart w:id="103" w:name="_Hlt26670360"/>
      <w:bookmarkEnd w:id="103"/>
      <w:bookmarkStart w:id="104" w:name="_Hlt26668975"/>
      <w:bookmarkEnd w:id="104"/>
      <w:bookmarkStart w:id="105" w:name="_Toc49090509"/>
      <w:bookmarkStart w:id="106" w:name="_Toc14577354"/>
      <w:bookmarkStart w:id="107" w:name="_Toc513029216"/>
      <w:bookmarkStart w:id="108" w:name="_Toc14577357"/>
      <w:bookmarkStart w:id="109" w:name="_Toc513029219"/>
      <w:bookmarkStart w:id="110" w:name="_Toc49090507"/>
      <w:bookmarkStart w:id="111" w:name="_Toc49090508"/>
      <w:bookmarkStart w:id="112" w:name="_Toc14577355"/>
      <w:r>
        <w:rPr>
          <w:rFonts w:hint="eastAsia" w:ascii="宋体" w:hAnsi="宋体" w:cs="宋体"/>
          <w:color w:val="000000" w:themeColor="text1"/>
          <w:sz w:val="24"/>
          <w:szCs w:val="24"/>
          <w:highlight w:val="none"/>
          <w14:textFill>
            <w14:solidFill>
              <w14:schemeClr w14:val="tx1"/>
            </w14:solidFill>
          </w14:textFill>
        </w:rPr>
        <w:t>3、证明投标人及投标标的符合招标文件规定的文件</w:t>
      </w:r>
      <w:bookmarkEnd w:id="105"/>
      <w:bookmarkEnd w:id="106"/>
      <w:bookmarkEnd w:id="107"/>
      <w:bookmarkEnd w:id="108"/>
      <w:bookmarkEnd w:id="109"/>
      <w:bookmarkEnd w:id="110"/>
    </w:p>
    <w:p w14:paraId="5E4969EC">
      <w:pPr>
        <w:spacing w:line="440" w:lineRule="exact"/>
        <w:ind w:firstLine="789"/>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3.1 投标人应按照招标文件要求提交证明文件，证明其及投标标的符合招标文件规定。</w:t>
      </w:r>
    </w:p>
    <w:p w14:paraId="1B411199">
      <w:pPr>
        <w:spacing w:line="440" w:lineRule="exact"/>
        <w:ind w:firstLine="789"/>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3.2招标文件对证明文件无明确形式要求的，证明文件可以以文字资料、图纸和数据等形式提交。</w:t>
      </w:r>
      <w:bookmarkEnd w:id="111"/>
      <w:bookmarkEnd w:id="112"/>
    </w:p>
    <w:p w14:paraId="10A64E6C">
      <w:pPr>
        <w:keepNext/>
        <w:keepLines/>
        <w:spacing w:line="440" w:lineRule="exact"/>
        <w:ind w:firstLine="480"/>
        <w:outlineLvl w:val="3"/>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4、投标函和开标一览表</w:t>
      </w:r>
    </w:p>
    <w:p w14:paraId="0C2295B7">
      <w:pPr>
        <w:spacing w:line="440" w:lineRule="exact"/>
        <w:ind w:firstLine="789"/>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4.1 投标人应按照招标文件中提供的格式完整、正确填写投标函、开标一览表。</w:t>
      </w:r>
    </w:p>
    <w:p w14:paraId="7378DBD6">
      <w:pPr>
        <w:spacing w:line="440" w:lineRule="exact"/>
        <w:ind w:firstLine="789"/>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4.2 对于采用货币报价的项目，开标一览表中的投标总报价应与报价明细表中的投标总报价一致，如不一致不作为无效投标处理，但评标时按开标一览表中价格为准。</w:t>
      </w:r>
    </w:p>
    <w:p w14:paraId="795FE82E">
      <w:pPr>
        <w:keepNext/>
        <w:keepLines/>
        <w:spacing w:line="440" w:lineRule="exact"/>
        <w:ind w:firstLine="480"/>
        <w:outlineLvl w:val="3"/>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5、报价明细表</w:t>
      </w:r>
    </w:p>
    <w:p w14:paraId="2961159D">
      <w:pPr>
        <w:spacing w:line="440" w:lineRule="exact"/>
        <w:ind w:firstLine="789"/>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5.1 投标人应按照招标文件规定格式填报报价明细表。</w:t>
      </w:r>
    </w:p>
    <w:p w14:paraId="6A91D28E">
      <w:pPr>
        <w:spacing w:line="440" w:lineRule="exact"/>
        <w:ind w:firstLine="789"/>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5.2 投标货币。投标文件中的单价和总价无特殊规定的采用人民币报价，以元为单位标注。招标文件中另有规定的按规定执行。</w:t>
      </w:r>
    </w:p>
    <w:p w14:paraId="17956ABE">
      <w:pPr>
        <w:keepNext/>
        <w:keepLines/>
        <w:spacing w:line="440" w:lineRule="exact"/>
        <w:ind w:firstLine="480"/>
        <w:outlineLvl w:val="3"/>
        <w:rPr>
          <w:rFonts w:ascii="宋体" w:hAnsi="宋体" w:cs="宋体"/>
          <w:color w:val="000000" w:themeColor="text1"/>
          <w:sz w:val="24"/>
          <w:szCs w:val="24"/>
          <w:highlight w:val="none"/>
          <w14:textFill>
            <w14:solidFill>
              <w14:schemeClr w14:val="tx1"/>
            </w14:solidFill>
          </w14:textFill>
        </w:rPr>
      </w:pPr>
      <w:bookmarkStart w:id="113" w:name="_Hlt26670486"/>
      <w:bookmarkEnd w:id="113"/>
      <w:bookmarkStart w:id="114" w:name="_Hlt26954848"/>
      <w:bookmarkEnd w:id="114"/>
      <w:bookmarkStart w:id="115" w:name="_Hlt26954846"/>
      <w:bookmarkEnd w:id="115"/>
      <w:bookmarkStart w:id="116" w:name="_Hlt26670482"/>
      <w:bookmarkEnd w:id="116"/>
      <w:bookmarkStart w:id="117" w:name="_Hlt26954731"/>
      <w:bookmarkEnd w:id="117"/>
      <w:bookmarkStart w:id="118" w:name="_Hlk155763835"/>
      <w:r>
        <w:rPr>
          <w:rFonts w:hint="eastAsia" w:ascii="宋体" w:hAnsi="宋体" w:cs="宋体"/>
          <w:color w:val="000000" w:themeColor="text1"/>
          <w:sz w:val="24"/>
          <w:szCs w:val="24"/>
          <w:highlight w:val="none"/>
          <w14:textFill>
            <w14:solidFill>
              <w14:schemeClr w14:val="tx1"/>
            </w14:solidFill>
          </w14:textFill>
        </w:rPr>
        <w:t>6、服务、商务要求响应及偏离表</w:t>
      </w:r>
    </w:p>
    <w:p w14:paraId="3BDBCA29">
      <w:pPr>
        <w:spacing w:line="440" w:lineRule="exact"/>
        <w:ind w:firstLine="789"/>
        <w:rPr>
          <w:rFonts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6.1</w:t>
      </w:r>
      <w:r>
        <w:rPr>
          <w:rFonts w:hint="eastAsia" w:ascii="宋体" w:hAnsi="宋体" w:cs="宋体"/>
          <w:color w:val="000000" w:themeColor="text1"/>
          <w:sz w:val="24"/>
          <w:szCs w:val="24"/>
          <w:highlight w:val="none"/>
          <w:lang w:val="zh-CN"/>
          <w14:textFill>
            <w14:solidFill>
              <w14:schemeClr w14:val="tx1"/>
            </w14:solidFill>
          </w14:textFill>
        </w:rPr>
        <w:t xml:space="preserve"> 投标人需对招标文件中的服务要求与商务要求逐项作出响应或偏离，并说明原因。</w:t>
      </w:r>
    </w:p>
    <w:p w14:paraId="4D78CF8D">
      <w:pPr>
        <w:spacing w:line="440" w:lineRule="exact"/>
        <w:ind w:firstLine="789"/>
        <w:rPr>
          <w:rFonts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6.2</w:t>
      </w:r>
      <w:r>
        <w:rPr>
          <w:rFonts w:hint="eastAsia" w:ascii="宋体" w:hAnsi="宋体" w:cs="宋体"/>
          <w:color w:val="000000" w:themeColor="text1"/>
          <w:sz w:val="24"/>
          <w:szCs w:val="24"/>
          <w:highlight w:val="none"/>
          <w:lang w:val="zh-CN"/>
          <w14:textFill>
            <w14:solidFill>
              <w14:schemeClr w14:val="tx1"/>
            </w14:solidFill>
          </w14:textFill>
        </w:rPr>
        <w:t xml:space="preserve"> 投标人需按照招标文件要求，在投标文件中提供与服务要求和商务要求相关的证明材料。</w:t>
      </w:r>
      <w:bookmarkEnd w:id="118"/>
      <w:r>
        <w:rPr>
          <w:rFonts w:hint="eastAsia" w:ascii="宋体" w:hAnsi="宋体" w:cs="宋体"/>
          <w:color w:val="000000" w:themeColor="text1"/>
          <w:sz w:val="24"/>
          <w:szCs w:val="24"/>
          <w:highlight w:val="none"/>
          <w:lang w:val="zh-CN"/>
          <w14:textFill>
            <w14:solidFill>
              <w14:schemeClr w14:val="tx1"/>
            </w14:solidFill>
          </w14:textFill>
        </w:rPr>
        <w:t>（如有）</w:t>
      </w:r>
    </w:p>
    <w:p w14:paraId="554BF47B">
      <w:pPr>
        <w:keepNext/>
        <w:keepLines/>
        <w:spacing w:line="440" w:lineRule="exact"/>
        <w:ind w:firstLine="480"/>
        <w:outlineLvl w:val="3"/>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7、项目服务方案业绩情况</w:t>
      </w:r>
    </w:p>
    <w:p w14:paraId="45169716">
      <w:pPr>
        <w:spacing w:line="440" w:lineRule="exact"/>
        <w:ind w:firstLine="789"/>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7.1 投标人需根据招标文件要求提供有关项目服务方案和关键技术问题及难点分析、项目进度计划安排、质量管理及保证措施、响应承诺等。</w:t>
      </w:r>
    </w:p>
    <w:p w14:paraId="28BB7B43">
      <w:pPr>
        <w:spacing w:line="440" w:lineRule="exact"/>
        <w:ind w:firstLine="789"/>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7.2 投标人需根据招标文件要求提供实施的类似项目业绩情况。</w:t>
      </w:r>
      <w:bookmarkStart w:id="119" w:name="_Toc14577359"/>
      <w:bookmarkStart w:id="120" w:name="_Toc49090510"/>
    </w:p>
    <w:p w14:paraId="5C2DDA81">
      <w:pPr>
        <w:keepNext/>
        <w:keepLines/>
        <w:spacing w:line="440" w:lineRule="exact"/>
        <w:ind w:firstLine="480"/>
        <w:outlineLvl w:val="3"/>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8、其他</w:t>
      </w:r>
    </w:p>
    <w:p w14:paraId="39721373">
      <w:pPr>
        <w:spacing w:line="440" w:lineRule="exact"/>
        <w:ind w:firstLine="789"/>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8.1 投标人需根据招标文件要求提供的其他证明材料。</w:t>
      </w:r>
      <w:bookmarkEnd w:id="119"/>
      <w:bookmarkEnd w:id="120"/>
    </w:p>
    <w:p w14:paraId="008A7141">
      <w:pPr>
        <w:keepNext/>
        <w:keepLines/>
        <w:spacing w:line="440" w:lineRule="exact"/>
        <w:ind w:firstLine="480"/>
        <w:outlineLvl w:val="3"/>
        <w:rPr>
          <w:rFonts w:ascii="宋体" w:hAnsi="宋体" w:cs="宋体"/>
          <w:color w:val="000000" w:themeColor="text1"/>
          <w:sz w:val="24"/>
          <w:szCs w:val="24"/>
          <w:highlight w:val="none"/>
          <w14:textFill>
            <w14:solidFill>
              <w14:schemeClr w14:val="tx1"/>
            </w14:solidFill>
          </w14:textFill>
        </w:rPr>
      </w:pPr>
      <w:bookmarkStart w:id="121" w:name="_Toc49090511"/>
      <w:bookmarkStart w:id="122" w:name="_Toc14577360"/>
      <w:r>
        <w:rPr>
          <w:rFonts w:hint="eastAsia" w:ascii="宋体" w:hAnsi="宋体" w:cs="宋体"/>
          <w:color w:val="000000" w:themeColor="text1"/>
          <w:sz w:val="24"/>
          <w:szCs w:val="24"/>
          <w:highlight w:val="none"/>
          <w14:textFill>
            <w14:solidFill>
              <w14:schemeClr w14:val="tx1"/>
            </w14:solidFill>
          </w14:textFill>
        </w:rPr>
        <w:t>9、投标有效期</w:t>
      </w:r>
      <w:bookmarkEnd w:id="121"/>
      <w:bookmarkEnd w:id="122"/>
    </w:p>
    <w:p w14:paraId="3161923C">
      <w:pPr>
        <w:spacing w:line="440" w:lineRule="exact"/>
        <w:ind w:firstLine="789"/>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9.1投标有效期为代理机构</w:t>
      </w:r>
      <w:r>
        <w:rPr>
          <w:rFonts w:hint="eastAsia" w:ascii="宋体" w:hAnsi="宋体" w:cs="宋体"/>
          <w:bCs/>
          <w:color w:val="000000" w:themeColor="text1"/>
          <w:sz w:val="24"/>
          <w:szCs w:val="24"/>
          <w:highlight w:val="none"/>
          <w14:textFill>
            <w14:solidFill>
              <w14:schemeClr w14:val="tx1"/>
            </w14:solidFill>
          </w14:textFill>
        </w:rPr>
        <w:t>规定的开标之日后</w:t>
      </w:r>
      <w:r>
        <w:rPr>
          <w:rFonts w:hint="eastAsia" w:ascii="宋体" w:hAnsi="宋体" w:cs="宋体"/>
          <w:b/>
          <w:color w:val="000000" w:themeColor="text1"/>
          <w:sz w:val="24"/>
          <w:szCs w:val="24"/>
          <w:highlight w:val="none"/>
          <w:u w:val="single"/>
          <w14:textFill>
            <w14:solidFill>
              <w14:schemeClr w14:val="tx1"/>
            </w14:solidFill>
          </w14:textFill>
        </w:rPr>
        <w:t>六十（60）天</w:t>
      </w:r>
      <w:r>
        <w:rPr>
          <w:rFonts w:hint="eastAsia" w:ascii="宋体" w:hAnsi="宋体" w:cs="宋体"/>
          <w:bCs/>
          <w:color w:val="000000" w:themeColor="text1"/>
          <w:sz w:val="24"/>
          <w:szCs w:val="24"/>
          <w:highlight w:val="none"/>
          <w14:textFill>
            <w14:solidFill>
              <w14:schemeClr w14:val="tx1"/>
            </w14:solidFill>
          </w14:textFill>
        </w:rPr>
        <w:t>。投标有效期比规定短的将被视为未实质性响应招标文件而予以拒绝。</w:t>
      </w:r>
    </w:p>
    <w:p w14:paraId="47983441">
      <w:pPr>
        <w:keepNext/>
        <w:keepLines/>
        <w:spacing w:line="440" w:lineRule="exact"/>
        <w:ind w:firstLine="480"/>
        <w:outlineLvl w:val="3"/>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10、投标有效期的延长</w:t>
      </w:r>
    </w:p>
    <w:p w14:paraId="1967107A">
      <w:pPr>
        <w:spacing w:line="440" w:lineRule="exact"/>
        <w:ind w:firstLine="789"/>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10.1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受投标有效期约束的所有权利与义务均延长至新的有效期。</w:t>
      </w:r>
    </w:p>
    <w:p w14:paraId="422DC65D">
      <w:pPr>
        <w:keepNext/>
        <w:keepLines/>
        <w:spacing w:line="440" w:lineRule="exact"/>
        <w:ind w:firstLine="562"/>
        <w:outlineLvl w:val="1"/>
        <w:rPr>
          <w:rFonts w:ascii="宋体" w:hAnsi="宋体" w:cs="宋体"/>
          <w:b/>
          <w:bCs/>
          <w:color w:val="000000" w:themeColor="text1"/>
          <w:sz w:val="28"/>
          <w:szCs w:val="28"/>
          <w:highlight w:val="none"/>
          <w14:textFill>
            <w14:solidFill>
              <w14:schemeClr w14:val="tx1"/>
            </w14:solidFill>
          </w14:textFill>
        </w:rPr>
      </w:pPr>
      <w:bookmarkStart w:id="123" w:name="_Hlt26954852"/>
      <w:bookmarkEnd w:id="123"/>
      <w:bookmarkStart w:id="124" w:name="_Hlt26954739"/>
      <w:bookmarkEnd w:id="124"/>
      <w:bookmarkStart w:id="125" w:name="_Toc120614217"/>
      <w:bookmarkStart w:id="126" w:name="_Toc16938540"/>
      <w:bookmarkStart w:id="127" w:name="_Toc513029224"/>
      <w:bookmarkStart w:id="128" w:name="_Toc20823296"/>
      <w:bookmarkStart w:id="129" w:name="_Toc21182"/>
      <w:r>
        <w:rPr>
          <w:rFonts w:hint="eastAsia" w:ascii="宋体" w:hAnsi="宋体" w:cs="宋体"/>
          <w:b/>
          <w:bCs/>
          <w:color w:val="000000" w:themeColor="text1"/>
          <w:sz w:val="28"/>
          <w:szCs w:val="28"/>
          <w:highlight w:val="none"/>
          <w14:textFill>
            <w14:solidFill>
              <w14:schemeClr w14:val="tx1"/>
            </w14:solidFill>
          </w14:textFill>
        </w:rPr>
        <w:t>四、投标文件的递交</w:t>
      </w:r>
      <w:bookmarkEnd w:id="125"/>
      <w:bookmarkEnd w:id="126"/>
      <w:bookmarkEnd w:id="127"/>
      <w:bookmarkEnd w:id="128"/>
      <w:bookmarkEnd w:id="129"/>
    </w:p>
    <w:p w14:paraId="20DC1C8B">
      <w:pPr>
        <w:keepNext/>
        <w:keepLines/>
        <w:spacing w:line="440" w:lineRule="exact"/>
        <w:ind w:firstLine="480"/>
        <w:outlineLvl w:val="3"/>
        <w:rPr>
          <w:rFonts w:ascii="宋体" w:hAnsi="宋体" w:cs="宋体"/>
          <w:color w:val="000000" w:themeColor="text1"/>
          <w:sz w:val="24"/>
          <w:szCs w:val="24"/>
          <w:highlight w:val="none"/>
          <w14:textFill>
            <w14:solidFill>
              <w14:schemeClr w14:val="tx1"/>
            </w14:solidFill>
          </w14:textFill>
        </w:rPr>
      </w:pPr>
      <w:bookmarkStart w:id="130" w:name="_Toc16938541"/>
      <w:bookmarkStart w:id="131" w:name="_Toc462564084"/>
      <w:bookmarkStart w:id="132" w:name="_Toc513029225"/>
      <w:bookmarkStart w:id="133" w:name="_Toc20823297"/>
      <w:r>
        <w:rPr>
          <w:rFonts w:hint="eastAsia" w:ascii="宋体" w:hAnsi="宋体" w:cs="宋体"/>
          <w:color w:val="000000" w:themeColor="text1"/>
          <w:sz w:val="24"/>
          <w:szCs w:val="24"/>
          <w:highlight w:val="none"/>
          <w14:textFill>
            <w14:solidFill>
              <w14:schemeClr w14:val="tx1"/>
            </w14:solidFill>
          </w14:textFill>
        </w:rPr>
        <w:t>1、电子投标文件</w:t>
      </w:r>
      <w:bookmarkEnd w:id="130"/>
      <w:bookmarkEnd w:id="131"/>
      <w:bookmarkEnd w:id="132"/>
      <w:bookmarkEnd w:id="133"/>
      <w:r>
        <w:rPr>
          <w:rFonts w:hint="eastAsia" w:ascii="宋体" w:hAnsi="宋体" w:cs="宋体"/>
          <w:color w:val="000000" w:themeColor="text1"/>
          <w:sz w:val="24"/>
          <w:szCs w:val="24"/>
          <w:highlight w:val="none"/>
          <w14:textFill>
            <w14:solidFill>
              <w14:schemeClr w14:val="tx1"/>
            </w14:solidFill>
          </w14:textFill>
        </w:rPr>
        <w:t>的递交</w:t>
      </w:r>
    </w:p>
    <w:p w14:paraId="1939EB0A">
      <w:pPr>
        <w:spacing w:line="440" w:lineRule="exact"/>
        <w:ind w:firstLine="789"/>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1.1投标人应当按照《苏采云系统供应商操作手册》规定，在投标截止时间前制作并上传电子投标文件。</w:t>
      </w:r>
      <w:bookmarkStart w:id="134" w:name="_Toc20823298"/>
      <w:bookmarkStart w:id="135" w:name="_Toc513029226"/>
      <w:bookmarkStart w:id="136" w:name="_Toc16938542"/>
    </w:p>
    <w:p w14:paraId="6964EB7D">
      <w:pPr>
        <w:keepNext/>
        <w:keepLines/>
        <w:spacing w:line="440" w:lineRule="exact"/>
        <w:ind w:firstLine="480"/>
        <w:outlineLvl w:val="3"/>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2、投标截止日期</w:t>
      </w:r>
      <w:bookmarkEnd w:id="134"/>
      <w:bookmarkEnd w:id="135"/>
      <w:bookmarkEnd w:id="136"/>
    </w:p>
    <w:p w14:paraId="6C01B82F">
      <w:pPr>
        <w:spacing w:line="440" w:lineRule="exact"/>
        <w:ind w:firstLine="789"/>
        <w:rPr>
          <w:rFonts w:ascii="宋体" w:hAnsi="宋体" w:cs="宋体"/>
          <w:bCs/>
          <w:iCs/>
          <w:color w:val="000000" w:themeColor="text1"/>
          <w:sz w:val="24"/>
          <w:szCs w:val="24"/>
          <w:highlight w:val="none"/>
          <w:u w:val="single"/>
          <w14:textFill>
            <w14:solidFill>
              <w14:schemeClr w14:val="tx1"/>
            </w14:solidFill>
          </w14:textFill>
        </w:rPr>
      </w:pPr>
      <w:r>
        <w:rPr>
          <w:rFonts w:hint="eastAsia" w:ascii="宋体" w:hAnsi="宋体" w:cs="宋体"/>
          <w:iCs/>
          <w:color w:val="000000" w:themeColor="text1"/>
          <w:sz w:val="24"/>
          <w:szCs w:val="24"/>
          <w:highlight w:val="none"/>
          <w:u w:val="single"/>
          <w14:textFill>
            <w14:solidFill>
              <w14:schemeClr w14:val="tx1"/>
            </w14:solidFill>
          </w14:textFill>
        </w:rPr>
        <w:t>2.1</w:t>
      </w:r>
      <w:r>
        <w:rPr>
          <w:rFonts w:hint="eastAsia" w:ascii="宋体" w:hAnsi="宋体" w:cs="宋体"/>
          <w:bCs/>
          <w:iCs/>
          <w:color w:val="000000" w:themeColor="text1"/>
          <w:sz w:val="24"/>
          <w:szCs w:val="24"/>
          <w:highlight w:val="none"/>
          <w:u w:val="single"/>
          <w14:textFill>
            <w14:solidFill>
              <w14:schemeClr w14:val="tx1"/>
            </w14:solidFill>
          </w14:textFill>
        </w:rPr>
        <w:t xml:space="preserve"> 投标人上传电子投标文件的时间不得迟于招标公告中规定的投标截止时间。</w:t>
      </w:r>
    </w:p>
    <w:p w14:paraId="4D07F228">
      <w:pPr>
        <w:spacing w:line="440" w:lineRule="exact"/>
        <w:ind w:firstLine="480"/>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投标人应充分考虑到网络环境、网络带宽等风险因素，如因投标人自身原因造成的电子投标文件上传不成功的按照本招标文件第二章第27.1.2条规定做无效投标处理。</w:t>
      </w:r>
    </w:p>
    <w:p w14:paraId="71370EF2">
      <w:pPr>
        <w:spacing w:line="440" w:lineRule="exact"/>
        <w:ind w:firstLine="789"/>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2.2</w:t>
      </w:r>
      <w:r>
        <w:rPr>
          <w:rFonts w:hint="eastAsia" w:ascii="宋体" w:hAnsi="宋体" w:cs="宋体"/>
          <w:bCs/>
          <w:color w:val="000000" w:themeColor="text1"/>
          <w:sz w:val="24"/>
          <w:szCs w:val="24"/>
          <w:highlight w:val="none"/>
          <w14:textFill>
            <w14:solidFill>
              <w14:schemeClr w14:val="tx1"/>
            </w14:solidFill>
          </w14:textFill>
        </w:rPr>
        <w:t xml:space="preserve"> 代理机构可以按照规定，通过修改招标文件酌情延长投标截止日期，在此情况下，投标人的所有权利和义务以及投标人受制的截止日期均应以延长后新的截止日期为准。</w:t>
      </w:r>
    </w:p>
    <w:p w14:paraId="70B12853">
      <w:pPr>
        <w:keepNext/>
        <w:keepLines/>
        <w:spacing w:line="440" w:lineRule="exact"/>
        <w:ind w:firstLine="480"/>
        <w:outlineLvl w:val="3"/>
        <w:rPr>
          <w:rFonts w:ascii="宋体" w:hAnsi="宋体" w:cs="宋体"/>
          <w:color w:val="000000" w:themeColor="text1"/>
          <w:sz w:val="24"/>
          <w:szCs w:val="24"/>
          <w:highlight w:val="none"/>
          <w14:textFill>
            <w14:solidFill>
              <w14:schemeClr w14:val="tx1"/>
            </w14:solidFill>
          </w14:textFill>
        </w:rPr>
      </w:pPr>
      <w:bookmarkStart w:id="137" w:name="_Toc513029227"/>
      <w:bookmarkStart w:id="138" w:name="_Toc20823299"/>
      <w:bookmarkStart w:id="139" w:name="_Toc16938543"/>
      <w:r>
        <w:rPr>
          <w:rFonts w:hint="eastAsia" w:ascii="宋体" w:hAnsi="宋体" w:cs="宋体"/>
          <w:color w:val="000000" w:themeColor="text1"/>
          <w:sz w:val="24"/>
          <w:szCs w:val="24"/>
          <w:highlight w:val="none"/>
          <w14:textFill>
            <w14:solidFill>
              <w14:schemeClr w14:val="tx1"/>
            </w14:solidFill>
          </w14:textFill>
        </w:rPr>
        <w:t>3、投标文件</w:t>
      </w:r>
      <w:bookmarkEnd w:id="137"/>
      <w:bookmarkEnd w:id="138"/>
      <w:bookmarkEnd w:id="139"/>
      <w:r>
        <w:rPr>
          <w:rFonts w:hint="eastAsia" w:ascii="宋体" w:hAnsi="宋体" w:cs="宋体"/>
          <w:color w:val="000000" w:themeColor="text1"/>
          <w:sz w:val="24"/>
          <w:szCs w:val="24"/>
          <w:highlight w:val="none"/>
          <w14:textFill>
            <w14:solidFill>
              <w14:schemeClr w14:val="tx1"/>
            </w14:solidFill>
          </w14:textFill>
        </w:rPr>
        <w:t>的拒收</w:t>
      </w:r>
    </w:p>
    <w:p w14:paraId="18381689">
      <w:pPr>
        <w:spacing w:line="440" w:lineRule="exact"/>
        <w:ind w:firstLine="789"/>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3.1 代理机构拒绝接收在其规定的投标截止时间后上传的任何投标文件。</w:t>
      </w:r>
    </w:p>
    <w:p w14:paraId="79BA5F21">
      <w:pPr>
        <w:keepNext/>
        <w:keepLines/>
        <w:spacing w:line="440" w:lineRule="exact"/>
        <w:ind w:firstLine="480"/>
        <w:outlineLvl w:val="3"/>
        <w:rPr>
          <w:rFonts w:ascii="宋体" w:hAnsi="宋体" w:cs="宋体"/>
          <w:color w:val="000000" w:themeColor="text1"/>
          <w:sz w:val="24"/>
          <w:szCs w:val="24"/>
          <w:highlight w:val="none"/>
          <w14:textFill>
            <w14:solidFill>
              <w14:schemeClr w14:val="tx1"/>
            </w14:solidFill>
          </w14:textFill>
        </w:rPr>
      </w:pPr>
      <w:bookmarkStart w:id="140" w:name="_Toc16938544"/>
      <w:bookmarkStart w:id="141" w:name="_Toc20823300"/>
      <w:bookmarkStart w:id="142" w:name="_Toc513029228"/>
      <w:r>
        <w:rPr>
          <w:rFonts w:hint="eastAsia" w:ascii="宋体" w:hAnsi="宋体" w:cs="宋体"/>
          <w:color w:val="000000" w:themeColor="text1"/>
          <w:sz w:val="24"/>
          <w:szCs w:val="24"/>
          <w:highlight w:val="none"/>
          <w14:textFill>
            <w14:solidFill>
              <w14:schemeClr w14:val="tx1"/>
            </w14:solidFill>
          </w14:textFill>
        </w:rPr>
        <w:t>4、投标文件的撤回和修改</w:t>
      </w:r>
      <w:bookmarkEnd w:id="140"/>
      <w:bookmarkEnd w:id="141"/>
      <w:bookmarkEnd w:id="142"/>
    </w:p>
    <w:p w14:paraId="1FFA947E">
      <w:pPr>
        <w:spacing w:line="440" w:lineRule="exact"/>
        <w:ind w:firstLine="789"/>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4.1 投标文件的撤回</w:t>
      </w:r>
    </w:p>
    <w:p w14:paraId="35E5B198">
      <w:pPr>
        <w:spacing w:line="440" w:lineRule="exact"/>
        <w:ind w:firstLine="96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4.1.1 电子投标文件的撤回</w:t>
      </w:r>
    </w:p>
    <w:p w14:paraId="48E4D6E5">
      <w:pPr>
        <w:spacing w:line="44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投标人可在投标截止时间前，撤回其电子投标文件，具体操作方法见《苏采云系统供应商操作手册》。</w:t>
      </w:r>
    </w:p>
    <w:p w14:paraId="783729D1">
      <w:pPr>
        <w:spacing w:line="440" w:lineRule="exact"/>
        <w:ind w:firstLine="96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4.1.2 投标人撤回电子投标文件，则认为其不再参与本项目投标活动。</w:t>
      </w:r>
    </w:p>
    <w:p w14:paraId="490B9659">
      <w:pPr>
        <w:spacing w:line="440" w:lineRule="exact"/>
        <w:ind w:firstLine="789"/>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4.2 投标文件的修改</w:t>
      </w:r>
    </w:p>
    <w:p w14:paraId="0A6B2D05">
      <w:pPr>
        <w:spacing w:line="440" w:lineRule="exact"/>
        <w:ind w:firstLine="96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4.2.1投标人可在投标截止时间前，对其电子投标文件进行修改，具体操作方法见《苏采云系统供应商操作手册》。</w:t>
      </w:r>
    </w:p>
    <w:p w14:paraId="5F3A1112">
      <w:pPr>
        <w:spacing w:line="440" w:lineRule="exact"/>
        <w:ind w:firstLine="96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4.2.2 在投标截止时间之后，投标人不得对其电子投标文件作任何修改。</w:t>
      </w:r>
    </w:p>
    <w:p w14:paraId="0C6480A7">
      <w:pPr>
        <w:spacing w:line="440" w:lineRule="exact"/>
        <w:ind w:firstLine="789"/>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4.3 在投标截止时间至招标文件中规定的投标有效期满之间的这段时间内，投标人不得撤回其投标。</w:t>
      </w:r>
    </w:p>
    <w:p w14:paraId="2C168F9A">
      <w:pPr>
        <w:keepNext/>
        <w:keepLines/>
        <w:spacing w:line="440" w:lineRule="exact"/>
        <w:ind w:firstLine="562"/>
        <w:outlineLvl w:val="1"/>
        <w:rPr>
          <w:rFonts w:ascii="宋体" w:hAnsi="宋体" w:cs="宋体"/>
          <w:b/>
          <w:bCs/>
          <w:color w:val="000000" w:themeColor="text1"/>
          <w:sz w:val="28"/>
          <w:szCs w:val="28"/>
          <w:highlight w:val="none"/>
          <w14:textFill>
            <w14:solidFill>
              <w14:schemeClr w14:val="tx1"/>
            </w14:solidFill>
          </w14:textFill>
        </w:rPr>
      </w:pPr>
      <w:bookmarkStart w:id="143" w:name="_Toc513029229"/>
      <w:bookmarkStart w:id="144" w:name="_Toc16938545"/>
      <w:bookmarkStart w:id="145" w:name="_Toc120614218"/>
      <w:bookmarkStart w:id="146" w:name="_Toc20823301"/>
      <w:bookmarkStart w:id="147" w:name="_Toc3835"/>
      <w:r>
        <w:rPr>
          <w:rFonts w:hint="eastAsia" w:ascii="宋体" w:hAnsi="宋体" w:cs="宋体"/>
          <w:b/>
          <w:bCs/>
          <w:color w:val="000000" w:themeColor="text1"/>
          <w:sz w:val="28"/>
          <w:szCs w:val="28"/>
          <w:highlight w:val="none"/>
          <w14:textFill>
            <w14:solidFill>
              <w14:schemeClr w14:val="tx1"/>
            </w14:solidFill>
          </w14:textFill>
        </w:rPr>
        <w:t>五、开标与评标</w:t>
      </w:r>
      <w:bookmarkEnd w:id="143"/>
      <w:bookmarkEnd w:id="144"/>
      <w:bookmarkEnd w:id="145"/>
      <w:bookmarkEnd w:id="146"/>
      <w:bookmarkEnd w:id="147"/>
    </w:p>
    <w:p w14:paraId="5D0C818D">
      <w:pPr>
        <w:keepNext/>
        <w:keepLines/>
        <w:spacing w:line="440" w:lineRule="exact"/>
        <w:ind w:firstLine="480"/>
        <w:outlineLvl w:val="3"/>
        <w:rPr>
          <w:rFonts w:ascii="宋体" w:hAnsi="宋体" w:cs="宋体"/>
          <w:color w:val="000000" w:themeColor="text1"/>
          <w:sz w:val="24"/>
          <w:szCs w:val="24"/>
          <w:highlight w:val="none"/>
          <w14:textFill>
            <w14:solidFill>
              <w14:schemeClr w14:val="tx1"/>
            </w14:solidFill>
          </w14:textFill>
        </w:rPr>
      </w:pPr>
      <w:bookmarkStart w:id="148" w:name="_Toc20823302"/>
      <w:bookmarkStart w:id="149" w:name="_Toc16938546"/>
      <w:bookmarkStart w:id="150" w:name="_Toc513029230"/>
      <w:r>
        <w:rPr>
          <w:rFonts w:hint="eastAsia" w:ascii="宋体" w:hAnsi="宋体" w:cs="宋体"/>
          <w:color w:val="000000" w:themeColor="text1"/>
          <w:sz w:val="24"/>
          <w:szCs w:val="24"/>
          <w:highlight w:val="none"/>
          <w14:textFill>
            <w14:solidFill>
              <w14:schemeClr w14:val="tx1"/>
            </w14:solidFill>
          </w14:textFill>
        </w:rPr>
        <w:t>1、开标</w:t>
      </w:r>
      <w:bookmarkEnd w:id="148"/>
      <w:bookmarkEnd w:id="149"/>
      <w:bookmarkEnd w:id="150"/>
    </w:p>
    <w:p w14:paraId="2B28145F">
      <w:pPr>
        <w:spacing w:line="440" w:lineRule="exact"/>
        <w:ind w:firstLine="789"/>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1.1 代理机构将在招标公告中规定的时间和地点组织公开开标。投标人应当按照《苏采云系统供应商操作手册》规定，参加开标活动和在苏采云系统规定的时间内对投标文件进行解密。</w:t>
      </w:r>
    </w:p>
    <w:p w14:paraId="2DB26F22">
      <w:pPr>
        <w:spacing w:line="440" w:lineRule="exact"/>
        <w:ind w:firstLine="789"/>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1.2开标仪式由代理机构组织。苏采云系统将自动对项目进行开标，并宣布各投标人名称和投标价格。</w:t>
      </w:r>
    </w:p>
    <w:p w14:paraId="5E95FD3B">
      <w:pPr>
        <w:spacing w:line="440" w:lineRule="exact"/>
        <w:ind w:firstLine="789"/>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1.3投标人在开标过程中涉及到的投标文件解密、开标结果确认等工作，应按照《苏采云系统供应商操作手册》规定执行。</w:t>
      </w:r>
    </w:p>
    <w:p w14:paraId="2A203EFB">
      <w:pPr>
        <w:spacing w:line="440" w:lineRule="exact"/>
        <w:ind w:firstLine="789"/>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1.4投标人如果对开标过程和开标记录有疑义，应当根据《操作手册》规定提出，如苏采云系统中《开标记录表》宣布后5分钟内未提出的，视同认可开标结果。</w:t>
      </w:r>
    </w:p>
    <w:p w14:paraId="597E8094">
      <w:pPr>
        <w:keepNext/>
        <w:keepLines/>
        <w:spacing w:line="440" w:lineRule="exact"/>
        <w:ind w:firstLine="480"/>
        <w:outlineLvl w:val="3"/>
        <w:rPr>
          <w:rFonts w:ascii="宋体" w:hAnsi="宋体" w:cs="宋体"/>
          <w:color w:val="000000" w:themeColor="text1"/>
          <w:sz w:val="24"/>
          <w:szCs w:val="24"/>
          <w:highlight w:val="none"/>
          <w14:textFill>
            <w14:solidFill>
              <w14:schemeClr w14:val="tx1"/>
            </w14:solidFill>
          </w14:textFill>
        </w:rPr>
      </w:pPr>
      <w:bookmarkStart w:id="151" w:name="_Toc16938547"/>
      <w:bookmarkStart w:id="152" w:name="_Toc513029231"/>
      <w:bookmarkStart w:id="153" w:name="_Toc20823303"/>
      <w:r>
        <w:rPr>
          <w:rFonts w:hint="eastAsia" w:ascii="宋体" w:hAnsi="宋体" w:cs="宋体"/>
          <w:color w:val="000000" w:themeColor="text1"/>
          <w:sz w:val="24"/>
          <w:szCs w:val="24"/>
          <w:highlight w:val="none"/>
          <w14:textFill>
            <w14:solidFill>
              <w14:schemeClr w14:val="tx1"/>
            </w14:solidFill>
          </w14:textFill>
        </w:rPr>
        <w:t>2、评标委员会</w:t>
      </w:r>
    </w:p>
    <w:p w14:paraId="3FA4300F">
      <w:pPr>
        <w:spacing w:line="440" w:lineRule="exact"/>
        <w:ind w:firstLine="789"/>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2.1 开标后，代理机构将立即组织评标委员会（以下简称评委会）进行评标。</w:t>
      </w:r>
    </w:p>
    <w:p w14:paraId="3D9B65A9">
      <w:pPr>
        <w:spacing w:line="440" w:lineRule="exact"/>
        <w:ind w:firstLine="789"/>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2.2 评委会由采购人代表和有关技术、经济等方面的专家组成，且人员构成符合政府采购有关规定。</w:t>
      </w:r>
    </w:p>
    <w:p w14:paraId="4647FD80">
      <w:pPr>
        <w:spacing w:line="440" w:lineRule="exact"/>
        <w:ind w:firstLine="789"/>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2.3评委会独立工作，负责评审所有投标文件并确定中标侯选人。</w:t>
      </w:r>
    </w:p>
    <w:p w14:paraId="05D9520F">
      <w:pPr>
        <w:keepNext/>
        <w:keepLines/>
        <w:spacing w:line="440" w:lineRule="exact"/>
        <w:ind w:firstLine="480"/>
        <w:outlineLvl w:val="3"/>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3．评标过程的保密与公正</w:t>
      </w:r>
      <w:bookmarkEnd w:id="151"/>
      <w:bookmarkEnd w:id="152"/>
      <w:bookmarkEnd w:id="153"/>
    </w:p>
    <w:p w14:paraId="7690CCAC">
      <w:pPr>
        <w:spacing w:line="440" w:lineRule="exact"/>
        <w:ind w:firstLine="789"/>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3.1</w:t>
      </w:r>
      <w:r>
        <w:rPr>
          <w:rFonts w:hint="eastAsia" w:ascii="宋体" w:hAnsi="宋体" w:cs="宋体"/>
          <w:bCs/>
          <w:color w:val="000000" w:themeColor="text1"/>
          <w:sz w:val="24"/>
          <w:szCs w:val="24"/>
          <w:highlight w:val="none"/>
          <w14:textFill>
            <w14:solidFill>
              <w14:schemeClr w14:val="tx1"/>
            </w14:solidFill>
          </w14:textFill>
        </w:rPr>
        <w:t>凡是与审查、澄清、评价和比较投标的有关资料以及授标建议等，采购人、评委、代理机构均不得向投标人或与评标无关的其他人员透露。</w:t>
      </w:r>
    </w:p>
    <w:p w14:paraId="44DF50C8">
      <w:pPr>
        <w:spacing w:line="440" w:lineRule="exact"/>
        <w:ind w:firstLine="789"/>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3.2在评标过程中，投标人不得以任何行为影响评标过程，否则其投标文件将被作为无效投标文件。</w:t>
      </w:r>
    </w:p>
    <w:p w14:paraId="2AC17B54">
      <w:pPr>
        <w:spacing w:line="440" w:lineRule="exact"/>
        <w:ind w:firstLine="789"/>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3.3 代理机构和评委会不向未中标的投标人解释未中标原因，也不公布评标过程中的相关细节。</w:t>
      </w:r>
    </w:p>
    <w:p w14:paraId="3A8EAE4F">
      <w:pPr>
        <w:spacing w:line="440" w:lineRule="exact"/>
        <w:ind w:firstLine="789"/>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3.4 采用综合评分法的项目，未中标的投标人可于中标结果公告期限届满之日起通过苏采云系统查看自己的评审得分及排序情况。</w:t>
      </w:r>
    </w:p>
    <w:p w14:paraId="0C9E99E0">
      <w:pPr>
        <w:keepNext/>
        <w:keepLines/>
        <w:spacing w:line="440" w:lineRule="exact"/>
        <w:ind w:firstLine="480"/>
        <w:outlineLvl w:val="3"/>
        <w:rPr>
          <w:rFonts w:ascii="宋体" w:hAnsi="宋体" w:cs="宋体"/>
          <w:color w:val="000000" w:themeColor="text1"/>
          <w:sz w:val="24"/>
          <w:szCs w:val="24"/>
          <w:highlight w:val="none"/>
          <w14:textFill>
            <w14:solidFill>
              <w14:schemeClr w14:val="tx1"/>
            </w14:solidFill>
          </w14:textFill>
        </w:rPr>
      </w:pPr>
      <w:bookmarkStart w:id="154" w:name="_Toc16938548"/>
      <w:bookmarkStart w:id="155" w:name="_Toc513029232"/>
      <w:bookmarkStart w:id="156" w:name="_Toc20823304"/>
      <w:r>
        <w:rPr>
          <w:rFonts w:hint="eastAsia" w:ascii="宋体" w:hAnsi="宋体" w:cs="宋体"/>
          <w:color w:val="000000" w:themeColor="text1"/>
          <w:sz w:val="24"/>
          <w:szCs w:val="24"/>
          <w:highlight w:val="none"/>
          <w14:textFill>
            <w14:solidFill>
              <w14:schemeClr w14:val="tx1"/>
            </w14:solidFill>
          </w14:textFill>
        </w:rPr>
        <w:t>4. 投标文件的澄清</w:t>
      </w:r>
      <w:bookmarkEnd w:id="154"/>
      <w:bookmarkEnd w:id="155"/>
      <w:bookmarkEnd w:id="156"/>
    </w:p>
    <w:p w14:paraId="02D38DEF">
      <w:pPr>
        <w:spacing w:line="440" w:lineRule="exact"/>
        <w:ind w:firstLine="789"/>
        <w:rPr>
          <w:rFonts w:ascii="宋体" w:hAnsi="宋体" w:cs="宋体"/>
          <w:color w:val="000000" w:themeColor="text1"/>
          <w:sz w:val="24"/>
          <w:szCs w:val="24"/>
          <w:highlight w:val="none"/>
          <w14:textFill>
            <w14:solidFill>
              <w14:schemeClr w14:val="tx1"/>
            </w14:solidFill>
          </w14:textFill>
        </w:rPr>
      </w:pPr>
      <w:bookmarkStart w:id="157" w:name="_Toc16938549"/>
      <w:bookmarkStart w:id="158" w:name="_Toc20823305"/>
      <w:bookmarkStart w:id="159" w:name="_Toc513029233"/>
      <w:r>
        <w:rPr>
          <w:rFonts w:hint="eastAsia" w:ascii="宋体" w:hAnsi="宋体" w:cs="宋体"/>
          <w:color w:val="000000" w:themeColor="text1"/>
          <w:sz w:val="24"/>
          <w:szCs w:val="24"/>
          <w:highlight w:val="none"/>
          <w14:textFill>
            <w14:solidFill>
              <w14:schemeClr w14:val="tx1"/>
            </w14:solidFill>
          </w14:textFill>
        </w:rPr>
        <w:t>4.1评标期间，评委会对投标文件中含义不明确、同类问题表述不一致或者有明显文字和计算错误的内容 ，有权要求投标人作出必要的澄清、说明或者补正。</w:t>
      </w:r>
    </w:p>
    <w:p w14:paraId="16D70662">
      <w:pPr>
        <w:spacing w:line="440" w:lineRule="exact"/>
        <w:ind w:firstLine="789"/>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投标人的澄清、说明或者补正不得超出投标文件的范围或者改变投标文件的实质性内容。</w:t>
      </w:r>
    </w:p>
    <w:p w14:paraId="1C711F32">
      <w:pPr>
        <w:spacing w:line="440" w:lineRule="exact"/>
        <w:ind w:firstLine="789"/>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评标委员会并非对每个投标人都做澄清要求。</w:t>
      </w:r>
    </w:p>
    <w:p w14:paraId="27E6006C">
      <w:pPr>
        <w:spacing w:line="440" w:lineRule="exact"/>
        <w:ind w:firstLine="789"/>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苏采云系统供应商操作手册》。</w:t>
      </w:r>
    </w:p>
    <w:p w14:paraId="0801377D">
      <w:pPr>
        <w:spacing w:line="440" w:lineRule="exact"/>
        <w:ind w:firstLine="789"/>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4.3 接到评委会澄清、说明和补正要求的投标人如未按规定做出澄清、说明和补正，其风险由投标人自行承担。</w:t>
      </w:r>
    </w:p>
    <w:p w14:paraId="034D5A79">
      <w:pPr>
        <w:keepNext/>
        <w:keepLines/>
        <w:spacing w:line="440" w:lineRule="exact"/>
        <w:ind w:firstLine="480"/>
        <w:outlineLvl w:val="3"/>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5. 对投标文件的初审</w:t>
      </w:r>
      <w:bookmarkEnd w:id="157"/>
      <w:bookmarkEnd w:id="158"/>
      <w:bookmarkEnd w:id="159"/>
    </w:p>
    <w:p w14:paraId="5365297B">
      <w:pPr>
        <w:spacing w:line="440" w:lineRule="exact"/>
        <w:ind w:firstLine="789"/>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5.1</w:t>
      </w:r>
      <w:r>
        <w:rPr>
          <w:rFonts w:hint="eastAsia" w:ascii="宋体" w:hAnsi="宋体" w:cs="宋体"/>
          <w:bCs/>
          <w:color w:val="000000" w:themeColor="text1"/>
          <w:sz w:val="24"/>
          <w:szCs w:val="24"/>
          <w:highlight w:val="none"/>
          <w14:textFill>
            <w14:solidFill>
              <w14:schemeClr w14:val="tx1"/>
            </w14:solidFill>
          </w14:textFill>
        </w:rPr>
        <w:t>投标文件初审分为资格审查和符合性审查。</w:t>
      </w:r>
    </w:p>
    <w:p w14:paraId="6F91E8DB">
      <w:pPr>
        <w:spacing w:line="440" w:lineRule="exact"/>
        <w:ind w:firstLine="1027"/>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5.1.1 资格审查：依据法律法规和招标文件的规定，由采购人对投标文件中的资格证明文件进行审查。资格审查的结论，采购人以书面形式向评委会进行反馈。</w:t>
      </w:r>
    </w:p>
    <w:p w14:paraId="0EFB362E">
      <w:pPr>
        <w:spacing w:line="440" w:lineRule="exact"/>
        <w:ind w:firstLine="789"/>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采购人在进行资格性审查的同时，将在</w:t>
      </w:r>
      <w:r>
        <w:rPr>
          <w:rFonts w:hint="eastAsia" w:cs="宋体"/>
          <w:color w:val="000000" w:themeColor="text1"/>
          <w:sz w:val="24"/>
          <w:szCs w:val="24"/>
          <w:highlight w:val="none"/>
          <w14:textFill>
            <w14:solidFill>
              <w14:schemeClr w14:val="tx1"/>
            </w14:solidFill>
          </w14:textFill>
        </w:rPr>
        <w:t>中国政府采购网</w:t>
      </w:r>
      <w:r>
        <w:rPr>
          <w:rFonts w:cs="宋体"/>
          <w:color w:val="000000" w:themeColor="text1"/>
          <w:sz w:val="24"/>
          <w:szCs w:val="24"/>
          <w:highlight w:val="none"/>
          <w14:textFill>
            <w14:solidFill>
              <w14:schemeClr w14:val="tx1"/>
            </w14:solidFill>
          </w14:textFill>
        </w:rPr>
        <w:t>(http://www.ccgp.gov.cn/search/cr/)、信用中国（https://www.creditchina.gov.cn/）、信用江苏（http://credit.jiangsu.gov.cn/）、信用中国（江苏苏州）（https://credit.suzhou.gov.cn/）</w:t>
      </w:r>
      <w:r>
        <w:rPr>
          <w:rFonts w:hint="eastAsia" w:ascii="宋体" w:hAnsi="宋体" w:cs="宋体"/>
          <w:bCs/>
          <w:color w:val="000000" w:themeColor="text1"/>
          <w:sz w:val="24"/>
          <w:szCs w:val="24"/>
          <w:highlight w:val="none"/>
          <w14:textFill>
            <w14:solidFill>
              <w14:schemeClr w14:val="tx1"/>
            </w14:solidFill>
          </w14:textFill>
        </w:rPr>
        <w:t>等查询投标人的信用记录，以确定投标人是否具备投标资格,查询结果留存并归档。</w:t>
      </w:r>
    </w:p>
    <w:p w14:paraId="5ABAE8FF">
      <w:pPr>
        <w:spacing w:line="440" w:lineRule="exact"/>
        <w:ind w:firstLine="789"/>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接受联合体的项目，两个以上的自然人、法人或者其他组织组成一个联合体，以一个供应商的身份共同参加政府采购活动的,联合体成员中任何一方存在不良信用记录的，视同联合体存在不良应用记录。</w:t>
      </w:r>
    </w:p>
    <w:p w14:paraId="44915948">
      <w:pPr>
        <w:spacing w:line="440" w:lineRule="exact"/>
        <w:ind w:firstLine="1027"/>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5.1.2 符合性审查：依据招标文件的规定，由评委会从投标文件的有效性、完整性和对招标文件的响应程度进行审查，以确定是否对招标文件的实质性要求作出响应。</w:t>
      </w:r>
    </w:p>
    <w:p w14:paraId="1FBC8BF6">
      <w:pPr>
        <w:spacing w:line="440" w:lineRule="exact"/>
        <w:ind w:firstLine="1027"/>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5.1.3 未通过资格审查或符合性审查的投标人，代理机构将在苏采云系统中告知未通过资格审查或符合性审查的原因，评审结束后，代理机构将不再告知未通过资格审查或符合性审查的原因。</w:t>
      </w:r>
    </w:p>
    <w:p w14:paraId="66FAEBCA">
      <w:pPr>
        <w:spacing w:line="440" w:lineRule="exact"/>
        <w:ind w:firstLine="789"/>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5.2在详细评标之前，评委会将首先审查每份投标文件是否实质性响应了招标文件的要求。实质性响应的投标应该是与招标文件要求的全部条款、条件和规格相符，没有重大偏离或保留的投标。</w:t>
      </w:r>
    </w:p>
    <w:p w14:paraId="4B010BB0">
      <w:pPr>
        <w:spacing w:line="440" w:lineRule="exact"/>
        <w:ind w:firstLine="480"/>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cs="宋体"/>
          <w:bCs/>
          <w:color w:val="000000" w:themeColor="text1"/>
          <w:sz w:val="24"/>
          <w:szCs w:val="24"/>
          <w:highlight w:val="none"/>
          <w14:textFill>
            <w14:solidFill>
              <w14:schemeClr w14:val="tx1"/>
            </w14:solidFill>
          </w14:textFill>
        </w:rPr>
        <w:t>评委决定投标文件的响应性只根据投标文件本身的内容，而不寻求外部的证据。</w:t>
      </w:r>
    </w:p>
    <w:p w14:paraId="33634562">
      <w:pPr>
        <w:spacing w:line="440" w:lineRule="exact"/>
        <w:ind w:firstLine="789"/>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5.3</w:t>
      </w:r>
      <w:r>
        <w:rPr>
          <w:rFonts w:hint="eastAsia" w:ascii="宋体" w:hAnsi="宋体" w:cs="宋体"/>
          <w:bCs/>
          <w:color w:val="000000" w:themeColor="text1"/>
          <w:sz w:val="24"/>
          <w:szCs w:val="24"/>
          <w:highlight w:val="none"/>
          <w14:textFill>
            <w14:solidFill>
              <w14:schemeClr w14:val="tx1"/>
            </w14:solidFill>
          </w14:textFill>
        </w:rPr>
        <w:t>如果投标文件实质上没有响应招标文件的要求，评委会将予以拒绝，投标人不得通过修改或撤销不合要求的偏离或保留而使其投标成为实质性响应的投标。</w:t>
      </w:r>
    </w:p>
    <w:p w14:paraId="7937BC28">
      <w:pPr>
        <w:spacing w:line="440" w:lineRule="exact"/>
        <w:ind w:firstLine="789"/>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5.4</w:t>
      </w:r>
      <w:r>
        <w:rPr>
          <w:rFonts w:hint="eastAsia" w:ascii="宋体" w:hAnsi="宋体" w:cs="宋体"/>
          <w:bCs/>
          <w:color w:val="000000" w:themeColor="text1"/>
          <w:sz w:val="24"/>
          <w:szCs w:val="24"/>
          <w:highlight w:val="none"/>
          <w14:textFill>
            <w14:solidFill>
              <w14:schemeClr w14:val="tx1"/>
            </w14:solidFill>
          </w14:textFill>
        </w:rPr>
        <w:t>评委会将对确定为实质性响应的投标进行进一步审核，看其是否有计算上或累加上的算术错误，修正错误的原则如下：</w:t>
      </w:r>
    </w:p>
    <w:p w14:paraId="5F034483">
      <w:pPr>
        <w:spacing w:line="440" w:lineRule="exact"/>
        <w:ind w:firstLine="789"/>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（1）投标文件中开标一览表内容与投标文件中相应内容不一致的，以开标一览表为准。</w:t>
      </w:r>
    </w:p>
    <w:p w14:paraId="34A64353">
      <w:pPr>
        <w:spacing w:line="440" w:lineRule="exact"/>
        <w:ind w:firstLine="789"/>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（2）大写金额和小写金额不一致的，以大写金额为准。</w:t>
      </w:r>
    </w:p>
    <w:p w14:paraId="0EAB1C2E">
      <w:pPr>
        <w:spacing w:line="440" w:lineRule="exact"/>
        <w:ind w:firstLine="789"/>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（3）单价金额小数点或者百分比有明显错位的，以开标一览表的总价为准，并修改单价。</w:t>
      </w:r>
    </w:p>
    <w:p w14:paraId="76C98600">
      <w:pPr>
        <w:spacing w:line="440" w:lineRule="exact"/>
        <w:ind w:firstLine="789"/>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（4）总价金额与按单价汇总金额不一致的，以单价金额计算结果为准。</w:t>
      </w:r>
    </w:p>
    <w:p w14:paraId="357DDCA7">
      <w:pPr>
        <w:spacing w:line="440" w:lineRule="exact"/>
        <w:ind w:firstLine="960"/>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同时出现两种以上错误的，按照前款规定的顺序修正。</w:t>
      </w:r>
    </w:p>
    <w:p w14:paraId="76315BFC">
      <w:pPr>
        <w:spacing w:line="440" w:lineRule="exact"/>
        <w:ind w:firstLine="789"/>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5.5</w:t>
      </w:r>
      <w:r>
        <w:rPr>
          <w:rFonts w:hint="eastAsia" w:ascii="宋体" w:hAnsi="宋体" w:cs="宋体"/>
          <w:bCs/>
          <w:color w:val="000000" w:themeColor="text1"/>
          <w:sz w:val="24"/>
          <w:szCs w:val="24"/>
          <w:highlight w:val="none"/>
          <w14:textFill>
            <w14:solidFill>
              <w14:schemeClr w14:val="tx1"/>
            </w14:solidFill>
          </w14:textFill>
        </w:rPr>
        <w:t>评委会将按上述修正错误的方法调整投标文件中的投标报价，并通过</w:t>
      </w:r>
      <w:r>
        <w:rPr>
          <w:rFonts w:hint="eastAsia" w:ascii="宋体" w:hAnsi="宋体" w:cs="宋体"/>
          <w:color w:val="000000" w:themeColor="text1"/>
          <w:sz w:val="24"/>
          <w:szCs w:val="24"/>
          <w:highlight w:val="none"/>
          <w14:textFill>
            <w14:solidFill>
              <w14:schemeClr w14:val="tx1"/>
            </w14:solidFill>
          </w14:textFill>
        </w:rPr>
        <w:t>苏采云系统</w:t>
      </w:r>
      <w:r>
        <w:rPr>
          <w:rFonts w:hint="eastAsia" w:ascii="宋体" w:hAnsi="宋体" w:cs="宋体"/>
          <w:bCs/>
          <w:color w:val="000000" w:themeColor="text1"/>
          <w:sz w:val="24"/>
          <w:szCs w:val="24"/>
          <w:highlight w:val="none"/>
          <w14:textFill>
            <w14:solidFill>
              <w14:schemeClr w14:val="tx1"/>
            </w14:solidFill>
          </w14:textFill>
        </w:rPr>
        <w:t>告知投标人，调整后的价格应对投标人具有约束力。如果投标人不接受修正后的价格，则其投标将被拒绝。</w:t>
      </w:r>
    </w:p>
    <w:p w14:paraId="73FC70B6">
      <w:pPr>
        <w:spacing w:line="440" w:lineRule="exact"/>
        <w:ind w:firstLine="789"/>
        <w:rPr>
          <w:rFonts w:ascii="宋体" w:hAnsi="宋体" w:cs="宋体"/>
          <w:color w:val="000000" w:themeColor="text1"/>
          <w:sz w:val="24"/>
          <w:szCs w:val="24"/>
          <w:highlight w:val="none"/>
          <w14:textFill>
            <w14:solidFill>
              <w14:schemeClr w14:val="tx1"/>
            </w14:solidFill>
          </w14:textFill>
        </w:rPr>
      </w:pPr>
      <w:bookmarkStart w:id="160" w:name="_Toc16938550"/>
      <w:bookmarkStart w:id="161" w:name="_Toc513029234"/>
      <w:bookmarkStart w:id="162" w:name="_Toc20823306"/>
      <w:r>
        <w:rPr>
          <w:rFonts w:hint="eastAsia" w:ascii="宋体" w:hAnsi="宋体" w:cs="宋体"/>
          <w:color w:val="000000" w:themeColor="text1"/>
          <w:sz w:val="24"/>
          <w:szCs w:val="24"/>
          <w:highlight w:val="none"/>
          <w14:textFill>
            <w14:solidFill>
              <w14:schemeClr w14:val="tx1"/>
            </w14:solidFill>
          </w14:textFill>
        </w:rPr>
        <w:t>5.6使用综合评分法的采购项目，评委会将对通过资格性和符合性检查的投标人进行综合评审，按评审后得分由高到低顺序排列。评审得分相同的，由</w:t>
      </w:r>
      <w:r>
        <w:rPr>
          <w:rFonts w:hint="eastAsia" w:ascii="宋体" w:hAnsi="宋体" w:cs="宋体"/>
          <w:bCs/>
          <w:color w:val="000000" w:themeColor="text1"/>
          <w:sz w:val="24"/>
          <w:szCs w:val="24"/>
          <w:highlight w:val="none"/>
          <w14:textFill>
            <w14:solidFill>
              <w14:schemeClr w14:val="tx1"/>
            </w14:solidFill>
          </w14:textFill>
        </w:rPr>
        <w:t>评委会</w:t>
      </w:r>
      <w:r>
        <w:rPr>
          <w:rFonts w:hint="eastAsia" w:ascii="宋体" w:hAnsi="宋体" w:cs="宋体"/>
          <w:color w:val="000000" w:themeColor="text1"/>
          <w:sz w:val="24"/>
          <w:szCs w:val="24"/>
          <w:highlight w:val="none"/>
          <w14:textFill>
            <w14:solidFill>
              <w14:schemeClr w14:val="tx1"/>
            </w14:solidFill>
          </w14:textFill>
        </w:rPr>
        <w:t>根据招标文件规定的方式（招标文件未规定的采取随机抽取的方式）确定一个中标候选人。</w:t>
      </w:r>
    </w:p>
    <w:p w14:paraId="6B82DB44">
      <w:pPr>
        <w:spacing w:line="440" w:lineRule="exact"/>
        <w:ind w:firstLine="789"/>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5.7投标人在开、评标全过程中应保持通讯畅通，及时登录苏采云系统查阅、答复相关信息，并安排专人与代理机构及</w:t>
      </w:r>
      <w:r>
        <w:rPr>
          <w:rFonts w:hint="eastAsia" w:ascii="宋体" w:hAnsi="宋体" w:cs="宋体"/>
          <w:bCs/>
          <w:color w:val="000000" w:themeColor="text1"/>
          <w:sz w:val="24"/>
          <w:szCs w:val="24"/>
          <w:highlight w:val="none"/>
          <w14:textFill>
            <w14:solidFill>
              <w14:schemeClr w14:val="tx1"/>
            </w14:solidFill>
          </w14:textFill>
        </w:rPr>
        <w:t>评委会</w:t>
      </w:r>
      <w:r>
        <w:rPr>
          <w:rFonts w:hint="eastAsia" w:ascii="宋体" w:hAnsi="宋体" w:cs="宋体"/>
          <w:color w:val="000000" w:themeColor="text1"/>
          <w:sz w:val="24"/>
          <w:szCs w:val="24"/>
          <w:highlight w:val="none"/>
          <w14:textFill>
            <w14:solidFill>
              <w14:schemeClr w14:val="tx1"/>
            </w14:solidFill>
          </w14:textFill>
        </w:rPr>
        <w:t>联系。</w:t>
      </w:r>
    </w:p>
    <w:p w14:paraId="38A63D81">
      <w:pPr>
        <w:keepNext/>
        <w:keepLines/>
        <w:spacing w:line="440" w:lineRule="exact"/>
        <w:ind w:firstLine="480"/>
        <w:outlineLvl w:val="3"/>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6</w:t>
      </w:r>
      <w:bookmarkEnd w:id="160"/>
      <w:bookmarkEnd w:id="161"/>
      <w:bookmarkEnd w:id="162"/>
      <w:r>
        <w:rPr>
          <w:rFonts w:hint="eastAsia" w:ascii="宋体" w:hAnsi="宋体" w:cs="宋体"/>
          <w:color w:val="000000" w:themeColor="text1"/>
          <w:sz w:val="24"/>
          <w:szCs w:val="24"/>
          <w:highlight w:val="none"/>
          <w14:textFill>
            <w14:solidFill>
              <w14:schemeClr w14:val="tx1"/>
            </w14:solidFill>
          </w14:textFill>
        </w:rPr>
        <w:t>.无效投标条款和废标条款</w:t>
      </w:r>
    </w:p>
    <w:p w14:paraId="7A71553E">
      <w:pPr>
        <w:spacing w:line="440" w:lineRule="exact"/>
        <w:ind w:firstLine="789"/>
        <w:rPr>
          <w:rFonts w:ascii="宋体" w:hAnsi="宋体" w:cs="宋体"/>
          <w:color w:val="000000" w:themeColor="text1"/>
          <w:sz w:val="24"/>
          <w:szCs w:val="24"/>
          <w:highlight w:val="none"/>
          <w14:textFill>
            <w14:solidFill>
              <w14:schemeClr w14:val="tx1"/>
            </w14:solidFill>
          </w14:textFill>
        </w:rPr>
      </w:pPr>
      <w:bookmarkStart w:id="163" w:name="_Toc20823307"/>
      <w:bookmarkStart w:id="164" w:name="_Toc16938551"/>
      <w:bookmarkStart w:id="165" w:name="_Toc513029235"/>
      <w:r>
        <w:rPr>
          <w:rFonts w:hint="eastAsia" w:ascii="宋体" w:hAnsi="宋体" w:cs="宋体"/>
          <w:color w:val="000000" w:themeColor="text1"/>
          <w:sz w:val="24"/>
          <w:szCs w:val="24"/>
          <w:highlight w:val="none"/>
          <w14:textFill>
            <w14:solidFill>
              <w14:schemeClr w14:val="tx1"/>
            </w14:solidFill>
          </w14:textFill>
        </w:rPr>
        <w:t>6.1无效投标条款</w:t>
      </w:r>
    </w:p>
    <w:p w14:paraId="03F17EFA">
      <w:pPr>
        <w:spacing w:line="440" w:lineRule="exact"/>
        <w:ind w:firstLine="1027"/>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6.1.1 投标人在苏采云系统规定的时间内未成功解密电子投标文件的。</w:t>
      </w:r>
    </w:p>
    <w:p w14:paraId="24EB4E9D">
      <w:pPr>
        <w:spacing w:line="440" w:lineRule="exact"/>
        <w:ind w:firstLine="1027"/>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6.1.2 投标人未按照招标文件要求上传电子投标文件的。</w:t>
      </w:r>
    </w:p>
    <w:p w14:paraId="63A2571A">
      <w:pPr>
        <w:spacing w:line="440" w:lineRule="exact"/>
        <w:ind w:firstLine="1027"/>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6.1.3同一投标人提交两个（含两个）以上不同的投标报价的。</w:t>
      </w:r>
    </w:p>
    <w:p w14:paraId="03CF7C49">
      <w:pPr>
        <w:spacing w:line="440" w:lineRule="exact"/>
        <w:ind w:firstLine="1027"/>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6.1.4投标人不具备招标文件中规定资格要求的。</w:t>
      </w:r>
    </w:p>
    <w:p w14:paraId="69A3F8FD">
      <w:pPr>
        <w:spacing w:line="440" w:lineRule="exact"/>
        <w:ind w:firstLine="1027"/>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6.1.5投标人的报价超过了采购预算或最高限价的。</w:t>
      </w:r>
    </w:p>
    <w:p w14:paraId="024BE6D6">
      <w:pPr>
        <w:spacing w:line="440" w:lineRule="exact"/>
        <w:ind w:firstLine="1027"/>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6.1.6未通过符合性审查的。</w:t>
      </w:r>
    </w:p>
    <w:p w14:paraId="36864709">
      <w:pPr>
        <w:spacing w:line="440" w:lineRule="exact"/>
        <w:ind w:firstLine="1027"/>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6.1.7不符合招标文件中规定的实质性要求和条件的</w:t>
      </w:r>
      <w:r>
        <w:rPr>
          <w:rFonts w:hint="eastAsia" w:ascii="宋体" w:hAnsi="宋体"/>
          <w:bCs/>
          <w:color w:val="000000" w:themeColor="text1"/>
          <w:sz w:val="24"/>
          <w:szCs w:val="21"/>
          <w:highlight w:val="none"/>
          <w14:textFill>
            <w14:solidFill>
              <w14:schemeClr w14:val="tx1"/>
            </w14:solidFill>
          </w14:textFill>
        </w:rPr>
        <w:t>（</w:t>
      </w:r>
      <w:r>
        <w:rPr>
          <w:rFonts w:hint="eastAsia" w:ascii="宋体" w:hAnsi="宋体"/>
          <w:bCs/>
          <w:i/>
          <w:color w:val="000000" w:themeColor="text1"/>
          <w:sz w:val="24"/>
          <w:szCs w:val="21"/>
          <w:highlight w:val="none"/>
          <w:u w:val="single"/>
          <w14:textFill>
            <w14:solidFill>
              <w14:schemeClr w14:val="tx1"/>
            </w14:solidFill>
          </w14:textFill>
        </w:rPr>
        <w:t>本招标文件中斜体且有下划线部分为实质性要求和条件）</w:t>
      </w:r>
      <w:r>
        <w:rPr>
          <w:rFonts w:hint="eastAsia" w:ascii="宋体" w:hAnsi="宋体" w:cs="宋体"/>
          <w:bCs/>
          <w:color w:val="000000" w:themeColor="text1"/>
          <w:sz w:val="24"/>
          <w:szCs w:val="24"/>
          <w:highlight w:val="none"/>
          <w14:textFill>
            <w14:solidFill>
              <w14:schemeClr w14:val="tx1"/>
            </w14:solidFill>
          </w14:textFill>
        </w:rPr>
        <w:t>。</w:t>
      </w:r>
    </w:p>
    <w:p w14:paraId="6D787C2B">
      <w:pPr>
        <w:spacing w:line="440" w:lineRule="exact"/>
        <w:ind w:firstLine="1027"/>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6.1.8 投标人在中国政府采购网、信用中国网站、信用江苏网站、信用中国（江苏苏州）网站存在下列依法拒绝投标人参加政府采购的失信信息的。</w:t>
      </w:r>
    </w:p>
    <w:p w14:paraId="423FFCE4">
      <w:pPr>
        <w:spacing w:line="440" w:lineRule="exact"/>
        <w:ind w:firstLine="72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（1）政府采购严重违法记录，即投标人被全国各级财政部门列入“政府采购严重违法失信行为记录名单”，且在处罚有效期内的。</w:t>
      </w:r>
    </w:p>
    <w:p w14:paraId="2DEBFA68">
      <w:pPr>
        <w:spacing w:line="440" w:lineRule="exact"/>
        <w:ind w:firstLine="72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财政部门与法院、工商、税务等部门联合惩戒的失信信息，包括：1）被列入失信被执行人名单；2）被列入重大税收违法案件当事人名单；3）企业经营异常名录中被责令停产停业、暂扣或者吊销许可证或者执照，或者对经营活动中的违法行为处以较大数额罚款（较大数额罚款为200万元以上的罚款，法律、行政法规以及国务院有关部门明确规定相关领域“较大数额罚款”标准高于200万元的，从其规定。）的信用记录。处罚生效日至提交投标文件日未满三年的。</w:t>
      </w:r>
    </w:p>
    <w:p w14:paraId="5E2AEFD1">
      <w:pPr>
        <w:spacing w:line="440" w:lineRule="exact"/>
        <w:ind w:firstLine="1027"/>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6.1.9  投标文件含有采购人不能接受的附加条件的。</w:t>
      </w:r>
    </w:p>
    <w:p w14:paraId="5366DB52">
      <w:pPr>
        <w:spacing w:line="440" w:lineRule="exact"/>
        <w:ind w:firstLine="1027"/>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6.1.10评标委员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标委员会应当将其作为无效投标处理。</w:t>
      </w:r>
    </w:p>
    <w:p w14:paraId="218D3686">
      <w:pPr>
        <w:spacing w:line="440" w:lineRule="exact"/>
        <w:ind w:firstLine="1027"/>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6.1.11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p>
    <w:p w14:paraId="250ED915">
      <w:pPr>
        <w:spacing w:line="440" w:lineRule="exact"/>
        <w:ind w:firstLine="1027"/>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6.1.12 投标文件未按照招标文件要求加盖CA电子公章的。</w:t>
      </w:r>
    </w:p>
    <w:p w14:paraId="74089511">
      <w:pPr>
        <w:spacing w:line="440" w:lineRule="exact"/>
        <w:ind w:firstLine="1027"/>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6.1.13其他法律、法规及本招标文件规定的属无效投标的情形。</w:t>
      </w:r>
    </w:p>
    <w:p w14:paraId="46298FDC">
      <w:pPr>
        <w:spacing w:line="440" w:lineRule="exact"/>
        <w:ind w:left="479" w:firstLine="240"/>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6.2废标条款</w:t>
      </w:r>
    </w:p>
    <w:p w14:paraId="5C0B0544">
      <w:pPr>
        <w:spacing w:line="440" w:lineRule="exact"/>
        <w:ind w:left="479" w:firstLine="480"/>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6.2.1符合专业条件的供应商或者对招标文件作实质响应的供应商不足三家的。</w:t>
      </w:r>
    </w:p>
    <w:p w14:paraId="4EA20B72">
      <w:pPr>
        <w:spacing w:line="440" w:lineRule="exact"/>
        <w:ind w:left="479" w:firstLine="480"/>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6.2.2出现影响采购公正的违法、违规行为的。</w:t>
      </w:r>
    </w:p>
    <w:p w14:paraId="0B68D81A">
      <w:pPr>
        <w:spacing w:line="440" w:lineRule="exact"/>
        <w:ind w:left="479" w:firstLine="480"/>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6.2.3因重大变故，采购任务取消的。</w:t>
      </w:r>
    </w:p>
    <w:p w14:paraId="7355F388">
      <w:pPr>
        <w:spacing w:line="440" w:lineRule="exact"/>
        <w:ind w:left="479" w:firstLine="480"/>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6.2.4评标委员会认定招标文件存在歧义、重大缺陷导致评审工作无法进行。</w:t>
      </w:r>
    </w:p>
    <w:p w14:paraId="61B5D54A">
      <w:pPr>
        <w:spacing w:line="440" w:lineRule="exact"/>
        <w:ind w:left="479" w:firstLine="480"/>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6.2.5 因</w:t>
      </w:r>
      <w:r>
        <w:rPr>
          <w:rFonts w:hint="eastAsia" w:ascii="宋体" w:hAnsi="宋体" w:cs="宋体"/>
          <w:color w:val="000000" w:themeColor="text1"/>
          <w:sz w:val="24"/>
          <w:szCs w:val="24"/>
          <w:highlight w:val="none"/>
          <w14:textFill>
            <w14:solidFill>
              <w14:schemeClr w14:val="tx1"/>
            </w14:solidFill>
          </w14:textFill>
        </w:rPr>
        <w:t>苏采云系统</w:t>
      </w:r>
      <w:r>
        <w:rPr>
          <w:rFonts w:hint="eastAsia" w:ascii="宋体" w:hAnsi="宋体" w:cs="宋体"/>
          <w:bCs/>
          <w:color w:val="000000" w:themeColor="text1"/>
          <w:sz w:val="24"/>
          <w:szCs w:val="24"/>
          <w:highlight w:val="none"/>
          <w14:textFill>
            <w14:solidFill>
              <w14:schemeClr w14:val="tx1"/>
            </w14:solidFill>
          </w14:textFill>
        </w:rPr>
        <w:t>系统故障原因造成开标不成功的。</w:t>
      </w:r>
    </w:p>
    <w:p w14:paraId="06D86CA5">
      <w:pPr>
        <w:spacing w:line="440" w:lineRule="exact"/>
        <w:ind w:left="479" w:firstLine="240"/>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6.3 投标截止时间结束后参加投标的供应商不足三家的处理：</w:t>
      </w:r>
    </w:p>
    <w:p w14:paraId="531B02D1">
      <w:pPr>
        <w:spacing w:line="440" w:lineRule="exact"/>
        <w:ind w:firstLine="1027"/>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6.3.1如出现投标截止时间结束后参加投标的供应商或者在评标期间对招标文件做出实质响应的供应商不足三家情况，按政府采购相关规定执行。</w:t>
      </w:r>
    </w:p>
    <w:p w14:paraId="3FE076BE">
      <w:pPr>
        <w:keepNext/>
        <w:keepLines/>
        <w:spacing w:line="440" w:lineRule="exact"/>
        <w:ind w:firstLine="562"/>
        <w:outlineLvl w:val="1"/>
        <w:rPr>
          <w:rFonts w:ascii="宋体" w:hAnsi="宋体" w:cs="宋体"/>
          <w:b/>
          <w:bCs/>
          <w:color w:val="000000" w:themeColor="text1"/>
          <w:sz w:val="28"/>
          <w:szCs w:val="28"/>
          <w:highlight w:val="none"/>
          <w14:textFill>
            <w14:solidFill>
              <w14:schemeClr w14:val="tx1"/>
            </w14:solidFill>
          </w14:textFill>
        </w:rPr>
      </w:pPr>
      <w:bookmarkStart w:id="166" w:name="_Toc120614219"/>
      <w:bookmarkStart w:id="167" w:name="_Toc11988"/>
      <w:r>
        <w:rPr>
          <w:rFonts w:hint="eastAsia" w:ascii="宋体" w:hAnsi="宋体" w:cs="宋体"/>
          <w:b/>
          <w:bCs/>
          <w:color w:val="000000" w:themeColor="text1"/>
          <w:sz w:val="28"/>
          <w:szCs w:val="28"/>
          <w:highlight w:val="none"/>
          <w14:textFill>
            <w14:solidFill>
              <w14:schemeClr w14:val="tx1"/>
            </w14:solidFill>
          </w14:textFill>
        </w:rPr>
        <w:t>六、</w:t>
      </w:r>
      <w:bookmarkEnd w:id="163"/>
      <w:bookmarkEnd w:id="164"/>
      <w:bookmarkEnd w:id="165"/>
      <w:r>
        <w:rPr>
          <w:rFonts w:hint="eastAsia" w:ascii="宋体" w:hAnsi="宋体" w:cs="宋体"/>
          <w:b/>
          <w:bCs/>
          <w:color w:val="000000" w:themeColor="text1"/>
          <w:sz w:val="28"/>
          <w:szCs w:val="28"/>
          <w:highlight w:val="none"/>
          <w14:textFill>
            <w14:solidFill>
              <w14:schemeClr w14:val="tx1"/>
            </w14:solidFill>
          </w14:textFill>
        </w:rPr>
        <w:t>定标</w:t>
      </w:r>
      <w:bookmarkEnd w:id="166"/>
      <w:bookmarkEnd w:id="167"/>
    </w:p>
    <w:p w14:paraId="62A5D301">
      <w:pPr>
        <w:keepNext/>
        <w:keepLines/>
        <w:spacing w:line="440" w:lineRule="exact"/>
        <w:ind w:firstLine="480"/>
        <w:outlineLvl w:val="3"/>
        <w:rPr>
          <w:rFonts w:ascii="宋体" w:hAnsi="宋体" w:cs="宋体"/>
          <w:bCs/>
          <w:color w:val="000000" w:themeColor="text1"/>
          <w:sz w:val="24"/>
          <w:szCs w:val="24"/>
          <w:highlight w:val="none"/>
          <w14:textFill>
            <w14:solidFill>
              <w14:schemeClr w14:val="tx1"/>
            </w14:solidFill>
          </w14:textFill>
        </w:rPr>
      </w:pPr>
      <w:bookmarkStart w:id="168" w:name="_Toc513029238"/>
      <w:bookmarkStart w:id="169" w:name="_Toc20823310"/>
      <w:bookmarkStart w:id="170" w:name="_Toc16938554"/>
      <w:r>
        <w:rPr>
          <w:rFonts w:hint="eastAsia" w:ascii="宋体" w:hAnsi="宋体" w:cs="宋体"/>
          <w:bCs/>
          <w:color w:val="000000" w:themeColor="text1"/>
          <w:sz w:val="24"/>
          <w:szCs w:val="24"/>
          <w:highlight w:val="none"/>
          <w14:textFill>
            <w14:solidFill>
              <w14:schemeClr w14:val="tx1"/>
            </w14:solidFill>
          </w14:textFill>
        </w:rPr>
        <w:t>1、</w:t>
      </w:r>
      <w:bookmarkEnd w:id="168"/>
      <w:r>
        <w:rPr>
          <w:rFonts w:hint="eastAsia" w:ascii="宋体" w:hAnsi="宋体" w:cs="宋体"/>
          <w:bCs/>
          <w:color w:val="000000" w:themeColor="text1"/>
          <w:sz w:val="24"/>
          <w:szCs w:val="24"/>
          <w:highlight w:val="none"/>
          <w14:textFill>
            <w14:solidFill>
              <w14:schemeClr w14:val="tx1"/>
            </w14:solidFill>
          </w14:textFill>
        </w:rPr>
        <w:t>确定</w:t>
      </w:r>
      <w:bookmarkEnd w:id="169"/>
      <w:bookmarkEnd w:id="170"/>
      <w:r>
        <w:rPr>
          <w:rFonts w:hint="eastAsia" w:ascii="宋体" w:hAnsi="宋体" w:cs="宋体"/>
          <w:bCs/>
          <w:color w:val="000000" w:themeColor="text1"/>
          <w:sz w:val="24"/>
          <w:szCs w:val="24"/>
          <w:highlight w:val="none"/>
          <w14:textFill>
            <w14:solidFill>
              <w14:schemeClr w14:val="tx1"/>
            </w14:solidFill>
          </w14:textFill>
        </w:rPr>
        <w:t>中标单位</w:t>
      </w:r>
    </w:p>
    <w:p w14:paraId="63883C0C">
      <w:pPr>
        <w:spacing w:line="440" w:lineRule="exact"/>
        <w:ind w:firstLine="789"/>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1.1中标候选人的选取原则和数量见招标文件第五章规定。 </w:t>
      </w:r>
    </w:p>
    <w:p w14:paraId="401880DB">
      <w:pPr>
        <w:spacing w:line="440" w:lineRule="exact"/>
        <w:ind w:firstLine="789"/>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1.2 采购人应根据评委会推荐的中标候选人确定中标人。</w:t>
      </w:r>
    </w:p>
    <w:p w14:paraId="68F89DB3">
      <w:pPr>
        <w:spacing w:line="440" w:lineRule="exact"/>
        <w:ind w:firstLine="789"/>
        <w:rPr>
          <w:rFonts w:ascii="宋体" w:hAnsi="宋体" w:cs="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1.3 </w:t>
      </w:r>
      <w:r>
        <w:rPr>
          <w:rFonts w:hint="eastAsia" w:ascii="宋体" w:hAnsi="宋体" w:cs="宋体"/>
          <w:color w:val="000000" w:themeColor="text1"/>
          <w:sz w:val="24"/>
          <w:szCs w:val="24"/>
          <w:highlight w:val="none"/>
          <w14:textFill>
            <w14:solidFill>
              <w14:schemeClr w14:val="tx1"/>
            </w14:solidFill>
          </w14:textFill>
        </w:rPr>
        <w:t>代理机构将在指定媒体上发布中标公告，公告期限为1个工作日。</w:t>
      </w:r>
    </w:p>
    <w:p w14:paraId="4E779F32">
      <w:pPr>
        <w:spacing w:line="440" w:lineRule="exact"/>
        <w:ind w:firstLine="789"/>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1.4  若有充分证据证明，中标人出现下列情况之一的，一经查实，将被取消中标资格：</w:t>
      </w:r>
    </w:p>
    <w:p w14:paraId="6C3EF3AF">
      <w:pPr>
        <w:spacing w:line="440" w:lineRule="exact"/>
        <w:ind w:firstLine="1027"/>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1.4.1提供虚假材料谋取中标的。</w:t>
      </w:r>
    </w:p>
    <w:p w14:paraId="6540AA23">
      <w:pPr>
        <w:spacing w:line="440" w:lineRule="exact"/>
        <w:ind w:firstLine="1027"/>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1.4.2向采购人、代理机构行贿或者提供其他不正当利益的。</w:t>
      </w:r>
    </w:p>
    <w:p w14:paraId="7034F96D">
      <w:pPr>
        <w:spacing w:line="440" w:lineRule="exact"/>
        <w:ind w:firstLine="1027"/>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1.4.3属于本文件规定的无效条件，但在评标过程中又未被评委会发现的。</w:t>
      </w:r>
    </w:p>
    <w:p w14:paraId="52B1E341">
      <w:pPr>
        <w:spacing w:line="440" w:lineRule="exact"/>
        <w:ind w:firstLine="1027"/>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1.4.4与采购人或者其他供应商恶意串通的。</w:t>
      </w:r>
    </w:p>
    <w:p w14:paraId="43DB6F2E">
      <w:pPr>
        <w:spacing w:line="440" w:lineRule="exact"/>
        <w:ind w:firstLine="1027"/>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1.4.5采取不正当手段诋毁、排挤其他供应商的。</w:t>
      </w:r>
    </w:p>
    <w:p w14:paraId="077D5F43">
      <w:pPr>
        <w:spacing w:line="440" w:lineRule="exact"/>
        <w:ind w:firstLine="789"/>
        <w:rPr>
          <w:rFonts w:ascii="宋体" w:hAnsi="宋体" w:cs="宋体"/>
          <w:color w:val="000000" w:themeColor="text1"/>
          <w:sz w:val="24"/>
          <w:szCs w:val="24"/>
          <w:highlight w:val="none"/>
          <w14:textFill>
            <w14:solidFill>
              <w14:schemeClr w14:val="tx1"/>
            </w14:solidFill>
          </w14:textFill>
        </w:rPr>
      </w:pPr>
      <w:bookmarkStart w:id="171" w:name="_Toc200451960"/>
      <w:r>
        <w:rPr>
          <w:rFonts w:hint="eastAsia" w:ascii="宋体" w:hAnsi="宋体" w:cs="宋体"/>
          <w:color w:val="000000" w:themeColor="text1"/>
          <w:sz w:val="24"/>
          <w:szCs w:val="24"/>
          <w:highlight w:val="none"/>
          <w14:textFill>
            <w14:solidFill>
              <w14:schemeClr w14:val="tx1"/>
            </w14:solidFill>
          </w14:textFill>
        </w:rPr>
        <w:t>1.5. 有下列情形之一的，视为投标人串通投标，投标无效：</w:t>
      </w:r>
    </w:p>
    <w:p w14:paraId="7D3E5ECF">
      <w:pPr>
        <w:spacing w:line="440" w:lineRule="exact"/>
        <w:ind w:firstLine="1027"/>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1.5.1不同投标人的投标文件由同一单位或者个人编制；</w:t>
      </w:r>
    </w:p>
    <w:p w14:paraId="4BC04AF2">
      <w:pPr>
        <w:spacing w:line="440" w:lineRule="exact"/>
        <w:ind w:firstLine="1027"/>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1.5.2不同投标人委托同一单位或者个人办理投标事宜；</w:t>
      </w:r>
    </w:p>
    <w:p w14:paraId="45674C68">
      <w:pPr>
        <w:spacing w:line="440" w:lineRule="exact"/>
        <w:ind w:firstLine="1027"/>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1.5.3 不同投标人的投标文件载明的项目管理成员或者联系人员为同一人；</w:t>
      </w:r>
    </w:p>
    <w:p w14:paraId="050B1A6B">
      <w:pPr>
        <w:spacing w:line="440" w:lineRule="exact"/>
        <w:ind w:firstLine="1027"/>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1.5.4不同投标人的投标文件异常一致或者投标报价呈规律性差异；</w:t>
      </w:r>
    </w:p>
    <w:p w14:paraId="3D6B6D8C">
      <w:pPr>
        <w:keepNext/>
        <w:keepLines/>
        <w:spacing w:line="440" w:lineRule="exact"/>
        <w:ind w:firstLine="480"/>
        <w:outlineLvl w:val="3"/>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2、质疑处理</w:t>
      </w:r>
      <w:bookmarkEnd w:id="171"/>
    </w:p>
    <w:p w14:paraId="1CAA7673">
      <w:pPr>
        <w:spacing w:line="440" w:lineRule="exact"/>
        <w:ind w:firstLine="789"/>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2.1 提出质疑的供应商应当是参与所质疑项目采购活动的供应商。潜在供应商依法获取其可质疑的采购文件的，可以对采购文件提出质疑。请将</w:t>
      </w:r>
      <w:bookmarkStart w:id="172" w:name="_Hlk98510751"/>
      <w:r>
        <w:rPr>
          <w:rFonts w:hint="eastAsia" w:ascii="宋体" w:hAnsi="宋体" w:cs="宋体"/>
          <w:color w:val="000000" w:themeColor="text1"/>
          <w:sz w:val="24"/>
          <w:szCs w:val="24"/>
          <w:highlight w:val="none"/>
          <w14:textFill>
            <w14:solidFill>
              <w14:schemeClr w14:val="tx1"/>
            </w14:solidFill>
          </w14:textFill>
        </w:rPr>
        <w:t>获取采购文件后打印留存的《投标供应商确认函》等</w:t>
      </w:r>
      <w:bookmarkEnd w:id="172"/>
      <w:r>
        <w:rPr>
          <w:rFonts w:hint="eastAsia" w:ascii="宋体" w:hAnsi="宋体" w:cs="宋体"/>
          <w:color w:val="000000" w:themeColor="text1"/>
          <w:sz w:val="24"/>
          <w:szCs w:val="24"/>
          <w:highlight w:val="none"/>
          <w14:textFill>
            <w14:solidFill>
              <w14:schemeClr w14:val="tx1"/>
            </w14:solidFill>
          </w14:textFill>
        </w:rPr>
        <w:t>必要的证明材料与质疑函一起递交，否则不予受理。</w:t>
      </w:r>
    </w:p>
    <w:p w14:paraId="3D81ED52">
      <w:pPr>
        <w:spacing w:line="440" w:lineRule="exact"/>
        <w:ind w:firstLine="789"/>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2.2供应商认为采购文件、采购过程和采购结果使自己的权益受到损害的，可以在知道或应知其权益受到损害之日起七个工作日内，以书面形式提出质疑。上述应知其权益受到损害之日，是指：</w:t>
      </w:r>
    </w:p>
    <w:p w14:paraId="3B2A7083">
      <w:pPr>
        <w:spacing w:line="440" w:lineRule="exact"/>
        <w:ind w:firstLine="1027"/>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2.2.1对可以质疑的采购文件提出质疑的，为收到采购文件之日或者采购文件公告期限届满之日；</w:t>
      </w:r>
    </w:p>
    <w:p w14:paraId="5D2E44D3">
      <w:pPr>
        <w:spacing w:line="440" w:lineRule="exact"/>
        <w:ind w:firstLine="1027"/>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2.2.2对采购过程提出质疑的，为各采购程序环节结束之日；</w:t>
      </w:r>
    </w:p>
    <w:p w14:paraId="756B5515">
      <w:pPr>
        <w:spacing w:line="440" w:lineRule="exact"/>
        <w:ind w:firstLine="1027"/>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2.2.3对中标或者成交结果提出质疑的，为中标或者成交结果公告期限届满之日。</w:t>
      </w:r>
    </w:p>
    <w:p w14:paraId="7B7EC7D4">
      <w:pPr>
        <w:spacing w:line="440" w:lineRule="exact"/>
        <w:ind w:firstLine="1027"/>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供应商应当在法定质疑期内一次性提出针对同一采购程序环节的质疑。供应商如在法定期限内对同一采购程序环节提出多次质疑的，代理机构、采购人将只对供应商第一次质疑作出答复。</w:t>
      </w:r>
    </w:p>
    <w:p w14:paraId="168F528E">
      <w:pPr>
        <w:spacing w:line="440" w:lineRule="exact"/>
        <w:ind w:firstLine="789"/>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2.3质疑函必须按照本招标文件中《质疑函范本》要求的格式和内容进行填写。供应商如组成联合体参加投标，则《质疑函范本》中要求签字、盖章、加盖公章之处，联合体各方均须按要求签字、盖章、加盖公章。</w:t>
      </w:r>
    </w:p>
    <w:p w14:paraId="52D3B763">
      <w:pPr>
        <w:pBdr>
          <w:top w:val="none" w:color="000000" w:sz="0" w:space="0"/>
          <w:left w:val="none" w:color="000000" w:sz="0" w:space="0"/>
          <w:bottom w:val="none" w:color="000000" w:sz="0" w:space="0"/>
          <w:right w:val="none" w:color="000000" w:sz="0" w:space="0"/>
        </w:pBdr>
        <w:spacing w:line="440" w:lineRule="exact"/>
        <w:ind w:firstLine="787"/>
        <w:rPr>
          <w:rFonts w:ascii="宋体" w:hAnsi="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2.4代理机构只接收以纸质原件形式送达的质疑</w:t>
      </w:r>
      <w:r>
        <w:rPr>
          <w:rFonts w:hint="eastAsia" w:ascii="宋体" w:hAnsi="宋体" w:cs="宋体"/>
          <w:b/>
          <w:bCs/>
          <w:color w:val="000000" w:themeColor="text1"/>
          <w:sz w:val="24"/>
          <w:szCs w:val="24"/>
          <w:highlight w:val="none"/>
          <w14:textFill>
            <w14:solidFill>
              <w14:schemeClr w14:val="tx1"/>
            </w14:solidFill>
          </w14:textFill>
        </w:rPr>
        <w:t>（采购人和代理机构不接受未填写快递运单的快件），</w:t>
      </w:r>
      <w:r>
        <w:rPr>
          <w:rFonts w:hint="eastAsia" w:ascii="宋体" w:hAnsi="宋体" w:cs="宋体"/>
          <w:color w:val="000000" w:themeColor="text1"/>
          <w:sz w:val="24"/>
          <w:highlight w:val="none"/>
          <w14:textFill>
            <w14:solidFill>
              <w14:schemeClr w14:val="tx1"/>
            </w14:solidFill>
          </w14:textFill>
        </w:rPr>
        <w:t>质疑接收单位为苏州新一造价师价格事务所有限公司，联系地址：常熟市九里大街5号三楼，联系人：韩忆程，联系电话：189 1565 5067</w:t>
      </w:r>
      <w:r>
        <w:rPr>
          <w:rFonts w:ascii="宋体" w:hAnsi="宋体" w:cs="宋体"/>
          <w:color w:val="000000" w:themeColor="text1"/>
          <w:sz w:val="24"/>
          <w:highlight w:val="none"/>
          <w14:textFill>
            <w14:solidFill>
              <w14:schemeClr w14:val="tx1"/>
            </w14:solidFill>
          </w14:textFill>
        </w:rPr>
        <w:t>。潜在投标人提出书面质疑必须有理、有据，不得捏造事实、提供虚假材料进行恶意质疑。否则，一经查实，将报请监管部门对该供应商进行相应的处罚。</w:t>
      </w:r>
    </w:p>
    <w:p w14:paraId="7D6E4523">
      <w:pPr>
        <w:spacing w:line="440" w:lineRule="exact"/>
        <w:ind w:firstLine="789"/>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2.5 以下情形的质疑不予受理</w:t>
      </w:r>
    </w:p>
    <w:p w14:paraId="217EEA34">
      <w:pPr>
        <w:spacing w:line="440" w:lineRule="exact"/>
        <w:ind w:firstLine="1027"/>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2.5.1 内容不符合《政府采购质疑和投诉办法》第十二条规定的质疑。</w:t>
      </w:r>
    </w:p>
    <w:p w14:paraId="456A0AD4">
      <w:pPr>
        <w:spacing w:line="440" w:lineRule="exact"/>
        <w:ind w:firstLine="1027"/>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2.5.2 超出政府采购法定期限的质疑。</w:t>
      </w:r>
    </w:p>
    <w:p w14:paraId="7D128200">
      <w:pPr>
        <w:spacing w:line="440" w:lineRule="exact"/>
        <w:ind w:firstLine="1027"/>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2.5.3 以传真、电子邮件等方式递交的非原件形式的质疑。</w:t>
      </w:r>
    </w:p>
    <w:p w14:paraId="455085D1">
      <w:pPr>
        <w:spacing w:line="440" w:lineRule="exact"/>
        <w:ind w:firstLine="1027"/>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2.5.4 未参加投标活动的供应商或在投标活动中自身权益未受到损害的供应商所提出的质疑。</w:t>
      </w:r>
    </w:p>
    <w:p w14:paraId="0C962F37">
      <w:pPr>
        <w:spacing w:line="440" w:lineRule="exact"/>
        <w:ind w:firstLine="1027"/>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2.5.5供应商组成联合体参加投标，联合体中任何一方或多方未按要求签字、盖章、加盖公章的质疑。</w:t>
      </w:r>
    </w:p>
    <w:p w14:paraId="1C7D6189">
      <w:pPr>
        <w:spacing w:line="440" w:lineRule="exact"/>
        <w:ind w:firstLine="789"/>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2.6  供应商提出书面质疑必须有理、有据，不得捏造事实、提供虚假材料进行恶意质疑。否则一经查实，采购人和代理机构有权依据政府采购的有关规定，报请政府采购监管部门对该供应商进行相应的行政处罚和记录该供应商的失信信息。</w:t>
      </w:r>
    </w:p>
    <w:p w14:paraId="664A9220">
      <w:pPr>
        <w:keepNext/>
        <w:keepLines/>
        <w:spacing w:line="440" w:lineRule="exact"/>
        <w:ind w:firstLine="480"/>
        <w:outlineLvl w:val="3"/>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3、中标通知书</w:t>
      </w:r>
    </w:p>
    <w:p w14:paraId="027F8CEA">
      <w:pPr>
        <w:spacing w:line="440" w:lineRule="exact"/>
        <w:ind w:firstLine="789"/>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3.l</w:t>
      </w:r>
      <w:r>
        <w:rPr>
          <w:rFonts w:hint="eastAsia" w:ascii="宋体" w:hAnsi="宋体" w:cs="宋体"/>
          <w:b/>
          <w:color w:val="000000" w:themeColor="text1"/>
          <w:sz w:val="24"/>
          <w:szCs w:val="24"/>
          <w:highlight w:val="non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060BFEF0">
      <w:pPr>
        <w:spacing w:line="440" w:lineRule="exact"/>
        <w:ind w:firstLine="789"/>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3.2中标通知书将是合同的一个组成部分。对采购人和中标供应商均具有法律效力。中标通知书发出后，采购人改变中标结果的，或者中标供应商放弃中标项目的，应当依法承担法律责任。</w:t>
      </w:r>
    </w:p>
    <w:p w14:paraId="36E7EB31">
      <w:pPr>
        <w:keepNext/>
        <w:keepLines/>
        <w:spacing w:line="440" w:lineRule="exact"/>
        <w:ind w:firstLine="562"/>
        <w:outlineLvl w:val="1"/>
        <w:rPr>
          <w:rFonts w:ascii="宋体" w:hAnsi="宋体" w:cs="宋体"/>
          <w:b/>
          <w:bCs/>
          <w:color w:val="000000" w:themeColor="text1"/>
          <w:sz w:val="28"/>
          <w:szCs w:val="28"/>
          <w:highlight w:val="none"/>
          <w14:textFill>
            <w14:solidFill>
              <w14:schemeClr w14:val="tx1"/>
            </w14:solidFill>
          </w14:textFill>
        </w:rPr>
      </w:pPr>
      <w:bookmarkStart w:id="173" w:name="_Toc16938552"/>
      <w:bookmarkStart w:id="174" w:name="_Toc120614220"/>
      <w:bookmarkStart w:id="175" w:name="_Toc20823308"/>
      <w:bookmarkStart w:id="176" w:name="_Toc513029236"/>
      <w:bookmarkStart w:id="177" w:name="_Toc29256"/>
      <w:r>
        <w:rPr>
          <w:rFonts w:hint="eastAsia" w:ascii="宋体" w:hAnsi="宋体" w:cs="宋体"/>
          <w:b/>
          <w:bCs/>
          <w:color w:val="000000" w:themeColor="text1"/>
          <w:sz w:val="28"/>
          <w:szCs w:val="28"/>
          <w:highlight w:val="none"/>
          <w14:textFill>
            <w14:solidFill>
              <w14:schemeClr w14:val="tx1"/>
            </w14:solidFill>
          </w14:textFill>
        </w:rPr>
        <w:t>七、授予合同</w:t>
      </w:r>
      <w:bookmarkEnd w:id="173"/>
      <w:bookmarkEnd w:id="174"/>
      <w:bookmarkEnd w:id="175"/>
      <w:bookmarkEnd w:id="176"/>
      <w:bookmarkEnd w:id="177"/>
    </w:p>
    <w:p w14:paraId="141A13AA">
      <w:pPr>
        <w:keepNext/>
        <w:keepLines/>
        <w:spacing w:line="440" w:lineRule="exact"/>
        <w:ind w:firstLine="480"/>
        <w:outlineLvl w:val="3"/>
        <w:rPr>
          <w:rFonts w:ascii="宋体" w:hAnsi="宋体" w:cs="宋体"/>
          <w:bCs/>
          <w:color w:val="000000" w:themeColor="text1"/>
          <w:sz w:val="24"/>
          <w:szCs w:val="24"/>
          <w:highlight w:val="none"/>
          <w14:textFill>
            <w14:solidFill>
              <w14:schemeClr w14:val="tx1"/>
            </w14:solidFill>
          </w14:textFill>
        </w:rPr>
      </w:pPr>
      <w:bookmarkStart w:id="178" w:name="_Toc513029237"/>
      <w:bookmarkStart w:id="179" w:name="_Toc20823309"/>
      <w:bookmarkStart w:id="180" w:name="_Toc16938553"/>
      <w:r>
        <w:rPr>
          <w:rFonts w:hint="eastAsia" w:ascii="宋体" w:hAnsi="宋体" w:cs="宋体"/>
          <w:bCs/>
          <w:color w:val="000000" w:themeColor="text1"/>
          <w:sz w:val="24"/>
          <w:szCs w:val="24"/>
          <w:highlight w:val="none"/>
          <w14:textFill>
            <w14:solidFill>
              <w14:schemeClr w14:val="tx1"/>
            </w14:solidFill>
          </w14:textFill>
        </w:rPr>
        <w:t>1、签订合同</w:t>
      </w:r>
    </w:p>
    <w:p w14:paraId="6133F9F0">
      <w:pPr>
        <w:spacing w:line="440" w:lineRule="exact"/>
        <w:ind w:firstLine="789"/>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1.l中标人应当在中标通知书发出之日起三十日内，按照招标文件确定的事项与采购人签订政府采购合同。</w:t>
      </w:r>
    </w:p>
    <w:p w14:paraId="286B3615">
      <w:pPr>
        <w:spacing w:line="440" w:lineRule="exact"/>
        <w:ind w:firstLine="789"/>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1.2</w:t>
      </w:r>
      <w:r>
        <w:rPr>
          <w:rFonts w:hint="eastAsia" w:ascii="宋体" w:hAnsi="宋体" w:cs="宋体"/>
          <w:b/>
          <w:color w:val="000000" w:themeColor="text1"/>
          <w:sz w:val="24"/>
          <w:szCs w:val="24"/>
          <w:highlight w:val="non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招标文件、中标人的投标文件及招标过程中有关澄清、承诺文件均应作为合同附件。</w:t>
      </w:r>
    </w:p>
    <w:p w14:paraId="6244A9B7">
      <w:pPr>
        <w:spacing w:line="440" w:lineRule="exact"/>
        <w:ind w:firstLine="789"/>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1.3 签订合同后，</w:t>
      </w:r>
      <w:r>
        <w:rPr>
          <w:rFonts w:hint="eastAsia" w:ascii="宋体" w:hAnsi="宋体" w:cs="宋体"/>
          <w:i/>
          <w:color w:val="000000" w:themeColor="text1"/>
          <w:sz w:val="24"/>
          <w:szCs w:val="24"/>
          <w:highlight w:val="none"/>
          <w:u w:val="single"/>
          <w14:textFill>
            <w14:solidFill>
              <w14:schemeClr w14:val="tx1"/>
            </w14:solidFill>
          </w14:textFill>
        </w:rPr>
        <w:t>中标人不得将合同标的进行转包</w:t>
      </w:r>
      <w:r>
        <w:rPr>
          <w:rFonts w:hint="eastAsia" w:ascii="宋体" w:hAnsi="宋体" w:cs="宋体"/>
          <w:color w:val="000000" w:themeColor="text1"/>
          <w:sz w:val="24"/>
          <w:szCs w:val="24"/>
          <w:highlight w:val="none"/>
          <w14:textFill>
            <w14:solidFill>
              <w14:schemeClr w14:val="tx1"/>
            </w14:solidFill>
          </w14:textFill>
        </w:rPr>
        <w:t>。未经采购人同意，中标人也不得采用分包的形式履行合同，否则采购人有权终止合同。转包或分包造成采购人损失的，中标人应承担相应赔偿责任。</w:t>
      </w:r>
    </w:p>
    <w:p w14:paraId="65EB99DB">
      <w:pPr>
        <w:keepNext/>
        <w:keepLines/>
        <w:spacing w:line="440" w:lineRule="exact"/>
        <w:ind w:firstLine="480"/>
        <w:outlineLvl w:val="3"/>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2、服务（包含与项目有关的服务）的追加</w:t>
      </w:r>
    </w:p>
    <w:p w14:paraId="487691AF">
      <w:pPr>
        <w:spacing w:line="440" w:lineRule="exact"/>
        <w:ind w:firstLine="1027"/>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2.1政府采购合同履行中，采购人需追加与合同标的相同的服务（包含与项目有关的服务）的，在不改变合同其他条款的前提下，可以与中标人协商签订补充合同，但所有补充合同的采购金额不超过原合同金额10%。</w:t>
      </w:r>
      <w:bookmarkEnd w:id="178"/>
      <w:bookmarkEnd w:id="179"/>
      <w:bookmarkEnd w:id="180"/>
    </w:p>
    <w:p w14:paraId="6D3F9C0C">
      <w:pPr>
        <w:keepNext/>
        <w:keepLines/>
        <w:spacing w:line="440" w:lineRule="exact"/>
        <w:ind w:firstLine="480"/>
        <w:outlineLvl w:val="3"/>
        <w:rPr>
          <w:rFonts w:ascii="宋体" w:hAnsi="宋体" w:cs="宋体"/>
          <w:bCs/>
          <w:color w:val="000000" w:themeColor="text1"/>
          <w:sz w:val="24"/>
          <w:szCs w:val="24"/>
          <w:highlight w:val="none"/>
          <w14:textFill>
            <w14:solidFill>
              <w14:schemeClr w14:val="tx1"/>
            </w14:solidFill>
          </w14:textFill>
        </w:rPr>
      </w:pPr>
      <w:bookmarkStart w:id="181" w:name="_Toc479757207"/>
      <w:bookmarkStart w:id="182" w:name="_Toc513029242"/>
      <w:bookmarkStart w:id="183" w:name="_Toc120614221"/>
      <w:bookmarkStart w:id="184" w:name="_Toc20823314"/>
      <w:bookmarkStart w:id="185" w:name="_Toc16938558"/>
      <w:r>
        <w:rPr>
          <w:rFonts w:hint="eastAsia" w:ascii="宋体" w:hAnsi="宋体" w:cs="宋体"/>
          <w:bCs/>
          <w:color w:val="000000" w:themeColor="text1"/>
          <w:sz w:val="24"/>
          <w:szCs w:val="24"/>
          <w:highlight w:val="none"/>
          <w14:textFill>
            <w14:solidFill>
              <w14:schemeClr w14:val="tx1"/>
            </w14:solidFill>
          </w14:textFill>
        </w:rPr>
        <w:t>3、政府采购信用融资政策</w:t>
      </w:r>
    </w:p>
    <w:p w14:paraId="1440AC75">
      <w:pPr>
        <w:spacing w:line="440" w:lineRule="exact"/>
        <w:ind w:firstLine="1027"/>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3.1 中标供应商可凭政府采购合同办理融资贷款，详情请见苏州市政府采购网“政府采购合同信用融资”专栏。</w:t>
      </w:r>
    </w:p>
    <w:p w14:paraId="40765DEC">
      <w:pPr>
        <w:keepNext/>
        <w:keepLines/>
        <w:spacing w:line="440" w:lineRule="exact"/>
        <w:ind w:firstLine="480"/>
        <w:outlineLvl w:val="3"/>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4、合同公示</w:t>
      </w:r>
    </w:p>
    <w:p w14:paraId="114CC047">
      <w:pPr>
        <w:spacing w:line="440" w:lineRule="exact"/>
        <w:ind w:firstLine="1027"/>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4.1采购合同将在签订之日起2个工作日内在指定媒体公示，涉及国家秘密、商业秘密的内容除外。</w:t>
      </w:r>
    </w:p>
    <w:p w14:paraId="0DCB1F9A">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p>
    <w:p w14:paraId="170BEFA0">
      <w:pPr>
        <w:keepNext/>
        <w:ind w:firstLine="880"/>
        <w:jc w:val="center"/>
        <w:outlineLvl w:val="0"/>
        <w:rPr>
          <w:rFonts w:ascii="黑体" w:hAnsi="Times New Roman" w:eastAsia="黑体"/>
          <w:bCs/>
          <w:color w:val="000000" w:themeColor="text1"/>
          <w:sz w:val="44"/>
          <w:szCs w:val="28"/>
          <w:highlight w:val="none"/>
          <w14:textFill>
            <w14:solidFill>
              <w14:schemeClr w14:val="tx1"/>
            </w14:solidFill>
          </w14:textFill>
        </w:rPr>
      </w:pPr>
      <w:bookmarkStart w:id="186" w:name="_Toc7392"/>
      <w:r>
        <w:rPr>
          <w:rFonts w:hint="eastAsia" w:ascii="黑体" w:hAnsi="Times New Roman" w:eastAsia="黑体"/>
          <w:bCs/>
          <w:color w:val="000000" w:themeColor="text1"/>
          <w:sz w:val="44"/>
          <w:szCs w:val="28"/>
          <w:highlight w:val="none"/>
          <w14:textFill>
            <w14:solidFill>
              <w14:schemeClr w14:val="tx1"/>
            </w14:solidFill>
          </w14:textFill>
        </w:rPr>
        <w:t>第三章  合同</w:t>
      </w:r>
      <w:bookmarkEnd w:id="181"/>
      <w:bookmarkEnd w:id="182"/>
      <w:bookmarkEnd w:id="183"/>
      <w:bookmarkEnd w:id="184"/>
      <w:bookmarkEnd w:id="185"/>
      <w:r>
        <w:rPr>
          <w:rFonts w:hint="eastAsia" w:ascii="黑体" w:hAnsi="Times New Roman" w:eastAsia="黑体"/>
          <w:bCs/>
          <w:color w:val="000000" w:themeColor="text1"/>
          <w:sz w:val="44"/>
          <w:szCs w:val="28"/>
          <w:highlight w:val="none"/>
          <w14:textFill>
            <w14:solidFill>
              <w14:schemeClr w14:val="tx1"/>
            </w14:solidFill>
          </w14:textFill>
        </w:rPr>
        <w:t>文本</w:t>
      </w:r>
      <w:bookmarkEnd w:id="186"/>
    </w:p>
    <w:p w14:paraId="20088B33">
      <w:pPr>
        <w:spacing w:line="660" w:lineRule="exact"/>
        <w:ind w:left="6237" w:right="-27"/>
        <w:rPr>
          <w:rFonts w:ascii="宋体" w:hAnsi="宋体" w:cs="宋体"/>
          <w:bCs/>
          <w:color w:val="000000" w:themeColor="text1"/>
          <w:sz w:val="24"/>
          <w:szCs w:val="24"/>
          <w:highlight w:val="none"/>
          <w14:textFill>
            <w14:solidFill>
              <w14:schemeClr w14:val="tx1"/>
            </w14:solidFill>
          </w14:textFill>
        </w:rPr>
      </w:pPr>
      <w:bookmarkStart w:id="187" w:name="_Hlt16619369"/>
      <w:bookmarkEnd w:id="187"/>
      <w:bookmarkStart w:id="188" w:name="_Hlt16619350"/>
      <w:bookmarkStart w:id="189" w:name="_Toc120614244"/>
      <w:bookmarkStart w:id="190" w:name="_Toc16938590"/>
      <w:bookmarkStart w:id="191" w:name="_Toc20823346"/>
      <w:bookmarkStart w:id="192" w:name="_Toc479757211"/>
      <w:bookmarkStart w:id="193" w:name="_Toc462564139"/>
      <w:r>
        <w:rPr>
          <w:rFonts w:hint="eastAsia" w:ascii="宋体" w:hAnsi="宋体" w:cs="宋体"/>
          <w:bCs/>
          <w:color w:val="000000" w:themeColor="text1"/>
          <w:sz w:val="24"/>
          <w:szCs w:val="24"/>
          <w:highlight w:val="none"/>
          <w14:textFill>
            <w14:solidFill>
              <w14:schemeClr w14:val="tx1"/>
            </w14:solidFill>
          </w14:textFill>
        </w:rPr>
        <w:t>编号：</w:t>
      </w:r>
    </w:p>
    <w:p w14:paraId="5385365D">
      <w:pPr>
        <w:spacing w:line="440" w:lineRule="exact"/>
        <w:ind w:left="6237" w:right="-27"/>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签订地点：常熟市</w:t>
      </w:r>
    </w:p>
    <w:p w14:paraId="03263912">
      <w:pPr>
        <w:tabs>
          <w:tab w:val="left" w:pos="0"/>
        </w:tabs>
        <w:spacing w:line="440" w:lineRule="exact"/>
        <w:ind w:right="-27"/>
        <w:rPr>
          <w:rFonts w:ascii="宋体" w:hAnsi="宋体" w:cs="宋体"/>
          <w:bCs/>
          <w:color w:val="000000" w:themeColor="text1"/>
          <w:sz w:val="24"/>
          <w:szCs w:val="24"/>
          <w:highlight w:val="none"/>
          <w14:textFill>
            <w14:solidFill>
              <w14:schemeClr w14:val="tx1"/>
            </w14:solidFill>
          </w14:textFill>
        </w:rPr>
      </w:pPr>
    </w:p>
    <w:p w14:paraId="7CAED5F5">
      <w:pPr>
        <w:tabs>
          <w:tab w:val="left" w:pos="0"/>
        </w:tabs>
        <w:spacing w:line="440" w:lineRule="exact"/>
        <w:ind w:right="-27"/>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甲方：</w:t>
      </w:r>
      <w:r>
        <w:rPr>
          <w:rFonts w:ascii="宋体" w:hAnsi="宋体" w:cs="宋体"/>
          <w:bCs/>
          <w:color w:val="000000" w:themeColor="text1"/>
          <w:sz w:val="24"/>
          <w:szCs w:val="24"/>
          <w:highlight w:val="none"/>
          <w:u w:val="single"/>
          <w14:textFill>
            <w14:solidFill>
              <w14:schemeClr w14:val="tx1"/>
            </w14:solidFill>
          </w14:textFill>
        </w:rPr>
        <w:t xml:space="preserve">                      </w:t>
      </w:r>
      <w:r>
        <w:rPr>
          <w:rFonts w:hint="eastAsia" w:ascii="宋体" w:hAnsi="宋体" w:cs="宋体"/>
          <w:bCs/>
          <w:color w:val="000000" w:themeColor="text1"/>
          <w:sz w:val="24"/>
          <w:szCs w:val="24"/>
          <w:highlight w:val="none"/>
          <w:u w:val="single"/>
          <w14:textFill>
            <w14:solidFill>
              <w14:schemeClr w14:val="tx1"/>
            </w14:solidFill>
          </w14:textFill>
        </w:rPr>
        <w:t xml:space="preserve">          </w:t>
      </w:r>
    </w:p>
    <w:p w14:paraId="0CE535E0">
      <w:pPr>
        <w:tabs>
          <w:tab w:val="left" w:pos="0"/>
        </w:tabs>
        <w:spacing w:line="480" w:lineRule="exact"/>
        <w:ind w:right="-27"/>
        <w:rPr>
          <w:rFonts w:ascii="宋体" w:hAnsi="宋体" w:cs="宋体"/>
          <w:bCs/>
          <w:color w:val="000000" w:themeColor="text1"/>
          <w:sz w:val="24"/>
          <w:szCs w:val="24"/>
          <w:highlight w:val="none"/>
          <w:u w:val="singl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乙方：</w:t>
      </w:r>
      <w:r>
        <w:rPr>
          <w:rFonts w:hint="eastAsia" w:ascii="宋体" w:hAnsi="宋体" w:cs="宋体"/>
          <w:bCs/>
          <w:color w:val="000000" w:themeColor="text1"/>
          <w:sz w:val="24"/>
          <w:szCs w:val="24"/>
          <w:highlight w:val="none"/>
          <w:u w:val="single"/>
          <w14:textFill>
            <w14:solidFill>
              <w14:schemeClr w14:val="tx1"/>
            </w14:solidFill>
          </w14:textFill>
        </w:rPr>
        <w:t xml:space="preserve">                                </w:t>
      </w:r>
    </w:p>
    <w:p w14:paraId="41241CB6">
      <w:pPr>
        <w:spacing w:line="440" w:lineRule="exact"/>
        <w:rPr>
          <w:bCs/>
          <w:color w:val="000000" w:themeColor="text1"/>
          <w:sz w:val="24"/>
          <w:szCs w:val="24"/>
          <w:highlight w:val="none"/>
          <w14:textFill>
            <w14:solidFill>
              <w14:schemeClr w14:val="tx1"/>
            </w14:solidFill>
          </w14:textFill>
        </w:rPr>
      </w:pPr>
      <w:r>
        <w:rPr>
          <w:rFonts w:hint="eastAsia"/>
          <w:bCs/>
          <w:color w:val="000000" w:themeColor="text1"/>
          <w:sz w:val="24"/>
          <w:szCs w:val="24"/>
          <w:highlight w:val="none"/>
          <w14:textFill>
            <w14:solidFill>
              <w14:schemeClr w14:val="tx1"/>
            </w14:solidFill>
          </w14:textFill>
        </w:rPr>
        <w:t>信用融资回款账户：</w:t>
      </w:r>
      <w:r>
        <w:rPr>
          <w:rFonts w:hint="eastAsia"/>
          <w:bCs/>
          <w:color w:val="000000" w:themeColor="text1"/>
          <w:sz w:val="24"/>
          <w:szCs w:val="24"/>
          <w:highlight w:val="none"/>
          <w:u w:val="single"/>
          <w14:textFill>
            <w14:solidFill>
              <w14:schemeClr w14:val="tx1"/>
            </w14:solidFill>
          </w14:textFill>
        </w:rPr>
        <w:t xml:space="preserve">                               </w:t>
      </w:r>
      <w:r>
        <w:rPr>
          <w:rFonts w:hint="eastAsia"/>
          <w:bCs/>
          <w:color w:val="000000" w:themeColor="text1"/>
          <w:sz w:val="24"/>
          <w:szCs w:val="24"/>
          <w:highlight w:val="none"/>
          <w14:textFill>
            <w14:solidFill>
              <w14:schemeClr w14:val="tx1"/>
            </w14:solidFill>
          </w14:textFill>
        </w:rPr>
        <w:t>（如无可不填写）</w:t>
      </w:r>
    </w:p>
    <w:p w14:paraId="1F7C0E32">
      <w:pPr>
        <w:tabs>
          <w:tab w:val="left" w:pos="0"/>
        </w:tabs>
        <w:spacing w:line="440" w:lineRule="exact"/>
        <w:ind w:right="-27"/>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开户银行：</w:t>
      </w:r>
      <w:r>
        <w:rPr>
          <w:rFonts w:hint="eastAsia" w:ascii="宋体" w:hAnsi="宋体" w:cs="宋体"/>
          <w:bCs/>
          <w:color w:val="000000" w:themeColor="text1"/>
          <w:sz w:val="24"/>
          <w:szCs w:val="24"/>
          <w:highlight w:val="none"/>
          <w:u w:val="single"/>
          <w14:textFill>
            <w14:solidFill>
              <w14:schemeClr w14:val="tx1"/>
            </w14:solidFill>
          </w14:textFill>
        </w:rPr>
        <w:t xml:space="preserve">                                       </w:t>
      </w:r>
      <w:r>
        <w:rPr>
          <w:rFonts w:hint="eastAsia" w:ascii="宋体" w:hAnsi="宋体" w:cs="宋体"/>
          <w:bCs/>
          <w:color w:val="000000" w:themeColor="text1"/>
          <w:sz w:val="24"/>
          <w:szCs w:val="24"/>
          <w:highlight w:val="none"/>
          <w14:textFill>
            <w14:solidFill>
              <w14:schemeClr w14:val="tx1"/>
            </w14:solidFill>
          </w14:textFill>
        </w:rPr>
        <w:t xml:space="preserve"> </w:t>
      </w:r>
    </w:p>
    <w:p w14:paraId="1290D354">
      <w:pPr>
        <w:tabs>
          <w:tab w:val="left" w:pos="0"/>
        </w:tabs>
        <w:spacing w:line="480" w:lineRule="exact"/>
        <w:ind w:right="-27" w:firstLine="480"/>
        <w:rPr>
          <w:rFonts w:ascii="宋体" w:hAnsi="宋体" w:cs="宋体"/>
          <w:bCs/>
          <w:color w:val="000000" w:themeColor="text1"/>
          <w:sz w:val="24"/>
          <w:szCs w:val="24"/>
          <w:highlight w:val="none"/>
          <w14:textFill>
            <w14:solidFill>
              <w14:schemeClr w14:val="tx1"/>
            </w14:solidFill>
          </w14:textFill>
        </w:rPr>
      </w:pPr>
    </w:p>
    <w:p w14:paraId="78F0C875">
      <w:pPr>
        <w:tabs>
          <w:tab w:val="left" w:pos="0"/>
        </w:tabs>
        <w:spacing w:line="440" w:lineRule="exact"/>
        <w:ind w:right="-27" w:firstLine="480"/>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根据《中华人民共和国政府采购法》及其实施条例、《中华人民共和国民法典》等法律法规的规定，甲乙双方按照</w:t>
      </w:r>
      <w:r>
        <w:rPr>
          <w:rFonts w:hint="eastAsia" w:ascii="宋体" w:hAnsi="宋体"/>
          <w:color w:val="000000" w:themeColor="text1"/>
          <w:sz w:val="24"/>
          <w:szCs w:val="24"/>
          <w:highlight w:val="none"/>
          <w:u w:val="single"/>
          <w:lang w:eastAsia="zh-CN"/>
          <w14:textFill>
            <w14:solidFill>
              <w14:schemeClr w14:val="tx1"/>
            </w14:solidFill>
          </w14:textFill>
        </w:rPr>
        <w:t>琴川街道2025年度雨污水管网设施养护</w:t>
      </w:r>
      <w:r>
        <w:rPr>
          <w:rFonts w:hint="eastAsia" w:ascii="宋体" w:hAnsi="宋体" w:cs="宋体"/>
          <w:bCs/>
          <w:color w:val="000000" w:themeColor="text1"/>
          <w:sz w:val="24"/>
          <w:szCs w:val="24"/>
          <w:highlight w:val="none"/>
          <w14:textFill>
            <w14:solidFill>
              <w14:schemeClr w14:val="tx1"/>
            </w14:solidFill>
          </w14:textFill>
        </w:rPr>
        <w:t>项目（项目编号：</w:t>
      </w:r>
      <w:r>
        <w:rPr>
          <w:rFonts w:ascii="宋体" w:hAnsi="宋体"/>
          <w:color w:val="000000" w:themeColor="text1"/>
          <w:sz w:val="24"/>
          <w:szCs w:val="24"/>
          <w:highlight w:val="none"/>
          <w:u w:val="single"/>
          <w14:textFill>
            <w14:solidFill>
              <w14:schemeClr w14:val="tx1"/>
            </w14:solidFill>
          </w14:textFill>
        </w:rPr>
        <w:t>(</w:t>
      </w:r>
      <w:r>
        <w:rPr>
          <w:rFonts w:hint="eastAsia" w:ascii="宋体" w:hAnsi="宋体"/>
          <w:color w:val="000000" w:themeColor="text1"/>
          <w:sz w:val="24"/>
          <w:szCs w:val="24"/>
          <w:highlight w:val="none"/>
          <w:u w:val="single"/>
          <w:lang w:eastAsia="zh-CN"/>
          <w14:textFill>
            <w14:solidFill>
              <w14:schemeClr w14:val="tx1"/>
            </w14:solidFill>
          </w14:textFill>
        </w:rPr>
        <w:t>JSZC-320581-SZXY-G2025-0002</w:t>
      </w:r>
      <w:r>
        <w:rPr>
          <w:rFonts w:hint="eastAsia" w:ascii="宋体" w:hAnsi="宋体" w:cs="宋体"/>
          <w:bCs/>
          <w:color w:val="000000" w:themeColor="text1"/>
          <w:sz w:val="24"/>
          <w:szCs w:val="24"/>
          <w:highlight w:val="none"/>
          <w14:textFill>
            <w14:solidFill>
              <w14:schemeClr w14:val="tx1"/>
            </w14:solidFill>
          </w14:textFill>
        </w:rPr>
        <w:t>）政府采购结果签订本合同。</w:t>
      </w:r>
    </w:p>
    <w:p w14:paraId="534223DA">
      <w:pPr>
        <w:tabs>
          <w:tab w:val="left" w:pos="0"/>
        </w:tabs>
        <w:spacing w:line="440" w:lineRule="exact"/>
        <w:ind w:right="-27" w:firstLine="482"/>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第一条 定义</w:t>
      </w:r>
    </w:p>
    <w:p w14:paraId="5ABF1F84">
      <w:pPr>
        <w:tabs>
          <w:tab w:val="left" w:pos="0"/>
        </w:tabs>
        <w:spacing w:line="440" w:lineRule="exact"/>
        <w:ind w:right="-27" w:firstLine="480"/>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除非另有特别解释或说明，本合同有关词语应按如下定义解释：</w:t>
      </w:r>
    </w:p>
    <w:p w14:paraId="0EC4C82C">
      <w:pPr>
        <w:tabs>
          <w:tab w:val="left" w:pos="0"/>
        </w:tabs>
        <w:spacing w:line="440" w:lineRule="exact"/>
        <w:ind w:right="-27" w:firstLine="480"/>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1、合同：甲乙双方签署的，与本项目相关的合同书、附件、附录、其他文件以及政府采购程序中的全部文件。</w:t>
      </w:r>
    </w:p>
    <w:p w14:paraId="6D5F9FBA">
      <w:pPr>
        <w:tabs>
          <w:tab w:val="left" w:pos="0"/>
        </w:tabs>
        <w:spacing w:line="440" w:lineRule="exact"/>
        <w:ind w:right="-27" w:firstLine="480"/>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2、甲方：购买本合同项下服务的国家机关、事业单位、团体组织。</w:t>
      </w:r>
    </w:p>
    <w:p w14:paraId="4D73A284">
      <w:pPr>
        <w:tabs>
          <w:tab w:val="left" w:pos="0"/>
        </w:tabs>
        <w:spacing w:line="440" w:lineRule="exact"/>
        <w:ind w:right="-27" w:firstLine="480"/>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3、乙方：提供本合同项下服务的法人、其他组织或自然人。</w:t>
      </w:r>
    </w:p>
    <w:p w14:paraId="5B179B4B">
      <w:pPr>
        <w:tabs>
          <w:tab w:val="left" w:pos="0"/>
        </w:tabs>
        <w:spacing w:line="440" w:lineRule="exact"/>
        <w:ind w:right="-27" w:firstLine="480"/>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4、服务：提供本合同规定的乙方承担的</w:t>
      </w:r>
      <w:r>
        <w:rPr>
          <w:rFonts w:hint="eastAsia" w:ascii="宋体" w:hAnsi="宋体"/>
          <w:color w:val="000000" w:themeColor="text1"/>
          <w:sz w:val="24"/>
          <w:szCs w:val="24"/>
          <w:highlight w:val="none"/>
          <w:u w:val="single"/>
          <w:lang w:eastAsia="zh-CN"/>
          <w14:textFill>
            <w14:solidFill>
              <w14:schemeClr w14:val="tx1"/>
            </w14:solidFill>
          </w14:textFill>
        </w:rPr>
        <w:t>琴川街道2025年度雨污水管网设施养护</w:t>
      </w:r>
      <w:r>
        <w:rPr>
          <w:rFonts w:hint="eastAsia" w:ascii="宋体" w:hAnsi="宋体" w:cs="宋体"/>
          <w:bCs/>
          <w:color w:val="000000" w:themeColor="text1"/>
          <w:sz w:val="24"/>
          <w:szCs w:val="24"/>
          <w:highlight w:val="none"/>
          <w14:textFill>
            <w14:solidFill>
              <w14:schemeClr w14:val="tx1"/>
            </w14:solidFill>
          </w14:textFill>
        </w:rPr>
        <w:t>及相关工作。</w:t>
      </w:r>
    </w:p>
    <w:p w14:paraId="3C3CCAB4">
      <w:pPr>
        <w:tabs>
          <w:tab w:val="left" w:pos="0"/>
        </w:tabs>
        <w:spacing w:line="440" w:lineRule="exact"/>
        <w:ind w:right="-27" w:firstLine="480"/>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5、合同价款：根据合同规定乙方在正确地完全履行合同义务后甲方应支付给乙方的价款，包含了甲方购买合同项下相关服务的一切费用。</w:t>
      </w:r>
    </w:p>
    <w:p w14:paraId="4298D354">
      <w:pPr>
        <w:tabs>
          <w:tab w:val="left" w:pos="0"/>
        </w:tabs>
        <w:spacing w:line="440" w:lineRule="exact"/>
        <w:ind w:right="-27" w:firstLine="482"/>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第二条 组成本合同的文件</w:t>
      </w:r>
    </w:p>
    <w:p w14:paraId="0F0154CD">
      <w:pPr>
        <w:tabs>
          <w:tab w:val="left" w:pos="0"/>
        </w:tabs>
        <w:spacing w:line="440" w:lineRule="exact"/>
        <w:ind w:right="-27" w:firstLine="480"/>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1</w:t>
      </w:r>
      <w:r>
        <w:rPr>
          <w:rFonts w:hint="eastAsia" w:ascii="宋体" w:hAnsi="宋体" w:cs="宋体"/>
          <w:bCs/>
          <w:color w:val="000000" w:themeColor="text1"/>
          <w:sz w:val="24"/>
          <w:szCs w:val="24"/>
          <w:highlight w:val="none"/>
          <w14:textFill>
            <w14:solidFill>
              <w14:schemeClr w14:val="tx1"/>
            </w14:solidFill>
          </w14:textFill>
        </w:rPr>
        <w:t>、下列文件是组成本合同的不可分割的部分：</w:t>
      </w:r>
    </w:p>
    <w:p w14:paraId="0D3A3DE3">
      <w:pPr>
        <w:tabs>
          <w:tab w:val="left" w:pos="0"/>
        </w:tabs>
        <w:spacing w:line="440" w:lineRule="exact"/>
        <w:ind w:right="-27" w:firstLine="480"/>
        <w:rPr>
          <w:rFonts w:ascii="Times New Roman" w:hAnsi="Times New Roman"/>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①中标通知书；</w:t>
      </w:r>
    </w:p>
    <w:p w14:paraId="217836B0">
      <w:pPr>
        <w:tabs>
          <w:tab w:val="left" w:pos="0"/>
        </w:tabs>
        <w:spacing w:line="440" w:lineRule="exact"/>
        <w:ind w:right="-27" w:firstLine="480"/>
        <w:rPr>
          <w:rFonts w:ascii="Times New Roman" w:hAnsi="Times New Roman"/>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②招标文件（以下统称“采购文件”）；</w:t>
      </w:r>
    </w:p>
    <w:p w14:paraId="12FBA267">
      <w:pPr>
        <w:tabs>
          <w:tab w:val="left" w:pos="0"/>
        </w:tabs>
        <w:spacing w:line="440" w:lineRule="exact"/>
        <w:ind w:right="-27" w:firstLine="480"/>
        <w:rPr>
          <w:rFonts w:ascii="Times New Roman" w:hAnsi="Times New Roman"/>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③乙方的投标文件；</w:t>
      </w:r>
    </w:p>
    <w:p w14:paraId="0401ADC1">
      <w:pPr>
        <w:tabs>
          <w:tab w:val="left" w:pos="0"/>
        </w:tabs>
        <w:spacing w:line="440" w:lineRule="exact"/>
        <w:ind w:right="-27"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④乙方在投标过程中所作的其它承诺、声明、书面澄清等。</w:t>
      </w:r>
    </w:p>
    <w:p w14:paraId="126D5A74">
      <w:pPr>
        <w:tabs>
          <w:tab w:val="left" w:pos="0"/>
        </w:tabs>
        <w:spacing w:line="440" w:lineRule="exact"/>
        <w:ind w:right="-27" w:firstLine="480"/>
        <w:rPr>
          <w:rFonts w:ascii="宋体" w:hAnsi="宋体"/>
          <w:color w:val="000000" w:themeColor="text1"/>
          <w:sz w:val="24"/>
          <w:szCs w:val="24"/>
          <w:highlight w:val="none"/>
          <w14:textFill>
            <w14:solidFill>
              <w14:schemeClr w14:val="tx1"/>
            </w14:solidFill>
          </w14:textFill>
        </w:rPr>
      </w:pPr>
      <w:bookmarkStart w:id="194" w:name="_Hlk144021334"/>
      <w:r>
        <w:rPr>
          <w:rFonts w:hint="eastAsia" w:ascii="宋体" w:hAnsi="宋体"/>
          <w:color w:val="000000" w:themeColor="text1"/>
          <w:sz w:val="24"/>
          <w:szCs w:val="24"/>
          <w:highlight w:val="none"/>
          <w14:textFill>
            <w14:solidFill>
              <w14:schemeClr w14:val="tx1"/>
            </w14:solidFill>
          </w14:textFill>
        </w:rPr>
        <w:t>2、上述文件之间如果出现不一致的，以甲方文件确定的内容为准，但乙方文件的内容对甲方更有利的，适用乙方文件。</w:t>
      </w:r>
    </w:p>
    <w:p w14:paraId="002CB79A">
      <w:pPr>
        <w:tabs>
          <w:tab w:val="left" w:pos="0"/>
        </w:tabs>
        <w:spacing w:line="440" w:lineRule="exact"/>
        <w:ind w:right="-27" w:firstLine="480"/>
        <w:rPr>
          <w:rFonts w:ascii="Times New Roman" w:hAnsi="Times New Roman"/>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3、乙方文件应当符合采购文件确定的原则，如果乙方文件中的表述，形式上符合招标文件原则，但具体内容对甲方不利、对乙方有利的，视为背离采购文件，不予适用。</w:t>
      </w:r>
      <w:bookmarkEnd w:id="194"/>
    </w:p>
    <w:p w14:paraId="173418D6">
      <w:pPr>
        <w:tabs>
          <w:tab w:val="left" w:pos="0"/>
        </w:tabs>
        <w:spacing w:line="440" w:lineRule="exact"/>
        <w:ind w:right="-27" w:firstLine="482"/>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第三条 合同内容</w:t>
      </w:r>
    </w:p>
    <w:p w14:paraId="2B37967F">
      <w:pPr>
        <w:tabs>
          <w:tab w:val="left" w:pos="0"/>
        </w:tabs>
        <w:spacing w:line="420" w:lineRule="exact"/>
        <w:ind w:right="-27" w:firstLine="480"/>
        <w:rPr>
          <w:rFonts w:ascii="宋体" w:hAnsi="宋体" w:cs="宋体"/>
          <w:bCs/>
          <w:color w:val="000000" w:themeColor="text1"/>
          <w:sz w:val="24"/>
          <w:szCs w:val="24"/>
          <w:highlight w:val="none"/>
          <w:u w:val="singl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1、服务内容：</w:t>
      </w:r>
      <w:r>
        <w:rPr>
          <w:rFonts w:hint="eastAsia" w:ascii="宋体" w:hAnsi="宋体" w:cs="宋体"/>
          <w:bCs/>
          <w:color w:val="000000" w:themeColor="text1"/>
          <w:sz w:val="24"/>
          <w:szCs w:val="24"/>
          <w:highlight w:val="none"/>
          <w:u w:val="single"/>
          <w:lang w:eastAsia="zh-CN"/>
          <w14:textFill>
            <w14:solidFill>
              <w14:schemeClr w14:val="tx1"/>
            </w14:solidFill>
          </w14:textFill>
        </w:rPr>
        <w:t>常熟市人民政府琴川街道办事处</w:t>
      </w:r>
      <w:r>
        <w:rPr>
          <w:rFonts w:hint="eastAsia" w:ascii="宋体" w:hAnsi="宋体" w:cs="宋体"/>
          <w:bCs/>
          <w:color w:val="000000" w:themeColor="text1"/>
          <w:sz w:val="24"/>
          <w:szCs w:val="24"/>
          <w:highlight w:val="none"/>
          <w:u w:val="single"/>
          <w14:textFill>
            <w14:solidFill>
              <w14:schemeClr w14:val="tx1"/>
            </w14:solidFill>
          </w14:textFill>
        </w:rPr>
        <w:t>所需的</w:t>
      </w:r>
      <w:r>
        <w:rPr>
          <w:rFonts w:hint="eastAsia" w:ascii="宋体" w:hAnsi="宋体" w:cs="宋体"/>
          <w:bCs/>
          <w:color w:val="000000" w:themeColor="text1"/>
          <w:sz w:val="24"/>
          <w:szCs w:val="24"/>
          <w:highlight w:val="none"/>
          <w:u w:val="single"/>
          <w:lang w:eastAsia="zh-CN"/>
          <w14:textFill>
            <w14:solidFill>
              <w14:schemeClr w14:val="tx1"/>
            </w14:solidFill>
          </w14:textFill>
        </w:rPr>
        <w:t>琴川街道2025年度雨污水管网设施养护</w:t>
      </w:r>
      <w:r>
        <w:rPr>
          <w:rFonts w:hint="eastAsia" w:ascii="宋体" w:hAnsi="宋体" w:cs="宋体"/>
          <w:bCs/>
          <w:color w:val="000000" w:themeColor="text1"/>
          <w:sz w:val="24"/>
          <w:szCs w:val="24"/>
          <w:highlight w:val="none"/>
          <w:u w:val="single"/>
          <w14:textFill>
            <w14:solidFill>
              <w14:schemeClr w14:val="tx1"/>
            </w14:solidFill>
          </w14:textFill>
        </w:rPr>
        <w:t>。</w:t>
      </w:r>
    </w:p>
    <w:p w14:paraId="7F04937A">
      <w:pPr>
        <w:tabs>
          <w:tab w:val="left" w:pos="0"/>
        </w:tabs>
        <w:spacing w:line="440" w:lineRule="exact"/>
        <w:ind w:right="-27" w:firstLine="480"/>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2、服务期限：</w:t>
      </w:r>
    </w:p>
    <w:p w14:paraId="03830874">
      <w:pPr>
        <w:tabs>
          <w:tab w:val="left" w:pos="0"/>
        </w:tabs>
        <w:spacing w:line="440" w:lineRule="exact"/>
        <w:ind w:right="-27" w:firstLine="480"/>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3、乙方承诺上述服务由乙方自行完成，不转包予第三方完成。</w:t>
      </w:r>
    </w:p>
    <w:p w14:paraId="51CF95A4">
      <w:pPr>
        <w:tabs>
          <w:tab w:val="left" w:pos="0"/>
        </w:tabs>
        <w:spacing w:line="440" w:lineRule="exact"/>
        <w:ind w:right="-27" w:firstLine="482"/>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第四条 合同价款</w:t>
      </w:r>
    </w:p>
    <w:p w14:paraId="3AC7405D">
      <w:pPr>
        <w:tabs>
          <w:tab w:val="left" w:pos="0"/>
        </w:tabs>
        <w:spacing w:line="440" w:lineRule="exact"/>
        <w:ind w:right="-27" w:firstLine="787"/>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本项目</w:t>
      </w:r>
      <w:r>
        <w:rPr>
          <w:rFonts w:hint="eastAsia" w:ascii="宋体" w:hAnsi="宋体" w:cs="宋体"/>
          <w:color w:val="000000" w:themeColor="text1"/>
          <w:sz w:val="24"/>
          <w:szCs w:val="24"/>
          <w:highlight w:val="none"/>
          <w:lang w:val="en-US" w:eastAsia="zh-CN"/>
          <w14:textFill>
            <w14:solidFill>
              <w14:schemeClr w14:val="tx1"/>
            </w14:solidFill>
          </w14:textFill>
        </w:rPr>
        <w:t>预估合同总价为</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lang w:val="en-US" w:eastAsia="zh-CN"/>
          <w14:textFill>
            <w14:solidFill>
              <w14:schemeClr w14:val="tx1"/>
            </w14:solidFill>
          </w14:textFill>
        </w:rPr>
        <w:t>元，中标优惠率</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lang w:val="en-US" w:eastAsia="zh-CN"/>
          <w14:textFill>
            <w14:solidFill>
              <w14:schemeClr w14:val="tx1"/>
            </w14:solidFill>
          </w14:textFill>
        </w:rPr>
        <w:t>%。</w:t>
      </w:r>
    </w:p>
    <w:p w14:paraId="1B44EB38">
      <w:pPr>
        <w:tabs>
          <w:tab w:val="left" w:pos="0"/>
        </w:tabs>
        <w:spacing w:line="460" w:lineRule="exact"/>
        <w:ind w:right="-27" w:firstLine="482"/>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第五条 付款方式 </w:t>
      </w:r>
    </w:p>
    <w:p w14:paraId="5018DCB4">
      <w:pPr>
        <w:tabs>
          <w:tab w:val="left" w:pos="0"/>
        </w:tabs>
        <w:spacing w:line="440" w:lineRule="exact"/>
        <w:ind w:right="-27" w:firstLine="787"/>
        <w:rPr>
          <w:rFonts w:hint="eastAsia"/>
          <w:i w:val="0"/>
          <w:iCs/>
          <w:color w:val="000000" w:themeColor="text1"/>
          <w:sz w:val="24"/>
          <w:szCs w:val="24"/>
          <w:highlight w:val="none"/>
          <w:u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1、结算方式：</w:t>
      </w:r>
      <w:r>
        <w:rPr>
          <w:rFonts w:hint="eastAsia"/>
          <w:i w:val="0"/>
          <w:iCs/>
          <w:color w:val="000000" w:themeColor="text1"/>
          <w:sz w:val="24"/>
          <w:szCs w:val="24"/>
          <w:highlight w:val="none"/>
          <w:u w:val="none"/>
          <w14:textFill>
            <w14:solidFill>
              <w14:schemeClr w14:val="tx1"/>
            </w14:solidFill>
          </w14:textFill>
        </w:rPr>
        <w:t>本项目结算金额=</w:t>
      </w:r>
      <w:r>
        <w:rPr>
          <w:rFonts w:hint="eastAsia"/>
          <w:i w:val="0"/>
          <w:iCs/>
          <w:color w:val="000000" w:themeColor="text1"/>
          <w:sz w:val="24"/>
          <w:szCs w:val="24"/>
          <w:highlight w:val="none"/>
          <w:u w:val="none"/>
          <w:lang w:val="en-US" w:eastAsia="zh-CN"/>
          <w14:textFill>
            <w14:solidFill>
              <w14:schemeClr w14:val="tx1"/>
            </w14:solidFill>
          </w14:textFill>
        </w:rPr>
        <w:t>①水利水务设施养护管理+②水生植物养护费+③雨污管网养护、维修</w:t>
      </w:r>
      <w:r>
        <w:rPr>
          <w:rFonts w:hint="eastAsia"/>
          <w:i w:val="0"/>
          <w:iCs/>
          <w:color w:val="000000" w:themeColor="text1"/>
          <w:sz w:val="24"/>
          <w:szCs w:val="24"/>
          <w:highlight w:val="none"/>
          <w:u w:val="none"/>
          <w14:textFill>
            <w14:solidFill>
              <w14:schemeClr w14:val="tx1"/>
            </w14:solidFill>
          </w14:textFill>
        </w:rPr>
        <w:t>。</w:t>
      </w:r>
    </w:p>
    <w:p w14:paraId="6877AD7B">
      <w:pPr>
        <w:pageBreakBefore w:val="0"/>
        <w:spacing w:line="440" w:lineRule="exact"/>
        <w:ind w:left="50" w:right="50" w:firstLine="787"/>
        <w:rPr>
          <w:rFonts w:hint="default"/>
          <w:i w:val="0"/>
          <w:iCs/>
          <w:color w:val="000000" w:themeColor="text1"/>
          <w:sz w:val="24"/>
          <w:szCs w:val="24"/>
          <w:highlight w:val="none"/>
          <w:u w:val="none"/>
          <w:lang w:val="en-US" w:eastAsia="zh-CN"/>
          <w14:textFill>
            <w14:solidFill>
              <w14:schemeClr w14:val="tx1"/>
            </w14:solidFill>
          </w14:textFill>
        </w:rPr>
      </w:pPr>
      <w:r>
        <w:rPr>
          <w:rFonts w:hint="eastAsia"/>
          <w:i w:val="0"/>
          <w:iCs/>
          <w:color w:val="000000" w:themeColor="text1"/>
          <w:sz w:val="24"/>
          <w:szCs w:val="24"/>
          <w:highlight w:val="none"/>
          <w:u w:val="none"/>
          <w:lang w:val="en-US" w:eastAsia="zh-CN"/>
          <w14:textFill>
            <w14:solidFill>
              <w14:schemeClr w14:val="tx1"/>
            </w14:solidFill>
          </w14:textFill>
        </w:rPr>
        <w:t>①水利水务设施养护管理（总价包干）：按照该部分预算金额*（1-优惠率）结算。</w:t>
      </w:r>
    </w:p>
    <w:p w14:paraId="7F66194D">
      <w:pPr>
        <w:pageBreakBefore w:val="0"/>
        <w:spacing w:line="440" w:lineRule="exact"/>
        <w:ind w:left="50" w:right="50" w:firstLine="787"/>
        <w:rPr>
          <w:rFonts w:hint="default"/>
          <w:i w:val="0"/>
          <w:iCs/>
          <w:color w:val="000000" w:themeColor="text1"/>
          <w:sz w:val="24"/>
          <w:szCs w:val="24"/>
          <w:highlight w:val="none"/>
          <w:u w:val="none"/>
          <w:lang w:val="en-US" w:eastAsia="zh-CN"/>
          <w14:textFill>
            <w14:solidFill>
              <w14:schemeClr w14:val="tx1"/>
            </w14:solidFill>
          </w14:textFill>
        </w:rPr>
      </w:pPr>
      <w:r>
        <w:rPr>
          <w:rFonts w:hint="eastAsia"/>
          <w:i w:val="0"/>
          <w:iCs/>
          <w:color w:val="000000" w:themeColor="text1"/>
          <w:sz w:val="24"/>
          <w:szCs w:val="24"/>
          <w:highlight w:val="none"/>
          <w:u w:val="none"/>
          <w:lang w:val="en-US" w:eastAsia="zh-CN"/>
          <w14:textFill>
            <w14:solidFill>
              <w14:schemeClr w14:val="tx1"/>
            </w14:solidFill>
          </w14:textFill>
        </w:rPr>
        <w:t>②</w:t>
      </w:r>
      <w:r>
        <w:rPr>
          <w:rFonts w:hint="eastAsia" w:ascii="宋体" w:hAnsi="宋体"/>
          <w:color w:val="000000" w:themeColor="text1"/>
          <w:sz w:val="24"/>
          <w:szCs w:val="24"/>
          <w:highlight w:val="none"/>
          <w:lang w:val="en-US" w:eastAsia="zh-CN"/>
          <w14:textFill>
            <w14:solidFill>
              <w14:schemeClr w14:val="tx1"/>
            </w14:solidFill>
          </w14:textFill>
        </w:rPr>
        <w:t>水生植物养护管理（</w:t>
      </w:r>
      <w:r>
        <w:rPr>
          <w:rFonts w:hint="eastAsia"/>
          <w:i w:val="0"/>
          <w:iCs/>
          <w:color w:val="000000" w:themeColor="text1"/>
          <w:sz w:val="24"/>
          <w:szCs w:val="24"/>
          <w:highlight w:val="none"/>
          <w:u w:val="none"/>
          <w:lang w:val="en-US" w:eastAsia="zh-CN"/>
          <w14:textFill>
            <w14:solidFill>
              <w14:schemeClr w14:val="tx1"/>
            </w14:solidFill>
          </w14:textFill>
        </w:rPr>
        <w:t>总价包干</w:t>
      </w:r>
      <w:r>
        <w:rPr>
          <w:rFonts w:hint="eastAsia" w:ascii="宋体" w:hAnsi="宋体"/>
          <w:color w:val="000000" w:themeColor="text1"/>
          <w:sz w:val="24"/>
          <w:szCs w:val="24"/>
          <w:highlight w:val="none"/>
          <w:lang w:val="en-US" w:eastAsia="zh-CN"/>
          <w14:textFill>
            <w14:solidFill>
              <w14:schemeClr w14:val="tx1"/>
            </w14:solidFill>
          </w14:textFill>
        </w:rPr>
        <w:t>）</w:t>
      </w:r>
      <w:r>
        <w:rPr>
          <w:rFonts w:hint="eastAsia"/>
          <w:i w:val="0"/>
          <w:iCs/>
          <w:color w:val="000000" w:themeColor="text1"/>
          <w:sz w:val="24"/>
          <w:szCs w:val="24"/>
          <w:highlight w:val="none"/>
          <w:u w:val="none"/>
          <w:lang w:val="en-US" w:eastAsia="zh-CN"/>
          <w14:textFill>
            <w14:solidFill>
              <w14:schemeClr w14:val="tx1"/>
            </w14:solidFill>
          </w14:textFill>
        </w:rPr>
        <w:t>：按照该部分预算金额*（1-优惠率）结算。</w:t>
      </w:r>
    </w:p>
    <w:p w14:paraId="774C0BDF">
      <w:pPr>
        <w:pageBreakBefore w:val="0"/>
        <w:spacing w:line="440" w:lineRule="exact"/>
        <w:ind w:left="50" w:right="50" w:firstLine="787"/>
        <w:rPr>
          <w:rFonts w:hint="eastAsia"/>
          <w:i w:val="0"/>
          <w:iCs/>
          <w:color w:val="000000" w:themeColor="text1"/>
          <w:sz w:val="24"/>
          <w:szCs w:val="24"/>
          <w:highlight w:val="none"/>
          <w:u w:val="none"/>
          <w14:textFill>
            <w14:solidFill>
              <w14:schemeClr w14:val="tx1"/>
            </w14:solidFill>
          </w14:textFill>
        </w:rPr>
      </w:pPr>
      <w:r>
        <w:rPr>
          <w:rFonts w:hint="eastAsia"/>
          <w:i w:val="0"/>
          <w:iCs/>
          <w:color w:val="000000" w:themeColor="text1"/>
          <w:sz w:val="24"/>
          <w:szCs w:val="24"/>
          <w:highlight w:val="none"/>
          <w:u w:val="none"/>
          <w:lang w:val="en-US" w:eastAsia="zh-CN"/>
          <w14:textFill>
            <w14:solidFill>
              <w14:schemeClr w14:val="tx1"/>
            </w14:solidFill>
          </w14:textFill>
        </w:rPr>
        <w:t>③</w:t>
      </w:r>
      <w:r>
        <w:rPr>
          <w:rFonts w:hint="eastAsia" w:ascii="宋体" w:hAnsi="宋体"/>
          <w:color w:val="000000" w:themeColor="text1"/>
          <w:sz w:val="24"/>
          <w:szCs w:val="24"/>
          <w:highlight w:val="none"/>
          <w:lang w:val="en-US" w:eastAsia="zh-CN"/>
          <w14:textFill>
            <w14:solidFill>
              <w14:schemeClr w14:val="tx1"/>
            </w14:solidFill>
          </w14:textFill>
        </w:rPr>
        <w:t>雨污管网养护、维修管理（按实结算）</w:t>
      </w:r>
      <w:r>
        <w:rPr>
          <w:rFonts w:hint="eastAsia"/>
          <w:i w:val="0"/>
          <w:iCs/>
          <w:color w:val="000000" w:themeColor="text1"/>
          <w:sz w:val="24"/>
          <w:szCs w:val="24"/>
          <w:highlight w:val="none"/>
          <w:u w:val="none"/>
          <w14:textFill>
            <w14:solidFill>
              <w14:schemeClr w14:val="tx1"/>
            </w14:solidFill>
          </w14:textFill>
        </w:rPr>
        <w:t>：按照实际工程量以及中标单价（预算单价*（1-优惠率））进行结算，该部分内容竣工验收合格后工程量以现场签证为准，若无预算单价的新增子目则按照相关养护定额（建设行政主管部门发布的计价办法和计价标准）计取，计算出的金额乘以（1-优惠率）将作为该子目最终结算价。若未有定额的则对其综合单价进行合理性分析（依据市场价、询价结果等多方面因素）并经采购人确认后作为结算价。</w:t>
      </w:r>
    </w:p>
    <w:p w14:paraId="3318A1F0">
      <w:pPr>
        <w:pageBreakBefore w:val="0"/>
        <w:spacing w:line="440" w:lineRule="exact"/>
        <w:ind w:left="50" w:right="50" w:firstLine="480"/>
        <w:rPr>
          <w:rFonts w:hint="eastAsia"/>
          <w:i w:val="0"/>
          <w:iCs/>
          <w:color w:val="000000" w:themeColor="text1"/>
          <w:sz w:val="24"/>
          <w:szCs w:val="24"/>
          <w:highlight w:val="none"/>
          <w:u w:val="none"/>
          <w14:textFill>
            <w14:solidFill>
              <w14:schemeClr w14:val="tx1"/>
            </w14:solidFill>
          </w14:textFill>
        </w:rPr>
      </w:pPr>
      <w:r>
        <w:rPr>
          <w:rFonts w:hint="eastAsia"/>
          <w:i w:val="0"/>
          <w:iCs/>
          <w:color w:val="000000" w:themeColor="text1"/>
          <w:sz w:val="24"/>
          <w:szCs w:val="24"/>
          <w:highlight w:val="none"/>
          <w:u w:val="none"/>
          <w14:textFill>
            <w14:solidFill>
              <w14:schemeClr w14:val="tx1"/>
            </w14:solidFill>
          </w14:textFill>
        </w:rPr>
        <w:t>注：项目的竣工结算由采购人委托有资质的中介机构审核，并以出具的结算审核结论作为最终结算的依据。</w:t>
      </w:r>
    </w:p>
    <w:p w14:paraId="6023D295">
      <w:pPr>
        <w:tabs>
          <w:tab w:val="left" w:pos="0"/>
        </w:tabs>
        <w:spacing w:line="440" w:lineRule="exact"/>
        <w:ind w:right="-27" w:firstLine="787"/>
        <w:rPr>
          <w:rFonts w:hint="default"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2、付款方式：</w:t>
      </w:r>
    </w:p>
    <w:p w14:paraId="1A8AABED">
      <w:pPr>
        <w:tabs>
          <w:tab w:val="left" w:pos="0"/>
        </w:tabs>
        <w:spacing w:line="440" w:lineRule="exact"/>
        <w:ind w:right="-27" w:firstLine="1024"/>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2.1、水利水务设施养护管理费：合同签订后的30日历天内，支付该部分合同金额的10%作为预付款，</w:t>
      </w:r>
      <w:r>
        <w:rPr>
          <w:rFonts w:hint="eastAsia" w:ascii="宋体" w:hAnsi="宋体" w:cs="宋体"/>
          <w:color w:val="000000" w:themeColor="text1"/>
          <w:sz w:val="24"/>
          <w:szCs w:val="24"/>
          <w:highlight w:val="none"/>
          <w14:textFill>
            <w14:solidFill>
              <w14:schemeClr w14:val="tx1"/>
            </w14:solidFill>
          </w14:textFill>
        </w:rPr>
        <w:t>项目结束后当年度付至</w:t>
      </w:r>
      <w:r>
        <w:rPr>
          <w:rFonts w:hint="eastAsia" w:ascii="宋体" w:hAnsi="宋体" w:cs="宋体"/>
          <w:color w:val="000000" w:themeColor="text1"/>
          <w:sz w:val="24"/>
          <w:szCs w:val="24"/>
          <w:highlight w:val="none"/>
          <w:lang w:val="en-US" w:eastAsia="zh-CN"/>
          <w14:textFill>
            <w14:solidFill>
              <w14:schemeClr w14:val="tx1"/>
            </w14:solidFill>
          </w14:textFill>
        </w:rPr>
        <w:t>该部分费用的</w:t>
      </w:r>
      <w:r>
        <w:rPr>
          <w:rFonts w:hint="eastAsia" w:ascii="宋体" w:hAnsi="宋体" w:cs="宋体"/>
          <w:color w:val="000000" w:themeColor="text1"/>
          <w:sz w:val="24"/>
          <w:szCs w:val="24"/>
          <w:highlight w:val="none"/>
          <w14:textFill>
            <w14:solidFill>
              <w14:schemeClr w14:val="tx1"/>
            </w14:solidFill>
          </w14:textFill>
        </w:rPr>
        <w:t>50%，满一周年后付至</w:t>
      </w:r>
      <w:r>
        <w:rPr>
          <w:rFonts w:hint="eastAsia" w:ascii="宋体" w:hAnsi="宋体" w:cs="宋体"/>
          <w:color w:val="000000" w:themeColor="text1"/>
          <w:sz w:val="24"/>
          <w:szCs w:val="24"/>
          <w:highlight w:val="none"/>
          <w:lang w:val="en-US" w:eastAsia="zh-CN"/>
          <w14:textFill>
            <w14:solidFill>
              <w14:schemeClr w14:val="tx1"/>
            </w14:solidFill>
          </w14:textFill>
        </w:rPr>
        <w:t>该部分费用</w:t>
      </w:r>
      <w:r>
        <w:rPr>
          <w:rFonts w:hint="eastAsia" w:ascii="宋体" w:hAnsi="宋体" w:cs="宋体"/>
          <w:color w:val="000000" w:themeColor="text1"/>
          <w:sz w:val="24"/>
          <w:szCs w:val="24"/>
          <w:highlight w:val="none"/>
          <w14:textFill>
            <w14:solidFill>
              <w14:schemeClr w14:val="tx1"/>
            </w14:solidFill>
          </w14:textFill>
        </w:rPr>
        <w:t>的70%，满二周年后付至</w:t>
      </w:r>
      <w:r>
        <w:rPr>
          <w:rFonts w:hint="eastAsia" w:ascii="宋体" w:hAnsi="宋体" w:cs="宋体"/>
          <w:color w:val="000000" w:themeColor="text1"/>
          <w:sz w:val="24"/>
          <w:szCs w:val="24"/>
          <w:highlight w:val="none"/>
          <w:lang w:val="en-US" w:eastAsia="zh-CN"/>
          <w14:textFill>
            <w14:solidFill>
              <w14:schemeClr w14:val="tx1"/>
            </w14:solidFill>
          </w14:textFill>
        </w:rPr>
        <w:t>该部分费用的</w:t>
      </w:r>
      <w:r>
        <w:rPr>
          <w:rFonts w:hint="eastAsia" w:ascii="宋体" w:hAnsi="宋体" w:cs="宋体"/>
          <w:color w:val="000000" w:themeColor="text1"/>
          <w:sz w:val="24"/>
          <w:szCs w:val="24"/>
          <w:highlight w:val="none"/>
          <w14:textFill>
            <w14:solidFill>
              <w14:schemeClr w14:val="tx1"/>
            </w14:solidFill>
          </w14:textFill>
        </w:rPr>
        <w:t>90%，满三周年后付清</w:t>
      </w:r>
      <w:r>
        <w:rPr>
          <w:rFonts w:hint="eastAsia" w:ascii="宋体" w:hAnsi="宋体" w:cs="宋体"/>
          <w:color w:val="000000" w:themeColor="text1"/>
          <w:sz w:val="24"/>
          <w:szCs w:val="24"/>
          <w:highlight w:val="none"/>
          <w:lang w:eastAsia="zh-CN"/>
          <w14:textFill>
            <w14:solidFill>
              <w14:schemeClr w14:val="tx1"/>
            </w14:solidFill>
          </w14:textFill>
        </w:rPr>
        <w:t>。</w:t>
      </w:r>
    </w:p>
    <w:p w14:paraId="16CB6309">
      <w:pPr>
        <w:tabs>
          <w:tab w:val="left" w:pos="0"/>
        </w:tabs>
        <w:spacing w:line="440" w:lineRule="exact"/>
        <w:ind w:right="-27" w:firstLine="1024"/>
        <w:rPr>
          <w:rFonts w:hint="eastAsia" w:ascii="宋体" w:hAnsi="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2.2、水生植物养护管理费：合同签订后的30日历天内，支付该部分合同金额的10%作为预付款，</w:t>
      </w:r>
      <w:r>
        <w:rPr>
          <w:rFonts w:hint="eastAsia" w:ascii="宋体" w:hAnsi="宋体" w:cs="宋体"/>
          <w:color w:val="000000" w:themeColor="text1"/>
          <w:sz w:val="24"/>
          <w:szCs w:val="24"/>
          <w:highlight w:val="none"/>
          <w14:textFill>
            <w14:solidFill>
              <w14:schemeClr w14:val="tx1"/>
            </w14:solidFill>
          </w14:textFill>
        </w:rPr>
        <w:t>项目结束后当年度付至</w:t>
      </w:r>
      <w:r>
        <w:rPr>
          <w:rFonts w:hint="eastAsia" w:ascii="宋体" w:hAnsi="宋体" w:cs="宋体"/>
          <w:color w:val="000000" w:themeColor="text1"/>
          <w:sz w:val="24"/>
          <w:szCs w:val="24"/>
          <w:highlight w:val="none"/>
          <w:lang w:val="en-US" w:eastAsia="zh-CN"/>
          <w14:textFill>
            <w14:solidFill>
              <w14:schemeClr w14:val="tx1"/>
            </w14:solidFill>
          </w14:textFill>
        </w:rPr>
        <w:t>该部分费用的</w:t>
      </w:r>
      <w:r>
        <w:rPr>
          <w:rFonts w:hint="eastAsia" w:ascii="宋体" w:hAnsi="宋体" w:cs="宋体"/>
          <w:color w:val="000000" w:themeColor="text1"/>
          <w:sz w:val="24"/>
          <w:szCs w:val="24"/>
          <w:highlight w:val="none"/>
          <w14:textFill>
            <w14:solidFill>
              <w14:schemeClr w14:val="tx1"/>
            </w14:solidFill>
          </w14:textFill>
        </w:rPr>
        <w:t>50%，满一周年后付至</w:t>
      </w:r>
      <w:r>
        <w:rPr>
          <w:rFonts w:hint="eastAsia" w:ascii="宋体" w:hAnsi="宋体" w:cs="宋体"/>
          <w:color w:val="000000" w:themeColor="text1"/>
          <w:sz w:val="24"/>
          <w:szCs w:val="24"/>
          <w:highlight w:val="none"/>
          <w:lang w:val="en-US" w:eastAsia="zh-CN"/>
          <w14:textFill>
            <w14:solidFill>
              <w14:schemeClr w14:val="tx1"/>
            </w14:solidFill>
          </w14:textFill>
        </w:rPr>
        <w:t>该部分费用</w:t>
      </w:r>
      <w:r>
        <w:rPr>
          <w:rFonts w:hint="eastAsia" w:ascii="宋体" w:hAnsi="宋体" w:cs="宋体"/>
          <w:color w:val="000000" w:themeColor="text1"/>
          <w:sz w:val="24"/>
          <w:szCs w:val="24"/>
          <w:highlight w:val="none"/>
          <w14:textFill>
            <w14:solidFill>
              <w14:schemeClr w14:val="tx1"/>
            </w14:solidFill>
          </w14:textFill>
        </w:rPr>
        <w:t>的70%，满二周年后付至</w:t>
      </w:r>
      <w:r>
        <w:rPr>
          <w:rFonts w:hint="eastAsia" w:ascii="宋体" w:hAnsi="宋体" w:cs="宋体"/>
          <w:color w:val="000000" w:themeColor="text1"/>
          <w:sz w:val="24"/>
          <w:szCs w:val="24"/>
          <w:highlight w:val="none"/>
          <w:lang w:val="en-US" w:eastAsia="zh-CN"/>
          <w14:textFill>
            <w14:solidFill>
              <w14:schemeClr w14:val="tx1"/>
            </w14:solidFill>
          </w14:textFill>
        </w:rPr>
        <w:t>该部分费用的</w:t>
      </w:r>
      <w:r>
        <w:rPr>
          <w:rFonts w:hint="eastAsia" w:ascii="宋体" w:hAnsi="宋体" w:cs="宋体"/>
          <w:color w:val="000000" w:themeColor="text1"/>
          <w:sz w:val="24"/>
          <w:szCs w:val="24"/>
          <w:highlight w:val="none"/>
          <w14:textFill>
            <w14:solidFill>
              <w14:schemeClr w14:val="tx1"/>
            </w14:solidFill>
          </w14:textFill>
        </w:rPr>
        <w:t>90%，满三周年后付清</w:t>
      </w:r>
      <w:r>
        <w:rPr>
          <w:rFonts w:hint="eastAsia" w:ascii="宋体" w:hAnsi="宋体" w:cs="宋体"/>
          <w:color w:val="000000" w:themeColor="text1"/>
          <w:sz w:val="24"/>
          <w:szCs w:val="24"/>
          <w:highlight w:val="none"/>
          <w:lang w:eastAsia="zh-CN"/>
          <w14:textFill>
            <w14:solidFill>
              <w14:schemeClr w14:val="tx1"/>
            </w14:solidFill>
          </w14:textFill>
        </w:rPr>
        <w:t>。（</w:t>
      </w:r>
      <w:r>
        <w:rPr>
          <w:rFonts w:hint="eastAsia" w:ascii="宋体" w:hAnsi="宋体" w:cs="宋体"/>
          <w:color w:val="000000" w:themeColor="text1"/>
          <w:sz w:val="24"/>
          <w:szCs w:val="24"/>
          <w:highlight w:val="none"/>
          <w:lang w:val="en-US" w:eastAsia="zh-CN"/>
          <w14:textFill>
            <w14:solidFill>
              <w14:schemeClr w14:val="tx1"/>
            </w14:solidFill>
          </w14:textFill>
        </w:rPr>
        <w:t>因区域调整或变动导致养护面积增减的，则按</w:t>
      </w:r>
      <w:r>
        <w:rPr>
          <w:rFonts w:hint="eastAsia" w:ascii="宋体" w:hAnsi="宋体" w:cs="宋体"/>
          <w:color w:val="000000" w:themeColor="text1"/>
          <w:sz w:val="24"/>
          <w:szCs w:val="24"/>
          <w:highlight w:val="none"/>
          <w14:textFill>
            <w14:solidFill>
              <w14:schemeClr w14:val="tx1"/>
            </w14:solidFill>
          </w14:textFill>
        </w:rPr>
        <w:t>中标绿化养护单价（</w:t>
      </w:r>
      <w:r>
        <w:rPr>
          <w:rFonts w:hint="eastAsia" w:ascii="宋体" w:hAnsi="宋体" w:cs="宋体"/>
          <w:color w:val="000000" w:themeColor="text1"/>
          <w:sz w:val="24"/>
          <w:szCs w:val="24"/>
          <w:highlight w:val="none"/>
          <w:lang w:val="en-US" w:eastAsia="zh-CN"/>
          <w14:textFill>
            <w14:solidFill>
              <w14:schemeClr w14:val="tx1"/>
            </w14:solidFill>
          </w14:textFill>
        </w:rPr>
        <w:t>该部分服务费总价/</w:t>
      </w:r>
      <w:r>
        <w:rPr>
          <w:rFonts w:hint="eastAsia" w:ascii="宋体" w:hAnsi="宋体" w:cs="宋体"/>
          <w:color w:val="000000" w:themeColor="text1"/>
          <w:sz w:val="24"/>
          <w:szCs w:val="24"/>
          <w:highlight w:val="none"/>
          <w14:textFill>
            <w14:solidFill>
              <w14:schemeClr w14:val="tx1"/>
            </w14:solidFill>
          </w14:textFill>
        </w:rPr>
        <w:t>总面积计算）来调整养护服务费用</w:t>
      </w:r>
      <w:r>
        <w:rPr>
          <w:rFonts w:hint="eastAsia" w:ascii="宋体" w:hAnsi="宋体" w:cs="宋体"/>
          <w:color w:val="000000" w:themeColor="text1"/>
          <w:sz w:val="24"/>
          <w:szCs w:val="24"/>
          <w:highlight w:val="none"/>
          <w:lang w:eastAsia="zh-CN"/>
          <w14:textFill>
            <w14:solidFill>
              <w14:schemeClr w14:val="tx1"/>
            </w14:solidFill>
          </w14:textFill>
        </w:rPr>
        <w:t>）</w:t>
      </w:r>
    </w:p>
    <w:p w14:paraId="5580C09B">
      <w:pPr>
        <w:tabs>
          <w:tab w:val="left" w:pos="0"/>
        </w:tabs>
        <w:spacing w:line="440" w:lineRule="exact"/>
        <w:ind w:right="-27" w:firstLine="1024"/>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2.3、雨污管网养护、维修管理费：</w:t>
      </w:r>
      <w:r>
        <w:rPr>
          <w:rFonts w:hint="eastAsia" w:ascii="宋体" w:hAnsi="宋体" w:cs="宋体"/>
          <w:color w:val="000000" w:themeColor="text1"/>
          <w:sz w:val="24"/>
          <w:szCs w:val="24"/>
          <w:highlight w:val="none"/>
          <w14:textFill>
            <w14:solidFill>
              <w14:schemeClr w14:val="tx1"/>
            </w14:solidFill>
          </w14:textFill>
        </w:rPr>
        <w:t>中标人根据实际完成的工作量汇总制作结算报告，由采购人送第三方中介机构审核。结算方式为项目结束后当年度</w:t>
      </w:r>
      <w:r>
        <w:rPr>
          <w:rFonts w:hint="eastAsia" w:ascii="宋体" w:hAnsi="宋体" w:cs="宋体"/>
          <w:color w:val="000000" w:themeColor="text1"/>
          <w:sz w:val="24"/>
          <w:szCs w:val="24"/>
          <w:highlight w:val="none"/>
          <w:lang w:val="en-US" w:eastAsia="zh-CN"/>
          <w14:textFill>
            <w14:solidFill>
              <w14:schemeClr w14:val="tx1"/>
            </w14:solidFill>
          </w14:textFill>
        </w:rPr>
        <w:t>支付</w:t>
      </w:r>
      <w:r>
        <w:rPr>
          <w:rFonts w:hint="eastAsia" w:ascii="宋体" w:hAnsi="宋体" w:cs="宋体"/>
          <w:color w:val="000000" w:themeColor="text1"/>
          <w:sz w:val="24"/>
          <w:szCs w:val="24"/>
          <w:highlight w:val="none"/>
          <w14:textFill>
            <w14:solidFill>
              <w14:schemeClr w14:val="tx1"/>
            </w14:solidFill>
          </w14:textFill>
        </w:rPr>
        <w:t>竣工结算价的50%，</w:t>
      </w:r>
      <w:r>
        <w:rPr>
          <w:rFonts w:hint="eastAsia" w:ascii="宋体" w:hAnsi="宋体" w:cs="宋体"/>
          <w:color w:val="000000" w:themeColor="text1"/>
          <w:sz w:val="24"/>
          <w:szCs w:val="24"/>
          <w:highlight w:val="none"/>
          <w:lang w:val="en-US" w:eastAsia="zh-CN"/>
          <w14:textFill>
            <w14:solidFill>
              <w14:schemeClr w14:val="tx1"/>
            </w14:solidFill>
          </w14:textFill>
        </w:rPr>
        <w:t>项目结束</w:t>
      </w:r>
      <w:r>
        <w:rPr>
          <w:rFonts w:hint="eastAsia" w:ascii="宋体" w:hAnsi="宋体" w:cs="宋体"/>
          <w:color w:val="000000" w:themeColor="text1"/>
          <w:sz w:val="24"/>
          <w:szCs w:val="24"/>
          <w:highlight w:val="none"/>
          <w14:textFill>
            <w14:solidFill>
              <w14:schemeClr w14:val="tx1"/>
            </w14:solidFill>
          </w14:textFill>
        </w:rPr>
        <w:t>一周年后付至</w:t>
      </w:r>
      <w:r>
        <w:rPr>
          <w:rFonts w:hint="eastAsia" w:ascii="宋体" w:hAnsi="宋体" w:cs="宋体"/>
          <w:color w:val="000000" w:themeColor="text1"/>
          <w:sz w:val="24"/>
          <w:szCs w:val="24"/>
          <w:highlight w:val="none"/>
          <w:lang w:val="en-US" w:eastAsia="zh-CN"/>
          <w14:textFill>
            <w14:solidFill>
              <w14:schemeClr w14:val="tx1"/>
            </w14:solidFill>
          </w14:textFill>
        </w:rPr>
        <w:t>竣工结算价</w:t>
      </w:r>
      <w:r>
        <w:rPr>
          <w:rFonts w:hint="eastAsia" w:ascii="宋体" w:hAnsi="宋体" w:cs="宋体"/>
          <w:color w:val="000000" w:themeColor="text1"/>
          <w:sz w:val="24"/>
          <w:szCs w:val="24"/>
          <w:highlight w:val="none"/>
          <w14:textFill>
            <w14:solidFill>
              <w14:schemeClr w14:val="tx1"/>
            </w14:solidFill>
          </w14:textFill>
        </w:rPr>
        <w:t>的70%，</w:t>
      </w:r>
      <w:r>
        <w:rPr>
          <w:rFonts w:hint="eastAsia" w:ascii="宋体" w:hAnsi="宋体" w:cs="宋体"/>
          <w:color w:val="000000" w:themeColor="text1"/>
          <w:sz w:val="24"/>
          <w:szCs w:val="24"/>
          <w:highlight w:val="none"/>
          <w:lang w:val="en-US" w:eastAsia="zh-CN"/>
          <w14:textFill>
            <w14:solidFill>
              <w14:schemeClr w14:val="tx1"/>
            </w14:solidFill>
          </w14:textFill>
        </w:rPr>
        <w:t>项目结束</w:t>
      </w:r>
      <w:r>
        <w:rPr>
          <w:rFonts w:hint="eastAsia" w:ascii="宋体" w:hAnsi="宋体" w:cs="宋体"/>
          <w:color w:val="000000" w:themeColor="text1"/>
          <w:sz w:val="24"/>
          <w:szCs w:val="24"/>
          <w:highlight w:val="none"/>
          <w14:textFill>
            <w14:solidFill>
              <w14:schemeClr w14:val="tx1"/>
            </w14:solidFill>
          </w14:textFill>
        </w:rPr>
        <w:t>满二周年</w:t>
      </w:r>
      <w:r>
        <w:rPr>
          <w:rFonts w:hint="eastAsia" w:ascii="宋体" w:hAnsi="宋体" w:cs="宋体"/>
          <w:color w:val="000000" w:themeColor="text1"/>
          <w:sz w:val="24"/>
          <w:szCs w:val="24"/>
          <w:highlight w:val="none"/>
          <w:lang w:val="en-US" w:eastAsia="zh-CN"/>
          <w14:textFill>
            <w14:solidFill>
              <w14:schemeClr w14:val="tx1"/>
            </w14:solidFill>
          </w14:textFill>
        </w:rPr>
        <w:t>并经审计</w:t>
      </w:r>
      <w:r>
        <w:rPr>
          <w:rFonts w:hint="eastAsia" w:ascii="宋体" w:hAnsi="宋体" w:cs="宋体"/>
          <w:color w:val="000000" w:themeColor="text1"/>
          <w:sz w:val="24"/>
          <w:szCs w:val="24"/>
          <w:highlight w:val="none"/>
          <w14:textFill>
            <w14:solidFill>
              <w14:schemeClr w14:val="tx1"/>
            </w14:solidFill>
          </w14:textFill>
        </w:rPr>
        <w:t>后付至</w:t>
      </w:r>
      <w:r>
        <w:rPr>
          <w:rFonts w:hint="eastAsia" w:ascii="宋体" w:hAnsi="宋体" w:cs="宋体"/>
          <w:color w:val="000000" w:themeColor="text1"/>
          <w:sz w:val="24"/>
          <w:szCs w:val="24"/>
          <w:highlight w:val="none"/>
          <w:lang w:val="en-US" w:eastAsia="zh-CN"/>
          <w14:textFill>
            <w14:solidFill>
              <w14:schemeClr w14:val="tx1"/>
            </w14:solidFill>
          </w14:textFill>
        </w:rPr>
        <w:t>审定金额的</w:t>
      </w:r>
      <w:r>
        <w:rPr>
          <w:rFonts w:hint="eastAsia" w:ascii="宋体" w:hAnsi="宋体" w:cs="宋体"/>
          <w:color w:val="000000" w:themeColor="text1"/>
          <w:sz w:val="24"/>
          <w:szCs w:val="24"/>
          <w:highlight w:val="none"/>
          <w14:textFill>
            <w14:solidFill>
              <w14:schemeClr w14:val="tx1"/>
            </w14:solidFill>
          </w14:textFill>
        </w:rPr>
        <w:t>90%，</w:t>
      </w:r>
      <w:r>
        <w:rPr>
          <w:rFonts w:hint="eastAsia" w:ascii="宋体" w:hAnsi="宋体" w:cs="宋体"/>
          <w:color w:val="000000" w:themeColor="text1"/>
          <w:sz w:val="24"/>
          <w:szCs w:val="24"/>
          <w:highlight w:val="none"/>
          <w:lang w:val="en-US" w:eastAsia="zh-CN"/>
          <w14:textFill>
            <w14:solidFill>
              <w14:schemeClr w14:val="tx1"/>
            </w14:solidFill>
          </w14:textFill>
        </w:rPr>
        <w:t>项目结束</w:t>
      </w:r>
      <w:r>
        <w:rPr>
          <w:rFonts w:hint="eastAsia" w:ascii="宋体" w:hAnsi="宋体" w:cs="宋体"/>
          <w:color w:val="000000" w:themeColor="text1"/>
          <w:sz w:val="24"/>
          <w:szCs w:val="24"/>
          <w:highlight w:val="none"/>
          <w14:textFill>
            <w14:solidFill>
              <w14:schemeClr w14:val="tx1"/>
            </w14:solidFill>
          </w14:textFill>
        </w:rPr>
        <w:t>满</w:t>
      </w:r>
      <w:r>
        <w:rPr>
          <w:rFonts w:hint="eastAsia" w:ascii="宋体" w:hAnsi="宋体" w:cs="宋体"/>
          <w:color w:val="000000" w:themeColor="text1"/>
          <w:sz w:val="24"/>
          <w:szCs w:val="24"/>
          <w:highlight w:val="none"/>
          <w:lang w:val="en-US" w:eastAsia="zh-CN"/>
          <w14:textFill>
            <w14:solidFill>
              <w14:schemeClr w14:val="tx1"/>
            </w14:solidFill>
          </w14:textFill>
        </w:rPr>
        <w:t>三</w:t>
      </w:r>
      <w:r>
        <w:rPr>
          <w:rFonts w:hint="eastAsia" w:ascii="宋体" w:hAnsi="宋体" w:cs="宋体"/>
          <w:color w:val="000000" w:themeColor="text1"/>
          <w:sz w:val="24"/>
          <w:szCs w:val="24"/>
          <w:highlight w:val="none"/>
          <w14:textFill>
            <w14:solidFill>
              <w14:schemeClr w14:val="tx1"/>
            </w14:solidFill>
          </w14:textFill>
        </w:rPr>
        <w:t>周年</w:t>
      </w:r>
      <w:r>
        <w:rPr>
          <w:rFonts w:hint="eastAsia" w:ascii="宋体" w:hAnsi="宋体" w:cs="宋体"/>
          <w:color w:val="000000" w:themeColor="text1"/>
          <w:sz w:val="24"/>
          <w:szCs w:val="24"/>
          <w:highlight w:val="none"/>
          <w:lang w:val="en-US" w:eastAsia="zh-CN"/>
          <w14:textFill>
            <w14:solidFill>
              <w14:schemeClr w14:val="tx1"/>
            </w14:solidFill>
          </w14:textFill>
        </w:rPr>
        <w:t>并经审计</w:t>
      </w:r>
      <w:r>
        <w:rPr>
          <w:rFonts w:hint="eastAsia" w:ascii="宋体" w:hAnsi="宋体" w:cs="宋体"/>
          <w:color w:val="000000" w:themeColor="text1"/>
          <w:sz w:val="24"/>
          <w:szCs w:val="24"/>
          <w:highlight w:val="none"/>
          <w14:textFill>
            <w14:solidFill>
              <w14:schemeClr w14:val="tx1"/>
            </w14:solidFill>
          </w14:textFill>
        </w:rPr>
        <w:t>后付至</w:t>
      </w:r>
      <w:r>
        <w:rPr>
          <w:rFonts w:hint="eastAsia" w:ascii="宋体" w:hAnsi="宋体" w:cs="宋体"/>
          <w:color w:val="000000" w:themeColor="text1"/>
          <w:sz w:val="24"/>
          <w:szCs w:val="24"/>
          <w:highlight w:val="none"/>
          <w:lang w:val="en-US" w:eastAsia="zh-CN"/>
          <w14:textFill>
            <w14:solidFill>
              <w14:schemeClr w14:val="tx1"/>
            </w14:solidFill>
          </w14:textFill>
        </w:rPr>
        <w:t>审定金额的100</w:t>
      </w:r>
      <w:r>
        <w:rPr>
          <w:rFonts w:hint="eastAsia" w:ascii="宋体" w:hAnsi="宋体" w:cs="宋体"/>
          <w:color w:val="000000" w:themeColor="text1"/>
          <w:sz w:val="24"/>
          <w:szCs w:val="24"/>
          <w:highlight w:val="none"/>
          <w14:textFill>
            <w14:solidFill>
              <w14:schemeClr w14:val="tx1"/>
            </w14:solidFill>
          </w14:textFill>
        </w:rPr>
        <w:t>%</w:t>
      </w:r>
      <w:r>
        <w:rPr>
          <w:rFonts w:hint="eastAsia" w:ascii="宋体" w:hAnsi="宋体" w:cs="宋体"/>
          <w:color w:val="000000" w:themeColor="text1"/>
          <w:sz w:val="24"/>
          <w:szCs w:val="24"/>
          <w:highlight w:val="none"/>
          <w:lang w:eastAsia="zh-CN"/>
          <w14:textFill>
            <w14:solidFill>
              <w14:schemeClr w14:val="tx1"/>
            </w14:solidFill>
          </w14:textFill>
        </w:rPr>
        <w:t>。</w:t>
      </w:r>
    </w:p>
    <w:p w14:paraId="5CE44E1C">
      <w:pPr>
        <w:pageBreakBefore w:val="0"/>
        <w:spacing w:line="440" w:lineRule="exact"/>
        <w:ind w:left="50" w:right="50"/>
        <w:rPr>
          <w:rFonts w:hint="eastAsia"/>
          <w:i w:val="0"/>
          <w:iCs/>
          <w:color w:val="000000" w:themeColor="text1"/>
          <w:sz w:val="24"/>
          <w:szCs w:val="24"/>
          <w:highlight w:val="none"/>
          <w:u w:val="none"/>
          <w:lang w:val="en-US" w:eastAsia="zh-CN"/>
          <w14:textFill>
            <w14:solidFill>
              <w14:schemeClr w14:val="tx1"/>
            </w14:solidFill>
          </w14:textFill>
        </w:rPr>
      </w:pPr>
      <w:r>
        <w:rPr>
          <w:rFonts w:hint="eastAsia"/>
          <w:i w:val="0"/>
          <w:iCs/>
          <w:color w:val="000000" w:themeColor="text1"/>
          <w:sz w:val="24"/>
          <w:szCs w:val="24"/>
          <w:highlight w:val="none"/>
          <w:u w:val="none"/>
          <w14:textFill>
            <w14:solidFill>
              <w14:schemeClr w14:val="tx1"/>
            </w14:solidFill>
          </w14:textFill>
        </w:rPr>
        <w:t>注：（</w:t>
      </w:r>
      <w:r>
        <w:rPr>
          <w:i w:val="0"/>
          <w:iCs/>
          <w:color w:val="000000" w:themeColor="text1"/>
          <w:sz w:val="24"/>
          <w:szCs w:val="24"/>
          <w:highlight w:val="none"/>
          <w:u w:val="none"/>
          <w14:textFill>
            <w14:solidFill>
              <w14:schemeClr w14:val="tx1"/>
            </w14:solidFill>
          </w14:textFill>
        </w:rPr>
        <w:t>1</w:t>
      </w:r>
      <w:r>
        <w:rPr>
          <w:rFonts w:hint="eastAsia"/>
          <w:i w:val="0"/>
          <w:iCs/>
          <w:color w:val="000000" w:themeColor="text1"/>
          <w:sz w:val="24"/>
          <w:szCs w:val="24"/>
          <w:highlight w:val="none"/>
          <w:u w:val="none"/>
          <w14:textFill>
            <w14:solidFill>
              <w14:schemeClr w14:val="tx1"/>
            </w14:solidFill>
          </w14:textFill>
        </w:rPr>
        <w:t>）以上每次付款前，</w:t>
      </w:r>
      <w:r>
        <w:rPr>
          <w:rFonts w:hint="eastAsia"/>
          <w:i w:val="0"/>
          <w:iCs/>
          <w:color w:val="000000" w:themeColor="text1"/>
          <w:sz w:val="24"/>
          <w:szCs w:val="24"/>
          <w:highlight w:val="none"/>
          <w:u w:val="none"/>
          <w:lang w:val="en-US" w:eastAsia="zh-CN"/>
          <w14:textFill>
            <w14:solidFill>
              <w14:schemeClr w14:val="tx1"/>
            </w14:solidFill>
          </w14:textFill>
        </w:rPr>
        <w:t>乙方</w:t>
      </w:r>
      <w:r>
        <w:rPr>
          <w:rFonts w:hint="eastAsia"/>
          <w:i w:val="0"/>
          <w:iCs/>
          <w:color w:val="000000" w:themeColor="text1"/>
          <w:sz w:val="24"/>
          <w:szCs w:val="24"/>
          <w:highlight w:val="none"/>
          <w:u w:val="none"/>
          <w14:textFill>
            <w14:solidFill>
              <w14:schemeClr w14:val="tx1"/>
            </w14:solidFill>
          </w14:textFill>
        </w:rPr>
        <w:t>均应提供符合</w:t>
      </w:r>
      <w:r>
        <w:rPr>
          <w:rFonts w:hint="eastAsia"/>
          <w:i w:val="0"/>
          <w:iCs/>
          <w:color w:val="000000" w:themeColor="text1"/>
          <w:sz w:val="24"/>
          <w:szCs w:val="24"/>
          <w:highlight w:val="none"/>
          <w:u w:val="none"/>
          <w:lang w:val="en-US" w:eastAsia="zh-CN"/>
          <w14:textFill>
            <w14:solidFill>
              <w14:schemeClr w14:val="tx1"/>
            </w14:solidFill>
          </w14:textFill>
        </w:rPr>
        <w:t>甲方</w:t>
      </w:r>
      <w:r>
        <w:rPr>
          <w:rFonts w:hint="eastAsia"/>
          <w:i w:val="0"/>
          <w:iCs/>
          <w:color w:val="000000" w:themeColor="text1"/>
          <w:sz w:val="24"/>
          <w:szCs w:val="24"/>
          <w:highlight w:val="none"/>
          <w:u w:val="none"/>
          <w14:textFill>
            <w14:solidFill>
              <w14:schemeClr w14:val="tx1"/>
            </w14:solidFill>
          </w14:textFill>
        </w:rPr>
        <w:t>要求的同等金额的合法有效发票。否则，</w:t>
      </w:r>
      <w:r>
        <w:rPr>
          <w:rFonts w:hint="eastAsia"/>
          <w:i w:val="0"/>
          <w:iCs/>
          <w:color w:val="000000" w:themeColor="text1"/>
          <w:sz w:val="24"/>
          <w:szCs w:val="24"/>
          <w:highlight w:val="none"/>
          <w:u w:val="none"/>
          <w:lang w:val="en-US" w:eastAsia="zh-CN"/>
          <w14:textFill>
            <w14:solidFill>
              <w14:schemeClr w14:val="tx1"/>
            </w14:solidFill>
          </w14:textFill>
        </w:rPr>
        <w:t>甲方</w:t>
      </w:r>
      <w:r>
        <w:rPr>
          <w:rFonts w:hint="eastAsia"/>
          <w:i w:val="0"/>
          <w:iCs/>
          <w:color w:val="000000" w:themeColor="text1"/>
          <w:sz w:val="24"/>
          <w:szCs w:val="24"/>
          <w:highlight w:val="none"/>
          <w:u w:val="none"/>
          <w14:textFill>
            <w14:solidFill>
              <w14:schemeClr w14:val="tx1"/>
            </w14:solidFill>
          </w14:textFill>
        </w:rPr>
        <w:t>有权顺延付款时间，且不承担任何违约及赔偿责任。</w:t>
      </w:r>
      <w:r>
        <w:rPr>
          <w:rFonts w:hint="eastAsia"/>
          <w:i w:val="0"/>
          <w:iCs/>
          <w:color w:val="000000" w:themeColor="text1"/>
          <w:sz w:val="24"/>
          <w:szCs w:val="24"/>
          <w:highlight w:val="none"/>
          <w:u w:val="none"/>
          <w:lang w:val="en-US" w:eastAsia="zh-CN"/>
          <w14:textFill>
            <w14:solidFill>
              <w14:schemeClr w14:val="tx1"/>
            </w14:solidFill>
          </w14:textFill>
        </w:rPr>
        <w:t xml:space="preserve"> </w:t>
      </w:r>
    </w:p>
    <w:p w14:paraId="10CA7F54">
      <w:pPr>
        <w:pageBreakBefore w:val="0"/>
        <w:spacing w:line="440" w:lineRule="exact"/>
        <w:ind w:left="50" w:right="50" w:firstLine="240"/>
        <w:rPr>
          <w:rFonts w:hint="eastAsia"/>
          <w:i w:val="0"/>
          <w:iCs/>
          <w:color w:val="000000" w:themeColor="text1"/>
          <w:sz w:val="24"/>
          <w:szCs w:val="24"/>
          <w:highlight w:val="none"/>
          <w:u w:val="none"/>
          <w14:textFill>
            <w14:solidFill>
              <w14:schemeClr w14:val="tx1"/>
            </w14:solidFill>
          </w14:textFill>
        </w:rPr>
      </w:pPr>
      <w:r>
        <w:rPr>
          <w:rFonts w:hint="eastAsia"/>
          <w:i w:val="0"/>
          <w:iCs/>
          <w:color w:val="000000" w:themeColor="text1"/>
          <w:sz w:val="24"/>
          <w:szCs w:val="24"/>
          <w:highlight w:val="none"/>
          <w:u w:val="none"/>
          <w:lang w:val="en-US" w:eastAsia="zh-CN"/>
          <w14:textFill>
            <w14:solidFill>
              <w14:schemeClr w14:val="tx1"/>
            </w14:solidFill>
          </w14:textFill>
        </w:rPr>
        <w:t>（2）</w:t>
      </w:r>
      <w:r>
        <w:rPr>
          <w:rFonts w:hint="eastAsia"/>
          <w:i w:val="0"/>
          <w:iCs/>
          <w:color w:val="000000" w:themeColor="text1"/>
          <w:sz w:val="24"/>
          <w:szCs w:val="24"/>
          <w:highlight w:val="none"/>
          <w:u w:val="none"/>
          <w14:textFill>
            <w14:solidFill>
              <w14:schemeClr w14:val="tx1"/>
            </w14:solidFill>
          </w14:textFill>
        </w:rPr>
        <w:t>本项目支付方式支持数字人民币方式。</w:t>
      </w:r>
    </w:p>
    <w:p w14:paraId="10E15CE1">
      <w:pPr>
        <w:pageBreakBefore w:val="0"/>
        <w:spacing w:line="440" w:lineRule="exact"/>
        <w:ind w:left="50" w:right="50" w:firstLine="240"/>
        <w:rPr>
          <w:rFonts w:hint="eastAsia"/>
          <w:i w:val="0"/>
          <w:iCs/>
          <w:color w:val="000000" w:themeColor="text1"/>
          <w:sz w:val="24"/>
          <w:szCs w:val="24"/>
          <w:highlight w:val="none"/>
          <w:u w:val="none"/>
          <w14:textFill>
            <w14:solidFill>
              <w14:schemeClr w14:val="tx1"/>
            </w14:solidFill>
          </w14:textFill>
        </w:rPr>
      </w:pPr>
      <w:r>
        <w:rPr>
          <w:rFonts w:hint="eastAsia"/>
          <w:i w:val="0"/>
          <w:iCs/>
          <w:color w:val="000000" w:themeColor="text1"/>
          <w:sz w:val="24"/>
          <w:szCs w:val="24"/>
          <w:highlight w:val="none"/>
          <w:u w:val="none"/>
          <w:lang w:val="en-US" w:eastAsia="zh-CN"/>
          <w14:textFill>
            <w14:solidFill>
              <w14:schemeClr w14:val="tx1"/>
            </w14:solidFill>
          </w14:textFill>
        </w:rPr>
        <w:t>（3）</w:t>
      </w:r>
      <w:r>
        <w:rPr>
          <w:rFonts w:hint="eastAsia"/>
          <w:i w:val="0"/>
          <w:iCs/>
          <w:color w:val="000000" w:themeColor="text1"/>
          <w:sz w:val="24"/>
          <w:szCs w:val="24"/>
          <w:highlight w:val="none"/>
          <w:u w:val="none"/>
          <w14:textFill>
            <w14:solidFill>
              <w14:schemeClr w14:val="tx1"/>
            </w14:solidFill>
          </w14:textFill>
        </w:rPr>
        <w:t>在签订合同时</w:t>
      </w:r>
      <w:r>
        <w:rPr>
          <w:rFonts w:hint="eastAsia"/>
          <w:i w:val="0"/>
          <w:iCs/>
          <w:color w:val="000000" w:themeColor="text1"/>
          <w:sz w:val="24"/>
          <w:szCs w:val="24"/>
          <w:highlight w:val="none"/>
          <w:u w:val="none"/>
          <w:lang w:val="en-US" w:eastAsia="zh-CN"/>
          <w14:textFill>
            <w14:solidFill>
              <w14:schemeClr w14:val="tx1"/>
            </w14:solidFill>
          </w14:textFill>
        </w:rPr>
        <w:t>乙方</w:t>
      </w:r>
      <w:r>
        <w:rPr>
          <w:rFonts w:hint="eastAsia"/>
          <w:i w:val="0"/>
          <w:iCs/>
          <w:color w:val="000000" w:themeColor="text1"/>
          <w:sz w:val="24"/>
          <w:szCs w:val="24"/>
          <w:highlight w:val="none"/>
          <w:u w:val="none"/>
          <w14:textFill>
            <w14:solidFill>
              <w14:schemeClr w14:val="tx1"/>
            </w14:solidFill>
          </w14:textFill>
        </w:rPr>
        <w:t>明确表示无需预付款或者主要要求降低预付款比例的，上述付款方式</w:t>
      </w:r>
      <w:r>
        <w:rPr>
          <w:rFonts w:hint="eastAsia"/>
          <w:i w:val="0"/>
          <w:iCs/>
          <w:color w:val="000000" w:themeColor="text1"/>
          <w:sz w:val="24"/>
          <w:szCs w:val="24"/>
          <w:highlight w:val="none"/>
          <w:u w:val="none"/>
          <w:lang w:val="en-US" w:eastAsia="zh-CN"/>
          <w14:textFill>
            <w14:solidFill>
              <w14:schemeClr w14:val="tx1"/>
            </w14:solidFill>
          </w14:textFill>
        </w:rPr>
        <w:t>中预付款要求</w:t>
      </w:r>
      <w:r>
        <w:rPr>
          <w:rFonts w:hint="eastAsia"/>
          <w:i w:val="0"/>
          <w:iCs/>
          <w:color w:val="000000" w:themeColor="text1"/>
          <w:sz w:val="24"/>
          <w:szCs w:val="24"/>
          <w:highlight w:val="none"/>
          <w:u w:val="none"/>
          <w14:textFill>
            <w14:solidFill>
              <w14:schemeClr w14:val="tx1"/>
            </w14:solidFill>
          </w14:textFill>
        </w:rPr>
        <w:t>可不执行，但应当由</w:t>
      </w:r>
      <w:r>
        <w:rPr>
          <w:rFonts w:hint="eastAsia"/>
          <w:i w:val="0"/>
          <w:iCs/>
          <w:color w:val="000000" w:themeColor="text1"/>
          <w:sz w:val="24"/>
          <w:szCs w:val="24"/>
          <w:highlight w:val="none"/>
          <w:u w:val="none"/>
          <w:lang w:val="en-US" w:eastAsia="zh-CN"/>
          <w14:textFill>
            <w14:solidFill>
              <w14:schemeClr w14:val="tx1"/>
            </w14:solidFill>
          </w14:textFill>
        </w:rPr>
        <w:t>乙方</w:t>
      </w:r>
      <w:r>
        <w:rPr>
          <w:rFonts w:hint="eastAsia"/>
          <w:i w:val="0"/>
          <w:iCs/>
          <w:color w:val="000000" w:themeColor="text1"/>
          <w:sz w:val="24"/>
          <w:szCs w:val="24"/>
          <w:highlight w:val="none"/>
          <w:u w:val="none"/>
          <w14:textFill>
            <w14:solidFill>
              <w14:schemeClr w14:val="tx1"/>
            </w14:solidFill>
          </w14:textFill>
        </w:rPr>
        <w:t>书面提出并作为采购档案保存。</w:t>
      </w:r>
    </w:p>
    <w:p w14:paraId="0DF52A85">
      <w:pPr>
        <w:tabs>
          <w:tab w:val="left" w:pos="0"/>
          <w:tab w:val="left" w:pos="6983"/>
        </w:tabs>
        <w:spacing w:line="440" w:lineRule="exact"/>
        <w:ind w:right="-27" w:firstLine="482"/>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第</w:t>
      </w:r>
      <w:r>
        <w:rPr>
          <w:rFonts w:hint="eastAsia" w:ascii="宋体" w:hAnsi="宋体" w:cs="宋体"/>
          <w:b/>
          <w:bCs/>
          <w:color w:val="000000" w:themeColor="text1"/>
          <w:sz w:val="24"/>
          <w:szCs w:val="24"/>
          <w:highlight w:val="none"/>
          <w:lang w:val="en-US" w:eastAsia="zh-CN"/>
          <w14:textFill>
            <w14:solidFill>
              <w14:schemeClr w14:val="tx1"/>
            </w14:solidFill>
          </w14:textFill>
        </w:rPr>
        <w:t>六</w:t>
      </w:r>
      <w:r>
        <w:rPr>
          <w:rFonts w:hint="eastAsia" w:ascii="宋体" w:hAnsi="宋体" w:cs="宋体"/>
          <w:b/>
          <w:bCs/>
          <w:color w:val="000000" w:themeColor="text1"/>
          <w:sz w:val="24"/>
          <w:szCs w:val="24"/>
          <w:highlight w:val="none"/>
          <w14:textFill>
            <w14:solidFill>
              <w14:schemeClr w14:val="tx1"/>
            </w14:solidFill>
          </w14:textFill>
        </w:rPr>
        <w:t>条 验收办法</w:t>
      </w:r>
      <w:r>
        <w:rPr>
          <w:rFonts w:ascii="宋体" w:hAnsi="宋体" w:cs="宋体"/>
          <w:b/>
          <w:bCs/>
          <w:color w:val="000000" w:themeColor="text1"/>
          <w:sz w:val="24"/>
          <w:szCs w:val="24"/>
          <w:highlight w:val="none"/>
          <w14:textFill>
            <w14:solidFill>
              <w14:schemeClr w14:val="tx1"/>
            </w14:solidFill>
          </w14:textFill>
        </w:rPr>
        <w:tab/>
      </w:r>
    </w:p>
    <w:p w14:paraId="45E9AE4F">
      <w:pPr>
        <w:tabs>
          <w:tab w:val="left" w:pos="0"/>
        </w:tabs>
        <w:spacing w:line="440" w:lineRule="exact"/>
        <w:ind w:right="-27" w:firstLine="480"/>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1、甲方依法组织履约验收工作。</w:t>
      </w:r>
    </w:p>
    <w:p w14:paraId="2A611EA2">
      <w:pPr>
        <w:tabs>
          <w:tab w:val="left" w:pos="0"/>
        </w:tabs>
        <w:spacing w:line="440" w:lineRule="exact"/>
        <w:ind w:right="-27" w:firstLine="480"/>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2、甲方按照确定的验收方案或分期考核方案（包括履约验收的时间、方式、程序等内容），综合考核情况和服务效果进行验收。乙方应根据验收方案内容做好相应配合工作。</w:t>
      </w:r>
    </w:p>
    <w:p w14:paraId="55ED7251">
      <w:pPr>
        <w:tabs>
          <w:tab w:val="left" w:pos="0"/>
        </w:tabs>
        <w:spacing w:line="440" w:lineRule="exact"/>
        <w:ind w:right="-27" w:firstLine="480"/>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3、对于实际使用人和甲方分离的项目，甲方邀请实际使用人参与验收。</w:t>
      </w:r>
    </w:p>
    <w:p w14:paraId="3AFDC12B">
      <w:pPr>
        <w:tabs>
          <w:tab w:val="left" w:pos="0"/>
        </w:tabs>
        <w:spacing w:line="440" w:lineRule="exact"/>
        <w:ind w:right="-27" w:firstLine="480"/>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4、如有必要，甲方邀请参加本项目的其他投标人或第三方专业机构及专家参与验收，相关意见将作为验收书的参考资料。</w:t>
      </w:r>
    </w:p>
    <w:p w14:paraId="0B54279A">
      <w:pPr>
        <w:tabs>
          <w:tab w:val="left" w:pos="0"/>
        </w:tabs>
        <w:spacing w:line="440" w:lineRule="exact"/>
        <w:ind w:right="-27" w:firstLine="480"/>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02EC7D61">
      <w:pPr>
        <w:tabs>
          <w:tab w:val="left" w:pos="0"/>
        </w:tabs>
        <w:spacing w:line="440" w:lineRule="exact"/>
        <w:ind w:right="-27" w:firstLine="480"/>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6 验收合格的项目,甲方根据采购合同的约定及时向乙方支付合同款项、退还履约保证金（如有）。验收不合格的项目，甲方依法及时处理。</w:t>
      </w:r>
    </w:p>
    <w:p w14:paraId="4F50405D">
      <w:pPr>
        <w:tabs>
          <w:tab w:val="left" w:pos="0"/>
        </w:tabs>
        <w:spacing w:line="440" w:lineRule="exact"/>
        <w:ind w:right="-27" w:firstLine="482"/>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第</w:t>
      </w:r>
      <w:r>
        <w:rPr>
          <w:rFonts w:hint="eastAsia" w:ascii="宋体" w:hAnsi="宋体" w:cs="宋体"/>
          <w:b/>
          <w:bCs/>
          <w:color w:val="000000" w:themeColor="text1"/>
          <w:sz w:val="24"/>
          <w:szCs w:val="24"/>
          <w:highlight w:val="none"/>
          <w:lang w:val="en-US" w:eastAsia="zh-CN"/>
          <w14:textFill>
            <w14:solidFill>
              <w14:schemeClr w14:val="tx1"/>
            </w14:solidFill>
          </w14:textFill>
        </w:rPr>
        <w:t>七</w:t>
      </w:r>
      <w:r>
        <w:rPr>
          <w:rFonts w:hint="eastAsia" w:ascii="宋体" w:hAnsi="宋体" w:cs="宋体"/>
          <w:b/>
          <w:bCs/>
          <w:color w:val="000000" w:themeColor="text1"/>
          <w:sz w:val="24"/>
          <w:szCs w:val="24"/>
          <w:highlight w:val="none"/>
          <w14:textFill>
            <w14:solidFill>
              <w14:schemeClr w14:val="tx1"/>
            </w14:solidFill>
          </w14:textFill>
        </w:rPr>
        <w:t>条</w:t>
      </w:r>
      <w:r>
        <w:rPr>
          <w:rFonts w:ascii="宋体" w:hAnsi="宋体" w:cs="宋体"/>
          <w:b/>
          <w:bCs/>
          <w:color w:val="000000" w:themeColor="text1"/>
          <w:sz w:val="24"/>
          <w:szCs w:val="24"/>
          <w:highlight w:val="none"/>
          <w14:textFill>
            <w14:solidFill>
              <w14:schemeClr w14:val="tx1"/>
            </w14:solidFill>
          </w14:textFill>
        </w:rPr>
        <w:t xml:space="preserve">  </w:t>
      </w:r>
      <w:r>
        <w:rPr>
          <w:rFonts w:hint="eastAsia" w:ascii="宋体" w:hAnsi="宋体" w:cs="宋体"/>
          <w:b/>
          <w:bCs/>
          <w:color w:val="000000" w:themeColor="text1"/>
          <w:sz w:val="24"/>
          <w:szCs w:val="24"/>
          <w:highlight w:val="none"/>
          <w14:textFill>
            <w14:solidFill>
              <w14:schemeClr w14:val="tx1"/>
            </w14:solidFill>
          </w14:textFill>
        </w:rPr>
        <w:t>双方的其他权利义务</w:t>
      </w:r>
    </w:p>
    <w:p w14:paraId="40230E98">
      <w:pPr>
        <w:tabs>
          <w:tab w:val="left" w:pos="0"/>
        </w:tabs>
        <w:spacing w:line="440" w:lineRule="exact"/>
        <w:ind w:right="-27" w:firstLine="480"/>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1、甲方权利义务</w:t>
      </w:r>
    </w:p>
    <w:p w14:paraId="7EFA3D2B">
      <w:pPr>
        <w:tabs>
          <w:tab w:val="left" w:pos="0"/>
        </w:tabs>
        <w:spacing w:line="440" w:lineRule="exact"/>
        <w:ind w:right="-27" w:firstLine="720"/>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1.1 甲方权利</w:t>
      </w:r>
    </w:p>
    <w:p w14:paraId="31EB19C0">
      <w:pPr>
        <w:tabs>
          <w:tab w:val="left" w:pos="0"/>
        </w:tabs>
        <w:spacing w:line="440" w:lineRule="exact"/>
        <w:ind w:right="-27" w:firstLine="789"/>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甲方有权随时向乙方了解服务进展，提出改进意见和建议；甲方有权根据实际履约质量和进度情况要求乙方按照本合同约定加强管理直至提供符合约定的服务。</w:t>
      </w:r>
    </w:p>
    <w:p w14:paraId="3C70DF3F">
      <w:pPr>
        <w:tabs>
          <w:tab w:val="left" w:pos="0"/>
        </w:tabs>
        <w:spacing w:line="440" w:lineRule="exact"/>
        <w:ind w:right="-27" w:firstLine="789"/>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1.2</w:t>
      </w:r>
      <w:r>
        <w:rPr>
          <w:rFonts w:hint="eastAsia" w:ascii="宋体" w:hAnsi="宋体" w:cs="宋体"/>
          <w:bCs/>
          <w:color w:val="000000" w:themeColor="text1"/>
          <w:sz w:val="24"/>
          <w:szCs w:val="24"/>
          <w:highlight w:val="none"/>
          <w14:textFill>
            <w14:solidFill>
              <w14:schemeClr w14:val="tx1"/>
            </w14:solidFill>
          </w14:textFill>
        </w:rPr>
        <w:t>甲方义务</w:t>
      </w:r>
    </w:p>
    <w:p w14:paraId="4DB5D64F">
      <w:pPr>
        <w:tabs>
          <w:tab w:val="left" w:pos="0"/>
        </w:tabs>
        <w:spacing w:line="440" w:lineRule="exact"/>
        <w:ind w:right="-27" w:firstLine="789"/>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甲方应按时支付合同价款；为乙方履行合同提供必要的便利条件；本合同约定的其他义务。</w:t>
      </w:r>
    </w:p>
    <w:p w14:paraId="2C98F5E2">
      <w:pPr>
        <w:tabs>
          <w:tab w:val="left" w:pos="0"/>
        </w:tabs>
        <w:spacing w:line="440" w:lineRule="exact"/>
        <w:ind w:right="-27" w:firstLine="480"/>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2乙方权利义务</w:t>
      </w:r>
    </w:p>
    <w:p w14:paraId="1733675B">
      <w:pPr>
        <w:tabs>
          <w:tab w:val="left" w:pos="0"/>
        </w:tabs>
        <w:spacing w:line="440" w:lineRule="exact"/>
        <w:ind w:right="-27" w:firstLine="789"/>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2.1乙方权利</w:t>
      </w:r>
    </w:p>
    <w:p w14:paraId="23966158">
      <w:pPr>
        <w:tabs>
          <w:tab w:val="left" w:pos="0"/>
        </w:tabs>
        <w:spacing w:line="440" w:lineRule="exact"/>
        <w:ind w:right="-27" w:firstLine="789"/>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乙方有权按照合同获得合同价款；乙方有权根据服务内容的需要，请求甲方予以配合。</w:t>
      </w:r>
    </w:p>
    <w:p w14:paraId="499A693C">
      <w:pPr>
        <w:tabs>
          <w:tab w:val="left" w:pos="0"/>
        </w:tabs>
        <w:spacing w:line="440" w:lineRule="exact"/>
        <w:ind w:right="-27" w:firstLine="789"/>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2.2</w:t>
      </w:r>
      <w:r>
        <w:rPr>
          <w:rFonts w:hint="eastAsia" w:ascii="宋体" w:hAnsi="宋体" w:cs="宋体"/>
          <w:bCs/>
          <w:color w:val="000000" w:themeColor="text1"/>
          <w:sz w:val="24"/>
          <w:szCs w:val="24"/>
          <w:highlight w:val="none"/>
          <w14:textFill>
            <w14:solidFill>
              <w14:schemeClr w14:val="tx1"/>
            </w14:solidFill>
          </w14:textFill>
        </w:rPr>
        <w:t>除其他有关条款的约定外，乙方义务还包括：</w:t>
      </w:r>
    </w:p>
    <w:p w14:paraId="2460DA98">
      <w:pPr>
        <w:tabs>
          <w:tab w:val="left" w:pos="0"/>
        </w:tabs>
        <w:spacing w:line="440" w:lineRule="exact"/>
        <w:ind w:right="-27" w:firstLine="480"/>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fldChar w:fldCharType="begin"/>
      </w:r>
      <w:r>
        <w:rPr>
          <w:rFonts w:ascii="宋体" w:hAnsi="宋体" w:cs="宋体"/>
          <w:bCs/>
          <w:color w:val="000000" w:themeColor="text1"/>
          <w:sz w:val="24"/>
          <w:szCs w:val="24"/>
          <w:highlight w:val="none"/>
          <w14:textFill>
            <w14:solidFill>
              <w14:schemeClr w14:val="tx1"/>
            </w14:solidFill>
          </w14:textFill>
        </w:rPr>
        <w:instrText xml:space="preserve"> </w:instrText>
      </w:r>
      <w:r>
        <w:rPr>
          <w:rFonts w:hint="eastAsia" w:ascii="宋体" w:hAnsi="宋体" w:cs="宋体"/>
          <w:bCs/>
          <w:color w:val="000000" w:themeColor="text1"/>
          <w:sz w:val="24"/>
          <w:szCs w:val="24"/>
          <w:highlight w:val="none"/>
          <w14:textFill>
            <w14:solidFill>
              <w14:schemeClr w14:val="tx1"/>
            </w14:solidFill>
          </w14:textFill>
        </w:rPr>
        <w:instrText xml:space="preserve">= 1 \* GB3</w:instrText>
      </w:r>
      <w:r>
        <w:rPr>
          <w:rFonts w:ascii="宋体" w:hAnsi="宋体" w:cs="宋体"/>
          <w:bCs/>
          <w:color w:val="000000" w:themeColor="text1"/>
          <w:sz w:val="24"/>
          <w:szCs w:val="24"/>
          <w:highlight w:val="none"/>
          <w14:textFill>
            <w14:solidFill>
              <w14:schemeClr w14:val="tx1"/>
            </w14:solidFill>
          </w14:textFill>
        </w:rPr>
        <w:instrText xml:space="preserve"> </w:instrText>
      </w:r>
      <w:r>
        <w:rPr>
          <w:rFonts w:ascii="宋体" w:hAnsi="宋体" w:cs="宋体"/>
          <w:bCs/>
          <w:color w:val="000000" w:themeColor="text1"/>
          <w:sz w:val="24"/>
          <w:szCs w:val="24"/>
          <w:highlight w:val="none"/>
          <w14:textFill>
            <w14:solidFill>
              <w14:schemeClr w14:val="tx1"/>
            </w14:solidFill>
          </w14:textFill>
        </w:rPr>
        <w:fldChar w:fldCharType="separate"/>
      </w:r>
      <w:r>
        <w:rPr>
          <w:rFonts w:hint="eastAsia" w:ascii="宋体" w:hAnsi="宋体" w:cs="宋体"/>
          <w:bCs/>
          <w:color w:val="000000" w:themeColor="text1"/>
          <w:sz w:val="24"/>
          <w:szCs w:val="24"/>
          <w:highlight w:val="none"/>
          <w14:textFill>
            <w14:solidFill>
              <w14:schemeClr w14:val="tx1"/>
            </w14:solidFill>
          </w14:textFill>
        </w:rPr>
        <w:t>①</w:t>
      </w:r>
      <w:r>
        <w:rPr>
          <w:rFonts w:ascii="宋体" w:hAnsi="宋体" w:cs="宋体"/>
          <w:bCs/>
          <w:color w:val="000000" w:themeColor="text1"/>
          <w:sz w:val="24"/>
          <w:szCs w:val="24"/>
          <w:highlight w:val="none"/>
          <w14:textFill>
            <w14:solidFill>
              <w14:schemeClr w14:val="tx1"/>
            </w14:solidFill>
          </w14:textFill>
        </w:rPr>
        <w:fldChar w:fldCharType="end"/>
      </w:r>
      <w:r>
        <w:rPr>
          <w:rFonts w:hint="eastAsia" w:ascii="宋体" w:hAnsi="宋体" w:cs="宋体"/>
          <w:bCs/>
          <w:color w:val="000000" w:themeColor="text1"/>
          <w:sz w:val="24"/>
          <w:szCs w:val="24"/>
          <w:highlight w:val="none"/>
          <w14:textFill>
            <w14:solidFill>
              <w14:schemeClr w14:val="tx1"/>
            </w14:solidFill>
          </w14:textFill>
        </w:rPr>
        <w:t>乙方承诺参与政府采购时显示的服务能力不会减弱，包括服务人员团队人员不减少、服务资质不下降、团队具备的人才技能不下降。除了提升人员资质和执业等级（如有）或引进新的人才，如果乙方服务团队人员减少或资质下降人数超过</w:t>
      </w:r>
      <w:r>
        <w:rPr>
          <w:rFonts w:ascii="宋体" w:hAnsi="宋体" w:cs="宋体"/>
          <w:bCs/>
          <w:color w:val="000000" w:themeColor="text1"/>
          <w:sz w:val="24"/>
          <w:szCs w:val="24"/>
          <w:highlight w:val="none"/>
          <w:u w:val="single"/>
          <w14:textFill>
            <w14:solidFill>
              <w14:schemeClr w14:val="tx1"/>
            </w14:solidFill>
          </w14:textFill>
        </w:rPr>
        <w:t xml:space="preserve">     </w:t>
      </w:r>
      <w:r>
        <w:rPr>
          <w:rFonts w:hint="eastAsia" w:ascii="宋体" w:hAnsi="宋体" w:cs="宋体"/>
          <w:bCs/>
          <w:color w:val="000000" w:themeColor="text1"/>
          <w:sz w:val="24"/>
          <w:szCs w:val="24"/>
          <w:highlight w:val="none"/>
          <w14:textFill>
            <w14:solidFill>
              <w14:schemeClr w14:val="tx1"/>
            </w14:solidFill>
          </w14:textFill>
        </w:rPr>
        <w:t>的，视为乙方丧失提供服务的能力。</w:t>
      </w:r>
    </w:p>
    <w:p w14:paraId="3A59C123">
      <w:pPr>
        <w:tabs>
          <w:tab w:val="left" w:pos="0"/>
        </w:tabs>
        <w:spacing w:line="440" w:lineRule="exact"/>
        <w:ind w:right="-27" w:firstLine="480"/>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fldChar w:fldCharType="begin"/>
      </w:r>
      <w:r>
        <w:rPr>
          <w:rFonts w:ascii="宋体" w:hAnsi="宋体" w:cs="宋体"/>
          <w:bCs/>
          <w:color w:val="000000" w:themeColor="text1"/>
          <w:sz w:val="24"/>
          <w:szCs w:val="24"/>
          <w:highlight w:val="none"/>
          <w14:textFill>
            <w14:solidFill>
              <w14:schemeClr w14:val="tx1"/>
            </w14:solidFill>
          </w14:textFill>
        </w:rPr>
        <w:instrText xml:space="preserve"> </w:instrText>
      </w:r>
      <w:r>
        <w:rPr>
          <w:rFonts w:hint="eastAsia" w:ascii="宋体" w:hAnsi="宋体" w:cs="宋体"/>
          <w:bCs/>
          <w:color w:val="000000" w:themeColor="text1"/>
          <w:sz w:val="24"/>
          <w:szCs w:val="24"/>
          <w:highlight w:val="none"/>
          <w14:textFill>
            <w14:solidFill>
              <w14:schemeClr w14:val="tx1"/>
            </w14:solidFill>
          </w14:textFill>
        </w:rPr>
        <w:instrText xml:space="preserve">= 2 \* GB3</w:instrText>
      </w:r>
      <w:r>
        <w:rPr>
          <w:rFonts w:ascii="宋体" w:hAnsi="宋体" w:cs="宋体"/>
          <w:bCs/>
          <w:color w:val="000000" w:themeColor="text1"/>
          <w:sz w:val="24"/>
          <w:szCs w:val="24"/>
          <w:highlight w:val="none"/>
          <w14:textFill>
            <w14:solidFill>
              <w14:schemeClr w14:val="tx1"/>
            </w14:solidFill>
          </w14:textFill>
        </w:rPr>
        <w:instrText xml:space="preserve"> </w:instrText>
      </w:r>
      <w:r>
        <w:rPr>
          <w:rFonts w:ascii="宋体" w:hAnsi="宋体" w:cs="宋体"/>
          <w:bCs/>
          <w:color w:val="000000" w:themeColor="text1"/>
          <w:sz w:val="24"/>
          <w:szCs w:val="24"/>
          <w:highlight w:val="none"/>
          <w14:textFill>
            <w14:solidFill>
              <w14:schemeClr w14:val="tx1"/>
            </w14:solidFill>
          </w14:textFill>
        </w:rPr>
        <w:fldChar w:fldCharType="separate"/>
      </w:r>
      <w:r>
        <w:rPr>
          <w:rFonts w:hint="eastAsia" w:ascii="宋体" w:hAnsi="宋体" w:cs="宋体"/>
          <w:bCs/>
          <w:color w:val="000000" w:themeColor="text1"/>
          <w:sz w:val="24"/>
          <w:szCs w:val="24"/>
          <w:highlight w:val="none"/>
          <w14:textFill>
            <w14:solidFill>
              <w14:schemeClr w14:val="tx1"/>
            </w14:solidFill>
          </w14:textFill>
        </w:rPr>
        <w:t>②</w:t>
      </w:r>
      <w:r>
        <w:rPr>
          <w:rFonts w:ascii="宋体" w:hAnsi="宋体" w:cs="宋体"/>
          <w:bCs/>
          <w:color w:val="000000" w:themeColor="text1"/>
          <w:sz w:val="24"/>
          <w:szCs w:val="24"/>
          <w:highlight w:val="none"/>
          <w14:textFill>
            <w14:solidFill>
              <w14:schemeClr w14:val="tx1"/>
            </w14:solidFill>
          </w14:textFill>
        </w:rPr>
        <w:fldChar w:fldCharType="end"/>
      </w:r>
      <w:r>
        <w:rPr>
          <w:rFonts w:hint="eastAsia" w:ascii="宋体" w:hAnsi="宋体" w:cs="宋体"/>
          <w:bCs/>
          <w:color w:val="000000" w:themeColor="text1"/>
          <w:sz w:val="24"/>
          <w:szCs w:val="24"/>
          <w:highlight w:val="none"/>
          <w14:textFill>
            <w14:solidFill>
              <w14:schemeClr w14:val="tx1"/>
            </w14:solidFill>
          </w14:textFill>
        </w:rPr>
        <w:t>乙方应安排身体健康、品性良好的服务人员为甲方提供服务。</w:t>
      </w:r>
    </w:p>
    <w:p w14:paraId="289FB5FF">
      <w:pPr>
        <w:tabs>
          <w:tab w:val="left" w:pos="0"/>
        </w:tabs>
        <w:spacing w:line="440" w:lineRule="exact"/>
        <w:ind w:right="-27" w:firstLine="480"/>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fldChar w:fldCharType="begin"/>
      </w:r>
      <w:r>
        <w:rPr>
          <w:rFonts w:ascii="宋体" w:hAnsi="宋体" w:cs="宋体"/>
          <w:bCs/>
          <w:color w:val="000000" w:themeColor="text1"/>
          <w:sz w:val="24"/>
          <w:szCs w:val="24"/>
          <w:highlight w:val="none"/>
          <w14:textFill>
            <w14:solidFill>
              <w14:schemeClr w14:val="tx1"/>
            </w14:solidFill>
          </w14:textFill>
        </w:rPr>
        <w:instrText xml:space="preserve"> </w:instrText>
      </w:r>
      <w:r>
        <w:rPr>
          <w:rFonts w:hint="eastAsia" w:ascii="宋体" w:hAnsi="宋体" w:cs="宋体"/>
          <w:bCs/>
          <w:color w:val="000000" w:themeColor="text1"/>
          <w:sz w:val="24"/>
          <w:szCs w:val="24"/>
          <w:highlight w:val="none"/>
          <w14:textFill>
            <w14:solidFill>
              <w14:schemeClr w14:val="tx1"/>
            </w14:solidFill>
          </w14:textFill>
        </w:rPr>
        <w:instrText xml:space="preserve">= 3 \* GB3</w:instrText>
      </w:r>
      <w:r>
        <w:rPr>
          <w:rFonts w:ascii="宋体" w:hAnsi="宋体" w:cs="宋体"/>
          <w:bCs/>
          <w:color w:val="000000" w:themeColor="text1"/>
          <w:sz w:val="24"/>
          <w:szCs w:val="24"/>
          <w:highlight w:val="none"/>
          <w14:textFill>
            <w14:solidFill>
              <w14:schemeClr w14:val="tx1"/>
            </w14:solidFill>
          </w14:textFill>
        </w:rPr>
        <w:instrText xml:space="preserve"> </w:instrText>
      </w:r>
      <w:r>
        <w:rPr>
          <w:rFonts w:ascii="宋体" w:hAnsi="宋体" w:cs="宋体"/>
          <w:bCs/>
          <w:color w:val="000000" w:themeColor="text1"/>
          <w:sz w:val="24"/>
          <w:szCs w:val="24"/>
          <w:highlight w:val="none"/>
          <w14:textFill>
            <w14:solidFill>
              <w14:schemeClr w14:val="tx1"/>
            </w14:solidFill>
          </w14:textFill>
        </w:rPr>
        <w:fldChar w:fldCharType="separate"/>
      </w:r>
      <w:r>
        <w:rPr>
          <w:rFonts w:hint="eastAsia" w:ascii="宋体" w:hAnsi="宋体" w:cs="宋体"/>
          <w:bCs/>
          <w:color w:val="000000" w:themeColor="text1"/>
          <w:sz w:val="24"/>
          <w:szCs w:val="24"/>
          <w:highlight w:val="none"/>
          <w14:textFill>
            <w14:solidFill>
              <w14:schemeClr w14:val="tx1"/>
            </w14:solidFill>
          </w14:textFill>
        </w:rPr>
        <w:t>③</w:t>
      </w:r>
      <w:r>
        <w:rPr>
          <w:rFonts w:ascii="宋体" w:hAnsi="宋体" w:cs="宋体"/>
          <w:bCs/>
          <w:color w:val="000000" w:themeColor="text1"/>
          <w:sz w:val="24"/>
          <w:szCs w:val="24"/>
          <w:highlight w:val="none"/>
          <w14:textFill>
            <w14:solidFill>
              <w14:schemeClr w14:val="tx1"/>
            </w14:solidFill>
          </w14:textFill>
        </w:rPr>
        <w:fldChar w:fldCharType="end"/>
      </w:r>
      <w:r>
        <w:rPr>
          <w:rFonts w:hint="eastAsia" w:ascii="宋体" w:hAnsi="宋体" w:cs="宋体"/>
          <w:bCs/>
          <w:color w:val="000000" w:themeColor="text1"/>
          <w:sz w:val="24"/>
          <w:szCs w:val="24"/>
          <w:highlight w:val="none"/>
          <w14:textFill>
            <w14:solidFill>
              <w14:schemeClr w14:val="tx1"/>
            </w14:solidFill>
          </w14:textFill>
        </w:rPr>
        <w:t>乙方应保证服务人员的稳定，未经甲方同意，不得变更服务人员。</w:t>
      </w:r>
    </w:p>
    <w:p w14:paraId="59A03009">
      <w:pPr>
        <w:tabs>
          <w:tab w:val="left" w:pos="0"/>
        </w:tabs>
        <w:spacing w:line="440" w:lineRule="exact"/>
        <w:ind w:right="-27" w:firstLine="480"/>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fldChar w:fldCharType="begin"/>
      </w:r>
      <w:r>
        <w:rPr>
          <w:rFonts w:ascii="宋体" w:hAnsi="宋体" w:cs="宋体"/>
          <w:bCs/>
          <w:color w:val="000000" w:themeColor="text1"/>
          <w:sz w:val="24"/>
          <w:szCs w:val="24"/>
          <w:highlight w:val="none"/>
          <w14:textFill>
            <w14:solidFill>
              <w14:schemeClr w14:val="tx1"/>
            </w14:solidFill>
          </w14:textFill>
        </w:rPr>
        <w:instrText xml:space="preserve"> </w:instrText>
      </w:r>
      <w:r>
        <w:rPr>
          <w:rFonts w:hint="eastAsia" w:ascii="宋体" w:hAnsi="宋体" w:cs="宋体"/>
          <w:bCs/>
          <w:color w:val="000000" w:themeColor="text1"/>
          <w:sz w:val="24"/>
          <w:szCs w:val="24"/>
          <w:highlight w:val="none"/>
          <w14:textFill>
            <w14:solidFill>
              <w14:schemeClr w14:val="tx1"/>
            </w14:solidFill>
          </w14:textFill>
        </w:rPr>
        <w:instrText xml:space="preserve">= 4 \* GB3</w:instrText>
      </w:r>
      <w:r>
        <w:rPr>
          <w:rFonts w:ascii="宋体" w:hAnsi="宋体" w:cs="宋体"/>
          <w:bCs/>
          <w:color w:val="000000" w:themeColor="text1"/>
          <w:sz w:val="24"/>
          <w:szCs w:val="24"/>
          <w:highlight w:val="none"/>
          <w14:textFill>
            <w14:solidFill>
              <w14:schemeClr w14:val="tx1"/>
            </w14:solidFill>
          </w14:textFill>
        </w:rPr>
        <w:instrText xml:space="preserve"> </w:instrText>
      </w:r>
      <w:r>
        <w:rPr>
          <w:rFonts w:ascii="宋体" w:hAnsi="宋体" w:cs="宋体"/>
          <w:bCs/>
          <w:color w:val="000000" w:themeColor="text1"/>
          <w:sz w:val="24"/>
          <w:szCs w:val="24"/>
          <w:highlight w:val="none"/>
          <w14:textFill>
            <w14:solidFill>
              <w14:schemeClr w14:val="tx1"/>
            </w14:solidFill>
          </w14:textFill>
        </w:rPr>
        <w:fldChar w:fldCharType="separate"/>
      </w:r>
      <w:r>
        <w:rPr>
          <w:rFonts w:hint="eastAsia" w:ascii="宋体" w:hAnsi="宋体" w:cs="宋体"/>
          <w:bCs/>
          <w:color w:val="000000" w:themeColor="text1"/>
          <w:sz w:val="24"/>
          <w:szCs w:val="24"/>
          <w:highlight w:val="none"/>
          <w14:textFill>
            <w14:solidFill>
              <w14:schemeClr w14:val="tx1"/>
            </w14:solidFill>
          </w14:textFill>
        </w:rPr>
        <w:t>④</w:t>
      </w:r>
      <w:r>
        <w:rPr>
          <w:rFonts w:ascii="宋体" w:hAnsi="宋体" w:cs="宋体"/>
          <w:bCs/>
          <w:color w:val="000000" w:themeColor="text1"/>
          <w:sz w:val="24"/>
          <w:szCs w:val="24"/>
          <w:highlight w:val="none"/>
          <w14:textFill>
            <w14:solidFill>
              <w14:schemeClr w14:val="tx1"/>
            </w14:solidFill>
          </w14:textFill>
        </w:rPr>
        <w:fldChar w:fldCharType="end"/>
      </w:r>
      <w:r>
        <w:rPr>
          <w:rFonts w:hint="eastAsia" w:ascii="宋体" w:hAnsi="宋体" w:cs="宋体"/>
          <w:bCs/>
          <w:color w:val="000000" w:themeColor="text1"/>
          <w:sz w:val="24"/>
          <w:szCs w:val="24"/>
          <w:highlight w:val="none"/>
          <w14:textFill>
            <w14:solidFill>
              <w14:schemeClr w14:val="tx1"/>
            </w14:solidFill>
          </w14:textFill>
        </w:rPr>
        <w:t>乙方应当及时响应甲方的服务需求，在甲方提出派员到场服务时，应当与甲方确定到场时间。甲方紧急服务需求时，乙方应在</w:t>
      </w:r>
      <w:r>
        <w:rPr>
          <w:rFonts w:ascii="宋体" w:hAnsi="宋体" w:cs="宋体"/>
          <w:bCs/>
          <w:color w:val="000000" w:themeColor="text1"/>
          <w:sz w:val="24"/>
          <w:szCs w:val="24"/>
          <w:highlight w:val="none"/>
          <w:u w:val="single"/>
          <w14:textFill>
            <w14:solidFill>
              <w14:schemeClr w14:val="tx1"/>
            </w14:solidFill>
          </w14:textFill>
        </w:rPr>
        <w:t xml:space="preserve">    </w:t>
      </w:r>
      <w:r>
        <w:rPr>
          <w:rFonts w:hint="eastAsia" w:ascii="宋体" w:hAnsi="宋体" w:cs="宋体"/>
          <w:bCs/>
          <w:color w:val="000000" w:themeColor="text1"/>
          <w:sz w:val="24"/>
          <w:szCs w:val="24"/>
          <w:highlight w:val="none"/>
          <w14:textFill>
            <w14:solidFill>
              <w14:schemeClr w14:val="tx1"/>
            </w14:solidFill>
          </w14:textFill>
        </w:rPr>
        <w:t>小时内派员到场。</w:t>
      </w:r>
    </w:p>
    <w:p w14:paraId="6D546C57">
      <w:pPr>
        <w:tabs>
          <w:tab w:val="left" w:pos="0"/>
        </w:tabs>
        <w:spacing w:line="440" w:lineRule="exact"/>
        <w:ind w:right="-27" w:firstLine="480"/>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fldChar w:fldCharType="begin"/>
      </w:r>
      <w:r>
        <w:rPr>
          <w:rFonts w:ascii="宋体" w:hAnsi="宋体" w:cs="宋体"/>
          <w:bCs/>
          <w:color w:val="000000" w:themeColor="text1"/>
          <w:sz w:val="24"/>
          <w:szCs w:val="24"/>
          <w:highlight w:val="none"/>
          <w14:textFill>
            <w14:solidFill>
              <w14:schemeClr w14:val="tx1"/>
            </w14:solidFill>
          </w14:textFill>
        </w:rPr>
        <w:instrText xml:space="preserve"> </w:instrText>
      </w:r>
      <w:r>
        <w:rPr>
          <w:rFonts w:hint="eastAsia" w:ascii="宋体" w:hAnsi="宋体" w:cs="宋体"/>
          <w:bCs/>
          <w:color w:val="000000" w:themeColor="text1"/>
          <w:sz w:val="24"/>
          <w:szCs w:val="24"/>
          <w:highlight w:val="none"/>
          <w14:textFill>
            <w14:solidFill>
              <w14:schemeClr w14:val="tx1"/>
            </w14:solidFill>
          </w14:textFill>
        </w:rPr>
        <w:instrText xml:space="preserve">= 5 \* GB3</w:instrText>
      </w:r>
      <w:r>
        <w:rPr>
          <w:rFonts w:ascii="宋体" w:hAnsi="宋体" w:cs="宋体"/>
          <w:bCs/>
          <w:color w:val="000000" w:themeColor="text1"/>
          <w:sz w:val="24"/>
          <w:szCs w:val="24"/>
          <w:highlight w:val="none"/>
          <w14:textFill>
            <w14:solidFill>
              <w14:schemeClr w14:val="tx1"/>
            </w14:solidFill>
          </w14:textFill>
        </w:rPr>
        <w:instrText xml:space="preserve"> </w:instrText>
      </w:r>
      <w:r>
        <w:rPr>
          <w:rFonts w:ascii="宋体" w:hAnsi="宋体" w:cs="宋体"/>
          <w:bCs/>
          <w:color w:val="000000" w:themeColor="text1"/>
          <w:sz w:val="24"/>
          <w:szCs w:val="24"/>
          <w:highlight w:val="none"/>
          <w14:textFill>
            <w14:solidFill>
              <w14:schemeClr w14:val="tx1"/>
            </w14:solidFill>
          </w14:textFill>
        </w:rPr>
        <w:fldChar w:fldCharType="separate"/>
      </w:r>
      <w:r>
        <w:rPr>
          <w:rFonts w:hint="eastAsia" w:ascii="宋体" w:hAnsi="宋体" w:cs="宋体"/>
          <w:bCs/>
          <w:color w:val="000000" w:themeColor="text1"/>
          <w:sz w:val="24"/>
          <w:szCs w:val="24"/>
          <w:highlight w:val="none"/>
          <w14:textFill>
            <w14:solidFill>
              <w14:schemeClr w14:val="tx1"/>
            </w14:solidFill>
          </w14:textFill>
        </w:rPr>
        <w:t>⑤</w:t>
      </w:r>
      <w:r>
        <w:rPr>
          <w:rFonts w:ascii="宋体" w:hAnsi="宋体" w:cs="宋体"/>
          <w:bCs/>
          <w:color w:val="000000" w:themeColor="text1"/>
          <w:sz w:val="24"/>
          <w:szCs w:val="24"/>
          <w:highlight w:val="none"/>
          <w14:textFill>
            <w14:solidFill>
              <w14:schemeClr w14:val="tx1"/>
            </w14:solidFill>
          </w14:textFill>
        </w:rPr>
        <w:fldChar w:fldCharType="end"/>
      </w:r>
      <w:r>
        <w:rPr>
          <w:rFonts w:hint="eastAsia" w:ascii="宋体" w:hAnsi="宋体" w:cs="宋体"/>
          <w:bCs/>
          <w:color w:val="000000" w:themeColor="text1"/>
          <w:sz w:val="24"/>
          <w:szCs w:val="24"/>
          <w:highlight w:val="none"/>
          <w14:textFill>
            <w14:solidFill>
              <w14:schemeClr w14:val="tx1"/>
            </w14:solidFill>
          </w14:textFill>
        </w:rPr>
        <w:t>定期组织服务人员进行培训学习，不断提高服务人员业务技能。</w:t>
      </w:r>
    </w:p>
    <w:p w14:paraId="2FE36326">
      <w:pPr>
        <w:tabs>
          <w:tab w:val="left" w:pos="0"/>
        </w:tabs>
        <w:spacing w:line="440" w:lineRule="exact"/>
        <w:ind w:right="-27" w:firstLine="480"/>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fldChar w:fldCharType="begin"/>
      </w:r>
      <w:r>
        <w:rPr>
          <w:rFonts w:ascii="宋体" w:hAnsi="宋体" w:cs="宋体"/>
          <w:bCs/>
          <w:color w:val="000000" w:themeColor="text1"/>
          <w:sz w:val="24"/>
          <w:szCs w:val="24"/>
          <w:highlight w:val="none"/>
          <w14:textFill>
            <w14:solidFill>
              <w14:schemeClr w14:val="tx1"/>
            </w14:solidFill>
          </w14:textFill>
        </w:rPr>
        <w:instrText xml:space="preserve"> </w:instrText>
      </w:r>
      <w:r>
        <w:rPr>
          <w:rFonts w:hint="eastAsia" w:ascii="宋体" w:hAnsi="宋体" w:cs="宋体"/>
          <w:bCs/>
          <w:color w:val="000000" w:themeColor="text1"/>
          <w:sz w:val="24"/>
          <w:szCs w:val="24"/>
          <w:highlight w:val="none"/>
          <w14:textFill>
            <w14:solidFill>
              <w14:schemeClr w14:val="tx1"/>
            </w14:solidFill>
          </w14:textFill>
        </w:rPr>
        <w:instrText xml:space="preserve">= 6 \* GB3</w:instrText>
      </w:r>
      <w:r>
        <w:rPr>
          <w:rFonts w:ascii="宋体" w:hAnsi="宋体" w:cs="宋体"/>
          <w:bCs/>
          <w:color w:val="000000" w:themeColor="text1"/>
          <w:sz w:val="24"/>
          <w:szCs w:val="24"/>
          <w:highlight w:val="none"/>
          <w14:textFill>
            <w14:solidFill>
              <w14:schemeClr w14:val="tx1"/>
            </w14:solidFill>
          </w14:textFill>
        </w:rPr>
        <w:instrText xml:space="preserve"> </w:instrText>
      </w:r>
      <w:r>
        <w:rPr>
          <w:rFonts w:ascii="宋体" w:hAnsi="宋体" w:cs="宋体"/>
          <w:bCs/>
          <w:color w:val="000000" w:themeColor="text1"/>
          <w:sz w:val="24"/>
          <w:szCs w:val="24"/>
          <w:highlight w:val="none"/>
          <w14:textFill>
            <w14:solidFill>
              <w14:schemeClr w14:val="tx1"/>
            </w14:solidFill>
          </w14:textFill>
        </w:rPr>
        <w:fldChar w:fldCharType="separate"/>
      </w:r>
      <w:r>
        <w:rPr>
          <w:rFonts w:hint="eastAsia" w:ascii="宋体" w:hAnsi="宋体" w:cs="宋体"/>
          <w:bCs/>
          <w:color w:val="000000" w:themeColor="text1"/>
          <w:sz w:val="24"/>
          <w:szCs w:val="24"/>
          <w:highlight w:val="none"/>
          <w14:textFill>
            <w14:solidFill>
              <w14:schemeClr w14:val="tx1"/>
            </w14:solidFill>
          </w14:textFill>
        </w:rPr>
        <w:t>⑥</w:t>
      </w:r>
      <w:r>
        <w:rPr>
          <w:rFonts w:ascii="宋体" w:hAnsi="宋体" w:cs="宋体"/>
          <w:bCs/>
          <w:color w:val="000000" w:themeColor="text1"/>
          <w:sz w:val="24"/>
          <w:szCs w:val="24"/>
          <w:highlight w:val="none"/>
          <w14:textFill>
            <w14:solidFill>
              <w14:schemeClr w14:val="tx1"/>
            </w14:solidFill>
          </w14:textFill>
        </w:rPr>
        <w:fldChar w:fldCharType="end"/>
      </w:r>
      <w:r>
        <w:rPr>
          <w:rFonts w:hint="eastAsia" w:ascii="宋体" w:hAnsi="宋体" w:cs="宋体"/>
          <w:bCs/>
          <w:color w:val="000000" w:themeColor="text1"/>
          <w:sz w:val="24"/>
          <w:szCs w:val="24"/>
          <w:highlight w:val="none"/>
          <w14:textFill>
            <w14:solidFill>
              <w14:schemeClr w14:val="tx1"/>
            </w14:solidFill>
          </w14:textFill>
        </w:rPr>
        <w:t>乙方做好安全生产工作，对在工作中出现的服务人员的人身安全承担责任，并对由于服务人员的原因导致的第三人的人身财产损失承担赔偿责任。</w:t>
      </w:r>
    </w:p>
    <w:p w14:paraId="428FB90D">
      <w:pPr>
        <w:tabs>
          <w:tab w:val="left" w:pos="0"/>
        </w:tabs>
        <w:spacing w:line="440" w:lineRule="exact"/>
        <w:ind w:right="-27" w:firstLine="480"/>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fldChar w:fldCharType="begin"/>
      </w:r>
      <w:r>
        <w:rPr>
          <w:rFonts w:ascii="宋体" w:hAnsi="宋体" w:cs="宋体"/>
          <w:bCs/>
          <w:color w:val="000000" w:themeColor="text1"/>
          <w:sz w:val="24"/>
          <w:szCs w:val="24"/>
          <w:highlight w:val="none"/>
          <w14:textFill>
            <w14:solidFill>
              <w14:schemeClr w14:val="tx1"/>
            </w14:solidFill>
          </w14:textFill>
        </w:rPr>
        <w:instrText xml:space="preserve"> </w:instrText>
      </w:r>
      <w:r>
        <w:rPr>
          <w:rFonts w:hint="eastAsia" w:ascii="宋体" w:hAnsi="宋体" w:cs="宋体"/>
          <w:bCs/>
          <w:color w:val="000000" w:themeColor="text1"/>
          <w:sz w:val="24"/>
          <w:szCs w:val="24"/>
          <w:highlight w:val="none"/>
          <w14:textFill>
            <w14:solidFill>
              <w14:schemeClr w14:val="tx1"/>
            </w14:solidFill>
          </w14:textFill>
        </w:rPr>
        <w:instrText xml:space="preserve">= 7 \* GB3</w:instrText>
      </w:r>
      <w:r>
        <w:rPr>
          <w:rFonts w:ascii="宋体" w:hAnsi="宋体" w:cs="宋体"/>
          <w:bCs/>
          <w:color w:val="000000" w:themeColor="text1"/>
          <w:sz w:val="24"/>
          <w:szCs w:val="24"/>
          <w:highlight w:val="none"/>
          <w14:textFill>
            <w14:solidFill>
              <w14:schemeClr w14:val="tx1"/>
            </w14:solidFill>
          </w14:textFill>
        </w:rPr>
        <w:instrText xml:space="preserve"> </w:instrText>
      </w:r>
      <w:r>
        <w:rPr>
          <w:rFonts w:ascii="宋体" w:hAnsi="宋体" w:cs="宋体"/>
          <w:bCs/>
          <w:color w:val="000000" w:themeColor="text1"/>
          <w:sz w:val="24"/>
          <w:szCs w:val="24"/>
          <w:highlight w:val="none"/>
          <w14:textFill>
            <w14:solidFill>
              <w14:schemeClr w14:val="tx1"/>
            </w14:solidFill>
          </w14:textFill>
        </w:rPr>
        <w:fldChar w:fldCharType="separate"/>
      </w:r>
      <w:r>
        <w:rPr>
          <w:rFonts w:hint="eastAsia" w:ascii="宋体" w:hAnsi="宋体" w:cs="宋体"/>
          <w:bCs/>
          <w:color w:val="000000" w:themeColor="text1"/>
          <w:sz w:val="24"/>
          <w:szCs w:val="24"/>
          <w:highlight w:val="none"/>
          <w14:textFill>
            <w14:solidFill>
              <w14:schemeClr w14:val="tx1"/>
            </w14:solidFill>
          </w14:textFill>
        </w:rPr>
        <w:t>⑦</w:t>
      </w:r>
      <w:r>
        <w:rPr>
          <w:rFonts w:ascii="宋体" w:hAnsi="宋体" w:cs="宋体"/>
          <w:bCs/>
          <w:color w:val="000000" w:themeColor="text1"/>
          <w:sz w:val="24"/>
          <w:szCs w:val="24"/>
          <w:highlight w:val="none"/>
          <w14:textFill>
            <w14:solidFill>
              <w14:schemeClr w14:val="tx1"/>
            </w14:solidFill>
          </w14:textFill>
        </w:rPr>
        <w:fldChar w:fldCharType="end"/>
      </w:r>
      <w:r>
        <w:rPr>
          <w:rFonts w:hint="eastAsia" w:ascii="宋体" w:hAnsi="宋体" w:cs="宋体"/>
          <w:bCs/>
          <w:color w:val="000000" w:themeColor="text1"/>
          <w:sz w:val="24"/>
          <w:szCs w:val="24"/>
          <w:highlight w:val="none"/>
          <w14:textFill>
            <w14:solidFill>
              <w14:schemeClr w14:val="tx1"/>
            </w14:solidFill>
          </w14:textFill>
        </w:rPr>
        <w:t>乙方应根据国家法律法规的规定与其为甲方提供服务的人员签署劳动合同，并负责上述人员的工资和社会劳动保险、奖金、福利等费用，若发生劳动争议均由乙方自己解决并承担所有责任，甲方无任何连带关系和责任。</w:t>
      </w:r>
    </w:p>
    <w:p w14:paraId="7202B934">
      <w:pPr>
        <w:tabs>
          <w:tab w:val="left" w:pos="0"/>
        </w:tabs>
        <w:spacing w:line="440" w:lineRule="exact"/>
        <w:ind w:right="-27" w:firstLine="480"/>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fldChar w:fldCharType="begin"/>
      </w:r>
      <w:r>
        <w:rPr>
          <w:rFonts w:ascii="宋体" w:hAnsi="宋体" w:cs="宋体"/>
          <w:bCs/>
          <w:color w:val="000000" w:themeColor="text1"/>
          <w:sz w:val="24"/>
          <w:szCs w:val="24"/>
          <w:highlight w:val="none"/>
          <w14:textFill>
            <w14:solidFill>
              <w14:schemeClr w14:val="tx1"/>
            </w14:solidFill>
          </w14:textFill>
        </w:rPr>
        <w:instrText xml:space="preserve"> </w:instrText>
      </w:r>
      <w:r>
        <w:rPr>
          <w:rFonts w:hint="eastAsia" w:ascii="宋体" w:hAnsi="宋体" w:cs="宋体"/>
          <w:bCs/>
          <w:color w:val="000000" w:themeColor="text1"/>
          <w:sz w:val="24"/>
          <w:szCs w:val="24"/>
          <w:highlight w:val="none"/>
          <w14:textFill>
            <w14:solidFill>
              <w14:schemeClr w14:val="tx1"/>
            </w14:solidFill>
          </w14:textFill>
        </w:rPr>
        <w:instrText xml:space="preserve">= 8 \* GB3</w:instrText>
      </w:r>
      <w:r>
        <w:rPr>
          <w:rFonts w:ascii="宋体" w:hAnsi="宋体" w:cs="宋体"/>
          <w:bCs/>
          <w:color w:val="000000" w:themeColor="text1"/>
          <w:sz w:val="24"/>
          <w:szCs w:val="24"/>
          <w:highlight w:val="none"/>
          <w14:textFill>
            <w14:solidFill>
              <w14:schemeClr w14:val="tx1"/>
            </w14:solidFill>
          </w14:textFill>
        </w:rPr>
        <w:instrText xml:space="preserve"> </w:instrText>
      </w:r>
      <w:r>
        <w:rPr>
          <w:rFonts w:ascii="宋体" w:hAnsi="宋体" w:cs="宋体"/>
          <w:bCs/>
          <w:color w:val="000000" w:themeColor="text1"/>
          <w:sz w:val="24"/>
          <w:szCs w:val="24"/>
          <w:highlight w:val="none"/>
          <w14:textFill>
            <w14:solidFill>
              <w14:schemeClr w14:val="tx1"/>
            </w14:solidFill>
          </w14:textFill>
        </w:rPr>
        <w:fldChar w:fldCharType="separate"/>
      </w:r>
      <w:r>
        <w:rPr>
          <w:rFonts w:hint="eastAsia" w:ascii="宋体" w:hAnsi="宋体" w:cs="宋体"/>
          <w:bCs/>
          <w:color w:val="000000" w:themeColor="text1"/>
          <w:sz w:val="24"/>
          <w:szCs w:val="24"/>
          <w:highlight w:val="none"/>
          <w14:textFill>
            <w14:solidFill>
              <w14:schemeClr w14:val="tx1"/>
            </w14:solidFill>
          </w14:textFill>
        </w:rPr>
        <w:t>⑧</w:t>
      </w:r>
      <w:r>
        <w:rPr>
          <w:rFonts w:ascii="宋体" w:hAnsi="宋体" w:cs="宋体"/>
          <w:bCs/>
          <w:color w:val="000000" w:themeColor="text1"/>
          <w:sz w:val="24"/>
          <w:szCs w:val="24"/>
          <w:highlight w:val="none"/>
          <w14:textFill>
            <w14:solidFill>
              <w14:schemeClr w14:val="tx1"/>
            </w14:solidFill>
          </w14:textFill>
        </w:rPr>
        <w:fldChar w:fldCharType="end"/>
      </w:r>
      <w:r>
        <w:rPr>
          <w:rFonts w:hint="eastAsia" w:ascii="宋体" w:hAnsi="宋体" w:cs="宋体"/>
          <w:bCs/>
          <w:color w:val="000000" w:themeColor="text1"/>
          <w:sz w:val="24"/>
          <w:szCs w:val="24"/>
          <w:highlight w:val="none"/>
          <w14:textFill>
            <w14:solidFill>
              <w14:schemeClr w14:val="tx1"/>
            </w14:solidFill>
          </w14:textFill>
        </w:rPr>
        <w:t>法规、政策规定由乙方承担的其他责任。</w:t>
      </w:r>
    </w:p>
    <w:p w14:paraId="2AE811CF">
      <w:pPr>
        <w:tabs>
          <w:tab w:val="left" w:pos="0"/>
        </w:tabs>
        <w:spacing w:line="440" w:lineRule="exact"/>
        <w:ind w:right="-27" w:firstLine="482"/>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第</w:t>
      </w:r>
      <w:r>
        <w:rPr>
          <w:rFonts w:hint="eastAsia" w:ascii="宋体" w:hAnsi="宋体" w:cs="宋体"/>
          <w:b/>
          <w:bCs/>
          <w:color w:val="000000" w:themeColor="text1"/>
          <w:sz w:val="24"/>
          <w:szCs w:val="24"/>
          <w:highlight w:val="none"/>
          <w:lang w:val="en-US" w:eastAsia="zh-CN"/>
          <w14:textFill>
            <w14:solidFill>
              <w14:schemeClr w14:val="tx1"/>
            </w14:solidFill>
          </w14:textFill>
        </w:rPr>
        <w:t>八</w:t>
      </w:r>
      <w:r>
        <w:rPr>
          <w:rFonts w:hint="eastAsia" w:ascii="宋体" w:hAnsi="宋体" w:cs="宋体"/>
          <w:b/>
          <w:bCs/>
          <w:color w:val="000000" w:themeColor="text1"/>
          <w:sz w:val="24"/>
          <w:szCs w:val="24"/>
          <w:highlight w:val="none"/>
          <w14:textFill>
            <w14:solidFill>
              <w14:schemeClr w14:val="tx1"/>
            </w14:solidFill>
          </w14:textFill>
        </w:rPr>
        <w:t>条 质量保证</w:t>
      </w:r>
    </w:p>
    <w:p w14:paraId="23C4077E">
      <w:pPr>
        <w:tabs>
          <w:tab w:val="left" w:pos="0"/>
        </w:tabs>
        <w:spacing w:line="440" w:lineRule="exact"/>
        <w:ind w:right="-27" w:firstLine="480"/>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乙方各项服务承诺指标及所采取的措施按照采购文件要求及相应文件的承诺予以确定。  </w:t>
      </w:r>
    </w:p>
    <w:p w14:paraId="280F0D19">
      <w:pPr>
        <w:tabs>
          <w:tab w:val="left" w:pos="0"/>
        </w:tabs>
        <w:spacing w:line="440" w:lineRule="exact"/>
        <w:ind w:right="-27" w:firstLine="482"/>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第</w:t>
      </w:r>
      <w:r>
        <w:rPr>
          <w:rFonts w:hint="eastAsia" w:ascii="宋体" w:hAnsi="宋体" w:cs="宋体"/>
          <w:b/>
          <w:bCs/>
          <w:color w:val="000000" w:themeColor="text1"/>
          <w:sz w:val="24"/>
          <w:szCs w:val="24"/>
          <w:highlight w:val="none"/>
          <w:lang w:val="en-US" w:eastAsia="zh-CN"/>
          <w14:textFill>
            <w14:solidFill>
              <w14:schemeClr w14:val="tx1"/>
            </w14:solidFill>
          </w14:textFill>
        </w:rPr>
        <w:t>九</w:t>
      </w:r>
      <w:r>
        <w:rPr>
          <w:rFonts w:hint="eastAsia" w:ascii="宋体" w:hAnsi="宋体" w:cs="宋体"/>
          <w:b/>
          <w:bCs/>
          <w:color w:val="000000" w:themeColor="text1"/>
          <w:sz w:val="24"/>
          <w:szCs w:val="24"/>
          <w:highlight w:val="none"/>
          <w14:textFill>
            <w14:solidFill>
              <w14:schemeClr w14:val="tx1"/>
            </w14:solidFill>
          </w14:textFill>
        </w:rPr>
        <w:t>条 违约责任</w:t>
      </w:r>
    </w:p>
    <w:p w14:paraId="2BFEFBF6">
      <w:pPr>
        <w:tabs>
          <w:tab w:val="left" w:pos="0"/>
        </w:tabs>
        <w:spacing w:line="440" w:lineRule="exact"/>
        <w:ind w:right="-27" w:firstLine="480"/>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1</w:t>
      </w:r>
      <w:r>
        <w:rPr>
          <w:rFonts w:hint="eastAsia" w:ascii="宋体" w:hAnsi="宋体" w:cs="宋体"/>
          <w:bCs/>
          <w:color w:val="000000" w:themeColor="text1"/>
          <w:sz w:val="24"/>
          <w:szCs w:val="24"/>
          <w:highlight w:val="none"/>
          <w14:textFill>
            <w14:solidFill>
              <w14:schemeClr w14:val="tx1"/>
            </w14:solidFill>
          </w14:textFill>
        </w:rPr>
        <w:t>、有下列情形之一的，乙方应当向甲方支付合同约定合同价款金额</w:t>
      </w:r>
      <w:r>
        <w:rPr>
          <w:rFonts w:ascii="宋体" w:hAnsi="宋体" w:cs="宋体"/>
          <w:bCs/>
          <w:color w:val="000000" w:themeColor="text1"/>
          <w:sz w:val="24"/>
          <w:szCs w:val="24"/>
          <w:highlight w:val="none"/>
          <w:u w:val="single"/>
          <w14:textFill>
            <w14:solidFill>
              <w14:schemeClr w14:val="tx1"/>
            </w14:solidFill>
          </w14:textFill>
        </w:rPr>
        <w:t xml:space="preserve"> </w:t>
      </w:r>
      <w:r>
        <w:rPr>
          <w:rFonts w:hint="eastAsia" w:ascii="宋体" w:hAnsi="宋体" w:cs="宋体"/>
          <w:bCs/>
          <w:color w:val="000000" w:themeColor="text1"/>
          <w:sz w:val="24"/>
          <w:szCs w:val="24"/>
          <w:highlight w:val="none"/>
          <w:u w:val="single"/>
          <w14:textFill>
            <w14:solidFill>
              <w14:schemeClr w14:val="tx1"/>
            </w14:solidFill>
          </w14:textFill>
        </w:rPr>
        <w:t>5</w:t>
      </w:r>
      <w:r>
        <w:rPr>
          <w:rFonts w:ascii="宋体" w:hAnsi="宋体" w:cs="宋体"/>
          <w:bCs/>
          <w:color w:val="000000" w:themeColor="text1"/>
          <w:sz w:val="24"/>
          <w:szCs w:val="24"/>
          <w:highlight w:val="none"/>
          <w:u w:val="single"/>
          <w14:textFill>
            <w14:solidFill>
              <w14:schemeClr w14:val="tx1"/>
            </w14:solidFill>
          </w14:textFill>
        </w:rPr>
        <w:t xml:space="preserve"> </w:t>
      </w:r>
      <w:r>
        <w:rPr>
          <w:rFonts w:ascii="宋体" w:hAnsi="宋体" w:cs="宋体"/>
          <w:bCs/>
          <w:color w:val="000000" w:themeColor="text1"/>
          <w:sz w:val="24"/>
          <w:szCs w:val="24"/>
          <w:highlight w:val="none"/>
          <w14:textFill>
            <w14:solidFill>
              <w14:schemeClr w14:val="tx1"/>
            </w14:solidFill>
          </w14:textFill>
        </w:rPr>
        <w:t>%</w:t>
      </w:r>
      <w:r>
        <w:rPr>
          <w:rFonts w:hint="eastAsia" w:ascii="宋体" w:hAnsi="宋体" w:cs="宋体"/>
          <w:bCs/>
          <w:color w:val="000000" w:themeColor="text1"/>
          <w:sz w:val="24"/>
          <w:szCs w:val="24"/>
          <w:highlight w:val="none"/>
          <w14:textFill>
            <w14:solidFill>
              <w14:schemeClr w14:val="tx1"/>
            </w14:solidFill>
          </w14:textFill>
        </w:rPr>
        <w:t>的违约金：</w:t>
      </w:r>
    </w:p>
    <w:p w14:paraId="18FF0F45">
      <w:pPr>
        <w:tabs>
          <w:tab w:val="left" w:pos="0"/>
        </w:tabs>
        <w:spacing w:line="440" w:lineRule="exact"/>
        <w:ind w:right="-27" w:firstLine="789"/>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1.1</w:t>
      </w:r>
      <w:r>
        <w:rPr>
          <w:rFonts w:hint="eastAsia" w:ascii="宋体" w:hAnsi="宋体" w:cs="宋体"/>
          <w:bCs/>
          <w:color w:val="000000" w:themeColor="text1"/>
          <w:sz w:val="24"/>
          <w:szCs w:val="24"/>
          <w:highlight w:val="none"/>
          <w14:textFill>
            <w14:solidFill>
              <w14:schemeClr w14:val="tx1"/>
            </w14:solidFill>
          </w14:textFill>
        </w:rPr>
        <w:t>乙方服务团队成员未经甲方同意发生变更，经甲方要求恢复后，未在合理期限内（</w:t>
      </w:r>
      <w:r>
        <w:rPr>
          <w:rFonts w:ascii="宋体" w:hAnsi="宋体" w:cs="宋体"/>
          <w:bCs/>
          <w:color w:val="000000" w:themeColor="text1"/>
          <w:sz w:val="24"/>
          <w:szCs w:val="24"/>
          <w:highlight w:val="none"/>
          <w:u w:val="single"/>
          <w14:textFill>
            <w14:solidFill>
              <w14:schemeClr w14:val="tx1"/>
            </w14:solidFill>
          </w14:textFill>
        </w:rPr>
        <w:t>5</w:t>
      </w:r>
      <w:r>
        <w:rPr>
          <w:rFonts w:hint="eastAsia" w:ascii="宋体" w:hAnsi="宋体" w:cs="宋体"/>
          <w:bCs/>
          <w:color w:val="000000" w:themeColor="text1"/>
          <w:sz w:val="24"/>
          <w:szCs w:val="24"/>
          <w:highlight w:val="none"/>
          <w:u w:val="single"/>
          <w14:textFill>
            <w14:solidFill>
              <w14:schemeClr w14:val="tx1"/>
            </w14:solidFill>
          </w14:textFill>
        </w:rPr>
        <w:t>个</w:t>
      </w:r>
      <w:r>
        <w:rPr>
          <w:rFonts w:ascii="宋体" w:hAnsi="宋体" w:cs="宋体"/>
          <w:bCs/>
          <w:color w:val="000000" w:themeColor="text1"/>
          <w:sz w:val="24"/>
          <w:szCs w:val="24"/>
          <w:highlight w:val="none"/>
          <w:u w:val="single"/>
          <w14:textFill>
            <w14:solidFill>
              <w14:schemeClr w14:val="tx1"/>
            </w14:solidFill>
          </w14:textFill>
        </w:rPr>
        <w:t>工作</w:t>
      </w:r>
      <w:r>
        <w:rPr>
          <w:rFonts w:hint="eastAsia" w:ascii="宋体" w:hAnsi="宋体" w:cs="宋体"/>
          <w:bCs/>
          <w:color w:val="000000" w:themeColor="text1"/>
          <w:sz w:val="24"/>
          <w:szCs w:val="24"/>
          <w:highlight w:val="none"/>
          <w14:textFill>
            <w14:solidFill>
              <w14:schemeClr w14:val="tx1"/>
            </w14:solidFill>
          </w14:textFill>
        </w:rPr>
        <w:t>日内）恢复的；</w:t>
      </w:r>
    </w:p>
    <w:p w14:paraId="4A10C270">
      <w:pPr>
        <w:tabs>
          <w:tab w:val="left" w:pos="0"/>
        </w:tabs>
        <w:spacing w:line="440" w:lineRule="exact"/>
        <w:ind w:right="-27" w:firstLine="789"/>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1.2</w:t>
      </w:r>
      <w:r>
        <w:rPr>
          <w:rFonts w:hint="eastAsia" w:ascii="宋体" w:hAnsi="宋体" w:cs="宋体"/>
          <w:bCs/>
          <w:color w:val="000000" w:themeColor="text1"/>
          <w:sz w:val="24"/>
          <w:szCs w:val="24"/>
          <w:highlight w:val="none"/>
          <w14:textFill>
            <w14:solidFill>
              <w14:schemeClr w14:val="tx1"/>
            </w14:solidFill>
          </w14:textFill>
        </w:rPr>
        <w:t>乙方单位总体服务能力发生下降，专业技术人员减员或资质下降人数达到</w:t>
      </w:r>
      <w:r>
        <w:rPr>
          <w:rFonts w:ascii="宋体" w:hAnsi="宋体" w:cs="宋体"/>
          <w:bCs/>
          <w:color w:val="000000" w:themeColor="text1"/>
          <w:sz w:val="24"/>
          <w:szCs w:val="24"/>
          <w:highlight w:val="none"/>
          <w:u w:val="single"/>
          <w14:textFill>
            <w14:solidFill>
              <w14:schemeClr w14:val="tx1"/>
            </w14:solidFill>
          </w14:textFill>
        </w:rPr>
        <w:t>20%</w:t>
      </w:r>
      <w:r>
        <w:rPr>
          <w:rFonts w:hint="eastAsia" w:ascii="宋体" w:hAnsi="宋体" w:cs="宋体"/>
          <w:bCs/>
          <w:color w:val="000000" w:themeColor="text1"/>
          <w:sz w:val="24"/>
          <w:szCs w:val="24"/>
          <w:highlight w:val="none"/>
          <w14:textFill>
            <w14:solidFill>
              <w14:schemeClr w14:val="tx1"/>
            </w14:solidFill>
          </w14:textFill>
        </w:rPr>
        <w:t>的；</w:t>
      </w:r>
    </w:p>
    <w:p w14:paraId="258E2B59">
      <w:pPr>
        <w:tabs>
          <w:tab w:val="left" w:pos="0"/>
        </w:tabs>
        <w:spacing w:line="440" w:lineRule="exact"/>
        <w:ind w:right="-27" w:firstLine="789"/>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1.3</w:t>
      </w:r>
      <w:r>
        <w:rPr>
          <w:rFonts w:hint="eastAsia" w:ascii="宋体" w:hAnsi="宋体" w:cs="宋体"/>
          <w:bCs/>
          <w:color w:val="000000" w:themeColor="text1"/>
          <w:sz w:val="24"/>
          <w:szCs w:val="24"/>
          <w:highlight w:val="none"/>
          <w14:textFill>
            <w14:solidFill>
              <w14:schemeClr w14:val="tx1"/>
            </w14:solidFill>
          </w14:textFill>
        </w:rPr>
        <w:t>乙方人员无故未能按约到甲方提供服务，服务期限内达到</w:t>
      </w:r>
      <w:r>
        <w:rPr>
          <w:rFonts w:hint="eastAsia" w:ascii="宋体" w:hAnsi="宋体" w:cs="宋体"/>
          <w:bCs/>
          <w:color w:val="000000" w:themeColor="text1"/>
          <w:sz w:val="24"/>
          <w:szCs w:val="24"/>
          <w:highlight w:val="none"/>
          <w:u w:val="single"/>
          <w14:textFill>
            <w14:solidFill>
              <w14:schemeClr w14:val="tx1"/>
            </w14:solidFill>
          </w14:textFill>
        </w:rPr>
        <w:t>二</w:t>
      </w:r>
      <w:r>
        <w:rPr>
          <w:rFonts w:hint="eastAsia" w:ascii="宋体" w:hAnsi="宋体" w:cs="宋体"/>
          <w:bCs/>
          <w:color w:val="000000" w:themeColor="text1"/>
          <w:sz w:val="24"/>
          <w:szCs w:val="24"/>
          <w:highlight w:val="none"/>
          <w14:textFill>
            <w14:solidFill>
              <w14:schemeClr w14:val="tx1"/>
            </w14:solidFill>
          </w14:textFill>
        </w:rPr>
        <w:t>人次的；</w:t>
      </w:r>
    </w:p>
    <w:p w14:paraId="3740B76D">
      <w:pPr>
        <w:tabs>
          <w:tab w:val="left" w:pos="0"/>
        </w:tabs>
        <w:spacing w:line="440" w:lineRule="exact"/>
        <w:ind w:right="-27" w:firstLine="789"/>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1.4</w:t>
      </w:r>
      <w:r>
        <w:rPr>
          <w:rFonts w:hint="eastAsia" w:ascii="宋体" w:hAnsi="宋体" w:cs="宋体"/>
          <w:bCs/>
          <w:color w:val="000000" w:themeColor="text1"/>
          <w:sz w:val="24"/>
          <w:szCs w:val="24"/>
          <w:highlight w:val="none"/>
          <w14:textFill>
            <w14:solidFill>
              <w14:schemeClr w14:val="tx1"/>
            </w14:solidFill>
          </w14:textFill>
        </w:rPr>
        <w:t>乙方人员不能响应甲方紧急服务需求的；</w:t>
      </w:r>
    </w:p>
    <w:p w14:paraId="3C1EBBCB">
      <w:pPr>
        <w:tabs>
          <w:tab w:val="left" w:pos="0"/>
        </w:tabs>
        <w:spacing w:line="440" w:lineRule="exact"/>
        <w:ind w:right="-27" w:firstLine="789"/>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1.5因</w:t>
      </w:r>
      <w:r>
        <w:rPr>
          <w:rFonts w:hint="eastAsia" w:ascii="宋体" w:hAnsi="宋体" w:cs="宋体"/>
          <w:bCs/>
          <w:color w:val="000000" w:themeColor="text1"/>
          <w:sz w:val="24"/>
          <w:szCs w:val="24"/>
          <w:highlight w:val="none"/>
          <w14:textFill>
            <w14:solidFill>
              <w14:schemeClr w14:val="tx1"/>
            </w14:solidFill>
          </w14:textFill>
        </w:rPr>
        <w:t>乙方服务人员原因在服务期间给甲方造成不良影响的，服务期限内达到</w:t>
      </w:r>
      <w:r>
        <w:rPr>
          <w:rFonts w:hint="eastAsia" w:ascii="宋体" w:hAnsi="宋体" w:cs="宋体"/>
          <w:bCs/>
          <w:color w:val="000000" w:themeColor="text1"/>
          <w:sz w:val="24"/>
          <w:szCs w:val="24"/>
          <w:highlight w:val="none"/>
          <w:u w:val="single"/>
          <w14:textFill>
            <w14:solidFill>
              <w14:schemeClr w14:val="tx1"/>
            </w14:solidFill>
          </w14:textFill>
        </w:rPr>
        <w:t>一</w:t>
      </w:r>
      <w:r>
        <w:rPr>
          <w:rFonts w:hint="eastAsia" w:ascii="宋体" w:hAnsi="宋体" w:cs="宋体"/>
          <w:bCs/>
          <w:color w:val="000000" w:themeColor="text1"/>
          <w:sz w:val="24"/>
          <w:szCs w:val="24"/>
          <w:highlight w:val="none"/>
          <w14:textFill>
            <w14:solidFill>
              <w14:schemeClr w14:val="tx1"/>
            </w14:solidFill>
          </w14:textFill>
        </w:rPr>
        <w:t>次的；</w:t>
      </w:r>
    </w:p>
    <w:p w14:paraId="1EA3FE79">
      <w:pPr>
        <w:tabs>
          <w:tab w:val="left" w:pos="0"/>
        </w:tabs>
        <w:spacing w:line="440" w:lineRule="exact"/>
        <w:ind w:right="-27" w:firstLine="789"/>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1.6</w:t>
      </w:r>
      <w:r>
        <w:rPr>
          <w:rFonts w:hint="eastAsia" w:ascii="宋体" w:hAnsi="宋体" w:cs="宋体"/>
          <w:bCs/>
          <w:color w:val="000000" w:themeColor="text1"/>
          <w:sz w:val="24"/>
          <w:szCs w:val="24"/>
          <w:highlight w:val="none"/>
          <w14:textFill>
            <w14:solidFill>
              <w14:schemeClr w14:val="tx1"/>
            </w14:solidFill>
          </w14:textFill>
        </w:rPr>
        <w:t>乙方及其服务人员虚报服务内容、服务时间等，骗取甲方服务费用的；</w:t>
      </w:r>
    </w:p>
    <w:p w14:paraId="2609553B">
      <w:pPr>
        <w:tabs>
          <w:tab w:val="left" w:pos="0"/>
        </w:tabs>
        <w:spacing w:line="440" w:lineRule="exact"/>
        <w:ind w:right="-27" w:firstLine="789"/>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1.7</w:t>
      </w:r>
      <w:r>
        <w:rPr>
          <w:rFonts w:hint="eastAsia" w:ascii="宋体" w:hAnsi="宋体" w:cs="宋体"/>
          <w:bCs/>
          <w:color w:val="000000" w:themeColor="text1"/>
          <w:sz w:val="24"/>
          <w:szCs w:val="24"/>
          <w:highlight w:val="none"/>
          <w14:textFill>
            <w14:solidFill>
              <w14:schemeClr w14:val="tx1"/>
            </w14:solidFill>
          </w14:textFill>
        </w:rPr>
        <w:t>根据第七条乙方义务，如乙方未按本合同规定提供相关服务或未能履行本合同规定的其他义务的，甲方有权依据考核结果结算当期服务费金额并要求乙方限期整改，逾期不整改或整改后仍达不到甲方要求的，甲方有权解除合同，由此造成甲方经济损失的，乙方应承担赔偿责任。同时乙方应向甲方支付合同总价</w:t>
      </w:r>
      <w:r>
        <w:rPr>
          <w:rFonts w:hint="eastAsia" w:ascii="宋体" w:hAnsi="宋体" w:cs="宋体"/>
          <w:bCs/>
          <w:color w:val="000000" w:themeColor="text1"/>
          <w:sz w:val="24"/>
          <w:szCs w:val="24"/>
          <w:highlight w:val="none"/>
          <w:u w:val="single"/>
          <w14:textFill>
            <w14:solidFill>
              <w14:schemeClr w14:val="tx1"/>
            </w14:solidFill>
          </w14:textFill>
        </w:rPr>
        <w:t xml:space="preserve"> </w:t>
      </w:r>
      <w:r>
        <w:rPr>
          <w:rFonts w:ascii="宋体" w:hAnsi="宋体" w:cs="宋体"/>
          <w:bCs/>
          <w:color w:val="000000" w:themeColor="text1"/>
          <w:sz w:val="24"/>
          <w:szCs w:val="24"/>
          <w:highlight w:val="none"/>
          <w:u w:val="single"/>
          <w14:textFill>
            <w14:solidFill>
              <w14:schemeClr w14:val="tx1"/>
            </w14:solidFill>
          </w14:textFill>
        </w:rPr>
        <w:t xml:space="preserve">5 </w:t>
      </w:r>
      <w:r>
        <w:rPr>
          <w:rFonts w:hint="eastAsia" w:ascii="宋体" w:hAnsi="宋体" w:cs="宋体"/>
          <w:bCs/>
          <w:color w:val="000000" w:themeColor="text1"/>
          <w:sz w:val="24"/>
          <w:szCs w:val="24"/>
          <w:highlight w:val="none"/>
          <w14:textFill>
            <w14:solidFill>
              <w14:schemeClr w14:val="tx1"/>
            </w14:solidFill>
          </w14:textFill>
        </w:rPr>
        <w:t>％的违约金。</w:t>
      </w:r>
    </w:p>
    <w:p w14:paraId="590CBA2C">
      <w:pPr>
        <w:tabs>
          <w:tab w:val="left" w:pos="0"/>
        </w:tabs>
        <w:spacing w:line="440" w:lineRule="exact"/>
        <w:ind w:right="-27" w:firstLine="480"/>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2</w:t>
      </w:r>
      <w:r>
        <w:rPr>
          <w:rFonts w:hint="eastAsia" w:ascii="宋体" w:hAnsi="宋体" w:cs="宋体"/>
          <w:bCs/>
          <w:color w:val="000000" w:themeColor="text1"/>
          <w:sz w:val="24"/>
          <w:szCs w:val="24"/>
          <w:highlight w:val="none"/>
          <w14:textFill>
            <w14:solidFill>
              <w14:schemeClr w14:val="tx1"/>
            </w14:solidFill>
          </w14:textFill>
        </w:rPr>
        <w:t>、乙方在承担上述“1”项中一项或多项违约责任后，仍应继续履行合同规定的义务（甲方解除合同的除外）。甲方未能及时追究乙方的任何一项违约责任并不表明甲方放弃追究乙方该项或其他违约责任。</w:t>
      </w:r>
    </w:p>
    <w:p w14:paraId="6EF11FD0">
      <w:pPr>
        <w:tabs>
          <w:tab w:val="left" w:pos="0"/>
        </w:tabs>
        <w:spacing w:line="440" w:lineRule="exact"/>
        <w:ind w:right="-27" w:firstLine="482"/>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第十条 合同的解除</w:t>
      </w:r>
    </w:p>
    <w:p w14:paraId="621032F2">
      <w:pPr>
        <w:tabs>
          <w:tab w:val="left" w:pos="0"/>
        </w:tabs>
        <w:spacing w:line="440" w:lineRule="exact"/>
        <w:ind w:right="-27" w:firstLine="480"/>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出现下列情形之一的，甲方有权解除本合同：</w:t>
      </w:r>
    </w:p>
    <w:p w14:paraId="36338B05">
      <w:pPr>
        <w:tabs>
          <w:tab w:val="left" w:pos="0"/>
        </w:tabs>
        <w:spacing w:line="440" w:lineRule="exact"/>
        <w:ind w:right="-27" w:firstLine="480"/>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1</w:t>
      </w:r>
      <w:r>
        <w:rPr>
          <w:rFonts w:hint="eastAsia" w:ascii="宋体" w:hAnsi="宋体" w:cs="宋体"/>
          <w:bCs/>
          <w:color w:val="000000" w:themeColor="text1"/>
          <w:sz w:val="24"/>
          <w:szCs w:val="24"/>
          <w:highlight w:val="none"/>
          <w14:textFill>
            <w14:solidFill>
              <w14:schemeClr w14:val="tx1"/>
            </w14:solidFill>
          </w14:textFill>
        </w:rPr>
        <w:t>、乙方单位总体服务能力发生下降，专业技术人员减员或资质下降人数达到</w:t>
      </w:r>
      <w:r>
        <w:rPr>
          <w:rFonts w:ascii="宋体" w:hAnsi="宋体" w:cs="宋体"/>
          <w:bCs/>
          <w:color w:val="000000" w:themeColor="text1"/>
          <w:sz w:val="24"/>
          <w:szCs w:val="24"/>
          <w:highlight w:val="none"/>
          <w:u w:val="single"/>
          <w14:textFill>
            <w14:solidFill>
              <w14:schemeClr w14:val="tx1"/>
            </w14:solidFill>
          </w14:textFill>
        </w:rPr>
        <w:t>30%</w:t>
      </w:r>
      <w:r>
        <w:rPr>
          <w:rFonts w:hint="eastAsia" w:ascii="宋体" w:hAnsi="宋体" w:cs="宋体"/>
          <w:bCs/>
          <w:color w:val="000000" w:themeColor="text1"/>
          <w:sz w:val="24"/>
          <w:szCs w:val="24"/>
          <w:highlight w:val="none"/>
          <w14:textFill>
            <w14:solidFill>
              <w14:schemeClr w14:val="tx1"/>
            </w14:solidFill>
          </w14:textFill>
        </w:rPr>
        <w:t>的；</w:t>
      </w:r>
    </w:p>
    <w:p w14:paraId="198799DD">
      <w:pPr>
        <w:tabs>
          <w:tab w:val="left" w:pos="0"/>
        </w:tabs>
        <w:spacing w:line="440" w:lineRule="exact"/>
        <w:ind w:right="-27" w:firstLine="480"/>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2</w:t>
      </w:r>
      <w:r>
        <w:rPr>
          <w:rFonts w:hint="eastAsia" w:ascii="宋体" w:hAnsi="宋体" w:cs="宋体"/>
          <w:bCs/>
          <w:color w:val="000000" w:themeColor="text1"/>
          <w:sz w:val="24"/>
          <w:szCs w:val="24"/>
          <w:highlight w:val="none"/>
          <w14:textFill>
            <w14:solidFill>
              <w14:schemeClr w14:val="tx1"/>
            </w14:solidFill>
          </w14:textFill>
        </w:rPr>
        <w:t>、乙方人员无故未能按约到甲方提供服务，服务期限内达到</w:t>
      </w:r>
      <w:r>
        <w:rPr>
          <w:rFonts w:hint="eastAsia" w:ascii="宋体" w:hAnsi="宋体" w:cs="宋体"/>
          <w:bCs/>
          <w:color w:val="000000" w:themeColor="text1"/>
          <w:sz w:val="24"/>
          <w:szCs w:val="24"/>
          <w:highlight w:val="none"/>
          <w:u w:val="single"/>
          <w14:textFill>
            <w14:solidFill>
              <w14:schemeClr w14:val="tx1"/>
            </w14:solidFill>
          </w14:textFill>
        </w:rPr>
        <w:t>三</w:t>
      </w:r>
      <w:r>
        <w:rPr>
          <w:rFonts w:hint="eastAsia" w:ascii="宋体" w:hAnsi="宋体" w:cs="宋体"/>
          <w:bCs/>
          <w:color w:val="000000" w:themeColor="text1"/>
          <w:sz w:val="24"/>
          <w:szCs w:val="24"/>
          <w:highlight w:val="none"/>
          <w14:textFill>
            <w14:solidFill>
              <w14:schemeClr w14:val="tx1"/>
            </w14:solidFill>
          </w14:textFill>
        </w:rPr>
        <w:t>人次的；</w:t>
      </w:r>
    </w:p>
    <w:p w14:paraId="21AC62CD">
      <w:pPr>
        <w:tabs>
          <w:tab w:val="left" w:pos="0"/>
        </w:tabs>
        <w:spacing w:line="440" w:lineRule="exact"/>
        <w:ind w:right="-27" w:firstLine="480"/>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3</w:t>
      </w:r>
      <w:r>
        <w:rPr>
          <w:rFonts w:hint="eastAsia" w:ascii="宋体" w:hAnsi="宋体" w:cs="宋体"/>
          <w:bCs/>
          <w:color w:val="000000" w:themeColor="text1"/>
          <w:sz w:val="24"/>
          <w:szCs w:val="24"/>
          <w:highlight w:val="none"/>
          <w14:textFill>
            <w14:solidFill>
              <w14:schemeClr w14:val="tx1"/>
            </w14:solidFill>
          </w14:textFill>
        </w:rPr>
        <w:t>、乙方人员不能响应甲方紧急服务需求的，经甲方指出后未能改正的；</w:t>
      </w:r>
    </w:p>
    <w:p w14:paraId="73F8C1D5">
      <w:pPr>
        <w:tabs>
          <w:tab w:val="left" w:pos="0"/>
        </w:tabs>
        <w:spacing w:line="440" w:lineRule="exact"/>
        <w:ind w:right="-27" w:firstLine="480"/>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4</w:t>
      </w:r>
      <w:r>
        <w:rPr>
          <w:rFonts w:hint="eastAsia" w:ascii="宋体" w:hAnsi="宋体" w:cs="宋体"/>
          <w:bCs/>
          <w:color w:val="000000" w:themeColor="text1"/>
          <w:sz w:val="24"/>
          <w:szCs w:val="24"/>
          <w:highlight w:val="none"/>
          <w14:textFill>
            <w14:solidFill>
              <w14:schemeClr w14:val="tx1"/>
            </w14:solidFill>
          </w14:textFill>
        </w:rPr>
        <w:t>、</w:t>
      </w:r>
      <w:r>
        <w:rPr>
          <w:rFonts w:ascii="宋体" w:hAnsi="宋体" w:cs="宋体"/>
          <w:bCs/>
          <w:color w:val="000000" w:themeColor="text1"/>
          <w:sz w:val="24"/>
          <w:szCs w:val="24"/>
          <w:highlight w:val="none"/>
          <w14:textFill>
            <w14:solidFill>
              <w14:schemeClr w14:val="tx1"/>
            </w14:solidFill>
          </w14:textFill>
        </w:rPr>
        <w:t>因</w:t>
      </w:r>
      <w:r>
        <w:rPr>
          <w:rFonts w:hint="eastAsia" w:ascii="宋体" w:hAnsi="宋体" w:cs="宋体"/>
          <w:bCs/>
          <w:color w:val="000000" w:themeColor="text1"/>
          <w:sz w:val="24"/>
          <w:szCs w:val="24"/>
          <w:highlight w:val="none"/>
          <w14:textFill>
            <w14:solidFill>
              <w14:schemeClr w14:val="tx1"/>
            </w14:solidFill>
          </w14:textFill>
        </w:rPr>
        <w:t>乙方服务人员原因在服务期间给甲方造成不良影响的，服务期限内达到</w:t>
      </w:r>
      <w:r>
        <w:rPr>
          <w:rFonts w:hint="eastAsia" w:ascii="宋体" w:hAnsi="宋体" w:cs="宋体"/>
          <w:bCs/>
          <w:color w:val="000000" w:themeColor="text1"/>
          <w:sz w:val="24"/>
          <w:szCs w:val="24"/>
          <w:highlight w:val="none"/>
          <w:u w:val="single"/>
          <w14:textFill>
            <w14:solidFill>
              <w14:schemeClr w14:val="tx1"/>
            </w14:solidFill>
          </w14:textFill>
        </w:rPr>
        <w:t>二</w:t>
      </w:r>
      <w:r>
        <w:rPr>
          <w:rFonts w:hint="eastAsia" w:ascii="宋体" w:hAnsi="宋体" w:cs="宋体"/>
          <w:bCs/>
          <w:color w:val="000000" w:themeColor="text1"/>
          <w:sz w:val="24"/>
          <w:szCs w:val="24"/>
          <w:highlight w:val="none"/>
          <w14:textFill>
            <w14:solidFill>
              <w14:schemeClr w14:val="tx1"/>
            </w14:solidFill>
          </w14:textFill>
        </w:rPr>
        <w:t>次的；</w:t>
      </w:r>
    </w:p>
    <w:p w14:paraId="69EA30D6">
      <w:pPr>
        <w:tabs>
          <w:tab w:val="left" w:pos="0"/>
        </w:tabs>
        <w:spacing w:line="440" w:lineRule="exact"/>
        <w:ind w:right="-27" w:firstLine="480"/>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5</w:t>
      </w:r>
      <w:r>
        <w:rPr>
          <w:rFonts w:hint="eastAsia" w:ascii="宋体" w:hAnsi="宋体" w:cs="宋体"/>
          <w:bCs/>
          <w:color w:val="000000" w:themeColor="text1"/>
          <w:sz w:val="24"/>
          <w:szCs w:val="24"/>
          <w:highlight w:val="none"/>
          <w14:textFill>
            <w14:solidFill>
              <w14:schemeClr w14:val="tx1"/>
            </w14:solidFill>
          </w14:textFill>
        </w:rPr>
        <w:t>、乙方及其服务人员虚报服务内容、服务时间等，骗取甲方服务费用的；</w:t>
      </w:r>
    </w:p>
    <w:p w14:paraId="1C450E7B">
      <w:pPr>
        <w:tabs>
          <w:tab w:val="left" w:pos="0"/>
        </w:tabs>
        <w:spacing w:line="440" w:lineRule="exact"/>
        <w:ind w:right="-27" w:firstLine="480"/>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6</w:t>
      </w:r>
      <w:r>
        <w:rPr>
          <w:rFonts w:hint="eastAsia" w:ascii="宋体" w:hAnsi="宋体" w:cs="宋体"/>
          <w:bCs/>
          <w:color w:val="000000" w:themeColor="text1"/>
          <w:sz w:val="24"/>
          <w:szCs w:val="24"/>
          <w:highlight w:val="none"/>
          <w14:textFill>
            <w14:solidFill>
              <w14:schemeClr w14:val="tx1"/>
            </w14:solidFill>
          </w14:textFill>
        </w:rPr>
        <w:t>、因乙方不当服务或服务人员违法，给甲方造成严重不良影响的；</w:t>
      </w:r>
    </w:p>
    <w:p w14:paraId="645BDBAB">
      <w:pPr>
        <w:tabs>
          <w:tab w:val="left" w:pos="0"/>
        </w:tabs>
        <w:spacing w:line="440" w:lineRule="exact"/>
        <w:ind w:right="-27" w:firstLine="480"/>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7、乙方一年内因生产安全事故受到行政处罚达到三次的，或者因为乙方发生生产安全事故、环境损害事故，给甲方造成重大不良影响的或导致甲方受到行政处罚的。</w:t>
      </w:r>
    </w:p>
    <w:p w14:paraId="691CDF7A">
      <w:pPr>
        <w:tabs>
          <w:tab w:val="left" w:pos="0"/>
        </w:tabs>
        <w:spacing w:line="440" w:lineRule="exact"/>
        <w:ind w:right="-27" w:firstLine="482"/>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第十</w:t>
      </w:r>
      <w:r>
        <w:rPr>
          <w:rFonts w:hint="eastAsia" w:ascii="宋体" w:hAnsi="宋体" w:cs="宋体"/>
          <w:b/>
          <w:bCs/>
          <w:color w:val="000000" w:themeColor="text1"/>
          <w:sz w:val="24"/>
          <w:szCs w:val="24"/>
          <w:highlight w:val="none"/>
          <w:lang w:val="en-US" w:eastAsia="zh-CN"/>
          <w14:textFill>
            <w14:solidFill>
              <w14:schemeClr w14:val="tx1"/>
            </w14:solidFill>
          </w14:textFill>
        </w:rPr>
        <w:t>一</w:t>
      </w:r>
      <w:r>
        <w:rPr>
          <w:rFonts w:hint="eastAsia" w:ascii="宋体" w:hAnsi="宋体" w:cs="宋体"/>
          <w:b/>
          <w:bCs/>
          <w:color w:val="000000" w:themeColor="text1"/>
          <w:sz w:val="24"/>
          <w:szCs w:val="24"/>
          <w:highlight w:val="none"/>
          <w14:textFill>
            <w14:solidFill>
              <w14:schemeClr w14:val="tx1"/>
            </w14:solidFill>
          </w14:textFill>
        </w:rPr>
        <w:t>条 不可抗力</w:t>
      </w:r>
    </w:p>
    <w:p w14:paraId="22C30E46">
      <w:pPr>
        <w:tabs>
          <w:tab w:val="left" w:pos="0"/>
        </w:tabs>
        <w:spacing w:line="440" w:lineRule="exact"/>
        <w:ind w:right="-27" w:firstLine="480"/>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1</w:t>
      </w:r>
      <w:r>
        <w:rPr>
          <w:rFonts w:hint="eastAsia" w:ascii="宋体" w:hAnsi="宋体" w:cs="宋体"/>
          <w:bCs/>
          <w:color w:val="000000" w:themeColor="text1"/>
          <w:sz w:val="24"/>
          <w:szCs w:val="24"/>
          <w:highlight w:val="none"/>
          <w14:textFill>
            <w14:solidFill>
              <w14:schemeClr w14:val="tx1"/>
            </w14:solidFill>
          </w14:textFill>
        </w:rPr>
        <w:t>、不可抗力，是指不能预见、不能避免并不能克服的客观情况，如战争、动乱、洪水、地震、风暴等。</w:t>
      </w:r>
    </w:p>
    <w:p w14:paraId="5D1C3545">
      <w:pPr>
        <w:tabs>
          <w:tab w:val="left" w:pos="0"/>
        </w:tabs>
        <w:spacing w:line="440" w:lineRule="exact"/>
        <w:ind w:right="-27" w:firstLine="480"/>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2</w:t>
      </w:r>
      <w:r>
        <w:rPr>
          <w:rFonts w:hint="eastAsia" w:ascii="宋体" w:hAnsi="宋体" w:cs="宋体"/>
          <w:bCs/>
          <w:color w:val="000000" w:themeColor="text1"/>
          <w:sz w:val="24"/>
          <w:szCs w:val="24"/>
          <w:highlight w:val="none"/>
          <w14:textFill>
            <w14:solidFill>
              <w14:schemeClr w14:val="tx1"/>
            </w14:solidFill>
          </w14:textFill>
        </w:rPr>
        <w:t>、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p>
    <w:p w14:paraId="650F663B">
      <w:pPr>
        <w:tabs>
          <w:tab w:val="left" w:pos="0"/>
        </w:tabs>
        <w:spacing w:line="440" w:lineRule="exact"/>
        <w:ind w:right="-27" w:firstLine="480"/>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3</w:t>
      </w:r>
      <w:r>
        <w:rPr>
          <w:rFonts w:hint="eastAsia" w:ascii="宋体" w:hAnsi="宋体" w:cs="宋体"/>
          <w:bCs/>
          <w:color w:val="000000" w:themeColor="text1"/>
          <w:sz w:val="24"/>
          <w:szCs w:val="24"/>
          <w:highlight w:val="none"/>
          <w14:textFill>
            <w14:solidFill>
              <w14:schemeClr w14:val="tx1"/>
            </w14:solidFill>
          </w14:textFill>
        </w:rPr>
        <w:t>、发生不可抗力事件，任何一方均不对因不可抗力无法履行或迟延履行本合同义务而使另一方蒙受的任何损失承担责任，法律另有规定的除外。</w:t>
      </w:r>
    </w:p>
    <w:p w14:paraId="283F445D">
      <w:pPr>
        <w:tabs>
          <w:tab w:val="left" w:pos="0"/>
        </w:tabs>
        <w:spacing w:line="440" w:lineRule="exact"/>
        <w:ind w:right="-27" w:firstLine="480"/>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4</w:t>
      </w:r>
      <w:r>
        <w:rPr>
          <w:rFonts w:hint="eastAsia" w:ascii="宋体" w:hAnsi="宋体" w:cs="宋体"/>
          <w:bCs/>
          <w:color w:val="000000" w:themeColor="text1"/>
          <w:sz w:val="24"/>
          <w:szCs w:val="24"/>
          <w:highlight w:val="none"/>
          <w14:textFill>
            <w14:solidFill>
              <w14:schemeClr w14:val="tx1"/>
            </w14:solidFill>
          </w14:textFill>
        </w:rPr>
        <w:t>、合同各方应根据不可抗力对本合同履行的影响程度，协商确定是否终止或是继续履行本合同。</w:t>
      </w:r>
    </w:p>
    <w:p w14:paraId="30B5CD61">
      <w:pPr>
        <w:tabs>
          <w:tab w:val="left" w:pos="0"/>
        </w:tabs>
        <w:spacing w:line="440" w:lineRule="exact"/>
        <w:ind w:right="-27" w:firstLine="482"/>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第十</w:t>
      </w:r>
      <w:r>
        <w:rPr>
          <w:rFonts w:hint="eastAsia" w:ascii="宋体" w:hAnsi="宋体" w:cs="宋体"/>
          <w:b/>
          <w:bCs/>
          <w:color w:val="000000" w:themeColor="text1"/>
          <w:sz w:val="24"/>
          <w:szCs w:val="24"/>
          <w:highlight w:val="none"/>
          <w:lang w:val="en-US" w:eastAsia="zh-CN"/>
          <w14:textFill>
            <w14:solidFill>
              <w14:schemeClr w14:val="tx1"/>
            </w14:solidFill>
          </w14:textFill>
        </w:rPr>
        <w:t>二</w:t>
      </w:r>
      <w:r>
        <w:rPr>
          <w:rFonts w:hint="eastAsia" w:ascii="宋体" w:hAnsi="宋体" w:cs="宋体"/>
          <w:b/>
          <w:bCs/>
          <w:color w:val="000000" w:themeColor="text1"/>
          <w:sz w:val="24"/>
          <w:szCs w:val="24"/>
          <w:highlight w:val="none"/>
          <w14:textFill>
            <w14:solidFill>
              <w14:schemeClr w14:val="tx1"/>
            </w14:solidFill>
          </w14:textFill>
        </w:rPr>
        <w:t>条 合同的变更、中止</w:t>
      </w:r>
    </w:p>
    <w:p w14:paraId="574FBC30">
      <w:pPr>
        <w:tabs>
          <w:tab w:val="left" w:pos="0"/>
        </w:tabs>
        <w:spacing w:line="440" w:lineRule="exact"/>
        <w:ind w:right="-27" w:firstLine="480"/>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本合同一经签订，双方均不得擅自变更或中止合同，除非合同的继续履行将损害国家利益和社会公共利益。</w:t>
      </w:r>
    </w:p>
    <w:p w14:paraId="2DDF2A03">
      <w:pPr>
        <w:tabs>
          <w:tab w:val="left" w:pos="0"/>
        </w:tabs>
        <w:spacing w:line="440" w:lineRule="exact"/>
        <w:ind w:right="-27" w:firstLine="482"/>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第十</w:t>
      </w:r>
      <w:r>
        <w:rPr>
          <w:rFonts w:hint="eastAsia" w:ascii="宋体" w:hAnsi="宋体" w:cs="宋体"/>
          <w:b/>
          <w:bCs/>
          <w:color w:val="000000" w:themeColor="text1"/>
          <w:sz w:val="24"/>
          <w:szCs w:val="24"/>
          <w:highlight w:val="none"/>
          <w:lang w:val="en-US" w:eastAsia="zh-CN"/>
          <w14:textFill>
            <w14:solidFill>
              <w14:schemeClr w14:val="tx1"/>
            </w14:solidFill>
          </w14:textFill>
        </w:rPr>
        <w:t>三</w:t>
      </w:r>
      <w:r>
        <w:rPr>
          <w:rFonts w:hint="eastAsia" w:ascii="宋体" w:hAnsi="宋体" w:cs="宋体"/>
          <w:b/>
          <w:bCs/>
          <w:color w:val="000000" w:themeColor="text1"/>
          <w:sz w:val="24"/>
          <w:szCs w:val="24"/>
          <w:highlight w:val="none"/>
          <w14:textFill>
            <w14:solidFill>
              <w14:schemeClr w14:val="tx1"/>
            </w14:solidFill>
          </w14:textFill>
        </w:rPr>
        <w:t>条 合同的终止</w:t>
      </w:r>
    </w:p>
    <w:p w14:paraId="6F59C807">
      <w:pPr>
        <w:tabs>
          <w:tab w:val="left" w:pos="0"/>
        </w:tabs>
        <w:spacing w:line="440" w:lineRule="exact"/>
        <w:ind w:right="-27" w:firstLine="480"/>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1、本合同因下列原因而终止：</w:t>
      </w:r>
    </w:p>
    <w:p w14:paraId="16A69971">
      <w:pPr>
        <w:tabs>
          <w:tab w:val="left" w:pos="0"/>
        </w:tabs>
        <w:spacing w:line="440" w:lineRule="exact"/>
        <w:ind w:right="-27" w:firstLine="789"/>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1.1 本合同正常履行完毕；</w:t>
      </w:r>
    </w:p>
    <w:p w14:paraId="774BAD07">
      <w:pPr>
        <w:tabs>
          <w:tab w:val="left" w:pos="0"/>
        </w:tabs>
        <w:spacing w:line="440" w:lineRule="exact"/>
        <w:ind w:right="-27" w:firstLine="789"/>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1.2 因不可抗力导致本合同无法履行或履行不必要；</w:t>
      </w:r>
    </w:p>
    <w:p w14:paraId="431ECB56">
      <w:pPr>
        <w:tabs>
          <w:tab w:val="left" w:pos="0"/>
        </w:tabs>
        <w:spacing w:line="440" w:lineRule="exact"/>
        <w:ind w:right="-27" w:firstLine="789"/>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1.3 任何一方行使解除权解除本合同；</w:t>
      </w:r>
    </w:p>
    <w:p w14:paraId="6D893E2A">
      <w:pPr>
        <w:tabs>
          <w:tab w:val="left" w:pos="0"/>
        </w:tabs>
        <w:spacing w:line="440" w:lineRule="exact"/>
        <w:ind w:right="-27" w:firstLine="789"/>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1.4 合同的继续履行将损害国家利益和社会公共利益且不宜变更、中止的。</w:t>
      </w:r>
    </w:p>
    <w:p w14:paraId="13BC88F7">
      <w:pPr>
        <w:tabs>
          <w:tab w:val="left" w:pos="0"/>
        </w:tabs>
        <w:spacing w:line="440" w:lineRule="exact"/>
        <w:ind w:right="-27" w:firstLine="480"/>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2、除上述情形外，甲乙双方不得擅自终止合同。</w:t>
      </w:r>
    </w:p>
    <w:p w14:paraId="5467D7F2">
      <w:pPr>
        <w:tabs>
          <w:tab w:val="left" w:pos="0"/>
        </w:tabs>
        <w:spacing w:line="440" w:lineRule="exact"/>
        <w:ind w:right="-27" w:firstLine="482"/>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第十</w:t>
      </w:r>
      <w:r>
        <w:rPr>
          <w:rFonts w:hint="eastAsia" w:ascii="宋体" w:hAnsi="宋体" w:cs="宋体"/>
          <w:b/>
          <w:bCs/>
          <w:color w:val="000000" w:themeColor="text1"/>
          <w:sz w:val="24"/>
          <w:szCs w:val="24"/>
          <w:highlight w:val="none"/>
          <w:lang w:val="en-US" w:eastAsia="zh-CN"/>
          <w14:textFill>
            <w14:solidFill>
              <w14:schemeClr w14:val="tx1"/>
            </w14:solidFill>
          </w14:textFill>
        </w:rPr>
        <w:t>四</w:t>
      </w:r>
      <w:r>
        <w:rPr>
          <w:rFonts w:hint="eastAsia" w:ascii="宋体" w:hAnsi="宋体" w:cs="宋体"/>
          <w:b/>
          <w:bCs/>
          <w:color w:val="000000" w:themeColor="text1"/>
          <w:sz w:val="24"/>
          <w:szCs w:val="24"/>
          <w:highlight w:val="none"/>
          <w14:textFill>
            <w14:solidFill>
              <w14:schemeClr w14:val="tx1"/>
            </w14:solidFill>
          </w14:textFill>
        </w:rPr>
        <w:t>条 合同的转让</w:t>
      </w:r>
    </w:p>
    <w:p w14:paraId="2BFCE0F7">
      <w:pPr>
        <w:tabs>
          <w:tab w:val="left" w:pos="0"/>
        </w:tabs>
        <w:spacing w:line="440" w:lineRule="exact"/>
        <w:ind w:right="-27" w:firstLine="480"/>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乙方不得将其合同项下的权利义务部分或全部转让给第三方。</w:t>
      </w:r>
    </w:p>
    <w:p w14:paraId="1ACB7B0E">
      <w:pPr>
        <w:tabs>
          <w:tab w:val="left" w:pos="0"/>
        </w:tabs>
        <w:spacing w:line="440" w:lineRule="exact"/>
        <w:ind w:right="-27" w:firstLine="482"/>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第十</w:t>
      </w:r>
      <w:r>
        <w:rPr>
          <w:rFonts w:hint="eastAsia" w:ascii="宋体" w:hAnsi="宋体" w:cs="宋体"/>
          <w:b/>
          <w:bCs/>
          <w:color w:val="000000" w:themeColor="text1"/>
          <w:sz w:val="24"/>
          <w:szCs w:val="24"/>
          <w:highlight w:val="none"/>
          <w:lang w:val="en-US" w:eastAsia="zh-CN"/>
          <w14:textFill>
            <w14:solidFill>
              <w14:schemeClr w14:val="tx1"/>
            </w14:solidFill>
          </w14:textFill>
        </w:rPr>
        <w:t>五</w:t>
      </w:r>
      <w:r>
        <w:rPr>
          <w:rFonts w:hint="eastAsia" w:ascii="宋体" w:hAnsi="宋体" w:cs="宋体"/>
          <w:b/>
          <w:bCs/>
          <w:color w:val="000000" w:themeColor="text1"/>
          <w:sz w:val="24"/>
          <w:szCs w:val="24"/>
          <w:highlight w:val="none"/>
          <w14:textFill>
            <w14:solidFill>
              <w14:schemeClr w14:val="tx1"/>
            </w14:solidFill>
          </w14:textFill>
        </w:rPr>
        <w:t>条 履约保证金</w:t>
      </w:r>
    </w:p>
    <w:p w14:paraId="00011905">
      <w:pPr>
        <w:tabs>
          <w:tab w:val="left" w:pos="0"/>
        </w:tabs>
        <w:spacing w:line="440" w:lineRule="exact"/>
        <w:ind w:right="-27" w:firstLine="480"/>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本项目不收取履约保证金。</w:t>
      </w:r>
    </w:p>
    <w:p w14:paraId="6E2E62FB">
      <w:pPr>
        <w:tabs>
          <w:tab w:val="left" w:pos="0"/>
        </w:tabs>
        <w:spacing w:line="440" w:lineRule="exact"/>
        <w:ind w:right="-27" w:firstLine="482"/>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第十</w:t>
      </w:r>
      <w:r>
        <w:rPr>
          <w:rFonts w:hint="eastAsia" w:ascii="宋体" w:hAnsi="宋体" w:cs="宋体"/>
          <w:b/>
          <w:bCs/>
          <w:color w:val="000000" w:themeColor="text1"/>
          <w:sz w:val="24"/>
          <w:szCs w:val="24"/>
          <w:highlight w:val="none"/>
          <w:lang w:val="en-US" w:eastAsia="zh-CN"/>
          <w14:textFill>
            <w14:solidFill>
              <w14:schemeClr w14:val="tx1"/>
            </w14:solidFill>
          </w14:textFill>
        </w:rPr>
        <w:t>六</w:t>
      </w:r>
      <w:r>
        <w:rPr>
          <w:rFonts w:hint="eastAsia" w:ascii="宋体" w:hAnsi="宋体" w:cs="宋体"/>
          <w:b/>
          <w:bCs/>
          <w:color w:val="000000" w:themeColor="text1"/>
          <w:sz w:val="24"/>
          <w:szCs w:val="24"/>
          <w:highlight w:val="none"/>
          <w14:textFill>
            <w14:solidFill>
              <w14:schemeClr w14:val="tx1"/>
            </w14:solidFill>
          </w14:textFill>
        </w:rPr>
        <w:t>条 争议解决方式</w:t>
      </w:r>
    </w:p>
    <w:p w14:paraId="79C8E236">
      <w:pPr>
        <w:tabs>
          <w:tab w:val="left" w:pos="0"/>
        </w:tabs>
        <w:spacing w:line="440" w:lineRule="exact"/>
        <w:ind w:right="-27" w:firstLine="480"/>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1、在执行本合同过程中所发生的或与本合同有关的一切争端，甲乙双方友好协商解决。如协商不能解决，则全部争端由甲方所在地人民法院管辖。</w:t>
      </w:r>
    </w:p>
    <w:p w14:paraId="42BEF5DE">
      <w:pPr>
        <w:tabs>
          <w:tab w:val="left" w:pos="0"/>
        </w:tabs>
        <w:spacing w:line="440" w:lineRule="exact"/>
        <w:ind w:right="-27" w:firstLine="480"/>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2、如因乙方违约，导致甲方起诉的，甲方由此产生的诉讼费用、律师费用、差旅费用等，均由乙方承担。</w:t>
      </w:r>
    </w:p>
    <w:p w14:paraId="32F34822">
      <w:pPr>
        <w:tabs>
          <w:tab w:val="left" w:pos="0"/>
        </w:tabs>
        <w:spacing w:line="440" w:lineRule="exact"/>
        <w:ind w:right="-27" w:firstLine="482"/>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第十</w:t>
      </w:r>
      <w:r>
        <w:rPr>
          <w:rFonts w:hint="eastAsia" w:ascii="宋体" w:hAnsi="宋体" w:cs="宋体"/>
          <w:b/>
          <w:bCs/>
          <w:color w:val="000000" w:themeColor="text1"/>
          <w:sz w:val="24"/>
          <w:szCs w:val="24"/>
          <w:highlight w:val="none"/>
          <w:lang w:val="en-US" w:eastAsia="zh-CN"/>
          <w14:textFill>
            <w14:solidFill>
              <w14:schemeClr w14:val="tx1"/>
            </w14:solidFill>
          </w14:textFill>
        </w:rPr>
        <w:t>七</w:t>
      </w:r>
      <w:r>
        <w:rPr>
          <w:rFonts w:hint="eastAsia" w:ascii="宋体" w:hAnsi="宋体" w:cs="宋体"/>
          <w:b/>
          <w:bCs/>
          <w:color w:val="000000" w:themeColor="text1"/>
          <w:sz w:val="24"/>
          <w:szCs w:val="24"/>
          <w:highlight w:val="none"/>
          <w14:textFill>
            <w14:solidFill>
              <w14:schemeClr w14:val="tx1"/>
            </w14:solidFill>
          </w14:textFill>
        </w:rPr>
        <w:t>条 通知与送达</w:t>
      </w:r>
    </w:p>
    <w:p w14:paraId="72A329A9">
      <w:pPr>
        <w:tabs>
          <w:tab w:val="left" w:pos="0"/>
        </w:tabs>
        <w:spacing w:line="440" w:lineRule="exact"/>
        <w:ind w:right="-27" w:firstLine="480"/>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1、甲乙双方因履行本合同需要向对方发送通知、文件、资料的，均以下列联系信息确定内容进行：</w:t>
      </w:r>
    </w:p>
    <w:p w14:paraId="4A3AEAB4">
      <w:pPr>
        <w:tabs>
          <w:tab w:val="left" w:pos="0"/>
        </w:tabs>
        <w:spacing w:line="440" w:lineRule="exact"/>
        <w:ind w:right="-27" w:firstLine="480"/>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1.1</w:t>
      </w:r>
      <w:r>
        <w:rPr>
          <w:rFonts w:hint="eastAsia" w:ascii="宋体" w:hAnsi="宋体" w:cs="宋体"/>
          <w:bCs/>
          <w:color w:val="000000" w:themeColor="text1"/>
          <w:sz w:val="24"/>
          <w:szCs w:val="24"/>
          <w:highlight w:val="none"/>
          <w14:textFill>
            <w14:solidFill>
              <w14:schemeClr w14:val="tx1"/>
            </w14:solidFill>
          </w14:textFill>
        </w:rPr>
        <w:t>甲方联系信息：</w:t>
      </w:r>
    </w:p>
    <w:p w14:paraId="56FC6EA1">
      <w:pPr>
        <w:tabs>
          <w:tab w:val="left" w:pos="0"/>
        </w:tabs>
        <w:spacing w:line="440" w:lineRule="exact"/>
        <w:ind w:right="-27" w:firstLine="480"/>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指定收件人：</w:t>
      </w:r>
      <w:r>
        <w:rPr>
          <w:rFonts w:hint="eastAsia" w:ascii="宋体" w:hAnsi="宋体" w:cs="宋体"/>
          <w:bCs/>
          <w:color w:val="000000" w:themeColor="text1"/>
          <w:sz w:val="24"/>
          <w:szCs w:val="24"/>
          <w:highlight w:val="none"/>
          <w:u w:val="single"/>
          <w14:textFill>
            <w14:solidFill>
              <w14:schemeClr w14:val="tx1"/>
            </w14:solidFill>
          </w14:textFill>
        </w:rPr>
        <w:t xml:space="preserve">                           </w:t>
      </w:r>
    </w:p>
    <w:p w14:paraId="5614FC32">
      <w:pPr>
        <w:tabs>
          <w:tab w:val="left" w:pos="0"/>
        </w:tabs>
        <w:spacing w:line="440" w:lineRule="exact"/>
        <w:ind w:right="-27" w:firstLine="480"/>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送达地址：</w:t>
      </w:r>
      <w:r>
        <w:rPr>
          <w:rFonts w:hint="eastAsia" w:ascii="宋体" w:hAnsi="宋体" w:cs="宋体"/>
          <w:bCs/>
          <w:color w:val="000000" w:themeColor="text1"/>
          <w:sz w:val="24"/>
          <w:szCs w:val="24"/>
          <w:highlight w:val="none"/>
          <w:u w:val="single"/>
          <w14:textFill>
            <w14:solidFill>
              <w14:schemeClr w14:val="tx1"/>
            </w14:solidFill>
          </w14:textFill>
        </w:rPr>
        <w:t xml:space="preserve">                           </w:t>
      </w:r>
    </w:p>
    <w:p w14:paraId="1FA6E168">
      <w:pPr>
        <w:tabs>
          <w:tab w:val="left" w:pos="0"/>
        </w:tabs>
        <w:spacing w:line="440" w:lineRule="exact"/>
        <w:ind w:right="-27" w:firstLine="480"/>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指定电子收件方式：</w:t>
      </w:r>
      <w:r>
        <w:rPr>
          <w:rFonts w:hint="eastAsia" w:ascii="宋体" w:hAnsi="宋体" w:cs="宋体"/>
          <w:bCs/>
          <w:color w:val="000000" w:themeColor="text1"/>
          <w:sz w:val="24"/>
          <w:szCs w:val="24"/>
          <w:highlight w:val="none"/>
          <w:u w:val="single"/>
          <w14:textFill>
            <w14:solidFill>
              <w14:schemeClr w14:val="tx1"/>
            </w14:solidFill>
          </w14:textFill>
        </w:rPr>
        <w:t xml:space="preserve">                           </w:t>
      </w:r>
    </w:p>
    <w:p w14:paraId="4304F134">
      <w:pPr>
        <w:tabs>
          <w:tab w:val="left" w:pos="0"/>
        </w:tabs>
        <w:spacing w:line="440" w:lineRule="exact"/>
        <w:ind w:right="-27" w:firstLine="480"/>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1.2</w:t>
      </w:r>
      <w:r>
        <w:rPr>
          <w:rFonts w:hint="eastAsia" w:ascii="宋体" w:hAnsi="宋体" w:cs="宋体"/>
          <w:bCs/>
          <w:color w:val="000000" w:themeColor="text1"/>
          <w:sz w:val="24"/>
          <w:szCs w:val="24"/>
          <w:highlight w:val="none"/>
          <w14:textFill>
            <w14:solidFill>
              <w14:schemeClr w14:val="tx1"/>
            </w14:solidFill>
          </w14:textFill>
        </w:rPr>
        <w:t>乙方联系信息：</w:t>
      </w:r>
    </w:p>
    <w:p w14:paraId="35219EE6">
      <w:pPr>
        <w:tabs>
          <w:tab w:val="left" w:pos="0"/>
        </w:tabs>
        <w:spacing w:line="440" w:lineRule="exact"/>
        <w:ind w:right="-27" w:firstLine="480"/>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指定收件人：</w:t>
      </w:r>
      <w:r>
        <w:rPr>
          <w:rFonts w:hint="eastAsia" w:ascii="宋体" w:hAnsi="宋体" w:cs="宋体"/>
          <w:bCs/>
          <w:color w:val="000000" w:themeColor="text1"/>
          <w:sz w:val="24"/>
          <w:szCs w:val="24"/>
          <w:highlight w:val="none"/>
          <w:u w:val="single"/>
          <w14:textFill>
            <w14:solidFill>
              <w14:schemeClr w14:val="tx1"/>
            </w14:solidFill>
          </w14:textFill>
        </w:rPr>
        <w:t xml:space="preserve">                           </w:t>
      </w:r>
    </w:p>
    <w:p w14:paraId="55536D19">
      <w:pPr>
        <w:tabs>
          <w:tab w:val="left" w:pos="0"/>
        </w:tabs>
        <w:spacing w:line="440" w:lineRule="exact"/>
        <w:ind w:right="-27" w:firstLine="480"/>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送达地址：</w:t>
      </w:r>
      <w:r>
        <w:rPr>
          <w:rFonts w:hint="eastAsia" w:ascii="宋体" w:hAnsi="宋体" w:cs="宋体"/>
          <w:bCs/>
          <w:color w:val="000000" w:themeColor="text1"/>
          <w:sz w:val="24"/>
          <w:szCs w:val="24"/>
          <w:highlight w:val="none"/>
          <w:u w:val="single"/>
          <w14:textFill>
            <w14:solidFill>
              <w14:schemeClr w14:val="tx1"/>
            </w14:solidFill>
          </w14:textFill>
        </w:rPr>
        <w:t xml:space="preserve">                           </w:t>
      </w:r>
    </w:p>
    <w:p w14:paraId="543B681A">
      <w:pPr>
        <w:tabs>
          <w:tab w:val="left" w:pos="0"/>
        </w:tabs>
        <w:spacing w:line="440" w:lineRule="exact"/>
        <w:ind w:right="-27" w:firstLine="480"/>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指定电子收件方式：</w:t>
      </w:r>
      <w:r>
        <w:rPr>
          <w:rFonts w:hint="eastAsia" w:ascii="宋体" w:hAnsi="宋体" w:cs="宋体"/>
          <w:bCs/>
          <w:color w:val="000000" w:themeColor="text1"/>
          <w:sz w:val="24"/>
          <w:szCs w:val="24"/>
          <w:highlight w:val="none"/>
          <w:u w:val="single"/>
          <w14:textFill>
            <w14:solidFill>
              <w14:schemeClr w14:val="tx1"/>
            </w14:solidFill>
          </w14:textFill>
        </w:rPr>
        <w:t xml:space="preserve">                           </w:t>
      </w:r>
    </w:p>
    <w:p w14:paraId="30F18431">
      <w:pPr>
        <w:tabs>
          <w:tab w:val="left" w:pos="0"/>
        </w:tabs>
        <w:spacing w:line="440" w:lineRule="exact"/>
        <w:ind w:right="-27" w:firstLine="480"/>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2、双方确认前述联系信息作为解决争议时接受人民法院诉讼文书的送达地址和联系方式。</w:t>
      </w:r>
    </w:p>
    <w:p w14:paraId="0780BF4E">
      <w:pPr>
        <w:tabs>
          <w:tab w:val="left" w:pos="0"/>
        </w:tabs>
        <w:spacing w:line="440" w:lineRule="exact"/>
        <w:ind w:right="-27" w:firstLine="480"/>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3、任何一方改变前述联系信息的，应在发生变更后的3天内告知对方并做好通知到达对方前可能存在的邮件的接收。如未通知的，视为没有变更。</w:t>
      </w:r>
    </w:p>
    <w:p w14:paraId="26861B57">
      <w:pPr>
        <w:tabs>
          <w:tab w:val="left" w:pos="0"/>
        </w:tabs>
        <w:spacing w:line="440" w:lineRule="exact"/>
        <w:ind w:right="-27" w:firstLine="482"/>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第十</w:t>
      </w:r>
      <w:r>
        <w:rPr>
          <w:rFonts w:hint="eastAsia" w:ascii="宋体" w:hAnsi="宋体" w:cs="宋体"/>
          <w:b/>
          <w:bCs/>
          <w:color w:val="000000" w:themeColor="text1"/>
          <w:sz w:val="24"/>
          <w:szCs w:val="24"/>
          <w:highlight w:val="none"/>
          <w:lang w:val="en-US" w:eastAsia="zh-CN"/>
          <w14:textFill>
            <w14:solidFill>
              <w14:schemeClr w14:val="tx1"/>
            </w14:solidFill>
          </w14:textFill>
        </w:rPr>
        <w:t>八</w:t>
      </w:r>
      <w:r>
        <w:rPr>
          <w:rFonts w:hint="eastAsia" w:ascii="宋体" w:hAnsi="宋体" w:cs="宋体"/>
          <w:b/>
          <w:bCs/>
          <w:color w:val="000000" w:themeColor="text1"/>
          <w:sz w:val="24"/>
          <w:szCs w:val="24"/>
          <w:highlight w:val="none"/>
          <w14:textFill>
            <w14:solidFill>
              <w14:schemeClr w14:val="tx1"/>
            </w14:solidFill>
          </w14:textFill>
        </w:rPr>
        <w:t>条 合同生效及其他</w:t>
      </w:r>
    </w:p>
    <w:p w14:paraId="55D91A06">
      <w:pPr>
        <w:tabs>
          <w:tab w:val="left" w:pos="0"/>
        </w:tabs>
        <w:spacing w:line="440" w:lineRule="exact"/>
        <w:ind w:right="-27" w:firstLine="480"/>
        <w:rPr>
          <w:rFonts w:ascii="Times New Roman" w:hAnsi="Times New Roman"/>
          <w:b/>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1、</w:t>
      </w:r>
      <w:r>
        <w:rPr>
          <w:rFonts w:hint="eastAsia" w:ascii="宋体" w:hAnsi="宋体"/>
          <w:color w:val="000000" w:themeColor="text1"/>
          <w:sz w:val="24"/>
          <w:szCs w:val="24"/>
          <w:highlight w:val="none"/>
          <w14:textFill>
            <w14:solidFill>
              <w14:schemeClr w14:val="tx1"/>
            </w14:solidFill>
          </w14:textFill>
        </w:rPr>
        <w:t>合同在双方加盖公章或</w:t>
      </w:r>
      <w:r>
        <w:rPr>
          <w:rFonts w:hint="eastAsia" w:ascii="宋体" w:hAnsi="宋体"/>
          <w:b/>
          <w:color w:val="000000" w:themeColor="text1"/>
          <w:sz w:val="24"/>
          <w:szCs w:val="24"/>
          <w:highlight w:val="none"/>
          <w14:textFill>
            <w14:solidFill>
              <w14:schemeClr w14:val="tx1"/>
            </w14:solidFill>
          </w14:textFill>
        </w:rPr>
        <w:t>双方法定代表人、授权代表签字后生效</w:t>
      </w:r>
    </w:p>
    <w:p w14:paraId="4F96B890">
      <w:pPr>
        <w:tabs>
          <w:tab w:val="left" w:pos="0"/>
        </w:tabs>
        <w:spacing w:line="440" w:lineRule="exact"/>
        <w:ind w:right="-27" w:firstLine="480"/>
        <w:rPr>
          <w:rFonts w:ascii="Times New Roman" w:hAnsi="Times New Roman"/>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2、</w:t>
      </w:r>
      <w:r>
        <w:rPr>
          <w:rFonts w:hint="eastAsia" w:ascii="宋体" w:hAnsi="宋体"/>
          <w:color w:val="000000" w:themeColor="text1"/>
          <w:sz w:val="24"/>
          <w:szCs w:val="24"/>
          <w:highlight w:val="none"/>
          <w14:textFill>
            <w14:solidFill>
              <w14:schemeClr w14:val="tx1"/>
            </w14:solidFill>
          </w14:textFill>
        </w:rPr>
        <w:t>本合同一式</w:t>
      </w:r>
      <w:r>
        <w:rPr>
          <w:rFonts w:hint="eastAsia" w:ascii="宋体" w:hAnsi="宋体"/>
          <w:color w:val="000000" w:themeColor="text1"/>
          <w:sz w:val="24"/>
          <w:szCs w:val="24"/>
          <w:highlight w:val="none"/>
          <w:u w:val="single"/>
          <w14:textFill>
            <w14:solidFill>
              <w14:schemeClr w14:val="tx1"/>
            </w14:solidFill>
          </w14:textFill>
        </w:rPr>
        <w:t>四</w:t>
      </w:r>
      <w:r>
        <w:rPr>
          <w:rFonts w:hint="eastAsia" w:ascii="宋体" w:hAnsi="宋体"/>
          <w:color w:val="000000" w:themeColor="text1"/>
          <w:sz w:val="24"/>
          <w:szCs w:val="24"/>
          <w:highlight w:val="none"/>
          <w14:textFill>
            <w14:solidFill>
              <w14:schemeClr w14:val="tx1"/>
            </w14:solidFill>
          </w14:textFill>
        </w:rPr>
        <w:t>份，以简体中文书写，甲方、乙方各执二份。</w:t>
      </w:r>
    </w:p>
    <w:p w14:paraId="7C702583">
      <w:pPr>
        <w:tabs>
          <w:tab w:val="left" w:pos="0"/>
        </w:tabs>
        <w:spacing w:line="440" w:lineRule="exact"/>
        <w:ind w:right="-27" w:firstLine="480"/>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3、本合同应按照中华人民共和国的现行法律进行解释。</w:t>
      </w:r>
    </w:p>
    <w:p w14:paraId="3AE3E7E3">
      <w:pPr>
        <w:tabs>
          <w:tab w:val="left" w:pos="0"/>
        </w:tabs>
        <w:spacing w:line="440" w:lineRule="exact"/>
        <w:ind w:right="-27" w:firstLine="480"/>
        <w:rPr>
          <w:rFonts w:ascii="宋体" w:hAnsi="宋体" w:cs="宋体"/>
          <w:bCs/>
          <w:color w:val="000000" w:themeColor="text1"/>
          <w:sz w:val="24"/>
          <w:szCs w:val="24"/>
          <w:highlight w:val="none"/>
          <w14:textFill>
            <w14:solidFill>
              <w14:schemeClr w14:val="tx1"/>
            </w14:solidFill>
          </w14:textFill>
        </w:rPr>
      </w:pPr>
    </w:p>
    <w:p w14:paraId="556CE659">
      <w:pPr>
        <w:tabs>
          <w:tab w:val="left" w:pos="0"/>
        </w:tabs>
        <w:spacing w:line="440" w:lineRule="exact"/>
        <w:ind w:right="-27" w:firstLine="480"/>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甲方（公章）：                       乙方（公章）：</w:t>
      </w:r>
    </w:p>
    <w:p w14:paraId="00483787">
      <w:pPr>
        <w:tabs>
          <w:tab w:val="left" w:pos="0"/>
        </w:tabs>
        <w:spacing w:line="440" w:lineRule="exact"/>
        <w:ind w:right="-27" w:firstLine="480"/>
        <w:rPr>
          <w:rFonts w:ascii="宋体" w:hAnsi="宋体" w:cs="宋体"/>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法定（授权）代表人（签字）：        </w:t>
      </w:r>
      <w:r>
        <w:rPr>
          <w:rFonts w:ascii="宋体" w:hAnsi="宋体"/>
          <w:color w:val="000000" w:themeColor="text1"/>
          <w:sz w:val="24"/>
          <w:szCs w:val="24"/>
          <w:highlight w:val="non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法定（授权）代表人（签字）：</w:t>
      </w:r>
    </w:p>
    <w:p w14:paraId="19D4E61D">
      <w:pPr>
        <w:tabs>
          <w:tab w:val="left" w:pos="0"/>
        </w:tabs>
        <w:spacing w:line="440" w:lineRule="exact"/>
        <w:ind w:right="-27" w:firstLine="480"/>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    年   月   日                        年   月   日</w:t>
      </w:r>
    </w:p>
    <w:p w14:paraId="584E227E">
      <w:pPr>
        <w:keepNext/>
        <w:ind w:firstLine="880"/>
        <w:jc w:val="center"/>
        <w:outlineLvl w:val="0"/>
        <w:rPr>
          <w:rFonts w:ascii="宋体" w:hAnsi="宋体" w:cs="Courier New"/>
          <w:color w:val="000000" w:themeColor="text1"/>
          <w:sz w:val="24"/>
          <w:szCs w:val="24"/>
          <w:highlight w:val="none"/>
          <w14:textFill>
            <w14:solidFill>
              <w14:schemeClr w14:val="tx1"/>
            </w14:solidFill>
          </w14:textFill>
        </w:rPr>
      </w:pPr>
      <w:r>
        <w:rPr>
          <w:rFonts w:ascii="黑体" w:hAnsi="Courier New" w:eastAsia="黑体" w:cs="Courier New"/>
          <w:bCs/>
          <w:color w:val="000000" w:themeColor="text1"/>
          <w:sz w:val="44"/>
          <w:szCs w:val="21"/>
          <w:highlight w:val="none"/>
          <w14:textFill>
            <w14:solidFill>
              <w14:schemeClr w14:val="tx1"/>
            </w14:solidFill>
          </w14:textFill>
        </w:rPr>
        <w:br w:type="page" w:clear="all"/>
      </w:r>
      <w:bookmarkStart w:id="195" w:name="_Toc25711"/>
      <w:r>
        <w:rPr>
          <w:rFonts w:hint="eastAsia" w:ascii="黑体" w:hAnsi="Courier New" w:eastAsia="黑体" w:cs="Courier New"/>
          <w:bCs/>
          <w:color w:val="000000" w:themeColor="text1"/>
          <w:sz w:val="44"/>
          <w:szCs w:val="21"/>
          <w:highlight w:val="none"/>
          <w14:textFill>
            <w14:solidFill>
              <w14:schemeClr w14:val="tx1"/>
            </w14:solidFill>
          </w14:textFill>
        </w:rPr>
        <w:t>第</w:t>
      </w:r>
      <w:bookmarkEnd w:id="188"/>
      <w:r>
        <w:rPr>
          <w:rFonts w:hint="eastAsia" w:ascii="黑体" w:hAnsi="Courier New" w:eastAsia="黑体" w:cs="Courier New"/>
          <w:bCs/>
          <w:color w:val="000000" w:themeColor="text1"/>
          <w:sz w:val="44"/>
          <w:szCs w:val="21"/>
          <w:highlight w:val="none"/>
          <w14:textFill>
            <w14:solidFill>
              <w14:schemeClr w14:val="tx1"/>
            </w14:solidFill>
          </w14:textFill>
        </w:rPr>
        <w:t xml:space="preserve">四章 </w:t>
      </w:r>
      <w:r>
        <w:rPr>
          <w:rFonts w:ascii="黑体" w:hAnsi="Courier New" w:eastAsia="黑体" w:cs="Courier New"/>
          <w:bCs/>
          <w:color w:val="000000" w:themeColor="text1"/>
          <w:sz w:val="44"/>
          <w:szCs w:val="21"/>
          <w:highlight w:val="none"/>
          <w14:textFill>
            <w14:solidFill>
              <w14:schemeClr w14:val="tx1"/>
            </w14:solidFill>
          </w14:textFill>
        </w:rPr>
        <w:t xml:space="preserve"> </w:t>
      </w:r>
      <w:r>
        <w:rPr>
          <w:rFonts w:hint="eastAsia" w:ascii="黑体" w:hAnsi="Courier New" w:eastAsia="黑体" w:cs="Courier New"/>
          <w:bCs/>
          <w:color w:val="000000" w:themeColor="text1"/>
          <w:sz w:val="44"/>
          <w:szCs w:val="21"/>
          <w:highlight w:val="none"/>
          <w14:textFill>
            <w14:solidFill>
              <w14:schemeClr w14:val="tx1"/>
            </w14:solidFill>
          </w14:textFill>
        </w:rPr>
        <w:t>采购需求</w:t>
      </w:r>
      <w:bookmarkEnd w:id="189"/>
      <w:bookmarkEnd w:id="190"/>
      <w:bookmarkEnd w:id="191"/>
      <w:bookmarkEnd w:id="195"/>
    </w:p>
    <w:p w14:paraId="603DFBB5">
      <w:pPr>
        <w:pageBreakBefore w:val="0"/>
        <w:spacing w:line="440" w:lineRule="exact"/>
        <w:outlineLvl w:val="1"/>
        <w:rPr>
          <w:rFonts w:hint="eastAsia"/>
          <w:b/>
          <w:bCs/>
          <w:color w:val="000000" w:themeColor="text1"/>
          <w:sz w:val="28"/>
          <w:szCs w:val="28"/>
          <w:highlight w:val="none"/>
          <w:lang w:val="en-US" w:eastAsia="zh-CN"/>
          <w14:textFill>
            <w14:solidFill>
              <w14:schemeClr w14:val="tx1"/>
            </w14:solidFill>
          </w14:textFill>
        </w:rPr>
      </w:pPr>
      <w:bookmarkStart w:id="196" w:name="_Toc1332"/>
      <w:bookmarkStart w:id="197" w:name="_Toc26554093"/>
      <w:bookmarkStart w:id="198" w:name="_Toc120614281"/>
      <w:bookmarkStart w:id="199" w:name="_Toc49090575"/>
      <w:r>
        <w:rPr>
          <w:rFonts w:hint="eastAsia"/>
          <w:b/>
          <w:bCs/>
          <w:color w:val="000000" w:themeColor="text1"/>
          <w:sz w:val="28"/>
          <w:szCs w:val="28"/>
          <w:highlight w:val="none"/>
          <w:lang w:val="en-US" w:eastAsia="zh-CN"/>
          <w14:textFill>
            <w14:solidFill>
              <w14:schemeClr w14:val="tx1"/>
            </w14:solidFill>
          </w14:textFill>
        </w:rPr>
        <w:t>一、项目说明</w:t>
      </w:r>
      <w:bookmarkEnd w:id="196"/>
    </w:p>
    <w:p w14:paraId="6DC0597E">
      <w:pPr>
        <w:pageBreakBefore w:val="0"/>
        <w:spacing w:line="440" w:lineRule="exact"/>
        <w:ind w:left="50" w:right="50"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1、采购内容：常熟市人民政府</w:t>
      </w:r>
      <w:r>
        <w:rPr>
          <w:rFonts w:hint="eastAsia" w:ascii="宋体" w:hAnsi="宋体"/>
          <w:color w:val="000000" w:themeColor="text1"/>
          <w:sz w:val="24"/>
          <w:szCs w:val="24"/>
          <w:highlight w:val="none"/>
          <w:lang w:val="en-US" w:eastAsia="zh-CN"/>
          <w14:textFill>
            <w14:solidFill>
              <w14:schemeClr w14:val="tx1"/>
            </w14:solidFill>
          </w14:textFill>
        </w:rPr>
        <w:t>琴川街道</w:t>
      </w:r>
      <w:r>
        <w:rPr>
          <w:rFonts w:hint="eastAsia" w:ascii="宋体" w:hAnsi="宋体"/>
          <w:color w:val="000000" w:themeColor="text1"/>
          <w:sz w:val="24"/>
          <w:szCs w:val="24"/>
          <w:highlight w:val="none"/>
          <w14:textFill>
            <w14:solidFill>
              <w14:schemeClr w14:val="tx1"/>
            </w14:solidFill>
          </w14:textFill>
        </w:rPr>
        <w:t>办事处所需的</w:t>
      </w:r>
      <w:r>
        <w:rPr>
          <w:rFonts w:hint="eastAsia" w:ascii="宋体" w:hAnsi="宋体"/>
          <w:color w:val="000000" w:themeColor="text1"/>
          <w:sz w:val="24"/>
          <w:szCs w:val="24"/>
          <w:highlight w:val="none"/>
          <w:lang w:val="en-US" w:eastAsia="zh-CN"/>
          <w14:textFill>
            <w14:solidFill>
              <w14:schemeClr w14:val="tx1"/>
            </w14:solidFill>
          </w14:textFill>
        </w:rPr>
        <w:t>年度雨污水管网设施养护</w:t>
      </w:r>
      <w:r>
        <w:rPr>
          <w:rFonts w:hint="eastAsia" w:ascii="宋体" w:hAnsi="宋体"/>
          <w:color w:val="000000" w:themeColor="text1"/>
          <w:sz w:val="24"/>
          <w:szCs w:val="24"/>
          <w:highlight w:val="none"/>
          <w14:textFill>
            <w14:solidFill>
              <w14:schemeClr w14:val="tx1"/>
            </w14:solidFill>
          </w14:textFill>
        </w:rPr>
        <w:t>，主要</w:t>
      </w:r>
      <w:r>
        <w:rPr>
          <w:rFonts w:hint="eastAsia" w:ascii="宋体" w:hAnsi="宋体"/>
          <w:color w:val="000000" w:themeColor="text1"/>
          <w:sz w:val="24"/>
          <w:szCs w:val="24"/>
          <w:highlight w:val="none"/>
          <w:lang w:val="en-US" w:eastAsia="zh-CN"/>
          <w14:textFill>
            <w14:solidFill>
              <w14:schemeClr w14:val="tx1"/>
            </w14:solidFill>
          </w14:textFill>
        </w:rPr>
        <w:t>内容</w:t>
      </w:r>
      <w:r>
        <w:rPr>
          <w:rFonts w:hint="eastAsia" w:ascii="宋体" w:hAnsi="宋体"/>
          <w:color w:val="000000" w:themeColor="text1"/>
          <w:sz w:val="24"/>
          <w:szCs w:val="24"/>
          <w:highlight w:val="none"/>
          <w14:textFill>
            <w14:solidFill>
              <w14:schemeClr w14:val="tx1"/>
            </w14:solidFill>
          </w14:textFill>
        </w:rPr>
        <w:t>包括</w:t>
      </w:r>
      <w:r>
        <w:rPr>
          <w:rFonts w:hint="eastAsia" w:ascii="宋体" w:hAnsi="宋体"/>
          <w:color w:val="000000" w:themeColor="text1"/>
          <w:sz w:val="24"/>
          <w:szCs w:val="24"/>
          <w:highlight w:val="none"/>
          <w:lang w:val="en-US" w:eastAsia="zh-CN"/>
          <w14:textFill>
            <w14:solidFill>
              <w14:schemeClr w14:val="tx1"/>
            </w14:solidFill>
          </w14:textFill>
        </w:rPr>
        <w:t>但不限于①水利水务设施养护管理、②水生植物养护管理、③雨污管网养护、维修管理等</w:t>
      </w:r>
      <w:r>
        <w:rPr>
          <w:rFonts w:hint="eastAsia" w:ascii="宋体" w:hAnsi="宋体"/>
          <w:color w:val="000000" w:themeColor="text1"/>
          <w:sz w:val="24"/>
          <w:szCs w:val="24"/>
          <w:highlight w:val="none"/>
          <w14:textFill>
            <w14:solidFill>
              <w14:schemeClr w14:val="tx1"/>
            </w14:solidFill>
          </w14:textFill>
        </w:rPr>
        <w:t>。</w:t>
      </w:r>
    </w:p>
    <w:p w14:paraId="5D9D708D">
      <w:pPr>
        <w:pageBreakBefore w:val="0"/>
        <w:spacing w:line="440" w:lineRule="exact"/>
        <w:ind w:left="50" w:right="50" w:firstLine="480"/>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2</w:t>
      </w:r>
      <w:r>
        <w:rPr>
          <w:rFonts w:hint="eastAsia"/>
          <w:color w:val="000000" w:themeColor="text1"/>
          <w:sz w:val="24"/>
          <w:szCs w:val="24"/>
          <w:highlight w:val="none"/>
          <w14:textFill>
            <w14:solidFill>
              <w14:schemeClr w14:val="tx1"/>
            </w14:solidFill>
          </w14:textFill>
        </w:rPr>
        <w:t>、</w:t>
      </w:r>
      <w:r>
        <w:rPr>
          <w:rFonts w:hint="eastAsia"/>
          <w:color w:val="000000" w:themeColor="text1"/>
          <w:sz w:val="24"/>
          <w:szCs w:val="24"/>
          <w:highlight w:val="none"/>
          <w:lang w:val="zh-CN"/>
          <w14:textFill>
            <w14:solidFill>
              <w14:schemeClr w14:val="tx1"/>
            </w14:solidFill>
          </w14:textFill>
        </w:rPr>
        <w:t>投标人</w:t>
      </w:r>
      <w:r>
        <w:rPr>
          <w:rFonts w:hint="eastAsia"/>
          <w:color w:val="000000" w:themeColor="text1"/>
          <w:sz w:val="24"/>
          <w:szCs w:val="24"/>
          <w:highlight w:val="none"/>
          <w14:textFill>
            <w14:solidFill>
              <w14:schemeClr w14:val="tx1"/>
            </w14:solidFill>
          </w14:textFill>
        </w:rPr>
        <w:t>如需现场进行踏勘的，相关费用由</w:t>
      </w:r>
      <w:r>
        <w:rPr>
          <w:rFonts w:hint="eastAsia"/>
          <w:color w:val="000000" w:themeColor="text1"/>
          <w:sz w:val="24"/>
          <w:szCs w:val="24"/>
          <w:highlight w:val="none"/>
          <w:lang w:val="zh-CN"/>
          <w14:textFill>
            <w14:solidFill>
              <w14:schemeClr w14:val="tx1"/>
            </w14:solidFill>
          </w14:textFill>
        </w:rPr>
        <w:t>投标人</w:t>
      </w:r>
      <w:r>
        <w:rPr>
          <w:rFonts w:hint="eastAsia"/>
          <w:color w:val="000000" w:themeColor="text1"/>
          <w:sz w:val="24"/>
          <w:szCs w:val="24"/>
          <w:highlight w:val="none"/>
          <w14:textFill>
            <w14:solidFill>
              <w14:schemeClr w14:val="tx1"/>
            </w14:solidFill>
          </w14:textFill>
        </w:rPr>
        <w:t>自行承担。</w:t>
      </w:r>
      <w:r>
        <w:rPr>
          <w:rFonts w:hint="eastAsia"/>
          <w:color w:val="000000" w:themeColor="text1"/>
          <w:sz w:val="24"/>
          <w:szCs w:val="24"/>
          <w:highlight w:val="none"/>
          <w:lang w:val="zh-CN"/>
          <w14:textFill>
            <w14:solidFill>
              <w14:schemeClr w14:val="tx1"/>
            </w14:solidFill>
          </w14:textFill>
        </w:rPr>
        <w:t>投标人在投标时应充分考虑现场实际情况，采购人不负担因投标人对项目现场情况考虑不周而产生的其他任何费用。</w:t>
      </w:r>
    </w:p>
    <w:p w14:paraId="7CD4DAAD">
      <w:pPr>
        <w:pageBreakBefore w:val="0"/>
        <w:spacing w:line="440" w:lineRule="exact"/>
        <w:ind w:left="50" w:right="50" w:firstLine="480"/>
        <w:rPr>
          <w:i w:val="0"/>
          <w:iCs/>
          <w:color w:val="000000" w:themeColor="text1"/>
          <w:sz w:val="24"/>
          <w:szCs w:val="24"/>
          <w:highlight w:val="none"/>
          <w:u w:val="single"/>
          <w14:textFill>
            <w14:solidFill>
              <w14:schemeClr w14:val="tx1"/>
            </w14:solidFill>
          </w14:textFill>
        </w:rPr>
      </w:pPr>
      <w:r>
        <w:rPr>
          <w:i w:val="0"/>
          <w:iCs/>
          <w:color w:val="000000" w:themeColor="text1"/>
          <w:sz w:val="24"/>
          <w:szCs w:val="24"/>
          <w:highlight w:val="none"/>
          <w:u w:val="single"/>
          <w14:textFill>
            <w14:solidFill>
              <w14:schemeClr w14:val="tx1"/>
            </w14:solidFill>
          </w14:textFill>
        </w:rPr>
        <w:t>3</w:t>
      </w:r>
      <w:r>
        <w:rPr>
          <w:rFonts w:hint="eastAsia"/>
          <w:i w:val="0"/>
          <w:iCs/>
          <w:color w:val="000000" w:themeColor="text1"/>
          <w:sz w:val="24"/>
          <w:szCs w:val="24"/>
          <w:highlight w:val="none"/>
          <w:u w:val="single"/>
          <w14:textFill>
            <w14:solidFill>
              <w14:schemeClr w14:val="tx1"/>
            </w14:solidFill>
          </w14:textFill>
        </w:rPr>
        <w:t>、服务期限：一年，2025年</w:t>
      </w:r>
      <w:r>
        <w:rPr>
          <w:rFonts w:hint="eastAsia"/>
          <w:i w:val="0"/>
          <w:iCs/>
          <w:color w:val="000000" w:themeColor="text1"/>
          <w:sz w:val="24"/>
          <w:szCs w:val="24"/>
          <w:highlight w:val="none"/>
          <w:u w:val="single"/>
          <w:lang w:val="en-US" w:eastAsia="zh-CN"/>
          <w14:textFill>
            <w14:solidFill>
              <w14:schemeClr w14:val="tx1"/>
            </w14:solidFill>
          </w14:textFill>
        </w:rPr>
        <w:t>3</w:t>
      </w:r>
      <w:r>
        <w:rPr>
          <w:rFonts w:hint="eastAsia"/>
          <w:i w:val="0"/>
          <w:iCs/>
          <w:color w:val="000000" w:themeColor="text1"/>
          <w:sz w:val="24"/>
          <w:szCs w:val="24"/>
          <w:highlight w:val="none"/>
          <w:u w:val="single"/>
          <w14:textFill>
            <w14:solidFill>
              <w14:schemeClr w14:val="tx1"/>
            </w14:solidFill>
          </w14:textFill>
        </w:rPr>
        <w:t>月</w:t>
      </w:r>
      <w:r>
        <w:rPr>
          <w:rFonts w:hint="eastAsia"/>
          <w:i w:val="0"/>
          <w:iCs/>
          <w:color w:val="000000" w:themeColor="text1"/>
          <w:sz w:val="24"/>
          <w:szCs w:val="24"/>
          <w:highlight w:val="none"/>
          <w:u w:val="single"/>
          <w:lang w:val="en-US" w:eastAsia="zh-CN"/>
          <w14:textFill>
            <w14:solidFill>
              <w14:schemeClr w14:val="tx1"/>
            </w14:solidFill>
          </w14:textFill>
        </w:rPr>
        <w:t>1</w:t>
      </w:r>
      <w:r>
        <w:rPr>
          <w:rFonts w:hint="eastAsia"/>
          <w:i w:val="0"/>
          <w:iCs/>
          <w:color w:val="000000" w:themeColor="text1"/>
          <w:sz w:val="24"/>
          <w:szCs w:val="24"/>
          <w:highlight w:val="none"/>
          <w:u w:val="single"/>
          <w14:textFill>
            <w14:solidFill>
              <w14:schemeClr w14:val="tx1"/>
            </w14:solidFill>
          </w14:textFill>
        </w:rPr>
        <w:t>日至</w:t>
      </w:r>
      <w:r>
        <w:rPr>
          <w:rFonts w:hint="eastAsia"/>
          <w:i w:val="0"/>
          <w:iCs/>
          <w:color w:val="000000" w:themeColor="text1"/>
          <w:sz w:val="24"/>
          <w:szCs w:val="24"/>
          <w:highlight w:val="none"/>
          <w:u w:val="single"/>
          <w:lang w:val="en-US" w:eastAsia="zh-CN"/>
          <w14:textFill>
            <w14:solidFill>
              <w14:schemeClr w14:val="tx1"/>
            </w14:solidFill>
          </w14:textFill>
        </w:rPr>
        <w:t>2026</w:t>
      </w:r>
      <w:r>
        <w:rPr>
          <w:rFonts w:hint="eastAsia"/>
          <w:i w:val="0"/>
          <w:iCs/>
          <w:color w:val="000000" w:themeColor="text1"/>
          <w:sz w:val="24"/>
          <w:szCs w:val="24"/>
          <w:highlight w:val="none"/>
          <w:u w:val="single"/>
          <w14:textFill>
            <w14:solidFill>
              <w14:schemeClr w14:val="tx1"/>
            </w14:solidFill>
          </w14:textFill>
        </w:rPr>
        <w:t>年</w:t>
      </w:r>
      <w:r>
        <w:rPr>
          <w:rFonts w:hint="eastAsia"/>
          <w:i w:val="0"/>
          <w:iCs/>
          <w:color w:val="000000" w:themeColor="text1"/>
          <w:sz w:val="24"/>
          <w:szCs w:val="24"/>
          <w:highlight w:val="none"/>
          <w:u w:val="single"/>
          <w:lang w:val="en-US" w:eastAsia="zh-CN"/>
          <w14:textFill>
            <w14:solidFill>
              <w14:schemeClr w14:val="tx1"/>
            </w14:solidFill>
          </w14:textFill>
        </w:rPr>
        <w:t>2</w:t>
      </w:r>
      <w:r>
        <w:rPr>
          <w:rFonts w:hint="eastAsia"/>
          <w:i w:val="0"/>
          <w:iCs/>
          <w:color w:val="000000" w:themeColor="text1"/>
          <w:sz w:val="24"/>
          <w:szCs w:val="24"/>
          <w:highlight w:val="none"/>
          <w:u w:val="single"/>
          <w14:textFill>
            <w14:solidFill>
              <w14:schemeClr w14:val="tx1"/>
            </w14:solidFill>
          </w14:textFill>
        </w:rPr>
        <w:t>月</w:t>
      </w:r>
      <w:r>
        <w:rPr>
          <w:rFonts w:hint="eastAsia"/>
          <w:i w:val="0"/>
          <w:iCs/>
          <w:color w:val="000000" w:themeColor="text1"/>
          <w:sz w:val="24"/>
          <w:szCs w:val="24"/>
          <w:highlight w:val="none"/>
          <w:u w:val="single"/>
          <w:lang w:val="en-US" w:eastAsia="zh-CN"/>
          <w14:textFill>
            <w14:solidFill>
              <w14:schemeClr w14:val="tx1"/>
            </w14:solidFill>
          </w14:textFill>
        </w:rPr>
        <w:t>28</w:t>
      </w:r>
      <w:r>
        <w:rPr>
          <w:rFonts w:hint="eastAsia"/>
          <w:i w:val="0"/>
          <w:iCs/>
          <w:color w:val="000000" w:themeColor="text1"/>
          <w:sz w:val="24"/>
          <w:szCs w:val="24"/>
          <w:highlight w:val="none"/>
          <w:u w:val="single"/>
          <w14:textFill>
            <w14:solidFill>
              <w14:schemeClr w14:val="tx1"/>
            </w14:solidFill>
          </w14:textFill>
        </w:rPr>
        <w:t>日。</w:t>
      </w:r>
    </w:p>
    <w:p w14:paraId="3F236635">
      <w:pPr>
        <w:pageBreakBefore w:val="0"/>
        <w:spacing w:line="440" w:lineRule="exact"/>
        <w:ind w:left="50" w:right="50" w:firstLine="480"/>
        <w:rPr>
          <w:rFonts w:hint="eastAsia"/>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4</w:t>
      </w:r>
      <w:r>
        <w:rPr>
          <w:rFonts w:hint="eastAsia"/>
          <w:color w:val="000000" w:themeColor="text1"/>
          <w:sz w:val="24"/>
          <w:szCs w:val="24"/>
          <w:highlight w:val="none"/>
          <w14:textFill>
            <w14:solidFill>
              <w14:schemeClr w14:val="tx1"/>
            </w14:solidFill>
          </w14:textFill>
        </w:rPr>
        <w:t>、结算方式：</w:t>
      </w:r>
    </w:p>
    <w:p w14:paraId="564A352D">
      <w:pPr>
        <w:pageBreakBefore w:val="0"/>
        <w:spacing w:line="440" w:lineRule="exact"/>
        <w:ind w:left="50" w:right="50" w:firstLine="480"/>
        <w:rPr>
          <w:rFonts w:hint="eastAsia"/>
          <w:i w:val="0"/>
          <w:iCs/>
          <w:color w:val="000000" w:themeColor="text1"/>
          <w:sz w:val="24"/>
          <w:szCs w:val="24"/>
          <w:highlight w:val="none"/>
          <w:u w:val="none"/>
          <w14:textFill>
            <w14:solidFill>
              <w14:schemeClr w14:val="tx1"/>
            </w14:solidFill>
          </w14:textFill>
        </w:rPr>
      </w:pPr>
      <w:r>
        <w:rPr>
          <w:i w:val="0"/>
          <w:iCs/>
          <w:color w:val="000000" w:themeColor="text1"/>
          <w:sz w:val="24"/>
          <w:szCs w:val="24"/>
          <w:highlight w:val="none"/>
          <w:u w:val="none"/>
          <w14:textFill>
            <w14:solidFill>
              <w14:schemeClr w14:val="tx1"/>
            </w14:solidFill>
          </w14:textFill>
        </w:rPr>
        <w:t>4</w:t>
      </w:r>
      <w:r>
        <w:rPr>
          <w:rFonts w:hint="eastAsia"/>
          <w:i w:val="0"/>
          <w:iCs/>
          <w:color w:val="000000" w:themeColor="text1"/>
          <w:sz w:val="24"/>
          <w:szCs w:val="24"/>
          <w:highlight w:val="none"/>
          <w:u w:val="none"/>
          <w14:textFill>
            <w14:solidFill>
              <w14:schemeClr w14:val="tx1"/>
            </w14:solidFill>
          </w14:textFill>
        </w:rPr>
        <w:t>.1本项目结算金额=</w:t>
      </w:r>
      <w:r>
        <w:rPr>
          <w:rFonts w:hint="eastAsia"/>
          <w:i w:val="0"/>
          <w:iCs/>
          <w:color w:val="000000" w:themeColor="text1"/>
          <w:sz w:val="24"/>
          <w:szCs w:val="24"/>
          <w:highlight w:val="none"/>
          <w:u w:val="none"/>
          <w:lang w:val="en-US" w:eastAsia="zh-CN"/>
          <w14:textFill>
            <w14:solidFill>
              <w14:schemeClr w14:val="tx1"/>
            </w14:solidFill>
          </w14:textFill>
        </w:rPr>
        <w:t>①水利水务设施养护管理+②水生植物养护费+③雨污管网养护、维修</w:t>
      </w:r>
      <w:r>
        <w:rPr>
          <w:rFonts w:hint="eastAsia"/>
          <w:i w:val="0"/>
          <w:iCs/>
          <w:color w:val="000000" w:themeColor="text1"/>
          <w:sz w:val="24"/>
          <w:szCs w:val="24"/>
          <w:highlight w:val="none"/>
          <w:u w:val="none"/>
          <w14:textFill>
            <w14:solidFill>
              <w14:schemeClr w14:val="tx1"/>
            </w14:solidFill>
          </w14:textFill>
        </w:rPr>
        <w:t>。</w:t>
      </w:r>
    </w:p>
    <w:p w14:paraId="25340294">
      <w:pPr>
        <w:pageBreakBefore w:val="0"/>
        <w:spacing w:line="440" w:lineRule="exact"/>
        <w:ind w:left="50" w:right="50" w:firstLine="480"/>
        <w:rPr>
          <w:rFonts w:hint="default"/>
          <w:i w:val="0"/>
          <w:iCs/>
          <w:color w:val="000000" w:themeColor="text1"/>
          <w:sz w:val="24"/>
          <w:szCs w:val="24"/>
          <w:highlight w:val="none"/>
          <w:u w:val="none"/>
          <w:lang w:val="en-US" w:eastAsia="zh-CN"/>
          <w14:textFill>
            <w14:solidFill>
              <w14:schemeClr w14:val="tx1"/>
            </w14:solidFill>
          </w14:textFill>
        </w:rPr>
      </w:pPr>
      <w:r>
        <w:rPr>
          <w:rFonts w:hint="eastAsia"/>
          <w:i w:val="0"/>
          <w:iCs/>
          <w:color w:val="000000" w:themeColor="text1"/>
          <w:sz w:val="24"/>
          <w:szCs w:val="24"/>
          <w:highlight w:val="none"/>
          <w:u w:val="none"/>
          <w:lang w:val="en-US" w:eastAsia="zh-CN"/>
          <w14:textFill>
            <w14:solidFill>
              <w14:schemeClr w14:val="tx1"/>
            </w14:solidFill>
          </w14:textFill>
        </w:rPr>
        <w:t>①水利水务设施养护管理（总价包干）：按照该部分预算金额*（1-优惠率）结算。</w:t>
      </w:r>
    </w:p>
    <w:p w14:paraId="610D19BD">
      <w:pPr>
        <w:pageBreakBefore w:val="0"/>
        <w:spacing w:line="440" w:lineRule="exact"/>
        <w:ind w:left="50" w:right="50" w:firstLine="480"/>
        <w:rPr>
          <w:rFonts w:hint="default"/>
          <w:i w:val="0"/>
          <w:iCs/>
          <w:color w:val="000000" w:themeColor="text1"/>
          <w:sz w:val="24"/>
          <w:szCs w:val="24"/>
          <w:highlight w:val="none"/>
          <w:u w:val="none"/>
          <w:lang w:val="en-US" w:eastAsia="zh-CN"/>
          <w14:textFill>
            <w14:solidFill>
              <w14:schemeClr w14:val="tx1"/>
            </w14:solidFill>
          </w14:textFill>
        </w:rPr>
      </w:pPr>
      <w:r>
        <w:rPr>
          <w:rFonts w:hint="eastAsia"/>
          <w:i w:val="0"/>
          <w:iCs/>
          <w:color w:val="000000" w:themeColor="text1"/>
          <w:sz w:val="24"/>
          <w:szCs w:val="24"/>
          <w:highlight w:val="none"/>
          <w:u w:val="none"/>
          <w:lang w:val="en-US" w:eastAsia="zh-CN"/>
          <w14:textFill>
            <w14:solidFill>
              <w14:schemeClr w14:val="tx1"/>
            </w14:solidFill>
          </w14:textFill>
        </w:rPr>
        <w:t>②</w:t>
      </w:r>
      <w:r>
        <w:rPr>
          <w:rFonts w:hint="eastAsia" w:ascii="宋体" w:hAnsi="宋体"/>
          <w:color w:val="000000" w:themeColor="text1"/>
          <w:sz w:val="24"/>
          <w:szCs w:val="24"/>
          <w:highlight w:val="none"/>
          <w:lang w:val="en-US" w:eastAsia="zh-CN"/>
          <w14:textFill>
            <w14:solidFill>
              <w14:schemeClr w14:val="tx1"/>
            </w14:solidFill>
          </w14:textFill>
        </w:rPr>
        <w:t>水生植物养护管理（</w:t>
      </w:r>
      <w:r>
        <w:rPr>
          <w:rFonts w:hint="eastAsia"/>
          <w:i w:val="0"/>
          <w:iCs/>
          <w:color w:val="000000" w:themeColor="text1"/>
          <w:sz w:val="24"/>
          <w:szCs w:val="24"/>
          <w:highlight w:val="none"/>
          <w:u w:val="none"/>
          <w:lang w:val="en-US" w:eastAsia="zh-CN"/>
          <w14:textFill>
            <w14:solidFill>
              <w14:schemeClr w14:val="tx1"/>
            </w14:solidFill>
          </w14:textFill>
        </w:rPr>
        <w:t>总价包干</w:t>
      </w:r>
      <w:r>
        <w:rPr>
          <w:rFonts w:hint="eastAsia" w:ascii="宋体" w:hAnsi="宋体"/>
          <w:color w:val="000000" w:themeColor="text1"/>
          <w:sz w:val="24"/>
          <w:szCs w:val="24"/>
          <w:highlight w:val="none"/>
          <w:lang w:val="en-US" w:eastAsia="zh-CN"/>
          <w14:textFill>
            <w14:solidFill>
              <w14:schemeClr w14:val="tx1"/>
            </w14:solidFill>
          </w14:textFill>
        </w:rPr>
        <w:t>）</w:t>
      </w:r>
      <w:r>
        <w:rPr>
          <w:rFonts w:hint="eastAsia"/>
          <w:i w:val="0"/>
          <w:iCs/>
          <w:color w:val="000000" w:themeColor="text1"/>
          <w:sz w:val="24"/>
          <w:szCs w:val="24"/>
          <w:highlight w:val="none"/>
          <w:u w:val="none"/>
          <w:lang w:val="en-US" w:eastAsia="zh-CN"/>
          <w14:textFill>
            <w14:solidFill>
              <w14:schemeClr w14:val="tx1"/>
            </w14:solidFill>
          </w14:textFill>
        </w:rPr>
        <w:t>：按照该部分预算金额*（1-优惠率）结算。</w:t>
      </w:r>
    </w:p>
    <w:p w14:paraId="628C5CB1">
      <w:pPr>
        <w:pageBreakBefore w:val="0"/>
        <w:spacing w:line="440" w:lineRule="exact"/>
        <w:ind w:left="50" w:right="50" w:firstLine="480"/>
        <w:rPr>
          <w:rFonts w:hint="eastAsia"/>
          <w:i w:val="0"/>
          <w:iCs/>
          <w:color w:val="000000" w:themeColor="text1"/>
          <w:sz w:val="24"/>
          <w:szCs w:val="24"/>
          <w:highlight w:val="none"/>
          <w:u w:val="none"/>
          <w14:textFill>
            <w14:solidFill>
              <w14:schemeClr w14:val="tx1"/>
            </w14:solidFill>
          </w14:textFill>
        </w:rPr>
      </w:pPr>
      <w:r>
        <w:rPr>
          <w:rFonts w:hint="eastAsia"/>
          <w:i w:val="0"/>
          <w:iCs/>
          <w:color w:val="000000" w:themeColor="text1"/>
          <w:sz w:val="24"/>
          <w:szCs w:val="24"/>
          <w:highlight w:val="none"/>
          <w:u w:val="none"/>
          <w:lang w:val="en-US" w:eastAsia="zh-CN"/>
          <w14:textFill>
            <w14:solidFill>
              <w14:schemeClr w14:val="tx1"/>
            </w14:solidFill>
          </w14:textFill>
        </w:rPr>
        <w:t>③</w:t>
      </w:r>
      <w:r>
        <w:rPr>
          <w:rFonts w:hint="eastAsia" w:ascii="宋体" w:hAnsi="宋体"/>
          <w:color w:val="000000" w:themeColor="text1"/>
          <w:sz w:val="24"/>
          <w:szCs w:val="24"/>
          <w:highlight w:val="none"/>
          <w:lang w:val="en-US" w:eastAsia="zh-CN"/>
          <w14:textFill>
            <w14:solidFill>
              <w14:schemeClr w14:val="tx1"/>
            </w14:solidFill>
          </w14:textFill>
        </w:rPr>
        <w:t>雨污管网养护、维修管理（按实结算）</w:t>
      </w:r>
      <w:r>
        <w:rPr>
          <w:rFonts w:hint="eastAsia"/>
          <w:i w:val="0"/>
          <w:iCs/>
          <w:color w:val="000000" w:themeColor="text1"/>
          <w:sz w:val="24"/>
          <w:szCs w:val="24"/>
          <w:highlight w:val="none"/>
          <w:u w:val="none"/>
          <w14:textFill>
            <w14:solidFill>
              <w14:schemeClr w14:val="tx1"/>
            </w14:solidFill>
          </w14:textFill>
        </w:rPr>
        <w:t>：按照实际工程量以及中标单价（预算单价*（1-优惠率））进行结算，该部分内容竣工验收合格后工程量以现场签证为准，若无预算单价的新增子目则按照相关养护定额（建设行政主管部门发布的计价办法和计价标准）计取，计算出的金额乘以（1-优惠率）将作为该子目最终结算价。若未有定额的则对其综合单价进行合理性分析（依据市场价、询价结果等多方面因素）并经采购人确认后作为结算价。</w:t>
      </w:r>
    </w:p>
    <w:p w14:paraId="5C6E2A80">
      <w:pPr>
        <w:pageBreakBefore w:val="0"/>
        <w:spacing w:line="440" w:lineRule="exact"/>
        <w:ind w:left="50" w:right="50" w:firstLine="480"/>
        <w:rPr>
          <w:rFonts w:hint="eastAsia"/>
          <w:i w:val="0"/>
          <w:iCs/>
          <w:color w:val="000000" w:themeColor="text1"/>
          <w:sz w:val="24"/>
          <w:szCs w:val="24"/>
          <w:highlight w:val="none"/>
          <w:u w:val="none"/>
          <w14:textFill>
            <w14:solidFill>
              <w14:schemeClr w14:val="tx1"/>
            </w14:solidFill>
          </w14:textFill>
        </w:rPr>
      </w:pPr>
      <w:r>
        <w:rPr>
          <w:rFonts w:hint="eastAsia"/>
          <w:i w:val="0"/>
          <w:iCs/>
          <w:color w:val="000000" w:themeColor="text1"/>
          <w:sz w:val="24"/>
          <w:szCs w:val="24"/>
          <w:highlight w:val="none"/>
          <w:u w:val="none"/>
          <w14:textFill>
            <w14:solidFill>
              <w14:schemeClr w14:val="tx1"/>
            </w14:solidFill>
          </w14:textFill>
        </w:rPr>
        <w:t>注：项目的竣工结算由采购人委托有资质的中介机构审核，并以出具的结算审核结论作为最终结算的依据。</w:t>
      </w:r>
    </w:p>
    <w:p w14:paraId="5CE6F3BA">
      <w:pPr>
        <w:pageBreakBefore w:val="0"/>
        <w:tabs>
          <w:tab w:val="left" w:pos="0"/>
        </w:tabs>
        <w:spacing w:line="440" w:lineRule="exact"/>
        <w:ind w:right="-27" w:firstLine="480"/>
        <w:rPr>
          <w:i w:val="0"/>
          <w:iCs/>
          <w:color w:val="000000" w:themeColor="text1"/>
          <w:sz w:val="24"/>
          <w:szCs w:val="24"/>
          <w:highlight w:val="none"/>
          <w:u w:val="none"/>
          <w14:textFill>
            <w14:solidFill>
              <w14:schemeClr w14:val="tx1"/>
            </w14:solidFill>
          </w14:textFill>
        </w:rPr>
      </w:pPr>
      <w:r>
        <w:rPr>
          <w:i w:val="0"/>
          <w:iCs/>
          <w:color w:val="000000" w:themeColor="text1"/>
          <w:sz w:val="24"/>
          <w:szCs w:val="24"/>
          <w:highlight w:val="none"/>
          <w:u w:val="none"/>
          <w14:textFill>
            <w14:solidFill>
              <w14:schemeClr w14:val="tx1"/>
            </w14:solidFill>
          </w14:textFill>
        </w:rPr>
        <w:t>5</w:t>
      </w:r>
      <w:r>
        <w:rPr>
          <w:rFonts w:hint="eastAsia"/>
          <w:i w:val="0"/>
          <w:iCs/>
          <w:color w:val="000000" w:themeColor="text1"/>
          <w:sz w:val="24"/>
          <w:szCs w:val="24"/>
          <w:highlight w:val="none"/>
          <w:u w:val="none"/>
          <w14:textFill>
            <w14:solidFill>
              <w14:schemeClr w14:val="tx1"/>
            </w14:solidFill>
          </w14:textFill>
        </w:rPr>
        <w:t>、付款方式：</w:t>
      </w:r>
    </w:p>
    <w:p w14:paraId="1F640DD9">
      <w:pPr>
        <w:pageBreakBefore w:val="0"/>
        <w:tabs>
          <w:tab w:val="left" w:pos="0"/>
        </w:tabs>
        <w:spacing w:line="440" w:lineRule="exact"/>
        <w:ind w:right="-27" w:firstLine="480"/>
        <w:rPr>
          <w:rFonts w:hint="eastAsia"/>
          <w:i/>
          <w:iCs w:val="0"/>
          <w:color w:val="000000" w:themeColor="text1"/>
          <w:sz w:val="24"/>
          <w:szCs w:val="24"/>
          <w:highlight w:val="none"/>
          <w:u w:val="single"/>
          <w:lang w:val="en-US" w:eastAsia="zh-CN"/>
          <w14:textFill>
            <w14:solidFill>
              <w14:schemeClr w14:val="tx1"/>
            </w14:solidFill>
          </w14:textFill>
        </w:rPr>
      </w:pPr>
      <w:r>
        <w:rPr>
          <w:rFonts w:hint="eastAsia" w:ascii="宋体" w:hAnsi="宋体"/>
          <w:i/>
          <w:iCs w:val="0"/>
          <w:color w:val="000000" w:themeColor="text1"/>
          <w:sz w:val="24"/>
          <w:szCs w:val="24"/>
          <w:highlight w:val="none"/>
          <w:u w:val="single"/>
          <w:lang w:val="en-US" w:eastAsia="zh-CN"/>
          <w14:textFill>
            <w14:solidFill>
              <w14:schemeClr w14:val="tx1"/>
            </w14:solidFill>
          </w14:textFill>
        </w:rPr>
        <w:t>5.1、</w:t>
      </w:r>
      <w:r>
        <w:rPr>
          <w:rFonts w:hint="eastAsia"/>
          <w:i/>
          <w:iCs w:val="0"/>
          <w:color w:val="000000" w:themeColor="text1"/>
          <w:sz w:val="24"/>
          <w:szCs w:val="24"/>
          <w:highlight w:val="none"/>
          <w:u w:val="single"/>
          <w:lang w:val="en-US" w:eastAsia="zh-CN"/>
          <w14:textFill>
            <w14:solidFill>
              <w14:schemeClr w14:val="tx1"/>
            </w14:solidFill>
          </w14:textFill>
        </w:rPr>
        <w:t>水利水务设施养护管理费：</w:t>
      </w:r>
      <w:r>
        <w:rPr>
          <w:rFonts w:hint="eastAsia" w:ascii="宋体" w:hAnsi="宋体"/>
          <w:i/>
          <w:iCs w:val="0"/>
          <w:color w:val="000000" w:themeColor="text1"/>
          <w:sz w:val="24"/>
          <w:szCs w:val="24"/>
          <w:highlight w:val="none"/>
          <w:u w:val="single"/>
          <w:lang w:val="en-US" w:eastAsia="zh-CN"/>
          <w14:textFill>
            <w14:solidFill>
              <w14:schemeClr w14:val="tx1"/>
            </w14:solidFill>
          </w14:textFill>
        </w:rPr>
        <w:t>合同签订后的30日历天内，支付</w:t>
      </w:r>
      <w:r>
        <w:rPr>
          <w:rFonts w:hint="eastAsia"/>
          <w:i/>
          <w:iCs w:val="0"/>
          <w:color w:val="000000" w:themeColor="text1"/>
          <w:sz w:val="24"/>
          <w:szCs w:val="24"/>
          <w:highlight w:val="none"/>
          <w:u w:val="single"/>
          <w:lang w:val="en-US" w:eastAsia="zh-CN"/>
          <w14:textFill>
            <w14:solidFill>
              <w14:schemeClr w14:val="tx1"/>
            </w14:solidFill>
          </w14:textFill>
        </w:rPr>
        <w:t>该部分合同金额的10%作为预付款，</w:t>
      </w:r>
      <w:r>
        <w:rPr>
          <w:rFonts w:hint="eastAsia" w:ascii="宋体" w:hAnsi="宋体"/>
          <w:i/>
          <w:iCs w:val="0"/>
          <w:color w:val="000000" w:themeColor="text1"/>
          <w:sz w:val="24"/>
          <w:szCs w:val="24"/>
          <w:highlight w:val="none"/>
          <w:u w:val="single"/>
          <w14:textFill>
            <w14:solidFill>
              <w14:schemeClr w14:val="tx1"/>
            </w14:solidFill>
          </w14:textFill>
        </w:rPr>
        <w:t>项目结束后当年度付至</w:t>
      </w:r>
      <w:r>
        <w:rPr>
          <w:rFonts w:hint="eastAsia" w:ascii="宋体" w:hAnsi="宋体"/>
          <w:i/>
          <w:iCs w:val="0"/>
          <w:color w:val="000000" w:themeColor="text1"/>
          <w:sz w:val="24"/>
          <w:szCs w:val="24"/>
          <w:highlight w:val="none"/>
          <w:u w:val="single"/>
          <w:lang w:val="en-US" w:eastAsia="zh-CN"/>
          <w14:textFill>
            <w14:solidFill>
              <w14:schemeClr w14:val="tx1"/>
            </w14:solidFill>
          </w14:textFill>
        </w:rPr>
        <w:t>该部分费用的</w:t>
      </w:r>
      <w:r>
        <w:rPr>
          <w:rFonts w:hint="eastAsia" w:ascii="宋体" w:hAnsi="宋体"/>
          <w:i/>
          <w:iCs w:val="0"/>
          <w:color w:val="000000" w:themeColor="text1"/>
          <w:sz w:val="24"/>
          <w:szCs w:val="24"/>
          <w:highlight w:val="none"/>
          <w:u w:val="single"/>
          <w14:textFill>
            <w14:solidFill>
              <w14:schemeClr w14:val="tx1"/>
            </w14:solidFill>
          </w14:textFill>
        </w:rPr>
        <w:t>50%，满一周年后付至</w:t>
      </w:r>
      <w:r>
        <w:rPr>
          <w:rFonts w:hint="eastAsia" w:ascii="宋体" w:hAnsi="宋体"/>
          <w:i/>
          <w:iCs w:val="0"/>
          <w:color w:val="000000" w:themeColor="text1"/>
          <w:sz w:val="24"/>
          <w:szCs w:val="24"/>
          <w:highlight w:val="none"/>
          <w:u w:val="single"/>
          <w:lang w:val="en-US" w:eastAsia="zh-CN"/>
          <w14:textFill>
            <w14:solidFill>
              <w14:schemeClr w14:val="tx1"/>
            </w14:solidFill>
          </w14:textFill>
        </w:rPr>
        <w:t>该部分费用</w:t>
      </w:r>
      <w:r>
        <w:rPr>
          <w:rFonts w:hint="eastAsia" w:ascii="宋体" w:hAnsi="宋体"/>
          <w:i/>
          <w:iCs w:val="0"/>
          <w:color w:val="000000" w:themeColor="text1"/>
          <w:sz w:val="24"/>
          <w:szCs w:val="24"/>
          <w:highlight w:val="none"/>
          <w:u w:val="single"/>
          <w14:textFill>
            <w14:solidFill>
              <w14:schemeClr w14:val="tx1"/>
            </w14:solidFill>
          </w14:textFill>
        </w:rPr>
        <w:t>的70%，满二周年后付至</w:t>
      </w:r>
      <w:r>
        <w:rPr>
          <w:rFonts w:hint="eastAsia" w:ascii="宋体" w:hAnsi="宋体"/>
          <w:i/>
          <w:iCs w:val="0"/>
          <w:color w:val="000000" w:themeColor="text1"/>
          <w:sz w:val="24"/>
          <w:szCs w:val="24"/>
          <w:highlight w:val="none"/>
          <w:u w:val="single"/>
          <w:lang w:val="en-US" w:eastAsia="zh-CN"/>
          <w14:textFill>
            <w14:solidFill>
              <w14:schemeClr w14:val="tx1"/>
            </w14:solidFill>
          </w14:textFill>
        </w:rPr>
        <w:t>该部分费用的</w:t>
      </w:r>
      <w:r>
        <w:rPr>
          <w:rFonts w:hint="eastAsia" w:ascii="宋体" w:hAnsi="宋体"/>
          <w:i/>
          <w:iCs w:val="0"/>
          <w:color w:val="000000" w:themeColor="text1"/>
          <w:sz w:val="24"/>
          <w:szCs w:val="24"/>
          <w:highlight w:val="none"/>
          <w:u w:val="single"/>
          <w14:textFill>
            <w14:solidFill>
              <w14:schemeClr w14:val="tx1"/>
            </w14:solidFill>
          </w14:textFill>
        </w:rPr>
        <w:t>90%，满三周年后付清</w:t>
      </w:r>
      <w:r>
        <w:rPr>
          <w:rFonts w:hint="eastAsia" w:ascii="宋体" w:hAnsi="宋体"/>
          <w:i/>
          <w:iCs w:val="0"/>
          <w:color w:val="000000" w:themeColor="text1"/>
          <w:sz w:val="24"/>
          <w:szCs w:val="24"/>
          <w:highlight w:val="none"/>
          <w:u w:val="single"/>
          <w:lang w:eastAsia="zh-CN"/>
          <w14:textFill>
            <w14:solidFill>
              <w14:schemeClr w14:val="tx1"/>
            </w14:solidFill>
          </w14:textFill>
        </w:rPr>
        <w:t>。</w:t>
      </w:r>
    </w:p>
    <w:p w14:paraId="52FD3629">
      <w:pPr>
        <w:pageBreakBefore w:val="0"/>
        <w:tabs>
          <w:tab w:val="left" w:pos="0"/>
        </w:tabs>
        <w:spacing w:line="440" w:lineRule="exact"/>
        <w:ind w:right="-27" w:firstLine="480"/>
        <w:rPr>
          <w:rFonts w:hint="eastAsia" w:ascii="宋体" w:hAnsi="宋体"/>
          <w:i/>
          <w:iCs w:val="0"/>
          <w:color w:val="000000" w:themeColor="text1"/>
          <w:sz w:val="24"/>
          <w:szCs w:val="24"/>
          <w:highlight w:val="none"/>
          <w:u w:val="single"/>
          <w:lang w:eastAsia="zh-CN"/>
          <w14:textFill>
            <w14:solidFill>
              <w14:schemeClr w14:val="tx1"/>
            </w14:solidFill>
          </w14:textFill>
        </w:rPr>
      </w:pPr>
      <w:r>
        <w:rPr>
          <w:rFonts w:hint="eastAsia"/>
          <w:i/>
          <w:iCs w:val="0"/>
          <w:color w:val="000000" w:themeColor="text1"/>
          <w:sz w:val="24"/>
          <w:szCs w:val="24"/>
          <w:highlight w:val="none"/>
          <w:u w:val="single"/>
          <w:lang w:val="en-US" w:eastAsia="zh-CN"/>
          <w14:textFill>
            <w14:solidFill>
              <w14:schemeClr w14:val="tx1"/>
            </w14:solidFill>
          </w14:textFill>
        </w:rPr>
        <w:t>5.2、</w:t>
      </w:r>
      <w:r>
        <w:rPr>
          <w:rFonts w:hint="eastAsia" w:ascii="宋体" w:hAnsi="宋体"/>
          <w:i/>
          <w:iCs w:val="0"/>
          <w:color w:val="000000" w:themeColor="text1"/>
          <w:sz w:val="24"/>
          <w:szCs w:val="24"/>
          <w:highlight w:val="none"/>
          <w:u w:val="single"/>
          <w:lang w:val="en-US" w:eastAsia="zh-CN"/>
          <w14:textFill>
            <w14:solidFill>
              <w14:schemeClr w14:val="tx1"/>
            </w14:solidFill>
          </w14:textFill>
        </w:rPr>
        <w:t>水生植物养护管理</w:t>
      </w:r>
      <w:r>
        <w:rPr>
          <w:rFonts w:hint="eastAsia"/>
          <w:i/>
          <w:iCs w:val="0"/>
          <w:color w:val="000000" w:themeColor="text1"/>
          <w:sz w:val="24"/>
          <w:szCs w:val="24"/>
          <w:highlight w:val="none"/>
          <w:u w:val="single"/>
          <w:lang w:val="en-US" w:eastAsia="zh-CN"/>
          <w14:textFill>
            <w14:solidFill>
              <w14:schemeClr w14:val="tx1"/>
            </w14:solidFill>
          </w14:textFill>
        </w:rPr>
        <w:t>费：</w:t>
      </w:r>
      <w:r>
        <w:rPr>
          <w:rFonts w:hint="eastAsia" w:ascii="宋体" w:hAnsi="宋体"/>
          <w:i/>
          <w:iCs w:val="0"/>
          <w:color w:val="000000" w:themeColor="text1"/>
          <w:sz w:val="24"/>
          <w:szCs w:val="24"/>
          <w:highlight w:val="none"/>
          <w:u w:val="single"/>
          <w:lang w:val="en-US" w:eastAsia="zh-CN"/>
          <w14:textFill>
            <w14:solidFill>
              <w14:schemeClr w14:val="tx1"/>
            </w14:solidFill>
          </w14:textFill>
        </w:rPr>
        <w:t>合同签订后的30日历天内，支付</w:t>
      </w:r>
      <w:r>
        <w:rPr>
          <w:rFonts w:hint="eastAsia"/>
          <w:i/>
          <w:iCs w:val="0"/>
          <w:color w:val="000000" w:themeColor="text1"/>
          <w:sz w:val="24"/>
          <w:szCs w:val="24"/>
          <w:highlight w:val="none"/>
          <w:u w:val="single"/>
          <w:lang w:val="en-US" w:eastAsia="zh-CN"/>
          <w14:textFill>
            <w14:solidFill>
              <w14:schemeClr w14:val="tx1"/>
            </w14:solidFill>
          </w14:textFill>
        </w:rPr>
        <w:t>该部分合同金额的10%作为预付款，</w:t>
      </w:r>
      <w:r>
        <w:rPr>
          <w:rFonts w:hint="eastAsia" w:ascii="宋体" w:hAnsi="宋体"/>
          <w:i/>
          <w:iCs w:val="0"/>
          <w:color w:val="000000" w:themeColor="text1"/>
          <w:sz w:val="24"/>
          <w:szCs w:val="24"/>
          <w:highlight w:val="none"/>
          <w:u w:val="single"/>
          <w14:textFill>
            <w14:solidFill>
              <w14:schemeClr w14:val="tx1"/>
            </w14:solidFill>
          </w14:textFill>
        </w:rPr>
        <w:t>项目结束后当年度付至</w:t>
      </w:r>
      <w:r>
        <w:rPr>
          <w:rFonts w:hint="eastAsia" w:ascii="宋体" w:hAnsi="宋体"/>
          <w:i/>
          <w:iCs w:val="0"/>
          <w:color w:val="000000" w:themeColor="text1"/>
          <w:sz w:val="24"/>
          <w:szCs w:val="24"/>
          <w:highlight w:val="none"/>
          <w:u w:val="single"/>
          <w:lang w:val="en-US" w:eastAsia="zh-CN"/>
          <w14:textFill>
            <w14:solidFill>
              <w14:schemeClr w14:val="tx1"/>
            </w14:solidFill>
          </w14:textFill>
        </w:rPr>
        <w:t>该部分费用的</w:t>
      </w:r>
      <w:r>
        <w:rPr>
          <w:rFonts w:hint="eastAsia" w:ascii="宋体" w:hAnsi="宋体"/>
          <w:i/>
          <w:iCs w:val="0"/>
          <w:color w:val="000000" w:themeColor="text1"/>
          <w:sz w:val="24"/>
          <w:szCs w:val="24"/>
          <w:highlight w:val="none"/>
          <w:u w:val="single"/>
          <w14:textFill>
            <w14:solidFill>
              <w14:schemeClr w14:val="tx1"/>
            </w14:solidFill>
          </w14:textFill>
        </w:rPr>
        <w:t>50%，满一周年后付至</w:t>
      </w:r>
      <w:r>
        <w:rPr>
          <w:rFonts w:hint="eastAsia" w:ascii="宋体" w:hAnsi="宋体"/>
          <w:i/>
          <w:iCs w:val="0"/>
          <w:color w:val="000000" w:themeColor="text1"/>
          <w:sz w:val="24"/>
          <w:szCs w:val="24"/>
          <w:highlight w:val="none"/>
          <w:u w:val="single"/>
          <w:lang w:val="en-US" w:eastAsia="zh-CN"/>
          <w14:textFill>
            <w14:solidFill>
              <w14:schemeClr w14:val="tx1"/>
            </w14:solidFill>
          </w14:textFill>
        </w:rPr>
        <w:t>该部分费用</w:t>
      </w:r>
      <w:r>
        <w:rPr>
          <w:rFonts w:hint="eastAsia" w:ascii="宋体" w:hAnsi="宋体"/>
          <w:i/>
          <w:iCs w:val="0"/>
          <w:color w:val="000000" w:themeColor="text1"/>
          <w:sz w:val="24"/>
          <w:szCs w:val="24"/>
          <w:highlight w:val="none"/>
          <w:u w:val="single"/>
          <w14:textFill>
            <w14:solidFill>
              <w14:schemeClr w14:val="tx1"/>
            </w14:solidFill>
          </w14:textFill>
        </w:rPr>
        <w:t>的70%，满二周年后付至</w:t>
      </w:r>
      <w:r>
        <w:rPr>
          <w:rFonts w:hint="eastAsia" w:ascii="宋体" w:hAnsi="宋体"/>
          <w:i/>
          <w:iCs w:val="0"/>
          <w:color w:val="000000" w:themeColor="text1"/>
          <w:sz w:val="24"/>
          <w:szCs w:val="24"/>
          <w:highlight w:val="none"/>
          <w:u w:val="single"/>
          <w:lang w:val="en-US" w:eastAsia="zh-CN"/>
          <w14:textFill>
            <w14:solidFill>
              <w14:schemeClr w14:val="tx1"/>
            </w14:solidFill>
          </w14:textFill>
        </w:rPr>
        <w:t>该部分费用的</w:t>
      </w:r>
      <w:r>
        <w:rPr>
          <w:rFonts w:hint="eastAsia" w:ascii="宋体" w:hAnsi="宋体"/>
          <w:i/>
          <w:iCs w:val="0"/>
          <w:color w:val="000000" w:themeColor="text1"/>
          <w:sz w:val="24"/>
          <w:szCs w:val="24"/>
          <w:highlight w:val="none"/>
          <w:u w:val="single"/>
          <w14:textFill>
            <w14:solidFill>
              <w14:schemeClr w14:val="tx1"/>
            </w14:solidFill>
          </w14:textFill>
        </w:rPr>
        <w:t>90%，满三周年后付清</w:t>
      </w:r>
      <w:r>
        <w:rPr>
          <w:rFonts w:hint="eastAsia" w:ascii="宋体" w:hAnsi="宋体"/>
          <w:i/>
          <w:iCs w:val="0"/>
          <w:color w:val="000000" w:themeColor="text1"/>
          <w:sz w:val="24"/>
          <w:szCs w:val="24"/>
          <w:highlight w:val="none"/>
          <w:u w:val="single"/>
          <w:lang w:eastAsia="zh-CN"/>
          <w14:textFill>
            <w14:solidFill>
              <w14:schemeClr w14:val="tx1"/>
            </w14:solidFill>
          </w14:textFill>
        </w:rPr>
        <w:t>。（</w:t>
      </w:r>
      <w:r>
        <w:rPr>
          <w:rFonts w:hint="eastAsia" w:ascii="宋体" w:hAnsi="宋体"/>
          <w:i/>
          <w:iCs w:val="0"/>
          <w:color w:val="000000" w:themeColor="text1"/>
          <w:sz w:val="24"/>
          <w:szCs w:val="24"/>
          <w:highlight w:val="none"/>
          <w:u w:val="single"/>
          <w:lang w:val="en-US" w:eastAsia="zh-CN"/>
          <w14:textFill>
            <w14:solidFill>
              <w14:schemeClr w14:val="tx1"/>
            </w14:solidFill>
          </w14:textFill>
        </w:rPr>
        <w:t>因区域调整或变动导致养护面积增减的，则按</w:t>
      </w:r>
      <w:r>
        <w:rPr>
          <w:rFonts w:hint="eastAsia" w:ascii="宋体" w:hAnsi="宋体"/>
          <w:i/>
          <w:iCs w:val="0"/>
          <w:color w:val="000000" w:themeColor="text1"/>
          <w:sz w:val="24"/>
          <w:szCs w:val="24"/>
          <w:highlight w:val="none"/>
          <w:u w:val="single"/>
          <w14:textFill>
            <w14:solidFill>
              <w14:schemeClr w14:val="tx1"/>
            </w14:solidFill>
          </w14:textFill>
        </w:rPr>
        <w:t>中标绿化养护单价（</w:t>
      </w:r>
      <w:r>
        <w:rPr>
          <w:rFonts w:hint="eastAsia" w:ascii="宋体" w:hAnsi="宋体"/>
          <w:i/>
          <w:iCs w:val="0"/>
          <w:color w:val="000000" w:themeColor="text1"/>
          <w:sz w:val="24"/>
          <w:szCs w:val="24"/>
          <w:highlight w:val="none"/>
          <w:u w:val="single"/>
          <w:lang w:val="en-US" w:eastAsia="zh-CN"/>
          <w14:textFill>
            <w14:solidFill>
              <w14:schemeClr w14:val="tx1"/>
            </w14:solidFill>
          </w14:textFill>
        </w:rPr>
        <w:t>该部分服务费总价/</w:t>
      </w:r>
      <w:r>
        <w:rPr>
          <w:rFonts w:hint="eastAsia" w:ascii="宋体" w:hAnsi="宋体"/>
          <w:i/>
          <w:iCs w:val="0"/>
          <w:color w:val="000000" w:themeColor="text1"/>
          <w:sz w:val="24"/>
          <w:szCs w:val="24"/>
          <w:highlight w:val="none"/>
          <w:u w:val="single"/>
          <w14:textFill>
            <w14:solidFill>
              <w14:schemeClr w14:val="tx1"/>
            </w14:solidFill>
          </w14:textFill>
        </w:rPr>
        <w:t>总面积计算）来调整养护服务费用</w:t>
      </w:r>
      <w:r>
        <w:rPr>
          <w:rFonts w:hint="eastAsia" w:ascii="宋体" w:hAnsi="宋体"/>
          <w:i/>
          <w:iCs w:val="0"/>
          <w:color w:val="000000" w:themeColor="text1"/>
          <w:sz w:val="24"/>
          <w:szCs w:val="24"/>
          <w:highlight w:val="none"/>
          <w:u w:val="single"/>
          <w:lang w:eastAsia="zh-CN"/>
          <w14:textFill>
            <w14:solidFill>
              <w14:schemeClr w14:val="tx1"/>
            </w14:solidFill>
          </w14:textFill>
        </w:rPr>
        <w:t>）</w:t>
      </w:r>
    </w:p>
    <w:p w14:paraId="220C3766">
      <w:pPr>
        <w:pageBreakBefore w:val="0"/>
        <w:tabs>
          <w:tab w:val="left" w:pos="0"/>
        </w:tabs>
        <w:spacing w:line="440" w:lineRule="exact"/>
        <w:ind w:right="-27" w:firstLine="480"/>
        <w:rPr>
          <w:rFonts w:hint="eastAsia" w:ascii="宋体" w:hAnsi="宋体" w:eastAsiaTheme="minorEastAsia"/>
          <w:i/>
          <w:iCs w:val="0"/>
          <w:color w:val="000000" w:themeColor="text1"/>
          <w:sz w:val="24"/>
          <w:szCs w:val="24"/>
          <w:highlight w:val="none"/>
          <w:u w:val="single"/>
          <w:lang w:eastAsia="zh-CN"/>
          <w14:textFill>
            <w14:solidFill>
              <w14:schemeClr w14:val="tx1"/>
            </w14:solidFill>
          </w14:textFill>
        </w:rPr>
      </w:pPr>
      <w:r>
        <w:rPr>
          <w:rFonts w:hint="eastAsia" w:ascii="宋体" w:hAnsi="宋体"/>
          <w:i/>
          <w:iCs w:val="0"/>
          <w:color w:val="000000" w:themeColor="text1"/>
          <w:sz w:val="24"/>
          <w:szCs w:val="24"/>
          <w:highlight w:val="none"/>
          <w:u w:val="single"/>
          <w:lang w:val="en-US" w:eastAsia="zh-CN"/>
          <w14:textFill>
            <w14:solidFill>
              <w14:schemeClr w14:val="tx1"/>
            </w14:solidFill>
          </w14:textFill>
        </w:rPr>
        <w:t>5.3、雨污管网养护、维修管理费</w:t>
      </w:r>
      <w:r>
        <w:rPr>
          <w:rFonts w:hint="eastAsia"/>
          <w:i/>
          <w:iCs w:val="0"/>
          <w:color w:val="000000" w:themeColor="text1"/>
          <w:sz w:val="24"/>
          <w:szCs w:val="24"/>
          <w:highlight w:val="none"/>
          <w:u w:val="single"/>
          <w:lang w:val="en-US" w:eastAsia="zh-CN"/>
          <w14:textFill>
            <w14:solidFill>
              <w14:schemeClr w14:val="tx1"/>
            </w14:solidFill>
          </w14:textFill>
        </w:rPr>
        <w:t>：</w:t>
      </w:r>
      <w:r>
        <w:rPr>
          <w:rFonts w:hint="eastAsia" w:ascii="宋体" w:hAnsi="宋体"/>
          <w:i/>
          <w:iCs w:val="0"/>
          <w:color w:val="000000" w:themeColor="text1"/>
          <w:sz w:val="24"/>
          <w:szCs w:val="24"/>
          <w:highlight w:val="none"/>
          <w:u w:val="single"/>
          <w14:textFill>
            <w14:solidFill>
              <w14:schemeClr w14:val="tx1"/>
            </w14:solidFill>
          </w14:textFill>
        </w:rPr>
        <w:t>中标人根据实际完成的工作量汇总制作结算报告，由采购人送第三方中介机构审核。结算方式为项目结束后当年度</w:t>
      </w:r>
      <w:r>
        <w:rPr>
          <w:rFonts w:hint="eastAsia" w:ascii="宋体" w:hAnsi="宋体"/>
          <w:i/>
          <w:iCs w:val="0"/>
          <w:color w:val="000000" w:themeColor="text1"/>
          <w:sz w:val="24"/>
          <w:szCs w:val="24"/>
          <w:highlight w:val="none"/>
          <w:u w:val="single"/>
          <w:lang w:val="en-US" w:eastAsia="zh-CN"/>
          <w14:textFill>
            <w14:solidFill>
              <w14:schemeClr w14:val="tx1"/>
            </w14:solidFill>
          </w14:textFill>
        </w:rPr>
        <w:t>支付</w:t>
      </w:r>
      <w:r>
        <w:rPr>
          <w:rFonts w:hint="eastAsia" w:ascii="宋体" w:hAnsi="宋体"/>
          <w:i/>
          <w:iCs w:val="0"/>
          <w:color w:val="000000" w:themeColor="text1"/>
          <w:sz w:val="24"/>
          <w:szCs w:val="24"/>
          <w:highlight w:val="none"/>
          <w:u w:val="single"/>
          <w14:textFill>
            <w14:solidFill>
              <w14:schemeClr w14:val="tx1"/>
            </w14:solidFill>
          </w14:textFill>
        </w:rPr>
        <w:t>竣工结算价的50%，</w:t>
      </w:r>
      <w:r>
        <w:rPr>
          <w:rFonts w:hint="eastAsia" w:ascii="宋体" w:hAnsi="宋体"/>
          <w:i/>
          <w:iCs w:val="0"/>
          <w:color w:val="000000" w:themeColor="text1"/>
          <w:sz w:val="24"/>
          <w:szCs w:val="24"/>
          <w:highlight w:val="none"/>
          <w:u w:val="single"/>
          <w:lang w:val="en-US" w:eastAsia="zh-CN"/>
          <w14:textFill>
            <w14:solidFill>
              <w14:schemeClr w14:val="tx1"/>
            </w14:solidFill>
          </w14:textFill>
        </w:rPr>
        <w:t>项目结束</w:t>
      </w:r>
      <w:r>
        <w:rPr>
          <w:rFonts w:hint="eastAsia" w:ascii="宋体" w:hAnsi="宋体"/>
          <w:i/>
          <w:iCs w:val="0"/>
          <w:color w:val="000000" w:themeColor="text1"/>
          <w:sz w:val="24"/>
          <w:szCs w:val="24"/>
          <w:highlight w:val="none"/>
          <w:u w:val="single"/>
          <w14:textFill>
            <w14:solidFill>
              <w14:schemeClr w14:val="tx1"/>
            </w14:solidFill>
          </w14:textFill>
        </w:rPr>
        <w:t>一周年后付至</w:t>
      </w:r>
      <w:r>
        <w:rPr>
          <w:rFonts w:hint="eastAsia" w:ascii="宋体" w:hAnsi="宋体"/>
          <w:i/>
          <w:iCs w:val="0"/>
          <w:color w:val="000000" w:themeColor="text1"/>
          <w:sz w:val="24"/>
          <w:szCs w:val="24"/>
          <w:highlight w:val="none"/>
          <w:u w:val="single"/>
          <w:lang w:val="en-US" w:eastAsia="zh-CN"/>
          <w14:textFill>
            <w14:solidFill>
              <w14:schemeClr w14:val="tx1"/>
            </w14:solidFill>
          </w14:textFill>
        </w:rPr>
        <w:t>竣工结算价</w:t>
      </w:r>
      <w:r>
        <w:rPr>
          <w:rFonts w:hint="eastAsia" w:ascii="宋体" w:hAnsi="宋体"/>
          <w:i/>
          <w:iCs w:val="0"/>
          <w:color w:val="000000" w:themeColor="text1"/>
          <w:sz w:val="24"/>
          <w:szCs w:val="24"/>
          <w:highlight w:val="none"/>
          <w:u w:val="single"/>
          <w14:textFill>
            <w14:solidFill>
              <w14:schemeClr w14:val="tx1"/>
            </w14:solidFill>
          </w14:textFill>
        </w:rPr>
        <w:t>的70%，</w:t>
      </w:r>
      <w:r>
        <w:rPr>
          <w:rFonts w:hint="eastAsia" w:ascii="宋体" w:hAnsi="宋体"/>
          <w:i/>
          <w:iCs w:val="0"/>
          <w:color w:val="000000" w:themeColor="text1"/>
          <w:sz w:val="24"/>
          <w:szCs w:val="24"/>
          <w:highlight w:val="none"/>
          <w:u w:val="single"/>
          <w:lang w:val="en-US" w:eastAsia="zh-CN"/>
          <w14:textFill>
            <w14:solidFill>
              <w14:schemeClr w14:val="tx1"/>
            </w14:solidFill>
          </w14:textFill>
        </w:rPr>
        <w:t>项目结束</w:t>
      </w:r>
      <w:r>
        <w:rPr>
          <w:rFonts w:hint="eastAsia" w:ascii="宋体" w:hAnsi="宋体"/>
          <w:i/>
          <w:iCs w:val="0"/>
          <w:color w:val="000000" w:themeColor="text1"/>
          <w:sz w:val="24"/>
          <w:szCs w:val="24"/>
          <w:highlight w:val="none"/>
          <w:u w:val="single"/>
          <w14:textFill>
            <w14:solidFill>
              <w14:schemeClr w14:val="tx1"/>
            </w14:solidFill>
          </w14:textFill>
        </w:rPr>
        <w:t>满二周年</w:t>
      </w:r>
      <w:r>
        <w:rPr>
          <w:rFonts w:hint="eastAsia" w:ascii="宋体" w:hAnsi="宋体"/>
          <w:i/>
          <w:iCs w:val="0"/>
          <w:color w:val="000000" w:themeColor="text1"/>
          <w:sz w:val="24"/>
          <w:szCs w:val="24"/>
          <w:highlight w:val="none"/>
          <w:u w:val="single"/>
          <w:lang w:val="en-US" w:eastAsia="zh-CN"/>
          <w14:textFill>
            <w14:solidFill>
              <w14:schemeClr w14:val="tx1"/>
            </w14:solidFill>
          </w14:textFill>
        </w:rPr>
        <w:t>并经审计</w:t>
      </w:r>
      <w:r>
        <w:rPr>
          <w:rFonts w:hint="eastAsia" w:ascii="宋体" w:hAnsi="宋体"/>
          <w:i/>
          <w:iCs w:val="0"/>
          <w:color w:val="000000" w:themeColor="text1"/>
          <w:sz w:val="24"/>
          <w:szCs w:val="24"/>
          <w:highlight w:val="none"/>
          <w:u w:val="single"/>
          <w14:textFill>
            <w14:solidFill>
              <w14:schemeClr w14:val="tx1"/>
            </w14:solidFill>
          </w14:textFill>
        </w:rPr>
        <w:t>后付至</w:t>
      </w:r>
      <w:r>
        <w:rPr>
          <w:rFonts w:hint="eastAsia" w:ascii="宋体" w:hAnsi="宋体"/>
          <w:i/>
          <w:iCs w:val="0"/>
          <w:color w:val="000000" w:themeColor="text1"/>
          <w:sz w:val="24"/>
          <w:szCs w:val="24"/>
          <w:highlight w:val="none"/>
          <w:u w:val="single"/>
          <w:lang w:val="en-US" w:eastAsia="zh-CN"/>
          <w14:textFill>
            <w14:solidFill>
              <w14:schemeClr w14:val="tx1"/>
            </w14:solidFill>
          </w14:textFill>
        </w:rPr>
        <w:t>审定金额的</w:t>
      </w:r>
      <w:r>
        <w:rPr>
          <w:rFonts w:hint="eastAsia" w:ascii="宋体" w:hAnsi="宋体"/>
          <w:i/>
          <w:iCs w:val="0"/>
          <w:color w:val="000000" w:themeColor="text1"/>
          <w:sz w:val="24"/>
          <w:szCs w:val="24"/>
          <w:highlight w:val="none"/>
          <w:u w:val="single"/>
          <w14:textFill>
            <w14:solidFill>
              <w14:schemeClr w14:val="tx1"/>
            </w14:solidFill>
          </w14:textFill>
        </w:rPr>
        <w:t>90%，</w:t>
      </w:r>
      <w:r>
        <w:rPr>
          <w:rFonts w:hint="eastAsia" w:ascii="宋体" w:hAnsi="宋体"/>
          <w:i/>
          <w:iCs w:val="0"/>
          <w:color w:val="000000" w:themeColor="text1"/>
          <w:sz w:val="24"/>
          <w:szCs w:val="24"/>
          <w:highlight w:val="none"/>
          <w:u w:val="single"/>
          <w:lang w:val="en-US" w:eastAsia="zh-CN"/>
          <w14:textFill>
            <w14:solidFill>
              <w14:schemeClr w14:val="tx1"/>
            </w14:solidFill>
          </w14:textFill>
        </w:rPr>
        <w:t>项目结束</w:t>
      </w:r>
      <w:r>
        <w:rPr>
          <w:rFonts w:hint="eastAsia" w:ascii="宋体" w:hAnsi="宋体"/>
          <w:i/>
          <w:iCs w:val="0"/>
          <w:color w:val="000000" w:themeColor="text1"/>
          <w:sz w:val="24"/>
          <w:szCs w:val="24"/>
          <w:highlight w:val="none"/>
          <w:u w:val="single"/>
          <w14:textFill>
            <w14:solidFill>
              <w14:schemeClr w14:val="tx1"/>
            </w14:solidFill>
          </w14:textFill>
        </w:rPr>
        <w:t>满</w:t>
      </w:r>
      <w:r>
        <w:rPr>
          <w:rFonts w:hint="eastAsia" w:ascii="宋体" w:hAnsi="宋体"/>
          <w:i/>
          <w:iCs w:val="0"/>
          <w:color w:val="000000" w:themeColor="text1"/>
          <w:sz w:val="24"/>
          <w:szCs w:val="24"/>
          <w:highlight w:val="none"/>
          <w:u w:val="single"/>
          <w:lang w:val="en-US" w:eastAsia="zh-CN"/>
          <w14:textFill>
            <w14:solidFill>
              <w14:schemeClr w14:val="tx1"/>
            </w14:solidFill>
          </w14:textFill>
        </w:rPr>
        <w:t>三</w:t>
      </w:r>
      <w:r>
        <w:rPr>
          <w:rFonts w:hint="eastAsia" w:ascii="宋体" w:hAnsi="宋体"/>
          <w:i/>
          <w:iCs w:val="0"/>
          <w:color w:val="000000" w:themeColor="text1"/>
          <w:sz w:val="24"/>
          <w:szCs w:val="24"/>
          <w:highlight w:val="none"/>
          <w:u w:val="single"/>
          <w14:textFill>
            <w14:solidFill>
              <w14:schemeClr w14:val="tx1"/>
            </w14:solidFill>
          </w14:textFill>
        </w:rPr>
        <w:t>周年</w:t>
      </w:r>
      <w:r>
        <w:rPr>
          <w:rFonts w:hint="eastAsia" w:ascii="宋体" w:hAnsi="宋体"/>
          <w:i/>
          <w:iCs w:val="0"/>
          <w:color w:val="000000" w:themeColor="text1"/>
          <w:sz w:val="24"/>
          <w:szCs w:val="24"/>
          <w:highlight w:val="none"/>
          <w:u w:val="single"/>
          <w:lang w:val="en-US" w:eastAsia="zh-CN"/>
          <w14:textFill>
            <w14:solidFill>
              <w14:schemeClr w14:val="tx1"/>
            </w14:solidFill>
          </w14:textFill>
        </w:rPr>
        <w:t>并经审计</w:t>
      </w:r>
      <w:r>
        <w:rPr>
          <w:rFonts w:hint="eastAsia" w:ascii="宋体" w:hAnsi="宋体"/>
          <w:i/>
          <w:iCs w:val="0"/>
          <w:color w:val="000000" w:themeColor="text1"/>
          <w:sz w:val="24"/>
          <w:szCs w:val="24"/>
          <w:highlight w:val="none"/>
          <w:u w:val="single"/>
          <w14:textFill>
            <w14:solidFill>
              <w14:schemeClr w14:val="tx1"/>
            </w14:solidFill>
          </w14:textFill>
        </w:rPr>
        <w:t>后付至</w:t>
      </w:r>
      <w:r>
        <w:rPr>
          <w:rFonts w:hint="eastAsia" w:ascii="宋体" w:hAnsi="宋体"/>
          <w:i/>
          <w:iCs w:val="0"/>
          <w:color w:val="000000" w:themeColor="text1"/>
          <w:sz w:val="24"/>
          <w:szCs w:val="24"/>
          <w:highlight w:val="none"/>
          <w:u w:val="single"/>
          <w:lang w:val="en-US" w:eastAsia="zh-CN"/>
          <w14:textFill>
            <w14:solidFill>
              <w14:schemeClr w14:val="tx1"/>
            </w14:solidFill>
          </w14:textFill>
        </w:rPr>
        <w:t>审定金额的100</w:t>
      </w:r>
      <w:r>
        <w:rPr>
          <w:rFonts w:hint="eastAsia" w:ascii="宋体" w:hAnsi="宋体"/>
          <w:i/>
          <w:iCs w:val="0"/>
          <w:color w:val="000000" w:themeColor="text1"/>
          <w:sz w:val="24"/>
          <w:szCs w:val="24"/>
          <w:highlight w:val="none"/>
          <w:u w:val="single"/>
          <w14:textFill>
            <w14:solidFill>
              <w14:schemeClr w14:val="tx1"/>
            </w14:solidFill>
          </w14:textFill>
        </w:rPr>
        <w:t>%</w:t>
      </w:r>
      <w:r>
        <w:rPr>
          <w:rFonts w:hint="eastAsia" w:ascii="宋体" w:hAnsi="宋体"/>
          <w:i/>
          <w:iCs w:val="0"/>
          <w:color w:val="000000" w:themeColor="text1"/>
          <w:sz w:val="24"/>
          <w:szCs w:val="24"/>
          <w:highlight w:val="none"/>
          <w:u w:val="single"/>
          <w:lang w:eastAsia="zh-CN"/>
          <w14:textFill>
            <w14:solidFill>
              <w14:schemeClr w14:val="tx1"/>
            </w14:solidFill>
          </w14:textFill>
        </w:rPr>
        <w:t>。</w:t>
      </w:r>
    </w:p>
    <w:p w14:paraId="1C9A2EBC">
      <w:pPr>
        <w:pageBreakBefore w:val="0"/>
        <w:spacing w:line="440" w:lineRule="exact"/>
        <w:ind w:left="50" w:right="50"/>
        <w:rPr>
          <w:rFonts w:hint="eastAsia"/>
          <w:i w:val="0"/>
          <w:iCs/>
          <w:color w:val="000000" w:themeColor="text1"/>
          <w:sz w:val="24"/>
          <w:szCs w:val="24"/>
          <w:highlight w:val="none"/>
          <w:u w:val="none"/>
          <w:lang w:val="en-US" w:eastAsia="zh-CN"/>
          <w14:textFill>
            <w14:solidFill>
              <w14:schemeClr w14:val="tx1"/>
            </w14:solidFill>
          </w14:textFill>
        </w:rPr>
      </w:pPr>
      <w:r>
        <w:rPr>
          <w:rFonts w:hint="eastAsia"/>
          <w:i w:val="0"/>
          <w:iCs/>
          <w:color w:val="000000" w:themeColor="text1"/>
          <w:sz w:val="24"/>
          <w:szCs w:val="24"/>
          <w:highlight w:val="none"/>
          <w:u w:val="none"/>
          <w14:textFill>
            <w14:solidFill>
              <w14:schemeClr w14:val="tx1"/>
            </w14:solidFill>
          </w14:textFill>
        </w:rPr>
        <w:t>注：（</w:t>
      </w:r>
      <w:r>
        <w:rPr>
          <w:i w:val="0"/>
          <w:iCs/>
          <w:color w:val="000000" w:themeColor="text1"/>
          <w:sz w:val="24"/>
          <w:szCs w:val="24"/>
          <w:highlight w:val="none"/>
          <w:u w:val="none"/>
          <w14:textFill>
            <w14:solidFill>
              <w14:schemeClr w14:val="tx1"/>
            </w14:solidFill>
          </w14:textFill>
        </w:rPr>
        <w:t>1</w:t>
      </w:r>
      <w:r>
        <w:rPr>
          <w:rFonts w:hint="eastAsia"/>
          <w:i w:val="0"/>
          <w:iCs/>
          <w:color w:val="000000" w:themeColor="text1"/>
          <w:sz w:val="24"/>
          <w:szCs w:val="24"/>
          <w:highlight w:val="none"/>
          <w:u w:val="none"/>
          <w14:textFill>
            <w14:solidFill>
              <w14:schemeClr w14:val="tx1"/>
            </w14:solidFill>
          </w14:textFill>
        </w:rPr>
        <w:t>）以上每次付款前，中标人均应提供符合采购人要求的同等金额的合法有效发票。否则，采购人有权顺延付款时间，且不承担任何违约及赔偿责任。</w:t>
      </w:r>
      <w:r>
        <w:rPr>
          <w:rFonts w:hint="eastAsia"/>
          <w:i w:val="0"/>
          <w:iCs/>
          <w:color w:val="000000" w:themeColor="text1"/>
          <w:sz w:val="24"/>
          <w:szCs w:val="24"/>
          <w:highlight w:val="none"/>
          <w:u w:val="none"/>
          <w:lang w:val="en-US" w:eastAsia="zh-CN"/>
          <w14:textFill>
            <w14:solidFill>
              <w14:schemeClr w14:val="tx1"/>
            </w14:solidFill>
          </w14:textFill>
        </w:rPr>
        <w:t xml:space="preserve"> </w:t>
      </w:r>
    </w:p>
    <w:p w14:paraId="3FC8C99F">
      <w:pPr>
        <w:pageBreakBefore w:val="0"/>
        <w:spacing w:line="440" w:lineRule="exact"/>
        <w:ind w:left="50" w:right="50" w:firstLine="480"/>
        <w:rPr>
          <w:rFonts w:hint="eastAsia"/>
          <w:i w:val="0"/>
          <w:iCs/>
          <w:color w:val="000000" w:themeColor="text1"/>
          <w:sz w:val="24"/>
          <w:szCs w:val="24"/>
          <w:highlight w:val="none"/>
          <w:u w:val="none"/>
          <w14:textFill>
            <w14:solidFill>
              <w14:schemeClr w14:val="tx1"/>
            </w14:solidFill>
          </w14:textFill>
        </w:rPr>
      </w:pPr>
      <w:r>
        <w:rPr>
          <w:rFonts w:hint="eastAsia"/>
          <w:i w:val="0"/>
          <w:iCs/>
          <w:color w:val="000000" w:themeColor="text1"/>
          <w:sz w:val="24"/>
          <w:szCs w:val="24"/>
          <w:highlight w:val="none"/>
          <w:u w:val="none"/>
          <w:lang w:val="en-US" w:eastAsia="zh-CN"/>
          <w14:textFill>
            <w14:solidFill>
              <w14:schemeClr w14:val="tx1"/>
            </w14:solidFill>
          </w14:textFill>
        </w:rPr>
        <w:t>（2）</w:t>
      </w:r>
      <w:r>
        <w:rPr>
          <w:rFonts w:hint="eastAsia"/>
          <w:i w:val="0"/>
          <w:iCs/>
          <w:color w:val="000000" w:themeColor="text1"/>
          <w:sz w:val="24"/>
          <w:szCs w:val="24"/>
          <w:highlight w:val="none"/>
          <w:u w:val="none"/>
          <w14:textFill>
            <w14:solidFill>
              <w14:schemeClr w14:val="tx1"/>
            </w14:solidFill>
          </w14:textFill>
        </w:rPr>
        <w:t>本项目支付方式支持数字人民币方式。</w:t>
      </w:r>
    </w:p>
    <w:p w14:paraId="5A498549">
      <w:pPr>
        <w:pageBreakBefore w:val="0"/>
        <w:spacing w:line="440" w:lineRule="exact"/>
        <w:ind w:left="50" w:right="50" w:firstLine="480"/>
        <w:rPr>
          <w:rFonts w:hint="eastAsia"/>
          <w:i w:val="0"/>
          <w:iCs/>
          <w:color w:val="000000" w:themeColor="text1"/>
          <w:sz w:val="24"/>
          <w:szCs w:val="24"/>
          <w:highlight w:val="none"/>
          <w:u w:val="none"/>
          <w:lang w:val="en-US" w:eastAsia="zh-CN"/>
          <w14:textFill>
            <w14:solidFill>
              <w14:schemeClr w14:val="tx1"/>
            </w14:solidFill>
          </w14:textFill>
        </w:rPr>
      </w:pPr>
      <w:r>
        <w:rPr>
          <w:rFonts w:hint="eastAsia"/>
          <w:i w:val="0"/>
          <w:iCs/>
          <w:color w:val="000000" w:themeColor="text1"/>
          <w:sz w:val="24"/>
          <w:szCs w:val="24"/>
          <w:highlight w:val="none"/>
          <w:u w:val="none"/>
          <w:lang w:val="en-US" w:eastAsia="zh-CN"/>
          <w14:textFill>
            <w14:solidFill>
              <w14:schemeClr w14:val="tx1"/>
            </w14:solidFill>
          </w14:textFill>
        </w:rPr>
        <w:t>（3）在签订合同时中标人明确表示无需预付款或者主要要求降低预付款比例的，上述付款方式中预付款要求可不执行，但应当由中标人书面提出并作为采购档案保存。</w:t>
      </w:r>
    </w:p>
    <w:p w14:paraId="0409EA1F">
      <w:pPr>
        <w:pageBreakBefore w:val="0"/>
        <w:spacing w:line="440" w:lineRule="exact"/>
        <w:outlineLvl w:val="1"/>
        <w:rPr>
          <w:rFonts w:hint="default"/>
          <w:b/>
          <w:bCs/>
          <w:color w:val="000000" w:themeColor="text1"/>
          <w:sz w:val="28"/>
          <w:szCs w:val="28"/>
          <w:highlight w:val="none"/>
          <w:lang w:val="en-US" w:eastAsia="zh-CN"/>
          <w14:textFill>
            <w14:solidFill>
              <w14:schemeClr w14:val="tx1"/>
            </w14:solidFill>
          </w14:textFill>
        </w:rPr>
      </w:pPr>
      <w:bookmarkStart w:id="200" w:name="_Toc29553"/>
      <w:bookmarkStart w:id="201" w:name="_Toc5182"/>
      <w:r>
        <w:rPr>
          <w:rFonts w:hint="eastAsia"/>
          <w:b/>
          <w:bCs/>
          <w:color w:val="000000" w:themeColor="text1"/>
          <w:sz w:val="28"/>
          <w:szCs w:val="28"/>
          <w:highlight w:val="none"/>
          <w:lang w:val="en-US" w:eastAsia="zh-CN"/>
          <w14:textFill>
            <w14:solidFill>
              <w14:schemeClr w14:val="tx1"/>
            </w14:solidFill>
          </w14:textFill>
        </w:rPr>
        <w:t>二、项目内容</w:t>
      </w:r>
      <w:bookmarkEnd w:id="200"/>
      <w:bookmarkEnd w:id="201"/>
    </w:p>
    <w:p w14:paraId="7E3C5769">
      <w:pPr>
        <w:pageBreakBefore w:val="0"/>
        <w:widowControl/>
        <w:spacing w:line="440" w:lineRule="exact"/>
        <w:ind w:firstLine="240"/>
        <w:jc w:val="both"/>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1.1、第一部分：</w:t>
      </w:r>
      <w:r>
        <w:rPr>
          <w:rFonts w:hint="eastAsia" w:ascii="宋体" w:hAnsi="宋体" w:eastAsia="宋体" w:cs="宋体"/>
          <w:color w:val="000000" w:themeColor="text1"/>
          <w:sz w:val="24"/>
          <w:szCs w:val="24"/>
          <w:highlight w:val="none"/>
          <w:lang w:val="en-US" w:eastAsia="zh-CN"/>
          <w14:textFill>
            <w14:solidFill>
              <w14:schemeClr w14:val="tx1"/>
            </w14:solidFill>
          </w14:textFill>
        </w:rPr>
        <w:t>水利水务设施养护管理（总价包干）</w:t>
      </w:r>
    </w:p>
    <w:p w14:paraId="22135020">
      <w:pPr>
        <w:keepNext w:val="0"/>
        <w:keepLines w:val="0"/>
        <w:pageBreakBefore w:val="0"/>
        <w:spacing w:line="440" w:lineRule="exact"/>
        <w:ind w:firstLine="24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1.2、第二部分：水生植物养护管理（总价包干）</w:t>
      </w:r>
    </w:p>
    <w:p w14:paraId="7E146E77">
      <w:pPr>
        <w:keepNext w:val="0"/>
        <w:keepLines w:val="0"/>
        <w:pageBreakBefore w:val="0"/>
        <w:spacing w:line="440" w:lineRule="exact"/>
        <w:ind w:firstLine="240"/>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14:textFill>
            <w14:solidFill>
              <w14:schemeClr w14:val="tx1"/>
            </w14:solidFill>
          </w14:textFill>
        </w:rPr>
        <w:t>、第</w:t>
      </w:r>
      <w:r>
        <w:rPr>
          <w:rFonts w:hint="eastAsia" w:ascii="宋体" w:hAnsi="宋体" w:eastAsia="宋体" w:cs="宋体"/>
          <w:color w:val="000000" w:themeColor="text1"/>
          <w:sz w:val="24"/>
          <w:szCs w:val="24"/>
          <w:highlight w:val="none"/>
          <w:lang w:val="en-US" w:eastAsia="zh-CN"/>
          <w14:textFill>
            <w14:solidFill>
              <w14:schemeClr w14:val="tx1"/>
            </w14:solidFill>
          </w14:textFill>
        </w:rPr>
        <w:t>三</w:t>
      </w:r>
      <w:r>
        <w:rPr>
          <w:rFonts w:hint="eastAsia" w:ascii="宋体" w:hAnsi="宋体" w:eastAsia="宋体" w:cs="宋体"/>
          <w:color w:val="000000" w:themeColor="text1"/>
          <w:sz w:val="24"/>
          <w:szCs w:val="24"/>
          <w:highlight w:val="none"/>
          <w14:textFill>
            <w14:solidFill>
              <w14:schemeClr w14:val="tx1"/>
            </w14:solidFill>
          </w14:textFill>
        </w:rPr>
        <w:t>部分：</w:t>
      </w:r>
      <w:r>
        <w:rPr>
          <w:rFonts w:hint="eastAsia" w:ascii="宋体" w:hAnsi="宋体" w:eastAsia="宋体" w:cs="宋体"/>
          <w:color w:val="000000" w:themeColor="text1"/>
          <w:sz w:val="24"/>
          <w:szCs w:val="24"/>
          <w:highlight w:val="none"/>
          <w:lang w:val="en-US" w:eastAsia="zh-CN"/>
          <w14:textFill>
            <w14:solidFill>
              <w14:schemeClr w14:val="tx1"/>
            </w14:solidFill>
          </w14:textFill>
        </w:rPr>
        <w:t>雨污管网养护、维修管理</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按实结算</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0A8CE725">
      <w:pPr>
        <w:keepNext w:val="0"/>
        <w:keepLines w:val="0"/>
        <w:pageBreakBefore w:val="0"/>
        <w:widowControl/>
        <w:spacing w:line="440" w:lineRule="exact"/>
        <w:jc w:val="left"/>
        <w:rPr>
          <w:rFonts w:hint="default"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日常养护及零小修清单：</w:t>
      </w:r>
    </w:p>
    <w:tbl>
      <w:tblPr>
        <w:tblStyle w:val="39"/>
        <w:tblW w:w="9917" w:type="dxa"/>
        <w:jc w:val="center"/>
        <w:tblLayout w:type="fixed"/>
        <w:tblCellMar>
          <w:top w:w="0" w:type="dxa"/>
          <w:left w:w="108" w:type="dxa"/>
          <w:bottom w:w="0" w:type="dxa"/>
          <w:right w:w="108" w:type="dxa"/>
        </w:tblCellMar>
      </w:tblPr>
      <w:tblGrid>
        <w:gridCol w:w="939"/>
        <w:gridCol w:w="1821"/>
        <w:gridCol w:w="4685"/>
        <w:gridCol w:w="1009"/>
        <w:gridCol w:w="1463"/>
      </w:tblGrid>
      <w:tr w14:paraId="1BEB3DC7">
        <w:tblPrEx>
          <w:tblCellMar>
            <w:top w:w="0" w:type="dxa"/>
            <w:left w:w="108" w:type="dxa"/>
            <w:bottom w:w="0" w:type="dxa"/>
            <w:right w:w="108" w:type="dxa"/>
          </w:tblCellMar>
        </w:tblPrEx>
        <w:trPr>
          <w:trHeight w:val="928" w:hRule="atLeast"/>
          <w:jc w:val="center"/>
        </w:trPr>
        <w:tc>
          <w:tcPr>
            <w:tcW w:w="939" w:type="dxa"/>
            <w:tcBorders>
              <w:top w:val="single" w:color="000000" w:sz="4" w:space="0"/>
              <w:left w:val="single" w:color="000000" w:sz="4" w:space="0"/>
              <w:bottom w:val="single" w:color="000000" w:sz="4" w:space="0"/>
              <w:right w:val="single" w:color="000000" w:sz="4" w:space="0"/>
            </w:tcBorders>
            <w:noWrap w:val="0"/>
            <w:vAlign w:val="center"/>
          </w:tcPr>
          <w:p w14:paraId="1BB70742">
            <w:pPr>
              <w:keepNext w:val="0"/>
              <w:keepLines w:val="0"/>
              <w:pageBreakBefore w:val="0"/>
              <w:widowControl/>
              <w:suppressLineNumbers w:val="0"/>
              <w:spacing w:before="0" w:beforeAutospacing="0" w:after="0" w:afterAutospacing="0" w:line="440" w:lineRule="exact"/>
              <w:ind w:left="0" w:right="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序号</w:t>
            </w:r>
          </w:p>
        </w:tc>
        <w:tc>
          <w:tcPr>
            <w:tcW w:w="1821" w:type="dxa"/>
            <w:tcBorders>
              <w:top w:val="single" w:color="000000" w:sz="4" w:space="0"/>
              <w:left w:val="nil"/>
              <w:bottom w:val="single" w:color="000000" w:sz="4" w:space="0"/>
              <w:right w:val="single" w:color="000000" w:sz="4" w:space="0"/>
            </w:tcBorders>
            <w:noWrap w:val="0"/>
            <w:vAlign w:val="center"/>
          </w:tcPr>
          <w:p w14:paraId="7913AAE8">
            <w:pPr>
              <w:keepNext w:val="0"/>
              <w:keepLines w:val="0"/>
              <w:pageBreakBefore w:val="0"/>
              <w:widowControl/>
              <w:suppressLineNumbers w:val="0"/>
              <w:spacing w:before="0" w:beforeAutospacing="0" w:after="0" w:afterAutospacing="0" w:line="440" w:lineRule="exact"/>
              <w:ind w:left="0" w:right="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项目名称</w:t>
            </w:r>
          </w:p>
        </w:tc>
        <w:tc>
          <w:tcPr>
            <w:tcW w:w="4685" w:type="dxa"/>
            <w:tcBorders>
              <w:top w:val="single" w:color="000000" w:sz="4" w:space="0"/>
              <w:left w:val="nil"/>
              <w:bottom w:val="single" w:color="000000" w:sz="4" w:space="0"/>
              <w:right w:val="single" w:color="000000" w:sz="4" w:space="0"/>
            </w:tcBorders>
            <w:noWrap w:val="0"/>
            <w:vAlign w:val="center"/>
          </w:tcPr>
          <w:p w14:paraId="132F7BA0">
            <w:pPr>
              <w:keepNext w:val="0"/>
              <w:keepLines w:val="0"/>
              <w:pageBreakBefore w:val="0"/>
              <w:widowControl/>
              <w:suppressLineNumbers w:val="0"/>
              <w:spacing w:before="0" w:beforeAutospacing="0" w:after="0" w:afterAutospacing="0" w:line="440" w:lineRule="exact"/>
              <w:ind w:left="0" w:right="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项目特征描述</w:t>
            </w:r>
          </w:p>
        </w:tc>
        <w:tc>
          <w:tcPr>
            <w:tcW w:w="1009" w:type="dxa"/>
            <w:tcBorders>
              <w:top w:val="single" w:color="000000" w:sz="4" w:space="0"/>
              <w:left w:val="nil"/>
              <w:bottom w:val="single" w:color="000000" w:sz="4" w:space="0"/>
              <w:right w:val="single" w:color="000000" w:sz="4" w:space="0"/>
            </w:tcBorders>
            <w:noWrap w:val="0"/>
            <w:vAlign w:val="center"/>
          </w:tcPr>
          <w:p w14:paraId="206D6E34">
            <w:pPr>
              <w:keepNext w:val="0"/>
              <w:keepLines w:val="0"/>
              <w:pageBreakBefore w:val="0"/>
              <w:widowControl/>
              <w:suppressLineNumbers w:val="0"/>
              <w:spacing w:before="0" w:beforeAutospacing="0" w:after="0" w:afterAutospacing="0" w:line="440" w:lineRule="exact"/>
              <w:ind w:left="0" w:right="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计量</w:t>
            </w:r>
          </w:p>
          <w:p w14:paraId="517890E8">
            <w:pPr>
              <w:keepNext w:val="0"/>
              <w:keepLines w:val="0"/>
              <w:pageBreakBefore w:val="0"/>
              <w:widowControl/>
              <w:suppressLineNumbers w:val="0"/>
              <w:spacing w:before="0" w:beforeAutospacing="0" w:after="0" w:afterAutospacing="0" w:line="440" w:lineRule="exact"/>
              <w:ind w:left="0" w:right="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单位</w:t>
            </w:r>
          </w:p>
        </w:tc>
        <w:tc>
          <w:tcPr>
            <w:tcW w:w="1463" w:type="dxa"/>
            <w:tcBorders>
              <w:top w:val="single" w:color="000000" w:sz="4" w:space="0"/>
              <w:left w:val="nil"/>
              <w:bottom w:val="single" w:color="000000" w:sz="4" w:space="0"/>
              <w:right w:val="single" w:color="000000" w:sz="4" w:space="0"/>
            </w:tcBorders>
            <w:noWrap w:val="0"/>
            <w:vAlign w:val="center"/>
          </w:tcPr>
          <w:p w14:paraId="457DACD6">
            <w:pPr>
              <w:keepNext w:val="0"/>
              <w:keepLines w:val="0"/>
              <w:pageBreakBefore w:val="0"/>
              <w:widowControl/>
              <w:suppressLineNumbers w:val="0"/>
              <w:spacing w:before="0" w:beforeAutospacing="0" w:after="0" w:afterAutospacing="0" w:line="440" w:lineRule="exact"/>
              <w:ind w:left="0" w:right="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预算单价</w:t>
            </w:r>
          </w:p>
        </w:tc>
      </w:tr>
      <w:tr w14:paraId="11304D11">
        <w:tblPrEx>
          <w:tblCellMar>
            <w:top w:w="0" w:type="dxa"/>
            <w:left w:w="108" w:type="dxa"/>
            <w:bottom w:w="0" w:type="dxa"/>
            <w:right w:w="108" w:type="dxa"/>
          </w:tblCellMar>
        </w:tblPrEx>
        <w:trPr>
          <w:trHeight w:val="2575" w:hRule="atLeast"/>
          <w:jc w:val="center"/>
        </w:trPr>
        <w:tc>
          <w:tcPr>
            <w:tcW w:w="939" w:type="dxa"/>
            <w:tcBorders>
              <w:top w:val="single" w:color="000000" w:sz="4" w:space="0"/>
              <w:left w:val="single" w:color="000000" w:sz="4" w:space="0"/>
              <w:bottom w:val="single" w:color="000000" w:sz="4" w:space="0"/>
              <w:right w:val="single" w:color="000000" w:sz="4" w:space="0"/>
            </w:tcBorders>
            <w:noWrap w:val="0"/>
            <w:vAlign w:val="center"/>
          </w:tcPr>
          <w:p w14:paraId="0BAD0FB6">
            <w:pPr>
              <w:keepNext w:val="0"/>
              <w:keepLines w:val="0"/>
              <w:pageBreakBefore w:val="0"/>
              <w:widowControl/>
              <w:suppressLineNumbers w:val="0"/>
              <w:spacing w:before="0" w:beforeAutospacing="0" w:after="0" w:afterAutospacing="0" w:line="440" w:lineRule="exact"/>
              <w:ind w:left="0" w:right="0"/>
              <w:jc w:val="center"/>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一</w:t>
            </w:r>
          </w:p>
        </w:tc>
        <w:tc>
          <w:tcPr>
            <w:tcW w:w="1821" w:type="dxa"/>
            <w:tcBorders>
              <w:top w:val="single" w:color="000000" w:sz="4" w:space="0"/>
              <w:left w:val="nil"/>
              <w:bottom w:val="single" w:color="000000" w:sz="4" w:space="0"/>
              <w:right w:val="single" w:color="000000" w:sz="4" w:space="0"/>
            </w:tcBorders>
            <w:noWrap w:val="0"/>
            <w:vAlign w:val="center"/>
          </w:tcPr>
          <w:p w14:paraId="50820512">
            <w:pPr>
              <w:keepNext w:val="0"/>
              <w:keepLines w:val="0"/>
              <w:pageBreakBefore w:val="0"/>
              <w:widowControl/>
              <w:suppressLineNumbers w:val="0"/>
              <w:spacing w:before="0" w:beforeAutospacing="0" w:after="0" w:afterAutospacing="0" w:line="440" w:lineRule="exact"/>
              <w:ind w:left="0" w:right="0"/>
              <w:jc w:val="center"/>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水利水务设施养护管理</w:t>
            </w:r>
          </w:p>
          <w:p w14:paraId="7BBAA69C">
            <w:pPr>
              <w:keepNext w:val="0"/>
              <w:keepLines w:val="0"/>
              <w:pageBreakBefore w:val="0"/>
              <w:widowControl/>
              <w:suppressLineNumbers w:val="0"/>
              <w:spacing w:before="0" w:beforeAutospacing="0" w:after="0" w:afterAutospacing="0" w:line="440" w:lineRule="exact"/>
              <w:ind w:left="0" w:right="0"/>
              <w:jc w:val="center"/>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（总价包干）</w:t>
            </w:r>
          </w:p>
        </w:tc>
        <w:tc>
          <w:tcPr>
            <w:tcW w:w="4685" w:type="dxa"/>
            <w:tcBorders>
              <w:top w:val="single" w:color="000000" w:sz="4" w:space="0"/>
              <w:left w:val="nil"/>
              <w:bottom w:val="single" w:color="000000" w:sz="4" w:space="0"/>
              <w:right w:val="single" w:color="000000" w:sz="4" w:space="0"/>
            </w:tcBorders>
            <w:noWrap w:val="0"/>
            <w:vAlign w:val="center"/>
          </w:tcPr>
          <w:p w14:paraId="58069EF2">
            <w:pPr>
              <w:keepNext w:val="0"/>
              <w:keepLines w:val="0"/>
              <w:pageBreakBefore w:val="0"/>
              <w:widowControl/>
              <w:suppressLineNumbers w:val="0"/>
              <w:spacing w:before="0" w:beforeAutospacing="0" w:after="0" w:afterAutospacing="0" w:line="440" w:lineRule="exact"/>
              <w:ind w:left="0" w:right="0"/>
              <w:jc w:val="both"/>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包括但不限于：</w:t>
            </w:r>
          </w:p>
          <w:p w14:paraId="1068E2D0">
            <w:pPr>
              <w:keepNext w:val="0"/>
              <w:keepLines w:val="0"/>
              <w:pageBreakBefore w:val="0"/>
              <w:widowControl/>
              <w:suppressLineNumbers w:val="0"/>
              <w:spacing w:before="0" w:beforeAutospacing="0" w:after="0" w:afterAutospacing="0" w:line="440" w:lineRule="exact"/>
              <w:ind w:left="0" w:right="0"/>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①湿地及截污泵站设施养护</w:t>
            </w:r>
          </w:p>
          <w:p w14:paraId="7C22AFE8">
            <w:pPr>
              <w:keepNext w:val="0"/>
              <w:keepLines w:val="0"/>
              <w:pageBreakBefore w:val="0"/>
              <w:widowControl/>
              <w:suppressLineNumbers w:val="0"/>
              <w:spacing w:before="0" w:beforeAutospacing="0" w:after="0" w:afterAutospacing="0" w:line="440" w:lineRule="exact"/>
              <w:ind w:left="0" w:right="0"/>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②易涝点排涝泵站设施养护</w:t>
            </w:r>
          </w:p>
          <w:p w14:paraId="246EB0A6">
            <w:pPr>
              <w:keepNext w:val="0"/>
              <w:keepLines w:val="0"/>
              <w:pageBreakBefore w:val="0"/>
              <w:widowControl/>
              <w:suppressLineNumbers w:val="0"/>
              <w:spacing w:before="0" w:beforeAutospacing="0" w:after="0" w:afterAutospacing="0" w:line="440" w:lineRule="exact"/>
              <w:ind w:left="0" w:right="0"/>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③琴川（环外）圩区、排涝站设施养护</w:t>
            </w:r>
          </w:p>
          <w:p w14:paraId="2C6853D5">
            <w:pPr>
              <w:keepNext w:val="0"/>
              <w:keepLines w:val="0"/>
              <w:pageBreakBefore w:val="0"/>
              <w:widowControl/>
              <w:suppressLineNumbers w:val="0"/>
              <w:spacing w:before="0" w:beforeAutospacing="0" w:after="0" w:afterAutospacing="0" w:line="440" w:lineRule="exact"/>
              <w:ind w:left="0" w:right="0"/>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④防汛仓库不定期看护</w:t>
            </w:r>
          </w:p>
        </w:tc>
        <w:tc>
          <w:tcPr>
            <w:tcW w:w="1009" w:type="dxa"/>
            <w:tcBorders>
              <w:top w:val="single" w:color="000000" w:sz="4" w:space="0"/>
              <w:left w:val="nil"/>
              <w:bottom w:val="single" w:color="000000" w:sz="4" w:space="0"/>
              <w:right w:val="single" w:color="000000" w:sz="4" w:space="0"/>
            </w:tcBorders>
            <w:noWrap w:val="0"/>
            <w:vAlign w:val="center"/>
          </w:tcPr>
          <w:p w14:paraId="5C17DC62">
            <w:pPr>
              <w:keepNext w:val="0"/>
              <w:keepLines w:val="0"/>
              <w:pageBreakBefore w:val="0"/>
              <w:widowControl/>
              <w:suppressLineNumbers w:val="0"/>
              <w:spacing w:before="0" w:beforeAutospacing="0" w:after="0" w:afterAutospacing="0" w:line="440" w:lineRule="exact"/>
              <w:ind w:left="0" w:right="0"/>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项</w:t>
            </w:r>
          </w:p>
        </w:tc>
        <w:tc>
          <w:tcPr>
            <w:tcW w:w="1463" w:type="dxa"/>
            <w:tcBorders>
              <w:top w:val="single" w:color="000000" w:sz="4" w:space="0"/>
              <w:left w:val="nil"/>
              <w:bottom w:val="single" w:color="000000" w:sz="4" w:space="0"/>
              <w:right w:val="single" w:color="000000" w:sz="4" w:space="0"/>
            </w:tcBorders>
            <w:noWrap w:val="0"/>
            <w:vAlign w:val="center"/>
          </w:tcPr>
          <w:p w14:paraId="28EB3C59">
            <w:pPr>
              <w:keepNext w:val="0"/>
              <w:keepLines w:val="0"/>
              <w:pageBreakBefore w:val="0"/>
              <w:widowControl/>
              <w:suppressLineNumbers w:val="0"/>
              <w:spacing w:before="0" w:beforeAutospacing="0" w:after="0" w:afterAutospacing="0" w:line="440" w:lineRule="exact"/>
              <w:ind w:left="0" w:right="0"/>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21万元/年</w:t>
            </w:r>
          </w:p>
        </w:tc>
      </w:tr>
      <w:tr w14:paraId="2AAE2E0F">
        <w:tblPrEx>
          <w:tblCellMar>
            <w:top w:w="0" w:type="dxa"/>
            <w:left w:w="108" w:type="dxa"/>
            <w:bottom w:w="0" w:type="dxa"/>
            <w:right w:w="108" w:type="dxa"/>
          </w:tblCellMar>
        </w:tblPrEx>
        <w:trPr>
          <w:trHeight w:val="1293" w:hRule="atLeast"/>
          <w:jc w:val="center"/>
        </w:trPr>
        <w:tc>
          <w:tcPr>
            <w:tcW w:w="939" w:type="dxa"/>
            <w:tcBorders>
              <w:top w:val="single" w:color="000000" w:sz="4" w:space="0"/>
              <w:left w:val="single" w:color="000000" w:sz="4" w:space="0"/>
              <w:bottom w:val="single" w:color="000000" w:sz="4" w:space="0"/>
              <w:right w:val="single" w:color="000000" w:sz="4" w:space="0"/>
            </w:tcBorders>
            <w:noWrap w:val="0"/>
            <w:vAlign w:val="center"/>
          </w:tcPr>
          <w:p w14:paraId="11C00E84">
            <w:pPr>
              <w:keepNext w:val="0"/>
              <w:keepLines w:val="0"/>
              <w:pageBreakBefore w:val="0"/>
              <w:widowControl/>
              <w:suppressLineNumbers w:val="0"/>
              <w:spacing w:before="0" w:beforeAutospacing="0" w:after="0" w:afterAutospacing="0" w:line="440" w:lineRule="exact"/>
              <w:ind w:left="0" w:right="0"/>
              <w:jc w:val="center"/>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二</w:t>
            </w:r>
          </w:p>
        </w:tc>
        <w:tc>
          <w:tcPr>
            <w:tcW w:w="1821" w:type="dxa"/>
            <w:tcBorders>
              <w:top w:val="single" w:color="000000" w:sz="4" w:space="0"/>
              <w:left w:val="nil"/>
              <w:bottom w:val="single" w:color="000000" w:sz="4" w:space="0"/>
              <w:right w:val="single" w:color="000000" w:sz="4" w:space="0"/>
            </w:tcBorders>
            <w:noWrap w:val="0"/>
            <w:vAlign w:val="center"/>
          </w:tcPr>
          <w:p w14:paraId="32B55E7F">
            <w:pPr>
              <w:keepNext w:val="0"/>
              <w:keepLines w:val="0"/>
              <w:pageBreakBefore w:val="0"/>
              <w:widowControl/>
              <w:suppressLineNumbers w:val="0"/>
              <w:spacing w:before="0" w:beforeAutospacing="0" w:after="0" w:afterAutospacing="0" w:line="440" w:lineRule="exact"/>
              <w:ind w:left="0" w:right="0"/>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水生植物养护管理（总价包干）</w:t>
            </w:r>
          </w:p>
        </w:tc>
        <w:tc>
          <w:tcPr>
            <w:tcW w:w="4685" w:type="dxa"/>
            <w:tcBorders>
              <w:top w:val="single" w:color="000000" w:sz="4" w:space="0"/>
              <w:left w:val="nil"/>
              <w:bottom w:val="single" w:color="000000" w:sz="4" w:space="0"/>
              <w:right w:val="single" w:color="000000" w:sz="4" w:space="0"/>
            </w:tcBorders>
            <w:noWrap w:val="0"/>
            <w:vAlign w:val="center"/>
          </w:tcPr>
          <w:p w14:paraId="6DF96178">
            <w:pPr>
              <w:keepNext w:val="0"/>
              <w:keepLines w:val="0"/>
              <w:pageBreakBefore w:val="0"/>
              <w:widowControl/>
              <w:suppressLineNumbers w:val="0"/>
              <w:spacing w:before="0" w:beforeAutospacing="0" w:after="0" w:afterAutospacing="0" w:line="440" w:lineRule="exact"/>
              <w:ind w:left="0" w:right="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边坡、水生植物养护（总面积约4万平方）</w:t>
            </w:r>
          </w:p>
        </w:tc>
        <w:tc>
          <w:tcPr>
            <w:tcW w:w="1009" w:type="dxa"/>
            <w:tcBorders>
              <w:top w:val="single" w:color="000000" w:sz="4" w:space="0"/>
              <w:left w:val="nil"/>
              <w:bottom w:val="single" w:color="000000" w:sz="4" w:space="0"/>
              <w:right w:val="single" w:color="000000" w:sz="4" w:space="0"/>
            </w:tcBorders>
            <w:noWrap w:val="0"/>
            <w:vAlign w:val="center"/>
          </w:tcPr>
          <w:p w14:paraId="444C923E">
            <w:pPr>
              <w:keepNext w:val="0"/>
              <w:keepLines w:val="0"/>
              <w:pageBreakBefore w:val="0"/>
              <w:widowControl/>
              <w:suppressLineNumbers w:val="0"/>
              <w:spacing w:before="0" w:beforeAutospacing="0" w:after="0" w:afterAutospacing="0" w:line="440" w:lineRule="exact"/>
              <w:ind w:left="0" w:right="0"/>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项</w:t>
            </w:r>
          </w:p>
        </w:tc>
        <w:tc>
          <w:tcPr>
            <w:tcW w:w="1463" w:type="dxa"/>
            <w:tcBorders>
              <w:top w:val="single" w:color="000000" w:sz="4" w:space="0"/>
              <w:left w:val="nil"/>
              <w:bottom w:val="single" w:color="000000" w:sz="4" w:space="0"/>
              <w:right w:val="single" w:color="000000" w:sz="4" w:space="0"/>
            </w:tcBorders>
            <w:noWrap w:val="0"/>
            <w:vAlign w:val="center"/>
          </w:tcPr>
          <w:p w14:paraId="70BB80DB">
            <w:pPr>
              <w:keepNext w:val="0"/>
              <w:keepLines w:val="0"/>
              <w:pageBreakBefore w:val="0"/>
              <w:widowControl/>
              <w:suppressLineNumbers w:val="0"/>
              <w:spacing w:before="0" w:beforeAutospacing="0" w:after="0" w:afterAutospacing="0" w:line="440" w:lineRule="exact"/>
              <w:ind w:left="0" w:right="0"/>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16万元/年</w:t>
            </w:r>
          </w:p>
        </w:tc>
      </w:tr>
      <w:tr w14:paraId="231DCE48">
        <w:tblPrEx>
          <w:tblCellMar>
            <w:top w:w="0" w:type="dxa"/>
            <w:left w:w="108" w:type="dxa"/>
            <w:bottom w:w="0" w:type="dxa"/>
            <w:right w:w="108" w:type="dxa"/>
          </w:tblCellMar>
        </w:tblPrEx>
        <w:trPr>
          <w:trHeight w:val="928" w:hRule="atLeast"/>
          <w:jc w:val="center"/>
        </w:trPr>
        <w:tc>
          <w:tcPr>
            <w:tcW w:w="939" w:type="dxa"/>
            <w:tcBorders>
              <w:top w:val="single" w:color="000000" w:sz="4" w:space="0"/>
              <w:left w:val="single" w:color="000000" w:sz="4" w:space="0"/>
              <w:bottom w:val="single" w:color="000000" w:sz="4" w:space="0"/>
              <w:right w:val="single" w:color="000000" w:sz="4" w:space="0"/>
            </w:tcBorders>
            <w:noWrap w:val="0"/>
            <w:vAlign w:val="center"/>
          </w:tcPr>
          <w:p w14:paraId="4D4430B0">
            <w:pPr>
              <w:keepNext w:val="0"/>
              <w:keepLines w:val="0"/>
              <w:pageBreakBefore w:val="0"/>
              <w:widowControl/>
              <w:suppressLineNumbers w:val="0"/>
              <w:spacing w:before="0" w:beforeAutospacing="0" w:after="0" w:afterAutospacing="0" w:line="440" w:lineRule="exact"/>
              <w:ind w:left="0" w:right="0"/>
              <w:jc w:val="center"/>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三</w:t>
            </w:r>
          </w:p>
        </w:tc>
        <w:tc>
          <w:tcPr>
            <w:tcW w:w="6506" w:type="dxa"/>
            <w:gridSpan w:val="2"/>
            <w:tcBorders>
              <w:top w:val="single" w:color="000000" w:sz="4" w:space="0"/>
              <w:left w:val="nil"/>
              <w:bottom w:val="single" w:color="000000" w:sz="4" w:space="0"/>
              <w:right w:val="single" w:color="000000" w:sz="4" w:space="0"/>
            </w:tcBorders>
            <w:noWrap w:val="0"/>
            <w:vAlign w:val="center"/>
          </w:tcPr>
          <w:p w14:paraId="3ABDB953">
            <w:pPr>
              <w:keepNext w:val="0"/>
              <w:keepLines w:val="0"/>
              <w:pageBreakBefore w:val="0"/>
              <w:widowControl/>
              <w:suppressLineNumbers w:val="0"/>
              <w:spacing w:before="0" w:beforeAutospacing="0" w:after="0" w:afterAutospacing="0" w:line="440" w:lineRule="exact"/>
              <w:ind w:left="0" w:right="0"/>
              <w:jc w:val="both"/>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雨污管网巡查、养护、维修管理（按实结算，包括支网）</w:t>
            </w:r>
          </w:p>
        </w:tc>
        <w:tc>
          <w:tcPr>
            <w:tcW w:w="1009" w:type="dxa"/>
            <w:tcBorders>
              <w:top w:val="single" w:color="000000" w:sz="4" w:space="0"/>
              <w:left w:val="nil"/>
              <w:bottom w:val="single" w:color="000000" w:sz="4" w:space="0"/>
              <w:right w:val="single" w:color="000000" w:sz="4" w:space="0"/>
            </w:tcBorders>
            <w:noWrap w:val="0"/>
            <w:vAlign w:val="center"/>
          </w:tcPr>
          <w:p w14:paraId="4B068E6A">
            <w:pPr>
              <w:keepNext w:val="0"/>
              <w:keepLines w:val="0"/>
              <w:pageBreakBefore w:val="0"/>
              <w:widowControl/>
              <w:suppressLineNumbers w:val="0"/>
              <w:spacing w:before="0" w:beforeAutospacing="0" w:after="0" w:afterAutospacing="0" w:line="440" w:lineRule="exact"/>
              <w:ind w:left="0" w:right="0"/>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项</w:t>
            </w:r>
          </w:p>
        </w:tc>
        <w:tc>
          <w:tcPr>
            <w:tcW w:w="1463" w:type="dxa"/>
            <w:tcBorders>
              <w:top w:val="single" w:color="000000" w:sz="4" w:space="0"/>
              <w:left w:val="nil"/>
              <w:bottom w:val="single" w:color="000000" w:sz="4" w:space="0"/>
              <w:right w:val="single" w:color="000000" w:sz="4" w:space="0"/>
            </w:tcBorders>
            <w:noWrap w:val="0"/>
            <w:vAlign w:val="center"/>
          </w:tcPr>
          <w:p w14:paraId="5B32E593">
            <w:pPr>
              <w:keepNext w:val="0"/>
              <w:keepLines w:val="0"/>
              <w:pageBreakBefore w:val="0"/>
              <w:widowControl/>
              <w:suppressLineNumbers w:val="0"/>
              <w:spacing w:before="0" w:beforeAutospacing="0" w:after="0" w:afterAutospacing="0" w:line="440" w:lineRule="exact"/>
              <w:ind w:left="0" w:right="0"/>
              <w:jc w:val="both"/>
              <w:rPr>
                <w:rFonts w:hint="eastAsia" w:ascii="宋体" w:hAnsi="宋体" w:eastAsia="宋体" w:cs="宋体"/>
                <w:color w:val="000000" w:themeColor="text1"/>
                <w:sz w:val="24"/>
                <w:szCs w:val="24"/>
                <w:highlight w:val="none"/>
                <w:lang w:val="en-US" w:eastAsia="zh-CN"/>
                <w14:textFill>
                  <w14:solidFill>
                    <w14:schemeClr w14:val="tx1"/>
                  </w14:solidFill>
                </w14:textFill>
              </w:rPr>
            </w:pPr>
          </w:p>
        </w:tc>
      </w:tr>
      <w:tr w14:paraId="58627C2E">
        <w:tblPrEx>
          <w:tblCellMar>
            <w:top w:w="0" w:type="dxa"/>
            <w:left w:w="108" w:type="dxa"/>
            <w:bottom w:w="0" w:type="dxa"/>
            <w:right w:w="108" w:type="dxa"/>
          </w:tblCellMar>
        </w:tblPrEx>
        <w:trPr>
          <w:trHeight w:val="1176" w:hRule="atLeast"/>
          <w:jc w:val="center"/>
        </w:trPr>
        <w:tc>
          <w:tcPr>
            <w:tcW w:w="939" w:type="dxa"/>
            <w:tcBorders>
              <w:top w:val="single" w:color="000000" w:sz="4" w:space="0"/>
              <w:left w:val="single" w:color="000000" w:sz="4" w:space="0"/>
              <w:bottom w:val="single" w:color="000000" w:sz="4" w:space="0"/>
              <w:right w:val="single" w:color="000000" w:sz="4" w:space="0"/>
            </w:tcBorders>
            <w:noWrap w:val="0"/>
            <w:vAlign w:val="center"/>
          </w:tcPr>
          <w:p w14:paraId="2F4AADA1">
            <w:pPr>
              <w:keepNext w:val="0"/>
              <w:keepLines w:val="0"/>
              <w:pageBreakBefore w:val="0"/>
              <w:widowControl/>
              <w:suppressLineNumbers w:val="0"/>
              <w:spacing w:before="0" w:beforeAutospacing="0" w:after="0" w:afterAutospacing="0" w:line="440" w:lineRule="exact"/>
              <w:ind w:left="0" w:right="0"/>
              <w:jc w:val="center"/>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w:t>
            </w:r>
            <w:r>
              <w:rPr>
                <w:rFonts w:hint="eastAsia" w:ascii="宋体" w:hAnsi="宋体" w:eastAsia="宋体" w:cs="宋体"/>
                <w:color w:val="000000" w:themeColor="text1"/>
                <w:szCs w:val="21"/>
                <w:highlight w:val="none"/>
                <w:lang w:val="en-US" w:eastAsia="zh-CN"/>
                <w14:textFill>
                  <w14:solidFill>
                    <w14:schemeClr w14:val="tx1"/>
                  </w14:solidFill>
                </w14:textFill>
              </w:rPr>
              <w:t>一</w:t>
            </w:r>
            <w:r>
              <w:rPr>
                <w:rFonts w:hint="eastAsia" w:ascii="宋体" w:hAnsi="宋体" w:eastAsia="宋体" w:cs="宋体"/>
                <w:color w:val="000000" w:themeColor="text1"/>
                <w:szCs w:val="21"/>
                <w:highlight w:val="none"/>
                <w:lang w:eastAsia="zh-CN"/>
                <w14:textFill>
                  <w14:solidFill>
                    <w14:schemeClr w14:val="tx1"/>
                  </w14:solidFill>
                </w14:textFill>
              </w:rPr>
              <w:t>）</w:t>
            </w:r>
          </w:p>
        </w:tc>
        <w:tc>
          <w:tcPr>
            <w:tcW w:w="1821" w:type="dxa"/>
            <w:tcBorders>
              <w:top w:val="single" w:color="000000" w:sz="4" w:space="0"/>
              <w:left w:val="nil"/>
              <w:bottom w:val="single" w:color="000000" w:sz="4" w:space="0"/>
              <w:right w:val="single" w:color="000000" w:sz="4" w:space="0"/>
            </w:tcBorders>
            <w:noWrap w:val="0"/>
            <w:vAlign w:val="center"/>
          </w:tcPr>
          <w:p w14:paraId="3A2EEBDB">
            <w:pPr>
              <w:keepNext w:val="0"/>
              <w:keepLines w:val="0"/>
              <w:pageBreakBefore w:val="0"/>
              <w:widowControl/>
              <w:suppressLineNumbers w:val="0"/>
              <w:spacing w:before="0" w:beforeAutospacing="0" w:after="0" w:afterAutospacing="0" w:line="400" w:lineRule="exact"/>
              <w:ind w:left="0" w:right="0"/>
              <w:jc w:val="cente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日常管网、窨井疏通养护管理</w:t>
            </w:r>
          </w:p>
        </w:tc>
        <w:tc>
          <w:tcPr>
            <w:tcW w:w="4685" w:type="dxa"/>
            <w:tcBorders>
              <w:top w:val="single" w:color="000000" w:sz="4" w:space="0"/>
              <w:left w:val="nil"/>
              <w:bottom w:val="single" w:color="000000" w:sz="4" w:space="0"/>
              <w:right w:val="single" w:color="000000" w:sz="4" w:space="0"/>
            </w:tcBorders>
            <w:noWrap w:val="0"/>
            <w:vAlign w:val="center"/>
          </w:tcPr>
          <w:p w14:paraId="78B902D9">
            <w:pPr>
              <w:keepNext w:val="0"/>
              <w:keepLines w:val="0"/>
              <w:pageBreakBefore w:val="0"/>
              <w:widowControl/>
              <w:suppressLineNumbers w:val="0"/>
              <w:spacing w:before="0" w:beforeAutospacing="0" w:after="0" w:afterAutospacing="0" w:line="440" w:lineRule="exact"/>
              <w:ind w:left="0" w:right="0"/>
              <w:jc w:val="both"/>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包括市级移交的支管网，主管网由市污水处理厂实施，不在本项目范围内。</w:t>
            </w:r>
          </w:p>
        </w:tc>
        <w:tc>
          <w:tcPr>
            <w:tcW w:w="1009" w:type="dxa"/>
            <w:tcBorders>
              <w:top w:val="single" w:color="000000" w:sz="4" w:space="0"/>
              <w:left w:val="nil"/>
              <w:bottom w:val="single" w:color="000000" w:sz="4" w:space="0"/>
              <w:right w:val="single" w:color="000000" w:sz="4" w:space="0"/>
            </w:tcBorders>
            <w:noWrap w:val="0"/>
            <w:vAlign w:val="center"/>
          </w:tcPr>
          <w:p w14:paraId="5E7A9459">
            <w:pPr>
              <w:keepNext w:val="0"/>
              <w:keepLines w:val="0"/>
              <w:pageBreakBefore w:val="0"/>
              <w:widowControl/>
              <w:suppressLineNumbers w:val="0"/>
              <w:spacing w:before="0" w:beforeAutospacing="0" w:after="0" w:afterAutospacing="0" w:line="440" w:lineRule="exact"/>
              <w:ind w:left="0" w:right="0"/>
              <w:jc w:val="cente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p>
        </w:tc>
        <w:tc>
          <w:tcPr>
            <w:tcW w:w="1463" w:type="dxa"/>
            <w:tcBorders>
              <w:top w:val="single" w:color="000000" w:sz="4" w:space="0"/>
              <w:left w:val="nil"/>
              <w:bottom w:val="single" w:color="000000" w:sz="4" w:space="0"/>
              <w:right w:val="single" w:color="000000" w:sz="4" w:space="0"/>
            </w:tcBorders>
            <w:noWrap w:val="0"/>
            <w:vAlign w:val="center"/>
          </w:tcPr>
          <w:p w14:paraId="171072F8">
            <w:pPr>
              <w:keepNext w:val="0"/>
              <w:keepLines w:val="0"/>
              <w:pageBreakBefore w:val="0"/>
              <w:widowControl/>
              <w:suppressLineNumbers w:val="0"/>
              <w:spacing w:before="0" w:beforeAutospacing="0" w:after="0" w:afterAutospacing="0" w:line="440" w:lineRule="exact"/>
              <w:ind w:left="0" w:right="0"/>
              <w:jc w:val="cente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p>
        </w:tc>
      </w:tr>
      <w:tr w14:paraId="5DDE14D7">
        <w:tblPrEx>
          <w:tblCellMar>
            <w:top w:w="0" w:type="dxa"/>
            <w:left w:w="108" w:type="dxa"/>
            <w:bottom w:w="0" w:type="dxa"/>
            <w:right w:w="108" w:type="dxa"/>
          </w:tblCellMar>
        </w:tblPrEx>
        <w:trPr>
          <w:trHeight w:val="1068" w:hRule="atLeast"/>
          <w:jc w:val="center"/>
        </w:trPr>
        <w:tc>
          <w:tcPr>
            <w:tcW w:w="939" w:type="dxa"/>
            <w:tcBorders>
              <w:top w:val="nil"/>
              <w:left w:val="single" w:color="000000" w:sz="4" w:space="0"/>
              <w:bottom w:val="single" w:color="000000" w:sz="4" w:space="0"/>
              <w:right w:val="single" w:color="000000" w:sz="4" w:space="0"/>
            </w:tcBorders>
            <w:noWrap w:val="0"/>
            <w:vAlign w:val="center"/>
          </w:tcPr>
          <w:p w14:paraId="6C248E5B">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w:t>
            </w:r>
          </w:p>
        </w:tc>
        <w:tc>
          <w:tcPr>
            <w:tcW w:w="1821" w:type="dxa"/>
            <w:tcBorders>
              <w:top w:val="nil"/>
              <w:left w:val="nil"/>
              <w:bottom w:val="single" w:color="000000" w:sz="4" w:space="0"/>
              <w:right w:val="single" w:color="000000" w:sz="4" w:space="0"/>
            </w:tcBorders>
            <w:noWrap w:val="0"/>
            <w:vAlign w:val="center"/>
          </w:tcPr>
          <w:p w14:paraId="57A00176">
            <w:pPr>
              <w:keepNext w:val="0"/>
              <w:keepLines w:val="0"/>
              <w:widowControl/>
              <w:suppressLineNumbers w:val="0"/>
              <w:spacing w:before="0" w:beforeAutospacing="0" w:after="0" w:afterAutospacing="0"/>
              <w:ind w:left="0" w:right="0"/>
              <w:jc w:val="lef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Cs w:val="21"/>
                <w:highlight w:val="none"/>
                <w14:textFill>
                  <w14:solidFill>
                    <w14:schemeClr w14:val="tx1"/>
                  </w14:solidFill>
                </w14:textFill>
              </w:rPr>
              <w:t>De110管道疏通</w:t>
            </w:r>
          </w:p>
        </w:tc>
        <w:tc>
          <w:tcPr>
            <w:tcW w:w="4685" w:type="dxa"/>
            <w:tcBorders>
              <w:top w:val="nil"/>
              <w:left w:val="nil"/>
              <w:bottom w:val="single" w:color="000000" w:sz="4" w:space="0"/>
              <w:right w:val="single" w:color="000000" w:sz="4" w:space="0"/>
            </w:tcBorders>
            <w:noWrap w:val="0"/>
            <w:vAlign w:val="center"/>
          </w:tcPr>
          <w:p w14:paraId="6D7C4A37">
            <w:pPr>
              <w:keepNext w:val="0"/>
              <w:keepLines w:val="0"/>
              <w:widowControl/>
              <w:numPr>
                <w:ilvl w:val="0"/>
                <w:numId w:val="0"/>
              </w:numPr>
              <w:suppressLineNumbers w:val="0"/>
              <w:spacing w:before="0" w:beforeAutospacing="0" w:after="0" w:afterAutospacing="0"/>
              <w:ind w:left="0" w:right="0"/>
              <w:jc w:val="left"/>
              <w:rPr>
                <w:rFonts w:hint="eastAsia" w:ascii="宋体" w:hAnsi="宋体" w:eastAsia="宋体" w:cs="宋体"/>
                <w:b w:val="0"/>
                <w:bCs w:val="0"/>
                <w:color w:val="000000" w:themeColor="text1"/>
                <w:szCs w:val="21"/>
                <w:highlight w:val="none"/>
                <w14:textFill>
                  <w14:solidFill>
                    <w14:schemeClr w14:val="tx1"/>
                  </w14:solidFill>
                </w14:textFill>
              </w:rPr>
            </w:pP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1、</w:t>
            </w:r>
            <w:r>
              <w:rPr>
                <w:rFonts w:hint="eastAsia" w:ascii="宋体" w:hAnsi="宋体" w:eastAsia="宋体" w:cs="宋体"/>
                <w:b w:val="0"/>
                <w:bCs w:val="0"/>
                <w:color w:val="000000" w:themeColor="text1"/>
                <w:szCs w:val="21"/>
                <w:highlight w:val="none"/>
                <w14:textFill>
                  <w14:solidFill>
                    <w14:schemeClr w14:val="tx1"/>
                  </w14:solidFill>
                </w14:textFill>
              </w:rPr>
              <w:t>疏通管道</w:t>
            </w:r>
            <w:r>
              <w:rPr>
                <w:rFonts w:hint="eastAsia" w:ascii="宋体" w:hAnsi="宋体" w:eastAsia="宋体" w:cs="宋体"/>
                <w:b w:val="0"/>
                <w:bCs w:val="0"/>
                <w:color w:val="000000" w:themeColor="text1"/>
                <w:szCs w:val="21"/>
                <w:highlight w:val="none"/>
                <w14:textFill>
                  <w14:solidFill>
                    <w14:schemeClr w14:val="tx1"/>
                  </w14:solidFill>
                </w14:textFill>
              </w:rPr>
              <w:br w:type="textWrapping"/>
            </w: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2、</w:t>
            </w:r>
            <w:r>
              <w:rPr>
                <w:rFonts w:hint="eastAsia" w:ascii="宋体" w:hAnsi="宋体" w:eastAsia="宋体" w:cs="宋体"/>
                <w:b w:val="0"/>
                <w:bCs w:val="0"/>
                <w:color w:val="000000" w:themeColor="text1"/>
                <w:szCs w:val="21"/>
                <w:highlight w:val="none"/>
                <w14:textFill>
                  <w14:solidFill>
                    <w14:schemeClr w14:val="tx1"/>
                  </w14:solidFill>
                </w14:textFill>
              </w:rPr>
              <w:t>安放安全设施、安放绞车、启闭井盖、打竹片、引钢丝绳绞拉、抽水管冲管</w:t>
            </w:r>
          </w:p>
          <w:p w14:paraId="76214DEC">
            <w:pPr>
              <w:keepNext w:val="0"/>
              <w:keepLines w:val="0"/>
              <w:widowControl/>
              <w:numPr>
                <w:ilvl w:val="0"/>
                <w:numId w:val="0"/>
              </w:numPr>
              <w:suppressLineNumbers w:val="0"/>
              <w:spacing w:before="0" w:beforeAutospacing="0" w:after="0" w:afterAutospacing="0"/>
              <w:ind w:left="0" w:right="0"/>
              <w:jc w:val="lef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Cs w:val="21"/>
                <w:highlight w:val="none"/>
                <w14:textFill>
                  <w14:solidFill>
                    <w14:schemeClr w14:val="tx1"/>
                  </w14:solidFill>
                </w14:textFill>
              </w:rPr>
              <w:t>3、清理场地</w:t>
            </w:r>
          </w:p>
        </w:tc>
        <w:tc>
          <w:tcPr>
            <w:tcW w:w="1009" w:type="dxa"/>
            <w:tcBorders>
              <w:top w:val="nil"/>
              <w:left w:val="nil"/>
              <w:bottom w:val="single" w:color="000000" w:sz="4" w:space="0"/>
              <w:right w:val="single" w:color="000000" w:sz="4" w:space="0"/>
            </w:tcBorders>
            <w:noWrap w:val="0"/>
            <w:vAlign w:val="center"/>
          </w:tcPr>
          <w:p w14:paraId="0B8DBAEE">
            <w:pPr>
              <w:keepNext w:val="0"/>
              <w:keepLines w:val="0"/>
              <w:widowControl/>
              <w:suppressLineNumbers w:val="0"/>
              <w:spacing w:before="0" w:beforeAutospacing="0" w:after="0" w:afterAutospacing="0"/>
              <w:ind w:left="0" w:right="0"/>
              <w:jc w:val="center"/>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Cs w:val="21"/>
                <w:highlight w:val="none"/>
                <w14:textFill>
                  <w14:solidFill>
                    <w14:schemeClr w14:val="tx1"/>
                  </w14:solidFill>
                </w14:textFill>
              </w:rPr>
              <w:t>m</w:t>
            </w:r>
          </w:p>
        </w:tc>
        <w:tc>
          <w:tcPr>
            <w:tcW w:w="1463" w:type="dxa"/>
            <w:tcBorders>
              <w:top w:val="nil"/>
              <w:left w:val="nil"/>
              <w:bottom w:val="single" w:color="000000" w:sz="4" w:space="0"/>
              <w:right w:val="single" w:color="000000" w:sz="4" w:space="0"/>
            </w:tcBorders>
            <w:noWrap w:val="0"/>
            <w:vAlign w:val="center"/>
          </w:tcPr>
          <w:p w14:paraId="25BAAE4D">
            <w:pPr>
              <w:keepNext w:val="0"/>
              <w:keepLines w:val="0"/>
              <w:widowControl/>
              <w:suppressLineNumbers w:val="0"/>
              <w:spacing w:before="0" w:beforeAutospacing="0" w:after="0" w:afterAutospacing="0"/>
              <w:ind w:left="0" w:right="0"/>
              <w:jc w:val="cente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Cs w:val="21"/>
                <w:highlight w:val="none"/>
                <w14:textFill>
                  <w14:solidFill>
                    <w14:schemeClr w14:val="tx1"/>
                  </w14:solidFill>
                </w14:textFill>
              </w:rPr>
              <w:t>6.31</w:t>
            </w:r>
          </w:p>
        </w:tc>
      </w:tr>
      <w:tr w14:paraId="38B0BE7D">
        <w:tblPrEx>
          <w:tblCellMar>
            <w:top w:w="0" w:type="dxa"/>
            <w:left w:w="108" w:type="dxa"/>
            <w:bottom w:w="0" w:type="dxa"/>
            <w:right w:w="108" w:type="dxa"/>
          </w:tblCellMar>
        </w:tblPrEx>
        <w:trPr>
          <w:trHeight w:val="1453" w:hRule="atLeast"/>
          <w:jc w:val="center"/>
        </w:trPr>
        <w:tc>
          <w:tcPr>
            <w:tcW w:w="939" w:type="dxa"/>
            <w:tcBorders>
              <w:top w:val="single" w:color="000000" w:sz="4" w:space="0"/>
              <w:left w:val="single" w:color="000000" w:sz="4" w:space="0"/>
              <w:bottom w:val="single" w:color="000000" w:sz="4" w:space="0"/>
              <w:right w:val="single" w:color="000000" w:sz="4" w:space="0"/>
            </w:tcBorders>
            <w:noWrap w:val="0"/>
            <w:vAlign w:val="center"/>
          </w:tcPr>
          <w:p w14:paraId="63AA02B4">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2</w:t>
            </w:r>
          </w:p>
        </w:tc>
        <w:tc>
          <w:tcPr>
            <w:tcW w:w="1821" w:type="dxa"/>
            <w:tcBorders>
              <w:top w:val="single" w:color="000000" w:sz="4" w:space="0"/>
              <w:left w:val="nil"/>
              <w:bottom w:val="single" w:color="000000" w:sz="4" w:space="0"/>
              <w:right w:val="single" w:color="000000" w:sz="4" w:space="0"/>
            </w:tcBorders>
            <w:noWrap w:val="0"/>
            <w:vAlign w:val="center"/>
          </w:tcPr>
          <w:p w14:paraId="4A4982B3">
            <w:pPr>
              <w:keepNext w:val="0"/>
              <w:keepLines w:val="0"/>
              <w:widowControl/>
              <w:suppressLineNumbers w:val="0"/>
              <w:spacing w:before="0" w:beforeAutospacing="0" w:after="0" w:afterAutospacing="0"/>
              <w:ind w:left="0" w:right="0"/>
              <w:jc w:val="lef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Cs w:val="21"/>
                <w:highlight w:val="none"/>
                <w14:textFill>
                  <w14:solidFill>
                    <w14:schemeClr w14:val="tx1"/>
                  </w14:solidFill>
                </w14:textFill>
              </w:rPr>
              <w:t>De200管道疏通</w:t>
            </w:r>
          </w:p>
        </w:tc>
        <w:tc>
          <w:tcPr>
            <w:tcW w:w="4685" w:type="dxa"/>
            <w:tcBorders>
              <w:top w:val="single" w:color="000000" w:sz="4" w:space="0"/>
              <w:left w:val="nil"/>
              <w:bottom w:val="single" w:color="000000" w:sz="4" w:space="0"/>
              <w:right w:val="single" w:color="000000" w:sz="4" w:space="0"/>
            </w:tcBorders>
            <w:noWrap w:val="0"/>
            <w:vAlign w:val="center"/>
          </w:tcPr>
          <w:p w14:paraId="42B16902">
            <w:pPr>
              <w:keepNext w:val="0"/>
              <w:keepLines w:val="0"/>
              <w:widowControl/>
              <w:suppressLineNumbers w:val="0"/>
              <w:spacing w:before="0" w:beforeAutospacing="0" w:after="0" w:afterAutospacing="0"/>
              <w:ind w:left="0" w:right="0"/>
              <w:jc w:val="lef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Cs w:val="21"/>
                <w:highlight w:val="none"/>
                <w14:textFill>
                  <w14:solidFill>
                    <w14:schemeClr w14:val="tx1"/>
                  </w14:solidFill>
                </w14:textFill>
              </w:rPr>
              <w:t>1、疏通管道</w:t>
            </w:r>
            <w:r>
              <w:rPr>
                <w:rFonts w:hint="eastAsia" w:ascii="宋体" w:hAnsi="宋体" w:eastAsia="宋体" w:cs="宋体"/>
                <w:b w:val="0"/>
                <w:bCs w:val="0"/>
                <w:color w:val="000000" w:themeColor="text1"/>
                <w:szCs w:val="21"/>
                <w:highlight w:val="none"/>
                <w14:textFill>
                  <w14:solidFill>
                    <w14:schemeClr w14:val="tx1"/>
                  </w14:solidFill>
                </w14:textFill>
              </w:rPr>
              <w:br w:type="textWrapping"/>
            </w:r>
            <w:r>
              <w:rPr>
                <w:rFonts w:hint="eastAsia" w:ascii="宋体" w:hAnsi="宋体" w:eastAsia="宋体" w:cs="宋体"/>
                <w:b w:val="0"/>
                <w:bCs w:val="0"/>
                <w:color w:val="000000" w:themeColor="text1"/>
                <w:szCs w:val="21"/>
                <w:highlight w:val="none"/>
                <w14:textFill>
                  <w14:solidFill>
                    <w14:schemeClr w14:val="tx1"/>
                  </w14:solidFill>
                </w14:textFill>
              </w:rPr>
              <w:t xml:space="preserve">2、安放安全设施、安放绞车、启闭井盖、打竹片、引钢丝绳绞拉、抽水管冲管                            3、清理场地                                                 </w:t>
            </w:r>
          </w:p>
        </w:tc>
        <w:tc>
          <w:tcPr>
            <w:tcW w:w="1009" w:type="dxa"/>
            <w:tcBorders>
              <w:top w:val="single" w:color="000000" w:sz="4" w:space="0"/>
              <w:left w:val="nil"/>
              <w:bottom w:val="single" w:color="000000" w:sz="4" w:space="0"/>
              <w:right w:val="single" w:color="000000" w:sz="4" w:space="0"/>
            </w:tcBorders>
            <w:noWrap w:val="0"/>
            <w:vAlign w:val="center"/>
          </w:tcPr>
          <w:p w14:paraId="6ED481C4">
            <w:pPr>
              <w:keepNext w:val="0"/>
              <w:keepLines w:val="0"/>
              <w:widowControl/>
              <w:suppressLineNumbers w:val="0"/>
              <w:spacing w:before="0" w:beforeAutospacing="0" w:after="0" w:afterAutospacing="0"/>
              <w:ind w:left="0" w:right="0"/>
              <w:jc w:val="center"/>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Cs w:val="21"/>
                <w:highlight w:val="none"/>
                <w14:textFill>
                  <w14:solidFill>
                    <w14:schemeClr w14:val="tx1"/>
                  </w14:solidFill>
                </w14:textFill>
              </w:rPr>
              <w:t>m</w:t>
            </w:r>
          </w:p>
        </w:tc>
        <w:tc>
          <w:tcPr>
            <w:tcW w:w="1463" w:type="dxa"/>
            <w:tcBorders>
              <w:top w:val="single" w:color="000000" w:sz="4" w:space="0"/>
              <w:left w:val="nil"/>
              <w:bottom w:val="single" w:color="000000" w:sz="4" w:space="0"/>
              <w:right w:val="single" w:color="000000" w:sz="4" w:space="0"/>
            </w:tcBorders>
            <w:noWrap w:val="0"/>
            <w:vAlign w:val="center"/>
          </w:tcPr>
          <w:p w14:paraId="70CB4191">
            <w:pPr>
              <w:keepNext w:val="0"/>
              <w:keepLines w:val="0"/>
              <w:widowControl/>
              <w:suppressLineNumbers w:val="0"/>
              <w:spacing w:before="0" w:beforeAutospacing="0" w:after="0" w:afterAutospacing="0"/>
              <w:ind w:left="0" w:right="0"/>
              <w:jc w:val="cente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Cs w:val="21"/>
                <w:highlight w:val="none"/>
                <w14:textFill>
                  <w14:solidFill>
                    <w14:schemeClr w14:val="tx1"/>
                  </w14:solidFill>
                </w14:textFill>
              </w:rPr>
              <w:t>6.31</w:t>
            </w:r>
          </w:p>
        </w:tc>
      </w:tr>
      <w:tr w14:paraId="237FCCDD">
        <w:tblPrEx>
          <w:tblCellMar>
            <w:top w:w="0" w:type="dxa"/>
            <w:left w:w="108" w:type="dxa"/>
            <w:bottom w:w="0" w:type="dxa"/>
            <w:right w:w="108" w:type="dxa"/>
          </w:tblCellMar>
        </w:tblPrEx>
        <w:trPr>
          <w:trHeight w:val="1089" w:hRule="atLeast"/>
          <w:jc w:val="center"/>
        </w:trPr>
        <w:tc>
          <w:tcPr>
            <w:tcW w:w="939" w:type="dxa"/>
            <w:tcBorders>
              <w:top w:val="nil"/>
              <w:left w:val="single" w:color="000000" w:sz="4" w:space="0"/>
              <w:bottom w:val="single" w:color="000000" w:sz="4" w:space="0"/>
              <w:right w:val="single" w:color="000000" w:sz="4" w:space="0"/>
            </w:tcBorders>
            <w:noWrap w:val="0"/>
            <w:vAlign w:val="center"/>
          </w:tcPr>
          <w:p w14:paraId="4952AABF">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3</w:t>
            </w:r>
          </w:p>
        </w:tc>
        <w:tc>
          <w:tcPr>
            <w:tcW w:w="1821" w:type="dxa"/>
            <w:tcBorders>
              <w:top w:val="nil"/>
              <w:left w:val="nil"/>
              <w:bottom w:val="single" w:color="000000" w:sz="4" w:space="0"/>
              <w:right w:val="single" w:color="000000" w:sz="4" w:space="0"/>
            </w:tcBorders>
            <w:noWrap w:val="0"/>
            <w:vAlign w:val="center"/>
          </w:tcPr>
          <w:p w14:paraId="3C5BB6E9">
            <w:pPr>
              <w:keepNext w:val="0"/>
              <w:keepLines w:val="0"/>
              <w:widowControl/>
              <w:suppressLineNumbers w:val="0"/>
              <w:spacing w:before="0" w:beforeAutospacing="0" w:after="0" w:afterAutospacing="0"/>
              <w:ind w:left="0" w:right="0"/>
              <w:jc w:val="lef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Cs w:val="21"/>
                <w:highlight w:val="none"/>
                <w14:textFill>
                  <w14:solidFill>
                    <w14:schemeClr w14:val="tx1"/>
                  </w14:solidFill>
                </w14:textFill>
              </w:rPr>
              <w:t>De315管道疏通</w:t>
            </w:r>
          </w:p>
        </w:tc>
        <w:tc>
          <w:tcPr>
            <w:tcW w:w="4685" w:type="dxa"/>
            <w:tcBorders>
              <w:top w:val="nil"/>
              <w:left w:val="nil"/>
              <w:bottom w:val="single" w:color="000000" w:sz="4" w:space="0"/>
              <w:right w:val="single" w:color="000000" w:sz="4" w:space="0"/>
            </w:tcBorders>
            <w:noWrap w:val="0"/>
            <w:vAlign w:val="center"/>
          </w:tcPr>
          <w:p w14:paraId="0FCA0020">
            <w:pPr>
              <w:keepNext w:val="0"/>
              <w:keepLines w:val="0"/>
              <w:widowControl/>
              <w:suppressLineNumbers w:val="0"/>
              <w:spacing w:before="0" w:beforeAutospacing="0" w:after="0" w:afterAutospacing="0"/>
              <w:ind w:left="0" w:right="0"/>
              <w:jc w:val="lef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Cs w:val="21"/>
                <w:highlight w:val="none"/>
                <w14:textFill>
                  <w14:solidFill>
                    <w14:schemeClr w14:val="tx1"/>
                  </w14:solidFill>
                </w14:textFill>
              </w:rPr>
              <w:t>1、疏通管道</w:t>
            </w:r>
            <w:r>
              <w:rPr>
                <w:rFonts w:hint="eastAsia" w:ascii="宋体" w:hAnsi="宋体" w:eastAsia="宋体" w:cs="宋体"/>
                <w:b w:val="0"/>
                <w:bCs w:val="0"/>
                <w:color w:val="000000" w:themeColor="text1"/>
                <w:szCs w:val="21"/>
                <w:highlight w:val="none"/>
                <w14:textFill>
                  <w14:solidFill>
                    <w14:schemeClr w14:val="tx1"/>
                  </w14:solidFill>
                </w14:textFill>
              </w:rPr>
              <w:br w:type="textWrapping"/>
            </w:r>
            <w:r>
              <w:rPr>
                <w:rFonts w:hint="eastAsia" w:ascii="宋体" w:hAnsi="宋体" w:eastAsia="宋体" w:cs="宋体"/>
                <w:b w:val="0"/>
                <w:bCs w:val="0"/>
                <w:color w:val="000000" w:themeColor="text1"/>
                <w:szCs w:val="21"/>
                <w:highlight w:val="none"/>
                <w14:textFill>
                  <w14:solidFill>
                    <w14:schemeClr w14:val="tx1"/>
                  </w14:solidFill>
                </w14:textFill>
              </w:rPr>
              <w:t xml:space="preserve">2、安放安全设施、安放绞车、启闭井盖、打竹片、引钢丝绳绞拉、抽水管冲管               3、清理场地                                                                                  </w:t>
            </w:r>
          </w:p>
        </w:tc>
        <w:tc>
          <w:tcPr>
            <w:tcW w:w="1009" w:type="dxa"/>
            <w:tcBorders>
              <w:top w:val="nil"/>
              <w:left w:val="nil"/>
              <w:bottom w:val="single" w:color="000000" w:sz="4" w:space="0"/>
              <w:right w:val="single" w:color="000000" w:sz="4" w:space="0"/>
            </w:tcBorders>
            <w:noWrap w:val="0"/>
            <w:vAlign w:val="center"/>
          </w:tcPr>
          <w:p w14:paraId="4ECEDACD">
            <w:pPr>
              <w:keepNext w:val="0"/>
              <w:keepLines w:val="0"/>
              <w:widowControl/>
              <w:suppressLineNumbers w:val="0"/>
              <w:spacing w:before="0" w:beforeAutospacing="0" w:after="0" w:afterAutospacing="0"/>
              <w:ind w:left="0" w:right="0"/>
              <w:jc w:val="center"/>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Cs w:val="21"/>
                <w:highlight w:val="none"/>
                <w14:textFill>
                  <w14:solidFill>
                    <w14:schemeClr w14:val="tx1"/>
                  </w14:solidFill>
                </w14:textFill>
              </w:rPr>
              <w:t>m</w:t>
            </w:r>
          </w:p>
        </w:tc>
        <w:tc>
          <w:tcPr>
            <w:tcW w:w="1463" w:type="dxa"/>
            <w:tcBorders>
              <w:top w:val="nil"/>
              <w:left w:val="nil"/>
              <w:bottom w:val="single" w:color="000000" w:sz="4" w:space="0"/>
              <w:right w:val="single" w:color="000000" w:sz="4" w:space="0"/>
            </w:tcBorders>
            <w:noWrap w:val="0"/>
            <w:vAlign w:val="center"/>
          </w:tcPr>
          <w:p w14:paraId="4E6E5FAF">
            <w:pPr>
              <w:keepNext w:val="0"/>
              <w:keepLines w:val="0"/>
              <w:widowControl/>
              <w:suppressLineNumbers w:val="0"/>
              <w:spacing w:before="0" w:beforeAutospacing="0" w:after="0" w:afterAutospacing="0"/>
              <w:ind w:left="0" w:right="0"/>
              <w:jc w:val="cente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Cs w:val="21"/>
                <w:highlight w:val="none"/>
                <w14:textFill>
                  <w14:solidFill>
                    <w14:schemeClr w14:val="tx1"/>
                  </w14:solidFill>
                </w14:textFill>
              </w:rPr>
              <w:t>7.1</w:t>
            </w: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0</w:t>
            </w:r>
          </w:p>
        </w:tc>
      </w:tr>
      <w:tr w14:paraId="2EBCB0BC">
        <w:tblPrEx>
          <w:tblCellMar>
            <w:top w:w="0" w:type="dxa"/>
            <w:left w:w="108" w:type="dxa"/>
            <w:bottom w:w="0" w:type="dxa"/>
            <w:right w:w="108" w:type="dxa"/>
          </w:tblCellMar>
        </w:tblPrEx>
        <w:trPr>
          <w:trHeight w:val="1001" w:hRule="atLeast"/>
          <w:jc w:val="center"/>
        </w:trPr>
        <w:tc>
          <w:tcPr>
            <w:tcW w:w="939" w:type="dxa"/>
            <w:tcBorders>
              <w:top w:val="nil"/>
              <w:left w:val="single" w:color="000000" w:sz="4" w:space="0"/>
              <w:bottom w:val="single" w:color="000000" w:sz="4" w:space="0"/>
              <w:right w:val="single" w:color="000000" w:sz="4" w:space="0"/>
            </w:tcBorders>
            <w:noWrap w:val="0"/>
            <w:vAlign w:val="center"/>
          </w:tcPr>
          <w:p w14:paraId="7BAB6E24">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4</w:t>
            </w:r>
          </w:p>
        </w:tc>
        <w:tc>
          <w:tcPr>
            <w:tcW w:w="1821" w:type="dxa"/>
            <w:tcBorders>
              <w:top w:val="nil"/>
              <w:left w:val="nil"/>
              <w:bottom w:val="single" w:color="000000" w:sz="4" w:space="0"/>
              <w:right w:val="single" w:color="000000" w:sz="4" w:space="0"/>
            </w:tcBorders>
            <w:noWrap w:val="0"/>
            <w:vAlign w:val="center"/>
          </w:tcPr>
          <w:p w14:paraId="1CFBC142">
            <w:pPr>
              <w:keepNext w:val="0"/>
              <w:keepLines w:val="0"/>
              <w:widowControl/>
              <w:suppressLineNumbers w:val="0"/>
              <w:spacing w:before="0" w:beforeAutospacing="0" w:after="0" w:afterAutospacing="0"/>
              <w:ind w:left="0" w:right="0"/>
              <w:jc w:val="lef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Cs w:val="21"/>
                <w:highlight w:val="none"/>
                <w14:textFill>
                  <w14:solidFill>
                    <w14:schemeClr w14:val="tx1"/>
                  </w14:solidFill>
                </w14:textFill>
              </w:rPr>
              <w:t>De400管道疏通</w:t>
            </w:r>
          </w:p>
        </w:tc>
        <w:tc>
          <w:tcPr>
            <w:tcW w:w="4685" w:type="dxa"/>
            <w:tcBorders>
              <w:top w:val="nil"/>
              <w:left w:val="nil"/>
              <w:bottom w:val="single" w:color="000000" w:sz="4" w:space="0"/>
              <w:right w:val="single" w:color="000000" w:sz="4" w:space="0"/>
            </w:tcBorders>
            <w:noWrap w:val="0"/>
            <w:vAlign w:val="center"/>
          </w:tcPr>
          <w:p w14:paraId="111A650D">
            <w:pPr>
              <w:keepNext w:val="0"/>
              <w:keepLines w:val="0"/>
              <w:widowControl/>
              <w:suppressLineNumbers w:val="0"/>
              <w:spacing w:before="0" w:beforeAutospacing="0" w:after="0" w:afterAutospacing="0"/>
              <w:ind w:left="0" w:right="0"/>
              <w:jc w:val="lef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Cs w:val="21"/>
                <w:highlight w:val="none"/>
                <w14:textFill>
                  <w14:solidFill>
                    <w14:schemeClr w14:val="tx1"/>
                  </w14:solidFill>
                </w14:textFill>
              </w:rPr>
              <w:t>1、疏通管道、局部管道破坏修复</w:t>
            </w:r>
            <w:r>
              <w:rPr>
                <w:rFonts w:hint="eastAsia" w:ascii="宋体" w:hAnsi="宋体" w:eastAsia="宋体" w:cs="宋体"/>
                <w:b w:val="0"/>
                <w:bCs w:val="0"/>
                <w:color w:val="000000" w:themeColor="text1"/>
                <w:szCs w:val="21"/>
                <w:highlight w:val="none"/>
                <w14:textFill>
                  <w14:solidFill>
                    <w14:schemeClr w14:val="tx1"/>
                  </w14:solidFill>
                </w14:textFill>
              </w:rPr>
              <w:br w:type="textWrapping"/>
            </w:r>
            <w:r>
              <w:rPr>
                <w:rFonts w:hint="eastAsia" w:ascii="宋体" w:hAnsi="宋体" w:eastAsia="宋体" w:cs="宋体"/>
                <w:b w:val="0"/>
                <w:bCs w:val="0"/>
                <w:color w:val="000000" w:themeColor="text1"/>
                <w:szCs w:val="21"/>
                <w:highlight w:val="none"/>
                <w14:textFill>
                  <w14:solidFill>
                    <w14:schemeClr w14:val="tx1"/>
                  </w14:solidFill>
                </w14:textFill>
              </w:rPr>
              <w:t xml:space="preserve">2、安放安全设施、安放疏通车、启闭井盖、射水引钢丝绳绞拉、清扫场地                                              </w:t>
            </w:r>
          </w:p>
        </w:tc>
        <w:tc>
          <w:tcPr>
            <w:tcW w:w="1009" w:type="dxa"/>
            <w:tcBorders>
              <w:top w:val="nil"/>
              <w:left w:val="nil"/>
              <w:bottom w:val="single" w:color="000000" w:sz="4" w:space="0"/>
              <w:right w:val="single" w:color="000000" w:sz="4" w:space="0"/>
            </w:tcBorders>
            <w:noWrap w:val="0"/>
            <w:vAlign w:val="center"/>
          </w:tcPr>
          <w:p w14:paraId="70030474">
            <w:pPr>
              <w:keepNext w:val="0"/>
              <w:keepLines w:val="0"/>
              <w:widowControl/>
              <w:suppressLineNumbers w:val="0"/>
              <w:spacing w:before="0" w:beforeAutospacing="0" w:after="0" w:afterAutospacing="0"/>
              <w:ind w:left="0" w:right="0"/>
              <w:jc w:val="center"/>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Cs w:val="21"/>
                <w:highlight w:val="none"/>
                <w14:textFill>
                  <w14:solidFill>
                    <w14:schemeClr w14:val="tx1"/>
                  </w14:solidFill>
                </w14:textFill>
              </w:rPr>
              <w:t>m</w:t>
            </w:r>
          </w:p>
        </w:tc>
        <w:tc>
          <w:tcPr>
            <w:tcW w:w="1463" w:type="dxa"/>
            <w:tcBorders>
              <w:top w:val="nil"/>
              <w:left w:val="nil"/>
              <w:bottom w:val="single" w:color="000000" w:sz="4" w:space="0"/>
              <w:right w:val="single" w:color="000000" w:sz="4" w:space="0"/>
            </w:tcBorders>
            <w:noWrap w:val="0"/>
            <w:vAlign w:val="center"/>
          </w:tcPr>
          <w:p w14:paraId="722CE6BA">
            <w:pPr>
              <w:keepNext w:val="0"/>
              <w:keepLines w:val="0"/>
              <w:widowControl/>
              <w:suppressLineNumbers w:val="0"/>
              <w:spacing w:before="0" w:beforeAutospacing="0" w:after="0" w:afterAutospacing="0"/>
              <w:ind w:left="0" w:right="0"/>
              <w:jc w:val="cente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Cs w:val="21"/>
                <w:highlight w:val="none"/>
                <w14:textFill>
                  <w14:solidFill>
                    <w14:schemeClr w14:val="tx1"/>
                  </w14:solidFill>
                </w14:textFill>
              </w:rPr>
              <w:t>8.22</w:t>
            </w:r>
          </w:p>
        </w:tc>
      </w:tr>
      <w:tr w14:paraId="3F4A2FC1">
        <w:tblPrEx>
          <w:tblCellMar>
            <w:top w:w="0" w:type="dxa"/>
            <w:left w:w="108" w:type="dxa"/>
            <w:bottom w:w="0" w:type="dxa"/>
            <w:right w:w="108" w:type="dxa"/>
          </w:tblCellMar>
        </w:tblPrEx>
        <w:trPr>
          <w:trHeight w:val="1205" w:hRule="atLeast"/>
          <w:jc w:val="center"/>
        </w:trPr>
        <w:tc>
          <w:tcPr>
            <w:tcW w:w="939" w:type="dxa"/>
            <w:tcBorders>
              <w:top w:val="nil"/>
              <w:left w:val="single" w:color="000000" w:sz="4" w:space="0"/>
              <w:bottom w:val="single" w:color="000000" w:sz="4" w:space="0"/>
              <w:right w:val="single" w:color="000000" w:sz="4" w:space="0"/>
            </w:tcBorders>
            <w:noWrap w:val="0"/>
            <w:vAlign w:val="center"/>
          </w:tcPr>
          <w:p w14:paraId="4D1950A4">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5</w:t>
            </w:r>
          </w:p>
        </w:tc>
        <w:tc>
          <w:tcPr>
            <w:tcW w:w="1821" w:type="dxa"/>
            <w:tcBorders>
              <w:top w:val="nil"/>
              <w:left w:val="nil"/>
              <w:bottom w:val="single" w:color="000000" w:sz="4" w:space="0"/>
              <w:right w:val="single" w:color="000000" w:sz="4" w:space="0"/>
            </w:tcBorders>
            <w:noWrap w:val="0"/>
            <w:vAlign w:val="center"/>
          </w:tcPr>
          <w:p w14:paraId="07F20037">
            <w:pPr>
              <w:keepNext w:val="0"/>
              <w:keepLines w:val="0"/>
              <w:widowControl/>
              <w:suppressLineNumbers w:val="0"/>
              <w:spacing w:before="0" w:beforeAutospacing="0" w:after="0" w:afterAutospacing="0"/>
              <w:ind w:left="0" w:right="0"/>
              <w:jc w:val="lef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Cs w:val="21"/>
                <w:highlight w:val="none"/>
                <w14:textFill>
                  <w14:solidFill>
                    <w14:schemeClr w14:val="tx1"/>
                  </w14:solidFill>
                </w14:textFill>
              </w:rPr>
              <w:t>De600管道疏通</w:t>
            </w:r>
          </w:p>
        </w:tc>
        <w:tc>
          <w:tcPr>
            <w:tcW w:w="4685" w:type="dxa"/>
            <w:tcBorders>
              <w:top w:val="nil"/>
              <w:left w:val="nil"/>
              <w:bottom w:val="single" w:color="000000" w:sz="4" w:space="0"/>
              <w:right w:val="single" w:color="000000" w:sz="4" w:space="0"/>
            </w:tcBorders>
            <w:noWrap w:val="0"/>
            <w:vAlign w:val="center"/>
          </w:tcPr>
          <w:p w14:paraId="0D10BA1D">
            <w:pPr>
              <w:keepNext w:val="0"/>
              <w:keepLines w:val="0"/>
              <w:widowControl/>
              <w:suppressLineNumbers w:val="0"/>
              <w:spacing w:before="0" w:beforeAutospacing="0" w:after="0" w:afterAutospacing="0"/>
              <w:ind w:left="0" w:right="0"/>
              <w:jc w:val="lef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Cs w:val="21"/>
                <w:highlight w:val="none"/>
                <w14:textFill>
                  <w14:solidFill>
                    <w14:schemeClr w14:val="tx1"/>
                  </w14:solidFill>
                </w14:textFill>
              </w:rPr>
              <w:t>1、疏通管道、局部管道破坏修复</w:t>
            </w:r>
            <w:r>
              <w:rPr>
                <w:rFonts w:hint="eastAsia" w:ascii="宋体" w:hAnsi="宋体" w:eastAsia="宋体" w:cs="宋体"/>
                <w:b w:val="0"/>
                <w:bCs w:val="0"/>
                <w:color w:val="000000" w:themeColor="text1"/>
                <w:szCs w:val="21"/>
                <w:highlight w:val="none"/>
                <w14:textFill>
                  <w14:solidFill>
                    <w14:schemeClr w14:val="tx1"/>
                  </w14:solidFill>
                </w14:textFill>
              </w:rPr>
              <w:br w:type="textWrapping"/>
            </w:r>
            <w:r>
              <w:rPr>
                <w:rFonts w:hint="eastAsia" w:ascii="宋体" w:hAnsi="宋体" w:eastAsia="宋体" w:cs="宋体"/>
                <w:b w:val="0"/>
                <w:bCs w:val="0"/>
                <w:color w:val="000000" w:themeColor="text1"/>
                <w:szCs w:val="21"/>
                <w:highlight w:val="none"/>
                <w14:textFill>
                  <w14:solidFill>
                    <w14:schemeClr w14:val="tx1"/>
                  </w14:solidFill>
                </w14:textFill>
              </w:rPr>
              <w:t xml:space="preserve">2、安放安全设施、安放疏通车、启闭井盖、射水引钢丝绳绞拉、清扫场地                                                 </w:t>
            </w:r>
          </w:p>
        </w:tc>
        <w:tc>
          <w:tcPr>
            <w:tcW w:w="1009" w:type="dxa"/>
            <w:tcBorders>
              <w:top w:val="nil"/>
              <w:left w:val="nil"/>
              <w:bottom w:val="single" w:color="000000" w:sz="4" w:space="0"/>
              <w:right w:val="single" w:color="000000" w:sz="4" w:space="0"/>
            </w:tcBorders>
            <w:noWrap w:val="0"/>
            <w:vAlign w:val="center"/>
          </w:tcPr>
          <w:p w14:paraId="5DCC1ECF">
            <w:pPr>
              <w:keepNext w:val="0"/>
              <w:keepLines w:val="0"/>
              <w:widowControl/>
              <w:suppressLineNumbers w:val="0"/>
              <w:spacing w:before="0" w:beforeAutospacing="0" w:after="0" w:afterAutospacing="0"/>
              <w:ind w:left="0" w:right="0"/>
              <w:jc w:val="center"/>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Cs w:val="21"/>
                <w:highlight w:val="none"/>
                <w14:textFill>
                  <w14:solidFill>
                    <w14:schemeClr w14:val="tx1"/>
                  </w14:solidFill>
                </w14:textFill>
              </w:rPr>
              <w:t>m</w:t>
            </w:r>
          </w:p>
        </w:tc>
        <w:tc>
          <w:tcPr>
            <w:tcW w:w="1463" w:type="dxa"/>
            <w:tcBorders>
              <w:top w:val="nil"/>
              <w:left w:val="nil"/>
              <w:bottom w:val="single" w:color="000000" w:sz="4" w:space="0"/>
              <w:right w:val="single" w:color="000000" w:sz="4" w:space="0"/>
            </w:tcBorders>
            <w:noWrap w:val="0"/>
            <w:vAlign w:val="center"/>
          </w:tcPr>
          <w:p w14:paraId="13418E14">
            <w:pPr>
              <w:keepNext w:val="0"/>
              <w:keepLines w:val="0"/>
              <w:widowControl/>
              <w:suppressLineNumbers w:val="0"/>
              <w:spacing w:before="0" w:beforeAutospacing="0" w:after="0" w:afterAutospacing="0"/>
              <w:ind w:left="0" w:right="0"/>
              <w:jc w:val="cente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Cs w:val="21"/>
                <w:highlight w:val="none"/>
                <w14:textFill>
                  <w14:solidFill>
                    <w14:schemeClr w14:val="tx1"/>
                  </w14:solidFill>
                </w14:textFill>
              </w:rPr>
              <w:t>8.22</w:t>
            </w:r>
          </w:p>
        </w:tc>
      </w:tr>
      <w:tr w14:paraId="2DB197C6">
        <w:tblPrEx>
          <w:tblCellMar>
            <w:top w:w="0" w:type="dxa"/>
            <w:left w:w="108" w:type="dxa"/>
            <w:bottom w:w="0" w:type="dxa"/>
            <w:right w:w="108" w:type="dxa"/>
          </w:tblCellMar>
        </w:tblPrEx>
        <w:trPr>
          <w:trHeight w:val="1205" w:hRule="atLeast"/>
          <w:jc w:val="center"/>
        </w:trPr>
        <w:tc>
          <w:tcPr>
            <w:tcW w:w="939" w:type="dxa"/>
            <w:tcBorders>
              <w:top w:val="nil"/>
              <w:left w:val="single" w:color="000000" w:sz="4" w:space="0"/>
              <w:bottom w:val="single" w:color="000000" w:sz="4" w:space="0"/>
              <w:right w:val="single" w:color="000000" w:sz="4" w:space="0"/>
            </w:tcBorders>
            <w:noWrap w:val="0"/>
            <w:vAlign w:val="center"/>
          </w:tcPr>
          <w:p w14:paraId="77EC06DD">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6</w:t>
            </w:r>
          </w:p>
        </w:tc>
        <w:tc>
          <w:tcPr>
            <w:tcW w:w="1821" w:type="dxa"/>
            <w:tcBorders>
              <w:top w:val="nil"/>
              <w:left w:val="nil"/>
              <w:bottom w:val="single" w:color="000000" w:sz="4" w:space="0"/>
              <w:right w:val="single" w:color="000000" w:sz="4" w:space="0"/>
            </w:tcBorders>
            <w:noWrap w:val="0"/>
            <w:vAlign w:val="center"/>
          </w:tcPr>
          <w:p w14:paraId="681066AB">
            <w:pPr>
              <w:keepNext w:val="0"/>
              <w:keepLines w:val="0"/>
              <w:widowControl/>
              <w:suppressLineNumbers w:val="0"/>
              <w:spacing w:before="0" w:beforeAutospacing="0" w:after="0" w:afterAutospacing="0"/>
              <w:ind w:left="0" w:right="0"/>
              <w:jc w:val="lef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Cs w:val="21"/>
                <w:highlight w:val="none"/>
                <w14:textFill>
                  <w14:solidFill>
                    <w14:schemeClr w14:val="tx1"/>
                  </w14:solidFill>
                </w14:textFill>
              </w:rPr>
              <w:t>530*350 ~350*250雨水边井</w:t>
            </w:r>
          </w:p>
        </w:tc>
        <w:tc>
          <w:tcPr>
            <w:tcW w:w="4685" w:type="dxa"/>
            <w:tcBorders>
              <w:top w:val="nil"/>
              <w:left w:val="nil"/>
              <w:bottom w:val="single" w:color="000000" w:sz="4" w:space="0"/>
              <w:right w:val="single" w:color="000000" w:sz="4" w:space="0"/>
            </w:tcBorders>
            <w:noWrap w:val="0"/>
            <w:vAlign w:val="center"/>
          </w:tcPr>
          <w:p w14:paraId="5CFD1561">
            <w:pPr>
              <w:keepNext w:val="0"/>
              <w:keepLines w:val="0"/>
              <w:widowControl/>
              <w:suppressLineNumbers w:val="0"/>
              <w:spacing w:before="0" w:beforeAutospacing="0" w:after="0" w:afterAutospacing="0"/>
              <w:ind w:left="0" w:right="0"/>
              <w:jc w:val="lef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Cs w:val="21"/>
                <w:highlight w:val="none"/>
                <w14:textFill>
                  <w14:solidFill>
                    <w14:schemeClr w14:val="tx1"/>
                  </w14:solidFill>
                </w14:textFill>
              </w:rPr>
              <w:t>1、清污、清泥</w:t>
            </w:r>
            <w:r>
              <w:rPr>
                <w:rFonts w:hint="eastAsia" w:ascii="宋体" w:hAnsi="宋体" w:eastAsia="宋体" w:cs="宋体"/>
                <w:b w:val="0"/>
                <w:bCs w:val="0"/>
                <w:color w:val="000000" w:themeColor="text1"/>
                <w:szCs w:val="21"/>
                <w:highlight w:val="none"/>
                <w14:textFill>
                  <w14:solidFill>
                    <w14:schemeClr w14:val="tx1"/>
                  </w14:solidFill>
                </w14:textFill>
              </w:rPr>
              <w:br w:type="textWrapping"/>
            </w:r>
            <w:r>
              <w:rPr>
                <w:rFonts w:hint="eastAsia" w:ascii="宋体" w:hAnsi="宋体" w:eastAsia="宋体" w:cs="宋体"/>
                <w:b w:val="0"/>
                <w:bCs w:val="0"/>
                <w:color w:val="000000" w:themeColor="text1"/>
                <w:szCs w:val="21"/>
                <w:highlight w:val="none"/>
                <w14:textFill>
                  <w14:solidFill>
                    <w14:schemeClr w14:val="tx1"/>
                  </w14:solidFill>
                </w14:textFill>
              </w:rPr>
              <w:t>2、安放安全设施、启闭井盖</w:t>
            </w:r>
          </w:p>
        </w:tc>
        <w:tc>
          <w:tcPr>
            <w:tcW w:w="1009" w:type="dxa"/>
            <w:tcBorders>
              <w:top w:val="nil"/>
              <w:left w:val="nil"/>
              <w:bottom w:val="single" w:color="000000" w:sz="4" w:space="0"/>
              <w:right w:val="single" w:color="000000" w:sz="4" w:space="0"/>
            </w:tcBorders>
            <w:noWrap w:val="0"/>
            <w:vAlign w:val="center"/>
          </w:tcPr>
          <w:p w14:paraId="06493118">
            <w:pPr>
              <w:keepNext w:val="0"/>
              <w:keepLines w:val="0"/>
              <w:widowControl/>
              <w:suppressLineNumbers w:val="0"/>
              <w:spacing w:before="0" w:beforeAutospacing="0" w:after="0" w:afterAutospacing="0"/>
              <w:ind w:left="0" w:right="0"/>
              <w:jc w:val="center"/>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Cs w:val="21"/>
                <w:highlight w:val="none"/>
                <w14:textFill>
                  <w14:solidFill>
                    <w14:schemeClr w14:val="tx1"/>
                  </w14:solidFill>
                </w14:textFill>
              </w:rPr>
              <w:t>座</w:t>
            </w:r>
          </w:p>
        </w:tc>
        <w:tc>
          <w:tcPr>
            <w:tcW w:w="1463" w:type="dxa"/>
            <w:tcBorders>
              <w:top w:val="nil"/>
              <w:left w:val="nil"/>
              <w:bottom w:val="single" w:color="000000" w:sz="4" w:space="0"/>
              <w:right w:val="single" w:color="000000" w:sz="4" w:space="0"/>
            </w:tcBorders>
            <w:noWrap w:val="0"/>
            <w:vAlign w:val="center"/>
          </w:tcPr>
          <w:p w14:paraId="77910A21">
            <w:pPr>
              <w:keepNext w:val="0"/>
              <w:keepLines w:val="0"/>
              <w:widowControl/>
              <w:suppressLineNumbers w:val="0"/>
              <w:spacing w:before="0" w:beforeAutospacing="0" w:after="0" w:afterAutospacing="0"/>
              <w:ind w:left="0" w:right="0"/>
              <w:jc w:val="cente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Cs w:val="21"/>
                <w:highlight w:val="none"/>
                <w14:textFill>
                  <w14:solidFill>
                    <w14:schemeClr w14:val="tx1"/>
                  </w14:solidFill>
                </w14:textFill>
              </w:rPr>
              <w:t>7.65</w:t>
            </w:r>
          </w:p>
        </w:tc>
      </w:tr>
      <w:tr w14:paraId="5F8221C3">
        <w:tblPrEx>
          <w:tblCellMar>
            <w:top w:w="0" w:type="dxa"/>
            <w:left w:w="108" w:type="dxa"/>
            <w:bottom w:w="0" w:type="dxa"/>
            <w:right w:w="108" w:type="dxa"/>
          </w:tblCellMar>
        </w:tblPrEx>
        <w:trPr>
          <w:trHeight w:val="895" w:hRule="atLeast"/>
          <w:jc w:val="center"/>
        </w:trPr>
        <w:tc>
          <w:tcPr>
            <w:tcW w:w="939" w:type="dxa"/>
            <w:tcBorders>
              <w:top w:val="nil"/>
              <w:left w:val="single" w:color="000000" w:sz="4" w:space="0"/>
              <w:bottom w:val="single" w:color="000000" w:sz="4" w:space="0"/>
              <w:right w:val="single" w:color="000000" w:sz="4" w:space="0"/>
            </w:tcBorders>
            <w:noWrap w:val="0"/>
            <w:vAlign w:val="center"/>
          </w:tcPr>
          <w:p w14:paraId="5A928199">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7</w:t>
            </w:r>
          </w:p>
        </w:tc>
        <w:tc>
          <w:tcPr>
            <w:tcW w:w="1821" w:type="dxa"/>
            <w:tcBorders>
              <w:top w:val="nil"/>
              <w:left w:val="nil"/>
              <w:bottom w:val="single" w:color="000000" w:sz="4" w:space="0"/>
              <w:right w:val="single" w:color="000000" w:sz="4" w:space="0"/>
            </w:tcBorders>
            <w:noWrap w:val="0"/>
            <w:vAlign w:val="center"/>
          </w:tcPr>
          <w:p w14:paraId="6A96E283">
            <w:pPr>
              <w:keepNext w:val="0"/>
              <w:keepLines w:val="0"/>
              <w:widowControl/>
              <w:suppressLineNumbers w:val="0"/>
              <w:spacing w:before="0" w:beforeAutospacing="0" w:after="0" w:afterAutospacing="0"/>
              <w:ind w:left="0" w:right="0"/>
              <w:jc w:val="lef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Cs w:val="21"/>
                <w:highlight w:val="none"/>
                <w14:textFill>
                  <w14:solidFill>
                    <w14:schemeClr w14:val="tx1"/>
                  </w14:solidFill>
                </w14:textFill>
              </w:rPr>
              <w:t>500*500方井</w:t>
            </w:r>
          </w:p>
        </w:tc>
        <w:tc>
          <w:tcPr>
            <w:tcW w:w="4685" w:type="dxa"/>
            <w:tcBorders>
              <w:top w:val="nil"/>
              <w:left w:val="nil"/>
              <w:bottom w:val="single" w:color="000000" w:sz="4" w:space="0"/>
              <w:right w:val="single" w:color="000000" w:sz="4" w:space="0"/>
            </w:tcBorders>
            <w:noWrap w:val="0"/>
            <w:vAlign w:val="center"/>
          </w:tcPr>
          <w:p w14:paraId="67160015">
            <w:pPr>
              <w:keepNext w:val="0"/>
              <w:keepLines w:val="0"/>
              <w:widowControl/>
              <w:suppressLineNumbers w:val="0"/>
              <w:spacing w:before="0" w:beforeAutospacing="0" w:after="0" w:afterAutospacing="0"/>
              <w:ind w:left="0" w:right="0"/>
              <w:jc w:val="lef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Cs w:val="21"/>
                <w:highlight w:val="none"/>
                <w14:textFill>
                  <w14:solidFill>
                    <w14:schemeClr w14:val="tx1"/>
                  </w14:solidFill>
                </w14:textFill>
              </w:rPr>
              <w:t>1、清污、清泥</w:t>
            </w:r>
            <w:r>
              <w:rPr>
                <w:rFonts w:hint="eastAsia" w:ascii="宋体" w:hAnsi="宋体" w:eastAsia="宋体" w:cs="宋体"/>
                <w:b w:val="0"/>
                <w:bCs w:val="0"/>
                <w:color w:val="000000" w:themeColor="text1"/>
                <w:szCs w:val="21"/>
                <w:highlight w:val="none"/>
                <w14:textFill>
                  <w14:solidFill>
                    <w14:schemeClr w14:val="tx1"/>
                  </w14:solidFill>
                </w14:textFill>
              </w:rPr>
              <w:br w:type="textWrapping"/>
            </w:r>
            <w:r>
              <w:rPr>
                <w:rFonts w:hint="eastAsia" w:ascii="宋体" w:hAnsi="宋体" w:eastAsia="宋体" w:cs="宋体"/>
                <w:b w:val="0"/>
                <w:bCs w:val="0"/>
                <w:color w:val="000000" w:themeColor="text1"/>
                <w:szCs w:val="21"/>
                <w:highlight w:val="none"/>
                <w14:textFill>
                  <w14:solidFill>
                    <w14:schemeClr w14:val="tx1"/>
                  </w14:solidFill>
                </w14:textFill>
              </w:rPr>
              <w:t>2、安放安全设施、启闭井盖</w:t>
            </w:r>
          </w:p>
        </w:tc>
        <w:tc>
          <w:tcPr>
            <w:tcW w:w="1009" w:type="dxa"/>
            <w:tcBorders>
              <w:top w:val="nil"/>
              <w:left w:val="nil"/>
              <w:bottom w:val="single" w:color="000000" w:sz="4" w:space="0"/>
              <w:right w:val="single" w:color="000000" w:sz="4" w:space="0"/>
            </w:tcBorders>
            <w:noWrap w:val="0"/>
            <w:vAlign w:val="center"/>
          </w:tcPr>
          <w:p w14:paraId="77600183">
            <w:pPr>
              <w:keepNext w:val="0"/>
              <w:keepLines w:val="0"/>
              <w:widowControl/>
              <w:suppressLineNumbers w:val="0"/>
              <w:spacing w:before="0" w:beforeAutospacing="0" w:after="0" w:afterAutospacing="0"/>
              <w:ind w:left="0" w:right="0"/>
              <w:jc w:val="center"/>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Cs w:val="21"/>
                <w:highlight w:val="none"/>
                <w14:textFill>
                  <w14:solidFill>
                    <w14:schemeClr w14:val="tx1"/>
                  </w14:solidFill>
                </w14:textFill>
              </w:rPr>
              <w:t>座</w:t>
            </w:r>
          </w:p>
        </w:tc>
        <w:tc>
          <w:tcPr>
            <w:tcW w:w="1463" w:type="dxa"/>
            <w:tcBorders>
              <w:top w:val="nil"/>
              <w:left w:val="nil"/>
              <w:bottom w:val="single" w:color="000000" w:sz="4" w:space="0"/>
              <w:right w:val="single" w:color="000000" w:sz="4" w:space="0"/>
            </w:tcBorders>
            <w:noWrap w:val="0"/>
            <w:vAlign w:val="center"/>
          </w:tcPr>
          <w:p w14:paraId="27369186">
            <w:pPr>
              <w:keepNext w:val="0"/>
              <w:keepLines w:val="0"/>
              <w:widowControl/>
              <w:suppressLineNumbers w:val="0"/>
              <w:spacing w:before="0" w:beforeAutospacing="0" w:after="0" w:afterAutospacing="0"/>
              <w:ind w:left="0" w:right="0"/>
              <w:jc w:val="cente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Cs w:val="21"/>
                <w:highlight w:val="none"/>
                <w14:textFill>
                  <w14:solidFill>
                    <w14:schemeClr w14:val="tx1"/>
                  </w14:solidFill>
                </w14:textFill>
              </w:rPr>
              <w:t>10.97</w:t>
            </w:r>
          </w:p>
        </w:tc>
      </w:tr>
      <w:tr w14:paraId="12DAA6D4">
        <w:tblPrEx>
          <w:tblCellMar>
            <w:top w:w="0" w:type="dxa"/>
            <w:left w:w="108" w:type="dxa"/>
            <w:bottom w:w="0" w:type="dxa"/>
            <w:right w:w="108" w:type="dxa"/>
          </w:tblCellMar>
        </w:tblPrEx>
        <w:trPr>
          <w:trHeight w:val="1205" w:hRule="atLeast"/>
          <w:jc w:val="center"/>
        </w:trPr>
        <w:tc>
          <w:tcPr>
            <w:tcW w:w="939" w:type="dxa"/>
            <w:tcBorders>
              <w:top w:val="nil"/>
              <w:left w:val="single" w:color="000000" w:sz="4" w:space="0"/>
              <w:bottom w:val="single" w:color="000000" w:sz="4" w:space="0"/>
              <w:right w:val="single" w:color="000000" w:sz="4" w:space="0"/>
            </w:tcBorders>
            <w:noWrap w:val="0"/>
            <w:vAlign w:val="center"/>
          </w:tcPr>
          <w:p w14:paraId="7D25591D">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8</w:t>
            </w:r>
          </w:p>
        </w:tc>
        <w:tc>
          <w:tcPr>
            <w:tcW w:w="1821" w:type="dxa"/>
            <w:tcBorders>
              <w:top w:val="nil"/>
              <w:left w:val="nil"/>
              <w:bottom w:val="single" w:color="000000" w:sz="4" w:space="0"/>
              <w:right w:val="single" w:color="000000" w:sz="4" w:space="0"/>
            </w:tcBorders>
            <w:noWrap w:val="0"/>
            <w:vAlign w:val="center"/>
          </w:tcPr>
          <w:p w14:paraId="793864AE">
            <w:pPr>
              <w:keepNext w:val="0"/>
              <w:keepLines w:val="0"/>
              <w:widowControl/>
              <w:suppressLineNumbers w:val="0"/>
              <w:spacing w:before="0" w:beforeAutospacing="0" w:after="0" w:afterAutospacing="0"/>
              <w:ind w:left="0" w:right="0"/>
              <w:jc w:val="lef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Cs w:val="21"/>
                <w:highlight w:val="none"/>
                <w14:textFill>
                  <w14:solidFill>
                    <w14:schemeClr w14:val="tx1"/>
                  </w14:solidFill>
                </w14:textFill>
              </w:rPr>
              <w:t>检查井</w:t>
            </w:r>
          </w:p>
        </w:tc>
        <w:tc>
          <w:tcPr>
            <w:tcW w:w="4685" w:type="dxa"/>
            <w:tcBorders>
              <w:top w:val="nil"/>
              <w:left w:val="nil"/>
              <w:bottom w:val="single" w:color="000000" w:sz="4" w:space="0"/>
              <w:right w:val="single" w:color="000000" w:sz="4" w:space="0"/>
            </w:tcBorders>
            <w:noWrap w:val="0"/>
            <w:vAlign w:val="center"/>
          </w:tcPr>
          <w:p w14:paraId="0343D71A">
            <w:pPr>
              <w:keepNext w:val="0"/>
              <w:keepLines w:val="0"/>
              <w:widowControl/>
              <w:suppressLineNumbers w:val="0"/>
              <w:spacing w:before="0" w:beforeAutospacing="0" w:after="0" w:afterAutospacing="0"/>
              <w:ind w:left="0" w:right="0"/>
              <w:jc w:val="lef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Cs w:val="21"/>
                <w:highlight w:val="none"/>
                <w14:textFill>
                  <w14:solidFill>
                    <w14:schemeClr w14:val="tx1"/>
                  </w14:solidFill>
                </w14:textFill>
              </w:rPr>
              <w:t>1、清污、清泥，井深2m以内</w:t>
            </w:r>
            <w:r>
              <w:rPr>
                <w:rFonts w:hint="eastAsia" w:ascii="宋体" w:hAnsi="宋体" w:eastAsia="宋体" w:cs="宋体"/>
                <w:b w:val="0"/>
                <w:bCs w:val="0"/>
                <w:color w:val="000000" w:themeColor="text1"/>
                <w:szCs w:val="21"/>
                <w:highlight w:val="none"/>
                <w14:textFill>
                  <w14:solidFill>
                    <w14:schemeClr w14:val="tx1"/>
                  </w14:solidFill>
                </w14:textFill>
              </w:rPr>
              <w:br w:type="textWrapping"/>
            </w:r>
            <w:r>
              <w:rPr>
                <w:rFonts w:hint="eastAsia" w:ascii="宋体" w:hAnsi="宋体" w:eastAsia="宋体" w:cs="宋体"/>
                <w:b w:val="0"/>
                <w:bCs w:val="0"/>
                <w:color w:val="000000" w:themeColor="text1"/>
                <w:szCs w:val="21"/>
                <w:highlight w:val="none"/>
                <w14:textFill>
                  <w14:solidFill>
                    <w14:schemeClr w14:val="tx1"/>
                  </w14:solidFill>
                </w14:textFill>
              </w:rPr>
              <w:t>2、井上清理</w:t>
            </w:r>
            <w:r>
              <w:rPr>
                <w:rFonts w:hint="eastAsia" w:ascii="宋体" w:hAnsi="宋体" w:eastAsia="宋体" w:cs="宋体"/>
                <w:b w:val="0"/>
                <w:bCs w:val="0"/>
                <w:color w:val="000000" w:themeColor="text1"/>
                <w:szCs w:val="21"/>
                <w:highlight w:val="none"/>
                <w14:textFill>
                  <w14:solidFill>
                    <w14:schemeClr w14:val="tx1"/>
                  </w14:solidFill>
                </w14:textFill>
              </w:rPr>
              <w:br w:type="textWrapping"/>
            </w:r>
            <w:r>
              <w:rPr>
                <w:rFonts w:hint="eastAsia" w:ascii="宋体" w:hAnsi="宋体" w:eastAsia="宋体" w:cs="宋体"/>
                <w:b w:val="0"/>
                <w:bCs w:val="0"/>
                <w:color w:val="000000" w:themeColor="text1"/>
                <w:szCs w:val="21"/>
                <w:highlight w:val="none"/>
                <w14:textFill>
                  <w14:solidFill>
                    <w14:schemeClr w14:val="tx1"/>
                  </w14:solidFill>
                </w14:textFill>
              </w:rPr>
              <w:t>3、安放安全设施、启闭井盖</w:t>
            </w:r>
          </w:p>
        </w:tc>
        <w:tc>
          <w:tcPr>
            <w:tcW w:w="1009" w:type="dxa"/>
            <w:tcBorders>
              <w:top w:val="nil"/>
              <w:left w:val="nil"/>
              <w:bottom w:val="single" w:color="000000" w:sz="4" w:space="0"/>
              <w:right w:val="single" w:color="000000" w:sz="4" w:space="0"/>
            </w:tcBorders>
            <w:noWrap w:val="0"/>
            <w:vAlign w:val="center"/>
          </w:tcPr>
          <w:p w14:paraId="17FDCE4F">
            <w:pPr>
              <w:keepNext w:val="0"/>
              <w:keepLines w:val="0"/>
              <w:widowControl/>
              <w:suppressLineNumbers w:val="0"/>
              <w:spacing w:before="0" w:beforeAutospacing="0" w:after="0" w:afterAutospacing="0"/>
              <w:ind w:left="0" w:right="0"/>
              <w:jc w:val="center"/>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Cs w:val="21"/>
                <w:highlight w:val="none"/>
                <w14:textFill>
                  <w14:solidFill>
                    <w14:schemeClr w14:val="tx1"/>
                  </w14:solidFill>
                </w14:textFill>
              </w:rPr>
              <w:t>座</w:t>
            </w:r>
          </w:p>
        </w:tc>
        <w:tc>
          <w:tcPr>
            <w:tcW w:w="1463" w:type="dxa"/>
            <w:tcBorders>
              <w:top w:val="nil"/>
              <w:left w:val="nil"/>
              <w:bottom w:val="single" w:color="000000" w:sz="4" w:space="0"/>
              <w:right w:val="single" w:color="000000" w:sz="4" w:space="0"/>
            </w:tcBorders>
            <w:noWrap w:val="0"/>
            <w:vAlign w:val="center"/>
          </w:tcPr>
          <w:p w14:paraId="12C9C669">
            <w:pPr>
              <w:keepNext w:val="0"/>
              <w:keepLines w:val="0"/>
              <w:widowControl/>
              <w:suppressLineNumbers w:val="0"/>
              <w:spacing w:before="0" w:beforeAutospacing="0" w:after="0" w:afterAutospacing="0"/>
              <w:ind w:left="0" w:right="0"/>
              <w:jc w:val="center"/>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Cs w:val="21"/>
                <w:highlight w:val="none"/>
                <w14:textFill>
                  <w14:solidFill>
                    <w14:schemeClr w14:val="tx1"/>
                  </w14:solidFill>
                </w14:textFill>
              </w:rPr>
              <w:t>49.88</w:t>
            </w:r>
          </w:p>
        </w:tc>
      </w:tr>
      <w:tr w14:paraId="1C7E9155">
        <w:tblPrEx>
          <w:tblCellMar>
            <w:top w:w="0" w:type="dxa"/>
            <w:left w:w="108" w:type="dxa"/>
            <w:bottom w:w="0" w:type="dxa"/>
            <w:right w:w="108" w:type="dxa"/>
          </w:tblCellMar>
        </w:tblPrEx>
        <w:trPr>
          <w:trHeight w:val="1205" w:hRule="atLeast"/>
          <w:jc w:val="center"/>
        </w:trPr>
        <w:tc>
          <w:tcPr>
            <w:tcW w:w="939" w:type="dxa"/>
            <w:tcBorders>
              <w:top w:val="nil"/>
              <w:left w:val="single" w:color="000000" w:sz="4" w:space="0"/>
              <w:bottom w:val="single" w:color="000000" w:sz="4" w:space="0"/>
              <w:right w:val="single" w:color="000000" w:sz="4" w:space="0"/>
            </w:tcBorders>
            <w:noWrap w:val="0"/>
            <w:vAlign w:val="center"/>
          </w:tcPr>
          <w:p w14:paraId="3B5869BE">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9</w:t>
            </w:r>
          </w:p>
        </w:tc>
        <w:tc>
          <w:tcPr>
            <w:tcW w:w="1821" w:type="dxa"/>
            <w:tcBorders>
              <w:top w:val="nil"/>
              <w:left w:val="nil"/>
              <w:bottom w:val="single" w:color="000000" w:sz="4" w:space="0"/>
              <w:right w:val="single" w:color="000000" w:sz="4" w:space="0"/>
            </w:tcBorders>
            <w:noWrap w:val="0"/>
            <w:vAlign w:val="center"/>
          </w:tcPr>
          <w:p w14:paraId="4A2A2859">
            <w:pPr>
              <w:keepNext w:val="0"/>
              <w:keepLines w:val="0"/>
              <w:widowControl/>
              <w:suppressLineNumbers w:val="0"/>
              <w:spacing w:before="0" w:beforeAutospacing="0" w:after="0" w:afterAutospacing="0"/>
              <w:ind w:left="0" w:right="0"/>
              <w:jc w:val="lef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Cs w:val="21"/>
                <w:highlight w:val="none"/>
                <w14:textFill>
                  <w14:solidFill>
                    <w14:schemeClr w14:val="tx1"/>
                  </w14:solidFill>
                </w14:textFill>
              </w:rPr>
              <w:t>检查井</w:t>
            </w:r>
          </w:p>
        </w:tc>
        <w:tc>
          <w:tcPr>
            <w:tcW w:w="4685" w:type="dxa"/>
            <w:tcBorders>
              <w:top w:val="nil"/>
              <w:left w:val="nil"/>
              <w:bottom w:val="single" w:color="000000" w:sz="4" w:space="0"/>
              <w:right w:val="single" w:color="000000" w:sz="4" w:space="0"/>
            </w:tcBorders>
            <w:noWrap w:val="0"/>
            <w:vAlign w:val="center"/>
          </w:tcPr>
          <w:p w14:paraId="1652C032">
            <w:pPr>
              <w:keepNext w:val="0"/>
              <w:keepLines w:val="0"/>
              <w:widowControl/>
              <w:suppressLineNumbers w:val="0"/>
              <w:spacing w:before="0" w:beforeAutospacing="0" w:after="0" w:afterAutospacing="0"/>
              <w:ind w:left="0" w:right="0"/>
              <w:jc w:val="lef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Cs w:val="21"/>
                <w:highlight w:val="none"/>
                <w14:textFill>
                  <w14:solidFill>
                    <w14:schemeClr w14:val="tx1"/>
                  </w14:solidFill>
                </w14:textFill>
              </w:rPr>
              <w:t>1、清污、清泥，井深2~3m</w:t>
            </w:r>
            <w:r>
              <w:rPr>
                <w:rFonts w:hint="eastAsia" w:ascii="宋体" w:hAnsi="宋体" w:eastAsia="宋体" w:cs="宋体"/>
                <w:b w:val="0"/>
                <w:bCs w:val="0"/>
                <w:color w:val="000000" w:themeColor="text1"/>
                <w:szCs w:val="21"/>
                <w:highlight w:val="none"/>
                <w14:textFill>
                  <w14:solidFill>
                    <w14:schemeClr w14:val="tx1"/>
                  </w14:solidFill>
                </w14:textFill>
              </w:rPr>
              <w:br w:type="textWrapping"/>
            </w:r>
            <w:r>
              <w:rPr>
                <w:rFonts w:hint="eastAsia" w:ascii="宋体" w:hAnsi="宋体" w:eastAsia="宋体" w:cs="宋体"/>
                <w:b w:val="0"/>
                <w:bCs w:val="0"/>
                <w:color w:val="000000" w:themeColor="text1"/>
                <w:szCs w:val="21"/>
                <w:highlight w:val="none"/>
                <w14:textFill>
                  <w14:solidFill>
                    <w14:schemeClr w14:val="tx1"/>
                  </w14:solidFill>
                </w14:textFill>
              </w:rPr>
              <w:t>2、井上清理</w:t>
            </w:r>
            <w:r>
              <w:rPr>
                <w:rFonts w:hint="eastAsia" w:ascii="宋体" w:hAnsi="宋体" w:eastAsia="宋体" w:cs="宋体"/>
                <w:b w:val="0"/>
                <w:bCs w:val="0"/>
                <w:color w:val="000000" w:themeColor="text1"/>
                <w:szCs w:val="21"/>
                <w:highlight w:val="none"/>
                <w14:textFill>
                  <w14:solidFill>
                    <w14:schemeClr w14:val="tx1"/>
                  </w14:solidFill>
                </w14:textFill>
              </w:rPr>
              <w:br w:type="textWrapping"/>
            </w:r>
            <w:r>
              <w:rPr>
                <w:rFonts w:hint="eastAsia" w:ascii="宋体" w:hAnsi="宋体" w:eastAsia="宋体" w:cs="宋体"/>
                <w:b w:val="0"/>
                <w:bCs w:val="0"/>
                <w:color w:val="000000" w:themeColor="text1"/>
                <w:szCs w:val="21"/>
                <w:highlight w:val="none"/>
                <w14:textFill>
                  <w14:solidFill>
                    <w14:schemeClr w14:val="tx1"/>
                  </w14:solidFill>
                </w14:textFill>
              </w:rPr>
              <w:t>3、安放安全设施、启闭井盖</w:t>
            </w:r>
          </w:p>
        </w:tc>
        <w:tc>
          <w:tcPr>
            <w:tcW w:w="1009" w:type="dxa"/>
            <w:tcBorders>
              <w:top w:val="nil"/>
              <w:left w:val="nil"/>
              <w:bottom w:val="single" w:color="000000" w:sz="4" w:space="0"/>
              <w:right w:val="single" w:color="000000" w:sz="4" w:space="0"/>
            </w:tcBorders>
            <w:noWrap w:val="0"/>
            <w:vAlign w:val="center"/>
          </w:tcPr>
          <w:p w14:paraId="12E8362E">
            <w:pPr>
              <w:keepNext w:val="0"/>
              <w:keepLines w:val="0"/>
              <w:widowControl/>
              <w:suppressLineNumbers w:val="0"/>
              <w:spacing w:before="0" w:beforeAutospacing="0" w:after="0" w:afterAutospacing="0"/>
              <w:ind w:left="0" w:right="0"/>
              <w:jc w:val="center"/>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Cs w:val="21"/>
                <w:highlight w:val="none"/>
                <w14:textFill>
                  <w14:solidFill>
                    <w14:schemeClr w14:val="tx1"/>
                  </w14:solidFill>
                </w14:textFill>
              </w:rPr>
              <w:t>座</w:t>
            </w:r>
          </w:p>
        </w:tc>
        <w:tc>
          <w:tcPr>
            <w:tcW w:w="1463" w:type="dxa"/>
            <w:tcBorders>
              <w:top w:val="nil"/>
              <w:left w:val="nil"/>
              <w:bottom w:val="single" w:color="000000" w:sz="4" w:space="0"/>
              <w:right w:val="single" w:color="000000" w:sz="4" w:space="0"/>
            </w:tcBorders>
            <w:noWrap w:val="0"/>
            <w:vAlign w:val="center"/>
          </w:tcPr>
          <w:p w14:paraId="072298CF">
            <w:pPr>
              <w:keepNext w:val="0"/>
              <w:keepLines w:val="0"/>
              <w:widowControl/>
              <w:suppressLineNumbers w:val="0"/>
              <w:spacing w:before="0" w:beforeAutospacing="0" w:after="0" w:afterAutospacing="0"/>
              <w:ind w:left="0" w:right="0"/>
              <w:jc w:val="cente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Cs w:val="21"/>
                <w:highlight w:val="none"/>
                <w14:textFill>
                  <w14:solidFill>
                    <w14:schemeClr w14:val="tx1"/>
                  </w14:solidFill>
                </w14:textFill>
              </w:rPr>
              <w:t>69.96</w:t>
            </w:r>
          </w:p>
        </w:tc>
      </w:tr>
      <w:tr w14:paraId="62D7CD26">
        <w:tblPrEx>
          <w:tblCellMar>
            <w:top w:w="0" w:type="dxa"/>
            <w:left w:w="108" w:type="dxa"/>
            <w:bottom w:w="0" w:type="dxa"/>
            <w:right w:w="108" w:type="dxa"/>
          </w:tblCellMar>
        </w:tblPrEx>
        <w:trPr>
          <w:trHeight w:val="1205" w:hRule="atLeast"/>
          <w:jc w:val="center"/>
        </w:trPr>
        <w:tc>
          <w:tcPr>
            <w:tcW w:w="939" w:type="dxa"/>
            <w:tcBorders>
              <w:top w:val="single" w:color="000000" w:sz="4" w:space="0"/>
              <w:left w:val="single" w:color="000000" w:sz="4" w:space="0"/>
              <w:bottom w:val="single" w:color="000000" w:sz="4" w:space="0"/>
              <w:right w:val="single" w:color="000000" w:sz="4" w:space="0"/>
            </w:tcBorders>
            <w:noWrap w:val="0"/>
            <w:vAlign w:val="center"/>
          </w:tcPr>
          <w:p w14:paraId="21B9852C">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10</w:t>
            </w:r>
          </w:p>
        </w:tc>
        <w:tc>
          <w:tcPr>
            <w:tcW w:w="1821" w:type="dxa"/>
            <w:tcBorders>
              <w:top w:val="single" w:color="000000" w:sz="4" w:space="0"/>
              <w:left w:val="nil"/>
              <w:bottom w:val="single" w:color="000000" w:sz="4" w:space="0"/>
              <w:right w:val="single" w:color="000000" w:sz="4" w:space="0"/>
            </w:tcBorders>
            <w:noWrap w:val="0"/>
            <w:vAlign w:val="center"/>
          </w:tcPr>
          <w:p w14:paraId="0F5D11C7">
            <w:pPr>
              <w:keepNext w:val="0"/>
              <w:keepLines w:val="0"/>
              <w:widowControl/>
              <w:suppressLineNumbers w:val="0"/>
              <w:spacing w:before="0" w:beforeAutospacing="0" w:after="0" w:afterAutospacing="0"/>
              <w:ind w:left="0" w:right="0"/>
              <w:jc w:val="lef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Cs w:val="21"/>
                <w:highlight w:val="none"/>
                <w14:textFill>
                  <w14:solidFill>
                    <w14:schemeClr w14:val="tx1"/>
                  </w14:solidFill>
                </w14:textFill>
              </w:rPr>
              <w:t>检查井</w:t>
            </w:r>
          </w:p>
        </w:tc>
        <w:tc>
          <w:tcPr>
            <w:tcW w:w="4685" w:type="dxa"/>
            <w:tcBorders>
              <w:top w:val="single" w:color="000000" w:sz="4" w:space="0"/>
              <w:left w:val="nil"/>
              <w:bottom w:val="single" w:color="000000" w:sz="4" w:space="0"/>
              <w:right w:val="single" w:color="000000" w:sz="4" w:space="0"/>
            </w:tcBorders>
            <w:noWrap w:val="0"/>
            <w:vAlign w:val="center"/>
          </w:tcPr>
          <w:p w14:paraId="3E14E9CD">
            <w:pPr>
              <w:keepNext w:val="0"/>
              <w:keepLines w:val="0"/>
              <w:widowControl/>
              <w:suppressLineNumbers w:val="0"/>
              <w:spacing w:before="0" w:beforeAutospacing="0" w:after="0" w:afterAutospacing="0"/>
              <w:ind w:left="0" w:right="0"/>
              <w:jc w:val="lef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Cs w:val="21"/>
                <w:highlight w:val="none"/>
                <w14:textFill>
                  <w14:solidFill>
                    <w14:schemeClr w14:val="tx1"/>
                  </w14:solidFill>
                </w14:textFill>
              </w:rPr>
              <w:t>1、清污、清泥，井深3~4m</w:t>
            </w:r>
            <w:r>
              <w:rPr>
                <w:rFonts w:hint="eastAsia" w:ascii="宋体" w:hAnsi="宋体" w:eastAsia="宋体" w:cs="宋体"/>
                <w:b w:val="0"/>
                <w:bCs w:val="0"/>
                <w:color w:val="000000" w:themeColor="text1"/>
                <w:szCs w:val="21"/>
                <w:highlight w:val="none"/>
                <w14:textFill>
                  <w14:solidFill>
                    <w14:schemeClr w14:val="tx1"/>
                  </w14:solidFill>
                </w14:textFill>
              </w:rPr>
              <w:br w:type="textWrapping"/>
            </w:r>
            <w:r>
              <w:rPr>
                <w:rFonts w:hint="eastAsia" w:ascii="宋体" w:hAnsi="宋体" w:eastAsia="宋体" w:cs="宋体"/>
                <w:b w:val="0"/>
                <w:bCs w:val="0"/>
                <w:color w:val="000000" w:themeColor="text1"/>
                <w:szCs w:val="21"/>
                <w:highlight w:val="none"/>
                <w14:textFill>
                  <w14:solidFill>
                    <w14:schemeClr w14:val="tx1"/>
                  </w14:solidFill>
                </w14:textFill>
              </w:rPr>
              <w:t>2、井上清理</w:t>
            </w:r>
            <w:r>
              <w:rPr>
                <w:rFonts w:hint="eastAsia" w:ascii="宋体" w:hAnsi="宋体" w:eastAsia="宋体" w:cs="宋体"/>
                <w:b w:val="0"/>
                <w:bCs w:val="0"/>
                <w:color w:val="000000" w:themeColor="text1"/>
                <w:szCs w:val="21"/>
                <w:highlight w:val="none"/>
                <w14:textFill>
                  <w14:solidFill>
                    <w14:schemeClr w14:val="tx1"/>
                  </w14:solidFill>
                </w14:textFill>
              </w:rPr>
              <w:br w:type="textWrapping"/>
            </w:r>
            <w:r>
              <w:rPr>
                <w:rFonts w:hint="eastAsia" w:ascii="宋体" w:hAnsi="宋体" w:eastAsia="宋体" w:cs="宋体"/>
                <w:b w:val="0"/>
                <w:bCs w:val="0"/>
                <w:color w:val="000000" w:themeColor="text1"/>
                <w:szCs w:val="21"/>
                <w:highlight w:val="none"/>
                <w14:textFill>
                  <w14:solidFill>
                    <w14:schemeClr w14:val="tx1"/>
                  </w14:solidFill>
                </w14:textFill>
              </w:rPr>
              <w:t>3、安放安全设施、启闭井盖</w:t>
            </w:r>
          </w:p>
        </w:tc>
        <w:tc>
          <w:tcPr>
            <w:tcW w:w="1009" w:type="dxa"/>
            <w:tcBorders>
              <w:top w:val="single" w:color="000000" w:sz="4" w:space="0"/>
              <w:left w:val="nil"/>
              <w:bottom w:val="single" w:color="000000" w:sz="4" w:space="0"/>
              <w:right w:val="single" w:color="000000" w:sz="4" w:space="0"/>
            </w:tcBorders>
            <w:noWrap w:val="0"/>
            <w:vAlign w:val="center"/>
          </w:tcPr>
          <w:p w14:paraId="78D76331">
            <w:pPr>
              <w:keepNext w:val="0"/>
              <w:keepLines w:val="0"/>
              <w:widowControl/>
              <w:suppressLineNumbers w:val="0"/>
              <w:spacing w:before="0" w:beforeAutospacing="0" w:after="0" w:afterAutospacing="0"/>
              <w:ind w:left="0" w:right="0"/>
              <w:jc w:val="center"/>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Cs w:val="21"/>
                <w:highlight w:val="none"/>
                <w14:textFill>
                  <w14:solidFill>
                    <w14:schemeClr w14:val="tx1"/>
                  </w14:solidFill>
                </w14:textFill>
              </w:rPr>
              <w:t>座</w:t>
            </w:r>
          </w:p>
        </w:tc>
        <w:tc>
          <w:tcPr>
            <w:tcW w:w="1463" w:type="dxa"/>
            <w:tcBorders>
              <w:top w:val="single" w:color="000000" w:sz="4" w:space="0"/>
              <w:left w:val="nil"/>
              <w:bottom w:val="single" w:color="000000" w:sz="4" w:space="0"/>
              <w:right w:val="single" w:color="000000" w:sz="4" w:space="0"/>
            </w:tcBorders>
            <w:noWrap w:val="0"/>
            <w:vAlign w:val="center"/>
          </w:tcPr>
          <w:p w14:paraId="0E05B3D5">
            <w:pPr>
              <w:keepNext w:val="0"/>
              <w:keepLines w:val="0"/>
              <w:widowControl/>
              <w:suppressLineNumbers w:val="0"/>
              <w:spacing w:before="0" w:beforeAutospacing="0" w:after="0" w:afterAutospacing="0"/>
              <w:ind w:left="0" w:right="0"/>
              <w:jc w:val="cente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Cs w:val="21"/>
                <w:highlight w:val="none"/>
                <w14:textFill>
                  <w14:solidFill>
                    <w14:schemeClr w14:val="tx1"/>
                  </w14:solidFill>
                </w14:textFill>
              </w:rPr>
              <w:t>98.37</w:t>
            </w:r>
          </w:p>
        </w:tc>
      </w:tr>
      <w:tr w14:paraId="2A82AAF8">
        <w:tblPrEx>
          <w:tblCellMar>
            <w:top w:w="0" w:type="dxa"/>
            <w:left w:w="108" w:type="dxa"/>
            <w:bottom w:w="0" w:type="dxa"/>
            <w:right w:w="108" w:type="dxa"/>
          </w:tblCellMar>
        </w:tblPrEx>
        <w:trPr>
          <w:trHeight w:val="977" w:hRule="atLeast"/>
          <w:jc w:val="center"/>
        </w:trPr>
        <w:tc>
          <w:tcPr>
            <w:tcW w:w="939" w:type="dxa"/>
            <w:tcBorders>
              <w:top w:val="nil"/>
              <w:left w:val="single" w:color="000000" w:sz="4" w:space="0"/>
              <w:bottom w:val="single" w:color="000000" w:sz="4" w:space="0"/>
              <w:right w:val="single" w:color="000000" w:sz="4" w:space="0"/>
            </w:tcBorders>
            <w:noWrap w:val="0"/>
            <w:vAlign w:val="center"/>
          </w:tcPr>
          <w:p w14:paraId="0F66659B">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11</w:t>
            </w:r>
          </w:p>
        </w:tc>
        <w:tc>
          <w:tcPr>
            <w:tcW w:w="1821" w:type="dxa"/>
            <w:tcBorders>
              <w:top w:val="nil"/>
              <w:left w:val="nil"/>
              <w:bottom w:val="single" w:color="000000" w:sz="4" w:space="0"/>
              <w:right w:val="single" w:color="000000" w:sz="4" w:space="0"/>
            </w:tcBorders>
            <w:noWrap w:val="0"/>
            <w:vAlign w:val="center"/>
          </w:tcPr>
          <w:p w14:paraId="19F4CDF0">
            <w:pPr>
              <w:keepNext w:val="0"/>
              <w:keepLines w:val="0"/>
              <w:widowControl/>
              <w:suppressLineNumbers w:val="0"/>
              <w:spacing w:before="0" w:beforeAutospacing="0" w:after="0" w:afterAutospacing="0"/>
              <w:ind w:left="0" w:right="0"/>
              <w:jc w:val="lef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Cs w:val="21"/>
                <w:highlight w:val="none"/>
                <w14:textFill>
                  <w14:solidFill>
                    <w14:schemeClr w14:val="tx1"/>
                  </w14:solidFill>
                </w14:textFill>
              </w:rPr>
              <w:t>检查井</w:t>
            </w:r>
          </w:p>
        </w:tc>
        <w:tc>
          <w:tcPr>
            <w:tcW w:w="4685" w:type="dxa"/>
            <w:tcBorders>
              <w:top w:val="nil"/>
              <w:left w:val="nil"/>
              <w:bottom w:val="single" w:color="000000" w:sz="4" w:space="0"/>
              <w:right w:val="single" w:color="000000" w:sz="4" w:space="0"/>
            </w:tcBorders>
            <w:noWrap w:val="0"/>
            <w:vAlign w:val="center"/>
          </w:tcPr>
          <w:p w14:paraId="44B54AAF">
            <w:pPr>
              <w:keepNext w:val="0"/>
              <w:keepLines w:val="0"/>
              <w:widowControl/>
              <w:suppressLineNumbers w:val="0"/>
              <w:spacing w:before="0" w:beforeAutospacing="0" w:after="0" w:afterAutospacing="0"/>
              <w:ind w:left="0" w:right="0"/>
              <w:jc w:val="lef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Cs w:val="21"/>
                <w:highlight w:val="none"/>
                <w14:textFill>
                  <w14:solidFill>
                    <w14:schemeClr w14:val="tx1"/>
                  </w14:solidFill>
                </w14:textFill>
              </w:rPr>
              <w:t>1、清泥，井深2~3m</w:t>
            </w:r>
            <w:r>
              <w:rPr>
                <w:rFonts w:hint="eastAsia" w:ascii="宋体" w:hAnsi="宋体" w:eastAsia="宋体" w:cs="宋体"/>
                <w:b w:val="0"/>
                <w:bCs w:val="0"/>
                <w:color w:val="000000" w:themeColor="text1"/>
                <w:szCs w:val="21"/>
                <w:highlight w:val="none"/>
                <w14:textFill>
                  <w14:solidFill>
                    <w14:schemeClr w14:val="tx1"/>
                  </w14:solidFill>
                </w14:textFill>
              </w:rPr>
              <w:br w:type="textWrapping"/>
            </w:r>
            <w:r>
              <w:rPr>
                <w:rFonts w:hint="eastAsia" w:ascii="宋体" w:hAnsi="宋体" w:eastAsia="宋体" w:cs="宋体"/>
                <w:b w:val="0"/>
                <w:bCs w:val="0"/>
                <w:color w:val="000000" w:themeColor="text1"/>
                <w:szCs w:val="21"/>
                <w:highlight w:val="none"/>
                <w14:textFill>
                  <w14:solidFill>
                    <w14:schemeClr w14:val="tx1"/>
                  </w14:solidFill>
                </w14:textFill>
              </w:rPr>
              <w:t>2、井下蛙人清理</w:t>
            </w:r>
            <w:r>
              <w:rPr>
                <w:rFonts w:hint="eastAsia" w:ascii="宋体" w:hAnsi="宋体" w:eastAsia="宋体" w:cs="宋体"/>
                <w:b w:val="0"/>
                <w:bCs w:val="0"/>
                <w:color w:val="000000" w:themeColor="text1"/>
                <w:szCs w:val="21"/>
                <w:highlight w:val="none"/>
                <w14:textFill>
                  <w14:solidFill>
                    <w14:schemeClr w14:val="tx1"/>
                  </w14:solidFill>
                </w14:textFill>
              </w:rPr>
              <w:br w:type="textWrapping"/>
            </w:r>
            <w:r>
              <w:rPr>
                <w:rFonts w:hint="eastAsia" w:ascii="宋体" w:hAnsi="宋体" w:eastAsia="宋体" w:cs="宋体"/>
                <w:b w:val="0"/>
                <w:bCs w:val="0"/>
                <w:color w:val="000000" w:themeColor="text1"/>
                <w:szCs w:val="21"/>
                <w:highlight w:val="none"/>
                <w14:textFill>
                  <w14:solidFill>
                    <w14:schemeClr w14:val="tx1"/>
                  </w14:solidFill>
                </w14:textFill>
              </w:rPr>
              <w:t>3、安放安全设施、启闭井盖</w:t>
            </w:r>
          </w:p>
        </w:tc>
        <w:tc>
          <w:tcPr>
            <w:tcW w:w="1009" w:type="dxa"/>
            <w:tcBorders>
              <w:top w:val="nil"/>
              <w:left w:val="nil"/>
              <w:bottom w:val="single" w:color="000000" w:sz="4" w:space="0"/>
              <w:right w:val="single" w:color="000000" w:sz="4" w:space="0"/>
            </w:tcBorders>
            <w:noWrap w:val="0"/>
            <w:vAlign w:val="center"/>
          </w:tcPr>
          <w:p w14:paraId="10AC0939">
            <w:pPr>
              <w:keepNext w:val="0"/>
              <w:keepLines w:val="0"/>
              <w:widowControl/>
              <w:suppressLineNumbers w:val="0"/>
              <w:spacing w:before="0" w:beforeAutospacing="0" w:after="0" w:afterAutospacing="0"/>
              <w:ind w:left="0" w:right="0"/>
              <w:jc w:val="center"/>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Cs w:val="21"/>
                <w:highlight w:val="none"/>
                <w14:textFill>
                  <w14:solidFill>
                    <w14:schemeClr w14:val="tx1"/>
                  </w14:solidFill>
                </w14:textFill>
              </w:rPr>
              <w:t>座</w:t>
            </w:r>
          </w:p>
        </w:tc>
        <w:tc>
          <w:tcPr>
            <w:tcW w:w="1463" w:type="dxa"/>
            <w:tcBorders>
              <w:top w:val="nil"/>
              <w:left w:val="nil"/>
              <w:bottom w:val="single" w:color="000000" w:sz="4" w:space="0"/>
              <w:right w:val="single" w:color="000000" w:sz="4" w:space="0"/>
            </w:tcBorders>
            <w:noWrap w:val="0"/>
            <w:vAlign w:val="center"/>
          </w:tcPr>
          <w:p w14:paraId="78C8A62D">
            <w:pPr>
              <w:keepNext w:val="0"/>
              <w:keepLines w:val="0"/>
              <w:widowControl/>
              <w:suppressLineNumbers w:val="0"/>
              <w:spacing w:before="0" w:beforeAutospacing="0" w:after="0" w:afterAutospacing="0"/>
              <w:ind w:left="0" w:right="0"/>
              <w:jc w:val="cente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Cs w:val="21"/>
                <w:highlight w:val="none"/>
                <w14:textFill>
                  <w14:solidFill>
                    <w14:schemeClr w14:val="tx1"/>
                  </w14:solidFill>
                </w14:textFill>
              </w:rPr>
              <w:t>3800</w:t>
            </w:r>
          </w:p>
        </w:tc>
      </w:tr>
      <w:tr w14:paraId="64519C62">
        <w:tblPrEx>
          <w:tblCellMar>
            <w:top w:w="0" w:type="dxa"/>
            <w:left w:w="108" w:type="dxa"/>
            <w:bottom w:w="0" w:type="dxa"/>
            <w:right w:w="108" w:type="dxa"/>
          </w:tblCellMar>
        </w:tblPrEx>
        <w:trPr>
          <w:trHeight w:val="928" w:hRule="atLeast"/>
          <w:jc w:val="center"/>
        </w:trPr>
        <w:tc>
          <w:tcPr>
            <w:tcW w:w="939" w:type="dxa"/>
            <w:tcBorders>
              <w:top w:val="nil"/>
              <w:left w:val="single" w:color="000000" w:sz="4" w:space="0"/>
              <w:bottom w:val="single" w:color="000000" w:sz="4" w:space="0"/>
              <w:right w:val="single" w:color="000000" w:sz="4" w:space="0"/>
            </w:tcBorders>
            <w:noWrap w:val="0"/>
            <w:vAlign w:val="center"/>
          </w:tcPr>
          <w:p w14:paraId="5CACBD9B">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12</w:t>
            </w:r>
          </w:p>
        </w:tc>
        <w:tc>
          <w:tcPr>
            <w:tcW w:w="1821" w:type="dxa"/>
            <w:tcBorders>
              <w:top w:val="nil"/>
              <w:left w:val="nil"/>
              <w:bottom w:val="single" w:color="000000" w:sz="4" w:space="0"/>
              <w:right w:val="single" w:color="000000" w:sz="4" w:space="0"/>
            </w:tcBorders>
            <w:noWrap w:val="0"/>
            <w:vAlign w:val="center"/>
          </w:tcPr>
          <w:p w14:paraId="4BF22F8B">
            <w:pPr>
              <w:keepNext w:val="0"/>
              <w:keepLines w:val="0"/>
              <w:widowControl/>
              <w:suppressLineNumbers w:val="0"/>
              <w:spacing w:before="0" w:beforeAutospacing="0" w:after="0" w:afterAutospacing="0"/>
              <w:ind w:left="0" w:right="0"/>
              <w:jc w:val="lef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Cs w:val="21"/>
                <w:highlight w:val="none"/>
                <w14:textFill>
                  <w14:solidFill>
                    <w14:schemeClr w14:val="tx1"/>
                  </w14:solidFill>
                </w14:textFill>
              </w:rPr>
              <w:t>污泥外运</w:t>
            </w:r>
          </w:p>
        </w:tc>
        <w:tc>
          <w:tcPr>
            <w:tcW w:w="4685" w:type="dxa"/>
            <w:tcBorders>
              <w:top w:val="nil"/>
              <w:left w:val="nil"/>
              <w:bottom w:val="single" w:color="000000" w:sz="4" w:space="0"/>
              <w:right w:val="single" w:color="000000" w:sz="4" w:space="0"/>
            </w:tcBorders>
            <w:noWrap w:val="0"/>
            <w:vAlign w:val="center"/>
          </w:tcPr>
          <w:p w14:paraId="352F4A2E">
            <w:pPr>
              <w:keepNext w:val="0"/>
              <w:keepLines w:val="0"/>
              <w:widowControl/>
              <w:suppressLineNumbers w:val="0"/>
              <w:spacing w:before="0" w:beforeAutospacing="0" w:after="0" w:afterAutospacing="0"/>
              <w:ind w:left="0" w:right="0"/>
              <w:jc w:val="lef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Cs w:val="21"/>
                <w:highlight w:val="none"/>
                <w14:textFill>
                  <w14:solidFill>
                    <w14:schemeClr w14:val="tx1"/>
                  </w14:solidFill>
                </w14:textFill>
              </w:rPr>
              <w:t>外运污泥、运距综合考虑</w:t>
            </w:r>
          </w:p>
        </w:tc>
        <w:tc>
          <w:tcPr>
            <w:tcW w:w="1009" w:type="dxa"/>
            <w:tcBorders>
              <w:top w:val="nil"/>
              <w:left w:val="nil"/>
              <w:bottom w:val="single" w:color="000000" w:sz="4" w:space="0"/>
              <w:right w:val="single" w:color="000000" w:sz="4" w:space="0"/>
            </w:tcBorders>
            <w:noWrap w:val="0"/>
            <w:vAlign w:val="center"/>
          </w:tcPr>
          <w:p w14:paraId="2671FC04">
            <w:pPr>
              <w:keepNext w:val="0"/>
              <w:keepLines w:val="0"/>
              <w:widowControl/>
              <w:suppressLineNumbers w:val="0"/>
              <w:spacing w:before="0" w:beforeAutospacing="0" w:after="0" w:afterAutospacing="0"/>
              <w:ind w:left="0" w:right="0"/>
              <w:jc w:val="center"/>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Cs w:val="21"/>
                <w:highlight w:val="none"/>
                <w14:textFill>
                  <w14:solidFill>
                    <w14:schemeClr w14:val="tx1"/>
                  </w14:solidFill>
                </w14:textFill>
              </w:rPr>
              <w:t>m3</w:t>
            </w:r>
          </w:p>
        </w:tc>
        <w:tc>
          <w:tcPr>
            <w:tcW w:w="1463" w:type="dxa"/>
            <w:tcBorders>
              <w:top w:val="nil"/>
              <w:left w:val="nil"/>
              <w:bottom w:val="single" w:color="000000" w:sz="4" w:space="0"/>
              <w:right w:val="single" w:color="000000" w:sz="4" w:space="0"/>
            </w:tcBorders>
            <w:noWrap w:val="0"/>
            <w:vAlign w:val="center"/>
          </w:tcPr>
          <w:p w14:paraId="1E039E4A">
            <w:pPr>
              <w:keepNext w:val="0"/>
              <w:keepLines w:val="0"/>
              <w:widowControl/>
              <w:suppressLineNumbers w:val="0"/>
              <w:spacing w:before="0" w:beforeAutospacing="0" w:after="0" w:afterAutospacing="0"/>
              <w:ind w:left="0" w:right="0"/>
              <w:jc w:val="cente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Cs w:val="21"/>
                <w:highlight w:val="none"/>
                <w14:textFill>
                  <w14:solidFill>
                    <w14:schemeClr w14:val="tx1"/>
                  </w14:solidFill>
                </w14:textFill>
              </w:rPr>
              <w:t>109.37</w:t>
            </w:r>
          </w:p>
        </w:tc>
      </w:tr>
      <w:tr w14:paraId="0AAE48D3">
        <w:tblPrEx>
          <w:tblCellMar>
            <w:top w:w="0" w:type="dxa"/>
            <w:left w:w="108" w:type="dxa"/>
            <w:bottom w:w="0" w:type="dxa"/>
            <w:right w:w="108" w:type="dxa"/>
          </w:tblCellMar>
        </w:tblPrEx>
        <w:trPr>
          <w:trHeight w:val="928" w:hRule="atLeast"/>
          <w:jc w:val="center"/>
        </w:trPr>
        <w:tc>
          <w:tcPr>
            <w:tcW w:w="939" w:type="dxa"/>
            <w:tcBorders>
              <w:top w:val="nil"/>
              <w:left w:val="single" w:color="000000" w:sz="4" w:space="0"/>
              <w:bottom w:val="single" w:color="000000" w:sz="4" w:space="0"/>
              <w:right w:val="single" w:color="000000" w:sz="4" w:space="0"/>
            </w:tcBorders>
            <w:noWrap w:val="0"/>
            <w:vAlign w:val="center"/>
          </w:tcPr>
          <w:p w14:paraId="6D88A1D1">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13</w:t>
            </w:r>
          </w:p>
        </w:tc>
        <w:tc>
          <w:tcPr>
            <w:tcW w:w="1821" w:type="dxa"/>
            <w:tcBorders>
              <w:top w:val="nil"/>
              <w:left w:val="nil"/>
              <w:bottom w:val="single" w:color="000000" w:sz="4" w:space="0"/>
              <w:right w:val="single" w:color="000000" w:sz="4" w:space="0"/>
            </w:tcBorders>
            <w:noWrap w:val="0"/>
            <w:vAlign w:val="center"/>
          </w:tcPr>
          <w:p w14:paraId="7D46D569">
            <w:pPr>
              <w:keepNext w:val="0"/>
              <w:keepLines w:val="0"/>
              <w:widowControl/>
              <w:suppressLineNumbers w:val="0"/>
              <w:spacing w:before="0" w:beforeAutospacing="0" w:after="0" w:afterAutospacing="0"/>
              <w:ind w:left="0" w:right="0"/>
              <w:jc w:val="lef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Cs w:val="21"/>
                <w:highlight w:val="none"/>
                <w14:textFill>
                  <w14:solidFill>
                    <w14:schemeClr w14:val="tx1"/>
                  </w14:solidFill>
                </w14:textFill>
              </w:rPr>
              <w:t>污物处置费</w:t>
            </w:r>
          </w:p>
        </w:tc>
        <w:tc>
          <w:tcPr>
            <w:tcW w:w="4685" w:type="dxa"/>
            <w:tcBorders>
              <w:top w:val="nil"/>
              <w:left w:val="nil"/>
              <w:bottom w:val="single" w:color="000000" w:sz="4" w:space="0"/>
              <w:right w:val="single" w:color="000000" w:sz="4" w:space="0"/>
            </w:tcBorders>
            <w:noWrap w:val="0"/>
            <w:vAlign w:val="center"/>
          </w:tcPr>
          <w:p w14:paraId="04FD2EF2">
            <w:pPr>
              <w:keepNext w:val="0"/>
              <w:keepLines w:val="0"/>
              <w:widowControl/>
              <w:suppressLineNumbers w:val="0"/>
              <w:spacing w:before="0" w:beforeAutospacing="0" w:after="0" w:afterAutospacing="0"/>
              <w:ind w:left="0" w:right="0"/>
              <w:jc w:val="lef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Cs w:val="21"/>
                <w:highlight w:val="none"/>
                <w14:textFill>
                  <w14:solidFill>
                    <w14:schemeClr w14:val="tx1"/>
                  </w14:solidFill>
                </w14:textFill>
              </w:rPr>
              <w:t>规范化处置，1</w:t>
            </w: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m³</w:t>
            </w:r>
            <w:r>
              <w:rPr>
                <w:rFonts w:hint="eastAsia" w:ascii="宋体" w:hAnsi="宋体" w:eastAsia="宋体" w:cs="宋体"/>
                <w:b w:val="0"/>
                <w:bCs w:val="0"/>
                <w:color w:val="000000" w:themeColor="text1"/>
                <w:szCs w:val="21"/>
                <w:highlight w:val="none"/>
                <w14:textFill>
                  <w14:solidFill>
                    <w14:schemeClr w14:val="tx1"/>
                  </w14:solidFill>
                </w14:textFill>
              </w:rPr>
              <w:t>=1.8t</w:t>
            </w:r>
          </w:p>
        </w:tc>
        <w:tc>
          <w:tcPr>
            <w:tcW w:w="1009" w:type="dxa"/>
            <w:tcBorders>
              <w:top w:val="nil"/>
              <w:left w:val="nil"/>
              <w:bottom w:val="single" w:color="000000" w:sz="4" w:space="0"/>
              <w:right w:val="single" w:color="000000" w:sz="4" w:space="0"/>
            </w:tcBorders>
            <w:noWrap w:val="0"/>
            <w:vAlign w:val="center"/>
          </w:tcPr>
          <w:p w14:paraId="4FD68689">
            <w:pPr>
              <w:keepNext w:val="0"/>
              <w:keepLines w:val="0"/>
              <w:widowControl/>
              <w:suppressLineNumbers w:val="0"/>
              <w:spacing w:before="0" w:beforeAutospacing="0" w:after="0" w:afterAutospacing="0"/>
              <w:ind w:left="0" w:right="0"/>
              <w:jc w:val="center"/>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Cs w:val="21"/>
                <w:highlight w:val="none"/>
                <w14:textFill>
                  <w14:solidFill>
                    <w14:schemeClr w14:val="tx1"/>
                  </w14:solidFill>
                </w14:textFill>
              </w:rPr>
              <w:t>t</w:t>
            </w:r>
          </w:p>
        </w:tc>
        <w:tc>
          <w:tcPr>
            <w:tcW w:w="1463" w:type="dxa"/>
            <w:tcBorders>
              <w:top w:val="nil"/>
              <w:left w:val="nil"/>
              <w:bottom w:val="single" w:color="000000" w:sz="4" w:space="0"/>
              <w:right w:val="single" w:color="000000" w:sz="4" w:space="0"/>
            </w:tcBorders>
            <w:noWrap w:val="0"/>
            <w:vAlign w:val="center"/>
          </w:tcPr>
          <w:p w14:paraId="4EFBF1D5">
            <w:pPr>
              <w:keepNext w:val="0"/>
              <w:keepLines w:val="0"/>
              <w:widowControl/>
              <w:suppressLineNumbers w:val="0"/>
              <w:spacing w:before="0" w:beforeAutospacing="0" w:after="0" w:afterAutospacing="0"/>
              <w:ind w:left="0" w:right="0"/>
              <w:jc w:val="cente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Cs w:val="21"/>
                <w:highlight w:val="none"/>
                <w14:textFill>
                  <w14:solidFill>
                    <w14:schemeClr w14:val="tx1"/>
                  </w14:solidFill>
                </w14:textFill>
              </w:rPr>
              <w:t>454.99</w:t>
            </w:r>
          </w:p>
        </w:tc>
      </w:tr>
      <w:tr w14:paraId="3A0EA1BE">
        <w:tblPrEx>
          <w:tblCellMar>
            <w:top w:w="0" w:type="dxa"/>
            <w:left w:w="108" w:type="dxa"/>
            <w:bottom w:w="0" w:type="dxa"/>
            <w:right w:w="108" w:type="dxa"/>
          </w:tblCellMar>
        </w:tblPrEx>
        <w:trPr>
          <w:trHeight w:val="755" w:hRule="atLeast"/>
          <w:jc w:val="center"/>
        </w:trPr>
        <w:tc>
          <w:tcPr>
            <w:tcW w:w="939" w:type="dxa"/>
            <w:tcBorders>
              <w:top w:val="nil"/>
              <w:left w:val="single" w:color="000000" w:sz="4" w:space="0"/>
              <w:bottom w:val="single" w:color="000000" w:sz="4" w:space="0"/>
              <w:right w:val="single" w:color="000000" w:sz="4" w:space="0"/>
            </w:tcBorders>
            <w:noWrap w:val="0"/>
            <w:vAlign w:val="center"/>
          </w:tcPr>
          <w:p w14:paraId="03618CF3">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w:t>
            </w:r>
            <w:r>
              <w:rPr>
                <w:rFonts w:hint="eastAsia" w:ascii="宋体" w:hAnsi="宋体" w:eastAsia="宋体" w:cs="宋体"/>
                <w:color w:val="000000" w:themeColor="text1"/>
                <w:szCs w:val="21"/>
                <w:highlight w:val="none"/>
                <w:lang w:val="en-US" w:eastAsia="zh-CN"/>
                <w14:textFill>
                  <w14:solidFill>
                    <w14:schemeClr w14:val="tx1"/>
                  </w14:solidFill>
                </w14:textFill>
              </w:rPr>
              <w:t>二</w:t>
            </w:r>
            <w:r>
              <w:rPr>
                <w:rFonts w:hint="eastAsia" w:ascii="宋体" w:hAnsi="宋体" w:eastAsia="宋体" w:cs="宋体"/>
                <w:color w:val="000000" w:themeColor="text1"/>
                <w:szCs w:val="21"/>
                <w:highlight w:val="none"/>
                <w:lang w:eastAsia="zh-CN"/>
                <w14:textFill>
                  <w14:solidFill>
                    <w14:schemeClr w14:val="tx1"/>
                  </w14:solidFill>
                </w14:textFill>
              </w:rPr>
              <w:t>）</w:t>
            </w:r>
          </w:p>
        </w:tc>
        <w:tc>
          <w:tcPr>
            <w:tcW w:w="1821" w:type="dxa"/>
            <w:tcBorders>
              <w:top w:val="nil"/>
              <w:left w:val="nil"/>
              <w:bottom w:val="single" w:color="000000" w:sz="4" w:space="0"/>
              <w:right w:val="single" w:color="000000" w:sz="4" w:space="0"/>
            </w:tcBorders>
            <w:noWrap w:val="0"/>
            <w:vAlign w:val="center"/>
          </w:tcPr>
          <w:p w14:paraId="0D1FF05D">
            <w:pPr>
              <w:keepNext w:val="0"/>
              <w:keepLines w:val="0"/>
              <w:widowControl/>
              <w:suppressLineNumbers w:val="0"/>
              <w:spacing w:before="0" w:beforeAutospacing="0" w:after="0" w:afterAutospacing="0"/>
              <w:ind w:left="0" w:right="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雨污分流改造</w:t>
            </w:r>
          </w:p>
        </w:tc>
        <w:tc>
          <w:tcPr>
            <w:tcW w:w="4685" w:type="dxa"/>
            <w:tcBorders>
              <w:top w:val="nil"/>
              <w:left w:val="nil"/>
              <w:bottom w:val="single" w:color="000000" w:sz="4" w:space="0"/>
              <w:right w:val="single" w:color="000000" w:sz="4" w:space="0"/>
            </w:tcBorders>
            <w:noWrap w:val="0"/>
            <w:vAlign w:val="center"/>
          </w:tcPr>
          <w:p w14:paraId="0EEAAC3F">
            <w:pPr>
              <w:keepNext w:val="0"/>
              <w:keepLines w:val="0"/>
              <w:widowControl/>
              <w:suppressLineNumbers w:val="0"/>
              <w:spacing w:before="0" w:beforeAutospacing="0" w:after="0" w:afterAutospacing="0"/>
              <w:ind w:left="0" w:right="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雨污混流、管网破损改造</w:t>
            </w:r>
          </w:p>
        </w:tc>
        <w:tc>
          <w:tcPr>
            <w:tcW w:w="1009" w:type="dxa"/>
            <w:tcBorders>
              <w:top w:val="nil"/>
              <w:left w:val="nil"/>
              <w:bottom w:val="single" w:color="000000" w:sz="4" w:space="0"/>
              <w:right w:val="single" w:color="000000" w:sz="4" w:space="0"/>
            </w:tcBorders>
            <w:noWrap w:val="0"/>
            <w:vAlign w:val="center"/>
          </w:tcPr>
          <w:p w14:paraId="71AACC20">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w:t>
            </w:r>
          </w:p>
        </w:tc>
        <w:tc>
          <w:tcPr>
            <w:tcW w:w="1463" w:type="dxa"/>
            <w:tcBorders>
              <w:top w:val="nil"/>
              <w:left w:val="nil"/>
              <w:bottom w:val="single" w:color="000000" w:sz="4" w:space="0"/>
              <w:right w:val="single" w:color="000000" w:sz="4" w:space="0"/>
            </w:tcBorders>
            <w:noWrap w:val="0"/>
            <w:vAlign w:val="center"/>
          </w:tcPr>
          <w:p w14:paraId="5E2DA652">
            <w:pPr>
              <w:keepNext w:val="0"/>
              <w:keepLines w:val="0"/>
              <w:widowControl/>
              <w:suppressLineNumbers w:val="0"/>
              <w:spacing w:before="0" w:beforeAutospacing="0" w:after="0" w:afterAutospacing="0"/>
              <w:ind w:left="0" w:right="0"/>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p>
        </w:tc>
      </w:tr>
      <w:tr w14:paraId="0EE8C8F7">
        <w:tblPrEx>
          <w:tblCellMar>
            <w:top w:w="0" w:type="dxa"/>
            <w:left w:w="108" w:type="dxa"/>
            <w:bottom w:w="0" w:type="dxa"/>
            <w:right w:w="108" w:type="dxa"/>
          </w:tblCellMar>
        </w:tblPrEx>
        <w:trPr>
          <w:trHeight w:val="1068" w:hRule="atLeast"/>
          <w:jc w:val="center"/>
        </w:trPr>
        <w:tc>
          <w:tcPr>
            <w:tcW w:w="939" w:type="dxa"/>
            <w:tcBorders>
              <w:top w:val="nil"/>
              <w:left w:val="single" w:color="000000" w:sz="4" w:space="0"/>
              <w:bottom w:val="single" w:color="000000" w:sz="4" w:space="0"/>
              <w:right w:val="single" w:color="000000" w:sz="4" w:space="0"/>
            </w:tcBorders>
            <w:noWrap w:val="0"/>
            <w:vAlign w:val="center"/>
          </w:tcPr>
          <w:p w14:paraId="459EB262">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w:t>
            </w:r>
            <w:r>
              <w:rPr>
                <w:rFonts w:hint="eastAsia" w:ascii="宋体" w:hAnsi="宋体" w:eastAsia="宋体" w:cs="宋体"/>
                <w:color w:val="000000" w:themeColor="text1"/>
                <w:szCs w:val="21"/>
                <w:highlight w:val="none"/>
                <w:lang w:val="en-US" w:eastAsia="zh-CN"/>
                <w14:textFill>
                  <w14:solidFill>
                    <w14:schemeClr w14:val="tx1"/>
                  </w14:solidFill>
                </w14:textFill>
              </w:rPr>
              <w:t>4</w:t>
            </w:r>
          </w:p>
        </w:tc>
        <w:tc>
          <w:tcPr>
            <w:tcW w:w="1821" w:type="dxa"/>
            <w:tcBorders>
              <w:top w:val="nil"/>
              <w:left w:val="nil"/>
              <w:bottom w:val="single" w:color="000000" w:sz="4" w:space="0"/>
              <w:right w:val="single" w:color="000000" w:sz="4" w:space="0"/>
            </w:tcBorders>
            <w:noWrap w:val="0"/>
            <w:vAlign w:val="center"/>
          </w:tcPr>
          <w:p w14:paraId="136D2D5A">
            <w:pPr>
              <w:keepNext w:val="0"/>
              <w:keepLines w:val="0"/>
              <w:widowControl/>
              <w:suppressLineNumbers w:val="0"/>
              <w:spacing w:before="0" w:beforeAutospacing="0" w:after="0" w:afterAutospacing="0"/>
              <w:ind w:left="0" w:right="0"/>
              <w:jc w:val="lef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Cs w:val="21"/>
                <w:highlight w:val="none"/>
                <w14:textFill>
                  <w14:solidFill>
                    <w14:schemeClr w14:val="tx1"/>
                  </w14:solidFill>
                </w14:textFill>
              </w:rPr>
              <w:t>UPVC实壁管De110以内管道开挖铺设（绿化带）</w:t>
            </w:r>
          </w:p>
        </w:tc>
        <w:tc>
          <w:tcPr>
            <w:tcW w:w="4685" w:type="dxa"/>
            <w:tcBorders>
              <w:top w:val="nil"/>
              <w:left w:val="nil"/>
              <w:bottom w:val="single" w:color="000000" w:sz="4" w:space="0"/>
              <w:right w:val="single" w:color="000000" w:sz="4" w:space="0"/>
            </w:tcBorders>
            <w:noWrap w:val="0"/>
            <w:vAlign w:val="center"/>
          </w:tcPr>
          <w:p w14:paraId="5E02165F">
            <w:pPr>
              <w:keepNext w:val="0"/>
              <w:keepLines w:val="0"/>
              <w:widowControl/>
              <w:suppressLineNumbers w:val="0"/>
              <w:spacing w:before="0" w:beforeAutospacing="0" w:after="0" w:afterAutospacing="0"/>
              <w:ind w:left="0" w:right="0"/>
              <w:jc w:val="lef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Cs w:val="21"/>
                <w:highlight w:val="none"/>
                <w14:textFill>
                  <w14:solidFill>
                    <w14:schemeClr w14:val="tx1"/>
                  </w14:solidFill>
                </w14:textFill>
              </w:rPr>
              <w:t>1、开挖沟槽、铺设进场、下管稳管、清理管口、填缝、抹带、</w:t>
            </w: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管周中粗砂回填、顶部素土回填</w:t>
            </w:r>
            <w:r>
              <w:rPr>
                <w:rFonts w:hint="eastAsia" w:ascii="宋体" w:hAnsi="宋体" w:eastAsia="宋体" w:cs="宋体"/>
                <w:b w:val="0"/>
                <w:bCs w:val="0"/>
                <w:color w:val="000000" w:themeColor="text1"/>
                <w:szCs w:val="21"/>
                <w:highlight w:val="none"/>
                <w14:textFill>
                  <w14:solidFill>
                    <w14:schemeClr w14:val="tx1"/>
                  </w14:solidFill>
                </w14:textFill>
              </w:rPr>
              <w:t>、养护</w:t>
            </w:r>
            <w:r>
              <w:rPr>
                <w:rFonts w:hint="eastAsia" w:ascii="宋体" w:hAnsi="宋体" w:eastAsia="宋体" w:cs="宋体"/>
                <w:b w:val="0"/>
                <w:bCs w:val="0"/>
                <w:color w:val="000000" w:themeColor="text1"/>
                <w:szCs w:val="21"/>
                <w:highlight w:val="none"/>
                <w14:textFill>
                  <w14:solidFill>
                    <w14:schemeClr w14:val="tx1"/>
                  </w14:solidFill>
                </w14:textFill>
              </w:rPr>
              <w:br w:type="textWrapping"/>
            </w:r>
            <w:r>
              <w:rPr>
                <w:rFonts w:hint="eastAsia" w:ascii="宋体" w:hAnsi="宋体" w:eastAsia="宋体" w:cs="宋体"/>
                <w:b w:val="0"/>
                <w:bCs w:val="0"/>
                <w:color w:val="000000" w:themeColor="text1"/>
                <w:szCs w:val="21"/>
                <w:highlight w:val="none"/>
                <w14:textFill>
                  <w14:solidFill>
                    <w14:schemeClr w14:val="tx1"/>
                  </w14:solidFill>
                </w14:textFill>
              </w:rPr>
              <w:t>2、安放安全设施、清理场地</w:t>
            </w:r>
          </w:p>
        </w:tc>
        <w:tc>
          <w:tcPr>
            <w:tcW w:w="1009" w:type="dxa"/>
            <w:tcBorders>
              <w:top w:val="nil"/>
              <w:left w:val="nil"/>
              <w:bottom w:val="single" w:color="000000" w:sz="4" w:space="0"/>
              <w:right w:val="single" w:color="000000" w:sz="4" w:space="0"/>
            </w:tcBorders>
            <w:noWrap w:val="0"/>
            <w:vAlign w:val="center"/>
          </w:tcPr>
          <w:p w14:paraId="243430EB">
            <w:pPr>
              <w:keepNext w:val="0"/>
              <w:keepLines w:val="0"/>
              <w:widowControl/>
              <w:suppressLineNumbers w:val="0"/>
              <w:spacing w:before="0" w:beforeAutospacing="0" w:after="0" w:afterAutospacing="0"/>
              <w:ind w:left="0" w:right="0"/>
              <w:jc w:val="center"/>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Cs w:val="21"/>
                <w:highlight w:val="none"/>
                <w14:textFill>
                  <w14:solidFill>
                    <w14:schemeClr w14:val="tx1"/>
                  </w14:solidFill>
                </w14:textFill>
              </w:rPr>
              <w:t>m</w:t>
            </w:r>
          </w:p>
        </w:tc>
        <w:tc>
          <w:tcPr>
            <w:tcW w:w="1463" w:type="dxa"/>
            <w:tcBorders>
              <w:top w:val="nil"/>
              <w:left w:val="nil"/>
              <w:bottom w:val="single" w:color="000000" w:sz="4" w:space="0"/>
              <w:right w:val="single" w:color="000000" w:sz="4" w:space="0"/>
            </w:tcBorders>
            <w:noWrap w:val="0"/>
            <w:vAlign w:val="center"/>
          </w:tcPr>
          <w:p w14:paraId="129662FE">
            <w:pPr>
              <w:keepNext w:val="0"/>
              <w:keepLines w:val="0"/>
              <w:widowControl/>
              <w:suppressLineNumbers w:val="0"/>
              <w:spacing w:before="0" w:beforeAutospacing="0" w:after="0" w:afterAutospacing="0"/>
              <w:ind w:left="0" w:right="0"/>
              <w:jc w:val="cente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Cs w:val="21"/>
                <w:highlight w:val="none"/>
                <w14:textFill>
                  <w14:solidFill>
                    <w14:schemeClr w14:val="tx1"/>
                  </w14:solidFill>
                </w14:textFill>
              </w:rPr>
              <w:t>130.42</w:t>
            </w:r>
          </w:p>
        </w:tc>
      </w:tr>
      <w:tr w14:paraId="54C396B1">
        <w:tblPrEx>
          <w:tblCellMar>
            <w:top w:w="0" w:type="dxa"/>
            <w:left w:w="108" w:type="dxa"/>
            <w:bottom w:w="0" w:type="dxa"/>
            <w:right w:w="108" w:type="dxa"/>
          </w:tblCellMar>
        </w:tblPrEx>
        <w:trPr>
          <w:trHeight w:val="1333" w:hRule="atLeast"/>
          <w:jc w:val="center"/>
        </w:trPr>
        <w:tc>
          <w:tcPr>
            <w:tcW w:w="939" w:type="dxa"/>
            <w:tcBorders>
              <w:top w:val="nil"/>
              <w:left w:val="single" w:color="000000" w:sz="4" w:space="0"/>
              <w:bottom w:val="single" w:color="000000" w:sz="4" w:space="0"/>
              <w:right w:val="single" w:color="000000" w:sz="4" w:space="0"/>
            </w:tcBorders>
            <w:noWrap w:val="0"/>
            <w:vAlign w:val="center"/>
          </w:tcPr>
          <w:p w14:paraId="3E44CC4C">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w:t>
            </w:r>
            <w:r>
              <w:rPr>
                <w:rFonts w:hint="eastAsia" w:ascii="宋体" w:hAnsi="宋体" w:eastAsia="宋体" w:cs="宋体"/>
                <w:color w:val="000000" w:themeColor="text1"/>
                <w:szCs w:val="21"/>
                <w:highlight w:val="none"/>
                <w:lang w:val="en-US" w:eastAsia="zh-CN"/>
                <w14:textFill>
                  <w14:solidFill>
                    <w14:schemeClr w14:val="tx1"/>
                  </w14:solidFill>
                </w14:textFill>
              </w:rPr>
              <w:t>5</w:t>
            </w:r>
          </w:p>
        </w:tc>
        <w:tc>
          <w:tcPr>
            <w:tcW w:w="1821" w:type="dxa"/>
            <w:tcBorders>
              <w:top w:val="nil"/>
              <w:left w:val="nil"/>
              <w:bottom w:val="single" w:color="000000" w:sz="4" w:space="0"/>
              <w:right w:val="single" w:color="000000" w:sz="4" w:space="0"/>
            </w:tcBorders>
            <w:noWrap w:val="0"/>
            <w:vAlign w:val="center"/>
          </w:tcPr>
          <w:p w14:paraId="76D4E855">
            <w:pPr>
              <w:keepNext w:val="0"/>
              <w:keepLines w:val="0"/>
              <w:widowControl/>
              <w:suppressLineNumbers w:val="0"/>
              <w:spacing w:before="0" w:beforeAutospacing="0" w:after="0" w:afterAutospacing="0"/>
              <w:ind w:left="0" w:right="0"/>
              <w:jc w:val="lef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Cs w:val="21"/>
                <w:highlight w:val="none"/>
                <w14:textFill>
                  <w14:solidFill>
                    <w14:schemeClr w14:val="tx1"/>
                  </w14:solidFill>
                </w14:textFill>
              </w:rPr>
              <w:t>UPVC实壁管De110以内管道开挖铺设（路面）</w:t>
            </w:r>
          </w:p>
        </w:tc>
        <w:tc>
          <w:tcPr>
            <w:tcW w:w="4685" w:type="dxa"/>
            <w:tcBorders>
              <w:top w:val="nil"/>
              <w:left w:val="nil"/>
              <w:bottom w:val="single" w:color="000000" w:sz="4" w:space="0"/>
              <w:right w:val="single" w:color="000000" w:sz="4" w:space="0"/>
            </w:tcBorders>
            <w:noWrap w:val="0"/>
            <w:vAlign w:val="center"/>
          </w:tcPr>
          <w:p w14:paraId="3F9D2AD3">
            <w:pPr>
              <w:keepNext w:val="0"/>
              <w:keepLines w:val="0"/>
              <w:widowControl/>
              <w:suppressLineNumbers w:val="0"/>
              <w:spacing w:before="0" w:beforeAutospacing="0" w:after="0" w:afterAutospacing="0"/>
              <w:ind w:left="0" w:right="0"/>
              <w:jc w:val="lef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Cs w:val="21"/>
                <w:highlight w:val="none"/>
                <w14:textFill>
                  <w14:solidFill>
                    <w14:schemeClr w14:val="tx1"/>
                  </w14:solidFill>
                </w14:textFill>
              </w:rPr>
              <w:t>1、开挖沟槽、铺设进场、下管稳管、清理管口、填缝、抹带、</w:t>
            </w: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管周中粗砂回填、顶部碎石</w:t>
            </w:r>
            <w:r>
              <w:rPr>
                <w:rFonts w:hint="eastAsia" w:ascii="宋体" w:hAnsi="宋体" w:eastAsia="宋体" w:cs="宋体"/>
                <w:b w:val="0"/>
                <w:bCs w:val="0"/>
                <w:color w:val="000000" w:themeColor="text1"/>
                <w:szCs w:val="21"/>
                <w:highlight w:val="none"/>
                <w14:textFill>
                  <w14:solidFill>
                    <w14:schemeClr w14:val="tx1"/>
                  </w14:solidFill>
                </w14:textFill>
              </w:rPr>
              <w:t>、养护</w:t>
            </w:r>
            <w:r>
              <w:rPr>
                <w:rFonts w:hint="eastAsia" w:ascii="宋体" w:hAnsi="宋体" w:eastAsia="宋体" w:cs="宋体"/>
                <w:b w:val="0"/>
                <w:bCs w:val="0"/>
                <w:color w:val="000000" w:themeColor="text1"/>
                <w:szCs w:val="21"/>
                <w:highlight w:val="none"/>
                <w14:textFill>
                  <w14:solidFill>
                    <w14:schemeClr w14:val="tx1"/>
                  </w14:solidFill>
                </w14:textFill>
              </w:rPr>
              <w:br w:type="textWrapping"/>
            </w:r>
            <w:r>
              <w:rPr>
                <w:rFonts w:hint="eastAsia" w:ascii="宋体" w:hAnsi="宋体" w:eastAsia="宋体" w:cs="宋体"/>
                <w:b w:val="0"/>
                <w:bCs w:val="0"/>
                <w:color w:val="000000" w:themeColor="text1"/>
                <w:szCs w:val="21"/>
                <w:highlight w:val="none"/>
                <w14:textFill>
                  <w14:solidFill>
                    <w14:schemeClr w14:val="tx1"/>
                  </w14:solidFill>
                </w14:textFill>
              </w:rPr>
              <w:t>2、安放安全设施、清理场地</w:t>
            </w:r>
            <w:r>
              <w:rPr>
                <w:rFonts w:hint="eastAsia" w:ascii="宋体" w:hAnsi="宋体" w:eastAsia="宋体" w:cs="宋体"/>
                <w:b w:val="0"/>
                <w:bCs w:val="0"/>
                <w:color w:val="000000" w:themeColor="text1"/>
                <w:szCs w:val="21"/>
                <w:highlight w:val="none"/>
                <w14:textFill>
                  <w14:solidFill>
                    <w14:schemeClr w14:val="tx1"/>
                  </w14:solidFill>
                </w14:textFill>
              </w:rPr>
              <w:br w:type="textWrapping"/>
            </w: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3、不含路面拆除及修复</w:t>
            </w:r>
          </w:p>
        </w:tc>
        <w:tc>
          <w:tcPr>
            <w:tcW w:w="1009" w:type="dxa"/>
            <w:tcBorders>
              <w:top w:val="nil"/>
              <w:left w:val="nil"/>
              <w:bottom w:val="single" w:color="000000" w:sz="4" w:space="0"/>
              <w:right w:val="single" w:color="000000" w:sz="4" w:space="0"/>
            </w:tcBorders>
            <w:noWrap w:val="0"/>
            <w:vAlign w:val="center"/>
          </w:tcPr>
          <w:p w14:paraId="07014240">
            <w:pPr>
              <w:keepNext w:val="0"/>
              <w:keepLines w:val="0"/>
              <w:widowControl/>
              <w:suppressLineNumbers w:val="0"/>
              <w:spacing w:before="0" w:beforeAutospacing="0" w:after="0" w:afterAutospacing="0"/>
              <w:ind w:left="0" w:right="0"/>
              <w:jc w:val="center"/>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Cs w:val="21"/>
                <w:highlight w:val="none"/>
                <w14:textFill>
                  <w14:solidFill>
                    <w14:schemeClr w14:val="tx1"/>
                  </w14:solidFill>
                </w14:textFill>
              </w:rPr>
              <w:t>m</w:t>
            </w:r>
          </w:p>
        </w:tc>
        <w:tc>
          <w:tcPr>
            <w:tcW w:w="1463" w:type="dxa"/>
            <w:tcBorders>
              <w:top w:val="nil"/>
              <w:left w:val="nil"/>
              <w:bottom w:val="single" w:color="000000" w:sz="4" w:space="0"/>
              <w:right w:val="single" w:color="000000" w:sz="4" w:space="0"/>
            </w:tcBorders>
            <w:noWrap w:val="0"/>
            <w:vAlign w:val="center"/>
          </w:tcPr>
          <w:p w14:paraId="30EAB74D">
            <w:pPr>
              <w:keepNext w:val="0"/>
              <w:keepLines w:val="0"/>
              <w:widowControl/>
              <w:suppressLineNumbers w:val="0"/>
              <w:spacing w:before="0" w:beforeAutospacing="0" w:after="0" w:afterAutospacing="0"/>
              <w:ind w:left="0" w:right="0"/>
              <w:jc w:val="cente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Cs w:val="21"/>
                <w:highlight w:val="none"/>
                <w14:textFill>
                  <w14:solidFill>
                    <w14:schemeClr w14:val="tx1"/>
                  </w14:solidFill>
                </w14:textFill>
              </w:rPr>
              <w:t>144.03</w:t>
            </w:r>
          </w:p>
        </w:tc>
      </w:tr>
      <w:tr w14:paraId="11A12E4C">
        <w:tblPrEx>
          <w:tblCellMar>
            <w:top w:w="0" w:type="dxa"/>
            <w:left w:w="108" w:type="dxa"/>
            <w:bottom w:w="0" w:type="dxa"/>
            <w:right w:w="108" w:type="dxa"/>
          </w:tblCellMar>
        </w:tblPrEx>
        <w:trPr>
          <w:trHeight w:val="1068" w:hRule="atLeast"/>
          <w:jc w:val="center"/>
        </w:trPr>
        <w:tc>
          <w:tcPr>
            <w:tcW w:w="939" w:type="dxa"/>
            <w:tcBorders>
              <w:top w:val="nil"/>
              <w:left w:val="single" w:color="000000" w:sz="4" w:space="0"/>
              <w:bottom w:val="single" w:color="000000" w:sz="4" w:space="0"/>
              <w:right w:val="single" w:color="000000" w:sz="4" w:space="0"/>
            </w:tcBorders>
            <w:noWrap w:val="0"/>
            <w:vAlign w:val="center"/>
          </w:tcPr>
          <w:p w14:paraId="5A189A23">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w:t>
            </w:r>
            <w:r>
              <w:rPr>
                <w:rFonts w:hint="eastAsia" w:ascii="宋体" w:hAnsi="宋体" w:eastAsia="宋体" w:cs="宋体"/>
                <w:color w:val="000000" w:themeColor="text1"/>
                <w:szCs w:val="21"/>
                <w:highlight w:val="none"/>
                <w:lang w:val="en-US" w:eastAsia="zh-CN"/>
                <w14:textFill>
                  <w14:solidFill>
                    <w14:schemeClr w14:val="tx1"/>
                  </w14:solidFill>
                </w14:textFill>
              </w:rPr>
              <w:t>6</w:t>
            </w:r>
          </w:p>
        </w:tc>
        <w:tc>
          <w:tcPr>
            <w:tcW w:w="1821" w:type="dxa"/>
            <w:tcBorders>
              <w:top w:val="nil"/>
              <w:left w:val="nil"/>
              <w:bottom w:val="single" w:color="000000" w:sz="4" w:space="0"/>
              <w:right w:val="single" w:color="000000" w:sz="4" w:space="0"/>
            </w:tcBorders>
            <w:noWrap w:val="0"/>
            <w:vAlign w:val="center"/>
          </w:tcPr>
          <w:p w14:paraId="1E6455B3">
            <w:pPr>
              <w:keepNext w:val="0"/>
              <w:keepLines w:val="0"/>
              <w:widowControl/>
              <w:suppressLineNumbers w:val="0"/>
              <w:spacing w:before="0" w:beforeAutospacing="0" w:after="0" w:afterAutospacing="0"/>
              <w:ind w:left="0" w:right="0"/>
              <w:jc w:val="lef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Cs w:val="21"/>
                <w:highlight w:val="none"/>
                <w14:textFill>
                  <w14:solidFill>
                    <w14:schemeClr w14:val="tx1"/>
                  </w14:solidFill>
                </w14:textFill>
              </w:rPr>
              <w:t>UPVC实壁管De160以内管道开挖铺设（绿化带）</w:t>
            </w:r>
          </w:p>
        </w:tc>
        <w:tc>
          <w:tcPr>
            <w:tcW w:w="4685" w:type="dxa"/>
            <w:tcBorders>
              <w:top w:val="nil"/>
              <w:left w:val="nil"/>
              <w:bottom w:val="single" w:color="000000" w:sz="4" w:space="0"/>
              <w:right w:val="single" w:color="000000" w:sz="4" w:space="0"/>
            </w:tcBorders>
            <w:noWrap w:val="0"/>
            <w:vAlign w:val="center"/>
          </w:tcPr>
          <w:p w14:paraId="5D94842A">
            <w:pPr>
              <w:keepNext w:val="0"/>
              <w:keepLines w:val="0"/>
              <w:widowControl/>
              <w:suppressLineNumbers w:val="0"/>
              <w:spacing w:before="0" w:beforeAutospacing="0" w:after="0" w:afterAutospacing="0"/>
              <w:ind w:left="0" w:right="0"/>
              <w:jc w:val="lef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Cs w:val="21"/>
                <w:highlight w:val="none"/>
                <w14:textFill>
                  <w14:solidFill>
                    <w14:schemeClr w14:val="tx1"/>
                  </w14:solidFill>
                </w14:textFill>
              </w:rPr>
              <w:t>1、开挖沟槽、铺设进场、下管稳管、清理管口、填缝、抹带、</w:t>
            </w: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管周中粗砂回填、顶部素土回填</w:t>
            </w:r>
            <w:r>
              <w:rPr>
                <w:rFonts w:hint="eastAsia" w:ascii="宋体" w:hAnsi="宋体" w:eastAsia="宋体" w:cs="宋体"/>
                <w:b w:val="0"/>
                <w:bCs w:val="0"/>
                <w:color w:val="000000" w:themeColor="text1"/>
                <w:szCs w:val="21"/>
                <w:highlight w:val="none"/>
                <w14:textFill>
                  <w14:solidFill>
                    <w14:schemeClr w14:val="tx1"/>
                  </w14:solidFill>
                </w14:textFill>
              </w:rPr>
              <w:t>、养护</w:t>
            </w:r>
            <w:r>
              <w:rPr>
                <w:rFonts w:hint="eastAsia" w:ascii="宋体" w:hAnsi="宋体" w:eastAsia="宋体" w:cs="宋体"/>
                <w:b w:val="0"/>
                <w:bCs w:val="0"/>
                <w:color w:val="000000" w:themeColor="text1"/>
                <w:szCs w:val="21"/>
                <w:highlight w:val="none"/>
                <w14:textFill>
                  <w14:solidFill>
                    <w14:schemeClr w14:val="tx1"/>
                  </w14:solidFill>
                </w14:textFill>
              </w:rPr>
              <w:br w:type="textWrapping"/>
            </w:r>
            <w:r>
              <w:rPr>
                <w:rFonts w:hint="eastAsia" w:ascii="宋体" w:hAnsi="宋体" w:eastAsia="宋体" w:cs="宋体"/>
                <w:b w:val="0"/>
                <w:bCs w:val="0"/>
                <w:color w:val="000000" w:themeColor="text1"/>
                <w:szCs w:val="21"/>
                <w:highlight w:val="none"/>
                <w14:textFill>
                  <w14:solidFill>
                    <w14:schemeClr w14:val="tx1"/>
                  </w14:solidFill>
                </w14:textFill>
              </w:rPr>
              <w:t>2、安放安全设施、清理场地</w:t>
            </w:r>
          </w:p>
        </w:tc>
        <w:tc>
          <w:tcPr>
            <w:tcW w:w="1009" w:type="dxa"/>
            <w:tcBorders>
              <w:top w:val="nil"/>
              <w:left w:val="nil"/>
              <w:bottom w:val="single" w:color="000000" w:sz="4" w:space="0"/>
              <w:right w:val="single" w:color="000000" w:sz="4" w:space="0"/>
            </w:tcBorders>
            <w:noWrap w:val="0"/>
            <w:vAlign w:val="center"/>
          </w:tcPr>
          <w:p w14:paraId="6342AFB3">
            <w:pPr>
              <w:keepNext w:val="0"/>
              <w:keepLines w:val="0"/>
              <w:widowControl/>
              <w:suppressLineNumbers w:val="0"/>
              <w:spacing w:before="0" w:beforeAutospacing="0" w:after="0" w:afterAutospacing="0"/>
              <w:ind w:left="0" w:right="0"/>
              <w:jc w:val="center"/>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Cs w:val="21"/>
                <w:highlight w:val="none"/>
                <w14:textFill>
                  <w14:solidFill>
                    <w14:schemeClr w14:val="tx1"/>
                  </w14:solidFill>
                </w14:textFill>
              </w:rPr>
              <w:t>m</w:t>
            </w:r>
          </w:p>
        </w:tc>
        <w:tc>
          <w:tcPr>
            <w:tcW w:w="1463" w:type="dxa"/>
            <w:tcBorders>
              <w:top w:val="nil"/>
              <w:left w:val="nil"/>
              <w:bottom w:val="single" w:color="000000" w:sz="4" w:space="0"/>
              <w:right w:val="single" w:color="000000" w:sz="4" w:space="0"/>
            </w:tcBorders>
            <w:noWrap w:val="0"/>
            <w:vAlign w:val="center"/>
          </w:tcPr>
          <w:p w14:paraId="21E93D9D">
            <w:pPr>
              <w:keepNext w:val="0"/>
              <w:keepLines w:val="0"/>
              <w:widowControl/>
              <w:suppressLineNumbers w:val="0"/>
              <w:spacing w:before="0" w:beforeAutospacing="0" w:after="0" w:afterAutospacing="0"/>
              <w:ind w:left="0" w:right="0"/>
              <w:jc w:val="cente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Cs w:val="21"/>
                <w:highlight w:val="none"/>
                <w14:textFill>
                  <w14:solidFill>
                    <w14:schemeClr w14:val="tx1"/>
                  </w14:solidFill>
                </w14:textFill>
              </w:rPr>
              <w:t>188.77</w:t>
            </w:r>
          </w:p>
        </w:tc>
      </w:tr>
      <w:tr w14:paraId="0D513891">
        <w:tblPrEx>
          <w:tblCellMar>
            <w:top w:w="0" w:type="dxa"/>
            <w:left w:w="108" w:type="dxa"/>
            <w:bottom w:w="0" w:type="dxa"/>
            <w:right w:w="108" w:type="dxa"/>
          </w:tblCellMar>
        </w:tblPrEx>
        <w:trPr>
          <w:trHeight w:val="1333" w:hRule="atLeast"/>
          <w:jc w:val="center"/>
        </w:trPr>
        <w:tc>
          <w:tcPr>
            <w:tcW w:w="939" w:type="dxa"/>
            <w:tcBorders>
              <w:top w:val="nil"/>
              <w:left w:val="single" w:color="000000" w:sz="4" w:space="0"/>
              <w:bottom w:val="single" w:color="000000" w:sz="4" w:space="0"/>
              <w:right w:val="single" w:color="000000" w:sz="4" w:space="0"/>
            </w:tcBorders>
            <w:noWrap w:val="0"/>
            <w:vAlign w:val="center"/>
          </w:tcPr>
          <w:p w14:paraId="3100A116">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w:t>
            </w:r>
            <w:r>
              <w:rPr>
                <w:rFonts w:hint="eastAsia" w:ascii="宋体" w:hAnsi="宋体" w:eastAsia="宋体" w:cs="宋体"/>
                <w:color w:val="000000" w:themeColor="text1"/>
                <w:szCs w:val="21"/>
                <w:highlight w:val="none"/>
                <w:lang w:val="en-US" w:eastAsia="zh-CN"/>
                <w14:textFill>
                  <w14:solidFill>
                    <w14:schemeClr w14:val="tx1"/>
                  </w14:solidFill>
                </w14:textFill>
              </w:rPr>
              <w:t>7</w:t>
            </w:r>
          </w:p>
        </w:tc>
        <w:tc>
          <w:tcPr>
            <w:tcW w:w="1821" w:type="dxa"/>
            <w:tcBorders>
              <w:top w:val="nil"/>
              <w:left w:val="nil"/>
              <w:bottom w:val="single" w:color="000000" w:sz="4" w:space="0"/>
              <w:right w:val="single" w:color="000000" w:sz="4" w:space="0"/>
            </w:tcBorders>
            <w:noWrap w:val="0"/>
            <w:vAlign w:val="center"/>
          </w:tcPr>
          <w:p w14:paraId="21AA67EC">
            <w:pPr>
              <w:keepNext w:val="0"/>
              <w:keepLines w:val="0"/>
              <w:widowControl/>
              <w:suppressLineNumbers w:val="0"/>
              <w:spacing w:before="0" w:beforeAutospacing="0" w:after="0" w:afterAutospacing="0"/>
              <w:ind w:left="0" w:right="0"/>
              <w:jc w:val="lef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Cs w:val="21"/>
                <w:highlight w:val="none"/>
                <w14:textFill>
                  <w14:solidFill>
                    <w14:schemeClr w14:val="tx1"/>
                  </w14:solidFill>
                </w14:textFill>
              </w:rPr>
              <w:t>UPVC实壁管De160以内管道开挖铺设（路面）</w:t>
            </w:r>
          </w:p>
        </w:tc>
        <w:tc>
          <w:tcPr>
            <w:tcW w:w="4685" w:type="dxa"/>
            <w:tcBorders>
              <w:top w:val="nil"/>
              <w:left w:val="nil"/>
              <w:bottom w:val="single" w:color="000000" w:sz="4" w:space="0"/>
              <w:right w:val="single" w:color="000000" w:sz="4" w:space="0"/>
            </w:tcBorders>
            <w:noWrap w:val="0"/>
            <w:vAlign w:val="center"/>
          </w:tcPr>
          <w:p w14:paraId="0B7BF413">
            <w:pPr>
              <w:keepNext w:val="0"/>
              <w:keepLines w:val="0"/>
              <w:widowControl/>
              <w:suppressLineNumbers w:val="0"/>
              <w:spacing w:before="0" w:beforeAutospacing="0" w:after="0" w:afterAutospacing="0"/>
              <w:ind w:left="0" w:right="0"/>
              <w:jc w:val="lef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Cs w:val="21"/>
                <w:highlight w:val="none"/>
                <w14:textFill>
                  <w14:solidFill>
                    <w14:schemeClr w14:val="tx1"/>
                  </w14:solidFill>
                </w14:textFill>
              </w:rPr>
              <w:t>1、开挖沟槽、铺设进场、下管稳管、清理管口、填缝、抹带、</w:t>
            </w: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管周中粗砂回填、顶部碎石</w:t>
            </w:r>
            <w:r>
              <w:rPr>
                <w:rFonts w:hint="eastAsia" w:ascii="宋体" w:hAnsi="宋体" w:eastAsia="宋体" w:cs="宋体"/>
                <w:b w:val="0"/>
                <w:bCs w:val="0"/>
                <w:color w:val="000000" w:themeColor="text1"/>
                <w:szCs w:val="21"/>
                <w:highlight w:val="none"/>
                <w14:textFill>
                  <w14:solidFill>
                    <w14:schemeClr w14:val="tx1"/>
                  </w14:solidFill>
                </w14:textFill>
              </w:rPr>
              <w:t>、养护</w:t>
            </w:r>
            <w:r>
              <w:rPr>
                <w:rFonts w:hint="eastAsia" w:ascii="宋体" w:hAnsi="宋体" w:eastAsia="宋体" w:cs="宋体"/>
                <w:b w:val="0"/>
                <w:bCs w:val="0"/>
                <w:color w:val="000000" w:themeColor="text1"/>
                <w:szCs w:val="21"/>
                <w:highlight w:val="none"/>
                <w14:textFill>
                  <w14:solidFill>
                    <w14:schemeClr w14:val="tx1"/>
                  </w14:solidFill>
                </w14:textFill>
              </w:rPr>
              <w:br w:type="textWrapping"/>
            </w:r>
            <w:r>
              <w:rPr>
                <w:rFonts w:hint="eastAsia" w:ascii="宋体" w:hAnsi="宋体" w:eastAsia="宋体" w:cs="宋体"/>
                <w:b w:val="0"/>
                <w:bCs w:val="0"/>
                <w:color w:val="000000" w:themeColor="text1"/>
                <w:szCs w:val="21"/>
                <w:highlight w:val="none"/>
                <w14:textFill>
                  <w14:solidFill>
                    <w14:schemeClr w14:val="tx1"/>
                  </w14:solidFill>
                </w14:textFill>
              </w:rPr>
              <w:t>2、安放安全设施、清理场地</w:t>
            </w:r>
            <w:r>
              <w:rPr>
                <w:rFonts w:hint="eastAsia" w:ascii="宋体" w:hAnsi="宋体" w:eastAsia="宋体" w:cs="宋体"/>
                <w:b w:val="0"/>
                <w:bCs w:val="0"/>
                <w:color w:val="000000" w:themeColor="text1"/>
                <w:szCs w:val="21"/>
                <w:highlight w:val="none"/>
                <w14:textFill>
                  <w14:solidFill>
                    <w14:schemeClr w14:val="tx1"/>
                  </w14:solidFill>
                </w14:textFill>
              </w:rPr>
              <w:br w:type="textWrapping"/>
            </w: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3、不含路面拆除及修复</w:t>
            </w:r>
          </w:p>
        </w:tc>
        <w:tc>
          <w:tcPr>
            <w:tcW w:w="1009" w:type="dxa"/>
            <w:tcBorders>
              <w:top w:val="nil"/>
              <w:left w:val="nil"/>
              <w:bottom w:val="single" w:color="000000" w:sz="4" w:space="0"/>
              <w:right w:val="single" w:color="000000" w:sz="4" w:space="0"/>
            </w:tcBorders>
            <w:noWrap w:val="0"/>
            <w:vAlign w:val="center"/>
          </w:tcPr>
          <w:p w14:paraId="21AF0CA0">
            <w:pPr>
              <w:keepNext w:val="0"/>
              <w:keepLines w:val="0"/>
              <w:widowControl/>
              <w:suppressLineNumbers w:val="0"/>
              <w:spacing w:before="0" w:beforeAutospacing="0" w:after="0" w:afterAutospacing="0"/>
              <w:ind w:left="0" w:right="0"/>
              <w:jc w:val="center"/>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Cs w:val="21"/>
                <w:highlight w:val="none"/>
                <w14:textFill>
                  <w14:solidFill>
                    <w14:schemeClr w14:val="tx1"/>
                  </w14:solidFill>
                </w14:textFill>
              </w:rPr>
              <w:t>m</w:t>
            </w:r>
          </w:p>
        </w:tc>
        <w:tc>
          <w:tcPr>
            <w:tcW w:w="1463" w:type="dxa"/>
            <w:tcBorders>
              <w:top w:val="nil"/>
              <w:left w:val="nil"/>
              <w:bottom w:val="single" w:color="000000" w:sz="4" w:space="0"/>
              <w:right w:val="single" w:color="000000" w:sz="4" w:space="0"/>
            </w:tcBorders>
            <w:noWrap w:val="0"/>
            <w:vAlign w:val="center"/>
          </w:tcPr>
          <w:p w14:paraId="5327E814">
            <w:pPr>
              <w:keepNext w:val="0"/>
              <w:keepLines w:val="0"/>
              <w:widowControl/>
              <w:suppressLineNumbers w:val="0"/>
              <w:spacing w:before="0" w:beforeAutospacing="0" w:after="0" w:afterAutospacing="0"/>
              <w:ind w:left="0" w:right="0"/>
              <w:jc w:val="center"/>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Cs w:val="21"/>
                <w:highlight w:val="none"/>
                <w14:textFill>
                  <w14:solidFill>
                    <w14:schemeClr w14:val="tx1"/>
                  </w14:solidFill>
                </w14:textFill>
              </w:rPr>
              <w:t>180.47</w:t>
            </w:r>
          </w:p>
        </w:tc>
      </w:tr>
      <w:tr w14:paraId="7401BB6E">
        <w:tblPrEx>
          <w:tblCellMar>
            <w:top w:w="0" w:type="dxa"/>
            <w:left w:w="108" w:type="dxa"/>
            <w:bottom w:w="0" w:type="dxa"/>
            <w:right w:w="108" w:type="dxa"/>
          </w:tblCellMar>
        </w:tblPrEx>
        <w:trPr>
          <w:trHeight w:val="1068" w:hRule="atLeast"/>
          <w:jc w:val="center"/>
        </w:trPr>
        <w:tc>
          <w:tcPr>
            <w:tcW w:w="939" w:type="dxa"/>
            <w:tcBorders>
              <w:top w:val="nil"/>
              <w:left w:val="single" w:color="000000" w:sz="4" w:space="0"/>
              <w:bottom w:val="single" w:color="000000" w:sz="4" w:space="0"/>
              <w:right w:val="single" w:color="000000" w:sz="4" w:space="0"/>
            </w:tcBorders>
            <w:noWrap w:val="0"/>
            <w:vAlign w:val="center"/>
          </w:tcPr>
          <w:p w14:paraId="2B209017">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w:t>
            </w:r>
            <w:r>
              <w:rPr>
                <w:rFonts w:hint="eastAsia" w:ascii="宋体" w:hAnsi="宋体" w:eastAsia="宋体" w:cs="宋体"/>
                <w:color w:val="000000" w:themeColor="text1"/>
                <w:szCs w:val="21"/>
                <w:highlight w:val="none"/>
                <w:lang w:val="en-US" w:eastAsia="zh-CN"/>
                <w14:textFill>
                  <w14:solidFill>
                    <w14:schemeClr w14:val="tx1"/>
                  </w14:solidFill>
                </w14:textFill>
              </w:rPr>
              <w:t>8</w:t>
            </w:r>
          </w:p>
        </w:tc>
        <w:tc>
          <w:tcPr>
            <w:tcW w:w="1821" w:type="dxa"/>
            <w:tcBorders>
              <w:top w:val="nil"/>
              <w:left w:val="nil"/>
              <w:bottom w:val="single" w:color="000000" w:sz="4" w:space="0"/>
              <w:right w:val="single" w:color="000000" w:sz="4" w:space="0"/>
            </w:tcBorders>
            <w:noWrap w:val="0"/>
            <w:vAlign w:val="center"/>
          </w:tcPr>
          <w:p w14:paraId="005C912A">
            <w:pPr>
              <w:keepNext w:val="0"/>
              <w:keepLines w:val="0"/>
              <w:widowControl/>
              <w:suppressLineNumbers w:val="0"/>
              <w:spacing w:before="0" w:beforeAutospacing="0" w:after="0" w:afterAutospacing="0"/>
              <w:ind w:left="0" w:right="0"/>
              <w:jc w:val="lef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Cs w:val="21"/>
                <w:highlight w:val="none"/>
                <w14:textFill>
                  <w14:solidFill>
                    <w14:schemeClr w14:val="tx1"/>
                  </w14:solidFill>
                </w14:textFill>
              </w:rPr>
              <w:t>UPVC实壁管De200以内管道开挖铺设（绿化带）</w:t>
            </w:r>
          </w:p>
        </w:tc>
        <w:tc>
          <w:tcPr>
            <w:tcW w:w="4685" w:type="dxa"/>
            <w:tcBorders>
              <w:top w:val="nil"/>
              <w:left w:val="nil"/>
              <w:bottom w:val="single" w:color="000000" w:sz="4" w:space="0"/>
              <w:right w:val="single" w:color="000000" w:sz="4" w:space="0"/>
            </w:tcBorders>
            <w:noWrap w:val="0"/>
            <w:vAlign w:val="center"/>
          </w:tcPr>
          <w:p w14:paraId="10CAF967">
            <w:pPr>
              <w:keepNext w:val="0"/>
              <w:keepLines w:val="0"/>
              <w:widowControl/>
              <w:suppressLineNumbers w:val="0"/>
              <w:spacing w:before="0" w:beforeAutospacing="0" w:after="0" w:afterAutospacing="0"/>
              <w:ind w:left="0" w:right="0"/>
              <w:jc w:val="lef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Cs w:val="21"/>
                <w:highlight w:val="none"/>
                <w14:textFill>
                  <w14:solidFill>
                    <w14:schemeClr w14:val="tx1"/>
                  </w14:solidFill>
                </w14:textFill>
              </w:rPr>
              <w:t>1、开挖沟槽、铺设进场、下管稳管、清理管口、填缝、抹带、</w:t>
            </w: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管周中粗砂回填、顶部素土回填</w:t>
            </w:r>
            <w:r>
              <w:rPr>
                <w:rFonts w:hint="eastAsia" w:ascii="宋体" w:hAnsi="宋体" w:eastAsia="宋体" w:cs="宋体"/>
                <w:b w:val="0"/>
                <w:bCs w:val="0"/>
                <w:color w:val="000000" w:themeColor="text1"/>
                <w:szCs w:val="21"/>
                <w:highlight w:val="none"/>
                <w14:textFill>
                  <w14:solidFill>
                    <w14:schemeClr w14:val="tx1"/>
                  </w14:solidFill>
                </w14:textFill>
              </w:rPr>
              <w:t>、养护</w:t>
            </w:r>
            <w:r>
              <w:rPr>
                <w:rFonts w:hint="eastAsia" w:ascii="宋体" w:hAnsi="宋体" w:eastAsia="宋体" w:cs="宋体"/>
                <w:b w:val="0"/>
                <w:bCs w:val="0"/>
                <w:color w:val="000000" w:themeColor="text1"/>
                <w:szCs w:val="21"/>
                <w:highlight w:val="none"/>
                <w14:textFill>
                  <w14:solidFill>
                    <w14:schemeClr w14:val="tx1"/>
                  </w14:solidFill>
                </w14:textFill>
              </w:rPr>
              <w:br w:type="textWrapping"/>
            </w:r>
            <w:r>
              <w:rPr>
                <w:rFonts w:hint="eastAsia" w:ascii="宋体" w:hAnsi="宋体" w:eastAsia="宋体" w:cs="宋体"/>
                <w:b w:val="0"/>
                <w:bCs w:val="0"/>
                <w:color w:val="000000" w:themeColor="text1"/>
                <w:szCs w:val="21"/>
                <w:highlight w:val="none"/>
                <w14:textFill>
                  <w14:solidFill>
                    <w14:schemeClr w14:val="tx1"/>
                  </w14:solidFill>
                </w14:textFill>
              </w:rPr>
              <w:t>2、安放安全设施、清理场地</w:t>
            </w:r>
          </w:p>
        </w:tc>
        <w:tc>
          <w:tcPr>
            <w:tcW w:w="1009" w:type="dxa"/>
            <w:tcBorders>
              <w:top w:val="nil"/>
              <w:left w:val="nil"/>
              <w:bottom w:val="single" w:color="000000" w:sz="4" w:space="0"/>
              <w:right w:val="single" w:color="000000" w:sz="4" w:space="0"/>
            </w:tcBorders>
            <w:noWrap w:val="0"/>
            <w:vAlign w:val="center"/>
          </w:tcPr>
          <w:p w14:paraId="103F77A2">
            <w:pPr>
              <w:keepNext w:val="0"/>
              <w:keepLines w:val="0"/>
              <w:widowControl/>
              <w:suppressLineNumbers w:val="0"/>
              <w:spacing w:before="0" w:beforeAutospacing="0" w:after="0" w:afterAutospacing="0"/>
              <w:ind w:left="0" w:right="0"/>
              <w:jc w:val="center"/>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Cs w:val="21"/>
                <w:highlight w:val="none"/>
                <w14:textFill>
                  <w14:solidFill>
                    <w14:schemeClr w14:val="tx1"/>
                  </w14:solidFill>
                </w14:textFill>
              </w:rPr>
              <w:t>m</w:t>
            </w:r>
          </w:p>
        </w:tc>
        <w:tc>
          <w:tcPr>
            <w:tcW w:w="1463" w:type="dxa"/>
            <w:tcBorders>
              <w:top w:val="nil"/>
              <w:left w:val="nil"/>
              <w:bottom w:val="single" w:color="000000" w:sz="4" w:space="0"/>
              <w:right w:val="single" w:color="000000" w:sz="4" w:space="0"/>
            </w:tcBorders>
            <w:noWrap w:val="0"/>
            <w:vAlign w:val="center"/>
          </w:tcPr>
          <w:p w14:paraId="7148BD9E">
            <w:pPr>
              <w:keepNext w:val="0"/>
              <w:keepLines w:val="0"/>
              <w:widowControl/>
              <w:suppressLineNumbers w:val="0"/>
              <w:spacing w:before="0" w:beforeAutospacing="0" w:after="0" w:afterAutospacing="0"/>
              <w:ind w:left="0" w:right="0"/>
              <w:jc w:val="center"/>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Cs w:val="21"/>
                <w:highlight w:val="none"/>
                <w14:textFill>
                  <w14:solidFill>
                    <w14:schemeClr w14:val="tx1"/>
                  </w14:solidFill>
                </w14:textFill>
              </w:rPr>
              <w:t>244.87</w:t>
            </w:r>
          </w:p>
        </w:tc>
      </w:tr>
      <w:tr w14:paraId="6CC9BF04">
        <w:tblPrEx>
          <w:tblCellMar>
            <w:top w:w="0" w:type="dxa"/>
            <w:left w:w="108" w:type="dxa"/>
            <w:bottom w:w="0" w:type="dxa"/>
            <w:right w:w="108" w:type="dxa"/>
          </w:tblCellMar>
        </w:tblPrEx>
        <w:trPr>
          <w:trHeight w:val="1333" w:hRule="atLeast"/>
          <w:jc w:val="center"/>
        </w:trPr>
        <w:tc>
          <w:tcPr>
            <w:tcW w:w="939" w:type="dxa"/>
            <w:tcBorders>
              <w:top w:val="nil"/>
              <w:left w:val="single" w:color="000000" w:sz="4" w:space="0"/>
              <w:bottom w:val="single" w:color="000000" w:sz="4" w:space="0"/>
              <w:right w:val="single" w:color="000000" w:sz="4" w:space="0"/>
            </w:tcBorders>
            <w:noWrap w:val="0"/>
            <w:vAlign w:val="center"/>
          </w:tcPr>
          <w:p w14:paraId="120E79DA">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19</w:t>
            </w:r>
          </w:p>
        </w:tc>
        <w:tc>
          <w:tcPr>
            <w:tcW w:w="1821" w:type="dxa"/>
            <w:tcBorders>
              <w:top w:val="nil"/>
              <w:left w:val="nil"/>
              <w:bottom w:val="single" w:color="000000" w:sz="4" w:space="0"/>
              <w:right w:val="single" w:color="000000" w:sz="4" w:space="0"/>
            </w:tcBorders>
            <w:noWrap w:val="0"/>
            <w:vAlign w:val="center"/>
          </w:tcPr>
          <w:p w14:paraId="418FA815">
            <w:pPr>
              <w:keepNext w:val="0"/>
              <w:keepLines w:val="0"/>
              <w:widowControl/>
              <w:suppressLineNumbers w:val="0"/>
              <w:spacing w:before="0" w:beforeAutospacing="0" w:after="0" w:afterAutospacing="0"/>
              <w:ind w:left="0" w:right="0"/>
              <w:jc w:val="lef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Cs w:val="21"/>
                <w:highlight w:val="none"/>
                <w14:textFill>
                  <w14:solidFill>
                    <w14:schemeClr w14:val="tx1"/>
                  </w14:solidFill>
                </w14:textFill>
              </w:rPr>
              <w:t>UPVC实壁管De200以内管道开挖铺设（路面）</w:t>
            </w:r>
          </w:p>
        </w:tc>
        <w:tc>
          <w:tcPr>
            <w:tcW w:w="4685" w:type="dxa"/>
            <w:tcBorders>
              <w:top w:val="nil"/>
              <w:left w:val="nil"/>
              <w:bottom w:val="single" w:color="000000" w:sz="4" w:space="0"/>
              <w:right w:val="single" w:color="000000" w:sz="4" w:space="0"/>
            </w:tcBorders>
            <w:noWrap w:val="0"/>
            <w:vAlign w:val="center"/>
          </w:tcPr>
          <w:p w14:paraId="0232DE4B">
            <w:pPr>
              <w:keepNext w:val="0"/>
              <w:keepLines w:val="0"/>
              <w:widowControl/>
              <w:suppressLineNumbers w:val="0"/>
              <w:spacing w:before="0" w:beforeAutospacing="0" w:after="0" w:afterAutospacing="0"/>
              <w:ind w:left="0" w:right="0"/>
              <w:jc w:val="lef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Cs w:val="21"/>
                <w:highlight w:val="none"/>
                <w14:textFill>
                  <w14:solidFill>
                    <w14:schemeClr w14:val="tx1"/>
                  </w14:solidFill>
                </w14:textFill>
              </w:rPr>
              <w:t>1、开挖沟槽、铺设进场、下管稳管、清理管口、填缝、抹带、</w:t>
            </w: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管周中粗砂回填、顶部碎石</w:t>
            </w:r>
            <w:r>
              <w:rPr>
                <w:rFonts w:hint="eastAsia" w:ascii="宋体" w:hAnsi="宋体" w:eastAsia="宋体" w:cs="宋体"/>
                <w:b w:val="0"/>
                <w:bCs w:val="0"/>
                <w:color w:val="000000" w:themeColor="text1"/>
                <w:szCs w:val="21"/>
                <w:highlight w:val="none"/>
                <w14:textFill>
                  <w14:solidFill>
                    <w14:schemeClr w14:val="tx1"/>
                  </w14:solidFill>
                </w14:textFill>
              </w:rPr>
              <w:t>、养护</w:t>
            </w:r>
            <w:r>
              <w:rPr>
                <w:rFonts w:hint="eastAsia" w:ascii="宋体" w:hAnsi="宋体" w:eastAsia="宋体" w:cs="宋体"/>
                <w:b w:val="0"/>
                <w:bCs w:val="0"/>
                <w:color w:val="000000" w:themeColor="text1"/>
                <w:szCs w:val="21"/>
                <w:highlight w:val="none"/>
                <w14:textFill>
                  <w14:solidFill>
                    <w14:schemeClr w14:val="tx1"/>
                  </w14:solidFill>
                </w14:textFill>
              </w:rPr>
              <w:br w:type="textWrapping"/>
            </w:r>
            <w:r>
              <w:rPr>
                <w:rFonts w:hint="eastAsia" w:ascii="宋体" w:hAnsi="宋体" w:eastAsia="宋体" w:cs="宋体"/>
                <w:b w:val="0"/>
                <w:bCs w:val="0"/>
                <w:color w:val="000000" w:themeColor="text1"/>
                <w:szCs w:val="21"/>
                <w:highlight w:val="none"/>
                <w14:textFill>
                  <w14:solidFill>
                    <w14:schemeClr w14:val="tx1"/>
                  </w14:solidFill>
                </w14:textFill>
              </w:rPr>
              <w:t>2、安放安全设施、清理场地</w:t>
            </w:r>
            <w:r>
              <w:rPr>
                <w:rFonts w:hint="eastAsia" w:ascii="宋体" w:hAnsi="宋体" w:eastAsia="宋体" w:cs="宋体"/>
                <w:b w:val="0"/>
                <w:bCs w:val="0"/>
                <w:color w:val="000000" w:themeColor="text1"/>
                <w:szCs w:val="21"/>
                <w:highlight w:val="none"/>
                <w14:textFill>
                  <w14:solidFill>
                    <w14:schemeClr w14:val="tx1"/>
                  </w14:solidFill>
                </w14:textFill>
              </w:rPr>
              <w:br w:type="textWrapping"/>
            </w: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3、不含路面拆除及修复</w:t>
            </w:r>
          </w:p>
        </w:tc>
        <w:tc>
          <w:tcPr>
            <w:tcW w:w="1009" w:type="dxa"/>
            <w:tcBorders>
              <w:top w:val="nil"/>
              <w:left w:val="nil"/>
              <w:bottom w:val="single" w:color="000000" w:sz="4" w:space="0"/>
              <w:right w:val="single" w:color="000000" w:sz="4" w:space="0"/>
            </w:tcBorders>
            <w:noWrap w:val="0"/>
            <w:vAlign w:val="center"/>
          </w:tcPr>
          <w:p w14:paraId="2C9EAE76">
            <w:pPr>
              <w:keepNext w:val="0"/>
              <w:keepLines w:val="0"/>
              <w:widowControl/>
              <w:suppressLineNumbers w:val="0"/>
              <w:spacing w:before="0" w:beforeAutospacing="0" w:after="0" w:afterAutospacing="0"/>
              <w:ind w:left="0" w:right="0"/>
              <w:jc w:val="center"/>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Cs w:val="21"/>
                <w:highlight w:val="none"/>
                <w14:textFill>
                  <w14:solidFill>
                    <w14:schemeClr w14:val="tx1"/>
                  </w14:solidFill>
                </w14:textFill>
              </w:rPr>
              <w:t>m</w:t>
            </w:r>
          </w:p>
        </w:tc>
        <w:tc>
          <w:tcPr>
            <w:tcW w:w="1463" w:type="dxa"/>
            <w:tcBorders>
              <w:top w:val="nil"/>
              <w:left w:val="nil"/>
              <w:bottom w:val="single" w:color="000000" w:sz="4" w:space="0"/>
              <w:right w:val="single" w:color="000000" w:sz="4" w:space="0"/>
            </w:tcBorders>
            <w:noWrap w:val="0"/>
            <w:vAlign w:val="center"/>
          </w:tcPr>
          <w:p w14:paraId="36699431">
            <w:pPr>
              <w:keepNext w:val="0"/>
              <w:keepLines w:val="0"/>
              <w:widowControl/>
              <w:suppressLineNumbers w:val="0"/>
              <w:spacing w:before="0" w:beforeAutospacing="0" w:after="0" w:afterAutospacing="0"/>
              <w:ind w:left="0" w:right="0"/>
              <w:jc w:val="center"/>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Cs w:val="21"/>
                <w:highlight w:val="none"/>
                <w14:textFill>
                  <w14:solidFill>
                    <w14:schemeClr w14:val="tx1"/>
                  </w14:solidFill>
                </w14:textFill>
              </w:rPr>
              <w:t>229.12</w:t>
            </w:r>
          </w:p>
        </w:tc>
      </w:tr>
      <w:tr w14:paraId="69DC276B">
        <w:tblPrEx>
          <w:tblCellMar>
            <w:top w:w="0" w:type="dxa"/>
            <w:left w:w="108" w:type="dxa"/>
            <w:bottom w:w="0" w:type="dxa"/>
            <w:right w:w="108" w:type="dxa"/>
          </w:tblCellMar>
        </w:tblPrEx>
        <w:trPr>
          <w:trHeight w:val="1068" w:hRule="atLeast"/>
          <w:jc w:val="center"/>
        </w:trPr>
        <w:tc>
          <w:tcPr>
            <w:tcW w:w="939" w:type="dxa"/>
            <w:tcBorders>
              <w:top w:val="nil"/>
              <w:left w:val="single" w:color="000000" w:sz="4" w:space="0"/>
              <w:bottom w:val="single" w:color="000000" w:sz="4" w:space="0"/>
              <w:right w:val="single" w:color="000000" w:sz="4" w:space="0"/>
            </w:tcBorders>
            <w:noWrap w:val="0"/>
            <w:vAlign w:val="center"/>
          </w:tcPr>
          <w:p w14:paraId="02EA4FB7">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2</w:t>
            </w:r>
            <w:r>
              <w:rPr>
                <w:rFonts w:hint="eastAsia" w:ascii="宋体" w:hAnsi="宋体" w:eastAsia="宋体" w:cs="宋体"/>
                <w:color w:val="000000" w:themeColor="text1"/>
                <w:szCs w:val="21"/>
                <w:highlight w:val="none"/>
                <w:lang w:val="en-US" w:eastAsia="zh-CN"/>
                <w14:textFill>
                  <w14:solidFill>
                    <w14:schemeClr w14:val="tx1"/>
                  </w14:solidFill>
                </w14:textFill>
              </w:rPr>
              <w:t>0</w:t>
            </w:r>
          </w:p>
        </w:tc>
        <w:tc>
          <w:tcPr>
            <w:tcW w:w="1821" w:type="dxa"/>
            <w:tcBorders>
              <w:top w:val="nil"/>
              <w:left w:val="nil"/>
              <w:bottom w:val="single" w:color="000000" w:sz="4" w:space="0"/>
              <w:right w:val="single" w:color="000000" w:sz="4" w:space="0"/>
            </w:tcBorders>
            <w:noWrap w:val="0"/>
            <w:vAlign w:val="center"/>
          </w:tcPr>
          <w:p w14:paraId="14FAED4B">
            <w:pPr>
              <w:keepNext w:val="0"/>
              <w:keepLines w:val="0"/>
              <w:widowControl/>
              <w:suppressLineNumbers w:val="0"/>
              <w:spacing w:before="0" w:beforeAutospacing="0" w:after="0" w:afterAutospacing="0"/>
              <w:ind w:left="0" w:right="0"/>
              <w:jc w:val="lef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Cs w:val="21"/>
                <w:highlight w:val="none"/>
                <w14:textFill>
                  <w14:solidFill>
                    <w14:schemeClr w14:val="tx1"/>
                  </w14:solidFill>
                </w14:textFill>
              </w:rPr>
              <w:t>UPVC实壁管De315以内管道开挖铺设（绿化带）</w:t>
            </w:r>
          </w:p>
        </w:tc>
        <w:tc>
          <w:tcPr>
            <w:tcW w:w="4685" w:type="dxa"/>
            <w:tcBorders>
              <w:top w:val="nil"/>
              <w:left w:val="nil"/>
              <w:bottom w:val="single" w:color="000000" w:sz="4" w:space="0"/>
              <w:right w:val="single" w:color="000000" w:sz="4" w:space="0"/>
            </w:tcBorders>
            <w:noWrap w:val="0"/>
            <w:vAlign w:val="center"/>
          </w:tcPr>
          <w:p w14:paraId="1BA77B9D">
            <w:pPr>
              <w:keepNext w:val="0"/>
              <w:keepLines w:val="0"/>
              <w:widowControl/>
              <w:suppressLineNumbers w:val="0"/>
              <w:spacing w:before="0" w:beforeAutospacing="0" w:after="0" w:afterAutospacing="0"/>
              <w:ind w:left="0" w:right="0"/>
              <w:jc w:val="left"/>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Cs w:val="21"/>
                <w:highlight w:val="none"/>
                <w14:textFill>
                  <w14:solidFill>
                    <w14:schemeClr w14:val="tx1"/>
                  </w14:solidFill>
                </w14:textFill>
              </w:rPr>
              <w:t>1、开挖沟槽、铺设进场、下管稳管、清理管口、填缝、抹带、</w:t>
            </w: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管周中粗砂回填、顶部素土回填</w:t>
            </w:r>
            <w:r>
              <w:rPr>
                <w:rFonts w:hint="eastAsia" w:ascii="宋体" w:hAnsi="宋体" w:eastAsia="宋体" w:cs="宋体"/>
                <w:b w:val="0"/>
                <w:bCs w:val="0"/>
                <w:color w:val="000000" w:themeColor="text1"/>
                <w:szCs w:val="21"/>
                <w:highlight w:val="none"/>
                <w14:textFill>
                  <w14:solidFill>
                    <w14:schemeClr w14:val="tx1"/>
                  </w14:solidFill>
                </w14:textFill>
              </w:rPr>
              <w:t>、养护</w:t>
            </w:r>
            <w:r>
              <w:rPr>
                <w:rFonts w:hint="eastAsia" w:ascii="宋体" w:hAnsi="宋体" w:eastAsia="宋体" w:cs="宋体"/>
                <w:b w:val="0"/>
                <w:bCs w:val="0"/>
                <w:color w:val="000000" w:themeColor="text1"/>
                <w:szCs w:val="21"/>
                <w:highlight w:val="none"/>
                <w14:textFill>
                  <w14:solidFill>
                    <w14:schemeClr w14:val="tx1"/>
                  </w14:solidFill>
                </w14:textFill>
              </w:rPr>
              <w:br w:type="textWrapping"/>
            </w:r>
            <w:r>
              <w:rPr>
                <w:rFonts w:hint="eastAsia" w:ascii="宋体" w:hAnsi="宋体" w:eastAsia="宋体" w:cs="宋体"/>
                <w:b w:val="0"/>
                <w:bCs w:val="0"/>
                <w:color w:val="000000" w:themeColor="text1"/>
                <w:szCs w:val="21"/>
                <w:highlight w:val="none"/>
                <w14:textFill>
                  <w14:solidFill>
                    <w14:schemeClr w14:val="tx1"/>
                  </w14:solidFill>
                </w14:textFill>
              </w:rPr>
              <w:t>2、安放安全设施、清理场地</w:t>
            </w:r>
          </w:p>
        </w:tc>
        <w:tc>
          <w:tcPr>
            <w:tcW w:w="1009" w:type="dxa"/>
            <w:tcBorders>
              <w:top w:val="nil"/>
              <w:left w:val="nil"/>
              <w:bottom w:val="single" w:color="000000" w:sz="4" w:space="0"/>
              <w:right w:val="single" w:color="000000" w:sz="4" w:space="0"/>
            </w:tcBorders>
            <w:noWrap w:val="0"/>
            <w:vAlign w:val="center"/>
          </w:tcPr>
          <w:p w14:paraId="41F9EACA">
            <w:pPr>
              <w:keepNext w:val="0"/>
              <w:keepLines w:val="0"/>
              <w:widowControl/>
              <w:suppressLineNumbers w:val="0"/>
              <w:spacing w:before="0" w:beforeAutospacing="0" w:after="0" w:afterAutospacing="0"/>
              <w:ind w:left="0" w:right="0"/>
              <w:jc w:val="center"/>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Cs w:val="21"/>
                <w:highlight w:val="none"/>
                <w14:textFill>
                  <w14:solidFill>
                    <w14:schemeClr w14:val="tx1"/>
                  </w14:solidFill>
                </w14:textFill>
              </w:rPr>
              <w:t>m</w:t>
            </w:r>
          </w:p>
        </w:tc>
        <w:tc>
          <w:tcPr>
            <w:tcW w:w="1463" w:type="dxa"/>
            <w:tcBorders>
              <w:top w:val="nil"/>
              <w:left w:val="nil"/>
              <w:bottom w:val="single" w:color="000000" w:sz="4" w:space="0"/>
              <w:right w:val="single" w:color="000000" w:sz="4" w:space="0"/>
            </w:tcBorders>
            <w:noWrap w:val="0"/>
            <w:vAlign w:val="center"/>
          </w:tcPr>
          <w:p w14:paraId="65FF0158">
            <w:pPr>
              <w:keepNext w:val="0"/>
              <w:keepLines w:val="0"/>
              <w:widowControl/>
              <w:suppressLineNumbers w:val="0"/>
              <w:spacing w:before="0" w:beforeAutospacing="0" w:after="0" w:afterAutospacing="0"/>
              <w:ind w:left="0" w:right="0"/>
              <w:jc w:val="center"/>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Cs w:val="21"/>
                <w:highlight w:val="none"/>
                <w14:textFill>
                  <w14:solidFill>
                    <w14:schemeClr w14:val="tx1"/>
                  </w14:solidFill>
                </w14:textFill>
              </w:rPr>
              <w:t>452.84</w:t>
            </w:r>
          </w:p>
        </w:tc>
      </w:tr>
      <w:tr w14:paraId="660430A7">
        <w:tblPrEx>
          <w:tblCellMar>
            <w:top w:w="0" w:type="dxa"/>
            <w:left w:w="108" w:type="dxa"/>
            <w:bottom w:w="0" w:type="dxa"/>
            <w:right w:w="108" w:type="dxa"/>
          </w:tblCellMar>
        </w:tblPrEx>
        <w:trPr>
          <w:trHeight w:val="1333" w:hRule="atLeast"/>
          <w:jc w:val="center"/>
        </w:trPr>
        <w:tc>
          <w:tcPr>
            <w:tcW w:w="939" w:type="dxa"/>
            <w:tcBorders>
              <w:top w:val="nil"/>
              <w:left w:val="single" w:color="000000" w:sz="4" w:space="0"/>
              <w:bottom w:val="single" w:color="000000" w:sz="4" w:space="0"/>
              <w:right w:val="single" w:color="000000" w:sz="4" w:space="0"/>
            </w:tcBorders>
            <w:noWrap w:val="0"/>
            <w:vAlign w:val="center"/>
          </w:tcPr>
          <w:p w14:paraId="44E222B6">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2</w:t>
            </w:r>
            <w:r>
              <w:rPr>
                <w:rFonts w:hint="eastAsia" w:ascii="宋体" w:hAnsi="宋体" w:eastAsia="宋体" w:cs="宋体"/>
                <w:color w:val="000000" w:themeColor="text1"/>
                <w:szCs w:val="21"/>
                <w:highlight w:val="none"/>
                <w:lang w:val="en-US" w:eastAsia="zh-CN"/>
                <w14:textFill>
                  <w14:solidFill>
                    <w14:schemeClr w14:val="tx1"/>
                  </w14:solidFill>
                </w14:textFill>
              </w:rPr>
              <w:t>1</w:t>
            </w:r>
          </w:p>
        </w:tc>
        <w:tc>
          <w:tcPr>
            <w:tcW w:w="1821" w:type="dxa"/>
            <w:tcBorders>
              <w:top w:val="nil"/>
              <w:left w:val="nil"/>
              <w:bottom w:val="single" w:color="000000" w:sz="4" w:space="0"/>
              <w:right w:val="single" w:color="000000" w:sz="4" w:space="0"/>
            </w:tcBorders>
            <w:noWrap w:val="0"/>
            <w:vAlign w:val="center"/>
          </w:tcPr>
          <w:p w14:paraId="7B7E516D">
            <w:pPr>
              <w:keepNext w:val="0"/>
              <w:keepLines w:val="0"/>
              <w:widowControl/>
              <w:suppressLineNumbers w:val="0"/>
              <w:spacing w:before="0" w:beforeAutospacing="0" w:after="0" w:afterAutospacing="0"/>
              <w:ind w:left="0" w:right="0"/>
              <w:jc w:val="left"/>
              <w:rPr>
                <w:rFonts w:hint="eastAsia" w:ascii="宋体" w:hAnsi="宋体" w:eastAsia="宋体" w:cs="宋体"/>
                <w:b w:val="0"/>
                <w:bCs w:val="0"/>
                <w:color w:val="000000" w:themeColor="text1"/>
                <w:sz w:val="24"/>
                <w:szCs w:val="24"/>
                <w:highlight w:val="none"/>
                <w:lang w:eastAsia="zh-CN"/>
                <w14:textFill>
                  <w14:solidFill>
                    <w14:schemeClr w14:val="tx1"/>
                  </w14:solidFill>
                </w14:textFill>
              </w:rPr>
            </w:pPr>
            <w:r>
              <w:rPr>
                <w:rFonts w:hint="eastAsia" w:ascii="宋体" w:hAnsi="宋体" w:eastAsia="宋体" w:cs="宋体"/>
                <w:b w:val="0"/>
                <w:bCs w:val="0"/>
                <w:color w:val="000000" w:themeColor="text1"/>
                <w:szCs w:val="21"/>
                <w:highlight w:val="none"/>
                <w14:textFill>
                  <w14:solidFill>
                    <w14:schemeClr w14:val="tx1"/>
                  </w14:solidFill>
                </w14:textFill>
              </w:rPr>
              <w:t>UPVC实壁管De315以内管道开挖铺设（路面）</w:t>
            </w:r>
          </w:p>
        </w:tc>
        <w:tc>
          <w:tcPr>
            <w:tcW w:w="4685" w:type="dxa"/>
            <w:tcBorders>
              <w:top w:val="nil"/>
              <w:left w:val="nil"/>
              <w:bottom w:val="single" w:color="000000" w:sz="4" w:space="0"/>
              <w:right w:val="single" w:color="000000" w:sz="4" w:space="0"/>
            </w:tcBorders>
            <w:noWrap w:val="0"/>
            <w:vAlign w:val="center"/>
          </w:tcPr>
          <w:p w14:paraId="12AE0A44">
            <w:pPr>
              <w:keepNext w:val="0"/>
              <w:keepLines w:val="0"/>
              <w:widowControl/>
              <w:suppressLineNumbers w:val="0"/>
              <w:spacing w:before="0" w:beforeAutospacing="0" w:after="0" w:afterAutospacing="0"/>
              <w:ind w:left="0" w:right="0"/>
              <w:jc w:val="left"/>
              <w:rPr>
                <w:rFonts w:hint="eastAsia" w:ascii="宋体" w:hAnsi="宋体" w:eastAsia="宋体" w:cs="宋体"/>
                <w:b w:val="0"/>
                <w:bCs w:val="0"/>
                <w:color w:val="000000" w:themeColor="text1"/>
                <w:sz w:val="24"/>
                <w:szCs w:val="24"/>
                <w:highlight w:val="none"/>
                <w:lang w:eastAsia="zh-CN"/>
                <w14:textFill>
                  <w14:solidFill>
                    <w14:schemeClr w14:val="tx1"/>
                  </w14:solidFill>
                </w14:textFill>
              </w:rPr>
            </w:pPr>
            <w:r>
              <w:rPr>
                <w:rFonts w:hint="eastAsia" w:ascii="宋体" w:hAnsi="宋体" w:eastAsia="宋体" w:cs="宋体"/>
                <w:b w:val="0"/>
                <w:bCs w:val="0"/>
                <w:color w:val="000000" w:themeColor="text1"/>
                <w:szCs w:val="21"/>
                <w:highlight w:val="none"/>
                <w14:textFill>
                  <w14:solidFill>
                    <w14:schemeClr w14:val="tx1"/>
                  </w14:solidFill>
                </w14:textFill>
              </w:rPr>
              <w:t>1、开挖沟槽、铺设进场、下管稳管、清理管口、填缝、抹带、</w:t>
            </w: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管周中粗砂回填、顶部碎石</w:t>
            </w:r>
            <w:r>
              <w:rPr>
                <w:rFonts w:hint="eastAsia" w:ascii="宋体" w:hAnsi="宋体" w:eastAsia="宋体" w:cs="宋体"/>
                <w:b w:val="0"/>
                <w:bCs w:val="0"/>
                <w:color w:val="000000" w:themeColor="text1"/>
                <w:szCs w:val="21"/>
                <w:highlight w:val="none"/>
                <w14:textFill>
                  <w14:solidFill>
                    <w14:schemeClr w14:val="tx1"/>
                  </w14:solidFill>
                </w14:textFill>
              </w:rPr>
              <w:t>、养护</w:t>
            </w:r>
            <w:r>
              <w:rPr>
                <w:rFonts w:hint="eastAsia" w:ascii="宋体" w:hAnsi="宋体" w:eastAsia="宋体" w:cs="宋体"/>
                <w:b w:val="0"/>
                <w:bCs w:val="0"/>
                <w:color w:val="000000" w:themeColor="text1"/>
                <w:szCs w:val="21"/>
                <w:highlight w:val="none"/>
                <w14:textFill>
                  <w14:solidFill>
                    <w14:schemeClr w14:val="tx1"/>
                  </w14:solidFill>
                </w14:textFill>
              </w:rPr>
              <w:br w:type="textWrapping"/>
            </w:r>
            <w:r>
              <w:rPr>
                <w:rFonts w:hint="eastAsia" w:ascii="宋体" w:hAnsi="宋体" w:eastAsia="宋体" w:cs="宋体"/>
                <w:b w:val="0"/>
                <w:bCs w:val="0"/>
                <w:color w:val="000000" w:themeColor="text1"/>
                <w:szCs w:val="21"/>
                <w:highlight w:val="none"/>
                <w14:textFill>
                  <w14:solidFill>
                    <w14:schemeClr w14:val="tx1"/>
                  </w14:solidFill>
                </w14:textFill>
              </w:rPr>
              <w:t>2、安放安全设施、清理场地</w:t>
            </w:r>
            <w:r>
              <w:rPr>
                <w:rFonts w:hint="eastAsia" w:ascii="宋体" w:hAnsi="宋体" w:eastAsia="宋体" w:cs="宋体"/>
                <w:b w:val="0"/>
                <w:bCs w:val="0"/>
                <w:color w:val="000000" w:themeColor="text1"/>
                <w:szCs w:val="21"/>
                <w:highlight w:val="none"/>
                <w14:textFill>
                  <w14:solidFill>
                    <w14:schemeClr w14:val="tx1"/>
                  </w14:solidFill>
                </w14:textFill>
              </w:rPr>
              <w:br w:type="textWrapping"/>
            </w: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3、不含路面拆除及修复</w:t>
            </w:r>
          </w:p>
        </w:tc>
        <w:tc>
          <w:tcPr>
            <w:tcW w:w="1009" w:type="dxa"/>
            <w:tcBorders>
              <w:top w:val="nil"/>
              <w:left w:val="nil"/>
              <w:bottom w:val="single" w:color="000000" w:sz="4" w:space="0"/>
              <w:right w:val="single" w:color="000000" w:sz="4" w:space="0"/>
            </w:tcBorders>
            <w:noWrap w:val="0"/>
            <w:vAlign w:val="center"/>
          </w:tcPr>
          <w:p w14:paraId="446FC6BE">
            <w:pPr>
              <w:keepNext w:val="0"/>
              <w:keepLines w:val="0"/>
              <w:widowControl/>
              <w:suppressLineNumbers w:val="0"/>
              <w:spacing w:before="0" w:beforeAutospacing="0" w:after="0" w:afterAutospacing="0"/>
              <w:ind w:left="0" w:right="0"/>
              <w:jc w:val="center"/>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Cs w:val="21"/>
                <w:highlight w:val="none"/>
                <w14:textFill>
                  <w14:solidFill>
                    <w14:schemeClr w14:val="tx1"/>
                  </w14:solidFill>
                </w14:textFill>
              </w:rPr>
              <w:t>m</w:t>
            </w:r>
          </w:p>
        </w:tc>
        <w:tc>
          <w:tcPr>
            <w:tcW w:w="1463" w:type="dxa"/>
            <w:tcBorders>
              <w:top w:val="nil"/>
              <w:left w:val="nil"/>
              <w:bottom w:val="single" w:color="000000" w:sz="4" w:space="0"/>
              <w:right w:val="single" w:color="000000" w:sz="4" w:space="0"/>
            </w:tcBorders>
            <w:noWrap w:val="0"/>
            <w:vAlign w:val="center"/>
          </w:tcPr>
          <w:p w14:paraId="07B8D3D8">
            <w:pPr>
              <w:keepNext w:val="0"/>
              <w:keepLines w:val="0"/>
              <w:widowControl/>
              <w:suppressLineNumbers w:val="0"/>
              <w:spacing w:before="0" w:beforeAutospacing="0" w:after="0" w:afterAutospacing="0"/>
              <w:ind w:left="0" w:right="0"/>
              <w:jc w:val="cente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Cs w:val="21"/>
                <w:highlight w:val="none"/>
                <w14:textFill>
                  <w14:solidFill>
                    <w14:schemeClr w14:val="tx1"/>
                  </w14:solidFill>
                </w14:textFill>
              </w:rPr>
              <w:t>357.32</w:t>
            </w:r>
          </w:p>
        </w:tc>
      </w:tr>
      <w:tr w14:paraId="1E2C9E0C">
        <w:tblPrEx>
          <w:tblCellMar>
            <w:top w:w="0" w:type="dxa"/>
            <w:left w:w="108" w:type="dxa"/>
            <w:bottom w:w="0" w:type="dxa"/>
            <w:right w:w="108" w:type="dxa"/>
          </w:tblCellMar>
        </w:tblPrEx>
        <w:trPr>
          <w:trHeight w:val="1068" w:hRule="atLeast"/>
          <w:jc w:val="center"/>
        </w:trPr>
        <w:tc>
          <w:tcPr>
            <w:tcW w:w="939" w:type="dxa"/>
            <w:tcBorders>
              <w:top w:val="single" w:color="000000" w:sz="4" w:space="0"/>
              <w:left w:val="single" w:color="000000" w:sz="4" w:space="0"/>
              <w:bottom w:val="single" w:color="auto" w:sz="4" w:space="0"/>
              <w:right w:val="single" w:color="000000" w:sz="4" w:space="0"/>
            </w:tcBorders>
            <w:noWrap w:val="0"/>
            <w:vAlign w:val="center"/>
          </w:tcPr>
          <w:p w14:paraId="529660C9">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2</w:t>
            </w:r>
            <w:r>
              <w:rPr>
                <w:rFonts w:hint="eastAsia" w:ascii="宋体" w:hAnsi="宋体" w:eastAsia="宋体" w:cs="宋体"/>
                <w:color w:val="000000" w:themeColor="text1"/>
                <w:szCs w:val="21"/>
                <w:highlight w:val="none"/>
                <w:lang w:val="en-US" w:eastAsia="zh-CN"/>
                <w14:textFill>
                  <w14:solidFill>
                    <w14:schemeClr w14:val="tx1"/>
                  </w14:solidFill>
                </w14:textFill>
              </w:rPr>
              <w:t>2</w:t>
            </w:r>
          </w:p>
        </w:tc>
        <w:tc>
          <w:tcPr>
            <w:tcW w:w="1821" w:type="dxa"/>
            <w:tcBorders>
              <w:top w:val="single" w:color="000000" w:sz="4" w:space="0"/>
              <w:left w:val="nil"/>
              <w:bottom w:val="single" w:color="auto" w:sz="4" w:space="0"/>
              <w:right w:val="single" w:color="000000" w:sz="4" w:space="0"/>
            </w:tcBorders>
            <w:noWrap w:val="0"/>
            <w:vAlign w:val="center"/>
          </w:tcPr>
          <w:p w14:paraId="607AE2E1">
            <w:pPr>
              <w:keepNext w:val="0"/>
              <w:keepLines w:val="0"/>
              <w:widowControl/>
              <w:suppressLineNumbers w:val="0"/>
              <w:spacing w:before="0" w:beforeAutospacing="0" w:after="0" w:afterAutospacing="0"/>
              <w:ind w:left="0" w:right="0"/>
              <w:jc w:val="lef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Cs w:val="21"/>
                <w:highlight w:val="none"/>
                <w14:textFill>
                  <w14:solidFill>
                    <w14:schemeClr w14:val="tx1"/>
                  </w14:solidFill>
                </w14:textFill>
              </w:rPr>
              <w:t>乙型雨水单箅井</w:t>
            </w:r>
          </w:p>
        </w:tc>
        <w:tc>
          <w:tcPr>
            <w:tcW w:w="4685" w:type="dxa"/>
            <w:tcBorders>
              <w:top w:val="single" w:color="000000" w:sz="4" w:space="0"/>
              <w:left w:val="nil"/>
              <w:bottom w:val="single" w:color="auto" w:sz="4" w:space="0"/>
              <w:right w:val="single" w:color="000000" w:sz="4" w:space="0"/>
            </w:tcBorders>
            <w:noWrap w:val="0"/>
            <w:vAlign w:val="center"/>
          </w:tcPr>
          <w:p w14:paraId="142A3535">
            <w:pPr>
              <w:keepNext w:val="0"/>
              <w:keepLines w:val="0"/>
              <w:widowControl/>
              <w:suppressLineNumbers w:val="0"/>
              <w:spacing w:before="0" w:beforeAutospacing="0" w:after="0" w:afterAutospacing="0"/>
              <w:ind w:left="0" w:right="0"/>
              <w:jc w:val="left"/>
              <w:rPr>
                <w:rFonts w:hint="eastAsia" w:ascii="宋体" w:hAnsi="宋体" w:eastAsia="宋体" w:cs="宋体"/>
                <w:b w:val="0"/>
                <w:bCs w:val="0"/>
                <w:color w:val="000000" w:themeColor="text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Cs w:val="21"/>
                <w:highlight w:val="none"/>
                <w14:textFill>
                  <w14:solidFill>
                    <w14:schemeClr w14:val="tx1"/>
                  </w14:solidFill>
                </w14:textFill>
              </w:rPr>
              <w:t>1、新建</w:t>
            </w: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雨水口</w:t>
            </w:r>
            <w:r>
              <w:rPr>
                <w:rFonts w:hint="eastAsia" w:ascii="宋体" w:hAnsi="宋体" w:eastAsia="宋体" w:cs="宋体"/>
                <w:b w:val="0"/>
                <w:bCs w:val="0"/>
                <w:color w:val="000000" w:themeColor="text1"/>
                <w:szCs w:val="21"/>
                <w:highlight w:val="none"/>
                <w14:textFill>
                  <w14:solidFill>
                    <w14:schemeClr w14:val="tx1"/>
                  </w14:solidFill>
                </w14:textFill>
              </w:rPr>
              <w:t xml:space="preserve">，砼基础、砖砌体、含井盖 </w:t>
            </w:r>
            <w:r>
              <w:rPr>
                <w:rFonts w:hint="eastAsia" w:ascii="宋体" w:hAnsi="宋体" w:eastAsia="宋体" w:cs="宋体"/>
                <w:b w:val="0"/>
                <w:bCs w:val="0"/>
                <w:color w:val="000000" w:themeColor="text1"/>
                <w:szCs w:val="21"/>
                <w:highlight w:val="none"/>
                <w:lang w:eastAsia="zh-CN"/>
                <w14:textFill>
                  <w14:solidFill>
                    <w14:schemeClr w14:val="tx1"/>
                  </w14:solidFill>
                </w14:textFill>
              </w:rPr>
              <w:t>、</w:t>
            </w: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井周素砼回填</w:t>
            </w:r>
          </w:p>
          <w:p w14:paraId="423538C2">
            <w:pPr>
              <w:keepNext w:val="0"/>
              <w:keepLines w:val="0"/>
              <w:widowControl/>
              <w:suppressLineNumbers w:val="0"/>
              <w:spacing w:before="0" w:beforeAutospacing="0" w:after="0" w:afterAutospacing="0"/>
              <w:ind w:left="0" w:right="0"/>
              <w:jc w:val="lef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Cs w:val="21"/>
                <w:highlight w:val="none"/>
                <w14:textFill>
                  <w14:solidFill>
                    <w14:schemeClr w14:val="tx1"/>
                  </w14:solidFill>
                </w14:textFill>
              </w:rPr>
              <w:t>2、安放安全设施、拆除、安装井框、盖、清理场地</w:t>
            </w:r>
          </w:p>
        </w:tc>
        <w:tc>
          <w:tcPr>
            <w:tcW w:w="1009" w:type="dxa"/>
            <w:tcBorders>
              <w:top w:val="single" w:color="000000" w:sz="4" w:space="0"/>
              <w:left w:val="nil"/>
              <w:bottom w:val="single" w:color="auto" w:sz="4" w:space="0"/>
              <w:right w:val="single" w:color="000000" w:sz="4" w:space="0"/>
            </w:tcBorders>
            <w:noWrap w:val="0"/>
            <w:vAlign w:val="center"/>
          </w:tcPr>
          <w:p w14:paraId="18B3BCAE">
            <w:pPr>
              <w:keepNext w:val="0"/>
              <w:keepLines w:val="0"/>
              <w:widowControl/>
              <w:suppressLineNumbers w:val="0"/>
              <w:spacing w:before="0" w:beforeAutospacing="0" w:after="0" w:afterAutospacing="0"/>
              <w:ind w:left="0" w:right="0"/>
              <w:jc w:val="center"/>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Cs w:val="21"/>
                <w:highlight w:val="none"/>
                <w14:textFill>
                  <w14:solidFill>
                    <w14:schemeClr w14:val="tx1"/>
                  </w14:solidFill>
                </w14:textFill>
              </w:rPr>
              <w:t>座</w:t>
            </w:r>
          </w:p>
        </w:tc>
        <w:tc>
          <w:tcPr>
            <w:tcW w:w="1463" w:type="dxa"/>
            <w:tcBorders>
              <w:top w:val="single" w:color="000000" w:sz="4" w:space="0"/>
              <w:left w:val="nil"/>
              <w:bottom w:val="single" w:color="auto" w:sz="4" w:space="0"/>
              <w:right w:val="single" w:color="000000" w:sz="4" w:space="0"/>
            </w:tcBorders>
            <w:noWrap w:val="0"/>
            <w:vAlign w:val="center"/>
          </w:tcPr>
          <w:p w14:paraId="7D029EFE">
            <w:pPr>
              <w:keepNext w:val="0"/>
              <w:keepLines w:val="0"/>
              <w:widowControl/>
              <w:suppressLineNumbers w:val="0"/>
              <w:spacing w:before="0" w:beforeAutospacing="0" w:after="0" w:afterAutospacing="0"/>
              <w:ind w:left="0" w:right="0"/>
              <w:jc w:val="center"/>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Cs w:val="21"/>
                <w:highlight w:val="none"/>
                <w14:textFill>
                  <w14:solidFill>
                    <w14:schemeClr w14:val="tx1"/>
                  </w14:solidFill>
                </w14:textFill>
              </w:rPr>
              <w:t>819.42</w:t>
            </w:r>
          </w:p>
        </w:tc>
      </w:tr>
      <w:tr w14:paraId="44397678">
        <w:tblPrEx>
          <w:tblCellMar>
            <w:top w:w="0" w:type="dxa"/>
            <w:left w:w="108" w:type="dxa"/>
            <w:bottom w:w="0" w:type="dxa"/>
            <w:right w:w="108" w:type="dxa"/>
          </w:tblCellMar>
        </w:tblPrEx>
        <w:trPr>
          <w:cantSplit/>
          <w:trHeight w:val="804" w:hRule="atLeast"/>
          <w:jc w:val="center"/>
        </w:trPr>
        <w:tc>
          <w:tcPr>
            <w:tcW w:w="939" w:type="dxa"/>
            <w:tcBorders>
              <w:top w:val="single" w:color="auto" w:sz="4" w:space="0"/>
              <w:left w:val="single" w:color="auto" w:sz="4" w:space="0"/>
              <w:bottom w:val="single" w:color="auto" w:sz="4" w:space="0"/>
              <w:right w:val="single" w:color="auto" w:sz="4" w:space="0"/>
            </w:tcBorders>
            <w:noWrap w:val="0"/>
            <w:vAlign w:val="center"/>
          </w:tcPr>
          <w:p w14:paraId="7E4DEF8E">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2</w:t>
            </w:r>
            <w:r>
              <w:rPr>
                <w:rFonts w:hint="eastAsia" w:ascii="宋体" w:hAnsi="宋体" w:eastAsia="宋体" w:cs="宋体"/>
                <w:color w:val="000000" w:themeColor="text1"/>
                <w:szCs w:val="21"/>
                <w:highlight w:val="none"/>
                <w:lang w:val="en-US" w:eastAsia="zh-CN"/>
                <w14:textFill>
                  <w14:solidFill>
                    <w14:schemeClr w14:val="tx1"/>
                  </w14:solidFill>
                </w14:textFill>
              </w:rPr>
              <w:t>3</w:t>
            </w:r>
          </w:p>
        </w:tc>
        <w:tc>
          <w:tcPr>
            <w:tcW w:w="1821" w:type="dxa"/>
            <w:tcBorders>
              <w:top w:val="single" w:color="auto" w:sz="4" w:space="0"/>
              <w:left w:val="single" w:color="auto" w:sz="4" w:space="0"/>
              <w:bottom w:val="single" w:color="auto" w:sz="4" w:space="0"/>
              <w:right w:val="single" w:color="auto" w:sz="4" w:space="0"/>
            </w:tcBorders>
            <w:noWrap w:val="0"/>
            <w:vAlign w:val="center"/>
          </w:tcPr>
          <w:p w14:paraId="29449688">
            <w:pPr>
              <w:keepNext w:val="0"/>
              <w:keepLines w:val="0"/>
              <w:widowControl/>
              <w:suppressLineNumbers w:val="0"/>
              <w:spacing w:before="0" w:beforeAutospacing="0" w:after="0" w:afterAutospacing="0"/>
              <w:ind w:left="0" w:right="0"/>
              <w:jc w:val="lef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Cs w:val="21"/>
                <w:highlight w:val="none"/>
                <w14:textFill>
                  <w14:solidFill>
                    <w14:schemeClr w14:val="tx1"/>
                  </w14:solidFill>
                </w14:textFill>
              </w:rPr>
              <w:t>500*500方井</w:t>
            </w:r>
          </w:p>
        </w:tc>
        <w:tc>
          <w:tcPr>
            <w:tcW w:w="4685" w:type="dxa"/>
            <w:tcBorders>
              <w:top w:val="single" w:color="auto" w:sz="4" w:space="0"/>
              <w:left w:val="single" w:color="auto" w:sz="4" w:space="0"/>
              <w:bottom w:val="single" w:color="auto" w:sz="4" w:space="0"/>
              <w:right w:val="single" w:color="auto" w:sz="4" w:space="0"/>
            </w:tcBorders>
            <w:noWrap w:val="0"/>
            <w:vAlign w:val="center"/>
          </w:tcPr>
          <w:p w14:paraId="3F73E6E1">
            <w:pPr>
              <w:keepNext w:val="0"/>
              <w:keepLines w:val="0"/>
              <w:widowControl/>
              <w:suppressLineNumbers w:val="0"/>
              <w:spacing w:before="0" w:beforeAutospacing="0" w:after="0" w:afterAutospacing="0"/>
              <w:ind w:left="0" w:right="0"/>
              <w:jc w:val="left"/>
              <w:rPr>
                <w:rFonts w:hint="eastAsia" w:ascii="宋体" w:hAnsi="宋体" w:eastAsia="宋体" w:cs="宋体"/>
                <w:b w:val="0"/>
                <w:bCs w:val="0"/>
                <w:color w:val="000000" w:themeColor="text1"/>
                <w:szCs w:val="21"/>
                <w:highlight w:val="none"/>
                <w14:textFill>
                  <w14:solidFill>
                    <w14:schemeClr w14:val="tx1"/>
                  </w14:solidFill>
                </w14:textFill>
              </w:rPr>
            </w:pPr>
            <w:r>
              <w:rPr>
                <w:rFonts w:hint="eastAsia" w:ascii="宋体" w:hAnsi="宋体" w:eastAsia="宋体" w:cs="宋体"/>
                <w:b w:val="0"/>
                <w:bCs w:val="0"/>
                <w:color w:val="000000" w:themeColor="text1"/>
                <w:szCs w:val="21"/>
                <w:highlight w:val="none"/>
                <w14:textFill>
                  <w14:solidFill>
                    <w14:schemeClr w14:val="tx1"/>
                  </w14:solidFill>
                </w14:textFill>
              </w:rPr>
              <w:t xml:space="preserve">1、新建方井，砼基础、砖砌体、含井盖 </w:t>
            </w:r>
          </w:p>
          <w:p w14:paraId="14C2BEAE">
            <w:pPr>
              <w:keepNext w:val="0"/>
              <w:keepLines w:val="0"/>
              <w:widowControl/>
              <w:suppressLineNumbers w:val="0"/>
              <w:spacing w:before="0" w:beforeAutospacing="0" w:after="0" w:afterAutospacing="0"/>
              <w:ind w:left="0" w:right="0"/>
              <w:jc w:val="lef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Cs w:val="21"/>
                <w:highlight w:val="none"/>
                <w14:textFill>
                  <w14:solidFill>
                    <w14:schemeClr w14:val="tx1"/>
                  </w14:solidFill>
                </w14:textFill>
              </w:rPr>
              <w:t>2、安放安全设施、拆除、安装井框、盖、清理场地</w:t>
            </w:r>
          </w:p>
        </w:tc>
        <w:tc>
          <w:tcPr>
            <w:tcW w:w="1009" w:type="dxa"/>
            <w:tcBorders>
              <w:top w:val="single" w:color="auto" w:sz="4" w:space="0"/>
              <w:left w:val="single" w:color="auto" w:sz="4" w:space="0"/>
              <w:bottom w:val="single" w:color="auto" w:sz="4" w:space="0"/>
              <w:right w:val="single" w:color="auto" w:sz="4" w:space="0"/>
            </w:tcBorders>
            <w:noWrap w:val="0"/>
            <w:vAlign w:val="center"/>
          </w:tcPr>
          <w:p w14:paraId="53E5B820">
            <w:pPr>
              <w:keepNext w:val="0"/>
              <w:keepLines w:val="0"/>
              <w:widowControl/>
              <w:suppressLineNumbers w:val="0"/>
              <w:spacing w:before="0" w:beforeAutospacing="0" w:after="0" w:afterAutospacing="0"/>
              <w:ind w:left="0" w:right="0"/>
              <w:jc w:val="center"/>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Cs w:val="21"/>
                <w:highlight w:val="none"/>
                <w14:textFill>
                  <w14:solidFill>
                    <w14:schemeClr w14:val="tx1"/>
                  </w14:solidFill>
                </w14:textFill>
              </w:rPr>
              <w:t>座</w:t>
            </w:r>
          </w:p>
        </w:tc>
        <w:tc>
          <w:tcPr>
            <w:tcW w:w="1463" w:type="dxa"/>
            <w:tcBorders>
              <w:top w:val="single" w:color="auto" w:sz="4" w:space="0"/>
              <w:left w:val="single" w:color="auto" w:sz="4" w:space="0"/>
              <w:bottom w:val="single" w:color="auto" w:sz="4" w:space="0"/>
              <w:right w:val="single" w:color="auto" w:sz="4" w:space="0"/>
            </w:tcBorders>
            <w:noWrap w:val="0"/>
            <w:vAlign w:val="center"/>
          </w:tcPr>
          <w:p w14:paraId="45DBA0D3">
            <w:pPr>
              <w:keepNext w:val="0"/>
              <w:keepLines w:val="0"/>
              <w:widowControl/>
              <w:suppressLineNumbers w:val="0"/>
              <w:spacing w:before="0" w:beforeAutospacing="0" w:after="0" w:afterAutospacing="0"/>
              <w:ind w:left="0" w:right="0"/>
              <w:jc w:val="center"/>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Cs w:val="21"/>
                <w:highlight w:val="none"/>
                <w14:textFill>
                  <w14:solidFill>
                    <w14:schemeClr w14:val="tx1"/>
                  </w14:solidFill>
                </w14:textFill>
              </w:rPr>
              <w:t>903.42</w:t>
            </w:r>
          </w:p>
        </w:tc>
      </w:tr>
      <w:tr w14:paraId="3E6855CE">
        <w:tblPrEx>
          <w:tblCellMar>
            <w:top w:w="0" w:type="dxa"/>
            <w:left w:w="108" w:type="dxa"/>
            <w:bottom w:w="0" w:type="dxa"/>
            <w:right w:w="108" w:type="dxa"/>
          </w:tblCellMar>
        </w:tblPrEx>
        <w:trPr>
          <w:cantSplit/>
          <w:trHeight w:val="804" w:hRule="atLeast"/>
          <w:jc w:val="center"/>
        </w:trPr>
        <w:tc>
          <w:tcPr>
            <w:tcW w:w="939" w:type="dxa"/>
            <w:tcBorders>
              <w:top w:val="single" w:color="auto" w:sz="4" w:space="0"/>
              <w:left w:val="single" w:color="auto" w:sz="4" w:space="0"/>
              <w:bottom w:val="single" w:color="auto" w:sz="4" w:space="0"/>
              <w:right w:val="single" w:color="auto" w:sz="4" w:space="0"/>
            </w:tcBorders>
            <w:noWrap w:val="0"/>
            <w:vAlign w:val="center"/>
          </w:tcPr>
          <w:p w14:paraId="1833DF03">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2</w:t>
            </w:r>
            <w:r>
              <w:rPr>
                <w:rFonts w:hint="eastAsia" w:ascii="宋体" w:hAnsi="宋体" w:eastAsia="宋体" w:cs="宋体"/>
                <w:color w:val="000000" w:themeColor="text1"/>
                <w:szCs w:val="21"/>
                <w:highlight w:val="none"/>
                <w:lang w:val="en-US" w:eastAsia="zh-CN"/>
                <w14:textFill>
                  <w14:solidFill>
                    <w14:schemeClr w14:val="tx1"/>
                  </w14:solidFill>
                </w14:textFill>
              </w:rPr>
              <w:t>4</w:t>
            </w:r>
          </w:p>
        </w:tc>
        <w:tc>
          <w:tcPr>
            <w:tcW w:w="1821" w:type="dxa"/>
            <w:tcBorders>
              <w:top w:val="single" w:color="auto" w:sz="4" w:space="0"/>
              <w:left w:val="single" w:color="auto" w:sz="4" w:space="0"/>
              <w:bottom w:val="single" w:color="auto" w:sz="4" w:space="0"/>
              <w:right w:val="single" w:color="auto" w:sz="4" w:space="0"/>
            </w:tcBorders>
            <w:noWrap w:val="0"/>
            <w:vAlign w:val="center"/>
          </w:tcPr>
          <w:p w14:paraId="3EBBBCEF">
            <w:pPr>
              <w:keepNext w:val="0"/>
              <w:keepLines w:val="0"/>
              <w:widowControl/>
              <w:suppressLineNumbers w:val="0"/>
              <w:spacing w:before="0" w:beforeAutospacing="0" w:after="0" w:afterAutospacing="0"/>
              <w:ind w:left="0" w:right="0"/>
              <w:jc w:val="lef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15cmC30</w:t>
            </w:r>
            <w:r>
              <w:rPr>
                <w:rFonts w:hint="eastAsia" w:ascii="宋体" w:hAnsi="宋体" w:eastAsia="宋体" w:cs="宋体"/>
                <w:b w:val="0"/>
                <w:bCs w:val="0"/>
                <w:color w:val="000000" w:themeColor="text1"/>
                <w:szCs w:val="21"/>
                <w:highlight w:val="none"/>
                <w14:textFill>
                  <w14:solidFill>
                    <w14:schemeClr w14:val="tx1"/>
                  </w14:solidFill>
                </w14:textFill>
              </w:rPr>
              <w:t>混凝土路面拆除及修复</w:t>
            </w:r>
          </w:p>
        </w:tc>
        <w:tc>
          <w:tcPr>
            <w:tcW w:w="4685" w:type="dxa"/>
            <w:tcBorders>
              <w:top w:val="single" w:color="auto" w:sz="4" w:space="0"/>
              <w:left w:val="single" w:color="auto" w:sz="4" w:space="0"/>
              <w:bottom w:val="single" w:color="auto" w:sz="4" w:space="0"/>
              <w:right w:val="single" w:color="auto" w:sz="4" w:space="0"/>
            </w:tcBorders>
            <w:noWrap w:val="0"/>
            <w:vAlign w:val="center"/>
          </w:tcPr>
          <w:p w14:paraId="2A97B0B9">
            <w:pPr>
              <w:pStyle w:val="92"/>
              <w:keepNext w:val="0"/>
              <w:keepLines w:val="0"/>
              <w:widowControl/>
              <w:numPr>
                <w:ilvl w:val="0"/>
                <w:numId w:val="5"/>
              </w:numPr>
              <w:suppressLineNumbers w:val="0"/>
              <w:spacing w:before="0" w:beforeAutospacing="0" w:after="0" w:afterAutospacing="0"/>
              <w:ind w:right="0"/>
              <w:jc w:val="left"/>
              <w:rPr>
                <w:rFonts w:hint="eastAsia" w:ascii="宋体" w:hAnsi="宋体" w:eastAsia="宋体" w:cs="宋体"/>
                <w:b w:val="0"/>
                <w:bCs w:val="0"/>
                <w:color w:val="000000" w:themeColor="text1"/>
                <w:szCs w:val="21"/>
                <w:highlight w:val="none"/>
                <w14:textFill>
                  <w14:solidFill>
                    <w14:schemeClr w14:val="tx1"/>
                  </w14:solidFill>
                </w14:textFill>
              </w:rPr>
            </w:pPr>
            <w:r>
              <w:rPr>
                <w:rFonts w:hint="eastAsia" w:ascii="宋体" w:hAnsi="宋体" w:eastAsia="宋体" w:cs="宋体"/>
                <w:b w:val="0"/>
                <w:bCs w:val="0"/>
                <w:color w:val="000000" w:themeColor="text1"/>
                <w:szCs w:val="21"/>
                <w:highlight w:val="none"/>
                <w14:textFill>
                  <w14:solidFill>
                    <w14:schemeClr w14:val="tx1"/>
                  </w14:solidFill>
                </w14:textFill>
              </w:rPr>
              <w:t>路面锯缝、破碎、清理</w:t>
            </w:r>
          </w:p>
          <w:p w14:paraId="0683BD44">
            <w:pPr>
              <w:pStyle w:val="92"/>
              <w:keepNext w:val="0"/>
              <w:keepLines w:val="0"/>
              <w:widowControl/>
              <w:numPr>
                <w:ilvl w:val="0"/>
                <w:numId w:val="5"/>
              </w:numPr>
              <w:suppressLineNumbers w:val="0"/>
              <w:spacing w:before="0" w:beforeAutospacing="0" w:after="0" w:afterAutospacing="0"/>
              <w:ind w:left="360" w:right="0" w:hanging="360"/>
              <w:jc w:val="lef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Cs w:val="21"/>
                <w:highlight w:val="none"/>
                <w14:textFill>
                  <w14:solidFill>
                    <w14:schemeClr w14:val="tx1"/>
                  </w14:solidFill>
                </w14:textFill>
              </w:rPr>
              <w:t>浇筑、捣固、养生</w:t>
            </w:r>
          </w:p>
        </w:tc>
        <w:tc>
          <w:tcPr>
            <w:tcW w:w="1009" w:type="dxa"/>
            <w:tcBorders>
              <w:top w:val="single" w:color="auto" w:sz="4" w:space="0"/>
              <w:left w:val="single" w:color="auto" w:sz="4" w:space="0"/>
              <w:bottom w:val="single" w:color="auto" w:sz="4" w:space="0"/>
              <w:right w:val="single" w:color="auto" w:sz="4" w:space="0"/>
            </w:tcBorders>
            <w:noWrap w:val="0"/>
            <w:vAlign w:val="center"/>
          </w:tcPr>
          <w:p w14:paraId="7CD852D8">
            <w:pPr>
              <w:keepNext w:val="0"/>
              <w:keepLines w:val="0"/>
              <w:widowControl/>
              <w:suppressLineNumbers w:val="0"/>
              <w:spacing w:before="0" w:beforeAutospacing="0" w:after="0" w:afterAutospacing="0"/>
              <w:ind w:left="0" w:right="0"/>
              <w:jc w:val="center"/>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Cs w:val="21"/>
                <w:highlight w:val="none"/>
                <w14:textFill>
                  <w14:solidFill>
                    <w14:schemeClr w14:val="tx1"/>
                  </w14:solidFill>
                </w14:textFill>
              </w:rPr>
              <w:t>m2</w:t>
            </w:r>
          </w:p>
        </w:tc>
        <w:tc>
          <w:tcPr>
            <w:tcW w:w="1463" w:type="dxa"/>
            <w:tcBorders>
              <w:top w:val="single" w:color="auto" w:sz="4" w:space="0"/>
              <w:left w:val="single" w:color="auto" w:sz="4" w:space="0"/>
              <w:bottom w:val="single" w:color="auto" w:sz="4" w:space="0"/>
              <w:right w:val="single" w:color="auto" w:sz="4" w:space="0"/>
            </w:tcBorders>
            <w:noWrap w:val="0"/>
            <w:vAlign w:val="center"/>
          </w:tcPr>
          <w:p w14:paraId="7A6ECF00">
            <w:pPr>
              <w:keepNext w:val="0"/>
              <w:keepLines w:val="0"/>
              <w:widowControl/>
              <w:suppressLineNumbers w:val="0"/>
              <w:spacing w:before="0" w:beforeAutospacing="0" w:after="0" w:afterAutospacing="0"/>
              <w:ind w:left="0" w:right="0"/>
              <w:jc w:val="center"/>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Cs w:val="21"/>
                <w:highlight w:val="none"/>
                <w14:textFill>
                  <w14:solidFill>
                    <w14:schemeClr w14:val="tx1"/>
                  </w14:solidFill>
                </w14:textFill>
              </w:rPr>
              <w:t>187.94</w:t>
            </w:r>
          </w:p>
        </w:tc>
      </w:tr>
      <w:tr w14:paraId="44433579">
        <w:tblPrEx>
          <w:tblCellMar>
            <w:top w:w="0" w:type="dxa"/>
            <w:left w:w="108" w:type="dxa"/>
            <w:bottom w:w="0" w:type="dxa"/>
            <w:right w:w="108" w:type="dxa"/>
          </w:tblCellMar>
        </w:tblPrEx>
        <w:trPr>
          <w:cantSplit/>
          <w:trHeight w:val="1068" w:hRule="atLeast"/>
          <w:jc w:val="center"/>
        </w:trPr>
        <w:tc>
          <w:tcPr>
            <w:tcW w:w="939" w:type="dxa"/>
            <w:tcBorders>
              <w:top w:val="single" w:color="auto" w:sz="4" w:space="0"/>
              <w:left w:val="single" w:color="auto" w:sz="4" w:space="0"/>
              <w:bottom w:val="single" w:color="auto" w:sz="4" w:space="0"/>
              <w:right w:val="single" w:color="auto" w:sz="4" w:space="0"/>
            </w:tcBorders>
            <w:noWrap w:val="0"/>
            <w:vAlign w:val="center"/>
          </w:tcPr>
          <w:p w14:paraId="37916A12">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2</w:t>
            </w:r>
            <w:r>
              <w:rPr>
                <w:rFonts w:hint="eastAsia" w:ascii="宋体" w:hAnsi="宋体" w:eastAsia="宋体" w:cs="宋体"/>
                <w:color w:val="000000" w:themeColor="text1"/>
                <w:szCs w:val="21"/>
                <w:highlight w:val="none"/>
                <w:lang w:val="en-US" w:eastAsia="zh-CN"/>
                <w14:textFill>
                  <w14:solidFill>
                    <w14:schemeClr w14:val="tx1"/>
                  </w14:solidFill>
                </w14:textFill>
              </w:rPr>
              <w:t>5</w:t>
            </w:r>
          </w:p>
        </w:tc>
        <w:tc>
          <w:tcPr>
            <w:tcW w:w="1821" w:type="dxa"/>
            <w:tcBorders>
              <w:top w:val="single" w:color="auto" w:sz="4" w:space="0"/>
              <w:left w:val="single" w:color="auto" w:sz="4" w:space="0"/>
              <w:bottom w:val="single" w:color="auto" w:sz="4" w:space="0"/>
              <w:right w:val="single" w:color="auto" w:sz="4" w:space="0"/>
            </w:tcBorders>
            <w:noWrap w:val="0"/>
            <w:vAlign w:val="center"/>
          </w:tcPr>
          <w:p w14:paraId="628525ED">
            <w:pPr>
              <w:keepNext w:val="0"/>
              <w:keepLines w:val="0"/>
              <w:widowControl/>
              <w:suppressLineNumbers w:val="0"/>
              <w:spacing w:before="0" w:beforeAutospacing="0" w:after="0" w:afterAutospacing="0"/>
              <w:ind w:left="0" w:right="0"/>
              <w:jc w:val="lef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Cs w:val="21"/>
                <w:highlight w:val="none"/>
                <w14:textFill>
                  <w14:solidFill>
                    <w14:schemeClr w14:val="tx1"/>
                  </w14:solidFill>
                </w14:textFill>
              </w:rPr>
              <w:t>8cm沥青路面拆除及</w:t>
            </w: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修复（普通沥青、石灰岩）</w:t>
            </w:r>
          </w:p>
        </w:tc>
        <w:tc>
          <w:tcPr>
            <w:tcW w:w="4685" w:type="dxa"/>
            <w:tcBorders>
              <w:top w:val="single" w:color="auto" w:sz="4" w:space="0"/>
              <w:left w:val="single" w:color="auto" w:sz="4" w:space="0"/>
              <w:bottom w:val="single" w:color="auto" w:sz="4" w:space="0"/>
              <w:right w:val="single" w:color="auto" w:sz="4" w:space="0"/>
            </w:tcBorders>
            <w:noWrap w:val="0"/>
            <w:vAlign w:val="center"/>
          </w:tcPr>
          <w:p w14:paraId="2D3B7A2C">
            <w:pPr>
              <w:keepNext w:val="0"/>
              <w:keepLines w:val="0"/>
              <w:widowControl/>
              <w:suppressLineNumbers w:val="0"/>
              <w:spacing w:before="0" w:beforeAutospacing="0" w:after="0" w:afterAutospacing="0"/>
              <w:ind w:left="0" w:right="0"/>
              <w:jc w:val="left"/>
              <w:rPr>
                <w:rFonts w:hint="eastAsia" w:ascii="宋体" w:hAnsi="宋体" w:eastAsia="宋体" w:cs="宋体"/>
                <w:b w:val="0"/>
                <w:bCs w:val="0"/>
                <w:color w:val="000000" w:themeColor="text1"/>
                <w:szCs w:val="21"/>
                <w:highlight w:val="none"/>
                <w14:textFill>
                  <w14:solidFill>
                    <w14:schemeClr w14:val="tx1"/>
                  </w14:solidFill>
                </w14:textFill>
              </w:rPr>
            </w:pPr>
            <w:r>
              <w:rPr>
                <w:rFonts w:hint="eastAsia" w:ascii="宋体" w:hAnsi="宋体" w:eastAsia="宋体" w:cs="宋体"/>
                <w:b w:val="0"/>
                <w:bCs w:val="0"/>
                <w:color w:val="000000" w:themeColor="text1"/>
                <w:szCs w:val="21"/>
                <w:highlight w:val="none"/>
                <w14:textFill>
                  <w14:solidFill>
                    <w14:schemeClr w14:val="tx1"/>
                  </w14:solidFill>
                </w14:textFill>
              </w:rPr>
              <w:t>1、路面锯缝、破碎</w:t>
            </w:r>
          </w:p>
          <w:p w14:paraId="69A373F0">
            <w:pPr>
              <w:keepNext w:val="0"/>
              <w:keepLines w:val="0"/>
              <w:widowControl/>
              <w:suppressLineNumbers w:val="0"/>
              <w:spacing w:before="0" w:beforeAutospacing="0" w:after="0" w:afterAutospacing="0"/>
              <w:ind w:left="0" w:right="0"/>
              <w:jc w:val="lef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Cs w:val="21"/>
                <w:highlight w:val="none"/>
                <w14:textFill>
                  <w14:solidFill>
                    <w14:schemeClr w14:val="tx1"/>
                  </w14:solidFill>
                </w14:textFill>
              </w:rPr>
              <w:t>2、喷油、细粒式沥青铺设、压实</w:t>
            </w:r>
          </w:p>
        </w:tc>
        <w:tc>
          <w:tcPr>
            <w:tcW w:w="1009" w:type="dxa"/>
            <w:tcBorders>
              <w:top w:val="single" w:color="auto" w:sz="4" w:space="0"/>
              <w:left w:val="single" w:color="auto" w:sz="4" w:space="0"/>
              <w:bottom w:val="single" w:color="auto" w:sz="4" w:space="0"/>
              <w:right w:val="single" w:color="auto" w:sz="4" w:space="0"/>
            </w:tcBorders>
            <w:noWrap w:val="0"/>
            <w:vAlign w:val="center"/>
          </w:tcPr>
          <w:p w14:paraId="1B36C70B">
            <w:pPr>
              <w:keepNext w:val="0"/>
              <w:keepLines w:val="0"/>
              <w:widowControl/>
              <w:suppressLineNumbers w:val="0"/>
              <w:spacing w:before="0" w:beforeAutospacing="0" w:after="0" w:afterAutospacing="0"/>
              <w:ind w:left="0" w:right="0"/>
              <w:jc w:val="center"/>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Cs w:val="21"/>
                <w:highlight w:val="none"/>
                <w14:textFill>
                  <w14:solidFill>
                    <w14:schemeClr w14:val="tx1"/>
                  </w14:solidFill>
                </w14:textFill>
              </w:rPr>
              <w:t>m2</w:t>
            </w:r>
          </w:p>
        </w:tc>
        <w:tc>
          <w:tcPr>
            <w:tcW w:w="1463" w:type="dxa"/>
            <w:tcBorders>
              <w:top w:val="single" w:color="auto" w:sz="4" w:space="0"/>
              <w:left w:val="single" w:color="auto" w:sz="4" w:space="0"/>
              <w:bottom w:val="single" w:color="auto" w:sz="4" w:space="0"/>
              <w:right w:val="single" w:color="auto" w:sz="4" w:space="0"/>
            </w:tcBorders>
            <w:noWrap w:val="0"/>
            <w:vAlign w:val="center"/>
          </w:tcPr>
          <w:p w14:paraId="3723147C">
            <w:pPr>
              <w:keepNext w:val="0"/>
              <w:keepLines w:val="0"/>
              <w:widowControl/>
              <w:suppressLineNumbers w:val="0"/>
              <w:spacing w:before="0" w:beforeAutospacing="0" w:after="0" w:afterAutospacing="0"/>
              <w:ind w:left="0" w:right="0"/>
              <w:jc w:val="center"/>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218.34</w:t>
            </w:r>
          </w:p>
        </w:tc>
      </w:tr>
      <w:tr w14:paraId="55F2469C">
        <w:tblPrEx>
          <w:tblCellMar>
            <w:top w:w="0" w:type="dxa"/>
            <w:left w:w="108" w:type="dxa"/>
            <w:bottom w:w="0" w:type="dxa"/>
            <w:right w:w="108" w:type="dxa"/>
          </w:tblCellMar>
        </w:tblPrEx>
        <w:trPr>
          <w:cantSplit/>
          <w:trHeight w:val="833" w:hRule="atLeast"/>
          <w:jc w:val="center"/>
        </w:trPr>
        <w:tc>
          <w:tcPr>
            <w:tcW w:w="939" w:type="dxa"/>
            <w:tcBorders>
              <w:top w:val="single" w:color="auto" w:sz="4" w:space="0"/>
              <w:left w:val="single" w:color="auto" w:sz="4" w:space="0"/>
              <w:bottom w:val="single" w:color="auto" w:sz="4" w:space="0"/>
              <w:right w:val="single" w:color="auto" w:sz="4" w:space="0"/>
            </w:tcBorders>
            <w:noWrap w:val="0"/>
            <w:vAlign w:val="center"/>
          </w:tcPr>
          <w:p w14:paraId="19F71E87">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2</w:t>
            </w:r>
            <w:r>
              <w:rPr>
                <w:rFonts w:hint="eastAsia" w:ascii="宋体" w:hAnsi="宋体" w:eastAsia="宋体" w:cs="宋体"/>
                <w:color w:val="000000" w:themeColor="text1"/>
                <w:szCs w:val="21"/>
                <w:highlight w:val="none"/>
                <w:lang w:val="en-US" w:eastAsia="zh-CN"/>
                <w14:textFill>
                  <w14:solidFill>
                    <w14:schemeClr w14:val="tx1"/>
                  </w14:solidFill>
                </w14:textFill>
              </w:rPr>
              <w:t>6</w:t>
            </w:r>
          </w:p>
        </w:tc>
        <w:tc>
          <w:tcPr>
            <w:tcW w:w="1821" w:type="dxa"/>
            <w:tcBorders>
              <w:top w:val="single" w:color="auto" w:sz="4" w:space="0"/>
              <w:left w:val="single" w:color="auto" w:sz="4" w:space="0"/>
              <w:bottom w:val="single" w:color="auto" w:sz="4" w:space="0"/>
              <w:right w:val="single" w:color="auto" w:sz="4" w:space="0"/>
            </w:tcBorders>
            <w:noWrap w:val="0"/>
            <w:vAlign w:val="center"/>
          </w:tcPr>
          <w:p w14:paraId="71A0A724">
            <w:pPr>
              <w:keepNext w:val="0"/>
              <w:keepLines w:val="0"/>
              <w:widowControl/>
              <w:suppressLineNumbers w:val="0"/>
              <w:spacing w:before="0" w:beforeAutospacing="0" w:after="0" w:afterAutospacing="0"/>
              <w:ind w:left="0" w:right="0"/>
              <w:jc w:val="lef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6cm</w:t>
            </w:r>
            <w:r>
              <w:rPr>
                <w:rFonts w:hint="eastAsia" w:ascii="宋体" w:hAnsi="宋体" w:eastAsia="宋体" w:cs="宋体"/>
                <w:b w:val="0"/>
                <w:bCs w:val="0"/>
                <w:color w:val="000000" w:themeColor="text1"/>
                <w:szCs w:val="21"/>
                <w:highlight w:val="none"/>
                <w14:textFill>
                  <w14:solidFill>
                    <w14:schemeClr w14:val="tx1"/>
                  </w14:solidFill>
                </w14:textFill>
              </w:rPr>
              <w:t>道板砖及马路砖拆除及修复</w:t>
            </w:r>
          </w:p>
        </w:tc>
        <w:tc>
          <w:tcPr>
            <w:tcW w:w="4685" w:type="dxa"/>
            <w:tcBorders>
              <w:top w:val="single" w:color="auto" w:sz="4" w:space="0"/>
              <w:left w:val="single" w:color="auto" w:sz="4" w:space="0"/>
              <w:bottom w:val="single" w:color="auto" w:sz="4" w:space="0"/>
              <w:right w:val="single" w:color="auto" w:sz="4" w:space="0"/>
            </w:tcBorders>
            <w:noWrap w:val="0"/>
            <w:vAlign w:val="center"/>
          </w:tcPr>
          <w:p w14:paraId="53172E1F">
            <w:pPr>
              <w:pStyle w:val="92"/>
              <w:keepNext w:val="0"/>
              <w:keepLines w:val="0"/>
              <w:widowControl/>
              <w:numPr>
                <w:ilvl w:val="0"/>
                <w:numId w:val="6"/>
              </w:numPr>
              <w:suppressLineNumbers w:val="0"/>
              <w:spacing w:before="0" w:beforeAutospacing="0" w:after="0" w:afterAutospacing="0"/>
              <w:ind w:right="0"/>
              <w:jc w:val="left"/>
              <w:rPr>
                <w:rFonts w:hint="eastAsia" w:ascii="宋体" w:hAnsi="宋体" w:eastAsia="宋体" w:cs="宋体"/>
                <w:b w:val="0"/>
                <w:bCs w:val="0"/>
                <w:color w:val="000000" w:themeColor="text1"/>
                <w:szCs w:val="21"/>
                <w:highlight w:val="none"/>
                <w14:textFill>
                  <w14:solidFill>
                    <w14:schemeClr w14:val="tx1"/>
                  </w14:solidFill>
                </w14:textFill>
              </w:rPr>
            </w:pPr>
            <w:r>
              <w:rPr>
                <w:rFonts w:hint="eastAsia" w:ascii="宋体" w:hAnsi="宋体" w:eastAsia="宋体" w:cs="宋体"/>
                <w:b w:val="0"/>
                <w:bCs w:val="0"/>
                <w:color w:val="000000" w:themeColor="text1"/>
                <w:szCs w:val="21"/>
                <w:highlight w:val="none"/>
                <w14:textFill>
                  <w14:solidFill>
                    <w14:schemeClr w14:val="tx1"/>
                  </w14:solidFill>
                </w14:textFill>
              </w:rPr>
              <w:t>翻除，清理</w:t>
            </w:r>
          </w:p>
          <w:p w14:paraId="73E0F86A">
            <w:pPr>
              <w:pStyle w:val="92"/>
              <w:keepNext w:val="0"/>
              <w:keepLines w:val="0"/>
              <w:widowControl/>
              <w:numPr>
                <w:ilvl w:val="0"/>
                <w:numId w:val="6"/>
              </w:numPr>
              <w:suppressLineNumbers w:val="0"/>
              <w:spacing w:before="0" w:beforeAutospacing="0" w:after="0" w:afterAutospacing="0"/>
              <w:ind w:right="0"/>
              <w:jc w:val="left"/>
              <w:rPr>
                <w:rFonts w:hint="eastAsia" w:ascii="宋体" w:hAnsi="宋体" w:eastAsia="宋体" w:cs="宋体"/>
                <w:b w:val="0"/>
                <w:bCs w:val="0"/>
                <w:color w:val="000000" w:themeColor="text1"/>
                <w:szCs w:val="21"/>
                <w:highlight w:val="none"/>
                <w14:textFill>
                  <w14:solidFill>
                    <w14:schemeClr w14:val="tx1"/>
                  </w14:solidFill>
                </w14:textFill>
              </w:rPr>
            </w:pPr>
            <w:r>
              <w:rPr>
                <w:rFonts w:hint="eastAsia" w:ascii="宋体" w:hAnsi="宋体" w:eastAsia="宋体" w:cs="宋体"/>
                <w:b w:val="0"/>
                <w:bCs w:val="0"/>
                <w:color w:val="000000" w:themeColor="text1"/>
                <w:szCs w:val="21"/>
                <w:highlight w:val="none"/>
                <w14:textFill>
                  <w14:solidFill>
                    <w14:schemeClr w14:val="tx1"/>
                  </w14:solidFill>
                </w14:textFill>
              </w:rPr>
              <w:t>人工铺设，材料新购</w:t>
            </w:r>
          </w:p>
          <w:p w14:paraId="6293F6F1">
            <w:pPr>
              <w:pStyle w:val="92"/>
              <w:keepNext w:val="0"/>
              <w:keepLines w:val="0"/>
              <w:widowControl/>
              <w:numPr>
                <w:ilvl w:val="0"/>
                <w:numId w:val="6"/>
              </w:numPr>
              <w:suppressLineNumbers w:val="0"/>
              <w:spacing w:before="0" w:beforeAutospacing="0" w:after="0" w:afterAutospacing="0"/>
              <w:ind w:left="360" w:right="0" w:hanging="360"/>
              <w:jc w:val="lef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3cm砂浆垫层</w:t>
            </w:r>
          </w:p>
        </w:tc>
        <w:tc>
          <w:tcPr>
            <w:tcW w:w="1009" w:type="dxa"/>
            <w:tcBorders>
              <w:top w:val="single" w:color="auto" w:sz="4" w:space="0"/>
              <w:left w:val="single" w:color="auto" w:sz="4" w:space="0"/>
              <w:bottom w:val="single" w:color="auto" w:sz="4" w:space="0"/>
              <w:right w:val="single" w:color="auto" w:sz="4" w:space="0"/>
            </w:tcBorders>
            <w:noWrap w:val="0"/>
            <w:vAlign w:val="center"/>
          </w:tcPr>
          <w:p w14:paraId="6B6A0E2A">
            <w:pPr>
              <w:keepNext w:val="0"/>
              <w:keepLines w:val="0"/>
              <w:widowControl/>
              <w:suppressLineNumbers w:val="0"/>
              <w:spacing w:before="0" w:beforeAutospacing="0" w:after="0" w:afterAutospacing="0"/>
              <w:ind w:left="0" w:right="0"/>
              <w:jc w:val="center"/>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Cs w:val="21"/>
                <w:highlight w:val="none"/>
                <w14:textFill>
                  <w14:solidFill>
                    <w14:schemeClr w14:val="tx1"/>
                  </w14:solidFill>
                </w14:textFill>
              </w:rPr>
              <w:t>m2</w:t>
            </w:r>
          </w:p>
        </w:tc>
        <w:tc>
          <w:tcPr>
            <w:tcW w:w="1463" w:type="dxa"/>
            <w:tcBorders>
              <w:top w:val="single" w:color="auto" w:sz="4" w:space="0"/>
              <w:left w:val="single" w:color="auto" w:sz="4" w:space="0"/>
              <w:bottom w:val="single" w:color="auto" w:sz="4" w:space="0"/>
              <w:right w:val="single" w:color="auto" w:sz="4" w:space="0"/>
            </w:tcBorders>
            <w:noWrap w:val="0"/>
            <w:vAlign w:val="center"/>
          </w:tcPr>
          <w:p w14:paraId="6027EF54">
            <w:pPr>
              <w:keepNext w:val="0"/>
              <w:keepLines w:val="0"/>
              <w:widowControl/>
              <w:suppressLineNumbers w:val="0"/>
              <w:spacing w:before="0" w:beforeAutospacing="0" w:after="0" w:afterAutospacing="0"/>
              <w:ind w:left="0" w:right="0"/>
              <w:jc w:val="center"/>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Cs w:val="21"/>
                <w:highlight w:val="none"/>
                <w14:textFill>
                  <w14:solidFill>
                    <w14:schemeClr w14:val="tx1"/>
                  </w14:solidFill>
                </w14:textFill>
              </w:rPr>
              <w:t>161.47</w:t>
            </w:r>
          </w:p>
        </w:tc>
      </w:tr>
      <w:tr w14:paraId="3A1922FC">
        <w:tblPrEx>
          <w:tblCellMar>
            <w:top w:w="0" w:type="dxa"/>
            <w:left w:w="108" w:type="dxa"/>
            <w:bottom w:w="0" w:type="dxa"/>
            <w:right w:w="108" w:type="dxa"/>
          </w:tblCellMar>
        </w:tblPrEx>
        <w:trPr>
          <w:cantSplit/>
          <w:trHeight w:val="685" w:hRule="atLeast"/>
          <w:jc w:val="center"/>
        </w:trPr>
        <w:tc>
          <w:tcPr>
            <w:tcW w:w="939" w:type="dxa"/>
            <w:tcBorders>
              <w:top w:val="single" w:color="auto" w:sz="4" w:space="0"/>
              <w:left w:val="single" w:color="auto" w:sz="4" w:space="0"/>
              <w:bottom w:val="single" w:color="auto" w:sz="4" w:space="0"/>
              <w:right w:val="single" w:color="auto" w:sz="4" w:space="0"/>
            </w:tcBorders>
            <w:noWrap w:val="0"/>
            <w:vAlign w:val="center"/>
          </w:tcPr>
          <w:p w14:paraId="545FDDE6">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2</w:t>
            </w:r>
            <w:r>
              <w:rPr>
                <w:rFonts w:hint="eastAsia" w:ascii="宋体" w:hAnsi="宋体" w:eastAsia="宋体" w:cs="宋体"/>
                <w:color w:val="000000" w:themeColor="text1"/>
                <w:szCs w:val="21"/>
                <w:highlight w:val="none"/>
                <w:lang w:val="en-US" w:eastAsia="zh-CN"/>
                <w14:textFill>
                  <w14:solidFill>
                    <w14:schemeClr w14:val="tx1"/>
                  </w14:solidFill>
                </w14:textFill>
              </w:rPr>
              <w:t>7</w:t>
            </w:r>
          </w:p>
        </w:tc>
        <w:tc>
          <w:tcPr>
            <w:tcW w:w="1821" w:type="dxa"/>
            <w:tcBorders>
              <w:top w:val="single" w:color="auto" w:sz="4" w:space="0"/>
              <w:left w:val="single" w:color="auto" w:sz="4" w:space="0"/>
              <w:bottom w:val="single" w:color="auto" w:sz="4" w:space="0"/>
              <w:right w:val="single" w:color="auto" w:sz="4" w:space="0"/>
            </w:tcBorders>
            <w:noWrap w:val="0"/>
            <w:vAlign w:val="center"/>
          </w:tcPr>
          <w:p w14:paraId="55C560D5">
            <w:pPr>
              <w:keepNext w:val="0"/>
              <w:keepLines w:val="0"/>
              <w:widowControl/>
              <w:suppressLineNumbers w:val="0"/>
              <w:spacing w:before="0" w:beforeAutospacing="0" w:after="0" w:afterAutospacing="0"/>
              <w:ind w:left="0" w:right="0"/>
              <w:jc w:val="lef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Cs w:val="21"/>
                <w:highlight w:val="none"/>
                <w14:textFill>
                  <w14:solidFill>
                    <w14:schemeClr w14:val="tx1"/>
                  </w14:solidFill>
                </w14:textFill>
              </w:rPr>
              <w:t>10cmC25砼人行道垫层</w:t>
            </w:r>
          </w:p>
        </w:tc>
        <w:tc>
          <w:tcPr>
            <w:tcW w:w="4685" w:type="dxa"/>
            <w:tcBorders>
              <w:top w:val="single" w:color="auto" w:sz="4" w:space="0"/>
              <w:left w:val="single" w:color="auto" w:sz="4" w:space="0"/>
              <w:bottom w:val="single" w:color="auto" w:sz="4" w:space="0"/>
              <w:right w:val="single" w:color="auto" w:sz="4" w:space="0"/>
            </w:tcBorders>
            <w:noWrap w:val="0"/>
            <w:vAlign w:val="center"/>
          </w:tcPr>
          <w:p w14:paraId="3F3A4909">
            <w:pPr>
              <w:keepNext w:val="0"/>
              <w:keepLines w:val="0"/>
              <w:widowControl/>
              <w:suppressLineNumbers w:val="0"/>
              <w:spacing w:before="0" w:beforeAutospacing="0" w:after="0" w:afterAutospacing="0"/>
              <w:ind w:left="0" w:right="0"/>
              <w:jc w:val="left"/>
              <w:rPr>
                <w:rFonts w:hint="eastAsia" w:ascii="宋体" w:hAnsi="宋体" w:eastAsia="宋体" w:cs="宋体"/>
                <w:b w:val="0"/>
                <w:bCs w:val="0"/>
                <w:color w:val="000000" w:themeColor="text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Cs w:val="21"/>
                <w:highlight w:val="none"/>
                <w14:textFill>
                  <w14:solidFill>
                    <w14:schemeClr w14:val="tx1"/>
                  </w14:solidFill>
                </w14:textFill>
              </w:rPr>
              <w:t>1、</w:t>
            </w: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拆除原有破损垫层</w:t>
            </w:r>
          </w:p>
          <w:p w14:paraId="096D2AC6">
            <w:pPr>
              <w:keepNext w:val="0"/>
              <w:keepLines w:val="0"/>
              <w:widowControl/>
              <w:suppressLineNumbers w:val="0"/>
              <w:spacing w:before="0" w:beforeAutospacing="0" w:after="0" w:afterAutospacing="0"/>
              <w:ind w:left="0" w:right="0"/>
              <w:jc w:val="lef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2、</w:t>
            </w:r>
            <w:r>
              <w:rPr>
                <w:rFonts w:hint="eastAsia" w:ascii="宋体" w:hAnsi="宋体" w:eastAsia="宋体" w:cs="宋体"/>
                <w:b w:val="0"/>
                <w:bCs w:val="0"/>
                <w:color w:val="000000" w:themeColor="text1"/>
                <w:szCs w:val="21"/>
                <w:highlight w:val="none"/>
                <w14:textFill>
                  <w14:solidFill>
                    <w14:schemeClr w14:val="tx1"/>
                  </w14:solidFill>
                </w14:textFill>
              </w:rPr>
              <w:t>浇筑、捣固、养生、清理</w:t>
            </w:r>
          </w:p>
        </w:tc>
        <w:tc>
          <w:tcPr>
            <w:tcW w:w="1009" w:type="dxa"/>
            <w:tcBorders>
              <w:top w:val="single" w:color="auto" w:sz="4" w:space="0"/>
              <w:left w:val="single" w:color="auto" w:sz="4" w:space="0"/>
              <w:bottom w:val="single" w:color="auto" w:sz="4" w:space="0"/>
              <w:right w:val="single" w:color="auto" w:sz="4" w:space="0"/>
            </w:tcBorders>
            <w:noWrap w:val="0"/>
            <w:vAlign w:val="center"/>
          </w:tcPr>
          <w:p w14:paraId="45DFDFDF">
            <w:pPr>
              <w:keepNext w:val="0"/>
              <w:keepLines w:val="0"/>
              <w:widowControl/>
              <w:suppressLineNumbers w:val="0"/>
              <w:spacing w:before="0" w:beforeAutospacing="0" w:after="0" w:afterAutospacing="0"/>
              <w:ind w:left="0" w:right="0"/>
              <w:jc w:val="center"/>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Cs w:val="21"/>
                <w:highlight w:val="none"/>
                <w14:textFill>
                  <w14:solidFill>
                    <w14:schemeClr w14:val="tx1"/>
                  </w14:solidFill>
                </w14:textFill>
              </w:rPr>
              <w:t>m2</w:t>
            </w:r>
          </w:p>
        </w:tc>
        <w:tc>
          <w:tcPr>
            <w:tcW w:w="1463" w:type="dxa"/>
            <w:tcBorders>
              <w:top w:val="single" w:color="auto" w:sz="4" w:space="0"/>
              <w:left w:val="single" w:color="auto" w:sz="4" w:space="0"/>
              <w:bottom w:val="single" w:color="auto" w:sz="4" w:space="0"/>
              <w:right w:val="single" w:color="auto" w:sz="4" w:space="0"/>
            </w:tcBorders>
            <w:noWrap w:val="0"/>
            <w:vAlign w:val="center"/>
          </w:tcPr>
          <w:p w14:paraId="066F96BF">
            <w:pPr>
              <w:keepNext w:val="0"/>
              <w:keepLines w:val="0"/>
              <w:widowControl/>
              <w:suppressLineNumbers w:val="0"/>
              <w:spacing w:before="0" w:beforeAutospacing="0" w:after="0" w:afterAutospacing="0"/>
              <w:ind w:left="0" w:right="0"/>
              <w:jc w:val="center"/>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Cs w:val="21"/>
                <w:highlight w:val="none"/>
                <w14:textFill>
                  <w14:solidFill>
                    <w14:schemeClr w14:val="tx1"/>
                  </w14:solidFill>
                </w14:textFill>
              </w:rPr>
              <w:t>119.64</w:t>
            </w:r>
          </w:p>
        </w:tc>
      </w:tr>
      <w:tr w14:paraId="30409A6F">
        <w:tblPrEx>
          <w:tblCellMar>
            <w:top w:w="0" w:type="dxa"/>
            <w:left w:w="108" w:type="dxa"/>
            <w:bottom w:w="0" w:type="dxa"/>
            <w:right w:w="108" w:type="dxa"/>
          </w:tblCellMar>
        </w:tblPrEx>
        <w:trPr>
          <w:cantSplit/>
          <w:trHeight w:val="685" w:hRule="atLeast"/>
          <w:jc w:val="center"/>
        </w:trPr>
        <w:tc>
          <w:tcPr>
            <w:tcW w:w="939" w:type="dxa"/>
            <w:tcBorders>
              <w:top w:val="single" w:color="auto" w:sz="4" w:space="0"/>
              <w:left w:val="single" w:color="auto" w:sz="4" w:space="0"/>
              <w:bottom w:val="single" w:color="auto" w:sz="4" w:space="0"/>
              <w:right w:val="single" w:color="auto" w:sz="4" w:space="0"/>
            </w:tcBorders>
            <w:noWrap w:val="0"/>
            <w:vAlign w:val="center"/>
          </w:tcPr>
          <w:p w14:paraId="39A27805">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2</w:t>
            </w:r>
            <w:r>
              <w:rPr>
                <w:rFonts w:hint="eastAsia" w:ascii="宋体" w:hAnsi="宋体" w:eastAsia="宋体" w:cs="宋体"/>
                <w:color w:val="000000" w:themeColor="text1"/>
                <w:szCs w:val="21"/>
                <w:highlight w:val="none"/>
                <w:lang w:val="en-US" w:eastAsia="zh-CN"/>
                <w14:textFill>
                  <w14:solidFill>
                    <w14:schemeClr w14:val="tx1"/>
                  </w14:solidFill>
                </w14:textFill>
              </w:rPr>
              <w:t>8</w:t>
            </w:r>
          </w:p>
        </w:tc>
        <w:tc>
          <w:tcPr>
            <w:tcW w:w="1821" w:type="dxa"/>
            <w:tcBorders>
              <w:top w:val="single" w:color="auto" w:sz="4" w:space="0"/>
              <w:left w:val="single" w:color="auto" w:sz="4" w:space="0"/>
              <w:bottom w:val="single" w:color="auto" w:sz="4" w:space="0"/>
              <w:right w:val="single" w:color="auto" w:sz="4" w:space="0"/>
            </w:tcBorders>
            <w:noWrap w:val="0"/>
            <w:vAlign w:val="center"/>
          </w:tcPr>
          <w:p w14:paraId="2AEAFE42">
            <w:pPr>
              <w:keepNext w:val="0"/>
              <w:keepLines w:val="0"/>
              <w:widowControl/>
              <w:suppressLineNumbers w:val="0"/>
              <w:spacing w:before="0" w:beforeAutospacing="0" w:after="0" w:afterAutospacing="0"/>
              <w:ind w:left="0" w:right="0"/>
              <w:jc w:val="lef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乙型</w:t>
            </w:r>
            <w:r>
              <w:rPr>
                <w:rFonts w:hint="eastAsia" w:ascii="宋体" w:hAnsi="宋体" w:eastAsia="宋体" w:cs="宋体"/>
                <w:b w:val="0"/>
                <w:bCs w:val="0"/>
                <w:color w:val="000000" w:themeColor="text1"/>
                <w:szCs w:val="21"/>
                <w:highlight w:val="none"/>
                <w14:textFill>
                  <w14:solidFill>
                    <w14:schemeClr w14:val="tx1"/>
                  </w14:solidFill>
                </w14:textFill>
              </w:rPr>
              <w:t>砼侧石拆除及修复</w:t>
            </w:r>
          </w:p>
        </w:tc>
        <w:tc>
          <w:tcPr>
            <w:tcW w:w="4685" w:type="dxa"/>
            <w:tcBorders>
              <w:top w:val="single" w:color="auto" w:sz="4" w:space="0"/>
              <w:left w:val="single" w:color="auto" w:sz="4" w:space="0"/>
              <w:bottom w:val="single" w:color="auto" w:sz="4" w:space="0"/>
              <w:right w:val="single" w:color="auto" w:sz="4" w:space="0"/>
            </w:tcBorders>
            <w:noWrap w:val="0"/>
            <w:vAlign w:val="center"/>
          </w:tcPr>
          <w:p w14:paraId="11847012">
            <w:pPr>
              <w:keepNext w:val="0"/>
              <w:keepLines w:val="0"/>
              <w:widowControl/>
              <w:suppressLineNumbers w:val="0"/>
              <w:spacing w:before="0" w:beforeAutospacing="0" w:after="0" w:afterAutospacing="0"/>
              <w:ind w:left="0" w:right="0"/>
              <w:jc w:val="lef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Cs w:val="21"/>
                <w:highlight w:val="none"/>
                <w14:textFill>
                  <w14:solidFill>
                    <w14:schemeClr w14:val="tx1"/>
                  </w14:solidFill>
                </w14:textFill>
              </w:rPr>
              <w:t>1、拆除破损侧石、清底、放线、铺设砼基础、</w:t>
            </w: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2、铺设新侧石、砼基础、清理</w:t>
            </w:r>
          </w:p>
        </w:tc>
        <w:tc>
          <w:tcPr>
            <w:tcW w:w="1009" w:type="dxa"/>
            <w:tcBorders>
              <w:top w:val="single" w:color="auto" w:sz="4" w:space="0"/>
              <w:left w:val="single" w:color="auto" w:sz="4" w:space="0"/>
              <w:bottom w:val="single" w:color="auto" w:sz="4" w:space="0"/>
              <w:right w:val="single" w:color="auto" w:sz="4" w:space="0"/>
            </w:tcBorders>
            <w:noWrap w:val="0"/>
            <w:vAlign w:val="center"/>
          </w:tcPr>
          <w:p w14:paraId="0DE32FE7">
            <w:pPr>
              <w:keepNext w:val="0"/>
              <w:keepLines w:val="0"/>
              <w:widowControl/>
              <w:suppressLineNumbers w:val="0"/>
              <w:spacing w:before="0" w:beforeAutospacing="0" w:after="0" w:afterAutospacing="0"/>
              <w:ind w:left="0" w:right="0"/>
              <w:jc w:val="center"/>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Cs w:val="21"/>
                <w:highlight w:val="none"/>
                <w14:textFill>
                  <w14:solidFill>
                    <w14:schemeClr w14:val="tx1"/>
                  </w14:solidFill>
                </w14:textFill>
              </w:rPr>
              <w:t>m</w:t>
            </w:r>
          </w:p>
        </w:tc>
        <w:tc>
          <w:tcPr>
            <w:tcW w:w="1463" w:type="dxa"/>
            <w:tcBorders>
              <w:top w:val="single" w:color="auto" w:sz="4" w:space="0"/>
              <w:left w:val="single" w:color="auto" w:sz="4" w:space="0"/>
              <w:bottom w:val="single" w:color="auto" w:sz="4" w:space="0"/>
              <w:right w:val="single" w:color="auto" w:sz="4" w:space="0"/>
            </w:tcBorders>
            <w:noWrap w:val="0"/>
            <w:vAlign w:val="center"/>
          </w:tcPr>
          <w:p w14:paraId="5F38019B">
            <w:pPr>
              <w:keepNext w:val="0"/>
              <w:keepLines w:val="0"/>
              <w:widowControl/>
              <w:suppressLineNumbers w:val="0"/>
              <w:spacing w:before="0" w:beforeAutospacing="0" w:after="0" w:afterAutospacing="0"/>
              <w:ind w:left="0" w:right="0"/>
              <w:jc w:val="center"/>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109.82</w:t>
            </w:r>
          </w:p>
        </w:tc>
      </w:tr>
      <w:tr w14:paraId="60110636">
        <w:tblPrEx>
          <w:tblCellMar>
            <w:top w:w="0" w:type="dxa"/>
            <w:left w:w="108" w:type="dxa"/>
            <w:bottom w:w="0" w:type="dxa"/>
            <w:right w:w="108" w:type="dxa"/>
          </w:tblCellMar>
        </w:tblPrEx>
        <w:trPr>
          <w:cantSplit/>
          <w:trHeight w:val="685" w:hRule="atLeast"/>
          <w:jc w:val="center"/>
        </w:trPr>
        <w:tc>
          <w:tcPr>
            <w:tcW w:w="939" w:type="dxa"/>
            <w:tcBorders>
              <w:top w:val="single" w:color="auto" w:sz="4" w:space="0"/>
              <w:left w:val="single" w:color="auto" w:sz="4" w:space="0"/>
              <w:bottom w:val="single" w:color="auto" w:sz="4" w:space="0"/>
              <w:right w:val="single" w:color="auto" w:sz="4" w:space="0"/>
            </w:tcBorders>
            <w:noWrap w:val="0"/>
            <w:vAlign w:val="center"/>
          </w:tcPr>
          <w:p w14:paraId="16587909">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29</w:t>
            </w:r>
          </w:p>
        </w:tc>
        <w:tc>
          <w:tcPr>
            <w:tcW w:w="1821" w:type="dxa"/>
            <w:tcBorders>
              <w:top w:val="single" w:color="auto" w:sz="4" w:space="0"/>
              <w:left w:val="single" w:color="auto" w:sz="4" w:space="0"/>
              <w:bottom w:val="single" w:color="auto" w:sz="4" w:space="0"/>
              <w:right w:val="single" w:color="auto" w:sz="4" w:space="0"/>
            </w:tcBorders>
            <w:noWrap w:val="0"/>
            <w:vAlign w:val="center"/>
          </w:tcPr>
          <w:p w14:paraId="2B55FA12">
            <w:pPr>
              <w:keepNext w:val="0"/>
              <w:keepLines w:val="0"/>
              <w:widowControl/>
              <w:suppressLineNumbers w:val="0"/>
              <w:spacing w:before="0" w:beforeAutospacing="0" w:after="0" w:afterAutospacing="0"/>
              <w:ind w:left="0" w:right="0"/>
              <w:jc w:val="lef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乙型</w:t>
            </w:r>
            <w:r>
              <w:rPr>
                <w:rFonts w:hint="eastAsia" w:ascii="宋体" w:hAnsi="宋体" w:eastAsia="宋体" w:cs="宋体"/>
                <w:b w:val="0"/>
                <w:bCs w:val="0"/>
                <w:color w:val="000000" w:themeColor="text1"/>
                <w:szCs w:val="21"/>
                <w:highlight w:val="none"/>
                <w14:textFill>
                  <w14:solidFill>
                    <w14:schemeClr w14:val="tx1"/>
                  </w14:solidFill>
                </w14:textFill>
              </w:rPr>
              <w:t>砼平石拆除及修复</w:t>
            </w:r>
          </w:p>
        </w:tc>
        <w:tc>
          <w:tcPr>
            <w:tcW w:w="4685" w:type="dxa"/>
            <w:tcBorders>
              <w:top w:val="single" w:color="auto" w:sz="4" w:space="0"/>
              <w:left w:val="single" w:color="auto" w:sz="4" w:space="0"/>
              <w:bottom w:val="single" w:color="auto" w:sz="4" w:space="0"/>
              <w:right w:val="single" w:color="auto" w:sz="4" w:space="0"/>
            </w:tcBorders>
            <w:noWrap w:val="0"/>
            <w:vAlign w:val="center"/>
          </w:tcPr>
          <w:p w14:paraId="68BF9A9F">
            <w:pPr>
              <w:keepNext w:val="0"/>
              <w:keepLines w:val="0"/>
              <w:widowControl/>
              <w:suppressLineNumbers w:val="0"/>
              <w:spacing w:before="0" w:beforeAutospacing="0" w:after="0" w:afterAutospacing="0"/>
              <w:ind w:left="0" w:right="0"/>
              <w:jc w:val="lef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Cs w:val="21"/>
                <w:highlight w:val="none"/>
                <w14:textFill>
                  <w14:solidFill>
                    <w14:schemeClr w14:val="tx1"/>
                  </w14:solidFill>
                </w14:textFill>
              </w:rPr>
              <w:t>1、拆除破损平石、清底、放线、铺设砼基础、</w:t>
            </w: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2、铺设新平石、砼基础、清理</w:t>
            </w:r>
          </w:p>
        </w:tc>
        <w:tc>
          <w:tcPr>
            <w:tcW w:w="1009" w:type="dxa"/>
            <w:tcBorders>
              <w:top w:val="single" w:color="auto" w:sz="4" w:space="0"/>
              <w:left w:val="single" w:color="auto" w:sz="4" w:space="0"/>
              <w:bottom w:val="single" w:color="auto" w:sz="4" w:space="0"/>
              <w:right w:val="single" w:color="auto" w:sz="4" w:space="0"/>
            </w:tcBorders>
            <w:noWrap w:val="0"/>
            <w:vAlign w:val="center"/>
          </w:tcPr>
          <w:p w14:paraId="023F5F25">
            <w:pPr>
              <w:keepNext w:val="0"/>
              <w:keepLines w:val="0"/>
              <w:widowControl/>
              <w:suppressLineNumbers w:val="0"/>
              <w:spacing w:before="0" w:beforeAutospacing="0" w:after="0" w:afterAutospacing="0"/>
              <w:ind w:left="0" w:right="0"/>
              <w:jc w:val="center"/>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Cs w:val="21"/>
                <w:highlight w:val="none"/>
                <w14:textFill>
                  <w14:solidFill>
                    <w14:schemeClr w14:val="tx1"/>
                  </w14:solidFill>
                </w14:textFill>
              </w:rPr>
              <w:t>m</w:t>
            </w:r>
          </w:p>
        </w:tc>
        <w:tc>
          <w:tcPr>
            <w:tcW w:w="1463" w:type="dxa"/>
            <w:tcBorders>
              <w:top w:val="single" w:color="auto" w:sz="4" w:space="0"/>
              <w:left w:val="single" w:color="auto" w:sz="4" w:space="0"/>
              <w:bottom w:val="single" w:color="auto" w:sz="4" w:space="0"/>
              <w:right w:val="single" w:color="auto" w:sz="4" w:space="0"/>
            </w:tcBorders>
            <w:noWrap w:val="0"/>
            <w:vAlign w:val="center"/>
          </w:tcPr>
          <w:p w14:paraId="52B85122">
            <w:pPr>
              <w:keepNext w:val="0"/>
              <w:keepLines w:val="0"/>
              <w:widowControl/>
              <w:suppressLineNumbers w:val="0"/>
              <w:spacing w:before="0" w:beforeAutospacing="0" w:after="0" w:afterAutospacing="0"/>
              <w:ind w:left="0" w:right="0"/>
              <w:jc w:val="center"/>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97.32</w:t>
            </w:r>
          </w:p>
        </w:tc>
      </w:tr>
      <w:tr w14:paraId="6ADAD065">
        <w:tblPrEx>
          <w:tblCellMar>
            <w:top w:w="0" w:type="dxa"/>
            <w:left w:w="108" w:type="dxa"/>
            <w:bottom w:w="0" w:type="dxa"/>
            <w:right w:w="108" w:type="dxa"/>
          </w:tblCellMar>
        </w:tblPrEx>
        <w:trPr>
          <w:cantSplit/>
          <w:trHeight w:val="715" w:hRule="atLeast"/>
          <w:jc w:val="center"/>
        </w:trPr>
        <w:tc>
          <w:tcPr>
            <w:tcW w:w="939" w:type="dxa"/>
            <w:tcBorders>
              <w:top w:val="single" w:color="auto" w:sz="4" w:space="0"/>
              <w:left w:val="single" w:color="auto" w:sz="4" w:space="0"/>
              <w:bottom w:val="single" w:color="auto" w:sz="4" w:space="0"/>
              <w:right w:val="single" w:color="auto" w:sz="4" w:space="0"/>
            </w:tcBorders>
            <w:noWrap w:val="0"/>
            <w:vAlign w:val="center"/>
          </w:tcPr>
          <w:p w14:paraId="75DAEBB9">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3</w:t>
            </w:r>
            <w:r>
              <w:rPr>
                <w:rFonts w:hint="eastAsia" w:ascii="宋体" w:hAnsi="宋体" w:eastAsia="宋体" w:cs="宋体"/>
                <w:color w:val="000000" w:themeColor="text1"/>
                <w:szCs w:val="21"/>
                <w:highlight w:val="none"/>
                <w:lang w:val="en-US" w:eastAsia="zh-CN"/>
                <w14:textFill>
                  <w14:solidFill>
                    <w14:schemeClr w14:val="tx1"/>
                  </w14:solidFill>
                </w14:textFill>
              </w:rPr>
              <w:t>0</w:t>
            </w:r>
          </w:p>
        </w:tc>
        <w:tc>
          <w:tcPr>
            <w:tcW w:w="1821" w:type="dxa"/>
            <w:tcBorders>
              <w:top w:val="single" w:color="auto" w:sz="4" w:space="0"/>
              <w:left w:val="single" w:color="auto" w:sz="4" w:space="0"/>
              <w:bottom w:val="single" w:color="auto" w:sz="4" w:space="0"/>
              <w:right w:val="single" w:color="auto" w:sz="4" w:space="0"/>
            </w:tcBorders>
            <w:noWrap w:val="0"/>
            <w:vAlign w:val="center"/>
          </w:tcPr>
          <w:p w14:paraId="52E32F0C">
            <w:pPr>
              <w:keepNext w:val="0"/>
              <w:keepLines w:val="0"/>
              <w:widowControl/>
              <w:suppressLineNumbers w:val="0"/>
              <w:spacing w:before="0" w:beforeAutospacing="0" w:after="0" w:afterAutospacing="0"/>
              <w:ind w:left="0" w:right="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管道C25砼包封</w:t>
            </w:r>
          </w:p>
        </w:tc>
        <w:tc>
          <w:tcPr>
            <w:tcW w:w="4685" w:type="dxa"/>
            <w:tcBorders>
              <w:top w:val="single" w:color="auto" w:sz="4" w:space="0"/>
              <w:left w:val="single" w:color="auto" w:sz="4" w:space="0"/>
              <w:bottom w:val="single" w:color="auto" w:sz="4" w:space="0"/>
              <w:right w:val="single" w:color="auto" w:sz="4" w:space="0"/>
            </w:tcBorders>
            <w:noWrap w:val="0"/>
            <w:vAlign w:val="center"/>
          </w:tcPr>
          <w:p w14:paraId="76E70CC3">
            <w:pPr>
              <w:keepNext w:val="0"/>
              <w:keepLines w:val="0"/>
              <w:widowControl/>
              <w:suppressLineNumbers w:val="0"/>
              <w:spacing w:before="0" w:beforeAutospacing="0" w:after="0" w:afterAutospacing="0"/>
              <w:ind w:left="0" w:right="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1、浇筑、捣固、养生</w:t>
            </w:r>
          </w:p>
        </w:tc>
        <w:tc>
          <w:tcPr>
            <w:tcW w:w="1009" w:type="dxa"/>
            <w:tcBorders>
              <w:top w:val="single" w:color="auto" w:sz="4" w:space="0"/>
              <w:left w:val="single" w:color="auto" w:sz="4" w:space="0"/>
              <w:bottom w:val="single" w:color="auto" w:sz="4" w:space="0"/>
              <w:right w:val="single" w:color="auto" w:sz="4" w:space="0"/>
            </w:tcBorders>
            <w:noWrap w:val="0"/>
            <w:vAlign w:val="center"/>
          </w:tcPr>
          <w:p w14:paraId="0BC9B08C">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m3</w:t>
            </w:r>
          </w:p>
        </w:tc>
        <w:tc>
          <w:tcPr>
            <w:tcW w:w="1463" w:type="dxa"/>
            <w:tcBorders>
              <w:top w:val="single" w:color="auto" w:sz="4" w:space="0"/>
              <w:left w:val="single" w:color="auto" w:sz="4" w:space="0"/>
              <w:bottom w:val="single" w:color="auto" w:sz="4" w:space="0"/>
              <w:right w:val="single" w:color="auto" w:sz="4" w:space="0"/>
            </w:tcBorders>
            <w:noWrap w:val="0"/>
            <w:vAlign w:val="center"/>
          </w:tcPr>
          <w:p w14:paraId="1439CA09">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747.00</w:t>
            </w:r>
          </w:p>
        </w:tc>
      </w:tr>
      <w:tr w14:paraId="15015557">
        <w:tblPrEx>
          <w:tblCellMar>
            <w:top w:w="0" w:type="dxa"/>
            <w:left w:w="108" w:type="dxa"/>
            <w:bottom w:w="0" w:type="dxa"/>
            <w:right w:w="108" w:type="dxa"/>
          </w:tblCellMar>
        </w:tblPrEx>
        <w:trPr>
          <w:cantSplit/>
          <w:trHeight w:val="715" w:hRule="atLeast"/>
          <w:jc w:val="center"/>
        </w:trPr>
        <w:tc>
          <w:tcPr>
            <w:tcW w:w="93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3949CFA">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3</w:t>
            </w:r>
            <w:r>
              <w:rPr>
                <w:rFonts w:hint="eastAsia" w:ascii="宋体" w:hAnsi="宋体" w:eastAsia="宋体" w:cs="宋体"/>
                <w:color w:val="000000" w:themeColor="text1"/>
                <w:szCs w:val="21"/>
                <w:highlight w:val="none"/>
                <w:lang w:val="en-US" w:eastAsia="zh-CN"/>
                <w14:textFill>
                  <w14:solidFill>
                    <w14:schemeClr w14:val="tx1"/>
                  </w14:solidFill>
                </w14:textFill>
              </w:rPr>
              <w:t>1</w:t>
            </w:r>
          </w:p>
        </w:tc>
        <w:tc>
          <w:tcPr>
            <w:tcW w:w="182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EA06FB2">
            <w:pPr>
              <w:keepNext w:val="0"/>
              <w:keepLines w:val="0"/>
              <w:widowControl/>
              <w:suppressLineNumbers w:val="0"/>
              <w:spacing w:before="0" w:beforeAutospacing="0" w:after="0" w:afterAutospacing="0"/>
              <w:ind w:left="0" w:right="0"/>
              <w:jc w:val="left"/>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材料场内驳运</w:t>
            </w:r>
          </w:p>
        </w:tc>
        <w:tc>
          <w:tcPr>
            <w:tcW w:w="4685"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02203B5">
            <w:pPr>
              <w:keepNext w:val="0"/>
              <w:keepLines w:val="0"/>
              <w:widowControl/>
              <w:suppressLineNumbers w:val="0"/>
              <w:spacing w:before="0" w:beforeAutospacing="0" w:after="0" w:afterAutospacing="0"/>
              <w:ind w:left="0" w:right="0"/>
              <w:jc w:val="left"/>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黄砂、水泥、碎石、管材等原材料场内驳运</w:t>
            </w:r>
          </w:p>
        </w:tc>
        <w:tc>
          <w:tcPr>
            <w:tcW w:w="100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2158660">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t</w:t>
            </w:r>
          </w:p>
        </w:tc>
        <w:tc>
          <w:tcPr>
            <w:tcW w:w="1463"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DD1B3DA">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27.69</w:t>
            </w:r>
          </w:p>
        </w:tc>
      </w:tr>
      <w:tr w14:paraId="1D7654B6">
        <w:tblPrEx>
          <w:tblCellMar>
            <w:top w:w="0" w:type="dxa"/>
            <w:left w:w="108" w:type="dxa"/>
            <w:bottom w:w="0" w:type="dxa"/>
            <w:right w:w="108" w:type="dxa"/>
          </w:tblCellMar>
        </w:tblPrEx>
        <w:trPr>
          <w:cantSplit/>
          <w:trHeight w:val="715" w:hRule="atLeast"/>
          <w:jc w:val="center"/>
        </w:trPr>
        <w:tc>
          <w:tcPr>
            <w:tcW w:w="93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F5A8732">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3</w:t>
            </w:r>
            <w:r>
              <w:rPr>
                <w:rFonts w:hint="eastAsia" w:ascii="宋体" w:hAnsi="宋体" w:eastAsia="宋体" w:cs="宋体"/>
                <w:color w:val="000000" w:themeColor="text1"/>
                <w:szCs w:val="21"/>
                <w:highlight w:val="none"/>
                <w:lang w:val="en-US" w:eastAsia="zh-CN"/>
                <w14:textFill>
                  <w14:solidFill>
                    <w14:schemeClr w14:val="tx1"/>
                  </w14:solidFill>
                </w14:textFill>
              </w:rPr>
              <w:t>2</w:t>
            </w:r>
          </w:p>
        </w:tc>
        <w:tc>
          <w:tcPr>
            <w:tcW w:w="182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8D2902A">
            <w:pPr>
              <w:keepNext w:val="0"/>
              <w:keepLines w:val="0"/>
              <w:widowControl/>
              <w:suppressLineNumbers w:val="0"/>
              <w:spacing w:before="0" w:beforeAutospacing="0" w:after="0" w:afterAutospacing="0"/>
              <w:ind w:left="0" w:right="0"/>
              <w:jc w:val="left"/>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余土打堆、场内驳运</w:t>
            </w:r>
          </w:p>
        </w:tc>
        <w:tc>
          <w:tcPr>
            <w:tcW w:w="4685"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F2A2AD8">
            <w:pPr>
              <w:keepNext w:val="0"/>
              <w:keepLines w:val="0"/>
              <w:widowControl/>
              <w:suppressLineNumbers w:val="0"/>
              <w:spacing w:before="0" w:beforeAutospacing="0" w:after="0" w:afterAutospacing="0"/>
              <w:ind w:left="0" w:right="0"/>
              <w:jc w:val="left"/>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1、人工装翻斗车，场内驳运、卸土、打堆及清理</w:t>
            </w:r>
          </w:p>
        </w:tc>
        <w:tc>
          <w:tcPr>
            <w:tcW w:w="100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93265D8">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m3</w:t>
            </w:r>
          </w:p>
        </w:tc>
        <w:tc>
          <w:tcPr>
            <w:tcW w:w="1463"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F1C8E9B">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55.46</w:t>
            </w:r>
          </w:p>
        </w:tc>
      </w:tr>
      <w:tr w14:paraId="1A4EE362">
        <w:tblPrEx>
          <w:tblCellMar>
            <w:top w:w="0" w:type="dxa"/>
            <w:left w:w="108" w:type="dxa"/>
            <w:bottom w:w="0" w:type="dxa"/>
            <w:right w:w="108" w:type="dxa"/>
          </w:tblCellMar>
        </w:tblPrEx>
        <w:trPr>
          <w:cantSplit/>
          <w:trHeight w:val="715" w:hRule="atLeast"/>
          <w:jc w:val="center"/>
        </w:trPr>
        <w:tc>
          <w:tcPr>
            <w:tcW w:w="93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49DFC7B">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3</w:t>
            </w:r>
            <w:r>
              <w:rPr>
                <w:rFonts w:hint="eastAsia" w:ascii="宋体" w:hAnsi="宋体" w:eastAsia="宋体" w:cs="宋体"/>
                <w:color w:val="000000" w:themeColor="text1"/>
                <w:szCs w:val="21"/>
                <w:highlight w:val="none"/>
                <w:lang w:val="en-US" w:eastAsia="zh-CN"/>
                <w14:textFill>
                  <w14:solidFill>
                    <w14:schemeClr w14:val="tx1"/>
                  </w14:solidFill>
                </w14:textFill>
              </w:rPr>
              <w:t>3</w:t>
            </w:r>
          </w:p>
        </w:tc>
        <w:tc>
          <w:tcPr>
            <w:tcW w:w="182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F8EF18A">
            <w:pPr>
              <w:keepNext w:val="0"/>
              <w:keepLines w:val="0"/>
              <w:widowControl/>
              <w:suppressLineNumbers w:val="0"/>
              <w:spacing w:before="0" w:beforeAutospacing="0" w:after="0" w:afterAutospacing="0"/>
              <w:ind w:left="0" w:right="0"/>
              <w:jc w:val="left"/>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余方弃置</w:t>
            </w:r>
          </w:p>
        </w:tc>
        <w:tc>
          <w:tcPr>
            <w:tcW w:w="4685"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D106303">
            <w:pPr>
              <w:pStyle w:val="92"/>
              <w:keepNext w:val="0"/>
              <w:keepLines w:val="0"/>
              <w:widowControl/>
              <w:numPr>
                <w:ilvl w:val="0"/>
                <w:numId w:val="7"/>
              </w:numPr>
              <w:suppressLineNumbers w:val="0"/>
              <w:spacing w:before="0" w:beforeAutospacing="0" w:after="0" w:afterAutospacing="0"/>
              <w:ind w:right="0"/>
              <w:jc w:val="left"/>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装翻斗车，运输、卸土及清理。</w:t>
            </w:r>
          </w:p>
          <w:p w14:paraId="4C57F459">
            <w:pPr>
              <w:pStyle w:val="14"/>
              <w:keepNext w:val="0"/>
              <w:keepLines w:val="0"/>
              <w:numPr>
                <w:ilvl w:val="0"/>
                <w:numId w:val="7"/>
              </w:numPr>
              <w:suppressLineNumbers w:val="0"/>
              <w:spacing w:before="0" w:beforeAutospacing="0" w:after="0" w:afterAutospacing="0"/>
              <w:ind w:left="360" w:right="0" w:hanging="360"/>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运距综合考虑。</w:t>
            </w:r>
          </w:p>
        </w:tc>
        <w:tc>
          <w:tcPr>
            <w:tcW w:w="100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E43EA66">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m3</w:t>
            </w:r>
          </w:p>
        </w:tc>
        <w:tc>
          <w:tcPr>
            <w:tcW w:w="1463"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9A624B0">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111.63</w:t>
            </w:r>
          </w:p>
        </w:tc>
      </w:tr>
      <w:tr w14:paraId="7BCF77F0">
        <w:tblPrEx>
          <w:tblCellMar>
            <w:top w:w="0" w:type="dxa"/>
            <w:left w:w="108" w:type="dxa"/>
            <w:bottom w:w="0" w:type="dxa"/>
            <w:right w:w="108" w:type="dxa"/>
          </w:tblCellMar>
        </w:tblPrEx>
        <w:trPr>
          <w:cantSplit/>
          <w:trHeight w:val="715" w:hRule="atLeast"/>
          <w:jc w:val="center"/>
        </w:trPr>
        <w:tc>
          <w:tcPr>
            <w:tcW w:w="93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29EA86B">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3</w:t>
            </w:r>
            <w:r>
              <w:rPr>
                <w:rFonts w:hint="eastAsia" w:ascii="宋体" w:hAnsi="宋体" w:eastAsia="宋体" w:cs="宋体"/>
                <w:color w:val="000000" w:themeColor="text1"/>
                <w:szCs w:val="21"/>
                <w:highlight w:val="none"/>
                <w:lang w:val="en-US" w:eastAsia="zh-CN"/>
                <w14:textFill>
                  <w14:solidFill>
                    <w14:schemeClr w14:val="tx1"/>
                  </w14:solidFill>
                </w14:textFill>
              </w:rPr>
              <w:t>4</w:t>
            </w:r>
          </w:p>
        </w:tc>
        <w:tc>
          <w:tcPr>
            <w:tcW w:w="182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E5A19BC">
            <w:pPr>
              <w:keepNext w:val="0"/>
              <w:keepLines w:val="0"/>
              <w:widowControl/>
              <w:suppressLineNumbers w:val="0"/>
              <w:spacing w:before="0" w:beforeAutospacing="0" w:after="0" w:afterAutospacing="0"/>
              <w:ind w:left="0" w:right="0"/>
              <w:jc w:val="left"/>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渣土处置费</w:t>
            </w:r>
          </w:p>
        </w:tc>
        <w:tc>
          <w:tcPr>
            <w:tcW w:w="4685"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9D6C8E2">
            <w:pPr>
              <w:keepNext w:val="0"/>
              <w:keepLines w:val="0"/>
              <w:widowControl/>
              <w:suppressLineNumbers w:val="0"/>
              <w:spacing w:before="0" w:beforeAutospacing="0" w:after="0" w:afterAutospacing="0"/>
              <w:ind w:left="0" w:right="0"/>
              <w:jc w:val="left"/>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规范化处置1m3=1.5t</w:t>
            </w:r>
          </w:p>
        </w:tc>
        <w:tc>
          <w:tcPr>
            <w:tcW w:w="100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5212C4B">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t</w:t>
            </w:r>
          </w:p>
        </w:tc>
        <w:tc>
          <w:tcPr>
            <w:tcW w:w="1463"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CD4FFB3">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143.67</w:t>
            </w:r>
          </w:p>
        </w:tc>
      </w:tr>
      <w:tr w14:paraId="10B16264">
        <w:tblPrEx>
          <w:tblCellMar>
            <w:top w:w="0" w:type="dxa"/>
            <w:left w:w="108" w:type="dxa"/>
            <w:bottom w:w="0" w:type="dxa"/>
            <w:right w:w="108" w:type="dxa"/>
          </w:tblCellMar>
        </w:tblPrEx>
        <w:trPr>
          <w:cantSplit/>
          <w:trHeight w:val="804" w:hRule="atLeast"/>
          <w:jc w:val="center"/>
        </w:trPr>
        <w:tc>
          <w:tcPr>
            <w:tcW w:w="93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C4FCA39">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3</w:t>
            </w:r>
            <w:r>
              <w:rPr>
                <w:rFonts w:hint="eastAsia" w:ascii="宋体" w:hAnsi="宋体" w:eastAsia="宋体" w:cs="宋体"/>
                <w:color w:val="000000" w:themeColor="text1"/>
                <w:szCs w:val="21"/>
                <w:highlight w:val="none"/>
                <w:lang w:val="en-US" w:eastAsia="zh-CN"/>
                <w14:textFill>
                  <w14:solidFill>
                    <w14:schemeClr w14:val="tx1"/>
                  </w14:solidFill>
                </w14:textFill>
              </w:rPr>
              <w:t>5</w:t>
            </w:r>
          </w:p>
        </w:tc>
        <w:tc>
          <w:tcPr>
            <w:tcW w:w="182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5ACB9E5">
            <w:pPr>
              <w:keepNext w:val="0"/>
              <w:keepLines w:val="0"/>
              <w:widowControl/>
              <w:suppressLineNumbers w:val="0"/>
              <w:spacing w:before="0" w:beforeAutospacing="0" w:after="0" w:afterAutospacing="0"/>
              <w:ind w:left="0" w:right="0"/>
              <w:jc w:val="left"/>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更换雨水边井钢钎维盖座515*300内</w:t>
            </w:r>
          </w:p>
        </w:tc>
        <w:tc>
          <w:tcPr>
            <w:tcW w:w="4685"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96298AE">
            <w:pPr>
              <w:keepNext w:val="0"/>
              <w:keepLines w:val="0"/>
              <w:widowControl/>
              <w:suppressLineNumbers w:val="0"/>
              <w:spacing w:before="0" w:beforeAutospacing="0" w:after="0" w:afterAutospacing="0"/>
              <w:ind w:left="0" w:right="0"/>
              <w:jc w:val="left"/>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1、安放安全设施、拆除、安装井框、盖、清理场地</w:t>
            </w:r>
          </w:p>
        </w:tc>
        <w:tc>
          <w:tcPr>
            <w:tcW w:w="100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F29C8BA">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套</w:t>
            </w:r>
          </w:p>
        </w:tc>
        <w:tc>
          <w:tcPr>
            <w:tcW w:w="1463"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45D5BD3">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334.79</w:t>
            </w:r>
          </w:p>
        </w:tc>
      </w:tr>
      <w:tr w14:paraId="0FE07F70">
        <w:tblPrEx>
          <w:tblCellMar>
            <w:top w:w="0" w:type="dxa"/>
            <w:left w:w="108" w:type="dxa"/>
            <w:bottom w:w="0" w:type="dxa"/>
            <w:right w:w="108" w:type="dxa"/>
          </w:tblCellMar>
        </w:tblPrEx>
        <w:trPr>
          <w:cantSplit/>
          <w:trHeight w:val="804" w:hRule="atLeast"/>
          <w:jc w:val="center"/>
        </w:trPr>
        <w:tc>
          <w:tcPr>
            <w:tcW w:w="93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8008FF0">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3</w:t>
            </w:r>
            <w:r>
              <w:rPr>
                <w:rFonts w:hint="eastAsia" w:ascii="宋体" w:hAnsi="宋体" w:eastAsia="宋体" w:cs="宋体"/>
                <w:color w:val="000000" w:themeColor="text1"/>
                <w:szCs w:val="21"/>
                <w:highlight w:val="none"/>
                <w:lang w:val="en-US" w:eastAsia="zh-CN"/>
                <w14:textFill>
                  <w14:solidFill>
                    <w14:schemeClr w14:val="tx1"/>
                  </w14:solidFill>
                </w14:textFill>
              </w:rPr>
              <w:t>6</w:t>
            </w:r>
          </w:p>
        </w:tc>
        <w:tc>
          <w:tcPr>
            <w:tcW w:w="182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BDD292D">
            <w:pPr>
              <w:keepNext w:val="0"/>
              <w:keepLines w:val="0"/>
              <w:widowControl/>
              <w:suppressLineNumbers w:val="0"/>
              <w:spacing w:before="0" w:beforeAutospacing="0" w:after="0" w:afterAutospacing="0"/>
              <w:ind w:left="0" w:right="0"/>
              <w:jc w:val="left"/>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更换雨水边井钢钎维盖座500*500内</w:t>
            </w:r>
          </w:p>
        </w:tc>
        <w:tc>
          <w:tcPr>
            <w:tcW w:w="4685"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722C9BB">
            <w:pPr>
              <w:keepNext w:val="0"/>
              <w:keepLines w:val="0"/>
              <w:widowControl/>
              <w:suppressLineNumbers w:val="0"/>
              <w:spacing w:before="0" w:beforeAutospacing="0" w:after="0" w:afterAutospacing="0"/>
              <w:ind w:left="0" w:right="0"/>
              <w:jc w:val="left"/>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1、安放安全设施、拆除、安装井框、盖、清理场地</w:t>
            </w:r>
          </w:p>
        </w:tc>
        <w:tc>
          <w:tcPr>
            <w:tcW w:w="100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7C75451">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套</w:t>
            </w:r>
          </w:p>
        </w:tc>
        <w:tc>
          <w:tcPr>
            <w:tcW w:w="1463"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F155F82">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533.31</w:t>
            </w:r>
          </w:p>
        </w:tc>
      </w:tr>
      <w:tr w14:paraId="2ABB19DF">
        <w:tblPrEx>
          <w:tblCellMar>
            <w:top w:w="0" w:type="dxa"/>
            <w:left w:w="108" w:type="dxa"/>
            <w:bottom w:w="0" w:type="dxa"/>
            <w:right w:w="108" w:type="dxa"/>
          </w:tblCellMar>
        </w:tblPrEx>
        <w:trPr>
          <w:cantSplit/>
          <w:trHeight w:val="804" w:hRule="atLeast"/>
          <w:jc w:val="center"/>
        </w:trPr>
        <w:tc>
          <w:tcPr>
            <w:tcW w:w="93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72CD0AD">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3</w:t>
            </w:r>
            <w:r>
              <w:rPr>
                <w:rFonts w:hint="eastAsia" w:ascii="宋体" w:hAnsi="宋体" w:eastAsia="宋体" w:cs="宋体"/>
                <w:color w:val="000000" w:themeColor="text1"/>
                <w:szCs w:val="21"/>
                <w:highlight w:val="none"/>
                <w:lang w:val="en-US" w:eastAsia="zh-CN"/>
                <w14:textFill>
                  <w14:solidFill>
                    <w14:schemeClr w14:val="tx1"/>
                  </w14:solidFill>
                </w14:textFill>
              </w:rPr>
              <w:t>7</w:t>
            </w:r>
          </w:p>
        </w:tc>
        <w:tc>
          <w:tcPr>
            <w:tcW w:w="182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B3F88BB">
            <w:pPr>
              <w:keepNext w:val="0"/>
              <w:keepLines w:val="0"/>
              <w:widowControl/>
              <w:suppressLineNumbers w:val="0"/>
              <w:spacing w:before="0" w:beforeAutospacing="0" w:after="0" w:afterAutospacing="0"/>
              <w:ind w:left="0" w:right="0"/>
              <w:jc w:val="left"/>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更换雨水边井钢钎维盖500*500内</w:t>
            </w:r>
          </w:p>
        </w:tc>
        <w:tc>
          <w:tcPr>
            <w:tcW w:w="4685"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AF850AC">
            <w:pPr>
              <w:keepNext w:val="0"/>
              <w:keepLines w:val="0"/>
              <w:widowControl/>
              <w:suppressLineNumbers w:val="0"/>
              <w:spacing w:before="0" w:beforeAutospacing="0" w:after="0" w:afterAutospacing="0"/>
              <w:ind w:left="0" w:right="0"/>
              <w:jc w:val="left"/>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1、安放安全设施、拆除、安装盖、清理场地</w:t>
            </w:r>
          </w:p>
        </w:tc>
        <w:tc>
          <w:tcPr>
            <w:tcW w:w="100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F5389AF">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块</w:t>
            </w:r>
          </w:p>
        </w:tc>
        <w:tc>
          <w:tcPr>
            <w:tcW w:w="1463"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C8AC3C9">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285.3</w:t>
            </w:r>
          </w:p>
        </w:tc>
      </w:tr>
      <w:tr w14:paraId="075CD846">
        <w:tblPrEx>
          <w:tblCellMar>
            <w:top w:w="0" w:type="dxa"/>
            <w:left w:w="108" w:type="dxa"/>
            <w:bottom w:w="0" w:type="dxa"/>
            <w:right w:w="108" w:type="dxa"/>
          </w:tblCellMar>
        </w:tblPrEx>
        <w:trPr>
          <w:cantSplit/>
          <w:trHeight w:val="804" w:hRule="atLeast"/>
          <w:jc w:val="center"/>
        </w:trPr>
        <w:tc>
          <w:tcPr>
            <w:tcW w:w="93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3FA2EF2">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3</w:t>
            </w:r>
            <w:r>
              <w:rPr>
                <w:rFonts w:hint="eastAsia" w:ascii="宋体" w:hAnsi="宋体" w:eastAsia="宋体" w:cs="宋体"/>
                <w:color w:val="000000" w:themeColor="text1"/>
                <w:szCs w:val="21"/>
                <w:highlight w:val="none"/>
                <w:lang w:val="en-US" w:eastAsia="zh-CN"/>
                <w14:textFill>
                  <w14:solidFill>
                    <w14:schemeClr w14:val="tx1"/>
                  </w14:solidFill>
                </w14:textFill>
              </w:rPr>
              <w:t>8</w:t>
            </w:r>
          </w:p>
        </w:tc>
        <w:tc>
          <w:tcPr>
            <w:tcW w:w="182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5FFB426">
            <w:pPr>
              <w:keepNext w:val="0"/>
              <w:keepLines w:val="0"/>
              <w:widowControl/>
              <w:suppressLineNumbers w:val="0"/>
              <w:spacing w:before="0" w:beforeAutospacing="0" w:after="0" w:afterAutospacing="0"/>
              <w:ind w:left="0" w:right="0"/>
              <w:jc w:val="left"/>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更换D700钢钎维盖座（C250型）</w:t>
            </w:r>
          </w:p>
        </w:tc>
        <w:tc>
          <w:tcPr>
            <w:tcW w:w="4685"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B34CCDE">
            <w:pPr>
              <w:keepNext w:val="0"/>
              <w:keepLines w:val="0"/>
              <w:widowControl/>
              <w:suppressLineNumbers w:val="0"/>
              <w:spacing w:before="0" w:beforeAutospacing="0" w:after="0" w:afterAutospacing="0"/>
              <w:ind w:left="0" w:right="0"/>
              <w:jc w:val="left"/>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1、安放安全设施、拆除、安装井框、盖、清理场地</w:t>
            </w:r>
          </w:p>
        </w:tc>
        <w:tc>
          <w:tcPr>
            <w:tcW w:w="100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60CC6AA">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套</w:t>
            </w:r>
          </w:p>
        </w:tc>
        <w:tc>
          <w:tcPr>
            <w:tcW w:w="1463"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F214C20">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611.8</w:t>
            </w:r>
          </w:p>
        </w:tc>
      </w:tr>
      <w:tr w14:paraId="5DCB04F7">
        <w:tblPrEx>
          <w:tblCellMar>
            <w:top w:w="0" w:type="dxa"/>
            <w:left w:w="108" w:type="dxa"/>
            <w:bottom w:w="0" w:type="dxa"/>
            <w:right w:w="108" w:type="dxa"/>
          </w:tblCellMar>
        </w:tblPrEx>
        <w:trPr>
          <w:cantSplit/>
          <w:trHeight w:val="804" w:hRule="atLeast"/>
          <w:jc w:val="center"/>
        </w:trPr>
        <w:tc>
          <w:tcPr>
            <w:tcW w:w="93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50BB6E1">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39</w:t>
            </w:r>
          </w:p>
        </w:tc>
        <w:tc>
          <w:tcPr>
            <w:tcW w:w="182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6ECD080">
            <w:pPr>
              <w:keepNext w:val="0"/>
              <w:keepLines w:val="0"/>
              <w:widowControl/>
              <w:suppressLineNumbers w:val="0"/>
              <w:spacing w:before="0" w:beforeAutospacing="0" w:after="0" w:afterAutospacing="0"/>
              <w:ind w:left="0" w:right="0"/>
              <w:jc w:val="left"/>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更换D700钢钎维盖（C250型）</w:t>
            </w:r>
          </w:p>
        </w:tc>
        <w:tc>
          <w:tcPr>
            <w:tcW w:w="4685"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719C83C">
            <w:pPr>
              <w:keepNext w:val="0"/>
              <w:keepLines w:val="0"/>
              <w:widowControl/>
              <w:suppressLineNumbers w:val="0"/>
              <w:spacing w:before="0" w:beforeAutospacing="0" w:after="0" w:afterAutospacing="0"/>
              <w:ind w:left="0" w:right="0"/>
              <w:jc w:val="left"/>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1、安放安全设施、拆除、安装井盖、清理场地</w:t>
            </w:r>
          </w:p>
        </w:tc>
        <w:tc>
          <w:tcPr>
            <w:tcW w:w="100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0416631">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块</w:t>
            </w:r>
          </w:p>
        </w:tc>
        <w:tc>
          <w:tcPr>
            <w:tcW w:w="1463"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1BF00E2">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340.23</w:t>
            </w:r>
          </w:p>
        </w:tc>
      </w:tr>
      <w:tr w14:paraId="1C0D9DCE">
        <w:tblPrEx>
          <w:tblCellMar>
            <w:top w:w="0" w:type="dxa"/>
            <w:left w:w="108" w:type="dxa"/>
            <w:bottom w:w="0" w:type="dxa"/>
            <w:right w:w="108" w:type="dxa"/>
          </w:tblCellMar>
        </w:tblPrEx>
        <w:trPr>
          <w:cantSplit/>
          <w:trHeight w:val="804" w:hRule="atLeast"/>
          <w:jc w:val="center"/>
        </w:trPr>
        <w:tc>
          <w:tcPr>
            <w:tcW w:w="93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EF5C330">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4</w:t>
            </w:r>
            <w:r>
              <w:rPr>
                <w:rFonts w:hint="eastAsia" w:ascii="宋体" w:hAnsi="宋体" w:eastAsia="宋体" w:cs="宋体"/>
                <w:color w:val="000000" w:themeColor="text1"/>
                <w:szCs w:val="21"/>
                <w:highlight w:val="none"/>
                <w:lang w:val="en-US" w:eastAsia="zh-CN"/>
                <w14:textFill>
                  <w14:solidFill>
                    <w14:schemeClr w14:val="tx1"/>
                  </w14:solidFill>
                </w14:textFill>
              </w:rPr>
              <w:t>0</w:t>
            </w:r>
          </w:p>
        </w:tc>
        <w:tc>
          <w:tcPr>
            <w:tcW w:w="182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6F711B5">
            <w:pPr>
              <w:keepNext w:val="0"/>
              <w:keepLines w:val="0"/>
              <w:widowControl/>
              <w:suppressLineNumbers w:val="0"/>
              <w:spacing w:before="0" w:beforeAutospacing="0" w:after="0" w:afterAutospacing="0"/>
              <w:ind w:left="0" w:right="0"/>
              <w:jc w:val="left"/>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更换D700钢钎维盖座（D400型）</w:t>
            </w:r>
          </w:p>
        </w:tc>
        <w:tc>
          <w:tcPr>
            <w:tcW w:w="4685"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9B23B19">
            <w:pPr>
              <w:keepNext w:val="0"/>
              <w:keepLines w:val="0"/>
              <w:widowControl/>
              <w:suppressLineNumbers w:val="0"/>
              <w:spacing w:before="0" w:beforeAutospacing="0" w:after="0" w:afterAutospacing="0"/>
              <w:ind w:left="0" w:right="0"/>
              <w:jc w:val="left"/>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1、安放安全设施、拆除、安装井框、盖、清理场地</w:t>
            </w:r>
          </w:p>
        </w:tc>
        <w:tc>
          <w:tcPr>
            <w:tcW w:w="100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D7BF723">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套</w:t>
            </w:r>
          </w:p>
        </w:tc>
        <w:tc>
          <w:tcPr>
            <w:tcW w:w="1463"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E355E90">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702.46</w:t>
            </w:r>
          </w:p>
        </w:tc>
      </w:tr>
      <w:tr w14:paraId="2E2FA522">
        <w:tblPrEx>
          <w:tblCellMar>
            <w:top w:w="0" w:type="dxa"/>
            <w:left w:w="108" w:type="dxa"/>
            <w:bottom w:w="0" w:type="dxa"/>
            <w:right w:w="108" w:type="dxa"/>
          </w:tblCellMar>
        </w:tblPrEx>
        <w:trPr>
          <w:cantSplit/>
          <w:trHeight w:val="804" w:hRule="atLeast"/>
          <w:jc w:val="center"/>
        </w:trPr>
        <w:tc>
          <w:tcPr>
            <w:tcW w:w="93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E371FE8">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4</w:t>
            </w:r>
            <w:r>
              <w:rPr>
                <w:rFonts w:hint="eastAsia" w:ascii="宋体" w:hAnsi="宋体" w:eastAsia="宋体" w:cs="宋体"/>
                <w:color w:val="000000" w:themeColor="text1"/>
                <w:szCs w:val="21"/>
                <w:highlight w:val="none"/>
                <w:lang w:val="en-US" w:eastAsia="zh-CN"/>
                <w14:textFill>
                  <w14:solidFill>
                    <w14:schemeClr w14:val="tx1"/>
                  </w14:solidFill>
                </w14:textFill>
              </w:rPr>
              <w:t>1</w:t>
            </w:r>
          </w:p>
        </w:tc>
        <w:tc>
          <w:tcPr>
            <w:tcW w:w="182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762C9BB">
            <w:pPr>
              <w:keepNext w:val="0"/>
              <w:keepLines w:val="0"/>
              <w:widowControl/>
              <w:suppressLineNumbers w:val="0"/>
              <w:spacing w:before="0" w:beforeAutospacing="0" w:after="0" w:afterAutospacing="0"/>
              <w:ind w:left="0" w:right="0"/>
              <w:jc w:val="left"/>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更换D700钢钎维盖（D400型）</w:t>
            </w:r>
          </w:p>
        </w:tc>
        <w:tc>
          <w:tcPr>
            <w:tcW w:w="4685"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9FB8FA2">
            <w:pPr>
              <w:keepNext w:val="0"/>
              <w:keepLines w:val="0"/>
              <w:widowControl/>
              <w:suppressLineNumbers w:val="0"/>
              <w:spacing w:before="0" w:beforeAutospacing="0" w:after="0" w:afterAutospacing="0"/>
              <w:ind w:left="0" w:right="0"/>
              <w:jc w:val="left"/>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1、安放安全设施、拆除、安装井盖、清理场地</w:t>
            </w:r>
          </w:p>
        </w:tc>
        <w:tc>
          <w:tcPr>
            <w:tcW w:w="100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79E584B">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块</w:t>
            </w:r>
          </w:p>
        </w:tc>
        <w:tc>
          <w:tcPr>
            <w:tcW w:w="1463"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390FD23">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403.68</w:t>
            </w:r>
          </w:p>
        </w:tc>
      </w:tr>
      <w:tr w14:paraId="3A12B3D8">
        <w:tblPrEx>
          <w:tblCellMar>
            <w:top w:w="0" w:type="dxa"/>
            <w:left w:w="108" w:type="dxa"/>
            <w:bottom w:w="0" w:type="dxa"/>
            <w:right w:w="108" w:type="dxa"/>
          </w:tblCellMar>
        </w:tblPrEx>
        <w:trPr>
          <w:cantSplit/>
          <w:trHeight w:val="715" w:hRule="atLeast"/>
          <w:jc w:val="center"/>
        </w:trPr>
        <w:tc>
          <w:tcPr>
            <w:tcW w:w="93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4001DA1">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三</w:t>
            </w:r>
          </w:p>
        </w:tc>
        <w:tc>
          <w:tcPr>
            <w:tcW w:w="182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3C7AE51">
            <w:pPr>
              <w:keepNext w:val="0"/>
              <w:keepLines w:val="0"/>
              <w:widowControl/>
              <w:suppressLineNumbers w:val="0"/>
              <w:spacing w:before="0" w:beforeAutospacing="0" w:after="0" w:afterAutospacing="0"/>
              <w:ind w:left="0" w:right="0"/>
              <w:jc w:val="left"/>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管网修复</w:t>
            </w:r>
          </w:p>
        </w:tc>
        <w:tc>
          <w:tcPr>
            <w:tcW w:w="4685"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1A30654">
            <w:pPr>
              <w:keepNext w:val="0"/>
              <w:keepLines w:val="0"/>
              <w:widowControl/>
              <w:suppressLineNumbers w:val="0"/>
              <w:spacing w:before="0" w:beforeAutospacing="0" w:after="0" w:afterAutospacing="0"/>
              <w:ind w:left="0" w:right="0"/>
              <w:jc w:val="left"/>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pPr>
          </w:p>
        </w:tc>
        <w:tc>
          <w:tcPr>
            <w:tcW w:w="100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4CDD235">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p>
        </w:tc>
        <w:tc>
          <w:tcPr>
            <w:tcW w:w="1463"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217F5C0">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p>
        </w:tc>
      </w:tr>
      <w:tr w14:paraId="3166A691">
        <w:tblPrEx>
          <w:tblCellMar>
            <w:top w:w="0" w:type="dxa"/>
            <w:left w:w="108" w:type="dxa"/>
            <w:bottom w:w="0" w:type="dxa"/>
            <w:right w:w="108" w:type="dxa"/>
          </w:tblCellMar>
        </w:tblPrEx>
        <w:trPr>
          <w:cantSplit/>
          <w:trHeight w:val="715" w:hRule="atLeast"/>
          <w:jc w:val="center"/>
        </w:trPr>
        <w:tc>
          <w:tcPr>
            <w:tcW w:w="93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E5CE4A0">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42</w:t>
            </w:r>
          </w:p>
        </w:tc>
        <w:tc>
          <w:tcPr>
            <w:tcW w:w="1821" w:type="dxa"/>
            <w:vMerge w:val="restart"/>
            <w:tcBorders>
              <w:top w:val="single" w:color="auto" w:sz="4" w:space="0"/>
              <w:left w:val="single" w:color="auto" w:sz="4" w:space="0"/>
              <w:bottom w:val="single" w:color="auto" w:sz="4" w:space="0"/>
              <w:right w:val="single" w:color="auto" w:sz="4" w:space="0"/>
            </w:tcBorders>
            <w:shd w:val="clear" w:color="auto" w:fill="auto"/>
            <w:noWrap w:val="0"/>
            <w:vAlign w:val="center"/>
          </w:tcPr>
          <w:p w14:paraId="12E860FE">
            <w:pPr>
              <w:keepNext w:val="0"/>
              <w:keepLines w:val="0"/>
              <w:suppressLineNumbers w:val="0"/>
              <w:spacing w:before="0" w:beforeAutospacing="0" w:after="0" w:afterAutospacing="0"/>
              <w:ind w:left="0" w:right="0"/>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CIPP原位固化法；CIPP紫外光固法；FIPP热塑成型法</w:t>
            </w:r>
          </w:p>
        </w:tc>
        <w:tc>
          <w:tcPr>
            <w:tcW w:w="4685"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EC3768A">
            <w:pPr>
              <w:keepNext w:val="0"/>
              <w:keepLines w:val="0"/>
              <w:suppressLineNumbers w:val="0"/>
              <w:spacing w:before="0" w:beforeAutospacing="0" w:after="0" w:afterAutospacing="0"/>
              <w:ind w:left="0" w:right="0"/>
              <w:jc w:val="left"/>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DN315（含）以下</w:t>
            </w:r>
          </w:p>
        </w:tc>
        <w:tc>
          <w:tcPr>
            <w:tcW w:w="100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42A2BCB">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m</w:t>
            </w:r>
          </w:p>
        </w:tc>
        <w:tc>
          <w:tcPr>
            <w:tcW w:w="1463"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0A9B22D">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1800</w:t>
            </w:r>
          </w:p>
        </w:tc>
      </w:tr>
      <w:tr w14:paraId="5FADE089">
        <w:tblPrEx>
          <w:tblCellMar>
            <w:top w:w="0" w:type="dxa"/>
            <w:left w:w="108" w:type="dxa"/>
            <w:bottom w:w="0" w:type="dxa"/>
            <w:right w:w="108" w:type="dxa"/>
          </w:tblCellMar>
        </w:tblPrEx>
        <w:trPr>
          <w:cantSplit/>
          <w:trHeight w:val="715" w:hRule="atLeast"/>
          <w:jc w:val="center"/>
        </w:trPr>
        <w:tc>
          <w:tcPr>
            <w:tcW w:w="93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1CF32A5">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43</w:t>
            </w:r>
          </w:p>
        </w:tc>
        <w:tc>
          <w:tcPr>
            <w:tcW w:w="1821" w:type="dxa"/>
            <w:vMerge w:val="continue"/>
            <w:tcBorders>
              <w:top w:val="single" w:color="auto" w:sz="4" w:space="0"/>
              <w:left w:val="single" w:color="auto" w:sz="4" w:space="0"/>
              <w:bottom w:val="single" w:color="auto" w:sz="4" w:space="0"/>
              <w:right w:val="single" w:color="auto" w:sz="4" w:space="0"/>
            </w:tcBorders>
            <w:noWrap w:val="0"/>
          </w:tcPr>
          <w:p w14:paraId="22F49F54">
            <w:pPr>
              <w:keepNext w:val="0"/>
              <w:keepLines w:val="0"/>
              <w:widowControl/>
              <w:suppressLineNumbers w:val="0"/>
              <w:spacing w:before="0" w:beforeAutospacing="0" w:after="0" w:afterAutospacing="0"/>
              <w:ind w:left="0" w:right="0"/>
              <w:jc w:val="left"/>
              <w:rPr>
                <w:rFonts w:hint="eastAsia" w:ascii="宋体" w:hAnsi="宋体" w:eastAsia="宋体" w:cs="宋体"/>
                <w:color w:val="000000" w:themeColor="text1"/>
                <w:szCs w:val="21"/>
                <w:highlight w:val="none"/>
                <w14:textFill>
                  <w14:solidFill>
                    <w14:schemeClr w14:val="tx1"/>
                  </w14:solidFill>
                </w14:textFill>
              </w:rPr>
            </w:pPr>
          </w:p>
        </w:tc>
        <w:tc>
          <w:tcPr>
            <w:tcW w:w="4685"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D75D44F">
            <w:pPr>
              <w:keepNext w:val="0"/>
              <w:keepLines w:val="0"/>
              <w:suppressLineNumbers w:val="0"/>
              <w:spacing w:before="0" w:beforeAutospacing="0" w:after="0" w:afterAutospacing="0"/>
              <w:ind w:left="0" w:right="0"/>
              <w:jc w:val="left"/>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DN400</w:t>
            </w:r>
          </w:p>
        </w:tc>
        <w:tc>
          <w:tcPr>
            <w:tcW w:w="100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028EAFC">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m</w:t>
            </w:r>
          </w:p>
        </w:tc>
        <w:tc>
          <w:tcPr>
            <w:tcW w:w="1463"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9E0601C">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2350</w:t>
            </w:r>
          </w:p>
        </w:tc>
      </w:tr>
      <w:tr w14:paraId="05051294">
        <w:tblPrEx>
          <w:tblCellMar>
            <w:top w:w="0" w:type="dxa"/>
            <w:left w:w="108" w:type="dxa"/>
            <w:bottom w:w="0" w:type="dxa"/>
            <w:right w:w="108" w:type="dxa"/>
          </w:tblCellMar>
        </w:tblPrEx>
        <w:trPr>
          <w:cantSplit/>
          <w:trHeight w:val="715" w:hRule="atLeast"/>
          <w:jc w:val="center"/>
        </w:trPr>
        <w:tc>
          <w:tcPr>
            <w:tcW w:w="93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486207C">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44</w:t>
            </w:r>
          </w:p>
        </w:tc>
        <w:tc>
          <w:tcPr>
            <w:tcW w:w="1821" w:type="dxa"/>
            <w:vMerge w:val="continue"/>
            <w:tcBorders>
              <w:top w:val="single" w:color="auto" w:sz="4" w:space="0"/>
              <w:left w:val="single" w:color="auto" w:sz="4" w:space="0"/>
              <w:bottom w:val="single" w:color="auto" w:sz="4" w:space="0"/>
              <w:right w:val="single" w:color="auto" w:sz="4" w:space="0"/>
            </w:tcBorders>
            <w:noWrap w:val="0"/>
          </w:tcPr>
          <w:p w14:paraId="5FC18D55">
            <w:pPr>
              <w:keepNext w:val="0"/>
              <w:keepLines w:val="0"/>
              <w:widowControl/>
              <w:suppressLineNumbers w:val="0"/>
              <w:spacing w:before="0" w:beforeAutospacing="0" w:after="0" w:afterAutospacing="0"/>
              <w:ind w:left="0" w:right="0"/>
              <w:jc w:val="left"/>
              <w:rPr>
                <w:rFonts w:hint="eastAsia" w:ascii="宋体" w:hAnsi="宋体" w:eastAsia="宋体" w:cs="宋体"/>
                <w:color w:val="000000" w:themeColor="text1"/>
                <w:szCs w:val="21"/>
                <w:highlight w:val="none"/>
                <w14:textFill>
                  <w14:solidFill>
                    <w14:schemeClr w14:val="tx1"/>
                  </w14:solidFill>
                </w14:textFill>
              </w:rPr>
            </w:pPr>
          </w:p>
        </w:tc>
        <w:tc>
          <w:tcPr>
            <w:tcW w:w="4685"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D61B6F2">
            <w:pPr>
              <w:keepNext w:val="0"/>
              <w:keepLines w:val="0"/>
              <w:suppressLineNumbers w:val="0"/>
              <w:spacing w:before="0" w:beforeAutospacing="0" w:after="0" w:afterAutospacing="0"/>
              <w:ind w:left="0" w:right="0"/>
              <w:jc w:val="left"/>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DN500</w:t>
            </w:r>
          </w:p>
        </w:tc>
        <w:tc>
          <w:tcPr>
            <w:tcW w:w="100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D698E2B">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m</w:t>
            </w:r>
          </w:p>
        </w:tc>
        <w:tc>
          <w:tcPr>
            <w:tcW w:w="1463"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D2F52FE">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2900</w:t>
            </w:r>
          </w:p>
        </w:tc>
      </w:tr>
      <w:tr w14:paraId="75EBC059">
        <w:tblPrEx>
          <w:tblCellMar>
            <w:top w:w="0" w:type="dxa"/>
            <w:left w:w="108" w:type="dxa"/>
            <w:bottom w:w="0" w:type="dxa"/>
            <w:right w:w="108" w:type="dxa"/>
          </w:tblCellMar>
        </w:tblPrEx>
        <w:trPr>
          <w:cantSplit/>
          <w:trHeight w:val="715" w:hRule="atLeast"/>
          <w:jc w:val="center"/>
        </w:trPr>
        <w:tc>
          <w:tcPr>
            <w:tcW w:w="93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48FBD56">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45</w:t>
            </w:r>
          </w:p>
        </w:tc>
        <w:tc>
          <w:tcPr>
            <w:tcW w:w="1821" w:type="dxa"/>
            <w:vMerge w:val="continue"/>
            <w:tcBorders>
              <w:top w:val="single" w:color="auto" w:sz="4" w:space="0"/>
              <w:left w:val="single" w:color="auto" w:sz="4" w:space="0"/>
              <w:bottom w:val="single" w:color="auto" w:sz="4" w:space="0"/>
              <w:right w:val="single" w:color="auto" w:sz="4" w:space="0"/>
            </w:tcBorders>
            <w:noWrap w:val="0"/>
          </w:tcPr>
          <w:p w14:paraId="52B8C5A5">
            <w:pPr>
              <w:keepNext w:val="0"/>
              <w:keepLines w:val="0"/>
              <w:widowControl/>
              <w:suppressLineNumbers w:val="0"/>
              <w:spacing w:before="0" w:beforeAutospacing="0" w:after="0" w:afterAutospacing="0"/>
              <w:ind w:left="0" w:right="0"/>
              <w:jc w:val="left"/>
              <w:rPr>
                <w:rFonts w:hint="eastAsia" w:ascii="宋体" w:hAnsi="宋体" w:eastAsia="宋体" w:cs="宋体"/>
                <w:color w:val="000000" w:themeColor="text1"/>
                <w:szCs w:val="21"/>
                <w:highlight w:val="none"/>
                <w14:textFill>
                  <w14:solidFill>
                    <w14:schemeClr w14:val="tx1"/>
                  </w14:solidFill>
                </w14:textFill>
              </w:rPr>
            </w:pPr>
          </w:p>
        </w:tc>
        <w:tc>
          <w:tcPr>
            <w:tcW w:w="4685"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19BDA4C">
            <w:pPr>
              <w:keepNext w:val="0"/>
              <w:keepLines w:val="0"/>
              <w:suppressLineNumbers w:val="0"/>
              <w:spacing w:before="0" w:beforeAutospacing="0" w:after="0" w:afterAutospacing="0"/>
              <w:ind w:left="0" w:right="0"/>
              <w:jc w:val="left"/>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DN600</w:t>
            </w:r>
          </w:p>
        </w:tc>
        <w:tc>
          <w:tcPr>
            <w:tcW w:w="100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DCF12EE">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m</w:t>
            </w:r>
          </w:p>
        </w:tc>
        <w:tc>
          <w:tcPr>
            <w:tcW w:w="1463"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4EE6393">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3750</w:t>
            </w:r>
          </w:p>
        </w:tc>
      </w:tr>
      <w:tr w14:paraId="7AFE1E8B">
        <w:tblPrEx>
          <w:tblCellMar>
            <w:top w:w="0" w:type="dxa"/>
            <w:left w:w="108" w:type="dxa"/>
            <w:bottom w:w="0" w:type="dxa"/>
            <w:right w:w="108" w:type="dxa"/>
          </w:tblCellMar>
        </w:tblPrEx>
        <w:trPr>
          <w:cantSplit/>
          <w:trHeight w:val="715" w:hRule="atLeast"/>
          <w:jc w:val="center"/>
        </w:trPr>
        <w:tc>
          <w:tcPr>
            <w:tcW w:w="93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CA6054D">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46</w:t>
            </w:r>
          </w:p>
        </w:tc>
        <w:tc>
          <w:tcPr>
            <w:tcW w:w="1821" w:type="dxa"/>
            <w:vMerge w:val="continue"/>
            <w:tcBorders>
              <w:top w:val="single" w:color="auto" w:sz="4" w:space="0"/>
              <w:left w:val="single" w:color="auto" w:sz="4" w:space="0"/>
              <w:bottom w:val="single" w:color="auto" w:sz="4" w:space="0"/>
              <w:right w:val="single" w:color="auto" w:sz="4" w:space="0"/>
            </w:tcBorders>
            <w:noWrap w:val="0"/>
          </w:tcPr>
          <w:p w14:paraId="723435B4">
            <w:pPr>
              <w:keepNext w:val="0"/>
              <w:keepLines w:val="0"/>
              <w:widowControl/>
              <w:suppressLineNumbers w:val="0"/>
              <w:spacing w:before="0" w:beforeAutospacing="0" w:after="0" w:afterAutospacing="0"/>
              <w:ind w:left="0" w:right="0"/>
              <w:jc w:val="left"/>
              <w:rPr>
                <w:rFonts w:hint="eastAsia" w:ascii="宋体" w:hAnsi="宋体" w:eastAsia="宋体" w:cs="宋体"/>
                <w:color w:val="000000" w:themeColor="text1"/>
                <w:szCs w:val="21"/>
                <w:highlight w:val="none"/>
                <w14:textFill>
                  <w14:solidFill>
                    <w14:schemeClr w14:val="tx1"/>
                  </w14:solidFill>
                </w14:textFill>
              </w:rPr>
            </w:pPr>
          </w:p>
        </w:tc>
        <w:tc>
          <w:tcPr>
            <w:tcW w:w="4685"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0B40C32">
            <w:pPr>
              <w:keepNext w:val="0"/>
              <w:keepLines w:val="0"/>
              <w:suppressLineNumbers w:val="0"/>
              <w:spacing w:before="0" w:beforeAutospacing="0" w:after="0" w:afterAutospacing="0"/>
              <w:ind w:left="0" w:right="0"/>
              <w:jc w:val="left"/>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DN700</w:t>
            </w:r>
          </w:p>
        </w:tc>
        <w:tc>
          <w:tcPr>
            <w:tcW w:w="100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AA64EBC">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m</w:t>
            </w:r>
          </w:p>
        </w:tc>
        <w:tc>
          <w:tcPr>
            <w:tcW w:w="1463"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564D44A">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4600</w:t>
            </w:r>
          </w:p>
        </w:tc>
      </w:tr>
      <w:tr w14:paraId="0616093A">
        <w:tblPrEx>
          <w:tblCellMar>
            <w:top w:w="0" w:type="dxa"/>
            <w:left w:w="108" w:type="dxa"/>
            <w:bottom w:w="0" w:type="dxa"/>
            <w:right w:w="108" w:type="dxa"/>
          </w:tblCellMar>
        </w:tblPrEx>
        <w:trPr>
          <w:cantSplit/>
          <w:trHeight w:val="715" w:hRule="atLeast"/>
          <w:jc w:val="center"/>
        </w:trPr>
        <w:tc>
          <w:tcPr>
            <w:tcW w:w="93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F5C9EA2">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47</w:t>
            </w:r>
          </w:p>
        </w:tc>
        <w:tc>
          <w:tcPr>
            <w:tcW w:w="1821" w:type="dxa"/>
            <w:vMerge w:val="restart"/>
            <w:tcBorders>
              <w:top w:val="single" w:color="auto" w:sz="4" w:space="0"/>
              <w:left w:val="single" w:color="auto" w:sz="4" w:space="0"/>
              <w:bottom w:val="single" w:color="auto" w:sz="4" w:space="0"/>
              <w:right w:val="single" w:color="auto" w:sz="4" w:space="0"/>
            </w:tcBorders>
            <w:shd w:val="clear" w:color="auto" w:fill="auto"/>
            <w:noWrap w:val="0"/>
            <w:vAlign w:val="center"/>
          </w:tcPr>
          <w:p w14:paraId="0FA25F2E">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碎（裂）管法；短管内衬法（拖拉管法）</w:t>
            </w:r>
          </w:p>
        </w:tc>
        <w:tc>
          <w:tcPr>
            <w:tcW w:w="4685"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824A984">
            <w:pPr>
              <w:keepNext w:val="0"/>
              <w:keepLines w:val="0"/>
              <w:suppressLineNumbers w:val="0"/>
              <w:spacing w:before="0" w:beforeAutospacing="0" w:after="0" w:afterAutospacing="0"/>
              <w:ind w:left="0" w:right="0"/>
              <w:jc w:val="left"/>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DN300（含）下</w:t>
            </w:r>
          </w:p>
        </w:tc>
        <w:tc>
          <w:tcPr>
            <w:tcW w:w="100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74B0153">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m</w:t>
            </w:r>
          </w:p>
        </w:tc>
        <w:tc>
          <w:tcPr>
            <w:tcW w:w="1463"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8B9D87D">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3200</w:t>
            </w:r>
          </w:p>
        </w:tc>
      </w:tr>
      <w:tr w14:paraId="509EF0C5">
        <w:tblPrEx>
          <w:tblCellMar>
            <w:top w:w="0" w:type="dxa"/>
            <w:left w:w="108" w:type="dxa"/>
            <w:bottom w:w="0" w:type="dxa"/>
            <w:right w:w="108" w:type="dxa"/>
          </w:tblCellMar>
        </w:tblPrEx>
        <w:trPr>
          <w:cantSplit/>
          <w:trHeight w:val="715" w:hRule="atLeast"/>
          <w:jc w:val="center"/>
        </w:trPr>
        <w:tc>
          <w:tcPr>
            <w:tcW w:w="93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BD3692E">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48</w:t>
            </w:r>
          </w:p>
        </w:tc>
        <w:tc>
          <w:tcPr>
            <w:tcW w:w="1821" w:type="dxa"/>
            <w:vMerge w:val="continue"/>
            <w:tcBorders>
              <w:top w:val="single" w:color="auto" w:sz="4" w:space="0"/>
              <w:left w:val="single" w:color="auto" w:sz="4" w:space="0"/>
              <w:bottom w:val="single" w:color="auto" w:sz="4" w:space="0"/>
              <w:right w:val="single" w:color="auto" w:sz="4" w:space="0"/>
            </w:tcBorders>
            <w:noWrap w:val="0"/>
          </w:tcPr>
          <w:p w14:paraId="713C4C44">
            <w:pPr>
              <w:keepNext w:val="0"/>
              <w:keepLines w:val="0"/>
              <w:widowControl/>
              <w:suppressLineNumbers w:val="0"/>
              <w:spacing w:before="0" w:beforeAutospacing="0" w:after="0" w:afterAutospacing="0"/>
              <w:ind w:left="0" w:right="0"/>
              <w:jc w:val="left"/>
              <w:rPr>
                <w:rFonts w:hint="eastAsia" w:ascii="宋体" w:hAnsi="宋体" w:eastAsia="宋体" w:cs="宋体"/>
                <w:color w:val="000000" w:themeColor="text1"/>
                <w:szCs w:val="21"/>
                <w:highlight w:val="none"/>
                <w14:textFill>
                  <w14:solidFill>
                    <w14:schemeClr w14:val="tx1"/>
                  </w14:solidFill>
                </w14:textFill>
              </w:rPr>
            </w:pPr>
          </w:p>
        </w:tc>
        <w:tc>
          <w:tcPr>
            <w:tcW w:w="4685"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A20F111">
            <w:pPr>
              <w:keepNext w:val="0"/>
              <w:keepLines w:val="0"/>
              <w:suppressLineNumbers w:val="0"/>
              <w:spacing w:before="0" w:beforeAutospacing="0" w:after="0" w:afterAutospacing="0"/>
              <w:ind w:left="0" w:right="0"/>
              <w:jc w:val="left"/>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DN400</w:t>
            </w:r>
          </w:p>
        </w:tc>
        <w:tc>
          <w:tcPr>
            <w:tcW w:w="100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1E90FD1">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m</w:t>
            </w:r>
          </w:p>
        </w:tc>
        <w:tc>
          <w:tcPr>
            <w:tcW w:w="1463"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DDEB6B5">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5000</w:t>
            </w:r>
          </w:p>
        </w:tc>
      </w:tr>
      <w:tr w14:paraId="523D07C9">
        <w:tblPrEx>
          <w:tblCellMar>
            <w:top w:w="0" w:type="dxa"/>
            <w:left w:w="108" w:type="dxa"/>
            <w:bottom w:w="0" w:type="dxa"/>
            <w:right w:w="108" w:type="dxa"/>
          </w:tblCellMar>
        </w:tblPrEx>
        <w:trPr>
          <w:cantSplit/>
          <w:trHeight w:val="715" w:hRule="atLeast"/>
          <w:jc w:val="center"/>
        </w:trPr>
        <w:tc>
          <w:tcPr>
            <w:tcW w:w="93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CEFC709">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49</w:t>
            </w:r>
          </w:p>
        </w:tc>
        <w:tc>
          <w:tcPr>
            <w:tcW w:w="1821" w:type="dxa"/>
            <w:vMerge w:val="continue"/>
            <w:tcBorders>
              <w:top w:val="single" w:color="auto" w:sz="4" w:space="0"/>
              <w:left w:val="single" w:color="auto" w:sz="4" w:space="0"/>
              <w:bottom w:val="single" w:color="auto" w:sz="4" w:space="0"/>
              <w:right w:val="single" w:color="auto" w:sz="4" w:space="0"/>
            </w:tcBorders>
            <w:noWrap w:val="0"/>
          </w:tcPr>
          <w:p w14:paraId="46F1FDAB">
            <w:pPr>
              <w:keepNext w:val="0"/>
              <w:keepLines w:val="0"/>
              <w:widowControl/>
              <w:suppressLineNumbers w:val="0"/>
              <w:spacing w:before="0" w:beforeAutospacing="0" w:after="0" w:afterAutospacing="0"/>
              <w:ind w:left="0" w:right="0"/>
              <w:jc w:val="left"/>
              <w:rPr>
                <w:rFonts w:hint="eastAsia" w:ascii="宋体" w:hAnsi="宋体" w:eastAsia="宋体" w:cs="宋体"/>
                <w:color w:val="000000" w:themeColor="text1"/>
                <w:szCs w:val="21"/>
                <w:highlight w:val="none"/>
                <w14:textFill>
                  <w14:solidFill>
                    <w14:schemeClr w14:val="tx1"/>
                  </w14:solidFill>
                </w14:textFill>
              </w:rPr>
            </w:pPr>
          </w:p>
        </w:tc>
        <w:tc>
          <w:tcPr>
            <w:tcW w:w="4685"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1ECA31E">
            <w:pPr>
              <w:keepNext w:val="0"/>
              <w:keepLines w:val="0"/>
              <w:suppressLineNumbers w:val="0"/>
              <w:spacing w:before="0" w:beforeAutospacing="0" w:after="0" w:afterAutospacing="0"/>
              <w:ind w:left="0" w:right="0"/>
              <w:jc w:val="left"/>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DN500~DN600（含）</w:t>
            </w:r>
          </w:p>
        </w:tc>
        <w:tc>
          <w:tcPr>
            <w:tcW w:w="100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5CD8CFF">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m</w:t>
            </w:r>
          </w:p>
        </w:tc>
        <w:tc>
          <w:tcPr>
            <w:tcW w:w="1463"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19200F9">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6800</w:t>
            </w:r>
          </w:p>
        </w:tc>
      </w:tr>
      <w:tr w14:paraId="5C799C8F">
        <w:tblPrEx>
          <w:tblCellMar>
            <w:top w:w="0" w:type="dxa"/>
            <w:left w:w="108" w:type="dxa"/>
            <w:bottom w:w="0" w:type="dxa"/>
            <w:right w:w="108" w:type="dxa"/>
          </w:tblCellMar>
        </w:tblPrEx>
        <w:trPr>
          <w:cantSplit/>
          <w:trHeight w:val="804" w:hRule="atLeast"/>
          <w:jc w:val="center"/>
        </w:trPr>
        <w:tc>
          <w:tcPr>
            <w:tcW w:w="93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C05B1AA">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50</w:t>
            </w:r>
          </w:p>
        </w:tc>
        <w:tc>
          <w:tcPr>
            <w:tcW w:w="182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677AAEB">
            <w:pPr>
              <w:keepNext w:val="0"/>
              <w:keepLines w:val="0"/>
              <w:suppressLineNumbers w:val="0"/>
              <w:spacing w:before="0" w:beforeAutospacing="0" w:after="0" w:afterAutospacing="0"/>
              <w:ind w:left="0" w:right="0"/>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GPS定位</w:t>
            </w:r>
          </w:p>
        </w:tc>
        <w:tc>
          <w:tcPr>
            <w:tcW w:w="4685"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1217207">
            <w:pPr>
              <w:keepNext w:val="0"/>
              <w:keepLines w:val="0"/>
              <w:suppressLineNumbers w:val="0"/>
              <w:spacing w:before="0" w:beforeAutospacing="0" w:after="0" w:afterAutospacing="0"/>
              <w:ind w:left="0" w:right="0"/>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1、GPS定位</w:t>
            </w:r>
          </w:p>
          <w:p w14:paraId="4E6A0476">
            <w:pPr>
              <w:keepNext w:val="0"/>
              <w:keepLines w:val="0"/>
              <w:suppressLineNumbers w:val="0"/>
              <w:spacing w:before="0" w:beforeAutospacing="0" w:after="0" w:afterAutospacing="0"/>
              <w:ind w:left="0" w:right="0"/>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2、电子图纸标注</w:t>
            </w:r>
          </w:p>
          <w:p w14:paraId="29DDDEF8">
            <w:pPr>
              <w:keepNext w:val="0"/>
              <w:keepLines w:val="0"/>
              <w:suppressLineNumbers w:val="0"/>
              <w:spacing w:before="0" w:beforeAutospacing="0" w:after="0" w:afterAutospacing="0"/>
              <w:ind w:left="0" w:right="0"/>
              <w:jc w:val="left"/>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3、出具纸质成果（彩色）</w:t>
            </w:r>
          </w:p>
        </w:tc>
        <w:tc>
          <w:tcPr>
            <w:tcW w:w="100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DE36244">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井位</w:t>
            </w:r>
          </w:p>
        </w:tc>
        <w:tc>
          <w:tcPr>
            <w:tcW w:w="1463"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C1D52C9">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35</w:t>
            </w:r>
          </w:p>
        </w:tc>
      </w:tr>
      <w:tr w14:paraId="1E1D28D9">
        <w:tblPrEx>
          <w:tblCellMar>
            <w:top w:w="0" w:type="dxa"/>
            <w:left w:w="108" w:type="dxa"/>
            <w:bottom w:w="0" w:type="dxa"/>
            <w:right w:w="108" w:type="dxa"/>
          </w:tblCellMar>
        </w:tblPrEx>
        <w:trPr>
          <w:cantSplit/>
          <w:trHeight w:val="715" w:hRule="atLeast"/>
          <w:jc w:val="center"/>
        </w:trPr>
        <w:tc>
          <w:tcPr>
            <w:tcW w:w="93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C66180F">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51</w:t>
            </w:r>
          </w:p>
        </w:tc>
        <w:tc>
          <w:tcPr>
            <w:tcW w:w="182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E65E00D">
            <w:pPr>
              <w:keepNext w:val="0"/>
              <w:keepLines w:val="0"/>
              <w:suppressLineNumbers w:val="0"/>
              <w:spacing w:before="0" w:beforeAutospacing="0" w:after="0" w:afterAutospacing="0"/>
              <w:ind w:left="0" w:right="0"/>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专业潜水员下井作业</w:t>
            </w:r>
          </w:p>
        </w:tc>
        <w:tc>
          <w:tcPr>
            <w:tcW w:w="4685"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2359334">
            <w:pPr>
              <w:keepNext w:val="0"/>
              <w:keepLines w:val="0"/>
              <w:suppressLineNumbers w:val="0"/>
              <w:spacing w:before="0" w:beforeAutospacing="0" w:after="0" w:afterAutospacing="0"/>
              <w:ind w:left="0" w:right="0"/>
              <w:jc w:val="left"/>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因现场需要，由专业潜水员下井排摸、打捞作业。</w:t>
            </w:r>
          </w:p>
        </w:tc>
        <w:tc>
          <w:tcPr>
            <w:tcW w:w="100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E478B42">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座</w:t>
            </w:r>
          </w:p>
        </w:tc>
        <w:tc>
          <w:tcPr>
            <w:tcW w:w="1463"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8FAB5F2">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3000</w:t>
            </w:r>
          </w:p>
        </w:tc>
      </w:tr>
      <w:tr w14:paraId="39889951">
        <w:tblPrEx>
          <w:tblCellMar>
            <w:top w:w="0" w:type="dxa"/>
            <w:left w:w="108" w:type="dxa"/>
            <w:bottom w:w="0" w:type="dxa"/>
            <w:right w:w="108" w:type="dxa"/>
          </w:tblCellMar>
        </w:tblPrEx>
        <w:trPr>
          <w:cantSplit/>
          <w:trHeight w:val="715" w:hRule="atLeast"/>
          <w:jc w:val="center"/>
        </w:trPr>
        <w:tc>
          <w:tcPr>
            <w:tcW w:w="93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5C39E8B">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52</w:t>
            </w:r>
          </w:p>
        </w:tc>
        <w:tc>
          <w:tcPr>
            <w:tcW w:w="182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2F44637">
            <w:pPr>
              <w:keepNext w:val="0"/>
              <w:keepLines w:val="0"/>
              <w:suppressLineNumbers w:val="0"/>
              <w:spacing w:before="0" w:beforeAutospacing="0" w:after="0" w:afterAutospacing="0"/>
              <w:ind w:left="0" w:right="0"/>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专业潜水员下井作业</w:t>
            </w:r>
          </w:p>
        </w:tc>
        <w:tc>
          <w:tcPr>
            <w:tcW w:w="4685"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B0A6C05">
            <w:pPr>
              <w:keepNext w:val="0"/>
              <w:keepLines w:val="0"/>
              <w:suppressLineNumbers w:val="0"/>
              <w:spacing w:before="0" w:beforeAutospacing="0" w:after="0" w:afterAutospacing="0"/>
              <w:ind w:left="0" w:right="0"/>
              <w:jc w:val="left"/>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管道封堵及拆除（600mm管及以下）</w:t>
            </w:r>
          </w:p>
        </w:tc>
        <w:tc>
          <w:tcPr>
            <w:tcW w:w="100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B21DD86">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个</w:t>
            </w:r>
          </w:p>
        </w:tc>
        <w:tc>
          <w:tcPr>
            <w:tcW w:w="1463"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E5DB19A">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5500</w:t>
            </w:r>
          </w:p>
        </w:tc>
      </w:tr>
      <w:tr w14:paraId="62B4100C">
        <w:tblPrEx>
          <w:tblCellMar>
            <w:top w:w="0" w:type="dxa"/>
            <w:left w:w="108" w:type="dxa"/>
            <w:bottom w:w="0" w:type="dxa"/>
            <w:right w:w="108" w:type="dxa"/>
          </w:tblCellMar>
        </w:tblPrEx>
        <w:trPr>
          <w:cantSplit/>
          <w:trHeight w:val="715" w:hRule="atLeast"/>
          <w:jc w:val="center"/>
        </w:trPr>
        <w:tc>
          <w:tcPr>
            <w:tcW w:w="93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576143C">
            <w:pPr>
              <w:keepNext w:val="0"/>
              <w:keepLines w:val="0"/>
              <w:widowControl/>
              <w:suppressLineNumbers w:val="0"/>
              <w:spacing w:before="0" w:beforeAutospacing="0" w:after="0" w:afterAutospacing="0"/>
              <w:ind w:left="0" w:right="0"/>
              <w:jc w:val="center"/>
              <w:rPr>
                <w:rFonts w:hint="eastAsia" w:ascii="宋体" w:hAnsi="宋体" w:eastAsia="宋体" w:cs="宋体"/>
                <w:b/>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四</w:t>
            </w:r>
          </w:p>
        </w:tc>
        <w:tc>
          <w:tcPr>
            <w:tcW w:w="182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2E65B07">
            <w:pPr>
              <w:keepNext w:val="0"/>
              <w:keepLines w:val="0"/>
              <w:widowControl/>
              <w:suppressLineNumbers w:val="0"/>
              <w:spacing w:before="0" w:beforeAutospacing="0" w:after="0" w:afterAutospacing="0"/>
              <w:ind w:left="0" w:right="0"/>
              <w:jc w:val="left"/>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管网检测</w:t>
            </w:r>
          </w:p>
        </w:tc>
        <w:tc>
          <w:tcPr>
            <w:tcW w:w="7157" w:type="dxa"/>
            <w:gridSpan w:val="3"/>
            <w:tcBorders>
              <w:top w:val="single" w:color="auto" w:sz="4" w:space="0"/>
              <w:left w:val="single" w:color="auto" w:sz="4" w:space="0"/>
              <w:bottom w:val="single" w:color="auto" w:sz="4" w:space="0"/>
              <w:right w:val="single" w:color="auto" w:sz="4" w:space="0"/>
            </w:tcBorders>
            <w:shd w:val="clear" w:color="auto" w:fill="auto"/>
            <w:noWrap w:val="0"/>
            <w:vAlign w:val="center"/>
          </w:tcPr>
          <w:p w14:paraId="5FBB9BCC">
            <w:pPr>
              <w:keepNext w:val="0"/>
              <w:keepLines w:val="0"/>
              <w:widowControl/>
              <w:suppressLineNumbers w:val="0"/>
              <w:spacing w:before="0" w:beforeAutospacing="0" w:after="0" w:afterAutospacing="0"/>
              <w:ind w:left="0" w:right="0"/>
              <w:jc w:val="left"/>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成像检测及报告编制</w:t>
            </w:r>
          </w:p>
        </w:tc>
      </w:tr>
      <w:tr w14:paraId="25574616">
        <w:tblPrEx>
          <w:tblCellMar>
            <w:top w:w="0" w:type="dxa"/>
            <w:left w:w="108" w:type="dxa"/>
            <w:bottom w:w="0" w:type="dxa"/>
            <w:right w:w="108" w:type="dxa"/>
          </w:tblCellMar>
        </w:tblPrEx>
        <w:trPr>
          <w:cantSplit/>
          <w:trHeight w:val="715" w:hRule="atLeast"/>
          <w:jc w:val="center"/>
        </w:trPr>
        <w:tc>
          <w:tcPr>
            <w:tcW w:w="93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778DFA4">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53</w:t>
            </w:r>
          </w:p>
        </w:tc>
        <w:tc>
          <w:tcPr>
            <w:tcW w:w="182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8C948AF">
            <w:pPr>
              <w:keepNext w:val="0"/>
              <w:keepLines w:val="0"/>
              <w:widowControl/>
              <w:suppressLineNumbers w:val="0"/>
              <w:spacing w:before="0" w:beforeAutospacing="0" w:after="0" w:afterAutospacing="0"/>
              <w:ind w:left="0" w:right="0"/>
              <w:jc w:val="left"/>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主次干管CCTV</w:t>
            </w:r>
          </w:p>
        </w:tc>
        <w:tc>
          <w:tcPr>
            <w:tcW w:w="4685"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C3C442D">
            <w:pPr>
              <w:keepNext w:val="0"/>
              <w:keepLines w:val="0"/>
              <w:suppressLineNumbers w:val="0"/>
              <w:spacing w:before="0" w:beforeAutospacing="0" w:after="0" w:afterAutospacing="0" w:line="460" w:lineRule="exact"/>
              <w:ind w:left="0" w:right="0"/>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成像检测</w:t>
            </w:r>
          </w:p>
        </w:tc>
        <w:tc>
          <w:tcPr>
            <w:tcW w:w="100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185DC6A">
            <w:pPr>
              <w:keepNext w:val="0"/>
              <w:keepLines w:val="0"/>
              <w:suppressLineNumbers w:val="0"/>
              <w:spacing w:before="0" w:beforeAutospacing="0" w:after="0" w:afterAutospacing="0" w:line="460" w:lineRule="exact"/>
              <w:ind w:left="0" w:right="0"/>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米</w:t>
            </w:r>
          </w:p>
        </w:tc>
        <w:tc>
          <w:tcPr>
            <w:tcW w:w="1463"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366F50A">
            <w:pPr>
              <w:keepNext w:val="0"/>
              <w:keepLines w:val="0"/>
              <w:suppressLineNumbers w:val="0"/>
              <w:spacing w:before="0" w:beforeAutospacing="0" w:after="0" w:afterAutospacing="0" w:line="460" w:lineRule="exact"/>
              <w:ind w:left="0" w:right="0"/>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30</w:t>
            </w:r>
          </w:p>
        </w:tc>
      </w:tr>
      <w:tr w14:paraId="01F40E69">
        <w:tblPrEx>
          <w:tblCellMar>
            <w:top w:w="0" w:type="dxa"/>
            <w:left w:w="108" w:type="dxa"/>
            <w:bottom w:w="0" w:type="dxa"/>
            <w:right w:w="108" w:type="dxa"/>
          </w:tblCellMar>
        </w:tblPrEx>
        <w:trPr>
          <w:cantSplit/>
          <w:trHeight w:val="715" w:hRule="atLeast"/>
          <w:jc w:val="center"/>
        </w:trPr>
        <w:tc>
          <w:tcPr>
            <w:tcW w:w="93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96C9B26">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54</w:t>
            </w:r>
          </w:p>
        </w:tc>
        <w:tc>
          <w:tcPr>
            <w:tcW w:w="182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86527F1">
            <w:pPr>
              <w:keepNext w:val="0"/>
              <w:keepLines w:val="0"/>
              <w:widowControl/>
              <w:suppressLineNumbers w:val="0"/>
              <w:spacing w:before="0" w:beforeAutospacing="0" w:after="0" w:afterAutospacing="0"/>
              <w:ind w:left="0" w:right="0"/>
              <w:jc w:val="left"/>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主次干管QV</w:t>
            </w:r>
          </w:p>
        </w:tc>
        <w:tc>
          <w:tcPr>
            <w:tcW w:w="4685"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F1E2F44">
            <w:pPr>
              <w:keepNext w:val="0"/>
              <w:keepLines w:val="0"/>
              <w:suppressLineNumbers w:val="0"/>
              <w:spacing w:before="0" w:beforeAutospacing="0" w:after="0" w:afterAutospacing="0" w:line="460" w:lineRule="exact"/>
              <w:ind w:left="0" w:right="0"/>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成像检测</w:t>
            </w:r>
          </w:p>
        </w:tc>
        <w:tc>
          <w:tcPr>
            <w:tcW w:w="100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9351B93">
            <w:pPr>
              <w:keepNext w:val="0"/>
              <w:keepLines w:val="0"/>
              <w:suppressLineNumbers w:val="0"/>
              <w:spacing w:before="0" w:beforeAutospacing="0" w:after="0" w:afterAutospacing="0" w:line="460" w:lineRule="exact"/>
              <w:ind w:left="0" w:right="0"/>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米</w:t>
            </w:r>
          </w:p>
        </w:tc>
        <w:tc>
          <w:tcPr>
            <w:tcW w:w="1463"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7FD5DD5">
            <w:pPr>
              <w:keepNext w:val="0"/>
              <w:keepLines w:val="0"/>
              <w:suppressLineNumbers w:val="0"/>
              <w:spacing w:before="0" w:beforeAutospacing="0" w:after="0" w:afterAutospacing="0" w:line="460" w:lineRule="exact"/>
              <w:ind w:left="0" w:right="0"/>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20</w:t>
            </w:r>
          </w:p>
        </w:tc>
      </w:tr>
      <w:tr w14:paraId="57F8D4EE">
        <w:tblPrEx>
          <w:tblCellMar>
            <w:top w:w="0" w:type="dxa"/>
            <w:left w:w="108" w:type="dxa"/>
            <w:bottom w:w="0" w:type="dxa"/>
            <w:right w:w="108" w:type="dxa"/>
          </w:tblCellMar>
        </w:tblPrEx>
        <w:trPr>
          <w:cantSplit/>
          <w:trHeight w:val="715" w:hRule="atLeast"/>
          <w:jc w:val="center"/>
        </w:trPr>
        <w:tc>
          <w:tcPr>
            <w:tcW w:w="93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EFB7950">
            <w:pPr>
              <w:keepNext w:val="0"/>
              <w:keepLines w:val="0"/>
              <w:suppressLineNumbers w:val="0"/>
              <w:spacing w:before="0" w:beforeAutospacing="0" w:after="0" w:afterAutospacing="0"/>
              <w:ind w:left="0" w:right="0"/>
              <w:jc w:val="center"/>
              <w:rPr>
                <w:rFonts w:hint="eastAsia" w:ascii="宋体" w:hAnsi="宋体" w:eastAsia="宋体" w:cs="宋体"/>
                <w:b/>
                <w:bCs/>
                <w:color w:val="000000" w:themeColor="text1"/>
                <w:szCs w:val="21"/>
                <w:highlight w:val="none"/>
                <w:lang w:val="en-US" w:eastAsia="zh-CN"/>
                <w14:textFill>
                  <w14:solidFill>
                    <w14:schemeClr w14:val="tx1"/>
                  </w14:solidFill>
                </w14:textFill>
              </w:rPr>
            </w:pPr>
            <w:r>
              <w:rPr>
                <w:rFonts w:hint="eastAsia" w:ascii="宋体" w:hAnsi="宋体" w:eastAsia="宋体" w:cs="宋体"/>
                <w:b/>
                <w:bCs/>
                <w:color w:val="000000" w:themeColor="text1"/>
                <w:szCs w:val="21"/>
                <w:highlight w:val="none"/>
                <w:lang w:val="en-US" w:eastAsia="zh-CN"/>
                <w14:textFill>
                  <w14:solidFill>
                    <w14:schemeClr w14:val="tx1"/>
                  </w14:solidFill>
                </w14:textFill>
              </w:rPr>
              <w:t>四</w:t>
            </w:r>
          </w:p>
        </w:tc>
        <w:tc>
          <w:tcPr>
            <w:tcW w:w="8978" w:type="dxa"/>
            <w:gridSpan w:val="4"/>
            <w:tcBorders>
              <w:top w:val="single" w:color="auto" w:sz="4" w:space="0"/>
              <w:left w:val="single" w:color="auto" w:sz="4" w:space="0"/>
              <w:bottom w:val="single" w:color="auto" w:sz="4" w:space="0"/>
              <w:right w:val="single" w:color="auto" w:sz="4" w:space="0"/>
            </w:tcBorders>
            <w:shd w:val="clear" w:color="auto" w:fill="auto"/>
            <w:noWrap w:val="0"/>
            <w:vAlign w:val="center"/>
          </w:tcPr>
          <w:p w14:paraId="2E8CAF73">
            <w:pPr>
              <w:keepNext w:val="0"/>
              <w:keepLines w:val="0"/>
              <w:suppressLineNumbers w:val="0"/>
              <w:spacing w:before="0" w:beforeAutospacing="0" w:after="0" w:afterAutospacing="0"/>
              <w:ind w:left="0" w:right="0"/>
              <w:jc w:val="both"/>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其他零星（投诉及应急处理）</w:t>
            </w:r>
          </w:p>
        </w:tc>
      </w:tr>
      <w:tr w14:paraId="135F6427">
        <w:tblPrEx>
          <w:tblCellMar>
            <w:top w:w="0" w:type="dxa"/>
            <w:left w:w="108" w:type="dxa"/>
            <w:bottom w:w="0" w:type="dxa"/>
            <w:right w:w="108" w:type="dxa"/>
          </w:tblCellMar>
        </w:tblPrEx>
        <w:trPr>
          <w:cantSplit/>
          <w:trHeight w:val="804" w:hRule="atLeast"/>
          <w:jc w:val="center"/>
        </w:trPr>
        <w:tc>
          <w:tcPr>
            <w:tcW w:w="93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EFEF153">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55</w:t>
            </w:r>
          </w:p>
        </w:tc>
        <w:tc>
          <w:tcPr>
            <w:tcW w:w="182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468FDA5">
            <w:pPr>
              <w:keepNext w:val="0"/>
              <w:keepLines w:val="0"/>
              <w:widowControl/>
              <w:suppressLineNumbers w:val="0"/>
              <w:spacing w:before="0" w:beforeAutospacing="0" w:after="0" w:afterAutospacing="0"/>
              <w:ind w:left="0" w:right="0"/>
              <w:jc w:val="left"/>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更换雨水边井钢钎维盖座515*300内</w:t>
            </w:r>
          </w:p>
        </w:tc>
        <w:tc>
          <w:tcPr>
            <w:tcW w:w="4685"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00336A8">
            <w:pPr>
              <w:keepNext w:val="0"/>
              <w:keepLines w:val="0"/>
              <w:widowControl/>
              <w:suppressLineNumbers w:val="0"/>
              <w:spacing w:before="0" w:beforeAutospacing="0" w:after="0" w:afterAutospacing="0"/>
              <w:ind w:left="0" w:right="0"/>
              <w:jc w:val="left"/>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1、安放安全设施、拆除、安装井框、盖、清理场地</w:t>
            </w:r>
          </w:p>
        </w:tc>
        <w:tc>
          <w:tcPr>
            <w:tcW w:w="100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AD750C7">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套</w:t>
            </w:r>
          </w:p>
        </w:tc>
        <w:tc>
          <w:tcPr>
            <w:tcW w:w="1463"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E5FB44B">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434.79 </w:t>
            </w:r>
          </w:p>
        </w:tc>
      </w:tr>
      <w:tr w14:paraId="2AE5027E">
        <w:tblPrEx>
          <w:tblCellMar>
            <w:top w:w="0" w:type="dxa"/>
            <w:left w:w="108" w:type="dxa"/>
            <w:bottom w:w="0" w:type="dxa"/>
            <w:right w:w="108" w:type="dxa"/>
          </w:tblCellMar>
        </w:tblPrEx>
        <w:trPr>
          <w:cantSplit/>
          <w:trHeight w:val="804" w:hRule="atLeast"/>
          <w:jc w:val="center"/>
        </w:trPr>
        <w:tc>
          <w:tcPr>
            <w:tcW w:w="93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87B42A9">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56</w:t>
            </w:r>
          </w:p>
        </w:tc>
        <w:tc>
          <w:tcPr>
            <w:tcW w:w="182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F9F5BEA">
            <w:pPr>
              <w:keepNext w:val="0"/>
              <w:keepLines w:val="0"/>
              <w:widowControl/>
              <w:suppressLineNumbers w:val="0"/>
              <w:spacing w:before="0" w:beforeAutospacing="0" w:after="0" w:afterAutospacing="0"/>
              <w:ind w:left="0" w:right="0"/>
              <w:jc w:val="left"/>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更换雨水边井钢钎维盖座500*500内</w:t>
            </w:r>
          </w:p>
        </w:tc>
        <w:tc>
          <w:tcPr>
            <w:tcW w:w="4685"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9EE7D26">
            <w:pPr>
              <w:keepNext w:val="0"/>
              <w:keepLines w:val="0"/>
              <w:widowControl/>
              <w:suppressLineNumbers w:val="0"/>
              <w:spacing w:before="0" w:beforeAutospacing="0" w:after="0" w:afterAutospacing="0"/>
              <w:ind w:left="0" w:right="0"/>
              <w:jc w:val="left"/>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1、安放安全设施、拆除、安装井框、盖、清理场地</w:t>
            </w:r>
          </w:p>
        </w:tc>
        <w:tc>
          <w:tcPr>
            <w:tcW w:w="100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55E5ADD">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套</w:t>
            </w:r>
          </w:p>
        </w:tc>
        <w:tc>
          <w:tcPr>
            <w:tcW w:w="1463"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0B670DA">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633.31 </w:t>
            </w:r>
          </w:p>
        </w:tc>
      </w:tr>
      <w:tr w14:paraId="043D006D">
        <w:tblPrEx>
          <w:tblCellMar>
            <w:top w:w="0" w:type="dxa"/>
            <w:left w:w="108" w:type="dxa"/>
            <w:bottom w:w="0" w:type="dxa"/>
            <w:right w:w="108" w:type="dxa"/>
          </w:tblCellMar>
        </w:tblPrEx>
        <w:trPr>
          <w:cantSplit/>
          <w:trHeight w:val="804" w:hRule="atLeast"/>
          <w:jc w:val="center"/>
        </w:trPr>
        <w:tc>
          <w:tcPr>
            <w:tcW w:w="93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1A48681">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57</w:t>
            </w:r>
          </w:p>
        </w:tc>
        <w:tc>
          <w:tcPr>
            <w:tcW w:w="182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36C6C25">
            <w:pPr>
              <w:keepNext w:val="0"/>
              <w:keepLines w:val="0"/>
              <w:widowControl/>
              <w:suppressLineNumbers w:val="0"/>
              <w:spacing w:before="0" w:beforeAutospacing="0" w:after="0" w:afterAutospacing="0"/>
              <w:ind w:left="0" w:right="0"/>
              <w:jc w:val="left"/>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更换雨水边井钢钎维盖500*500内</w:t>
            </w:r>
          </w:p>
        </w:tc>
        <w:tc>
          <w:tcPr>
            <w:tcW w:w="4685"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A3F2455">
            <w:pPr>
              <w:keepNext w:val="0"/>
              <w:keepLines w:val="0"/>
              <w:widowControl/>
              <w:suppressLineNumbers w:val="0"/>
              <w:spacing w:before="0" w:beforeAutospacing="0" w:after="0" w:afterAutospacing="0"/>
              <w:ind w:left="0" w:right="0"/>
              <w:jc w:val="left"/>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1、安放安全设施、拆除、安装盖、清理场地</w:t>
            </w:r>
          </w:p>
        </w:tc>
        <w:tc>
          <w:tcPr>
            <w:tcW w:w="100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C6E615F">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块</w:t>
            </w:r>
          </w:p>
        </w:tc>
        <w:tc>
          <w:tcPr>
            <w:tcW w:w="1463"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7C70352">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385.30 </w:t>
            </w:r>
          </w:p>
        </w:tc>
      </w:tr>
      <w:tr w14:paraId="70141EC6">
        <w:tblPrEx>
          <w:tblCellMar>
            <w:top w:w="0" w:type="dxa"/>
            <w:left w:w="108" w:type="dxa"/>
            <w:bottom w:w="0" w:type="dxa"/>
            <w:right w:w="108" w:type="dxa"/>
          </w:tblCellMar>
        </w:tblPrEx>
        <w:trPr>
          <w:cantSplit/>
          <w:trHeight w:val="804" w:hRule="atLeast"/>
          <w:jc w:val="center"/>
        </w:trPr>
        <w:tc>
          <w:tcPr>
            <w:tcW w:w="93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832C710">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58</w:t>
            </w:r>
          </w:p>
        </w:tc>
        <w:tc>
          <w:tcPr>
            <w:tcW w:w="182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E3A6E0F">
            <w:pPr>
              <w:keepNext w:val="0"/>
              <w:keepLines w:val="0"/>
              <w:widowControl/>
              <w:suppressLineNumbers w:val="0"/>
              <w:spacing w:before="0" w:beforeAutospacing="0" w:after="0" w:afterAutospacing="0"/>
              <w:ind w:left="0" w:right="0"/>
              <w:jc w:val="left"/>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更换D700钢钎维盖座（C250型）</w:t>
            </w:r>
          </w:p>
        </w:tc>
        <w:tc>
          <w:tcPr>
            <w:tcW w:w="4685"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251D54B">
            <w:pPr>
              <w:keepNext w:val="0"/>
              <w:keepLines w:val="0"/>
              <w:widowControl/>
              <w:suppressLineNumbers w:val="0"/>
              <w:spacing w:before="0" w:beforeAutospacing="0" w:after="0" w:afterAutospacing="0"/>
              <w:ind w:left="0" w:right="0"/>
              <w:jc w:val="left"/>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1、安放安全设施、拆除、安装井框、盖、清理场地</w:t>
            </w:r>
          </w:p>
        </w:tc>
        <w:tc>
          <w:tcPr>
            <w:tcW w:w="100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40E806E">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套</w:t>
            </w:r>
          </w:p>
        </w:tc>
        <w:tc>
          <w:tcPr>
            <w:tcW w:w="1463"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D56A7FD">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711.80 </w:t>
            </w:r>
          </w:p>
        </w:tc>
      </w:tr>
      <w:tr w14:paraId="1241AFAE">
        <w:tblPrEx>
          <w:tblCellMar>
            <w:top w:w="0" w:type="dxa"/>
            <w:left w:w="108" w:type="dxa"/>
            <w:bottom w:w="0" w:type="dxa"/>
            <w:right w:w="108" w:type="dxa"/>
          </w:tblCellMar>
        </w:tblPrEx>
        <w:trPr>
          <w:cantSplit/>
          <w:trHeight w:val="804" w:hRule="atLeast"/>
          <w:jc w:val="center"/>
        </w:trPr>
        <w:tc>
          <w:tcPr>
            <w:tcW w:w="93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50D6A3C">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59</w:t>
            </w:r>
          </w:p>
        </w:tc>
        <w:tc>
          <w:tcPr>
            <w:tcW w:w="182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88F1355">
            <w:pPr>
              <w:keepNext w:val="0"/>
              <w:keepLines w:val="0"/>
              <w:widowControl/>
              <w:suppressLineNumbers w:val="0"/>
              <w:spacing w:before="0" w:beforeAutospacing="0" w:after="0" w:afterAutospacing="0"/>
              <w:ind w:left="0" w:right="0"/>
              <w:jc w:val="left"/>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更换D700钢钎维盖（C250型）</w:t>
            </w:r>
          </w:p>
        </w:tc>
        <w:tc>
          <w:tcPr>
            <w:tcW w:w="4685"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F268A9B">
            <w:pPr>
              <w:keepNext w:val="0"/>
              <w:keepLines w:val="0"/>
              <w:widowControl/>
              <w:suppressLineNumbers w:val="0"/>
              <w:spacing w:before="0" w:beforeAutospacing="0" w:after="0" w:afterAutospacing="0"/>
              <w:ind w:left="0" w:right="0"/>
              <w:jc w:val="left"/>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1、安放安全设施、拆除、安装井盖、清理场地</w:t>
            </w:r>
          </w:p>
        </w:tc>
        <w:tc>
          <w:tcPr>
            <w:tcW w:w="100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E4A310C">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块</w:t>
            </w:r>
          </w:p>
        </w:tc>
        <w:tc>
          <w:tcPr>
            <w:tcW w:w="1463"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D1C2C03">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440.23 </w:t>
            </w:r>
          </w:p>
        </w:tc>
      </w:tr>
      <w:tr w14:paraId="7F5B685A">
        <w:tblPrEx>
          <w:tblCellMar>
            <w:top w:w="0" w:type="dxa"/>
            <w:left w:w="108" w:type="dxa"/>
            <w:bottom w:w="0" w:type="dxa"/>
            <w:right w:w="108" w:type="dxa"/>
          </w:tblCellMar>
        </w:tblPrEx>
        <w:trPr>
          <w:cantSplit/>
          <w:trHeight w:val="804" w:hRule="atLeast"/>
          <w:jc w:val="center"/>
        </w:trPr>
        <w:tc>
          <w:tcPr>
            <w:tcW w:w="93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0A96DBA">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60</w:t>
            </w:r>
          </w:p>
        </w:tc>
        <w:tc>
          <w:tcPr>
            <w:tcW w:w="182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AE6013D">
            <w:pPr>
              <w:keepNext w:val="0"/>
              <w:keepLines w:val="0"/>
              <w:widowControl/>
              <w:suppressLineNumbers w:val="0"/>
              <w:spacing w:before="0" w:beforeAutospacing="0" w:after="0" w:afterAutospacing="0"/>
              <w:ind w:left="0" w:right="0"/>
              <w:jc w:val="left"/>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更换D700钢钎维盖座（D400型）</w:t>
            </w:r>
          </w:p>
        </w:tc>
        <w:tc>
          <w:tcPr>
            <w:tcW w:w="4685"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3E31036">
            <w:pPr>
              <w:keepNext w:val="0"/>
              <w:keepLines w:val="0"/>
              <w:widowControl/>
              <w:suppressLineNumbers w:val="0"/>
              <w:spacing w:before="0" w:beforeAutospacing="0" w:after="0" w:afterAutospacing="0"/>
              <w:ind w:left="0" w:right="0"/>
              <w:jc w:val="left"/>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1、安放安全设施、拆除、安装井框、盖、清理场地</w:t>
            </w:r>
          </w:p>
        </w:tc>
        <w:tc>
          <w:tcPr>
            <w:tcW w:w="100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9854DED">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套</w:t>
            </w:r>
          </w:p>
        </w:tc>
        <w:tc>
          <w:tcPr>
            <w:tcW w:w="1463"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1BBD905">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802.46 </w:t>
            </w:r>
          </w:p>
        </w:tc>
      </w:tr>
      <w:tr w14:paraId="5F8CCF21">
        <w:tblPrEx>
          <w:tblCellMar>
            <w:top w:w="0" w:type="dxa"/>
            <w:left w:w="108" w:type="dxa"/>
            <w:bottom w:w="0" w:type="dxa"/>
            <w:right w:w="108" w:type="dxa"/>
          </w:tblCellMar>
        </w:tblPrEx>
        <w:trPr>
          <w:cantSplit/>
          <w:trHeight w:val="804" w:hRule="atLeast"/>
          <w:jc w:val="center"/>
        </w:trPr>
        <w:tc>
          <w:tcPr>
            <w:tcW w:w="93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0B7487B">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61</w:t>
            </w:r>
          </w:p>
        </w:tc>
        <w:tc>
          <w:tcPr>
            <w:tcW w:w="182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6C64CCE">
            <w:pPr>
              <w:keepNext w:val="0"/>
              <w:keepLines w:val="0"/>
              <w:widowControl/>
              <w:suppressLineNumbers w:val="0"/>
              <w:spacing w:before="0" w:beforeAutospacing="0" w:after="0" w:afterAutospacing="0"/>
              <w:ind w:left="0" w:right="0"/>
              <w:jc w:val="left"/>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更换D700钢钎维盖（D400型）</w:t>
            </w:r>
          </w:p>
        </w:tc>
        <w:tc>
          <w:tcPr>
            <w:tcW w:w="4685"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196CDF3">
            <w:pPr>
              <w:keepNext w:val="0"/>
              <w:keepLines w:val="0"/>
              <w:widowControl/>
              <w:suppressLineNumbers w:val="0"/>
              <w:spacing w:before="0" w:beforeAutospacing="0" w:after="0" w:afterAutospacing="0"/>
              <w:ind w:left="0" w:right="0"/>
              <w:jc w:val="left"/>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1、安放安全设施、拆除、安装井盖、清理场地</w:t>
            </w:r>
          </w:p>
        </w:tc>
        <w:tc>
          <w:tcPr>
            <w:tcW w:w="100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A52A08B">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块</w:t>
            </w:r>
          </w:p>
        </w:tc>
        <w:tc>
          <w:tcPr>
            <w:tcW w:w="1463"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CA35C2B">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503.68 </w:t>
            </w:r>
          </w:p>
        </w:tc>
      </w:tr>
      <w:tr w14:paraId="5704AF8C">
        <w:tblPrEx>
          <w:tblCellMar>
            <w:top w:w="0" w:type="dxa"/>
            <w:left w:w="108" w:type="dxa"/>
            <w:bottom w:w="0" w:type="dxa"/>
            <w:right w:w="108" w:type="dxa"/>
          </w:tblCellMar>
        </w:tblPrEx>
        <w:trPr>
          <w:cantSplit/>
          <w:trHeight w:val="715" w:hRule="atLeast"/>
          <w:jc w:val="center"/>
        </w:trPr>
        <w:tc>
          <w:tcPr>
            <w:tcW w:w="93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88B4910">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62</w:t>
            </w:r>
          </w:p>
        </w:tc>
        <w:tc>
          <w:tcPr>
            <w:tcW w:w="182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1968123">
            <w:pPr>
              <w:keepNext w:val="0"/>
              <w:keepLines w:val="0"/>
              <w:suppressLineNumbers w:val="0"/>
              <w:spacing w:before="0" w:beforeAutospacing="0" w:after="0" w:afterAutospacing="0"/>
              <w:ind w:left="0" w:right="0"/>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小挖机</w:t>
            </w:r>
          </w:p>
        </w:tc>
        <w:tc>
          <w:tcPr>
            <w:tcW w:w="4685"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9AA1218">
            <w:pPr>
              <w:keepNext w:val="0"/>
              <w:keepLines w:val="0"/>
              <w:suppressLineNumbers w:val="0"/>
              <w:spacing w:before="0" w:beforeAutospacing="0" w:after="0" w:afterAutospacing="0"/>
              <w:ind w:left="0" w:right="0"/>
              <w:jc w:val="left"/>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单次大于8小时不计进出场费</w:t>
            </w:r>
          </w:p>
        </w:tc>
        <w:tc>
          <w:tcPr>
            <w:tcW w:w="100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56F3405">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台班</w:t>
            </w:r>
          </w:p>
        </w:tc>
        <w:tc>
          <w:tcPr>
            <w:tcW w:w="1463"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B46AD92">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998.29</w:t>
            </w:r>
          </w:p>
        </w:tc>
      </w:tr>
      <w:tr w14:paraId="5E3CC901">
        <w:tblPrEx>
          <w:tblCellMar>
            <w:top w:w="0" w:type="dxa"/>
            <w:left w:w="108" w:type="dxa"/>
            <w:bottom w:w="0" w:type="dxa"/>
            <w:right w:w="108" w:type="dxa"/>
          </w:tblCellMar>
        </w:tblPrEx>
        <w:trPr>
          <w:cantSplit/>
          <w:trHeight w:val="715" w:hRule="atLeast"/>
          <w:jc w:val="center"/>
        </w:trPr>
        <w:tc>
          <w:tcPr>
            <w:tcW w:w="93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21839E9">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63</w:t>
            </w:r>
          </w:p>
        </w:tc>
        <w:tc>
          <w:tcPr>
            <w:tcW w:w="182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BFBF8D4">
            <w:pPr>
              <w:keepNext w:val="0"/>
              <w:keepLines w:val="0"/>
              <w:suppressLineNumbers w:val="0"/>
              <w:spacing w:before="0" w:beforeAutospacing="0" w:after="0" w:afterAutospacing="0"/>
              <w:ind w:left="0" w:right="0"/>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小挖机板车拖车费</w:t>
            </w:r>
          </w:p>
        </w:tc>
        <w:tc>
          <w:tcPr>
            <w:tcW w:w="4685"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977B185">
            <w:pPr>
              <w:keepNext w:val="0"/>
              <w:keepLines w:val="0"/>
              <w:suppressLineNumbers w:val="0"/>
              <w:spacing w:before="0" w:beforeAutospacing="0" w:after="0" w:afterAutospacing="0"/>
              <w:ind w:left="0" w:right="0"/>
              <w:jc w:val="left"/>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进场及出场按1次计</w:t>
            </w:r>
          </w:p>
        </w:tc>
        <w:tc>
          <w:tcPr>
            <w:tcW w:w="100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BAB794C">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次</w:t>
            </w:r>
          </w:p>
        </w:tc>
        <w:tc>
          <w:tcPr>
            <w:tcW w:w="1463"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E5095A2">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800</w:t>
            </w:r>
          </w:p>
        </w:tc>
      </w:tr>
      <w:tr w14:paraId="219D09DF">
        <w:tblPrEx>
          <w:tblCellMar>
            <w:top w:w="0" w:type="dxa"/>
            <w:left w:w="108" w:type="dxa"/>
            <w:bottom w:w="0" w:type="dxa"/>
            <w:right w:w="108" w:type="dxa"/>
          </w:tblCellMar>
        </w:tblPrEx>
        <w:trPr>
          <w:cantSplit/>
          <w:trHeight w:val="715" w:hRule="atLeast"/>
          <w:jc w:val="center"/>
        </w:trPr>
        <w:tc>
          <w:tcPr>
            <w:tcW w:w="93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A94D407">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64</w:t>
            </w:r>
          </w:p>
        </w:tc>
        <w:tc>
          <w:tcPr>
            <w:tcW w:w="182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74002A9">
            <w:pPr>
              <w:keepNext w:val="0"/>
              <w:keepLines w:val="0"/>
              <w:suppressLineNumbers w:val="0"/>
              <w:spacing w:before="0" w:beforeAutospacing="0" w:after="0" w:afterAutospacing="0"/>
              <w:ind w:left="0" w:right="0"/>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大挖机</w:t>
            </w:r>
          </w:p>
        </w:tc>
        <w:tc>
          <w:tcPr>
            <w:tcW w:w="4685"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7A0D223">
            <w:pPr>
              <w:keepNext w:val="0"/>
              <w:keepLines w:val="0"/>
              <w:suppressLineNumbers w:val="0"/>
              <w:spacing w:before="0" w:beforeAutospacing="0" w:after="0" w:afterAutospacing="0"/>
              <w:ind w:left="0" w:right="0"/>
              <w:jc w:val="left"/>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单次大于8小时不计进出场费</w:t>
            </w:r>
          </w:p>
        </w:tc>
        <w:tc>
          <w:tcPr>
            <w:tcW w:w="100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240DAE4">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台班</w:t>
            </w:r>
          </w:p>
        </w:tc>
        <w:tc>
          <w:tcPr>
            <w:tcW w:w="1463"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E39EF3E">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1817.46</w:t>
            </w:r>
          </w:p>
        </w:tc>
      </w:tr>
      <w:tr w14:paraId="2A19778E">
        <w:tblPrEx>
          <w:tblCellMar>
            <w:top w:w="0" w:type="dxa"/>
            <w:left w:w="108" w:type="dxa"/>
            <w:bottom w:w="0" w:type="dxa"/>
            <w:right w:w="108" w:type="dxa"/>
          </w:tblCellMar>
        </w:tblPrEx>
        <w:trPr>
          <w:cantSplit/>
          <w:trHeight w:val="715" w:hRule="atLeast"/>
          <w:jc w:val="center"/>
        </w:trPr>
        <w:tc>
          <w:tcPr>
            <w:tcW w:w="93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A00EE31">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65</w:t>
            </w:r>
          </w:p>
        </w:tc>
        <w:tc>
          <w:tcPr>
            <w:tcW w:w="182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7A05141">
            <w:pPr>
              <w:keepNext w:val="0"/>
              <w:keepLines w:val="0"/>
              <w:suppressLineNumbers w:val="0"/>
              <w:spacing w:before="0" w:beforeAutospacing="0" w:after="0" w:afterAutospacing="0"/>
              <w:ind w:left="0" w:right="0"/>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大挖机板车拖车费</w:t>
            </w:r>
          </w:p>
        </w:tc>
        <w:tc>
          <w:tcPr>
            <w:tcW w:w="4685"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C81778C">
            <w:pPr>
              <w:keepNext w:val="0"/>
              <w:keepLines w:val="0"/>
              <w:suppressLineNumbers w:val="0"/>
              <w:spacing w:before="0" w:beforeAutospacing="0" w:after="0" w:afterAutospacing="0"/>
              <w:ind w:left="0" w:right="0"/>
              <w:jc w:val="left"/>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进场及出场按1次计</w:t>
            </w:r>
          </w:p>
        </w:tc>
        <w:tc>
          <w:tcPr>
            <w:tcW w:w="100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6F33EC2">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次</w:t>
            </w:r>
          </w:p>
        </w:tc>
        <w:tc>
          <w:tcPr>
            <w:tcW w:w="1463"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81579AB">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1000</w:t>
            </w:r>
          </w:p>
        </w:tc>
      </w:tr>
      <w:tr w14:paraId="6FC7AE82">
        <w:tblPrEx>
          <w:tblCellMar>
            <w:top w:w="0" w:type="dxa"/>
            <w:left w:w="108" w:type="dxa"/>
            <w:bottom w:w="0" w:type="dxa"/>
            <w:right w:w="108" w:type="dxa"/>
          </w:tblCellMar>
        </w:tblPrEx>
        <w:trPr>
          <w:cantSplit/>
          <w:trHeight w:val="715" w:hRule="atLeast"/>
          <w:jc w:val="center"/>
        </w:trPr>
        <w:tc>
          <w:tcPr>
            <w:tcW w:w="93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E66227A">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66</w:t>
            </w:r>
          </w:p>
        </w:tc>
        <w:tc>
          <w:tcPr>
            <w:tcW w:w="182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103D7A8">
            <w:pPr>
              <w:keepNext w:val="0"/>
              <w:keepLines w:val="0"/>
              <w:suppressLineNumbers w:val="0"/>
              <w:spacing w:before="0" w:beforeAutospacing="0" w:after="0" w:afterAutospacing="0"/>
              <w:ind w:left="0" w:right="0"/>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5T卡车</w:t>
            </w:r>
          </w:p>
        </w:tc>
        <w:tc>
          <w:tcPr>
            <w:tcW w:w="4685"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D7F327C">
            <w:pPr>
              <w:keepNext w:val="0"/>
              <w:keepLines w:val="0"/>
              <w:suppressLineNumbers w:val="0"/>
              <w:spacing w:before="0" w:beforeAutospacing="0" w:after="0" w:afterAutospacing="0"/>
              <w:ind w:left="0" w:right="0"/>
              <w:jc w:val="left"/>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p>
        </w:tc>
        <w:tc>
          <w:tcPr>
            <w:tcW w:w="100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E728B67">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台班</w:t>
            </w:r>
          </w:p>
        </w:tc>
        <w:tc>
          <w:tcPr>
            <w:tcW w:w="1463"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7A426C9">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555.29</w:t>
            </w:r>
          </w:p>
        </w:tc>
      </w:tr>
      <w:tr w14:paraId="10BC9DC8">
        <w:tblPrEx>
          <w:tblCellMar>
            <w:top w:w="0" w:type="dxa"/>
            <w:left w:w="108" w:type="dxa"/>
            <w:bottom w:w="0" w:type="dxa"/>
            <w:right w:w="108" w:type="dxa"/>
          </w:tblCellMar>
        </w:tblPrEx>
        <w:trPr>
          <w:cantSplit/>
          <w:trHeight w:val="715" w:hRule="atLeast"/>
          <w:jc w:val="center"/>
        </w:trPr>
        <w:tc>
          <w:tcPr>
            <w:tcW w:w="93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E7CF606">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67</w:t>
            </w:r>
          </w:p>
        </w:tc>
        <w:tc>
          <w:tcPr>
            <w:tcW w:w="182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55D87CD">
            <w:pPr>
              <w:keepNext w:val="0"/>
              <w:keepLines w:val="0"/>
              <w:suppressLineNumbers w:val="0"/>
              <w:spacing w:before="0" w:beforeAutospacing="0" w:after="0" w:afterAutospacing="0"/>
              <w:ind w:left="0" w:right="0"/>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4-6t自卸车</w:t>
            </w:r>
          </w:p>
        </w:tc>
        <w:tc>
          <w:tcPr>
            <w:tcW w:w="4685"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120457E">
            <w:pPr>
              <w:keepNext w:val="0"/>
              <w:keepLines w:val="0"/>
              <w:suppressLineNumbers w:val="0"/>
              <w:spacing w:before="0" w:beforeAutospacing="0" w:after="0" w:afterAutospacing="0"/>
              <w:ind w:left="0" w:right="0"/>
              <w:jc w:val="left"/>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p>
        </w:tc>
        <w:tc>
          <w:tcPr>
            <w:tcW w:w="100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F51BA39">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台班</w:t>
            </w:r>
          </w:p>
        </w:tc>
        <w:tc>
          <w:tcPr>
            <w:tcW w:w="1463"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0C45EB4">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723.45</w:t>
            </w:r>
          </w:p>
        </w:tc>
      </w:tr>
      <w:tr w14:paraId="5C3D0B7E">
        <w:tblPrEx>
          <w:tblCellMar>
            <w:top w:w="0" w:type="dxa"/>
            <w:left w:w="108" w:type="dxa"/>
            <w:bottom w:w="0" w:type="dxa"/>
            <w:right w:w="108" w:type="dxa"/>
          </w:tblCellMar>
        </w:tblPrEx>
        <w:trPr>
          <w:cantSplit/>
          <w:trHeight w:val="715" w:hRule="atLeast"/>
          <w:jc w:val="center"/>
        </w:trPr>
        <w:tc>
          <w:tcPr>
            <w:tcW w:w="93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918FA4F">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68</w:t>
            </w:r>
          </w:p>
        </w:tc>
        <w:tc>
          <w:tcPr>
            <w:tcW w:w="182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997D246">
            <w:pPr>
              <w:keepNext w:val="0"/>
              <w:keepLines w:val="0"/>
              <w:suppressLineNumbers w:val="0"/>
              <w:spacing w:before="0" w:beforeAutospacing="0" w:after="0" w:afterAutospacing="0"/>
              <w:ind w:left="0" w:right="0"/>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5t吸粪车</w:t>
            </w:r>
          </w:p>
        </w:tc>
        <w:tc>
          <w:tcPr>
            <w:tcW w:w="4685"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D0FB16A">
            <w:pPr>
              <w:keepNext w:val="0"/>
              <w:keepLines w:val="0"/>
              <w:suppressLineNumbers w:val="0"/>
              <w:spacing w:before="0" w:beforeAutospacing="0" w:after="0" w:afterAutospacing="0"/>
              <w:ind w:left="0" w:right="0"/>
              <w:jc w:val="left"/>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含机械进出场、驾驶员及操作人员</w:t>
            </w:r>
          </w:p>
        </w:tc>
        <w:tc>
          <w:tcPr>
            <w:tcW w:w="100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2909E52">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台班</w:t>
            </w:r>
          </w:p>
        </w:tc>
        <w:tc>
          <w:tcPr>
            <w:tcW w:w="1463"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EF0D539">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766.68</w:t>
            </w:r>
          </w:p>
        </w:tc>
      </w:tr>
      <w:tr w14:paraId="35BE4A39">
        <w:tblPrEx>
          <w:tblCellMar>
            <w:top w:w="0" w:type="dxa"/>
            <w:left w:w="108" w:type="dxa"/>
            <w:bottom w:w="0" w:type="dxa"/>
            <w:right w:w="108" w:type="dxa"/>
          </w:tblCellMar>
        </w:tblPrEx>
        <w:trPr>
          <w:cantSplit/>
          <w:trHeight w:val="715" w:hRule="atLeast"/>
          <w:jc w:val="center"/>
        </w:trPr>
        <w:tc>
          <w:tcPr>
            <w:tcW w:w="93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5763D16">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69</w:t>
            </w:r>
          </w:p>
        </w:tc>
        <w:tc>
          <w:tcPr>
            <w:tcW w:w="182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9F4B660">
            <w:pPr>
              <w:keepNext w:val="0"/>
              <w:keepLines w:val="0"/>
              <w:suppressLineNumbers w:val="0"/>
              <w:spacing w:before="0" w:beforeAutospacing="0" w:after="0" w:afterAutospacing="0"/>
              <w:ind w:left="0" w:right="0"/>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10t吸粪车</w:t>
            </w:r>
          </w:p>
        </w:tc>
        <w:tc>
          <w:tcPr>
            <w:tcW w:w="4685"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C4AA96C">
            <w:pPr>
              <w:keepNext w:val="0"/>
              <w:keepLines w:val="0"/>
              <w:suppressLineNumbers w:val="0"/>
              <w:spacing w:before="0" w:beforeAutospacing="0" w:after="0" w:afterAutospacing="0"/>
              <w:ind w:left="0" w:right="0"/>
              <w:jc w:val="left"/>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含机械进出场、驾驶员及操作人员</w:t>
            </w:r>
          </w:p>
        </w:tc>
        <w:tc>
          <w:tcPr>
            <w:tcW w:w="100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05361EB">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台班</w:t>
            </w:r>
          </w:p>
        </w:tc>
        <w:tc>
          <w:tcPr>
            <w:tcW w:w="1463"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19047A8">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1533.37</w:t>
            </w:r>
          </w:p>
        </w:tc>
      </w:tr>
      <w:tr w14:paraId="7BDDA5F8">
        <w:tblPrEx>
          <w:tblCellMar>
            <w:top w:w="0" w:type="dxa"/>
            <w:left w:w="108" w:type="dxa"/>
            <w:bottom w:w="0" w:type="dxa"/>
            <w:right w:w="108" w:type="dxa"/>
          </w:tblCellMar>
        </w:tblPrEx>
        <w:trPr>
          <w:cantSplit/>
          <w:trHeight w:val="715" w:hRule="atLeast"/>
          <w:jc w:val="center"/>
        </w:trPr>
        <w:tc>
          <w:tcPr>
            <w:tcW w:w="93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9CE181A">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70</w:t>
            </w:r>
          </w:p>
        </w:tc>
        <w:tc>
          <w:tcPr>
            <w:tcW w:w="182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6353855">
            <w:pPr>
              <w:keepNext w:val="0"/>
              <w:keepLines w:val="0"/>
              <w:suppressLineNumbers w:val="0"/>
              <w:spacing w:before="0" w:beforeAutospacing="0" w:after="0" w:afterAutospacing="0"/>
              <w:ind w:left="0" w:right="0"/>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疏通车</w:t>
            </w:r>
          </w:p>
        </w:tc>
        <w:tc>
          <w:tcPr>
            <w:tcW w:w="4685"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E6F6FF0">
            <w:pPr>
              <w:keepNext w:val="0"/>
              <w:keepLines w:val="0"/>
              <w:suppressLineNumbers w:val="0"/>
              <w:spacing w:before="0" w:beforeAutospacing="0" w:after="0" w:afterAutospacing="0"/>
              <w:ind w:left="0" w:right="0"/>
              <w:jc w:val="left"/>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含机械进出场、驾驶员及操作人员</w:t>
            </w:r>
          </w:p>
        </w:tc>
        <w:tc>
          <w:tcPr>
            <w:tcW w:w="100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48E476C">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台班</w:t>
            </w:r>
          </w:p>
        </w:tc>
        <w:tc>
          <w:tcPr>
            <w:tcW w:w="1463"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8745AC2">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2933.7</w:t>
            </w:r>
          </w:p>
        </w:tc>
      </w:tr>
      <w:tr w14:paraId="2EF19493">
        <w:tblPrEx>
          <w:tblCellMar>
            <w:top w:w="0" w:type="dxa"/>
            <w:left w:w="108" w:type="dxa"/>
            <w:bottom w:w="0" w:type="dxa"/>
            <w:right w:w="108" w:type="dxa"/>
          </w:tblCellMar>
        </w:tblPrEx>
        <w:trPr>
          <w:cantSplit/>
          <w:trHeight w:val="715" w:hRule="atLeast"/>
          <w:jc w:val="center"/>
        </w:trPr>
        <w:tc>
          <w:tcPr>
            <w:tcW w:w="93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5514FC6">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71</w:t>
            </w:r>
          </w:p>
        </w:tc>
        <w:tc>
          <w:tcPr>
            <w:tcW w:w="182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294B62D">
            <w:pPr>
              <w:keepNext w:val="0"/>
              <w:keepLines w:val="0"/>
              <w:suppressLineNumbers w:val="0"/>
              <w:spacing w:before="0" w:beforeAutospacing="0" w:after="0" w:afterAutospacing="0"/>
              <w:ind w:left="0" w:right="0"/>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管道成像</w:t>
            </w:r>
          </w:p>
        </w:tc>
        <w:tc>
          <w:tcPr>
            <w:tcW w:w="4685"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632EF52">
            <w:pPr>
              <w:keepNext w:val="0"/>
              <w:keepLines w:val="0"/>
              <w:suppressLineNumbers w:val="0"/>
              <w:spacing w:before="0" w:beforeAutospacing="0" w:after="0" w:afterAutospacing="0"/>
              <w:ind w:left="0" w:right="0"/>
              <w:jc w:val="left"/>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p>
        </w:tc>
        <w:tc>
          <w:tcPr>
            <w:tcW w:w="100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E9F3731">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台班</w:t>
            </w:r>
          </w:p>
        </w:tc>
        <w:tc>
          <w:tcPr>
            <w:tcW w:w="1463"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925AEF5">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2212.43</w:t>
            </w:r>
          </w:p>
        </w:tc>
      </w:tr>
      <w:tr w14:paraId="06D1AA21">
        <w:tblPrEx>
          <w:tblCellMar>
            <w:top w:w="0" w:type="dxa"/>
            <w:left w:w="108" w:type="dxa"/>
            <w:bottom w:w="0" w:type="dxa"/>
            <w:right w:w="108" w:type="dxa"/>
          </w:tblCellMar>
        </w:tblPrEx>
        <w:trPr>
          <w:cantSplit/>
          <w:trHeight w:val="715" w:hRule="atLeast"/>
          <w:jc w:val="center"/>
        </w:trPr>
        <w:tc>
          <w:tcPr>
            <w:tcW w:w="93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9ED93EE">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72</w:t>
            </w:r>
          </w:p>
        </w:tc>
        <w:tc>
          <w:tcPr>
            <w:tcW w:w="182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7A75D87">
            <w:pPr>
              <w:keepNext w:val="0"/>
              <w:keepLines w:val="0"/>
              <w:suppressLineNumbers w:val="0"/>
              <w:spacing w:before="0" w:beforeAutospacing="0" w:after="0" w:afterAutospacing="0"/>
              <w:ind w:left="0" w:right="0"/>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空压机</w:t>
            </w:r>
          </w:p>
        </w:tc>
        <w:tc>
          <w:tcPr>
            <w:tcW w:w="4685"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6614E55">
            <w:pPr>
              <w:keepNext w:val="0"/>
              <w:keepLines w:val="0"/>
              <w:suppressLineNumbers w:val="0"/>
              <w:spacing w:before="0" w:beforeAutospacing="0" w:after="0" w:afterAutospacing="0"/>
              <w:ind w:left="0" w:right="0"/>
              <w:jc w:val="left"/>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3m3/min及以上</w:t>
            </w:r>
          </w:p>
        </w:tc>
        <w:tc>
          <w:tcPr>
            <w:tcW w:w="100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9FA8207">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台班</w:t>
            </w:r>
          </w:p>
        </w:tc>
        <w:tc>
          <w:tcPr>
            <w:tcW w:w="1463"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A3B5535">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532.41</w:t>
            </w:r>
          </w:p>
        </w:tc>
      </w:tr>
      <w:tr w14:paraId="4AB4FA90">
        <w:tblPrEx>
          <w:tblCellMar>
            <w:top w:w="0" w:type="dxa"/>
            <w:left w:w="108" w:type="dxa"/>
            <w:bottom w:w="0" w:type="dxa"/>
            <w:right w:w="108" w:type="dxa"/>
          </w:tblCellMar>
        </w:tblPrEx>
        <w:trPr>
          <w:cantSplit/>
          <w:trHeight w:val="715" w:hRule="atLeast"/>
          <w:jc w:val="center"/>
        </w:trPr>
        <w:tc>
          <w:tcPr>
            <w:tcW w:w="93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C2ADF7E">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73</w:t>
            </w:r>
          </w:p>
        </w:tc>
        <w:tc>
          <w:tcPr>
            <w:tcW w:w="182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254F1E7">
            <w:pPr>
              <w:keepNext w:val="0"/>
              <w:keepLines w:val="0"/>
              <w:suppressLineNumbers w:val="0"/>
              <w:spacing w:before="0" w:beforeAutospacing="0" w:after="0" w:afterAutospacing="0"/>
              <w:ind w:left="0" w:right="0"/>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风镐机</w:t>
            </w:r>
          </w:p>
        </w:tc>
        <w:tc>
          <w:tcPr>
            <w:tcW w:w="4685"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CC120F2">
            <w:pPr>
              <w:keepNext w:val="0"/>
              <w:keepLines w:val="0"/>
              <w:suppressLineNumbers w:val="0"/>
              <w:spacing w:before="0" w:beforeAutospacing="0" w:after="0" w:afterAutospacing="0"/>
              <w:ind w:left="0" w:right="0"/>
              <w:jc w:val="left"/>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p>
        </w:tc>
        <w:tc>
          <w:tcPr>
            <w:tcW w:w="100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1E904D7">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台班</w:t>
            </w:r>
          </w:p>
        </w:tc>
        <w:tc>
          <w:tcPr>
            <w:tcW w:w="1463"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1C2743F">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243.54</w:t>
            </w:r>
          </w:p>
        </w:tc>
      </w:tr>
      <w:tr w14:paraId="7E7C628D">
        <w:tblPrEx>
          <w:tblCellMar>
            <w:top w:w="0" w:type="dxa"/>
            <w:left w:w="108" w:type="dxa"/>
            <w:bottom w:w="0" w:type="dxa"/>
            <w:right w:w="108" w:type="dxa"/>
          </w:tblCellMar>
        </w:tblPrEx>
        <w:trPr>
          <w:cantSplit/>
          <w:trHeight w:val="715" w:hRule="atLeast"/>
          <w:jc w:val="center"/>
        </w:trPr>
        <w:tc>
          <w:tcPr>
            <w:tcW w:w="93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AB4478F">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74</w:t>
            </w:r>
          </w:p>
        </w:tc>
        <w:tc>
          <w:tcPr>
            <w:tcW w:w="182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30F034B">
            <w:pPr>
              <w:keepNext w:val="0"/>
              <w:keepLines w:val="0"/>
              <w:suppressLineNumbers w:val="0"/>
              <w:spacing w:before="0" w:beforeAutospacing="0" w:after="0" w:afterAutospacing="0"/>
              <w:ind w:left="0" w:right="0"/>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10千瓦发电机组</w:t>
            </w:r>
          </w:p>
        </w:tc>
        <w:tc>
          <w:tcPr>
            <w:tcW w:w="4685"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49E2770">
            <w:pPr>
              <w:keepNext w:val="0"/>
              <w:keepLines w:val="0"/>
              <w:suppressLineNumbers w:val="0"/>
              <w:spacing w:before="0" w:beforeAutospacing="0" w:after="0" w:afterAutospacing="0"/>
              <w:ind w:left="0" w:right="0"/>
              <w:jc w:val="left"/>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p>
        </w:tc>
        <w:tc>
          <w:tcPr>
            <w:tcW w:w="100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DD1B74B">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台班</w:t>
            </w:r>
          </w:p>
        </w:tc>
        <w:tc>
          <w:tcPr>
            <w:tcW w:w="1463"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0ACA0D3">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466.21</w:t>
            </w:r>
          </w:p>
        </w:tc>
      </w:tr>
      <w:tr w14:paraId="34648629">
        <w:tblPrEx>
          <w:tblCellMar>
            <w:top w:w="0" w:type="dxa"/>
            <w:left w:w="108" w:type="dxa"/>
            <w:bottom w:w="0" w:type="dxa"/>
            <w:right w:w="108" w:type="dxa"/>
          </w:tblCellMar>
        </w:tblPrEx>
        <w:trPr>
          <w:cantSplit/>
          <w:trHeight w:val="715" w:hRule="atLeast"/>
          <w:jc w:val="center"/>
        </w:trPr>
        <w:tc>
          <w:tcPr>
            <w:tcW w:w="93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C4C34B1">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75</w:t>
            </w:r>
          </w:p>
        </w:tc>
        <w:tc>
          <w:tcPr>
            <w:tcW w:w="182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97F28C0">
            <w:pPr>
              <w:keepNext w:val="0"/>
              <w:keepLines w:val="0"/>
              <w:suppressLineNumbers w:val="0"/>
              <w:spacing w:before="0" w:beforeAutospacing="0" w:after="0" w:afterAutospacing="0"/>
              <w:ind w:left="0" w:right="0"/>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30千瓦发电机组</w:t>
            </w:r>
          </w:p>
        </w:tc>
        <w:tc>
          <w:tcPr>
            <w:tcW w:w="4685"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2C0E376">
            <w:pPr>
              <w:keepNext w:val="0"/>
              <w:keepLines w:val="0"/>
              <w:suppressLineNumbers w:val="0"/>
              <w:spacing w:before="0" w:beforeAutospacing="0" w:after="0" w:afterAutospacing="0"/>
              <w:ind w:left="0" w:right="0"/>
              <w:jc w:val="left"/>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p>
        </w:tc>
        <w:tc>
          <w:tcPr>
            <w:tcW w:w="100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FE4F413">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台班</w:t>
            </w:r>
          </w:p>
        </w:tc>
        <w:tc>
          <w:tcPr>
            <w:tcW w:w="1463"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D1E09B6">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746.26</w:t>
            </w:r>
          </w:p>
        </w:tc>
      </w:tr>
      <w:tr w14:paraId="5C142A7F">
        <w:tblPrEx>
          <w:tblCellMar>
            <w:top w:w="0" w:type="dxa"/>
            <w:left w:w="108" w:type="dxa"/>
            <w:bottom w:w="0" w:type="dxa"/>
            <w:right w:w="108" w:type="dxa"/>
          </w:tblCellMar>
        </w:tblPrEx>
        <w:trPr>
          <w:cantSplit/>
          <w:trHeight w:val="715" w:hRule="atLeast"/>
          <w:jc w:val="center"/>
        </w:trPr>
        <w:tc>
          <w:tcPr>
            <w:tcW w:w="93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0D2A2D2">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76</w:t>
            </w:r>
          </w:p>
        </w:tc>
        <w:tc>
          <w:tcPr>
            <w:tcW w:w="182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9AAC82E">
            <w:pPr>
              <w:keepNext w:val="0"/>
              <w:keepLines w:val="0"/>
              <w:suppressLineNumbers w:val="0"/>
              <w:spacing w:before="0" w:beforeAutospacing="0" w:after="0" w:afterAutospacing="0"/>
              <w:ind w:left="0" w:right="0"/>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2寸水泵</w:t>
            </w:r>
          </w:p>
        </w:tc>
        <w:tc>
          <w:tcPr>
            <w:tcW w:w="4685"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1FBE513">
            <w:pPr>
              <w:keepNext w:val="0"/>
              <w:keepLines w:val="0"/>
              <w:suppressLineNumbers w:val="0"/>
              <w:spacing w:before="0" w:beforeAutospacing="0" w:after="0" w:afterAutospacing="0"/>
              <w:ind w:left="0" w:right="0"/>
              <w:jc w:val="left"/>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p>
        </w:tc>
        <w:tc>
          <w:tcPr>
            <w:tcW w:w="100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20FA8BD">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台班</w:t>
            </w:r>
          </w:p>
        </w:tc>
        <w:tc>
          <w:tcPr>
            <w:tcW w:w="1463"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EBEDF7A">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234.5</w:t>
            </w:r>
          </w:p>
        </w:tc>
      </w:tr>
      <w:tr w14:paraId="000373CB">
        <w:tblPrEx>
          <w:tblCellMar>
            <w:top w:w="0" w:type="dxa"/>
            <w:left w:w="108" w:type="dxa"/>
            <w:bottom w:w="0" w:type="dxa"/>
            <w:right w:w="108" w:type="dxa"/>
          </w:tblCellMar>
        </w:tblPrEx>
        <w:trPr>
          <w:cantSplit/>
          <w:trHeight w:val="715" w:hRule="atLeast"/>
          <w:jc w:val="center"/>
        </w:trPr>
        <w:tc>
          <w:tcPr>
            <w:tcW w:w="93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91052C0">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77</w:t>
            </w:r>
          </w:p>
        </w:tc>
        <w:tc>
          <w:tcPr>
            <w:tcW w:w="182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1822F97">
            <w:pPr>
              <w:keepNext w:val="0"/>
              <w:keepLines w:val="0"/>
              <w:suppressLineNumbers w:val="0"/>
              <w:spacing w:before="0" w:beforeAutospacing="0" w:after="0" w:afterAutospacing="0"/>
              <w:ind w:left="0" w:right="0"/>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4寸水泵</w:t>
            </w:r>
          </w:p>
        </w:tc>
        <w:tc>
          <w:tcPr>
            <w:tcW w:w="4685"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8CF7CF6">
            <w:pPr>
              <w:keepNext w:val="0"/>
              <w:keepLines w:val="0"/>
              <w:suppressLineNumbers w:val="0"/>
              <w:spacing w:before="0" w:beforeAutospacing="0" w:after="0" w:afterAutospacing="0"/>
              <w:ind w:left="0" w:right="0"/>
              <w:jc w:val="left"/>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p>
        </w:tc>
        <w:tc>
          <w:tcPr>
            <w:tcW w:w="100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BFFA03E">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台班</w:t>
            </w:r>
          </w:p>
        </w:tc>
        <w:tc>
          <w:tcPr>
            <w:tcW w:w="1463"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EB48611">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234.66</w:t>
            </w:r>
          </w:p>
        </w:tc>
      </w:tr>
      <w:tr w14:paraId="7783BD49">
        <w:tblPrEx>
          <w:tblCellMar>
            <w:top w:w="0" w:type="dxa"/>
            <w:left w:w="108" w:type="dxa"/>
            <w:bottom w:w="0" w:type="dxa"/>
            <w:right w:w="108" w:type="dxa"/>
          </w:tblCellMar>
        </w:tblPrEx>
        <w:trPr>
          <w:cantSplit/>
          <w:trHeight w:val="715" w:hRule="atLeast"/>
          <w:jc w:val="center"/>
        </w:trPr>
        <w:tc>
          <w:tcPr>
            <w:tcW w:w="93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7CAC643">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78</w:t>
            </w:r>
          </w:p>
        </w:tc>
        <w:tc>
          <w:tcPr>
            <w:tcW w:w="182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C52F1DA">
            <w:pPr>
              <w:keepNext w:val="0"/>
              <w:keepLines w:val="0"/>
              <w:suppressLineNumbers w:val="0"/>
              <w:spacing w:before="0" w:beforeAutospacing="0" w:after="0" w:afterAutospacing="0"/>
              <w:ind w:left="0" w:right="0"/>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6寸水泵</w:t>
            </w:r>
          </w:p>
        </w:tc>
        <w:tc>
          <w:tcPr>
            <w:tcW w:w="4685"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3D0F9A8">
            <w:pPr>
              <w:keepNext w:val="0"/>
              <w:keepLines w:val="0"/>
              <w:suppressLineNumbers w:val="0"/>
              <w:spacing w:before="0" w:beforeAutospacing="0" w:after="0" w:afterAutospacing="0"/>
              <w:ind w:left="0" w:right="0"/>
              <w:jc w:val="left"/>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p>
        </w:tc>
        <w:tc>
          <w:tcPr>
            <w:tcW w:w="100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689ED56">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台班</w:t>
            </w:r>
          </w:p>
        </w:tc>
        <w:tc>
          <w:tcPr>
            <w:tcW w:w="1463"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AF2BFEA">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305.75</w:t>
            </w:r>
          </w:p>
        </w:tc>
      </w:tr>
      <w:tr w14:paraId="7A81B6BF">
        <w:tblPrEx>
          <w:tblCellMar>
            <w:top w:w="0" w:type="dxa"/>
            <w:left w:w="108" w:type="dxa"/>
            <w:bottom w:w="0" w:type="dxa"/>
            <w:right w:w="108" w:type="dxa"/>
          </w:tblCellMar>
        </w:tblPrEx>
        <w:trPr>
          <w:cantSplit/>
          <w:trHeight w:val="715" w:hRule="atLeast"/>
          <w:jc w:val="center"/>
        </w:trPr>
        <w:tc>
          <w:tcPr>
            <w:tcW w:w="93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E907726">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79</w:t>
            </w:r>
          </w:p>
        </w:tc>
        <w:tc>
          <w:tcPr>
            <w:tcW w:w="182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E00B72C">
            <w:pPr>
              <w:keepNext w:val="0"/>
              <w:keepLines w:val="0"/>
              <w:widowControl/>
              <w:suppressLineNumbers w:val="0"/>
              <w:spacing w:before="0" w:beforeAutospacing="0" w:after="0" w:afterAutospacing="0"/>
              <w:ind w:left="0" w:right="0"/>
              <w:jc w:val="left"/>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小工</w:t>
            </w:r>
          </w:p>
        </w:tc>
        <w:tc>
          <w:tcPr>
            <w:tcW w:w="4685"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1D76208">
            <w:pPr>
              <w:keepNext w:val="0"/>
              <w:keepLines w:val="0"/>
              <w:widowControl/>
              <w:suppressLineNumbers w:val="0"/>
              <w:spacing w:before="0" w:beforeAutospacing="0" w:after="0" w:afterAutospacing="0"/>
              <w:ind w:left="0" w:right="0"/>
              <w:jc w:val="left"/>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养护工、搬运工等</w:t>
            </w:r>
          </w:p>
        </w:tc>
        <w:tc>
          <w:tcPr>
            <w:tcW w:w="100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B06C227">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工日</w:t>
            </w:r>
          </w:p>
        </w:tc>
        <w:tc>
          <w:tcPr>
            <w:tcW w:w="1463"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E431691">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240</w:t>
            </w:r>
          </w:p>
        </w:tc>
      </w:tr>
      <w:tr w14:paraId="4EA07CA9">
        <w:tblPrEx>
          <w:tblCellMar>
            <w:top w:w="0" w:type="dxa"/>
            <w:left w:w="108" w:type="dxa"/>
            <w:bottom w:w="0" w:type="dxa"/>
            <w:right w:w="108" w:type="dxa"/>
          </w:tblCellMar>
        </w:tblPrEx>
        <w:trPr>
          <w:cantSplit/>
          <w:trHeight w:val="715" w:hRule="atLeast"/>
          <w:jc w:val="center"/>
        </w:trPr>
        <w:tc>
          <w:tcPr>
            <w:tcW w:w="93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E91E986">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80</w:t>
            </w:r>
          </w:p>
        </w:tc>
        <w:tc>
          <w:tcPr>
            <w:tcW w:w="182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C006A50">
            <w:pPr>
              <w:keepNext w:val="0"/>
              <w:keepLines w:val="0"/>
              <w:widowControl/>
              <w:suppressLineNumbers w:val="0"/>
              <w:spacing w:before="0" w:beforeAutospacing="0" w:after="0" w:afterAutospacing="0"/>
              <w:ind w:left="0" w:right="0"/>
              <w:jc w:val="left"/>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大工</w:t>
            </w:r>
          </w:p>
        </w:tc>
        <w:tc>
          <w:tcPr>
            <w:tcW w:w="4685"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37B4715">
            <w:pPr>
              <w:keepNext w:val="0"/>
              <w:keepLines w:val="0"/>
              <w:widowControl/>
              <w:suppressLineNumbers w:val="0"/>
              <w:spacing w:before="0" w:beforeAutospacing="0" w:after="0" w:afterAutospacing="0"/>
              <w:ind w:left="0" w:right="0"/>
              <w:jc w:val="left"/>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技术工种、电工、砌筑工、木工、电焊工、钢筋工等</w:t>
            </w:r>
          </w:p>
        </w:tc>
        <w:tc>
          <w:tcPr>
            <w:tcW w:w="100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0A11EE0">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工日</w:t>
            </w:r>
          </w:p>
        </w:tc>
        <w:tc>
          <w:tcPr>
            <w:tcW w:w="1463"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2CF1AFD">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300</w:t>
            </w:r>
          </w:p>
        </w:tc>
      </w:tr>
      <w:tr w14:paraId="60E3CD42">
        <w:tblPrEx>
          <w:tblCellMar>
            <w:top w:w="0" w:type="dxa"/>
            <w:left w:w="108" w:type="dxa"/>
            <w:bottom w:w="0" w:type="dxa"/>
            <w:right w:w="108" w:type="dxa"/>
          </w:tblCellMar>
        </w:tblPrEx>
        <w:trPr>
          <w:cantSplit/>
          <w:trHeight w:val="715" w:hRule="atLeast"/>
          <w:jc w:val="center"/>
        </w:trPr>
        <w:tc>
          <w:tcPr>
            <w:tcW w:w="93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6489983">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szCs w:val="21"/>
                <w:highlight w:val="none"/>
                <w:lang w:val="en-US" w:eastAsia="zh-CN"/>
                <w14:textFill>
                  <w14:solidFill>
                    <w14:schemeClr w14:val="tx1"/>
                  </w14:solidFill>
                </w14:textFill>
              </w:rPr>
              <w:t>五</w:t>
            </w:r>
          </w:p>
        </w:tc>
        <w:tc>
          <w:tcPr>
            <w:tcW w:w="182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4048FF1">
            <w:pPr>
              <w:keepNext w:val="0"/>
              <w:keepLines w:val="0"/>
              <w:widowControl/>
              <w:suppressLineNumbers w:val="0"/>
              <w:spacing w:before="0" w:beforeAutospacing="0" w:after="0" w:afterAutospacing="0"/>
              <w:ind w:left="0" w:right="0"/>
              <w:jc w:val="left"/>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防汛配合</w:t>
            </w:r>
          </w:p>
        </w:tc>
        <w:tc>
          <w:tcPr>
            <w:tcW w:w="4685"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B7A9D93">
            <w:pPr>
              <w:keepNext w:val="0"/>
              <w:keepLines w:val="0"/>
              <w:widowControl/>
              <w:suppressLineNumbers w:val="0"/>
              <w:spacing w:before="0" w:beforeAutospacing="0" w:after="0" w:afterAutospacing="0"/>
              <w:ind w:left="0" w:right="0"/>
              <w:jc w:val="left"/>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pPr>
          </w:p>
        </w:tc>
        <w:tc>
          <w:tcPr>
            <w:tcW w:w="100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05D45F3">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p>
        </w:tc>
        <w:tc>
          <w:tcPr>
            <w:tcW w:w="1463"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00936E7">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p>
        </w:tc>
      </w:tr>
      <w:tr w14:paraId="250C761F">
        <w:tblPrEx>
          <w:tblCellMar>
            <w:top w:w="0" w:type="dxa"/>
            <w:left w:w="108" w:type="dxa"/>
            <w:bottom w:w="0" w:type="dxa"/>
            <w:right w:w="108" w:type="dxa"/>
          </w:tblCellMar>
        </w:tblPrEx>
        <w:trPr>
          <w:cantSplit/>
          <w:trHeight w:val="715" w:hRule="atLeast"/>
          <w:jc w:val="center"/>
        </w:trPr>
        <w:tc>
          <w:tcPr>
            <w:tcW w:w="93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BD962CB">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81</w:t>
            </w:r>
          </w:p>
        </w:tc>
        <w:tc>
          <w:tcPr>
            <w:tcW w:w="182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0CE8473">
            <w:pPr>
              <w:keepNext w:val="0"/>
              <w:keepLines w:val="0"/>
              <w:widowControl/>
              <w:suppressLineNumbers w:val="0"/>
              <w:spacing w:before="0" w:beforeAutospacing="0" w:after="0" w:afterAutospacing="0"/>
              <w:ind w:left="0" w:right="0"/>
              <w:jc w:val="left"/>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5T卡车</w:t>
            </w:r>
          </w:p>
        </w:tc>
        <w:tc>
          <w:tcPr>
            <w:tcW w:w="4685"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52BF378">
            <w:pPr>
              <w:keepNext w:val="0"/>
              <w:keepLines w:val="0"/>
              <w:suppressLineNumbers w:val="0"/>
              <w:spacing w:before="0" w:beforeAutospacing="0" w:after="0" w:afterAutospacing="0"/>
              <w:ind w:left="0" w:right="0"/>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接到通知后24小时待命并配合工作（8小时/台班）</w:t>
            </w:r>
          </w:p>
        </w:tc>
        <w:tc>
          <w:tcPr>
            <w:tcW w:w="100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ED2E53D">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台班</w:t>
            </w:r>
          </w:p>
        </w:tc>
        <w:tc>
          <w:tcPr>
            <w:tcW w:w="1463"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49DD84D">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650</w:t>
            </w:r>
          </w:p>
        </w:tc>
      </w:tr>
      <w:tr w14:paraId="1B5B1957">
        <w:tblPrEx>
          <w:tblCellMar>
            <w:top w:w="0" w:type="dxa"/>
            <w:left w:w="108" w:type="dxa"/>
            <w:bottom w:w="0" w:type="dxa"/>
            <w:right w:w="108" w:type="dxa"/>
          </w:tblCellMar>
        </w:tblPrEx>
        <w:trPr>
          <w:cantSplit/>
          <w:trHeight w:val="715" w:hRule="atLeast"/>
          <w:jc w:val="center"/>
        </w:trPr>
        <w:tc>
          <w:tcPr>
            <w:tcW w:w="93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12E2A81">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82</w:t>
            </w:r>
          </w:p>
        </w:tc>
        <w:tc>
          <w:tcPr>
            <w:tcW w:w="182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CD01411">
            <w:pPr>
              <w:keepNext w:val="0"/>
              <w:keepLines w:val="0"/>
              <w:widowControl/>
              <w:suppressLineNumbers w:val="0"/>
              <w:spacing w:before="0" w:beforeAutospacing="0" w:after="0" w:afterAutospacing="0"/>
              <w:ind w:left="0" w:right="0"/>
              <w:jc w:val="left"/>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箱式运输车</w:t>
            </w:r>
          </w:p>
        </w:tc>
        <w:tc>
          <w:tcPr>
            <w:tcW w:w="4685"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B61A9AC">
            <w:pPr>
              <w:keepNext w:val="0"/>
              <w:keepLines w:val="0"/>
              <w:suppressLineNumbers w:val="0"/>
              <w:spacing w:before="0" w:beforeAutospacing="0" w:after="0" w:afterAutospacing="0"/>
              <w:ind w:left="0" w:right="0"/>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接到通知后24小时待命并配合工作（8小时/台班）</w:t>
            </w:r>
          </w:p>
        </w:tc>
        <w:tc>
          <w:tcPr>
            <w:tcW w:w="100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886F5FB">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台班</w:t>
            </w:r>
          </w:p>
        </w:tc>
        <w:tc>
          <w:tcPr>
            <w:tcW w:w="1463"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2013634">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650</w:t>
            </w:r>
          </w:p>
        </w:tc>
      </w:tr>
      <w:tr w14:paraId="16EE12E8">
        <w:tblPrEx>
          <w:tblCellMar>
            <w:top w:w="0" w:type="dxa"/>
            <w:left w:w="108" w:type="dxa"/>
            <w:bottom w:w="0" w:type="dxa"/>
            <w:right w:w="108" w:type="dxa"/>
          </w:tblCellMar>
        </w:tblPrEx>
        <w:trPr>
          <w:cantSplit/>
          <w:trHeight w:val="715" w:hRule="atLeast"/>
          <w:jc w:val="center"/>
        </w:trPr>
        <w:tc>
          <w:tcPr>
            <w:tcW w:w="93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39CD370">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83</w:t>
            </w:r>
          </w:p>
        </w:tc>
        <w:tc>
          <w:tcPr>
            <w:tcW w:w="182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1A0BE8A">
            <w:pPr>
              <w:keepNext w:val="0"/>
              <w:keepLines w:val="0"/>
              <w:widowControl/>
              <w:suppressLineNumbers w:val="0"/>
              <w:spacing w:before="0" w:beforeAutospacing="0" w:after="0" w:afterAutospacing="0"/>
              <w:ind w:left="0" w:right="0"/>
              <w:jc w:val="left"/>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疏通车</w:t>
            </w:r>
          </w:p>
        </w:tc>
        <w:tc>
          <w:tcPr>
            <w:tcW w:w="4685"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E71BA28">
            <w:pPr>
              <w:keepNext w:val="0"/>
              <w:keepLines w:val="0"/>
              <w:suppressLineNumbers w:val="0"/>
              <w:spacing w:before="0" w:beforeAutospacing="0" w:after="0" w:afterAutospacing="0"/>
              <w:ind w:left="0" w:right="0"/>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接到通知后24小时待命并配合工作（8小时/台班）</w:t>
            </w:r>
          </w:p>
        </w:tc>
        <w:tc>
          <w:tcPr>
            <w:tcW w:w="100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BB7E2B3">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台班</w:t>
            </w:r>
          </w:p>
        </w:tc>
        <w:tc>
          <w:tcPr>
            <w:tcW w:w="1463"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02F99F2">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3000</w:t>
            </w:r>
          </w:p>
        </w:tc>
      </w:tr>
      <w:tr w14:paraId="176BF9E2">
        <w:tblPrEx>
          <w:tblCellMar>
            <w:top w:w="0" w:type="dxa"/>
            <w:left w:w="108" w:type="dxa"/>
            <w:bottom w:w="0" w:type="dxa"/>
            <w:right w:w="108" w:type="dxa"/>
          </w:tblCellMar>
        </w:tblPrEx>
        <w:trPr>
          <w:cantSplit/>
          <w:trHeight w:val="715" w:hRule="atLeast"/>
          <w:jc w:val="center"/>
        </w:trPr>
        <w:tc>
          <w:tcPr>
            <w:tcW w:w="93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CD03258">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84</w:t>
            </w:r>
          </w:p>
        </w:tc>
        <w:tc>
          <w:tcPr>
            <w:tcW w:w="182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0A7A918">
            <w:pPr>
              <w:keepNext w:val="0"/>
              <w:keepLines w:val="0"/>
              <w:widowControl/>
              <w:suppressLineNumbers w:val="0"/>
              <w:spacing w:before="0" w:beforeAutospacing="0" w:after="0" w:afterAutospacing="0"/>
              <w:ind w:left="0" w:right="0"/>
              <w:jc w:val="left"/>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5t吸污车</w:t>
            </w:r>
          </w:p>
        </w:tc>
        <w:tc>
          <w:tcPr>
            <w:tcW w:w="4685"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BC5BE6E">
            <w:pPr>
              <w:keepNext w:val="0"/>
              <w:keepLines w:val="0"/>
              <w:suppressLineNumbers w:val="0"/>
              <w:spacing w:before="0" w:beforeAutospacing="0" w:after="0" w:afterAutospacing="0"/>
              <w:ind w:left="0" w:right="0"/>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接到通知后24小时待命并配合工作（8小时/台班）</w:t>
            </w:r>
          </w:p>
        </w:tc>
        <w:tc>
          <w:tcPr>
            <w:tcW w:w="100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F2DC621">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台班</w:t>
            </w:r>
          </w:p>
        </w:tc>
        <w:tc>
          <w:tcPr>
            <w:tcW w:w="1463"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3A90EF4">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850</w:t>
            </w:r>
          </w:p>
        </w:tc>
      </w:tr>
      <w:tr w14:paraId="6D2FAE3A">
        <w:tblPrEx>
          <w:tblCellMar>
            <w:top w:w="0" w:type="dxa"/>
            <w:left w:w="108" w:type="dxa"/>
            <w:bottom w:w="0" w:type="dxa"/>
            <w:right w:w="108" w:type="dxa"/>
          </w:tblCellMar>
        </w:tblPrEx>
        <w:trPr>
          <w:cantSplit/>
          <w:trHeight w:val="724" w:hRule="atLeast"/>
          <w:jc w:val="center"/>
        </w:trPr>
        <w:tc>
          <w:tcPr>
            <w:tcW w:w="93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35C0CE4">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85</w:t>
            </w:r>
          </w:p>
        </w:tc>
        <w:tc>
          <w:tcPr>
            <w:tcW w:w="182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33953B5">
            <w:pPr>
              <w:keepNext w:val="0"/>
              <w:keepLines w:val="0"/>
              <w:widowControl/>
              <w:suppressLineNumbers w:val="0"/>
              <w:spacing w:before="0" w:beforeAutospacing="0" w:after="0" w:afterAutospacing="0"/>
              <w:ind w:left="0" w:right="0"/>
              <w:jc w:val="left"/>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防汛人工</w:t>
            </w:r>
          </w:p>
        </w:tc>
        <w:tc>
          <w:tcPr>
            <w:tcW w:w="4685"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63E1065">
            <w:pPr>
              <w:keepNext w:val="0"/>
              <w:keepLines w:val="0"/>
              <w:suppressLineNumbers w:val="0"/>
              <w:spacing w:before="0" w:beforeAutospacing="0" w:after="0" w:afterAutospacing="0"/>
              <w:ind w:left="0" w:right="0"/>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接到通知后24小时待命并配合工作（8小时/台班）</w:t>
            </w:r>
          </w:p>
        </w:tc>
        <w:tc>
          <w:tcPr>
            <w:tcW w:w="100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9F2DA98">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工日</w:t>
            </w:r>
          </w:p>
        </w:tc>
        <w:tc>
          <w:tcPr>
            <w:tcW w:w="1463"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5C86834">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320</w:t>
            </w:r>
          </w:p>
        </w:tc>
      </w:tr>
    </w:tbl>
    <w:p w14:paraId="60B37D1B">
      <w:pPr>
        <w:pageBreakBefore w:val="0"/>
        <w:spacing w:line="440" w:lineRule="exact"/>
        <w:rPr>
          <w:rFonts w:hint="eastAsia"/>
          <w:b/>
          <w:color w:val="000000" w:themeColor="text1"/>
          <w:sz w:val="24"/>
          <w:szCs w:val="24"/>
          <w:highlight w:val="none"/>
          <w14:textFill>
            <w14:solidFill>
              <w14:schemeClr w14:val="tx1"/>
            </w14:solidFill>
          </w14:textFill>
        </w:rPr>
      </w:pPr>
      <w:r>
        <w:rPr>
          <w:rFonts w:hint="eastAsia"/>
          <w:b/>
          <w:color w:val="000000" w:themeColor="text1"/>
          <w:sz w:val="24"/>
          <w:szCs w:val="24"/>
          <w:highlight w:val="none"/>
          <w14:textFill>
            <w14:solidFill>
              <w14:schemeClr w14:val="tx1"/>
            </w14:solidFill>
          </w14:textFill>
        </w:rPr>
        <w:t>注：①本项目</w:t>
      </w:r>
      <w:r>
        <w:rPr>
          <w:rFonts w:hint="eastAsia"/>
          <w:b/>
          <w:color w:val="000000" w:themeColor="text1"/>
          <w:sz w:val="24"/>
          <w:szCs w:val="24"/>
          <w:highlight w:val="none"/>
          <w:lang w:val="en-US" w:eastAsia="zh-CN"/>
          <w14:textFill>
            <w14:solidFill>
              <w14:schemeClr w14:val="tx1"/>
            </w14:solidFill>
          </w14:textFill>
        </w:rPr>
        <w:t>第三部分（雨污管网养护、维修管理）</w:t>
      </w:r>
      <w:r>
        <w:rPr>
          <w:rFonts w:hint="eastAsia"/>
          <w:b/>
          <w:color w:val="000000" w:themeColor="text1"/>
          <w:sz w:val="24"/>
          <w:szCs w:val="24"/>
          <w:highlight w:val="none"/>
          <w14:textFill>
            <w14:solidFill>
              <w14:schemeClr w14:val="tx1"/>
            </w14:solidFill>
          </w14:textFill>
        </w:rPr>
        <w:t>最终结算时按实际作业量结算。</w:t>
      </w:r>
    </w:p>
    <w:p w14:paraId="70133068">
      <w:pPr>
        <w:pageBreakBefore w:val="0"/>
        <w:spacing w:line="440" w:lineRule="exact"/>
        <w:ind w:firstLine="482"/>
        <w:rPr>
          <w:rFonts w:hint="eastAsia"/>
          <w:b/>
          <w:color w:val="000000" w:themeColor="text1"/>
          <w:sz w:val="24"/>
          <w:szCs w:val="24"/>
          <w:highlight w:val="none"/>
          <w14:textFill>
            <w14:solidFill>
              <w14:schemeClr w14:val="tx1"/>
            </w14:solidFill>
          </w14:textFill>
        </w:rPr>
      </w:pPr>
      <w:r>
        <w:rPr>
          <w:rFonts w:hint="eastAsia"/>
          <w:b/>
          <w:color w:val="000000" w:themeColor="text1"/>
          <w:sz w:val="24"/>
          <w:szCs w:val="24"/>
          <w:highlight w:val="none"/>
          <w14:textFill>
            <w14:solidFill>
              <w14:schemeClr w14:val="tx1"/>
            </w14:solidFill>
          </w14:textFill>
        </w:rPr>
        <w:t>②因中标人</w:t>
      </w:r>
      <w:r>
        <w:rPr>
          <w:rFonts w:hint="eastAsia"/>
          <w:b/>
          <w:color w:val="000000" w:themeColor="text1"/>
          <w:sz w:val="24"/>
          <w:szCs w:val="24"/>
          <w:highlight w:val="none"/>
          <w:lang w:eastAsia="zh-CN"/>
          <w14:textFill>
            <w14:solidFill>
              <w14:schemeClr w14:val="tx1"/>
            </w14:solidFill>
          </w14:textFill>
        </w:rPr>
        <w:t>作业</w:t>
      </w:r>
      <w:r>
        <w:rPr>
          <w:rFonts w:hint="eastAsia"/>
          <w:b/>
          <w:color w:val="000000" w:themeColor="text1"/>
          <w:sz w:val="24"/>
          <w:szCs w:val="24"/>
          <w:highlight w:val="none"/>
          <w14:textFill>
            <w14:solidFill>
              <w14:schemeClr w14:val="tx1"/>
            </w14:solidFill>
          </w14:textFill>
        </w:rPr>
        <w:t>（包括</w:t>
      </w:r>
      <w:r>
        <w:rPr>
          <w:rFonts w:hint="eastAsia"/>
          <w:b/>
          <w:color w:val="000000" w:themeColor="text1"/>
          <w:sz w:val="24"/>
          <w:szCs w:val="24"/>
          <w:highlight w:val="none"/>
          <w:lang w:eastAsia="zh-CN"/>
          <w14:textFill>
            <w14:solidFill>
              <w14:schemeClr w14:val="tx1"/>
            </w14:solidFill>
          </w14:textFill>
        </w:rPr>
        <w:t>作业</w:t>
      </w:r>
      <w:r>
        <w:rPr>
          <w:rFonts w:hint="eastAsia"/>
          <w:b/>
          <w:color w:val="000000" w:themeColor="text1"/>
          <w:sz w:val="24"/>
          <w:szCs w:val="24"/>
          <w:highlight w:val="none"/>
          <w14:textFill>
            <w14:solidFill>
              <w14:schemeClr w14:val="tx1"/>
            </w14:solidFill>
          </w14:textFill>
        </w:rPr>
        <w:t>方法、安全措施等）不到位，造成的管道、窨井等财产损失以及人身安全事故，责任由中标人自行承担。</w:t>
      </w:r>
    </w:p>
    <w:p w14:paraId="28C69FF8">
      <w:pPr>
        <w:pageBreakBefore w:val="0"/>
        <w:spacing w:line="440" w:lineRule="exact"/>
        <w:ind w:firstLine="482"/>
        <w:rPr>
          <w:rFonts w:hint="eastAsia"/>
          <w:b/>
          <w:color w:val="000000" w:themeColor="text1"/>
          <w:sz w:val="24"/>
          <w:szCs w:val="24"/>
          <w:highlight w:val="none"/>
          <w14:textFill>
            <w14:solidFill>
              <w14:schemeClr w14:val="tx1"/>
            </w14:solidFill>
          </w14:textFill>
        </w:rPr>
      </w:pPr>
      <w:r>
        <w:rPr>
          <w:rFonts w:hint="eastAsia"/>
          <w:b/>
          <w:color w:val="000000" w:themeColor="text1"/>
          <w:sz w:val="24"/>
          <w:szCs w:val="24"/>
          <w:highlight w:val="none"/>
          <w:lang w:val="en-US" w:eastAsia="zh-CN"/>
          <w14:textFill>
            <w14:solidFill>
              <w14:schemeClr w14:val="tx1"/>
            </w14:solidFill>
          </w14:textFill>
        </w:rPr>
        <w:t>③</w:t>
      </w:r>
      <w:r>
        <w:rPr>
          <w:rFonts w:hint="eastAsia"/>
          <w:b/>
          <w:color w:val="000000" w:themeColor="text1"/>
          <w:sz w:val="24"/>
          <w:szCs w:val="24"/>
          <w:highlight w:val="none"/>
          <w14:textFill>
            <w14:solidFill>
              <w14:schemeClr w14:val="tx1"/>
            </w14:solidFill>
          </w14:textFill>
        </w:rPr>
        <w:t>本项目投标报价（综合单价）应包括但不仅限于完成作业所需的巡查、劳务人工、材料、机械、质检（自检）、安装、缺陷修复、管理、安全生产</w:t>
      </w:r>
      <w:r>
        <w:rPr>
          <w:rFonts w:hint="eastAsia"/>
          <w:b/>
          <w:color w:val="000000" w:themeColor="text1"/>
          <w:sz w:val="24"/>
          <w:szCs w:val="24"/>
          <w:highlight w:val="none"/>
          <w:lang w:eastAsia="zh-CN"/>
          <w14:textFill>
            <w14:solidFill>
              <w14:schemeClr w14:val="tx1"/>
            </w14:solidFill>
          </w14:textFill>
        </w:rPr>
        <w:t>（</w:t>
      </w:r>
      <w:r>
        <w:rPr>
          <w:rFonts w:hint="eastAsia"/>
          <w:b/>
          <w:color w:val="000000" w:themeColor="text1"/>
          <w:sz w:val="24"/>
          <w:szCs w:val="24"/>
          <w:highlight w:val="none"/>
          <w:lang w:val="en-US" w:eastAsia="zh-CN"/>
          <w14:textFill>
            <w14:solidFill>
              <w14:schemeClr w14:val="tx1"/>
            </w14:solidFill>
          </w14:textFill>
        </w:rPr>
        <w:t>含临时围挡、临时交通指挥</w:t>
      </w:r>
      <w:r>
        <w:rPr>
          <w:rFonts w:hint="eastAsia"/>
          <w:b/>
          <w:color w:val="000000" w:themeColor="text1"/>
          <w:sz w:val="24"/>
          <w:szCs w:val="24"/>
          <w:highlight w:val="none"/>
          <w:lang w:eastAsia="zh-CN"/>
          <w14:textFill>
            <w14:solidFill>
              <w14:schemeClr w14:val="tx1"/>
            </w14:solidFill>
          </w14:textFill>
        </w:rPr>
        <w:t>）</w:t>
      </w:r>
      <w:r>
        <w:rPr>
          <w:rFonts w:hint="eastAsia"/>
          <w:b/>
          <w:color w:val="000000" w:themeColor="text1"/>
          <w:sz w:val="24"/>
          <w:szCs w:val="24"/>
          <w:highlight w:val="none"/>
          <w14:textFill>
            <w14:solidFill>
              <w14:schemeClr w14:val="tx1"/>
            </w14:solidFill>
          </w14:textFill>
        </w:rPr>
        <w:t>、保险、税费、利润等费用，以及合同的所有责任、义务和一般风险。</w:t>
      </w:r>
    </w:p>
    <w:p w14:paraId="7AD7B6D9">
      <w:pPr>
        <w:pageBreakBefore w:val="0"/>
        <w:spacing w:line="440" w:lineRule="exact"/>
        <w:outlineLvl w:val="1"/>
        <w:rPr>
          <w:rFonts w:hint="eastAsia"/>
          <w:b/>
          <w:bCs/>
          <w:color w:val="000000" w:themeColor="text1"/>
          <w:sz w:val="28"/>
          <w:szCs w:val="28"/>
          <w:highlight w:val="none"/>
          <w:lang w:val="en-US" w:eastAsia="zh-CN"/>
          <w14:textFill>
            <w14:solidFill>
              <w14:schemeClr w14:val="tx1"/>
            </w14:solidFill>
          </w14:textFill>
        </w:rPr>
      </w:pPr>
      <w:bookmarkStart w:id="202" w:name="_Toc29987"/>
      <w:bookmarkStart w:id="203" w:name="_Toc19459"/>
      <w:r>
        <w:rPr>
          <w:rFonts w:hint="eastAsia"/>
          <w:b/>
          <w:bCs/>
          <w:color w:val="000000" w:themeColor="text1"/>
          <w:sz w:val="28"/>
          <w:szCs w:val="28"/>
          <w:highlight w:val="none"/>
          <w:lang w:val="en-US" w:eastAsia="zh-CN"/>
          <w14:textFill>
            <w14:solidFill>
              <w14:schemeClr w14:val="tx1"/>
            </w14:solidFill>
          </w14:textFill>
        </w:rPr>
        <w:t>三、项目服务要求</w:t>
      </w:r>
      <w:bookmarkEnd w:id="202"/>
      <w:bookmarkEnd w:id="203"/>
    </w:p>
    <w:p w14:paraId="72C1F784">
      <w:pPr>
        <w:spacing w:line="460" w:lineRule="exact"/>
        <w:jc w:val="left"/>
        <w:rPr>
          <w:rFonts w:hint="eastAsia" w:ascii="宋体" w:hAnsi="宋体"/>
          <w:b/>
          <w:color w:val="000000" w:themeColor="text1"/>
          <w:sz w:val="24"/>
          <w:szCs w:val="24"/>
          <w:highlight w:val="none"/>
          <w:lang w:val="en-US" w:eastAsia="zh-CN"/>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w:t>
      </w:r>
      <w:r>
        <w:rPr>
          <w:rFonts w:hint="eastAsia" w:ascii="宋体" w:hAnsi="宋体"/>
          <w:b/>
          <w:color w:val="000000" w:themeColor="text1"/>
          <w:sz w:val="24"/>
          <w:szCs w:val="24"/>
          <w:highlight w:val="none"/>
          <w:lang w:val="en-US" w:eastAsia="zh-CN"/>
          <w14:textFill>
            <w14:solidFill>
              <w14:schemeClr w14:val="tx1"/>
            </w14:solidFill>
          </w14:textFill>
        </w:rPr>
        <w:t>一</w:t>
      </w:r>
      <w:r>
        <w:rPr>
          <w:rFonts w:hint="eastAsia" w:ascii="宋体" w:hAnsi="宋体"/>
          <w:b/>
          <w:color w:val="000000" w:themeColor="text1"/>
          <w:sz w:val="24"/>
          <w:szCs w:val="24"/>
          <w:highlight w:val="none"/>
          <w14:textFill>
            <w14:solidFill>
              <w14:schemeClr w14:val="tx1"/>
            </w14:solidFill>
          </w14:textFill>
        </w:rPr>
        <w:t>）</w:t>
      </w:r>
      <w:r>
        <w:rPr>
          <w:rFonts w:hint="eastAsia" w:ascii="宋体" w:hAnsi="宋体"/>
          <w:b/>
          <w:color w:val="000000" w:themeColor="text1"/>
          <w:sz w:val="24"/>
          <w:szCs w:val="24"/>
          <w:highlight w:val="none"/>
          <w:lang w:val="en-US" w:eastAsia="zh-CN"/>
          <w14:textFill>
            <w14:solidFill>
              <w14:schemeClr w14:val="tx1"/>
            </w14:solidFill>
          </w14:textFill>
        </w:rPr>
        <w:t>水利水务设施</w:t>
      </w:r>
      <w:r>
        <w:rPr>
          <w:rFonts w:hint="eastAsia" w:ascii="宋体" w:hAnsi="宋体"/>
          <w:b/>
          <w:color w:val="000000" w:themeColor="text1"/>
          <w:sz w:val="24"/>
          <w:szCs w:val="24"/>
          <w:highlight w:val="none"/>
          <w14:textFill>
            <w14:solidFill>
              <w14:schemeClr w14:val="tx1"/>
            </w14:solidFill>
          </w14:textFill>
        </w:rPr>
        <w:t>养护管理</w:t>
      </w:r>
    </w:p>
    <w:p w14:paraId="42FF5B36">
      <w:pPr>
        <w:pStyle w:val="403"/>
        <w:keepNext w:val="0"/>
        <w:keepLines w:val="0"/>
        <w:pageBreakBefore w:val="0"/>
        <w:widowControl/>
        <w:spacing w:line="480" w:lineRule="exact"/>
        <w:rPr>
          <w:rFonts w:hint="eastAsia" w:hAnsi="宋体"/>
          <w:b/>
          <w:color w:val="000000" w:themeColor="text1"/>
          <w:sz w:val="24"/>
          <w:szCs w:val="24"/>
          <w:highlight w:val="none"/>
          <w:lang w:val="en-US" w:eastAsia="zh-CN"/>
          <w14:textFill>
            <w14:solidFill>
              <w14:schemeClr w14:val="tx1"/>
            </w14:solidFill>
          </w14:textFill>
        </w:rPr>
      </w:pPr>
      <w:r>
        <w:rPr>
          <w:rFonts w:hint="eastAsia" w:hAnsi="宋体"/>
          <w:b/>
          <w:color w:val="000000" w:themeColor="text1"/>
          <w:sz w:val="24"/>
          <w:szCs w:val="24"/>
          <w:highlight w:val="none"/>
          <w:lang w:val="en-US" w:eastAsia="zh-CN"/>
          <w14:textFill>
            <w14:solidFill>
              <w14:schemeClr w14:val="tx1"/>
            </w14:solidFill>
          </w14:textFill>
        </w:rPr>
        <w:t>1、管理养护频率</w:t>
      </w:r>
    </w:p>
    <w:tbl>
      <w:tblPr>
        <w:tblStyle w:val="40"/>
        <w:tblW w:w="84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9"/>
        <w:gridCol w:w="3110"/>
        <w:gridCol w:w="2480"/>
        <w:gridCol w:w="1760"/>
      </w:tblGrid>
      <w:tr w14:paraId="300121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1129" w:type="dxa"/>
            <w:noWrap w:val="0"/>
            <w:vAlign w:val="center"/>
          </w:tcPr>
          <w:p w14:paraId="3EF5F229">
            <w:pPr>
              <w:jc w:val="cente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序号</w:t>
            </w:r>
          </w:p>
        </w:tc>
        <w:tc>
          <w:tcPr>
            <w:tcW w:w="3110" w:type="dxa"/>
            <w:noWrap w:val="0"/>
            <w:vAlign w:val="center"/>
          </w:tcPr>
          <w:p w14:paraId="00A9C337">
            <w:pPr>
              <w:jc w:val="cente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内容名称</w:t>
            </w:r>
          </w:p>
        </w:tc>
        <w:tc>
          <w:tcPr>
            <w:tcW w:w="2480" w:type="dxa"/>
            <w:noWrap w:val="0"/>
            <w:vAlign w:val="center"/>
          </w:tcPr>
          <w:p w14:paraId="26DF686E">
            <w:pPr>
              <w:jc w:val="cente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养护频率</w:t>
            </w:r>
          </w:p>
        </w:tc>
        <w:tc>
          <w:tcPr>
            <w:tcW w:w="1760" w:type="dxa"/>
            <w:noWrap w:val="0"/>
            <w:vAlign w:val="center"/>
          </w:tcPr>
          <w:p w14:paraId="692E3178">
            <w:pPr>
              <w:jc w:val="cente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备注</w:t>
            </w:r>
          </w:p>
        </w:tc>
      </w:tr>
      <w:tr w14:paraId="6E1390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9" w:hRule="atLeast"/>
          <w:jc w:val="center"/>
        </w:trPr>
        <w:tc>
          <w:tcPr>
            <w:tcW w:w="1129" w:type="dxa"/>
            <w:noWrap w:val="0"/>
            <w:vAlign w:val="center"/>
          </w:tcPr>
          <w:p w14:paraId="6110FAFC">
            <w:pPr>
              <w:jc w:val="cente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1</w:t>
            </w:r>
          </w:p>
        </w:tc>
        <w:tc>
          <w:tcPr>
            <w:tcW w:w="3110" w:type="dxa"/>
            <w:noWrap w:val="0"/>
            <w:vAlign w:val="center"/>
          </w:tcPr>
          <w:p w14:paraId="1477B5C7">
            <w:pPr>
              <w:jc w:val="cente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湿地及截污泵站设施养护</w:t>
            </w:r>
          </w:p>
        </w:tc>
        <w:tc>
          <w:tcPr>
            <w:tcW w:w="2480" w:type="dxa"/>
            <w:noWrap w:val="0"/>
            <w:vAlign w:val="center"/>
          </w:tcPr>
          <w:p w14:paraId="6B9344AB">
            <w:pPr>
              <w:jc w:val="cente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每10天进行1次检查养护</w:t>
            </w:r>
          </w:p>
        </w:tc>
        <w:tc>
          <w:tcPr>
            <w:tcW w:w="1760" w:type="dxa"/>
            <w:noWrap w:val="0"/>
            <w:vAlign w:val="center"/>
          </w:tcPr>
          <w:p w14:paraId="790C732B">
            <w:pPr>
              <w:jc w:val="both"/>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p>
        </w:tc>
      </w:tr>
      <w:tr w14:paraId="4A40BA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1129" w:type="dxa"/>
            <w:noWrap w:val="0"/>
            <w:vAlign w:val="center"/>
          </w:tcPr>
          <w:p w14:paraId="4D551CF5">
            <w:pPr>
              <w:jc w:val="cente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2</w:t>
            </w:r>
          </w:p>
        </w:tc>
        <w:tc>
          <w:tcPr>
            <w:tcW w:w="3110" w:type="dxa"/>
            <w:noWrap w:val="0"/>
            <w:vAlign w:val="center"/>
          </w:tcPr>
          <w:p w14:paraId="69726AB6">
            <w:pPr>
              <w:jc w:val="cente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易涝点排涝泵站设施养护</w:t>
            </w:r>
          </w:p>
        </w:tc>
        <w:tc>
          <w:tcPr>
            <w:tcW w:w="2480" w:type="dxa"/>
            <w:noWrap w:val="0"/>
            <w:vAlign w:val="center"/>
          </w:tcPr>
          <w:p w14:paraId="14701B46">
            <w:pPr>
              <w:jc w:val="cente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5月—10月每周1次；其他月份15天1次检查养护</w:t>
            </w:r>
          </w:p>
        </w:tc>
        <w:tc>
          <w:tcPr>
            <w:tcW w:w="1760" w:type="dxa"/>
            <w:noWrap w:val="0"/>
            <w:vAlign w:val="center"/>
          </w:tcPr>
          <w:p w14:paraId="69CBE5B1">
            <w:pPr>
              <w:jc w:val="both"/>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p>
        </w:tc>
      </w:tr>
      <w:tr w14:paraId="40A6A8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8" w:hRule="atLeast"/>
          <w:jc w:val="center"/>
        </w:trPr>
        <w:tc>
          <w:tcPr>
            <w:tcW w:w="1129" w:type="dxa"/>
            <w:noWrap w:val="0"/>
            <w:vAlign w:val="center"/>
          </w:tcPr>
          <w:p w14:paraId="5DED2019">
            <w:pPr>
              <w:jc w:val="cente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3</w:t>
            </w:r>
          </w:p>
        </w:tc>
        <w:tc>
          <w:tcPr>
            <w:tcW w:w="3110" w:type="dxa"/>
            <w:noWrap w:val="0"/>
            <w:vAlign w:val="center"/>
          </w:tcPr>
          <w:p w14:paraId="6807D989">
            <w:pPr>
              <w:jc w:val="cente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琴川（环外）圩区、排涝站设施养护</w:t>
            </w:r>
          </w:p>
        </w:tc>
        <w:tc>
          <w:tcPr>
            <w:tcW w:w="2480" w:type="dxa"/>
            <w:noWrap w:val="0"/>
            <w:vAlign w:val="center"/>
          </w:tcPr>
          <w:p w14:paraId="5360C36F">
            <w:pPr>
              <w:jc w:val="cente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汛期5月—10月每15天1次；其他月份每月1次检查养护</w:t>
            </w:r>
          </w:p>
        </w:tc>
        <w:tc>
          <w:tcPr>
            <w:tcW w:w="1760" w:type="dxa"/>
            <w:noWrap w:val="0"/>
            <w:vAlign w:val="center"/>
          </w:tcPr>
          <w:p w14:paraId="390768BB">
            <w:pPr>
              <w:jc w:val="both"/>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p>
        </w:tc>
      </w:tr>
      <w:tr w14:paraId="707F80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1129" w:type="dxa"/>
            <w:noWrap w:val="0"/>
            <w:vAlign w:val="center"/>
          </w:tcPr>
          <w:p w14:paraId="21970D1B">
            <w:pPr>
              <w:jc w:val="cente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4</w:t>
            </w:r>
          </w:p>
        </w:tc>
        <w:tc>
          <w:tcPr>
            <w:tcW w:w="3110" w:type="dxa"/>
            <w:noWrap w:val="0"/>
            <w:vAlign w:val="center"/>
          </w:tcPr>
          <w:p w14:paraId="46DF2ED0">
            <w:pPr>
              <w:jc w:val="center"/>
              <w:rPr>
                <w:rFonts w:hint="default"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防汛仓库管理</w:t>
            </w:r>
          </w:p>
        </w:tc>
        <w:tc>
          <w:tcPr>
            <w:tcW w:w="2480" w:type="dxa"/>
            <w:noWrap w:val="0"/>
            <w:vAlign w:val="center"/>
          </w:tcPr>
          <w:p w14:paraId="2FCBE962">
            <w:pPr>
              <w:jc w:val="center"/>
              <w:rPr>
                <w:rFonts w:hint="default"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设备维护，配件清单收发，设备充电，每月一次。</w:t>
            </w:r>
          </w:p>
        </w:tc>
        <w:tc>
          <w:tcPr>
            <w:tcW w:w="1760" w:type="dxa"/>
            <w:noWrap w:val="0"/>
            <w:vAlign w:val="center"/>
          </w:tcPr>
          <w:p w14:paraId="02061191">
            <w:pPr>
              <w:jc w:val="both"/>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p>
        </w:tc>
      </w:tr>
    </w:tbl>
    <w:p w14:paraId="75635DBA">
      <w:pPr>
        <w:spacing w:line="460" w:lineRule="exact"/>
        <w:ind w:firstLine="482"/>
        <w:jc w:val="left"/>
        <w:rPr>
          <w:rFonts w:hint="eastAsia" w:ascii="宋体" w:hAnsi="宋体" w:eastAsiaTheme="minorEastAsia"/>
          <w:b/>
          <w:bCs/>
          <w:color w:val="000000" w:themeColor="text1"/>
          <w:sz w:val="24"/>
          <w:szCs w:val="24"/>
          <w:highlight w:val="none"/>
          <w:lang w:val="en-US" w:eastAsia="zh-CN"/>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2、维修养护</w:t>
      </w:r>
      <w:r>
        <w:rPr>
          <w:rFonts w:hint="eastAsia" w:ascii="宋体" w:hAnsi="宋体"/>
          <w:b/>
          <w:bCs/>
          <w:color w:val="000000" w:themeColor="text1"/>
          <w:sz w:val="24"/>
          <w:szCs w:val="24"/>
          <w:highlight w:val="none"/>
          <w:lang w:val="en-US" w:eastAsia="zh-CN"/>
          <w14:textFill>
            <w14:solidFill>
              <w14:schemeClr w14:val="tx1"/>
            </w14:solidFill>
          </w14:textFill>
        </w:rPr>
        <w:t>要求（养护设施区域详见电子附件）</w:t>
      </w:r>
    </w:p>
    <w:p w14:paraId="180C28D0">
      <w:pPr>
        <w:spacing w:line="440" w:lineRule="exact"/>
        <w:ind w:firstLine="787"/>
        <w:jc w:val="left"/>
        <w:rPr>
          <w:rFonts w:hint="default" w:ascii="宋体" w:hAnsi="宋体" w:eastAsiaTheme="minorEastAsia"/>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2.1 </w:t>
      </w:r>
      <w:r>
        <w:rPr>
          <w:rFonts w:ascii="宋体" w:hAnsi="宋体"/>
          <w:color w:val="000000" w:themeColor="text1"/>
          <w:sz w:val="24"/>
          <w:szCs w:val="24"/>
          <w:highlight w:val="none"/>
          <w14:textFill>
            <w14:solidFill>
              <w14:schemeClr w14:val="tx1"/>
            </w14:solidFill>
          </w14:textFill>
        </w:rPr>
        <w:t>日常养护</w:t>
      </w:r>
      <w:r>
        <w:rPr>
          <w:rFonts w:hint="eastAsia" w:ascii="宋体" w:hAnsi="宋体"/>
          <w:color w:val="000000" w:themeColor="text1"/>
          <w:sz w:val="24"/>
          <w:szCs w:val="24"/>
          <w:highlight w:val="none"/>
          <w:lang w:eastAsia="zh-CN"/>
          <w14:textFill>
            <w14:solidFill>
              <w14:schemeClr w14:val="tx1"/>
            </w14:solidFill>
          </w14:textFill>
        </w:rPr>
        <w:t>：</w:t>
      </w:r>
      <w:r>
        <w:rPr>
          <w:rFonts w:hint="eastAsia" w:ascii="宋体" w:hAnsi="宋体"/>
          <w:color w:val="000000" w:themeColor="text1"/>
          <w:sz w:val="24"/>
          <w:szCs w:val="24"/>
          <w:highlight w:val="none"/>
          <w:lang w:val="en-US" w:eastAsia="zh-CN"/>
          <w14:textFill>
            <w14:solidFill>
              <w14:schemeClr w14:val="tx1"/>
            </w14:solidFill>
          </w14:textFill>
        </w:rPr>
        <w:t>参照《维护指导要求》（详见电子附件）和管理养护频率要求（上表）进行养护，</w:t>
      </w:r>
      <w:r>
        <w:rPr>
          <w:rFonts w:ascii="宋体" w:hAnsi="宋体"/>
          <w:color w:val="000000" w:themeColor="text1"/>
          <w:sz w:val="24"/>
          <w:szCs w:val="24"/>
          <w:highlight w:val="none"/>
          <w14:textFill>
            <w14:solidFill>
              <w14:schemeClr w14:val="tx1"/>
            </w14:solidFill>
          </w14:textFill>
        </w:rPr>
        <w:t>设备清洁、润滑、调整等应视使用情况经常进行，在经常检查中发现的缺陷和问题，随时进行保养和局部修补，以保持工程及设备完整清洁，操作灵活，无法处理问题应及时上报。每件养护事项的处置流程应形成闭环管理。（</w:t>
      </w: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维修人工、</w:t>
      </w:r>
      <w:r>
        <w:rPr>
          <w:rFonts w:hint="eastAsia" w:ascii="Times New Roman" w:hAnsi="Times New Roman" w:eastAsia="宋体" w:cs="Times New Roman"/>
          <w:color w:val="000000" w:themeColor="text1"/>
          <w:sz w:val="24"/>
          <w:szCs w:val="24"/>
          <w:highlight w:val="none"/>
          <w14:textFill>
            <w14:solidFill>
              <w14:schemeClr w14:val="tx1"/>
            </w14:solidFill>
          </w14:textFill>
        </w:rPr>
        <w:t>配件单项</w:t>
      </w:r>
      <w:r>
        <w:rPr>
          <w:rFonts w:ascii="Times New Roman" w:hAnsi="Times New Roman" w:eastAsia="宋体" w:cs="Times New Roman"/>
          <w:color w:val="000000" w:themeColor="text1"/>
          <w:sz w:val="24"/>
          <w:szCs w:val="24"/>
          <w:highlight w:val="none"/>
          <w14:textFill>
            <w14:solidFill>
              <w14:schemeClr w14:val="tx1"/>
            </w14:solidFill>
          </w14:textFill>
        </w:rPr>
        <w:t>不超</w:t>
      </w:r>
      <w:r>
        <w:rPr>
          <w:rFonts w:hint="eastAsia" w:ascii="Times New Roman" w:hAnsi="Times New Roman" w:eastAsia="宋体" w:cs="Times New Roman"/>
          <w:color w:val="000000" w:themeColor="text1"/>
          <w:sz w:val="24"/>
          <w:szCs w:val="24"/>
          <w:highlight w:val="none"/>
          <w14:textFill>
            <w14:solidFill>
              <w14:schemeClr w14:val="tx1"/>
            </w14:solidFill>
          </w14:textFill>
        </w:rPr>
        <w:t>500.00元的，由投标人自行承担相关维修费用</w:t>
      </w:r>
      <w:r>
        <w:rPr>
          <w:rFonts w:ascii="Times New Roman" w:hAnsi="Times New Roman" w:eastAsia="宋体" w:cs="Times New Roman"/>
          <w:color w:val="000000" w:themeColor="text1"/>
          <w:sz w:val="24"/>
          <w:szCs w:val="24"/>
          <w:highlight w:val="none"/>
          <w14:textFill>
            <w14:solidFill>
              <w14:schemeClr w14:val="tx1"/>
            </w14:solidFill>
          </w14:textFill>
        </w:rPr>
        <w:t>并提供相应的检修维修记录单</w:t>
      </w:r>
      <w:r>
        <w:rPr>
          <w:rFonts w:hint="eastAsia" w:ascii="Times New Roman" w:hAnsi="Times New Roman" w:eastAsia="宋体" w:cs="Times New Roman"/>
          <w:color w:val="000000" w:themeColor="text1"/>
          <w:sz w:val="24"/>
          <w:szCs w:val="24"/>
          <w:highlight w:val="none"/>
          <w:lang w:eastAsia="zh-CN"/>
          <w14:textFill>
            <w14:solidFill>
              <w14:schemeClr w14:val="tx1"/>
            </w14:solidFill>
          </w14:textFill>
        </w:rPr>
        <w:t>；</w:t>
      </w:r>
      <w:r>
        <w:rPr>
          <w:rFonts w:hint="eastAsia" w:ascii="Times New Roman" w:hAnsi="Times New Roman" w:eastAsia="宋体" w:cs="Times New Roman"/>
          <w:color w:val="000000" w:themeColor="text1"/>
          <w:sz w:val="24"/>
          <w:szCs w:val="24"/>
          <w:highlight w:val="none"/>
          <w14:textFill>
            <w14:solidFill>
              <w14:schemeClr w14:val="tx1"/>
            </w14:solidFill>
          </w14:textFill>
        </w:rPr>
        <w:t>相关维修</w:t>
      </w: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人工、</w:t>
      </w:r>
      <w:r>
        <w:rPr>
          <w:rFonts w:hint="eastAsia" w:ascii="Times New Roman" w:hAnsi="Times New Roman" w:eastAsia="宋体" w:cs="Times New Roman"/>
          <w:color w:val="000000" w:themeColor="text1"/>
          <w:sz w:val="24"/>
          <w:szCs w:val="24"/>
          <w:highlight w:val="none"/>
          <w14:textFill>
            <w14:solidFill>
              <w14:schemeClr w14:val="tx1"/>
            </w14:solidFill>
          </w14:textFill>
        </w:rPr>
        <w:t>配件单项超5</w:t>
      </w:r>
      <w:r>
        <w:rPr>
          <w:rFonts w:ascii="Times New Roman" w:hAnsi="Times New Roman" w:eastAsia="宋体" w:cs="Times New Roman"/>
          <w:color w:val="000000" w:themeColor="text1"/>
          <w:sz w:val="24"/>
          <w:szCs w:val="24"/>
          <w:highlight w:val="none"/>
          <w14:textFill>
            <w14:solidFill>
              <w14:schemeClr w14:val="tx1"/>
            </w14:solidFill>
          </w14:textFill>
        </w:rPr>
        <w:t>00.00元的</w:t>
      </w:r>
      <w:r>
        <w:rPr>
          <w:rFonts w:hint="eastAsia" w:ascii="Times New Roman" w:hAnsi="Times New Roman" w:eastAsia="宋体" w:cs="Times New Roman"/>
          <w:color w:val="000000" w:themeColor="text1"/>
          <w:sz w:val="24"/>
          <w:szCs w:val="24"/>
          <w:highlight w:val="none"/>
          <w14:textFill>
            <w14:solidFill>
              <w14:schemeClr w14:val="tx1"/>
            </w14:solidFill>
          </w14:textFill>
        </w:rPr>
        <w:t>（经</w:t>
      </w:r>
      <w:r>
        <w:rPr>
          <w:rFonts w:ascii="Times New Roman" w:hAnsi="Times New Roman" w:eastAsia="宋体" w:cs="Times New Roman"/>
          <w:color w:val="000000" w:themeColor="text1"/>
          <w:sz w:val="24"/>
          <w:szCs w:val="24"/>
          <w:highlight w:val="none"/>
          <w14:textFill>
            <w14:solidFill>
              <w14:schemeClr w14:val="tx1"/>
            </w14:solidFill>
          </w14:textFill>
        </w:rPr>
        <w:t>双方确认</w:t>
      </w:r>
      <w:r>
        <w:rPr>
          <w:rFonts w:hint="eastAsia" w:ascii="Times New Roman" w:hAnsi="Times New Roman" w:eastAsia="宋体" w:cs="Times New Roman"/>
          <w:color w:val="000000" w:themeColor="text1"/>
          <w:sz w:val="24"/>
          <w:szCs w:val="24"/>
          <w:highlight w:val="none"/>
          <w14:textFill>
            <w14:solidFill>
              <w14:schemeClr w14:val="tx1"/>
            </w14:solidFill>
          </w14:textFill>
        </w:rPr>
        <w:t>）</w:t>
      </w:r>
      <w:r>
        <w:rPr>
          <w:rFonts w:ascii="Times New Roman" w:hAnsi="Times New Roman" w:eastAsia="宋体" w:cs="Times New Roman"/>
          <w:color w:val="000000" w:themeColor="text1"/>
          <w:sz w:val="24"/>
          <w:szCs w:val="24"/>
          <w:highlight w:val="none"/>
          <w14:textFill>
            <w14:solidFill>
              <w14:schemeClr w14:val="tx1"/>
            </w14:solidFill>
          </w14:textFill>
        </w:rPr>
        <w:t>，</w:t>
      </w:r>
      <w:r>
        <w:rPr>
          <w:rFonts w:hint="eastAsia" w:ascii="Times New Roman" w:hAnsi="Times New Roman" w:eastAsia="宋体" w:cs="Times New Roman"/>
          <w:color w:val="000000" w:themeColor="text1"/>
          <w:sz w:val="24"/>
          <w:szCs w:val="24"/>
          <w:highlight w:val="none"/>
          <w14:textFill>
            <w14:solidFill>
              <w14:schemeClr w14:val="tx1"/>
            </w14:solidFill>
          </w14:textFill>
        </w:rPr>
        <w:t>投标人</w:t>
      </w:r>
      <w:r>
        <w:rPr>
          <w:rFonts w:ascii="Times New Roman" w:hAnsi="Times New Roman" w:eastAsia="宋体" w:cs="Times New Roman"/>
          <w:color w:val="000000" w:themeColor="text1"/>
          <w:sz w:val="24"/>
          <w:szCs w:val="24"/>
          <w:highlight w:val="none"/>
          <w14:textFill>
            <w14:solidFill>
              <w14:schemeClr w14:val="tx1"/>
            </w14:solidFill>
          </w14:textFill>
        </w:rPr>
        <w:t>需向采购人上报，经批准后由采购人承担相关费用</w:t>
      </w:r>
      <w:r>
        <w:rPr>
          <w:rFonts w:hint="eastAsia" w:ascii="宋体" w:hAnsi="宋体"/>
          <w:color w:val="000000" w:themeColor="text1"/>
          <w:sz w:val="24"/>
          <w:szCs w:val="24"/>
          <w:highlight w:val="none"/>
          <w14:textFill>
            <w14:solidFill>
              <w14:schemeClr w14:val="tx1"/>
            </w14:solidFill>
          </w14:textFill>
        </w:rPr>
        <w:t>）</w:t>
      </w:r>
      <w:r>
        <w:rPr>
          <w:rFonts w:hint="eastAsia" w:ascii="宋体" w:hAnsi="宋体"/>
          <w:color w:val="000000" w:themeColor="text1"/>
          <w:sz w:val="24"/>
          <w:szCs w:val="24"/>
          <w:highlight w:val="none"/>
          <w:lang w:eastAsia="zh-CN"/>
          <w14:textFill>
            <w14:solidFill>
              <w14:schemeClr w14:val="tx1"/>
            </w14:solidFill>
          </w14:textFill>
        </w:rPr>
        <w:t>；</w:t>
      </w:r>
      <w:r>
        <w:rPr>
          <w:rFonts w:hint="eastAsia" w:ascii="宋体" w:hAnsi="宋体"/>
          <w:color w:val="000000" w:themeColor="text1"/>
          <w:sz w:val="24"/>
          <w:szCs w:val="24"/>
          <w:highlight w:val="none"/>
          <w:lang w:val="en-US" w:eastAsia="zh-CN"/>
          <w14:textFill>
            <w14:solidFill>
              <w14:schemeClr w14:val="tx1"/>
            </w14:solidFill>
          </w14:textFill>
        </w:rPr>
        <w:t>站内垃圾清理，并按规范处置。</w:t>
      </w:r>
    </w:p>
    <w:p w14:paraId="23721475">
      <w:pPr>
        <w:spacing w:line="460" w:lineRule="exact"/>
        <w:ind w:firstLine="600"/>
        <w:jc w:val="lef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2.2 </w:t>
      </w:r>
      <w:r>
        <w:rPr>
          <w:rFonts w:ascii="宋体" w:hAnsi="宋体"/>
          <w:color w:val="000000" w:themeColor="text1"/>
          <w:sz w:val="24"/>
          <w:szCs w:val="24"/>
          <w:highlight w:val="none"/>
          <w14:textFill>
            <w14:solidFill>
              <w14:schemeClr w14:val="tx1"/>
            </w14:solidFill>
          </w14:textFill>
        </w:rPr>
        <w:t>汛前、汛后检查养护</w:t>
      </w:r>
      <w:r>
        <w:rPr>
          <w:rFonts w:hint="eastAsia" w:ascii="宋体" w:hAnsi="宋体"/>
          <w:color w:val="000000" w:themeColor="text1"/>
          <w:sz w:val="24"/>
          <w:szCs w:val="24"/>
          <w:highlight w:val="none"/>
          <w:lang w:eastAsia="zh-CN"/>
          <w14:textFill>
            <w14:solidFill>
              <w14:schemeClr w14:val="tx1"/>
            </w14:solidFill>
          </w14:textFill>
        </w:rPr>
        <w:t>：</w:t>
      </w:r>
      <w:r>
        <w:rPr>
          <w:rFonts w:ascii="宋体" w:hAnsi="宋体"/>
          <w:color w:val="000000" w:themeColor="text1"/>
          <w:sz w:val="24"/>
          <w:szCs w:val="24"/>
          <w:highlight w:val="none"/>
          <w14:textFill>
            <w14:solidFill>
              <w14:schemeClr w14:val="tx1"/>
            </w14:solidFill>
          </w14:textFill>
        </w:rPr>
        <w:t>汛前、汛后检查养护应全面细致。应对机组进行全面检查保养，对主机组各辅助系统进行养护维修，更换易损部件，确保机组随时投入运行。</w:t>
      </w:r>
    </w:p>
    <w:p w14:paraId="6F678F70">
      <w:pPr>
        <w:spacing w:line="460" w:lineRule="exact"/>
        <w:ind w:firstLine="600"/>
        <w:jc w:val="lef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2.3 投标人需提供（但不限于）以下资料：</w:t>
      </w:r>
    </w:p>
    <w:p w14:paraId="60DA8D48">
      <w:pPr>
        <w:spacing w:line="460" w:lineRule="exact"/>
        <w:ind w:firstLine="600"/>
        <w:jc w:val="lef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  ①</w:t>
      </w:r>
      <w:r>
        <w:rPr>
          <w:rFonts w:hint="eastAsia" w:ascii="宋体" w:hAnsi="宋体"/>
          <w:color w:val="000000" w:themeColor="text1"/>
          <w:sz w:val="24"/>
          <w:szCs w:val="24"/>
          <w:highlight w:val="none"/>
          <w14:textFill>
            <w14:solidFill>
              <w14:schemeClr w14:val="tx1"/>
            </w14:solidFill>
          </w14:textFill>
        </w:rPr>
        <w:t>维修检修养护计划；</w:t>
      </w:r>
    </w:p>
    <w:p w14:paraId="6C883EE3">
      <w:pPr>
        <w:spacing w:line="460" w:lineRule="exact"/>
        <w:ind w:firstLine="600"/>
        <w:jc w:val="lef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  ②</w:t>
      </w:r>
      <w:r>
        <w:rPr>
          <w:rFonts w:hint="eastAsia" w:ascii="宋体" w:hAnsi="宋体"/>
          <w:color w:val="000000" w:themeColor="text1"/>
          <w:sz w:val="24"/>
          <w:szCs w:val="24"/>
          <w:highlight w:val="none"/>
          <w14:textFill>
            <w14:solidFill>
              <w14:schemeClr w14:val="tx1"/>
            </w14:solidFill>
          </w14:textFill>
        </w:rPr>
        <w:t>日常养护记录；</w:t>
      </w:r>
    </w:p>
    <w:p w14:paraId="41331162">
      <w:pPr>
        <w:spacing w:line="460" w:lineRule="exact"/>
        <w:ind w:firstLine="600"/>
        <w:jc w:val="lef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  ③</w:t>
      </w:r>
      <w:r>
        <w:rPr>
          <w:rFonts w:hint="eastAsia" w:ascii="宋体" w:hAnsi="宋体"/>
          <w:color w:val="000000" w:themeColor="text1"/>
          <w:sz w:val="24"/>
          <w:szCs w:val="24"/>
          <w:highlight w:val="none"/>
          <w14:textFill>
            <w14:solidFill>
              <w14:schemeClr w14:val="tx1"/>
            </w14:solidFill>
          </w14:textFill>
        </w:rPr>
        <w:t>汛前、汛后养护维修记录，设备调试报告、试运行记录及相关资料；</w:t>
      </w:r>
    </w:p>
    <w:p w14:paraId="0FC147DD">
      <w:pPr>
        <w:spacing w:line="460" w:lineRule="exact"/>
        <w:ind w:firstLine="600"/>
        <w:jc w:val="lef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  ④</w:t>
      </w:r>
      <w:r>
        <w:rPr>
          <w:rFonts w:hint="eastAsia" w:ascii="宋体" w:hAnsi="宋体"/>
          <w:color w:val="000000" w:themeColor="text1"/>
          <w:sz w:val="24"/>
          <w:szCs w:val="24"/>
          <w:highlight w:val="none"/>
          <w:lang w:eastAsia="zh-CN"/>
          <w14:textFill>
            <w14:solidFill>
              <w14:schemeClr w14:val="tx1"/>
            </w14:solidFill>
          </w14:textFill>
        </w:rPr>
        <w:t>作业</w:t>
      </w:r>
      <w:r>
        <w:rPr>
          <w:rFonts w:hint="eastAsia" w:ascii="宋体" w:hAnsi="宋体"/>
          <w:color w:val="000000" w:themeColor="text1"/>
          <w:sz w:val="24"/>
          <w:szCs w:val="24"/>
          <w:highlight w:val="none"/>
          <w14:textFill>
            <w14:solidFill>
              <w14:schemeClr w14:val="tx1"/>
            </w14:solidFill>
          </w14:textFill>
        </w:rPr>
        <w:t>管理日志、技术总结等。</w:t>
      </w:r>
    </w:p>
    <w:p w14:paraId="47E282AC">
      <w:pPr>
        <w:spacing w:line="460" w:lineRule="exact"/>
        <w:ind w:firstLine="480"/>
        <w:jc w:val="lef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2.4</w:t>
      </w:r>
      <w:r>
        <w:rPr>
          <w:rFonts w:hint="eastAsia" w:ascii="宋体" w:hAnsi="宋体"/>
          <w:color w:val="000000" w:themeColor="text1"/>
          <w:sz w:val="24"/>
          <w:szCs w:val="24"/>
          <w:highlight w:val="none"/>
          <w14:textFill>
            <w14:solidFill>
              <w14:schemeClr w14:val="tx1"/>
            </w14:solidFill>
          </w14:textFill>
        </w:rPr>
        <w:t>、隐患排查治理。投标人应根据危险源类别，采用日常检查、定期检查等方式进行隐患排查，对排查出的事故隐患，需及时通知采购方，并对其进行分析评价，确定隐患等级，登记建档。</w:t>
      </w:r>
    </w:p>
    <w:p w14:paraId="72E3CC58">
      <w:pPr>
        <w:spacing w:line="460" w:lineRule="exact"/>
        <w:ind w:firstLine="480"/>
        <w:jc w:val="lef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2.5</w:t>
      </w:r>
      <w:r>
        <w:rPr>
          <w:rFonts w:hint="eastAsia" w:ascii="宋体" w:hAnsi="宋体"/>
          <w:color w:val="000000" w:themeColor="text1"/>
          <w:sz w:val="24"/>
          <w:szCs w:val="24"/>
          <w:highlight w:val="none"/>
          <w14:textFill>
            <w14:solidFill>
              <w14:schemeClr w14:val="tx1"/>
            </w14:solidFill>
          </w14:textFill>
        </w:rPr>
        <w:t>、应急准备和处置。制定生产安全事故应急预案；采购人设置的应急实施、配备的应急装备、储备的应急物资，应建立管理台账，安排专人管理；发生事故后，应及时启动相关应急预案，采取应急处置措施，开展事故救援，必要时寻求社会支援。</w:t>
      </w:r>
    </w:p>
    <w:p w14:paraId="2842857E">
      <w:pPr>
        <w:spacing w:line="460" w:lineRule="exact"/>
        <w:ind w:firstLine="480"/>
        <w:jc w:val="lef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2.6</w:t>
      </w:r>
      <w:r>
        <w:rPr>
          <w:rFonts w:hint="eastAsia" w:ascii="宋体" w:hAnsi="宋体"/>
          <w:color w:val="000000" w:themeColor="text1"/>
          <w:sz w:val="24"/>
          <w:szCs w:val="24"/>
          <w:highlight w:val="none"/>
          <w14:textFill>
            <w14:solidFill>
              <w14:schemeClr w14:val="tx1"/>
            </w14:solidFill>
          </w14:textFill>
        </w:rPr>
        <w:t>、事故报告。发生事故后，应及时、准确、完整的向采购人报告，并保护事故现场及有关证据；建立完善的事故档案和事故台账。</w:t>
      </w:r>
    </w:p>
    <w:p w14:paraId="6A489C1C">
      <w:pPr>
        <w:spacing w:line="460" w:lineRule="exact"/>
        <w:ind w:firstLine="480"/>
        <w:jc w:val="left"/>
        <w:rPr>
          <w:rFonts w:hint="eastAsia" w:ascii="宋体" w:hAnsi="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2.7、设备故障维修要求</w:t>
      </w:r>
    </w:p>
    <w:tbl>
      <w:tblPr>
        <w:tblStyle w:val="39"/>
        <w:tblW w:w="9862"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14"/>
        <w:gridCol w:w="2589"/>
        <w:gridCol w:w="1883"/>
        <w:gridCol w:w="1782"/>
        <w:gridCol w:w="2694"/>
      </w:tblGrid>
      <w:tr w14:paraId="7AB778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14" w:type="dxa"/>
            <w:tcBorders>
              <w:top w:val="single" w:color="000000" w:sz="4" w:space="0"/>
              <w:left w:val="single" w:color="000000" w:sz="4" w:space="0"/>
              <w:bottom w:val="single" w:color="000000" w:sz="4" w:space="0"/>
              <w:right w:val="single" w:color="000000" w:sz="4" w:space="0"/>
            </w:tcBorders>
            <w:noWrap w:val="0"/>
            <w:vAlign w:val="center"/>
          </w:tcPr>
          <w:p w14:paraId="2B2E20B3">
            <w:pPr>
              <w:keepNext w:val="0"/>
              <w:keepLines w:val="0"/>
              <w:pageBreakBefore w:val="0"/>
              <w:suppressLineNumbers w:val="0"/>
              <w:spacing w:before="0" w:beforeAutospacing="0" w:after="0" w:afterAutospacing="0" w:line="440" w:lineRule="exact"/>
              <w:ind w:left="0" w:right="0"/>
              <w:jc w:val="center"/>
              <w:rPr>
                <w:rFonts w:hint="default"/>
                <w:color w:val="000000" w:themeColor="text1"/>
                <w:sz w:val="24"/>
                <w:szCs w:val="20"/>
                <w:highlight w:val="none"/>
                <w14:textFill>
                  <w14:solidFill>
                    <w14:schemeClr w14:val="tx1"/>
                  </w14:solidFill>
                </w14:textFill>
              </w:rPr>
            </w:pPr>
            <w:r>
              <w:rPr>
                <w:rFonts w:hint="eastAsia"/>
                <w:color w:val="000000" w:themeColor="text1"/>
                <w:sz w:val="24"/>
                <w:szCs w:val="20"/>
                <w:highlight w:val="none"/>
                <w14:textFill>
                  <w14:solidFill>
                    <w14:schemeClr w14:val="tx1"/>
                  </w14:solidFill>
                </w14:textFill>
              </w:rPr>
              <w:t>序号</w:t>
            </w:r>
          </w:p>
        </w:tc>
        <w:tc>
          <w:tcPr>
            <w:tcW w:w="2589" w:type="dxa"/>
            <w:tcBorders>
              <w:top w:val="single" w:color="000000" w:sz="4" w:space="0"/>
              <w:left w:val="single" w:color="000000" w:sz="4" w:space="0"/>
              <w:bottom w:val="single" w:color="000000" w:sz="4" w:space="0"/>
              <w:right w:val="single" w:color="000000" w:sz="4" w:space="0"/>
            </w:tcBorders>
            <w:noWrap w:val="0"/>
            <w:vAlign w:val="center"/>
          </w:tcPr>
          <w:p w14:paraId="716CCDFE">
            <w:pPr>
              <w:keepNext w:val="0"/>
              <w:keepLines w:val="0"/>
              <w:pageBreakBefore w:val="0"/>
              <w:suppressLineNumbers w:val="0"/>
              <w:spacing w:before="0" w:beforeAutospacing="0" w:after="0" w:afterAutospacing="0" w:line="440" w:lineRule="exact"/>
              <w:ind w:left="0" w:right="0"/>
              <w:jc w:val="center"/>
              <w:rPr>
                <w:rFonts w:hint="default"/>
                <w:color w:val="000000" w:themeColor="text1"/>
                <w:sz w:val="24"/>
                <w:szCs w:val="20"/>
                <w:highlight w:val="none"/>
                <w14:textFill>
                  <w14:solidFill>
                    <w14:schemeClr w14:val="tx1"/>
                  </w14:solidFill>
                </w14:textFill>
              </w:rPr>
            </w:pPr>
            <w:r>
              <w:rPr>
                <w:rFonts w:hint="eastAsia"/>
                <w:color w:val="000000" w:themeColor="text1"/>
                <w:sz w:val="24"/>
                <w:szCs w:val="20"/>
                <w:highlight w:val="none"/>
                <w14:textFill>
                  <w14:solidFill>
                    <w14:schemeClr w14:val="tx1"/>
                  </w14:solidFill>
                </w14:textFill>
              </w:rPr>
              <w:t>故障情况</w:t>
            </w:r>
          </w:p>
        </w:tc>
        <w:tc>
          <w:tcPr>
            <w:tcW w:w="1883" w:type="dxa"/>
            <w:tcBorders>
              <w:top w:val="single" w:color="000000" w:sz="4" w:space="0"/>
              <w:left w:val="single" w:color="000000" w:sz="4" w:space="0"/>
              <w:bottom w:val="single" w:color="000000" w:sz="4" w:space="0"/>
              <w:right w:val="single" w:color="000000" w:sz="4" w:space="0"/>
            </w:tcBorders>
            <w:noWrap w:val="0"/>
            <w:vAlign w:val="center"/>
          </w:tcPr>
          <w:p w14:paraId="12B79CD4">
            <w:pPr>
              <w:keepNext w:val="0"/>
              <w:keepLines w:val="0"/>
              <w:pageBreakBefore w:val="0"/>
              <w:suppressLineNumbers w:val="0"/>
              <w:spacing w:before="0" w:beforeAutospacing="0" w:after="0" w:afterAutospacing="0" w:line="440" w:lineRule="exact"/>
              <w:ind w:left="0" w:right="0"/>
              <w:jc w:val="center"/>
              <w:rPr>
                <w:rFonts w:hint="default"/>
                <w:color w:val="000000" w:themeColor="text1"/>
                <w:sz w:val="24"/>
                <w:szCs w:val="20"/>
                <w:highlight w:val="none"/>
                <w14:textFill>
                  <w14:solidFill>
                    <w14:schemeClr w14:val="tx1"/>
                  </w14:solidFill>
                </w14:textFill>
              </w:rPr>
            </w:pPr>
            <w:r>
              <w:rPr>
                <w:rFonts w:hint="eastAsia"/>
                <w:color w:val="000000" w:themeColor="text1"/>
                <w:sz w:val="24"/>
                <w:szCs w:val="20"/>
                <w:highlight w:val="none"/>
                <w14:textFill>
                  <w14:solidFill>
                    <w14:schemeClr w14:val="tx1"/>
                  </w14:solidFill>
                </w14:textFill>
              </w:rPr>
              <w:t>响应时间</w:t>
            </w:r>
          </w:p>
        </w:tc>
        <w:tc>
          <w:tcPr>
            <w:tcW w:w="1782" w:type="dxa"/>
            <w:tcBorders>
              <w:top w:val="single" w:color="000000" w:sz="4" w:space="0"/>
              <w:left w:val="single" w:color="000000" w:sz="4" w:space="0"/>
              <w:bottom w:val="single" w:color="000000" w:sz="4" w:space="0"/>
              <w:right w:val="single" w:color="000000" w:sz="4" w:space="0"/>
            </w:tcBorders>
            <w:noWrap w:val="0"/>
            <w:vAlign w:val="center"/>
          </w:tcPr>
          <w:p w14:paraId="04F16F79">
            <w:pPr>
              <w:keepNext w:val="0"/>
              <w:keepLines w:val="0"/>
              <w:pageBreakBefore w:val="0"/>
              <w:suppressLineNumbers w:val="0"/>
              <w:spacing w:before="0" w:beforeAutospacing="0" w:after="0" w:afterAutospacing="0" w:line="440" w:lineRule="exact"/>
              <w:ind w:left="0" w:right="0"/>
              <w:jc w:val="center"/>
              <w:rPr>
                <w:rFonts w:hint="default"/>
                <w:color w:val="000000" w:themeColor="text1"/>
                <w:sz w:val="24"/>
                <w:szCs w:val="20"/>
                <w:highlight w:val="none"/>
                <w14:textFill>
                  <w14:solidFill>
                    <w14:schemeClr w14:val="tx1"/>
                  </w14:solidFill>
                </w14:textFill>
              </w:rPr>
            </w:pPr>
            <w:r>
              <w:rPr>
                <w:rFonts w:hint="eastAsia"/>
                <w:color w:val="000000" w:themeColor="text1"/>
                <w:sz w:val="24"/>
                <w:szCs w:val="20"/>
                <w:highlight w:val="none"/>
                <w14:textFill>
                  <w14:solidFill>
                    <w14:schemeClr w14:val="tx1"/>
                  </w14:solidFill>
                </w14:textFill>
              </w:rPr>
              <w:t>到场时间</w:t>
            </w:r>
          </w:p>
        </w:tc>
        <w:tc>
          <w:tcPr>
            <w:tcW w:w="2694" w:type="dxa"/>
            <w:tcBorders>
              <w:top w:val="single" w:color="000000" w:sz="4" w:space="0"/>
              <w:left w:val="single" w:color="000000" w:sz="4" w:space="0"/>
              <w:bottom w:val="single" w:color="000000" w:sz="4" w:space="0"/>
              <w:right w:val="single" w:color="000000" w:sz="4" w:space="0"/>
            </w:tcBorders>
            <w:noWrap w:val="0"/>
            <w:vAlign w:val="center"/>
          </w:tcPr>
          <w:p w14:paraId="3190AC61">
            <w:pPr>
              <w:keepNext w:val="0"/>
              <w:keepLines w:val="0"/>
              <w:pageBreakBefore w:val="0"/>
              <w:suppressLineNumbers w:val="0"/>
              <w:spacing w:before="0" w:beforeAutospacing="0" w:after="0" w:afterAutospacing="0" w:line="440" w:lineRule="exact"/>
              <w:ind w:left="0" w:right="0"/>
              <w:jc w:val="center"/>
              <w:rPr>
                <w:rFonts w:hint="default"/>
                <w:color w:val="000000" w:themeColor="text1"/>
                <w:sz w:val="24"/>
                <w:szCs w:val="20"/>
                <w:highlight w:val="none"/>
                <w14:textFill>
                  <w14:solidFill>
                    <w14:schemeClr w14:val="tx1"/>
                  </w14:solidFill>
                </w14:textFill>
              </w:rPr>
            </w:pPr>
            <w:r>
              <w:rPr>
                <w:rFonts w:hint="eastAsia"/>
                <w:color w:val="000000" w:themeColor="text1"/>
                <w:sz w:val="24"/>
                <w:szCs w:val="20"/>
                <w:highlight w:val="none"/>
                <w14:textFill>
                  <w14:solidFill>
                    <w14:schemeClr w14:val="tx1"/>
                  </w14:solidFill>
                </w14:textFill>
              </w:rPr>
              <w:t>解决问题时间</w:t>
            </w:r>
          </w:p>
        </w:tc>
      </w:tr>
      <w:tr w14:paraId="47CCDB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14" w:type="dxa"/>
            <w:tcBorders>
              <w:top w:val="single" w:color="000000" w:sz="4" w:space="0"/>
              <w:left w:val="single" w:color="000000" w:sz="4" w:space="0"/>
              <w:bottom w:val="single" w:color="000000" w:sz="4" w:space="0"/>
              <w:right w:val="single" w:color="000000" w:sz="4" w:space="0"/>
            </w:tcBorders>
            <w:noWrap w:val="0"/>
            <w:vAlign w:val="center"/>
          </w:tcPr>
          <w:p w14:paraId="0F5B3571">
            <w:pPr>
              <w:keepNext w:val="0"/>
              <w:keepLines w:val="0"/>
              <w:pageBreakBefore w:val="0"/>
              <w:suppressLineNumbers w:val="0"/>
              <w:spacing w:before="0" w:beforeAutospacing="0" w:after="0" w:afterAutospacing="0" w:line="440" w:lineRule="exact"/>
              <w:ind w:left="0" w:right="0"/>
              <w:jc w:val="center"/>
              <w:rPr>
                <w:rFonts w:hint="eastAsia" w:eastAsia="宋体"/>
                <w:color w:val="000000" w:themeColor="text1"/>
                <w:sz w:val="24"/>
                <w:szCs w:val="20"/>
                <w:highlight w:val="none"/>
                <w:lang w:eastAsia="zh-CN"/>
                <w14:textFill>
                  <w14:solidFill>
                    <w14:schemeClr w14:val="tx1"/>
                  </w14:solidFill>
                </w14:textFill>
              </w:rPr>
            </w:pPr>
            <w:r>
              <w:rPr>
                <w:rFonts w:hint="eastAsia"/>
                <w:color w:val="000000" w:themeColor="text1"/>
                <w:sz w:val="24"/>
                <w:szCs w:val="20"/>
                <w:highlight w:val="none"/>
                <w:lang w:val="en-US" w:eastAsia="zh-CN"/>
                <w14:textFill>
                  <w14:solidFill>
                    <w14:schemeClr w14:val="tx1"/>
                  </w14:solidFill>
                </w14:textFill>
              </w:rPr>
              <w:t>1</w:t>
            </w:r>
          </w:p>
        </w:tc>
        <w:tc>
          <w:tcPr>
            <w:tcW w:w="2589" w:type="dxa"/>
            <w:tcBorders>
              <w:top w:val="single" w:color="000000" w:sz="4" w:space="0"/>
              <w:left w:val="single" w:color="000000" w:sz="4" w:space="0"/>
              <w:bottom w:val="single" w:color="000000" w:sz="4" w:space="0"/>
              <w:right w:val="single" w:color="000000" w:sz="4" w:space="0"/>
            </w:tcBorders>
            <w:noWrap w:val="0"/>
            <w:vAlign w:val="center"/>
          </w:tcPr>
          <w:p w14:paraId="31BB7418">
            <w:pPr>
              <w:keepNext w:val="0"/>
              <w:keepLines w:val="0"/>
              <w:pageBreakBefore w:val="0"/>
              <w:suppressLineNumbers w:val="0"/>
              <w:spacing w:before="0" w:beforeAutospacing="0" w:after="0" w:afterAutospacing="0" w:line="440" w:lineRule="exact"/>
              <w:ind w:left="0" w:right="0"/>
              <w:jc w:val="center"/>
              <w:rPr>
                <w:rFonts w:hint="default"/>
                <w:color w:val="000000" w:themeColor="text1"/>
                <w:sz w:val="24"/>
                <w:szCs w:val="20"/>
                <w:highlight w:val="none"/>
                <w14:textFill>
                  <w14:solidFill>
                    <w14:schemeClr w14:val="tx1"/>
                  </w14:solidFill>
                </w14:textFill>
              </w:rPr>
            </w:pPr>
            <w:r>
              <w:rPr>
                <w:rFonts w:hint="eastAsia"/>
                <w:color w:val="000000" w:themeColor="text1"/>
                <w:sz w:val="24"/>
                <w:szCs w:val="20"/>
                <w:highlight w:val="none"/>
                <w14:textFill>
                  <w14:solidFill>
                    <w14:schemeClr w14:val="tx1"/>
                  </w14:solidFill>
                </w14:textFill>
              </w:rPr>
              <w:t>一般情节</w:t>
            </w:r>
          </w:p>
        </w:tc>
        <w:tc>
          <w:tcPr>
            <w:tcW w:w="1883" w:type="dxa"/>
            <w:tcBorders>
              <w:top w:val="single" w:color="000000" w:sz="4" w:space="0"/>
              <w:left w:val="single" w:color="000000" w:sz="4" w:space="0"/>
              <w:bottom w:val="single" w:color="000000" w:sz="4" w:space="0"/>
              <w:right w:val="single" w:color="000000" w:sz="4" w:space="0"/>
            </w:tcBorders>
            <w:noWrap w:val="0"/>
            <w:vAlign w:val="center"/>
          </w:tcPr>
          <w:p w14:paraId="55651605">
            <w:pPr>
              <w:keepNext w:val="0"/>
              <w:keepLines w:val="0"/>
              <w:pageBreakBefore w:val="0"/>
              <w:suppressLineNumbers w:val="0"/>
              <w:spacing w:before="0" w:beforeAutospacing="0" w:after="0" w:afterAutospacing="0" w:line="440" w:lineRule="exact"/>
              <w:ind w:left="0" w:right="0"/>
              <w:jc w:val="center"/>
              <w:rPr>
                <w:rFonts w:hint="default"/>
                <w:color w:val="000000" w:themeColor="text1"/>
                <w:sz w:val="24"/>
                <w:szCs w:val="20"/>
                <w:highlight w:val="none"/>
                <w14:textFill>
                  <w14:solidFill>
                    <w14:schemeClr w14:val="tx1"/>
                  </w14:solidFill>
                </w14:textFill>
              </w:rPr>
            </w:pPr>
            <w:r>
              <w:rPr>
                <w:rFonts w:hint="default"/>
                <w:color w:val="000000" w:themeColor="text1"/>
                <w:sz w:val="24"/>
                <w:szCs w:val="20"/>
                <w:highlight w:val="none"/>
                <w14:textFill>
                  <w14:solidFill>
                    <w14:schemeClr w14:val="tx1"/>
                  </w14:solidFill>
                </w14:textFill>
              </w:rPr>
              <w:t>10</w:t>
            </w:r>
            <w:r>
              <w:rPr>
                <w:rFonts w:hint="eastAsia"/>
                <w:color w:val="000000" w:themeColor="text1"/>
                <w:sz w:val="24"/>
                <w:szCs w:val="20"/>
                <w:highlight w:val="none"/>
                <w14:textFill>
                  <w14:solidFill>
                    <w14:schemeClr w14:val="tx1"/>
                  </w14:solidFill>
                </w14:textFill>
              </w:rPr>
              <w:t>分钟</w:t>
            </w:r>
          </w:p>
        </w:tc>
        <w:tc>
          <w:tcPr>
            <w:tcW w:w="1782" w:type="dxa"/>
            <w:tcBorders>
              <w:top w:val="single" w:color="000000" w:sz="4" w:space="0"/>
              <w:left w:val="single" w:color="000000" w:sz="4" w:space="0"/>
              <w:bottom w:val="single" w:color="000000" w:sz="4" w:space="0"/>
              <w:right w:val="single" w:color="000000" w:sz="4" w:space="0"/>
            </w:tcBorders>
            <w:noWrap w:val="0"/>
            <w:vAlign w:val="center"/>
          </w:tcPr>
          <w:p w14:paraId="6195F908">
            <w:pPr>
              <w:keepNext w:val="0"/>
              <w:keepLines w:val="0"/>
              <w:pageBreakBefore w:val="0"/>
              <w:suppressLineNumbers w:val="0"/>
              <w:spacing w:before="0" w:beforeAutospacing="0" w:after="0" w:afterAutospacing="0" w:line="440" w:lineRule="exact"/>
              <w:ind w:left="0" w:right="0"/>
              <w:jc w:val="center"/>
              <w:rPr>
                <w:rFonts w:hint="default"/>
                <w:color w:val="000000" w:themeColor="text1"/>
                <w:sz w:val="24"/>
                <w:szCs w:val="20"/>
                <w:highlight w:val="none"/>
                <w14:textFill>
                  <w14:solidFill>
                    <w14:schemeClr w14:val="tx1"/>
                  </w14:solidFill>
                </w14:textFill>
              </w:rPr>
            </w:pPr>
            <w:r>
              <w:rPr>
                <w:rFonts w:hint="default"/>
                <w:color w:val="000000" w:themeColor="text1"/>
                <w:sz w:val="24"/>
                <w:szCs w:val="20"/>
                <w:highlight w:val="none"/>
                <w14:textFill>
                  <w14:solidFill>
                    <w14:schemeClr w14:val="tx1"/>
                  </w14:solidFill>
                </w14:textFill>
              </w:rPr>
              <w:t>30</w:t>
            </w:r>
            <w:r>
              <w:rPr>
                <w:rFonts w:hint="eastAsia"/>
                <w:color w:val="000000" w:themeColor="text1"/>
                <w:sz w:val="24"/>
                <w:szCs w:val="20"/>
                <w:highlight w:val="none"/>
                <w14:textFill>
                  <w14:solidFill>
                    <w14:schemeClr w14:val="tx1"/>
                  </w14:solidFill>
                </w14:textFill>
              </w:rPr>
              <w:t>分钟</w:t>
            </w:r>
          </w:p>
        </w:tc>
        <w:tc>
          <w:tcPr>
            <w:tcW w:w="2694" w:type="dxa"/>
            <w:tcBorders>
              <w:top w:val="single" w:color="000000" w:sz="4" w:space="0"/>
              <w:left w:val="single" w:color="000000" w:sz="4" w:space="0"/>
              <w:bottom w:val="single" w:color="000000" w:sz="4" w:space="0"/>
              <w:right w:val="single" w:color="000000" w:sz="4" w:space="0"/>
            </w:tcBorders>
            <w:noWrap w:val="0"/>
            <w:vAlign w:val="center"/>
          </w:tcPr>
          <w:p w14:paraId="2833AC85">
            <w:pPr>
              <w:keepNext w:val="0"/>
              <w:keepLines w:val="0"/>
              <w:pageBreakBefore w:val="0"/>
              <w:suppressLineNumbers w:val="0"/>
              <w:spacing w:before="0" w:beforeAutospacing="0" w:after="0" w:afterAutospacing="0" w:line="440" w:lineRule="exact"/>
              <w:ind w:left="0" w:right="0"/>
              <w:jc w:val="center"/>
              <w:rPr>
                <w:rFonts w:hint="default"/>
                <w:color w:val="000000" w:themeColor="text1"/>
                <w:sz w:val="24"/>
                <w:szCs w:val="20"/>
                <w:highlight w:val="none"/>
                <w14:textFill>
                  <w14:solidFill>
                    <w14:schemeClr w14:val="tx1"/>
                  </w14:solidFill>
                </w14:textFill>
              </w:rPr>
            </w:pPr>
            <w:r>
              <w:rPr>
                <w:rFonts w:hint="eastAsia"/>
                <w:color w:val="000000" w:themeColor="text1"/>
                <w:sz w:val="24"/>
                <w:szCs w:val="20"/>
                <w:highlight w:val="none"/>
                <w:lang w:val="en-US" w:eastAsia="zh-CN"/>
                <w14:textFill>
                  <w14:solidFill>
                    <w14:schemeClr w14:val="tx1"/>
                  </w14:solidFill>
                </w14:textFill>
              </w:rPr>
              <w:t>8</w:t>
            </w:r>
            <w:r>
              <w:rPr>
                <w:rFonts w:hint="eastAsia"/>
                <w:color w:val="000000" w:themeColor="text1"/>
                <w:sz w:val="24"/>
                <w:szCs w:val="20"/>
                <w:highlight w:val="none"/>
                <w14:textFill>
                  <w14:solidFill>
                    <w14:schemeClr w14:val="tx1"/>
                  </w14:solidFill>
                </w14:textFill>
              </w:rPr>
              <w:t>小时</w:t>
            </w:r>
          </w:p>
        </w:tc>
      </w:tr>
      <w:tr w14:paraId="3D8193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14" w:type="dxa"/>
            <w:tcBorders>
              <w:top w:val="single" w:color="000000" w:sz="4" w:space="0"/>
              <w:left w:val="single" w:color="000000" w:sz="4" w:space="0"/>
              <w:bottom w:val="single" w:color="000000" w:sz="4" w:space="0"/>
              <w:right w:val="single" w:color="000000" w:sz="4" w:space="0"/>
            </w:tcBorders>
            <w:noWrap w:val="0"/>
            <w:vAlign w:val="center"/>
          </w:tcPr>
          <w:p w14:paraId="1DBE6264">
            <w:pPr>
              <w:keepNext w:val="0"/>
              <w:keepLines w:val="0"/>
              <w:pageBreakBefore w:val="0"/>
              <w:suppressLineNumbers w:val="0"/>
              <w:spacing w:before="0" w:beforeAutospacing="0" w:after="0" w:afterAutospacing="0" w:line="440" w:lineRule="exact"/>
              <w:ind w:left="0" w:right="0"/>
              <w:jc w:val="center"/>
              <w:rPr>
                <w:rFonts w:hint="eastAsia" w:eastAsia="宋体"/>
                <w:color w:val="000000" w:themeColor="text1"/>
                <w:sz w:val="24"/>
                <w:szCs w:val="20"/>
                <w:highlight w:val="none"/>
                <w:lang w:eastAsia="zh-CN"/>
                <w14:textFill>
                  <w14:solidFill>
                    <w14:schemeClr w14:val="tx1"/>
                  </w14:solidFill>
                </w14:textFill>
              </w:rPr>
            </w:pPr>
            <w:r>
              <w:rPr>
                <w:rFonts w:hint="eastAsia"/>
                <w:color w:val="000000" w:themeColor="text1"/>
                <w:sz w:val="24"/>
                <w:szCs w:val="20"/>
                <w:highlight w:val="none"/>
                <w:lang w:val="en-US" w:eastAsia="zh-CN"/>
                <w14:textFill>
                  <w14:solidFill>
                    <w14:schemeClr w14:val="tx1"/>
                  </w14:solidFill>
                </w14:textFill>
              </w:rPr>
              <w:t>2</w:t>
            </w:r>
          </w:p>
        </w:tc>
        <w:tc>
          <w:tcPr>
            <w:tcW w:w="2589" w:type="dxa"/>
            <w:tcBorders>
              <w:top w:val="single" w:color="000000" w:sz="4" w:space="0"/>
              <w:left w:val="single" w:color="000000" w:sz="4" w:space="0"/>
              <w:bottom w:val="single" w:color="000000" w:sz="4" w:space="0"/>
              <w:right w:val="single" w:color="000000" w:sz="4" w:space="0"/>
            </w:tcBorders>
            <w:noWrap w:val="0"/>
            <w:vAlign w:val="center"/>
          </w:tcPr>
          <w:p w14:paraId="304D7578">
            <w:pPr>
              <w:keepNext w:val="0"/>
              <w:keepLines w:val="0"/>
              <w:pageBreakBefore w:val="0"/>
              <w:suppressLineNumbers w:val="0"/>
              <w:spacing w:before="0" w:beforeAutospacing="0" w:after="0" w:afterAutospacing="0" w:line="440" w:lineRule="exact"/>
              <w:ind w:left="0" w:right="0"/>
              <w:jc w:val="center"/>
              <w:rPr>
                <w:rFonts w:hint="eastAsia" w:eastAsia="宋体"/>
                <w:color w:val="000000" w:themeColor="text1"/>
                <w:sz w:val="24"/>
                <w:szCs w:val="20"/>
                <w:highlight w:val="none"/>
                <w:lang w:val="en-US" w:eastAsia="zh-CN"/>
                <w14:textFill>
                  <w14:solidFill>
                    <w14:schemeClr w14:val="tx1"/>
                  </w14:solidFill>
                </w14:textFill>
              </w:rPr>
            </w:pPr>
            <w:r>
              <w:rPr>
                <w:rFonts w:hint="eastAsia"/>
                <w:color w:val="000000" w:themeColor="text1"/>
                <w:sz w:val="24"/>
                <w:szCs w:val="20"/>
                <w:highlight w:val="none"/>
                <w14:textFill>
                  <w14:solidFill>
                    <w14:schemeClr w14:val="tx1"/>
                  </w14:solidFill>
                </w14:textFill>
              </w:rPr>
              <w:t>特殊情节</w:t>
            </w:r>
            <w:r>
              <w:rPr>
                <w:rFonts w:hint="eastAsia"/>
                <w:color w:val="000000" w:themeColor="text1"/>
                <w:sz w:val="24"/>
                <w:szCs w:val="20"/>
                <w:highlight w:val="none"/>
                <w:lang w:eastAsia="zh-CN"/>
                <w14:textFill>
                  <w14:solidFill>
                    <w14:schemeClr w14:val="tx1"/>
                  </w14:solidFill>
                </w14:textFill>
              </w:rPr>
              <w:t>（</w:t>
            </w:r>
            <w:r>
              <w:rPr>
                <w:rFonts w:hint="eastAsia"/>
                <w:color w:val="000000" w:themeColor="text1"/>
                <w:sz w:val="24"/>
                <w:szCs w:val="20"/>
                <w:highlight w:val="none"/>
                <w:lang w:val="en-US" w:eastAsia="zh-CN"/>
                <w14:textFill>
                  <w14:solidFill>
                    <w14:schemeClr w14:val="tx1"/>
                  </w14:solidFill>
                </w14:textFill>
              </w:rPr>
              <w:t>特急</w:t>
            </w:r>
            <w:r>
              <w:rPr>
                <w:rFonts w:hint="eastAsia"/>
                <w:color w:val="000000" w:themeColor="text1"/>
                <w:sz w:val="24"/>
                <w:szCs w:val="20"/>
                <w:highlight w:val="none"/>
                <w:lang w:eastAsia="zh-CN"/>
                <w14:textFill>
                  <w14:solidFill>
                    <w14:schemeClr w14:val="tx1"/>
                  </w14:solidFill>
                </w14:textFill>
              </w:rPr>
              <w:t>）</w:t>
            </w:r>
          </w:p>
        </w:tc>
        <w:tc>
          <w:tcPr>
            <w:tcW w:w="1883" w:type="dxa"/>
            <w:tcBorders>
              <w:top w:val="single" w:color="000000" w:sz="4" w:space="0"/>
              <w:left w:val="single" w:color="000000" w:sz="4" w:space="0"/>
              <w:bottom w:val="single" w:color="000000" w:sz="4" w:space="0"/>
              <w:right w:val="single" w:color="000000" w:sz="4" w:space="0"/>
            </w:tcBorders>
            <w:noWrap w:val="0"/>
            <w:vAlign w:val="center"/>
          </w:tcPr>
          <w:p w14:paraId="2D1926E1">
            <w:pPr>
              <w:keepNext w:val="0"/>
              <w:keepLines w:val="0"/>
              <w:pageBreakBefore w:val="0"/>
              <w:suppressLineNumbers w:val="0"/>
              <w:spacing w:before="0" w:beforeAutospacing="0" w:after="0" w:afterAutospacing="0" w:line="440" w:lineRule="exact"/>
              <w:ind w:left="0" w:right="0"/>
              <w:jc w:val="center"/>
              <w:rPr>
                <w:rFonts w:hint="default"/>
                <w:color w:val="000000" w:themeColor="text1"/>
                <w:sz w:val="24"/>
                <w:szCs w:val="20"/>
                <w:highlight w:val="none"/>
                <w14:textFill>
                  <w14:solidFill>
                    <w14:schemeClr w14:val="tx1"/>
                  </w14:solidFill>
                </w14:textFill>
              </w:rPr>
            </w:pPr>
            <w:r>
              <w:rPr>
                <w:rFonts w:hint="default"/>
                <w:color w:val="000000" w:themeColor="text1"/>
                <w:sz w:val="24"/>
                <w:szCs w:val="20"/>
                <w:highlight w:val="none"/>
                <w14:textFill>
                  <w14:solidFill>
                    <w14:schemeClr w14:val="tx1"/>
                  </w14:solidFill>
                </w14:textFill>
              </w:rPr>
              <w:t>10</w:t>
            </w:r>
            <w:r>
              <w:rPr>
                <w:rFonts w:hint="eastAsia"/>
                <w:color w:val="000000" w:themeColor="text1"/>
                <w:sz w:val="24"/>
                <w:szCs w:val="20"/>
                <w:highlight w:val="none"/>
                <w14:textFill>
                  <w14:solidFill>
                    <w14:schemeClr w14:val="tx1"/>
                  </w14:solidFill>
                </w14:textFill>
              </w:rPr>
              <w:t>分钟</w:t>
            </w:r>
          </w:p>
        </w:tc>
        <w:tc>
          <w:tcPr>
            <w:tcW w:w="1782" w:type="dxa"/>
            <w:tcBorders>
              <w:top w:val="single" w:color="000000" w:sz="4" w:space="0"/>
              <w:left w:val="single" w:color="000000" w:sz="4" w:space="0"/>
              <w:bottom w:val="single" w:color="000000" w:sz="4" w:space="0"/>
              <w:right w:val="single" w:color="000000" w:sz="4" w:space="0"/>
            </w:tcBorders>
            <w:noWrap w:val="0"/>
            <w:vAlign w:val="center"/>
          </w:tcPr>
          <w:p w14:paraId="09B4F10D">
            <w:pPr>
              <w:keepNext w:val="0"/>
              <w:keepLines w:val="0"/>
              <w:pageBreakBefore w:val="0"/>
              <w:suppressLineNumbers w:val="0"/>
              <w:spacing w:before="0" w:beforeAutospacing="0" w:after="0" w:afterAutospacing="0" w:line="440" w:lineRule="exact"/>
              <w:ind w:left="0" w:right="0"/>
              <w:jc w:val="center"/>
              <w:rPr>
                <w:rFonts w:hint="default"/>
                <w:color w:val="000000" w:themeColor="text1"/>
                <w:sz w:val="24"/>
                <w:szCs w:val="20"/>
                <w:highlight w:val="none"/>
                <w14:textFill>
                  <w14:solidFill>
                    <w14:schemeClr w14:val="tx1"/>
                  </w14:solidFill>
                </w14:textFill>
              </w:rPr>
            </w:pPr>
            <w:r>
              <w:rPr>
                <w:rFonts w:hint="default"/>
                <w:color w:val="000000" w:themeColor="text1"/>
                <w:sz w:val="24"/>
                <w:szCs w:val="20"/>
                <w:highlight w:val="none"/>
                <w14:textFill>
                  <w14:solidFill>
                    <w14:schemeClr w14:val="tx1"/>
                  </w14:solidFill>
                </w14:textFill>
              </w:rPr>
              <w:t>30</w:t>
            </w:r>
            <w:r>
              <w:rPr>
                <w:rFonts w:hint="eastAsia"/>
                <w:color w:val="000000" w:themeColor="text1"/>
                <w:sz w:val="24"/>
                <w:szCs w:val="20"/>
                <w:highlight w:val="none"/>
                <w14:textFill>
                  <w14:solidFill>
                    <w14:schemeClr w14:val="tx1"/>
                  </w14:solidFill>
                </w14:textFill>
              </w:rPr>
              <w:t>分钟</w:t>
            </w:r>
          </w:p>
        </w:tc>
        <w:tc>
          <w:tcPr>
            <w:tcW w:w="2694" w:type="dxa"/>
            <w:tcBorders>
              <w:top w:val="single" w:color="000000" w:sz="4" w:space="0"/>
              <w:left w:val="single" w:color="000000" w:sz="4" w:space="0"/>
              <w:bottom w:val="single" w:color="000000" w:sz="4" w:space="0"/>
              <w:right w:val="single" w:color="000000" w:sz="4" w:space="0"/>
            </w:tcBorders>
            <w:noWrap w:val="0"/>
            <w:vAlign w:val="center"/>
          </w:tcPr>
          <w:p w14:paraId="381EFF67">
            <w:pPr>
              <w:keepNext w:val="0"/>
              <w:keepLines w:val="0"/>
              <w:pageBreakBefore w:val="0"/>
              <w:suppressLineNumbers w:val="0"/>
              <w:spacing w:before="0" w:beforeAutospacing="0" w:after="0" w:afterAutospacing="0" w:line="440" w:lineRule="exact"/>
              <w:ind w:left="0" w:right="0"/>
              <w:jc w:val="center"/>
              <w:rPr>
                <w:rFonts w:hint="default" w:eastAsia="宋体"/>
                <w:color w:val="000000" w:themeColor="text1"/>
                <w:sz w:val="24"/>
                <w:szCs w:val="20"/>
                <w:highlight w:val="none"/>
                <w:lang w:val="en-US" w:eastAsia="zh-CN"/>
                <w14:textFill>
                  <w14:solidFill>
                    <w14:schemeClr w14:val="tx1"/>
                  </w14:solidFill>
                </w14:textFill>
              </w:rPr>
            </w:pPr>
            <w:r>
              <w:rPr>
                <w:rFonts w:hint="eastAsia"/>
                <w:color w:val="000000" w:themeColor="text1"/>
                <w:sz w:val="24"/>
                <w:szCs w:val="20"/>
                <w:highlight w:val="none"/>
                <w:lang w:val="en-US" w:eastAsia="zh-CN"/>
                <w14:textFill>
                  <w14:solidFill>
                    <w14:schemeClr w14:val="tx1"/>
                  </w14:solidFill>
                </w14:textFill>
              </w:rPr>
              <w:t>2小时</w:t>
            </w:r>
          </w:p>
        </w:tc>
      </w:tr>
    </w:tbl>
    <w:p w14:paraId="1F19214B">
      <w:pPr>
        <w:spacing w:line="460" w:lineRule="exact"/>
        <w:ind w:firstLine="480"/>
        <w:jc w:val="left"/>
        <w:rPr>
          <w:rFonts w:hint="default"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注：特殊情节逾期修复的每次罚款1000.00元，一般情节逾期修复的每次罚款500元。</w:t>
      </w:r>
    </w:p>
    <w:p w14:paraId="3945713F">
      <w:pPr>
        <w:spacing w:line="460" w:lineRule="exact"/>
        <w:jc w:val="left"/>
        <w:rPr>
          <w:rFonts w:hint="eastAsia" w:ascii="宋体" w:hAnsi="宋体" w:eastAsiaTheme="minorEastAsia"/>
          <w:b/>
          <w:bCs/>
          <w:color w:val="000000" w:themeColor="text1"/>
          <w:sz w:val="24"/>
          <w:szCs w:val="24"/>
          <w:highlight w:val="none"/>
          <w:lang w:val="en-US" w:eastAsia="zh-CN"/>
          <w14:textFill>
            <w14:solidFill>
              <w14:schemeClr w14:val="tx1"/>
            </w14:solidFill>
          </w14:textFill>
        </w:rPr>
      </w:pPr>
      <w:r>
        <w:rPr>
          <w:rFonts w:hint="eastAsia" w:ascii="宋体" w:hAnsi="宋体"/>
          <w:b/>
          <w:color w:val="000000" w:themeColor="text1"/>
          <w:sz w:val="24"/>
          <w:szCs w:val="24"/>
          <w:highlight w:val="none"/>
          <w:lang w:eastAsia="zh-CN"/>
          <w14:textFill>
            <w14:solidFill>
              <w14:schemeClr w14:val="tx1"/>
            </w14:solidFill>
          </w14:textFill>
        </w:rPr>
        <w:t>（</w:t>
      </w:r>
      <w:r>
        <w:rPr>
          <w:rFonts w:hint="eastAsia" w:ascii="宋体" w:hAnsi="宋体"/>
          <w:b/>
          <w:color w:val="000000" w:themeColor="text1"/>
          <w:sz w:val="24"/>
          <w:szCs w:val="24"/>
          <w:highlight w:val="none"/>
          <w:lang w:val="en-US" w:eastAsia="zh-CN"/>
          <w14:textFill>
            <w14:solidFill>
              <w14:schemeClr w14:val="tx1"/>
            </w14:solidFill>
          </w14:textFill>
        </w:rPr>
        <w:t>二</w:t>
      </w:r>
      <w:r>
        <w:rPr>
          <w:rFonts w:hint="eastAsia" w:ascii="宋体" w:hAnsi="宋体"/>
          <w:b/>
          <w:color w:val="000000" w:themeColor="text1"/>
          <w:sz w:val="24"/>
          <w:szCs w:val="24"/>
          <w:highlight w:val="none"/>
          <w:lang w:eastAsia="zh-CN"/>
          <w14:textFill>
            <w14:solidFill>
              <w14:schemeClr w14:val="tx1"/>
            </w14:solidFill>
          </w14:textFill>
        </w:rPr>
        <w:t>）</w:t>
      </w:r>
      <w:r>
        <w:rPr>
          <w:rFonts w:hint="eastAsia" w:ascii="宋体" w:hAnsi="宋体"/>
          <w:b/>
          <w:color w:val="000000" w:themeColor="text1"/>
          <w:sz w:val="24"/>
          <w:szCs w:val="24"/>
          <w:highlight w:val="none"/>
          <w:lang w:val="en-US" w:eastAsia="zh-CN"/>
          <w14:textFill>
            <w14:solidFill>
              <w14:schemeClr w14:val="tx1"/>
            </w14:solidFill>
          </w14:textFill>
        </w:rPr>
        <w:t>水生植物养护管理</w:t>
      </w:r>
      <w:r>
        <w:rPr>
          <w:rFonts w:hint="eastAsia" w:ascii="宋体" w:hAnsi="宋体"/>
          <w:b/>
          <w:bCs/>
          <w:color w:val="000000" w:themeColor="text1"/>
          <w:sz w:val="24"/>
          <w:szCs w:val="24"/>
          <w:highlight w:val="none"/>
          <w:lang w:val="en-US" w:eastAsia="zh-CN"/>
          <w14:textFill>
            <w14:solidFill>
              <w14:schemeClr w14:val="tx1"/>
            </w14:solidFill>
          </w14:textFill>
        </w:rPr>
        <w:t>（管理区域详见电子附件）</w:t>
      </w:r>
    </w:p>
    <w:p w14:paraId="3849F7D7">
      <w:pPr>
        <w:spacing w:line="460" w:lineRule="exact"/>
        <w:ind w:firstLine="480"/>
        <w:jc w:val="left"/>
        <w:rPr>
          <w:rFonts w:hint="default" w:ascii="宋体" w:hAnsi="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1、定期进行植物的修剪及喷洒农药进行养护；</w:t>
      </w:r>
    </w:p>
    <w:p w14:paraId="56A3F5EA">
      <w:pPr>
        <w:spacing w:line="460" w:lineRule="exact"/>
        <w:ind w:firstLine="480"/>
        <w:jc w:val="left"/>
        <w:rPr>
          <w:rFonts w:hint="default" w:ascii="宋体" w:hAnsi="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2、冬季枯萎收割；</w:t>
      </w:r>
    </w:p>
    <w:p w14:paraId="332ACDEF">
      <w:pPr>
        <w:spacing w:line="460" w:lineRule="exact"/>
        <w:ind w:firstLine="480"/>
        <w:jc w:val="left"/>
        <w:rPr>
          <w:rFonts w:hint="eastAsia" w:ascii="宋体" w:hAnsi="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3、废弃物清理上岸后进行规范化处理。</w:t>
      </w:r>
    </w:p>
    <w:tbl>
      <w:tblPr>
        <w:tblStyle w:val="39"/>
        <w:tblW w:w="891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4"/>
        <w:gridCol w:w="1630"/>
        <w:gridCol w:w="6369"/>
      </w:tblGrid>
      <w:tr w14:paraId="4015E3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5" w:hRule="atLeast"/>
          <w:jc w:val="center"/>
        </w:trPr>
        <w:tc>
          <w:tcPr>
            <w:tcW w:w="914" w:type="dxa"/>
            <w:tcBorders>
              <w:top w:val="single" w:color="auto" w:sz="4" w:space="0"/>
              <w:left w:val="single" w:color="auto" w:sz="4" w:space="0"/>
              <w:bottom w:val="single" w:color="auto" w:sz="4" w:space="0"/>
              <w:right w:val="single" w:color="auto" w:sz="4" w:space="0"/>
            </w:tcBorders>
            <w:noWrap w:val="0"/>
            <w:vAlign w:val="center"/>
          </w:tcPr>
          <w:p w14:paraId="69A936B4">
            <w:pPr>
              <w:keepNext w:val="0"/>
              <w:keepLines w:val="0"/>
              <w:suppressLineNumbers w:val="0"/>
              <w:spacing w:before="0" w:beforeAutospacing="0" w:after="0" w:afterAutospacing="0" w:line="400" w:lineRule="exact"/>
              <w:ind w:left="0" w:right="0"/>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序号</w:t>
            </w:r>
          </w:p>
        </w:tc>
        <w:tc>
          <w:tcPr>
            <w:tcW w:w="1630" w:type="dxa"/>
            <w:tcBorders>
              <w:top w:val="single" w:color="auto" w:sz="4" w:space="0"/>
              <w:left w:val="single" w:color="auto" w:sz="4" w:space="0"/>
              <w:bottom w:val="single" w:color="auto" w:sz="4" w:space="0"/>
              <w:right w:val="single" w:color="auto" w:sz="4" w:space="0"/>
            </w:tcBorders>
            <w:noWrap w:val="0"/>
            <w:vAlign w:val="center"/>
          </w:tcPr>
          <w:p w14:paraId="7CBC5AD5">
            <w:pPr>
              <w:keepNext w:val="0"/>
              <w:keepLines w:val="0"/>
              <w:suppressLineNumbers w:val="0"/>
              <w:spacing w:before="0" w:beforeAutospacing="0" w:after="0" w:afterAutospacing="0" w:line="400" w:lineRule="exact"/>
              <w:ind w:left="0" w:right="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 项目标准</w:t>
            </w:r>
          </w:p>
        </w:tc>
        <w:tc>
          <w:tcPr>
            <w:tcW w:w="6369" w:type="dxa"/>
            <w:tcBorders>
              <w:top w:val="single" w:color="auto" w:sz="4" w:space="0"/>
              <w:left w:val="single" w:color="auto" w:sz="4" w:space="0"/>
              <w:bottom w:val="single" w:color="auto" w:sz="4" w:space="0"/>
              <w:right w:val="single" w:color="auto" w:sz="4" w:space="0"/>
            </w:tcBorders>
            <w:noWrap w:val="0"/>
            <w:vAlign w:val="center"/>
          </w:tcPr>
          <w:p w14:paraId="6B7CD5A9">
            <w:pPr>
              <w:keepNext w:val="0"/>
              <w:keepLines w:val="0"/>
              <w:suppressLineNumbers w:val="0"/>
              <w:spacing w:before="0" w:beforeAutospacing="0" w:after="0" w:afterAutospacing="0" w:line="400" w:lineRule="exact"/>
              <w:ind w:left="0" w:right="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考核内容</w:t>
            </w:r>
          </w:p>
        </w:tc>
      </w:tr>
      <w:tr w14:paraId="5EF61A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5" w:hRule="atLeast"/>
          <w:jc w:val="center"/>
        </w:trPr>
        <w:tc>
          <w:tcPr>
            <w:tcW w:w="914" w:type="dxa"/>
            <w:tcBorders>
              <w:top w:val="single" w:color="auto" w:sz="4" w:space="0"/>
              <w:left w:val="single" w:color="auto" w:sz="4" w:space="0"/>
              <w:bottom w:val="single" w:color="auto" w:sz="4" w:space="0"/>
              <w:right w:val="single" w:color="auto" w:sz="4" w:space="0"/>
            </w:tcBorders>
            <w:noWrap w:val="0"/>
            <w:vAlign w:val="center"/>
          </w:tcPr>
          <w:p w14:paraId="3AE1B113">
            <w:pPr>
              <w:keepNext w:val="0"/>
              <w:keepLines w:val="0"/>
              <w:suppressLineNumbers w:val="0"/>
              <w:spacing w:before="0" w:beforeAutospacing="0" w:after="0" w:afterAutospacing="0" w:line="400" w:lineRule="exact"/>
              <w:ind w:left="0" w:right="0"/>
              <w:jc w:val="center"/>
              <w:rPr>
                <w:rFonts w:hint="eastAsia"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1</w:t>
            </w:r>
          </w:p>
        </w:tc>
        <w:tc>
          <w:tcPr>
            <w:tcW w:w="1630" w:type="dxa"/>
            <w:tcBorders>
              <w:top w:val="single" w:color="auto" w:sz="4" w:space="0"/>
              <w:left w:val="single" w:color="auto" w:sz="4" w:space="0"/>
              <w:bottom w:val="single" w:color="auto" w:sz="4" w:space="0"/>
              <w:right w:val="single" w:color="auto" w:sz="4" w:space="0"/>
            </w:tcBorders>
            <w:noWrap w:val="0"/>
            <w:vAlign w:val="center"/>
          </w:tcPr>
          <w:p w14:paraId="43FA0768">
            <w:pPr>
              <w:keepNext w:val="0"/>
              <w:keepLines w:val="0"/>
              <w:suppressLineNumbers w:val="0"/>
              <w:spacing w:before="0" w:beforeAutospacing="0" w:after="0" w:afterAutospacing="0" w:line="400" w:lineRule="exact"/>
              <w:ind w:left="0" w:right="0"/>
              <w:rPr>
                <w:rFonts w:hint="eastAsia"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景观效果</w:t>
            </w:r>
          </w:p>
        </w:tc>
        <w:tc>
          <w:tcPr>
            <w:tcW w:w="6369" w:type="dxa"/>
            <w:tcBorders>
              <w:top w:val="single" w:color="auto" w:sz="4" w:space="0"/>
              <w:left w:val="single" w:color="auto" w:sz="4" w:space="0"/>
              <w:bottom w:val="single" w:color="auto" w:sz="4" w:space="0"/>
              <w:right w:val="single" w:color="auto" w:sz="4" w:space="0"/>
            </w:tcBorders>
            <w:noWrap w:val="0"/>
            <w:vAlign w:val="center"/>
          </w:tcPr>
          <w:p w14:paraId="32FEA0DA">
            <w:pPr>
              <w:keepNext w:val="0"/>
              <w:keepLines w:val="0"/>
              <w:suppressLineNumbers w:val="0"/>
              <w:spacing w:before="0" w:beforeAutospacing="0" w:after="0" w:afterAutospacing="0" w:line="400" w:lineRule="exact"/>
              <w:ind w:left="0" w:right="0"/>
              <w:rPr>
                <w:rFonts w:hint="default"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绿量充分，绿化景观显著，无明显景点破坏（每有一处扣100元）</w:t>
            </w:r>
          </w:p>
        </w:tc>
      </w:tr>
      <w:tr w14:paraId="188C29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7" w:hRule="atLeast"/>
          <w:jc w:val="center"/>
        </w:trPr>
        <w:tc>
          <w:tcPr>
            <w:tcW w:w="914" w:type="dxa"/>
            <w:vMerge w:val="restart"/>
            <w:tcBorders>
              <w:top w:val="nil"/>
              <w:left w:val="single" w:color="auto" w:sz="4" w:space="0"/>
              <w:right w:val="single" w:color="auto" w:sz="4" w:space="0"/>
            </w:tcBorders>
            <w:noWrap w:val="0"/>
            <w:vAlign w:val="center"/>
          </w:tcPr>
          <w:p w14:paraId="744F3C70">
            <w:pPr>
              <w:keepNext w:val="0"/>
              <w:keepLines w:val="0"/>
              <w:suppressLineNumbers w:val="0"/>
              <w:spacing w:before="0" w:beforeAutospacing="0" w:after="0" w:afterAutospacing="0" w:line="400" w:lineRule="exact"/>
              <w:ind w:left="0" w:right="0"/>
              <w:jc w:val="center"/>
              <w:rPr>
                <w:rFonts w:hint="eastAsia"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2</w:t>
            </w:r>
          </w:p>
        </w:tc>
        <w:tc>
          <w:tcPr>
            <w:tcW w:w="1630" w:type="dxa"/>
            <w:vMerge w:val="restart"/>
            <w:tcBorders>
              <w:top w:val="nil"/>
              <w:left w:val="single" w:color="auto" w:sz="4" w:space="0"/>
              <w:right w:val="single" w:color="auto" w:sz="4" w:space="0"/>
            </w:tcBorders>
            <w:noWrap w:val="0"/>
            <w:vAlign w:val="center"/>
          </w:tcPr>
          <w:p w14:paraId="5F84E59B">
            <w:pPr>
              <w:keepNext w:val="0"/>
              <w:keepLines w:val="0"/>
              <w:suppressLineNumbers w:val="0"/>
              <w:spacing w:before="0" w:beforeAutospacing="0" w:after="0" w:afterAutospacing="0" w:line="400" w:lineRule="exact"/>
              <w:ind w:left="0" w:right="0"/>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水生植物养护</w:t>
            </w:r>
          </w:p>
        </w:tc>
        <w:tc>
          <w:tcPr>
            <w:tcW w:w="6369" w:type="dxa"/>
            <w:tcBorders>
              <w:top w:val="single" w:color="auto" w:sz="4" w:space="0"/>
              <w:left w:val="single" w:color="auto" w:sz="4" w:space="0"/>
              <w:bottom w:val="single" w:color="auto" w:sz="4" w:space="0"/>
              <w:right w:val="single" w:color="auto" w:sz="4" w:space="0"/>
            </w:tcBorders>
            <w:noWrap w:val="0"/>
            <w:vAlign w:val="center"/>
          </w:tcPr>
          <w:p w14:paraId="45EB9FFC">
            <w:pPr>
              <w:keepNext w:val="0"/>
              <w:keepLines w:val="0"/>
              <w:suppressLineNumbers w:val="0"/>
              <w:spacing w:before="0" w:beforeAutospacing="0" w:after="0" w:afterAutospacing="0" w:line="400" w:lineRule="exact"/>
              <w:ind w:left="0" w:right="0"/>
              <w:rPr>
                <w:rFonts w:hint="default"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①植物生长不健康，影响景观效果的</w:t>
            </w:r>
            <w:r>
              <w:rPr>
                <w:rFonts w:hint="eastAsia" w:ascii="宋体" w:hAnsi="宋体"/>
                <w:color w:val="000000" w:themeColor="text1"/>
                <w:sz w:val="24"/>
                <w:szCs w:val="24"/>
                <w:highlight w:val="none"/>
                <w:lang w:val="en-US" w:eastAsia="zh-CN"/>
                <w14:textFill>
                  <w14:solidFill>
                    <w14:schemeClr w14:val="tx1"/>
                  </w14:solidFill>
                </w14:textFill>
              </w:rPr>
              <w:t>扣100元</w:t>
            </w:r>
          </w:p>
        </w:tc>
      </w:tr>
      <w:tr w14:paraId="451A18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3" w:hRule="atLeast"/>
          <w:jc w:val="center"/>
        </w:trPr>
        <w:tc>
          <w:tcPr>
            <w:tcW w:w="914" w:type="dxa"/>
            <w:vMerge w:val="continue"/>
            <w:tcBorders>
              <w:left w:val="single" w:color="auto" w:sz="4" w:space="0"/>
              <w:right w:val="single" w:color="auto" w:sz="4" w:space="0"/>
            </w:tcBorders>
            <w:noWrap w:val="0"/>
            <w:vAlign w:val="center"/>
          </w:tcPr>
          <w:p w14:paraId="1335CDC5">
            <w:pPr>
              <w:keepNext w:val="0"/>
              <w:keepLines w:val="0"/>
              <w:widowControl/>
              <w:suppressLineNumbers w:val="0"/>
              <w:spacing w:before="0" w:beforeAutospacing="0" w:after="0" w:afterAutospacing="0"/>
              <w:ind w:left="0" w:right="0"/>
              <w:jc w:val="center"/>
              <w:rPr>
                <w:rFonts w:hint="default" w:ascii="宋体" w:hAnsi="宋体"/>
                <w:color w:val="000000" w:themeColor="text1"/>
                <w:sz w:val="24"/>
                <w:szCs w:val="24"/>
                <w:highlight w:val="none"/>
                <w14:textFill>
                  <w14:solidFill>
                    <w14:schemeClr w14:val="tx1"/>
                  </w14:solidFill>
                </w14:textFill>
              </w:rPr>
            </w:pPr>
          </w:p>
        </w:tc>
        <w:tc>
          <w:tcPr>
            <w:tcW w:w="1630" w:type="dxa"/>
            <w:vMerge w:val="continue"/>
            <w:tcBorders>
              <w:left w:val="single" w:color="auto" w:sz="4" w:space="0"/>
              <w:right w:val="single" w:color="auto" w:sz="4" w:space="0"/>
            </w:tcBorders>
            <w:noWrap w:val="0"/>
            <w:vAlign w:val="center"/>
          </w:tcPr>
          <w:p w14:paraId="7C4130D2">
            <w:pPr>
              <w:keepNext w:val="0"/>
              <w:keepLines w:val="0"/>
              <w:widowControl/>
              <w:suppressLineNumbers w:val="0"/>
              <w:spacing w:before="0" w:beforeAutospacing="0" w:after="0" w:afterAutospacing="0"/>
              <w:ind w:left="0" w:right="0"/>
              <w:jc w:val="left"/>
              <w:rPr>
                <w:rFonts w:hint="default" w:ascii="宋体" w:hAnsi="宋体"/>
                <w:color w:val="000000" w:themeColor="text1"/>
                <w:sz w:val="24"/>
                <w:szCs w:val="24"/>
                <w:highlight w:val="none"/>
                <w14:textFill>
                  <w14:solidFill>
                    <w14:schemeClr w14:val="tx1"/>
                  </w14:solidFill>
                </w14:textFill>
              </w:rPr>
            </w:pPr>
          </w:p>
        </w:tc>
        <w:tc>
          <w:tcPr>
            <w:tcW w:w="6369" w:type="dxa"/>
            <w:tcBorders>
              <w:top w:val="single" w:color="auto" w:sz="4" w:space="0"/>
              <w:left w:val="single" w:color="auto" w:sz="4" w:space="0"/>
              <w:bottom w:val="single" w:color="auto" w:sz="4" w:space="0"/>
              <w:right w:val="single" w:color="auto" w:sz="4" w:space="0"/>
            </w:tcBorders>
            <w:noWrap w:val="0"/>
            <w:vAlign w:val="center"/>
          </w:tcPr>
          <w:p w14:paraId="70F1537C">
            <w:pPr>
              <w:keepNext w:val="0"/>
              <w:keepLines w:val="0"/>
              <w:suppressLineNumbers w:val="0"/>
              <w:spacing w:before="0" w:beforeAutospacing="0" w:after="0" w:afterAutospacing="0" w:line="400" w:lineRule="exact"/>
              <w:ind w:left="0" w:right="0"/>
              <w:rPr>
                <w:rFonts w:hint="default"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②高度修剪不当，每处扣100元</w:t>
            </w:r>
          </w:p>
        </w:tc>
      </w:tr>
      <w:tr w14:paraId="53B7E4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71" w:hRule="atLeast"/>
          <w:jc w:val="center"/>
        </w:trPr>
        <w:tc>
          <w:tcPr>
            <w:tcW w:w="914" w:type="dxa"/>
            <w:vMerge w:val="continue"/>
            <w:tcBorders>
              <w:left w:val="single" w:color="auto" w:sz="4" w:space="0"/>
              <w:right w:val="single" w:color="auto" w:sz="4" w:space="0"/>
            </w:tcBorders>
            <w:noWrap w:val="0"/>
            <w:vAlign w:val="center"/>
          </w:tcPr>
          <w:p w14:paraId="77D13543">
            <w:pPr>
              <w:keepNext w:val="0"/>
              <w:keepLines w:val="0"/>
              <w:widowControl/>
              <w:suppressLineNumbers w:val="0"/>
              <w:spacing w:before="0" w:beforeAutospacing="0" w:after="0" w:afterAutospacing="0"/>
              <w:ind w:left="0" w:right="0"/>
              <w:jc w:val="center"/>
              <w:rPr>
                <w:rFonts w:hint="default" w:ascii="宋体" w:hAnsi="宋体"/>
                <w:color w:val="000000" w:themeColor="text1"/>
                <w:sz w:val="24"/>
                <w:szCs w:val="24"/>
                <w:highlight w:val="none"/>
                <w14:textFill>
                  <w14:solidFill>
                    <w14:schemeClr w14:val="tx1"/>
                  </w14:solidFill>
                </w14:textFill>
              </w:rPr>
            </w:pPr>
          </w:p>
        </w:tc>
        <w:tc>
          <w:tcPr>
            <w:tcW w:w="1630" w:type="dxa"/>
            <w:vMerge w:val="continue"/>
            <w:tcBorders>
              <w:left w:val="single" w:color="auto" w:sz="4" w:space="0"/>
              <w:right w:val="single" w:color="auto" w:sz="4" w:space="0"/>
            </w:tcBorders>
            <w:noWrap w:val="0"/>
            <w:vAlign w:val="center"/>
          </w:tcPr>
          <w:p w14:paraId="67029D75">
            <w:pPr>
              <w:keepNext w:val="0"/>
              <w:keepLines w:val="0"/>
              <w:widowControl/>
              <w:suppressLineNumbers w:val="0"/>
              <w:spacing w:before="0" w:beforeAutospacing="0" w:after="0" w:afterAutospacing="0"/>
              <w:ind w:left="0" w:right="0"/>
              <w:jc w:val="left"/>
              <w:rPr>
                <w:rFonts w:hint="default" w:ascii="宋体" w:hAnsi="宋体"/>
                <w:color w:val="000000" w:themeColor="text1"/>
                <w:sz w:val="24"/>
                <w:szCs w:val="24"/>
                <w:highlight w:val="none"/>
                <w14:textFill>
                  <w14:solidFill>
                    <w14:schemeClr w14:val="tx1"/>
                  </w14:solidFill>
                </w14:textFill>
              </w:rPr>
            </w:pPr>
          </w:p>
        </w:tc>
        <w:tc>
          <w:tcPr>
            <w:tcW w:w="6369" w:type="dxa"/>
            <w:tcBorders>
              <w:top w:val="single" w:color="auto" w:sz="4" w:space="0"/>
              <w:left w:val="single" w:color="auto" w:sz="4" w:space="0"/>
              <w:bottom w:val="single" w:color="auto" w:sz="4" w:space="0"/>
              <w:right w:val="single" w:color="auto" w:sz="4" w:space="0"/>
            </w:tcBorders>
            <w:noWrap w:val="0"/>
            <w:vAlign w:val="center"/>
          </w:tcPr>
          <w:p w14:paraId="56B3C2BF">
            <w:pPr>
              <w:keepNext w:val="0"/>
              <w:keepLines w:val="0"/>
              <w:suppressLineNumbers w:val="0"/>
              <w:spacing w:before="0" w:beforeAutospacing="0" w:after="0" w:afterAutospacing="0" w:line="400" w:lineRule="exact"/>
              <w:ind w:left="0" w:right="0"/>
              <w:jc w:val="both"/>
              <w:rPr>
                <w:rFonts w:hint="default"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③</w:t>
            </w:r>
            <w:r>
              <w:rPr>
                <w:rFonts w:hint="eastAsia" w:ascii="宋体" w:hAnsi="宋体"/>
                <w:color w:val="000000" w:themeColor="text1"/>
                <w:sz w:val="24"/>
                <w:szCs w:val="24"/>
                <w:highlight w:val="none"/>
                <w14:textFill>
                  <w14:solidFill>
                    <w14:schemeClr w14:val="tx1"/>
                  </w14:solidFill>
                </w14:textFill>
              </w:rPr>
              <w:t>未清除大面积</w:t>
            </w:r>
            <w:r>
              <w:rPr>
                <w:rFonts w:hint="eastAsia" w:ascii="宋体" w:hAnsi="宋体"/>
                <w:color w:val="000000" w:themeColor="text1"/>
                <w:sz w:val="24"/>
                <w:szCs w:val="24"/>
                <w:highlight w:val="none"/>
                <w:lang w:val="en-US" w:eastAsia="zh-CN"/>
                <w14:textFill>
                  <w14:solidFill>
                    <w14:schemeClr w14:val="tx1"/>
                  </w14:solidFill>
                </w14:textFill>
              </w:rPr>
              <w:t>死亡植物</w:t>
            </w:r>
            <w:r>
              <w:rPr>
                <w:rFonts w:hint="eastAsia" w:ascii="宋体" w:hAnsi="宋体"/>
                <w:color w:val="000000" w:themeColor="text1"/>
                <w:sz w:val="24"/>
                <w:szCs w:val="24"/>
                <w:highlight w:val="none"/>
                <w14:textFill>
                  <w14:solidFill>
                    <w14:schemeClr w14:val="tx1"/>
                  </w14:solidFill>
                </w14:textFill>
              </w:rPr>
              <w:t>的扣</w:t>
            </w:r>
            <w:r>
              <w:rPr>
                <w:rFonts w:hint="eastAsia" w:ascii="宋体" w:hAnsi="宋体"/>
                <w:color w:val="000000" w:themeColor="text1"/>
                <w:sz w:val="24"/>
                <w:szCs w:val="24"/>
                <w:highlight w:val="none"/>
                <w:lang w:val="en-US" w:eastAsia="zh-CN"/>
                <w14:textFill>
                  <w14:solidFill>
                    <w14:schemeClr w14:val="tx1"/>
                  </w14:solidFill>
                </w14:textFill>
              </w:rPr>
              <w:t>500元</w:t>
            </w:r>
          </w:p>
        </w:tc>
      </w:tr>
      <w:tr w14:paraId="47E721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71" w:hRule="atLeast"/>
          <w:jc w:val="center"/>
        </w:trPr>
        <w:tc>
          <w:tcPr>
            <w:tcW w:w="914" w:type="dxa"/>
            <w:vMerge w:val="continue"/>
            <w:tcBorders>
              <w:left w:val="single" w:color="auto" w:sz="4" w:space="0"/>
              <w:bottom w:val="single" w:color="auto" w:sz="4" w:space="0"/>
              <w:right w:val="single" w:color="auto" w:sz="4" w:space="0"/>
            </w:tcBorders>
            <w:noWrap w:val="0"/>
            <w:vAlign w:val="center"/>
          </w:tcPr>
          <w:p w14:paraId="27398140">
            <w:pPr>
              <w:keepNext w:val="0"/>
              <w:keepLines w:val="0"/>
              <w:widowControl/>
              <w:suppressLineNumbers w:val="0"/>
              <w:spacing w:before="0" w:beforeAutospacing="0" w:after="0" w:afterAutospacing="0"/>
              <w:ind w:left="0" w:right="0"/>
              <w:jc w:val="center"/>
              <w:rPr>
                <w:rFonts w:hint="default" w:ascii="宋体" w:hAnsi="宋体"/>
                <w:color w:val="000000" w:themeColor="text1"/>
                <w:sz w:val="24"/>
                <w:szCs w:val="24"/>
                <w:highlight w:val="none"/>
                <w14:textFill>
                  <w14:solidFill>
                    <w14:schemeClr w14:val="tx1"/>
                  </w14:solidFill>
                </w14:textFill>
              </w:rPr>
            </w:pPr>
          </w:p>
        </w:tc>
        <w:tc>
          <w:tcPr>
            <w:tcW w:w="1630" w:type="dxa"/>
            <w:vMerge w:val="continue"/>
            <w:tcBorders>
              <w:left w:val="single" w:color="auto" w:sz="4" w:space="0"/>
              <w:bottom w:val="single" w:color="auto" w:sz="4" w:space="0"/>
              <w:right w:val="single" w:color="auto" w:sz="4" w:space="0"/>
            </w:tcBorders>
            <w:noWrap w:val="0"/>
            <w:vAlign w:val="center"/>
          </w:tcPr>
          <w:p w14:paraId="71D22938">
            <w:pPr>
              <w:keepNext w:val="0"/>
              <w:keepLines w:val="0"/>
              <w:widowControl/>
              <w:suppressLineNumbers w:val="0"/>
              <w:spacing w:before="0" w:beforeAutospacing="0" w:after="0" w:afterAutospacing="0"/>
              <w:ind w:left="0" w:right="0"/>
              <w:jc w:val="left"/>
              <w:rPr>
                <w:rFonts w:hint="default" w:ascii="宋体" w:hAnsi="宋体"/>
                <w:color w:val="000000" w:themeColor="text1"/>
                <w:sz w:val="24"/>
                <w:szCs w:val="24"/>
                <w:highlight w:val="none"/>
                <w14:textFill>
                  <w14:solidFill>
                    <w14:schemeClr w14:val="tx1"/>
                  </w14:solidFill>
                </w14:textFill>
              </w:rPr>
            </w:pPr>
          </w:p>
        </w:tc>
        <w:tc>
          <w:tcPr>
            <w:tcW w:w="6369" w:type="dxa"/>
            <w:tcBorders>
              <w:top w:val="single" w:color="auto" w:sz="4" w:space="0"/>
              <w:left w:val="single" w:color="auto" w:sz="4" w:space="0"/>
              <w:bottom w:val="single" w:color="auto" w:sz="4" w:space="0"/>
              <w:right w:val="single" w:color="auto" w:sz="4" w:space="0"/>
            </w:tcBorders>
            <w:noWrap w:val="0"/>
            <w:vAlign w:val="center"/>
          </w:tcPr>
          <w:p w14:paraId="55C6836E">
            <w:pPr>
              <w:keepNext w:val="0"/>
              <w:keepLines w:val="0"/>
              <w:suppressLineNumbers w:val="0"/>
              <w:spacing w:before="0" w:beforeAutospacing="0" w:after="0" w:afterAutospacing="0" w:line="400" w:lineRule="exact"/>
              <w:ind w:left="0" w:right="0"/>
              <w:jc w:val="both"/>
              <w:rPr>
                <w:rFonts w:hint="default"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④河道内总体景观差，</w:t>
            </w:r>
            <w:r>
              <w:rPr>
                <w:rFonts w:hint="eastAsia" w:ascii="宋体" w:hAnsi="宋体"/>
                <w:color w:val="000000" w:themeColor="text1"/>
                <w:sz w:val="24"/>
                <w:szCs w:val="24"/>
                <w:highlight w:val="none"/>
                <w14:textFill>
                  <w14:solidFill>
                    <w14:schemeClr w14:val="tx1"/>
                  </w14:solidFill>
                </w14:textFill>
              </w:rPr>
              <w:t>未进行</w:t>
            </w:r>
            <w:r>
              <w:rPr>
                <w:rFonts w:hint="eastAsia" w:ascii="宋体" w:hAnsi="宋体"/>
                <w:color w:val="000000" w:themeColor="text1"/>
                <w:sz w:val="24"/>
                <w:szCs w:val="24"/>
                <w:highlight w:val="none"/>
                <w:lang w:val="en-US" w:eastAsia="zh-CN"/>
                <w14:textFill>
                  <w14:solidFill>
                    <w14:schemeClr w14:val="tx1"/>
                  </w14:solidFill>
                </w14:textFill>
              </w:rPr>
              <w:t>维护</w:t>
            </w:r>
            <w:r>
              <w:rPr>
                <w:rFonts w:hint="eastAsia" w:ascii="宋体" w:hAnsi="宋体"/>
                <w:color w:val="000000" w:themeColor="text1"/>
                <w:sz w:val="24"/>
                <w:szCs w:val="24"/>
                <w:highlight w:val="none"/>
                <w14:textFill>
                  <w14:solidFill>
                    <w14:schemeClr w14:val="tx1"/>
                  </w14:solidFill>
                </w14:textFill>
              </w:rPr>
              <w:t>的，扣</w:t>
            </w:r>
            <w:r>
              <w:rPr>
                <w:rFonts w:hint="eastAsia" w:ascii="宋体" w:hAnsi="宋体"/>
                <w:color w:val="000000" w:themeColor="text1"/>
                <w:sz w:val="24"/>
                <w:szCs w:val="24"/>
                <w:highlight w:val="none"/>
                <w:lang w:val="en-US" w:eastAsia="zh-CN"/>
                <w14:textFill>
                  <w14:solidFill>
                    <w14:schemeClr w14:val="tx1"/>
                  </w14:solidFill>
                </w14:textFill>
              </w:rPr>
              <w:t>200元。</w:t>
            </w:r>
          </w:p>
        </w:tc>
      </w:tr>
      <w:tr w14:paraId="0DA723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9" w:hRule="atLeast"/>
          <w:jc w:val="center"/>
        </w:trPr>
        <w:tc>
          <w:tcPr>
            <w:tcW w:w="914" w:type="dxa"/>
            <w:tcBorders>
              <w:top w:val="nil"/>
              <w:left w:val="single" w:color="auto" w:sz="4" w:space="0"/>
              <w:right w:val="single" w:color="auto" w:sz="4" w:space="0"/>
            </w:tcBorders>
            <w:noWrap w:val="0"/>
            <w:vAlign w:val="center"/>
          </w:tcPr>
          <w:p w14:paraId="71D19DCE">
            <w:pPr>
              <w:keepNext w:val="0"/>
              <w:keepLines w:val="0"/>
              <w:suppressLineNumbers w:val="0"/>
              <w:spacing w:before="0" w:beforeAutospacing="0" w:after="0" w:afterAutospacing="0" w:line="400" w:lineRule="exact"/>
              <w:ind w:left="0" w:right="0"/>
              <w:jc w:val="center"/>
              <w:rPr>
                <w:rFonts w:hint="eastAsia"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3</w:t>
            </w:r>
          </w:p>
        </w:tc>
        <w:tc>
          <w:tcPr>
            <w:tcW w:w="1630" w:type="dxa"/>
            <w:tcBorders>
              <w:top w:val="nil"/>
              <w:left w:val="single" w:color="auto" w:sz="4" w:space="0"/>
              <w:right w:val="single" w:color="auto" w:sz="4" w:space="0"/>
            </w:tcBorders>
            <w:noWrap w:val="0"/>
            <w:vAlign w:val="center"/>
          </w:tcPr>
          <w:p w14:paraId="1AF90E2F">
            <w:pPr>
              <w:keepNext w:val="0"/>
              <w:keepLines w:val="0"/>
              <w:suppressLineNumbers w:val="0"/>
              <w:spacing w:before="0" w:beforeAutospacing="0" w:after="0" w:afterAutospacing="0" w:line="400" w:lineRule="exact"/>
              <w:ind w:left="0" w:right="0"/>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肥水管理</w:t>
            </w:r>
          </w:p>
        </w:tc>
        <w:tc>
          <w:tcPr>
            <w:tcW w:w="6369" w:type="dxa"/>
            <w:tcBorders>
              <w:top w:val="single" w:color="auto" w:sz="4" w:space="0"/>
              <w:left w:val="single" w:color="auto" w:sz="4" w:space="0"/>
              <w:bottom w:val="single" w:color="auto" w:sz="4" w:space="0"/>
              <w:right w:val="single" w:color="auto" w:sz="4" w:space="0"/>
            </w:tcBorders>
            <w:noWrap w:val="0"/>
            <w:vAlign w:val="center"/>
          </w:tcPr>
          <w:p w14:paraId="2762E166">
            <w:pPr>
              <w:keepNext w:val="0"/>
              <w:keepLines w:val="0"/>
              <w:suppressLineNumbers w:val="0"/>
              <w:spacing w:before="0" w:beforeAutospacing="0" w:after="0" w:afterAutospacing="0" w:line="400" w:lineRule="exact"/>
              <w:ind w:left="0" w:right="0"/>
              <w:jc w:val="both"/>
              <w:rPr>
                <w:rFonts w:hint="default"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不及时进行施肥或发生肥害致使植株枯死的</w:t>
            </w:r>
            <w:r>
              <w:rPr>
                <w:rFonts w:hint="eastAsia" w:ascii="宋体" w:hAnsi="宋体"/>
                <w:color w:val="000000" w:themeColor="text1"/>
                <w:sz w:val="24"/>
                <w:szCs w:val="24"/>
                <w:highlight w:val="none"/>
                <w:lang w:val="en-US" w:eastAsia="zh-CN"/>
                <w14:textFill>
                  <w14:solidFill>
                    <w14:schemeClr w14:val="tx1"/>
                  </w14:solidFill>
                </w14:textFill>
              </w:rPr>
              <w:t>扣1000元。</w:t>
            </w:r>
          </w:p>
        </w:tc>
      </w:tr>
      <w:tr w14:paraId="76C568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22" w:hRule="atLeast"/>
          <w:jc w:val="center"/>
        </w:trPr>
        <w:tc>
          <w:tcPr>
            <w:tcW w:w="914" w:type="dxa"/>
            <w:vMerge w:val="restart"/>
            <w:tcBorders>
              <w:top w:val="nil"/>
              <w:left w:val="single" w:color="auto" w:sz="4" w:space="0"/>
              <w:bottom w:val="single" w:color="auto" w:sz="4" w:space="0"/>
              <w:right w:val="single" w:color="auto" w:sz="4" w:space="0"/>
            </w:tcBorders>
            <w:noWrap w:val="0"/>
            <w:vAlign w:val="center"/>
          </w:tcPr>
          <w:p w14:paraId="58C689DB">
            <w:pPr>
              <w:keepNext w:val="0"/>
              <w:keepLines w:val="0"/>
              <w:suppressLineNumbers w:val="0"/>
              <w:spacing w:before="0" w:beforeAutospacing="0" w:after="0" w:afterAutospacing="0" w:line="400" w:lineRule="exact"/>
              <w:ind w:left="0" w:right="0"/>
              <w:jc w:val="center"/>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4</w:t>
            </w:r>
          </w:p>
        </w:tc>
        <w:tc>
          <w:tcPr>
            <w:tcW w:w="1630" w:type="dxa"/>
            <w:vMerge w:val="restart"/>
            <w:tcBorders>
              <w:top w:val="nil"/>
              <w:left w:val="single" w:color="auto" w:sz="4" w:space="0"/>
              <w:bottom w:val="single" w:color="auto" w:sz="4" w:space="0"/>
              <w:right w:val="single" w:color="auto" w:sz="4" w:space="0"/>
            </w:tcBorders>
            <w:noWrap w:val="0"/>
            <w:vAlign w:val="center"/>
          </w:tcPr>
          <w:p w14:paraId="2258AEF9">
            <w:pPr>
              <w:keepNext w:val="0"/>
              <w:keepLines w:val="0"/>
              <w:suppressLineNumbers w:val="0"/>
              <w:spacing w:before="0" w:beforeAutospacing="0" w:after="0" w:afterAutospacing="0" w:line="400" w:lineRule="exact"/>
              <w:ind w:left="0" w:right="0"/>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病虫害防治  </w:t>
            </w:r>
          </w:p>
          <w:p w14:paraId="7023E166">
            <w:pPr>
              <w:keepNext w:val="0"/>
              <w:keepLines w:val="0"/>
              <w:suppressLineNumbers w:val="0"/>
              <w:spacing w:before="0" w:beforeAutospacing="0" w:after="0" w:afterAutospacing="0" w:line="400" w:lineRule="exact"/>
              <w:ind w:left="0" w:right="0" w:firstLine="601"/>
              <w:jc w:val="center"/>
              <w:rPr>
                <w:rFonts w:hint="eastAsia" w:ascii="宋体" w:hAnsi="宋体"/>
                <w:color w:val="000000" w:themeColor="text1"/>
                <w:sz w:val="24"/>
                <w:szCs w:val="24"/>
                <w:highlight w:val="none"/>
                <w14:textFill>
                  <w14:solidFill>
                    <w14:schemeClr w14:val="tx1"/>
                  </w14:solidFill>
                </w14:textFill>
              </w:rPr>
            </w:pPr>
          </w:p>
        </w:tc>
        <w:tc>
          <w:tcPr>
            <w:tcW w:w="6369" w:type="dxa"/>
            <w:tcBorders>
              <w:top w:val="single" w:color="auto" w:sz="4" w:space="0"/>
              <w:left w:val="single" w:color="auto" w:sz="4" w:space="0"/>
              <w:bottom w:val="single" w:color="auto" w:sz="4" w:space="0"/>
              <w:right w:val="single" w:color="auto" w:sz="4" w:space="0"/>
            </w:tcBorders>
            <w:noWrap w:val="0"/>
            <w:vAlign w:val="center"/>
          </w:tcPr>
          <w:p w14:paraId="25F9AC9C">
            <w:pPr>
              <w:keepNext w:val="0"/>
              <w:keepLines w:val="0"/>
              <w:suppressLineNumbers w:val="0"/>
              <w:spacing w:before="0" w:beforeAutospacing="0" w:after="0" w:afterAutospacing="0" w:line="400" w:lineRule="exact"/>
              <w:ind w:left="0" w:right="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发生病虫害未及时防治、未及时清理防治越冬虫蛹及有关病原体，影响植物生长和景观效果的扣</w:t>
            </w:r>
            <w:r>
              <w:rPr>
                <w:rFonts w:hint="eastAsia" w:ascii="宋体" w:hAnsi="宋体"/>
                <w:color w:val="000000" w:themeColor="text1"/>
                <w:sz w:val="24"/>
                <w:szCs w:val="24"/>
                <w:highlight w:val="none"/>
                <w:lang w:val="en-US" w:eastAsia="zh-CN"/>
                <w14:textFill>
                  <w14:solidFill>
                    <w14:schemeClr w14:val="tx1"/>
                  </w14:solidFill>
                </w14:textFill>
              </w:rPr>
              <w:t>200元。</w:t>
            </w:r>
          </w:p>
        </w:tc>
      </w:tr>
      <w:tr w14:paraId="56E4C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3" w:hRule="atLeast"/>
          <w:jc w:val="center"/>
        </w:trPr>
        <w:tc>
          <w:tcPr>
            <w:tcW w:w="914" w:type="dxa"/>
            <w:vMerge w:val="continue"/>
            <w:tcBorders>
              <w:top w:val="nil"/>
              <w:left w:val="single" w:color="auto" w:sz="4" w:space="0"/>
              <w:bottom w:val="single" w:color="auto" w:sz="4" w:space="0"/>
              <w:right w:val="single" w:color="auto" w:sz="4" w:space="0"/>
            </w:tcBorders>
            <w:noWrap w:val="0"/>
            <w:vAlign w:val="center"/>
          </w:tcPr>
          <w:p w14:paraId="784C09BB">
            <w:pPr>
              <w:keepNext w:val="0"/>
              <w:keepLines w:val="0"/>
              <w:widowControl/>
              <w:suppressLineNumbers w:val="0"/>
              <w:spacing w:before="0" w:beforeAutospacing="0" w:after="0" w:afterAutospacing="0"/>
              <w:ind w:left="0" w:right="0"/>
              <w:jc w:val="center"/>
              <w:rPr>
                <w:rFonts w:hint="default" w:ascii="宋体" w:hAnsi="宋体"/>
                <w:color w:val="000000" w:themeColor="text1"/>
                <w:sz w:val="24"/>
                <w:szCs w:val="24"/>
                <w:highlight w:val="none"/>
                <w14:textFill>
                  <w14:solidFill>
                    <w14:schemeClr w14:val="tx1"/>
                  </w14:solidFill>
                </w14:textFill>
              </w:rPr>
            </w:pPr>
          </w:p>
        </w:tc>
        <w:tc>
          <w:tcPr>
            <w:tcW w:w="1630" w:type="dxa"/>
            <w:vMerge w:val="continue"/>
            <w:tcBorders>
              <w:top w:val="nil"/>
              <w:left w:val="single" w:color="auto" w:sz="4" w:space="0"/>
              <w:bottom w:val="single" w:color="auto" w:sz="4" w:space="0"/>
              <w:right w:val="single" w:color="auto" w:sz="4" w:space="0"/>
            </w:tcBorders>
            <w:noWrap w:val="0"/>
            <w:vAlign w:val="center"/>
          </w:tcPr>
          <w:p w14:paraId="6101CEB1">
            <w:pPr>
              <w:keepNext w:val="0"/>
              <w:keepLines w:val="0"/>
              <w:widowControl/>
              <w:suppressLineNumbers w:val="0"/>
              <w:spacing w:before="0" w:beforeAutospacing="0" w:after="0" w:afterAutospacing="0"/>
              <w:ind w:left="0" w:right="0"/>
              <w:jc w:val="center"/>
              <w:rPr>
                <w:rFonts w:hint="default" w:ascii="宋体" w:hAnsi="宋体"/>
                <w:color w:val="000000" w:themeColor="text1"/>
                <w:sz w:val="24"/>
                <w:szCs w:val="24"/>
                <w:highlight w:val="none"/>
                <w14:textFill>
                  <w14:solidFill>
                    <w14:schemeClr w14:val="tx1"/>
                  </w14:solidFill>
                </w14:textFill>
              </w:rPr>
            </w:pPr>
          </w:p>
        </w:tc>
        <w:tc>
          <w:tcPr>
            <w:tcW w:w="6369" w:type="dxa"/>
            <w:tcBorders>
              <w:top w:val="single" w:color="auto" w:sz="4" w:space="0"/>
              <w:left w:val="single" w:color="auto" w:sz="4" w:space="0"/>
              <w:bottom w:val="single" w:color="auto" w:sz="4" w:space="0"/>
              <w:right w:val="single" w:color="auto" w:sz="4" w:space="0"/>
            </w:tcBorders>
            <w:noWrap w:val="0"/>
            <w:vAlign w:val="center"/>
          </w:tcPr>
          <w:p w14:paraId="7924C9A0">
            <w:pPr>
              <w:keepNext w:val="0"/>
              <w:keepLines w:val="0"/>
              <w:suppressLineNumbers w:val="0"/>
              <w:spacing w:before="0" w:beforeAutospacing="0" w:after="0" w:afterAutospacing="0" w:line="400" w:lineRule="exact"/>
              <w:ind w:left="0" w:right="0"/>
              <w:rPr>
                <w:rFonts w:hint="default"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投入有害药物导致水域动物死亡的扣1000元。</w:t>
            </w:r>
          </w:p>
        </w:tc>
      </w:tr>
      <w:tr w14:paraId="602BF1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82" w:hRule="atLeast"/>
          <w:jc w:val="center"/>
        </w:trPr>
        <w:tc>
          <w:tcPr>
            <w:tcW w:w="914" w:type="dxa"/>
            <w:tcBorders>
              <w:top w:val="nil"/>
              <w:left w:val="single" w:color="auto" w:sz="4" w:space="0"/>
              <w:bottom w:val="single" w:color="auto" w:sz="4" w:space="0"/>
              <w:right w:val="single" w:color="auto" w:sz="4" w:space="0"/>
            </w:tcBorders>
            <w:noWrap w:val="0"/>
            <w:vAlign w:val="center"/>
          </w:tcPr>
          <w:p w14:paraId="70E17DB9">
            <w:pPr>
              <w:keepNext w:val="0"/>
              <w:keepLines w:val="0"/>
              <w:widowControl/>
              <w:suppressLineNumbers w:val="0"/>
              <w:spacing w:before="0" w:beforeAutospacing="0" w:after="0" w:afterAutospacing="0"/>
              <w:ind w:left="0" w:right="0"/>
              <w:jc w:val="center"/>
              <w:rPr>
                <w:rFonts w:hint="eastAsia"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5</w:t>
            </w:r>
          </w:p>
        </w:tc>
        <w:tc>
          <w:tcPr>
            <w:tcW w:w="1630" w:type="dxa"/>
            <w:tcBorders>
              <w:top w:val="nil"/>
              <w:left w:val="single" w:color="auto" w:sz="4" w:space="0"/>
              <w:bottom w:val="single" w:color="auto" w:sz="4" w:space="0"/>
              <w:right w:val="single" w:color="auto" w:sz="4" w:space="0"/>
            </w:tcBorders>
            <w:noWrap w:val="0"/>
            <w:vAlign w:val="center"/>
          </w:tcPr>
          <w:p w14:paraId="4FCBEAF4">
            <w:pPr>
              <w:keepNext w:val="0"/>
              <w:keepLines w:val="0"/>
              <w:widowControl/>
              <w:suppressLineNumbers w:val="0"/>
              <w:spacing w:before="0" w:beforeAutospacing="0" w:after="0" w:afterAutospacing="0"/>
              <w:ind w:left="0" w:right="0"/>
              <w:jc w:val="center"/>
              <w:rPr>
                <w:rFonts w:hint="eastAsia"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应急措施</w:t>
            </w:r>
          </w:p>
        </w:tc>
        <w:tc>
          <w:tcPr>
            <w:tcW w:w="6369" w:type="dxa"/>
            <w:tcBorders>
              <w:top w:val="single" w:color="auto" w:sz="4" w:space="0"/>
              <w:left w:val="single" w:color="auto" w:sz="4" w:space="0"/>
              <w:bottom w:val="single" w:color="auto" w:sz="4" w:space="0"/>
              <w:right w:val="single" w:color="auto" w:sz="4" w:space="0"/>
            </w:tcBorders>
            <w:noWrap w:val="0"/>
            <w:vAlign w:val="center"/>
          </w:tcPr>
          <w:p w14:paraId="4826F236">
            <w:pPr>
              <w:keepNext w:val="0"/>
              <w:keepLines w:val="0"/>
              <w:suppressLineNumbers w:val="0"/>
              <w:spacing w:before="0" w:beforeAutospacing="0" w:after="0" w:afterAutospacing="0" w:line="400" w:lineRule="exact"/>
              <w:ind w:left="0" w:right="0"/>
              <w:rPr>
                <w:rFonts w:hint="default" w:ascii="宋体" w:hAnsi="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防台防汛抗旱期间，无切实可行的应急保障措施，扣500元。</w:t>
            </w:r>
          </w:p>
        </w:tc>
      </w:tr>
      <w:tr w14:paraId="1FBF9D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71" w:hRule="atLeast"/>
          <w:jc w:val="center"/>
        </w:trPr>
        <w:tc>
          <w:tcPr>
            <w:tcW w:w="914" w:type="dxa"/>
            <w:tcBorders>
              <w:top w:val="nil"/>
              <w:left w:val="single" w:color="auto" w:sz="4" w:space="0"/>
              <w:bottom w:val="single" w:color="auto" w:sz="4" w:space="0"/>
              <w:right w:val="single" w:color="auto" w:sz="4" w:space="0"/>
            </w:tcBorders>
            <w:noWrap w:val="0"/>
            <w:vAlign w:val="center"/>
          </w:tcPr>
          <w:p w14:paraId="4C29DCE7">
            <w:pPr>
              <w:keepNext w:val="0"/>
              <w:keepLines w:val="0"/>
              <w:suppressLineNumbers w:val="0"/>
              <w:spacing w:before="0" w:beforeAutospacing="0" w:after="0" w:afterAutospacing="0" w:line="400" w:lineRule="exact"/>
              <w:ind w:left="0" w:right="0"/>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6</w:t>
            </w:r>
          </w:p>
        </w:tc>
        <w:tc>
          <w:tcPr>
            <w:tcW w:w="1630" w:type="dxa"/>
            <w:tcBorders>
              <w:top w:val="nil"/>
              <w:left w:val="single" w:color="auto" w:sz="4" w:space="0"/>
              <w:bottom w:val="single" w:color="auto" w:sz="4" w:space="0"/>
              <w:right w:val="single" w:color="auto" w:sz="4" w:space="0"/>
            </w:tcBorders>
            <w:noWrap w:val="0"/>
            <w:vAlign w:val="center"/>
          </w:tcPr>
          <w:p w14:paraId="4F5B4471">
            <w:pPr>
              <w:keepNext w:val="0"/>
              <w:keepLines w:val="0"/>
              <w:suppressLineNumbers w:val="0"/>
              <w:spacing w:before="0" w:beforeAutospacing="0" w:after="0" w:afterAutospacing="0" w:line="400" w:lineRule="exact"/>
              <w:ind w:left="0" w:right="0"/>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环境卫生</w:t>
            </w:r>
          </w:p>
        </w:tc>
        <w:tc>
          <w:tcPr>
            <w:tcW w:w="6369" w:type="dxa"/>
            <w:tcBorders>
              <w:top w:val="single" w:color="auto" w:sz="4" w:space="0"/>
              <w:left w:val="single" w:color="auto" w:sz="4" w:space="0"/>
              <w:bottom w:val="single" w:color="auto" w:sz="4" w:space="0"/>
              <w:right w:val="single" w:color="auto" w:sz="4" w:space="0"/>
            </w:tcBorders>
            <w:noWrap w:val="0"/>
            <w:vAlign w:val="center"/>
          </w:tcPr>
          <w:p w14:paraId="7A707859">
            <w:pPr>
              <w:keepNext w:val="0"/>
              <w:keepLines w:val="0"/>
              <w:suppressLineNumbers w:val="0"/>
              <w:spacing w:before="0" w:beforeAutospacing="0" w:after="0" w:afterAutospacing="0" w:line="400" w:lineRule="exact"/>
              <w:ind w:left="0" w:right="0"/>
              <w:rPr>
                <w:rFonts w:hint="default" w:ascii="宋体" w:hAnsi="宋体"/>
                <w:color w:val="000000" w:themeColor="text1"/>
                <w:sz w:val="24"/>
                <w:szCs w:val="24"/>
                <w:highlight w:val="none"/>
                <w:lang w:val="en-US"/>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收剪、收剪后的水生植物及杂草、垃圾等未及时清除的，扣200元。</w:t>
            </w:r>
          </w:p>
        </w:tc>
      </w:tr>
      <w:tr w14:paraId="02CCFB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71" w:hRule="atLeast"/>
          <w:jc w:val="center"/>
        </w:trPr>
        <w:tc>
          <w:tcPr>
            <w:tcW w:w="914" w:type="dxa"/>
            <w:tcBorders>
              <w:top w:val="nil"/>
              <w:left w:val="single" w:color="auto" w:sz="4" w:space="0"/>
              <w:bottom w:val="single" w:color="auto" w:sz="4" w:space="0"/>
              <w:right w:val="single" w:color="auto" w:sz="4" w:space="0"/>
            </w:tcBorders>
            <w:noWrap w:val="0"/>
            <w:vAlign w:val="center"/>
          </w:tcPr>
          <w:p w14:paraId="46672887">
            <w:pPr>
              <w:keepNext w:val="0"/>
              <w:keepLines w:val="0"/>
              <w:suppressLineNumbers w:val="0"/>
              <w:spacing w:before="0" w:beforeAutospacing="0" w:after="0" w:afterAutospacing="0" w:line="400" w:lineRule="exact"/>
              <w:ind w:left="0" w:right="0"/>
              <w:jc w:val="center"/>
              <w:rPr>
                <w:rFonts w:hint="default"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7</w:t>
            </w:r>
          </w:p>
        </w:tc>
        <w:tc>
          <w:tcPr>
            <w:tcW w:w="1630" w:type="dxa"/>
            <w:tcBorders>
              <w:top w:val="nil"/>
              <w:left w:val="single" w:color="auto" w:sz="4" w:space="0"/>
              <w:bottom w:val="single" w:color="auto" w:sz="4" w:space="0"/>
              <w:right w:val="single" w:color="auto" w:sz="4" w:space="0"/>
            </w:tcBorders>
            <w:noWrap w:val="0"/>
            <w:vAlign w:val="center"/>
          </w:tcPr>
          <w:p w14:paraId="1B8FF009">
            <w:pPr>
              <w:keepNext w:val="0"/>
              <w:keepLines w:val="0"/>
              <w:suppressLineNumbers w:val="0"/>
              <w:spacing w:before="0" w:beforeAutospacing="0" w:after="0" w:afterAutospacing="0" w:line="400" w:lineRule="exact"/>
              <w:ind w:left="0" w:right="0"/>
              <w:jc w:val="center"/>
              <w:rPr>
                <w:rFonts w:hint="default"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安全作业</w:t>
            </w:r>
          </w:p>
        </w:tc>
        <w:tc>
          <w:tcPr>
            <w:tcW w:w="6369" w:type="dxa"/>
            <w:tcBorders>
              <w:top w:val="single" w:color="auto" w:sz="4" w:space="0"/>
              <w:left w:val="single" w:color="auto" w:sz="4" w:space="0"/>
              <w:bottom w:val="single" w:color="auto" w:sz="4" w:space="0"/>
              <w:right w:val="single" w:color="auto" w:sz="4" w:space="0"/>
            </w:tcBorders>
            <w:noWrap w:val="0"/>
            <w:vAlign w:val="center"/>
          </w:tcPr>
          <w:p w14:paraId="5BEE34B6">
            <w:pPr>
              <w:keepNext w:val="0"/>
              <w:keepLines w:val="0"/>
              <w:suppressLineNumbers w:val="0"/>
              <w:spacing w:before="0" w:beforeAutospacing="0" w:after="0" w:afterAutospacing="0" w:line="400" w:lineRule="exact"/>
              <w:ind w:left="0" w:right="0"/>
              <w:rPr>
                <w:rFonts w:hint="default" w:ascii="宋体" w:hAnsi="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养护作业人员未佩戴安全保护措施的每发现一次扣200元。</w:t>
            </w:r>
          </w:p>
        </w:tc>
      </w:tr>
      <w:tr w14:paraId="02F72B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9" w:hRule="atLeast"/>
          <w:jc w:val="center"/>
        </w:trPr>
        <w:tc>
          <w:tcPr>
            <w:tcW w:w="914" w:type="dxa"/>
            <w:tcBorders>
              <w:top w:val="nil"/>
              <w:left w:val="single" w:color="auto" w:sz="4" w:space="0"/>
              <w:bottom w:val="single" w:color="auto" w:sz="4" w:space="0"/>
              <w:right w:val="single" w:color="auto" w:sz="4" w:space="0"/>
            </w:tcBorders>
            <w:noWrap w:val="0"/>
            <w:vAlign w:val="center"/>
          </w:tcPr>
          <w:p w14:paraId="572A5C2D">
            <w:pPr>
              <w:keepNext w:val="0"/>
              <w:keepLines w:val="0"/>
              <w:suppressLineNumbers w:val="0"/>
              <w:spacing w:before="0" w:beforeAutospacing="0" w:after="0" w:afterAutospacing="0" w:line="400" w:lineRule="exact"/>
              <w:ind w:left="0" w:right="0"/>
              <w:jc w:val="center"/>
              <w:rPr>
                <w:rFonts w:hint="default"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8</w:t>
            </w:r>
          </w:p>
        </w:tc>
        <w:tc>
          <w:tcPr>
            <w:tcW w:w="1630" w:type="dxa"/>
            <w:tcBorders>
              <w:top w:val="nil"/>
              <w:left w:val="single" w:color="auto" w:sz="4" w:space="0"/>
              <w:bottom w:val="single" w:color="auto" w:sz="4" w:space="0"/>
              <w:right w:val="single" w:color="auto" w:sz="4" w:space="0"/>
            </w:tcBorders>
            <w:noWrap w:val="0"/>
            <w:vAlign w:val="center"/>
          </w:tcPr>
          <w:p w14:paraId="13851FE3">
            <w:pPr>
              <w:keepNext w:val="0"/>
              <w:keepLines w:val="0"/>
              <w:suppressLineNumbers w:val="0"/>
              <w:spacing w:before="0" w:beforeAutospacing="0" w:after="0" w:afterAutospacing="0" w:line="400" w:lineRule="exact"/>
              <w:ind w:left="0" w:right="0"/>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养护资料</w:t>
            </w:r>
          </w:p>
        </w:tc>
        <w:tc>
          <w:tcPr>
            <w:tcW w:w="6369" w:type="dxa"/>
            <w:tcBorders>
              <w:top w:val="single" w:color="auto" w:sz="4" w:space="0"/>
              <w:left w:val="single" w:color="auto" w:sz="4" w:space="0"/>
              <w:bottom w:val="single" w:color="auto" w:sz="4" w:space="0"/>
              <w:right w:val="single" w:color="auto" w:sz="4" w:space="0"/>
            </w:tcBorders>
            <w:noWrap w:val="0"/>
            <w:vAlign w:val="center"/>
          </w:tcPr>
          <w:p w14:paraId="38D56ACD">
            <w:pPr>
              <w:keepNext w:val="0"/>
              <w:keepLines w:val="0"/>
              <w:suppressLineNumbers w:val="0"/>
              <w:spacing w:before="0" w:beforeAutospacing="0" w:after="0" w:afterAutospacing="0" w:line="400" w:lineRule="exact"/>
              <w:ind w:left="0" w:right="0"/>
              <w:rPr>
                <w:rFonts w:hint="default"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每有一处养护资料、养护台账缺失的扣100元。</w:t>
            </w:r>
          </w:p>
        </w:tc>
      </w:tr>
      <w:tr w14:paraId="612B87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80" w:hRule="atLeast"/>
          <w:jc w:val="center"/>
        </w:trPr>
        <w:tc>
          <w:tcPr>
            <w:tcW w:w="914" w:type="dxa"/>
            <w:tcBorders>
              <w:top w:val="single" w:color="auto" w:sz="4" w:space="0"/>
              <w:left w:val="single" w:color="auto" w:sz="4" w:space="0"/>
              <w:bottom w:val="single" w:color="auto" w:sz="4" w:space="0"/>
              <w:right w:val="single" w:color="auto" w:sz="4" w:space="0"/>
            </w:tcBorders>
            <w:noWrap w:val="0"/>
            <w:vAlign w:val="center"/>
          </w:tcPr>
          <w:p w14:paraId="33CE95D5">
            <w:pPr>
              <w:keepNext w:val="0"/>
              <w:keepLines w:val="0"/>
              <w:suppressLineNumbers w:val="0"/>
              <w:spacing w:before="0" w:beforeAutospacing="0" w:after="0" w:afterAutospacing="0" w:line="400" w:lineRule="exact"/>
              <w:ind w:left="0" w:right="0"/>
              <w:jc w:val="center"/>
              <w:rPr>
                <w:rFonts w:hint="eastAsia"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9</w:t>
            </w:r>
          </w:p>
        </w:tc>
        <w:tc>
          <w:tcPr>
            <w:tcW w:w="1630" w:type="dxa"/>
            <w:tcBorders>
              <w:top w:val="single" w:color="auto" w:sz="4" w:space="0"/>
              <w:left w:val="single" w:color="auto" w:sz="4" w:space="0"/>
              <w:bottom w:val="single" w:color="auto" w:sz="4" w:space="0"/>
              <w:right w:val="single" w:color="auto" w:sz="4" w:space="0"/>
            </w:tcBorders>
            <w:noWrap w:val="0"/>
            <w:vAlign w:val="center"/>
          </w:tcPr>
          <w:p w14:paraId="59D26C60">
            <w:pPr>
              <w:keepNext w:val="0"/>
              <w:keepLines w:val="0"/>
              <w:suppressLineNumbers w:val="0"/>
              <w:spacing w:before="0" w:beforeAutospacing="0" w:after="0" w:afterAutospacing="0" w:line="400" w:lineRule="exact"/>
              <w:ind w:left="0" w:right="0"/>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养护人员</w:t>
            </w:r>
          </w:p>
        </w:tc>
        <w:tc>
          <w:tcPr>
            <w:tcW w:w="6369" w:type="dxa"/>
            <w:tcBorders>
              <w:top w:val="single" w:color="auto" w:sz="4" w:space="0"/>
              <w:left w:val="single" w:color="auto" w:sz="4" w:space="0"/>
              <w:bottom w:val="single" w:color="auto" w:sz="4" w:space="0"/>
              <w:right w:val="single" w:color="auto" w:sz="4" w:space="0"/>
            </w:tcBorders>
            <w:noWrap w:val="0"/>
            <w:vAlign w:val="center"/>
          </w:tcPr>
          <w:p w14:paraId="3EFF1F20">
            <w:pPr>
              <w:keepNext w:val="0"/>
              <w:keepLines w:val="0"/>
              <w:suppressLineNumbers w:val="0"/>
              <w:spacing w:before="0" w:beforeAutospacing="0" w:after="0" w:afterAutospacing="0" w:line="400" w:lineRule="exact"/>
              <w:ind w:left="0" w:right="0"/>
              <w:rPr>
                <w:rFonts w:hint="default" w:ascii="宋体" w:hAnsi="宋体"/>
                <w:color w:val="000000" w:themeColor="text1"/>
                <w:sz w:val="24"/>
                <w:szCs w:val="24"/>
                <w:highlight w:val="none"/>
                <w:lang w:val="en-US"/>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无故缺席或迟到现场考核的，一次扣</w:t>
            </w:r>
            <w:r>
              <w:rPr>
                <w:rFonts w:hint="eastAsia" w:ascii="宋体" w:hAnsi="宋体"/>
                <w:color w:val="000000" w:themeColor="text1"/>
                <w:sz w:val="24"/>
                <w:szCs w:val="24"/>
                <w:highlight w:val="none"/>
                <w:lang w:val="en-US" w:eastAsia="zh-CN"/>
                <w14:textFill>
                  <w14:solidFill>
                    <w14:schemeClr w14:val="tx1"/>
                  </w14:solidFill>
                </w14:textFill>
              </w:rPr>
              <w:t>200元。</w:t>
            </w:r>
          </w:p>
        </w:tc>
      </w:tr>
    </w:tbl>
    <w:p w14:paraId="57A20735">
      <w:pPr>
        <w:spacing w:line="460" w:lineRule="exact"/>
        <w:ind w:firstLine="723"/>
        <w:jc w:val="left"/>
        <w:rPr>
          <w:rFonts w:hint="default" w:ascii="宋体" w:hAnsi="宋体"/>
          <w:b/>
          <w:color w:val="000000" w:themeColor="text1"/>
          <w:sz w:val="24"/>
          <w:szCs w:val="24"/>
          <w:highlight w:val="none"/>
          <w:lang w:val="en-US" w:eastAsia="zh-CN"/>
          <w14:textFill>
            <w14:solidFill>
              <w14:schemeClr w14:val="tx1"/>
            </w14:solidFill>
          </w14:textFill>
        </w:rPr>
      </w:pPr>
      <w:r>
        <w:rPr>
          <w:rFonts w:hint="eastAsia" w:ascii="宋体" w:hAnsi="宋体"/>
          <w:b/>
          <w:color w:val="000000" w:themeColor="text1"/>
          <w:sz w:val="24"/>
          <w:szCs w:val="24"/>
          <w:highlight w:val="none"/>
          <w:lang w:val="en-US" w:eastAsia="zh-CN"/>
          <w14:textFill>
            <w14:solidFill>
              <w14:schemeClr w14:val="tx1"/>
            </w14:solidFill>
          </w14:textFill>
        </w:rPr>
        <w:t>以上考核内容供参考，以合同签订为准。</w:t>
      </w:r>
    </w:p>
    <w:p w14:paraId="0933ADB9">
      <w:pPr>
        <w:spacing w:line="460" w:lineRule="exact"/>
        <w:jc w:val="left"/>
        <w:rPr>
          <w:rFonts w:hint="eastAsia" w:ascii="宋体" w:hAnsi="宋体"/>
          <w:b/>
          <w:color w:val="000000" w:themeColor="text1"/>
          <w:sz w:val="24"/>
          <w:szCs w:val="24"/>
          <w:highlight w:val="none"/>
          <w:lang w:eastAsia="zh-CN"/>
          <w14:textFill>
            <w14:solidFill>
              <w14:schemeClr w14:val="tx1"/>
            </w14:solidFill>
          </w14:textFill>
        </w:rPr>
      </w:pPr>
      <w:r>
        <w:rPr>
          <w:rFonts w:hint="eastAsia" w:ascii="宋体" w:hAnsi="宋体"/>
          <w:b/>
          <w:color w:val="000000" w:themeColor="text1"/>
          <w:sz w:val="24"/>
          <w:szCs w:val="24"/>
          <w:highlight w:val="none"/>
          <w:lang w:eastAsia="zh-CN"/>
          <w14:textFill>
            <w14:solidFill>
              <w14:schemeClr w14:val="tx1"/>
            </w14:solidFill>
          </w14:textFill>
        </w:rPr>
        <w:t>（</w:t>
      </w:r>
      <w:r>
        <w:rPr>
          <w:rFonts w:hint="eastAsia" w:ascii="宋体" w:hAnsi="宋体"/>
          <w:b/>
          <w:color w:val="000000" w:themeColor="text1"/>
          <w:sz w:val="24"/>
          <w:szCs w:val="24"/>
          <w:highlight w:val="none"/>
          <w:lang w:val="en-US" w:eastAsia="zh-CN"/>
          <w14:textFill>
            <w14:solidFill>
              <w14:schemeClr w14:val="tx1"/>
            </w14:solidFill>
          </w14:textFill>
        </w:rPr>
        <w:t>三</w:t>
      </w:r>
      <w:r>
        <w:rPr>
          <w:rFonts w:hint="eastAsia" w:ascii="宋体" w:hAnsi="宋体"/>
          <w:b/>
          <w:color w:val="000000" w:themeColor="text1"/>
          <w:sz w:val="24"/>
          <w:szCs w:val="24"/>
          <w:highlight w:val="none"/>
          <w:lang w:eastAsia="zh-CN"/>
          <w14:textFill>
            <w14:solidFill>
              <w14:schemeClr w14:val="tx1"/>
            </w14:solidFill>
          </w14:textFill>
        </w:rPr>
        <w:t>）</w:t>
      </w:r>
      <w:r>
        <w:rPr>
          <w:rFonts w:hint="eastAsia" w:ascii="宋体" w:hAnsi="宋体"/>
          <w:b/>
          <w:color w:val="000000" w:themeColor="text1"/>
          <w:sz w:val="24"/>
          <w:szCs w:val="24"/>
          <w:highlight w:val="none"/>
          <w:lang w:val="en-US" w:eastAsia="zh-CN"/>
          <w14:textFill>
            <w14:solidFill>
              <w14:schemeClr w14:val="tx1"/>
            </w14:solidFill>
          </w14:textFill>
        </w:rPr>
        <w:t>雨污管网养护、维修管理</w:t>
      </w:r>
    </w:p>
    <w:p w14:paraId="1070FB82">
      <w:pPr>
        <w:pageBreakBefore w:val="0"/>
        <w:spacing w:line="440" w:lineRule="exact"/>
        <w:ind w:firstLine="600"/>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1</w:t>
      </w:r>
      <w:r>
        <w:rPr>
          <w:rFonts w:hint="eastAsia"/>
          <w:color w:val="000000" w:themeColor="text1"/>
          <w:sz w:val="24"/>
          <w:szCs w:val="24"/>
          <w:highlight w:val="none"/>
          <w14:textFill>
            <w14:solidFill>
              <w14:schemeClr w14:val="tx1"/>
            </w14:solidFill>
          </w14:textFill>
        </w:rPr>
        <w:t>、管网和窨井疏通、养护服务工作要求：</w:t>
      </w:r>
    </w:p>
    <w:p w14:paraId="600C95B0">
      <w:pPr>
        <w:pageBreakBefore w:val="0"/>
        <w:spacing w:line="440" w:lineRule="exact"/>
        <w:ind w:right="-159" w:firstLine="720"/>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1.1</w:t>
      </w:r>
      <w:r>
        <w:rPr>
          <w:rFonts w:hint="eastAsia"/>
          <w:color w:val="000000" w:themeColor="text1"/>
          <w:sz w:val="24"/>
          <w:szCs w:val="24"/>
          <w:highlight w:val="none"/>
          <w:lang w:val="en-US" w:eastAsia="zh-CN"/>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投标人应在半小时内赶到故障现场进行疏通、养护服务（包括配件到达现场），一般情节的故障修理须</w:t>
      </w:r>
      <w:r>
        <w:rPr>
          <w:rFonts w:hint="eastAsia"/>
          <w:color w:val="000000" w:themeColor="text1"/>
          <w:sz w:val="24"/>
          <w:szCs w:val="24"/>
          <w:highlight w:val="none"/>
          <w:lang w:val="en-US" w:eastAsia="zh-CN"/>
          <w14:textFill>
            <w14:solidFill>
              <w14:schemeClr w14:val="tx1"/>
            </w14:solidFill>
          </w14:textFill>
        </w:rPr>
        <w:t>8</w:t>
      </w:r>
      <w:r>
        <w:rPr>
          <w:rFonts w:hint="eastAsia"/>
          <w:color w:val="000000" w:themeColor="text1"/>
          <w:sz w:val="24"/>
          <w:szCs w:val="24"/>
          <w:highlight w:val="none"/>
          <w14:textFill>
            <w14:solidFill>
              <w14:schemeClr w14:val="tx1"/>
            </w14:solidFill>
          </w14:textFill>
        </w:rPr>
        <w:t>小时内排除；</w:t>
      </w:r>
      <w:r>
        <w:rPr>
          <w:rFonts w:hint="eastAsia"/>
          <w:color w:val="000000" w:themeColor="text1"/>
          <w:sz w:val="24"/>
          <w:szCs w:val="24"/>
          <w:highlight w:val="none"/>
          <w:lang w:val="en-US" w:eastAsia="zh-CN"/>
          <w14:textFill>
            <w14:solidFill>
              <w14:schemeClr w14:val="tx1"/>
            </w14:solidFill>
          </w14:textFill>
        </w:rPr>
        <w:t>特殊情节2小时内排出</w:t>
      </w:r>
      <w:r>
        <w:rPr>
          <w:rFonts w:hint="eastAsia"/>
          <w:color w:val="000000" w:themeColor="text1"/>
          <w:sz w:val="24"/>
          <w:szCs w:val="24"/>
          <w:highlight w:val="none"/>
          <w14:textFill>
            <w14:solidFill>
              <w14:schemeClr w14:val="tx1"/>
            </w14:solidFill>
          </w14:textFill>
        </w:rPr>
        <w:t>，申报方案后实施。</w:t>
      </w:r>
    </w:p>
    <w:tbl>
      <w:tblPr>
        <w:tblStyle w:val="39"/>
        <w:tblW w:w="10682"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15"/>
        <w:gridCol w:w="3507"/>
        <w:gridCol w:w="1579"/>
        <w:gridCol w:w="1537"/>
        <w:gridCol w:w="3144"/>
      </w:tblGrid>
      <w:tr w14:paraId="5F12D9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15" w:type="dxa"/>
            <w:tcBorders>
              <w:top w:val="single" w:color="000000" w:sz="4" w:space="0"/>
              <w:left w:val="single" w:color="000000" w:sz="4" w:space="0"/>
              <w:bottom w:val="single" w:color="000000" w:sz="4" w:space="0"/>
              <w:right w:val="single" w:color="000000" w:sz="4" w:space="0"/>
            </w:tcBorders>
            <w:noWrap w:val="0"/>
            <w:vAlign w:val="center"/>
          </w:tcPr>
          <w:p w14:paraId="59CA8E42">
            <w:pPr>
              <w:keepNext w:val="0"/>
              <w:keepLines w:val="0"/>
              <w:pageBreakBefore w:val="0"/>
              <w:suppressLineNumbers w:val="0"/>
              <w:spacing w:before="0" w:beforeAutospacing="0" w:after="0" w:afterAutospacing="0" w:line="440" w:lineRule="exact"/>
              <w:ind w:left="0" w:right="0"/>
              <w:jc w:val="center"/>
              <w:rPr>
                <w:rFonts w:hint="default"/>
                <w:color w:val="000000" w:themeColor="text1"/>
                <w:sz w:val="24"/>
                <w:szCs w:val="20"/>
                <w:highlight w:val="none"/>
                <w14:textFill>
                  <w14:solidFill>
                    <w14:schemeClr w14:val="tx1"/>
                  </w14:solidFill>
                </w14:textFill>
              </w:rPr>
            </w:pPr>
            <w:r>
              <w:rPr>
                <w:rFonts w:hint="eastAsia"/>
                <w:color w:val="000000" w:themeColor="text1"/>
                <w:sz w:val="24"/>
                <w:szCs w:val="20"/>
                <w:highlight w:val="none"/>
                <w14:textFill>
                  <w14:solidFill>
                    <w14:schemeClr w14:val="tx1"/>
                  </w14:solidFill>
                </w14:textFill>
              </w:rPr>
              <w:t>序号</w:t>
            </w:r>
          </w:p>
        </w:tc>
        <w:tc>
          <w:tcPr>
            <w:tcW w:w="3507" w:type="dxa"/>
            <w:tcBorders>
              <w:top w:val="single" w:color="000000" w:sz="4" w:space="0"/>
              <w:left w:val="single" w:color="000000" w:sz="4" w:space="0"/>
              <w:bottom w:val="single" w:color="000000" w:sz="4" w:space="0"/>
              <w:right w:val="single" w:color="000000" w:sz="4" w:space="0"/>
            </w:tcBorders>
            <w:noWrap w:val="0"/>
            <w:vAlign w:val="center"/>
          </w:tcPr>
          <w:p w14:paraId="559ADE6F">
            <w:pPr>
              <w:keepNext w:val="0"/>
              <w:keepLines w:val="0"/>
              <w:pageBreakBefore w:val="0"/>
              <w:suppressLineNumbers w:val="0"/>
              <w:spacing w:before="0" w:beforeAutospacing="0" w:after="0" w:afterAutospacing="0" w:line="440" w:lineRule="exact"/>
              <w:ind w:left="0" w:right="0"/>
              <w:jc w:val="center"/>
              <w:rPr>
                <w:rFonts w:hint="default"/>
                <w:color w:val="000000" w:themeColor="text1"/>
                <w:sz w:val="24"/>
                <w:szCs w:val="20"/>
                <w:highlight w:val="none"/>
                <w14:textFill>
                  <w14:solidFill>
                    <w14:schemeClr w14:val="tx1"/>
                  </w14:solidFill>
                </w14:textFill>
              </w:rPr>
            </w:pPr>
            <w:r>
              <w:rPr>
                <w:rFonts w:hint="eastAsia"/>
                <w:color w:val="000000" w:themeColor="text1"/>
                <w:sz w:val="24"/>
                <w:szCs w:val="20"/>
                <w:highlight w:val="none"/>
                <w14:textFill>
                  <w14:solidFill>
                    <w14:schemeClr w14:val="tx1"/>
                  </w14:solidFill>
                </w14:textFill>
              </w:rPr>
              <w:t>故障情况</w:t>
            </w:r>
          </w:p>
        </w:tc>
        <w:tc>
          <w:tcPr>
            <w:tcW w:w="1579" w:type="dxa"/>
            <w:tcBorders>
              <w:top w:val="single" w:color="000000" w:sz="4" w:space="0"/>
              <w:left w:val="single" w:color="000000" w:sz="4" w:space="0"/>
              <w:bottom w:val="single" w:color="000000" w:sz="4" w:space="0"/>
              <w:right w:val="single" w:color="000000" w:sz="4" w:space="0"/>
            </w:tcBorders>
            <w:noWrap w:val="0"/>
            <w:vAlign w:val="center"/>
          </w:tcPr>
          <w:p w14:paraId="464C5250">
            <w:pPr>
              <w:keepNext w:val="0"/>
              <w:keepLines w:val="0"/>
              <w:pageBreakBefore w:val="0"/>
              <w:suppressLineNumbers w:val="0"/>
              <w:spacing w:before="0" w:beforeAutospacing="0" w:after="0" w:afterAutospacing="0" w:line="440" w:lineRule="exact"/>
              <w:ind w:left="0" w:right="0"/>
              <w:jc w:val="center"/>
              <w:rPr>
                <w:rFonts w:hint="default"/>
                <w:color w:val="000000" w:themeColor="text1"/>
                <w:sz w:val="24"/>
                <w:szCs w:val="20"/>
                <w:highlight w:val="none"/>
                <w14:textFill>
                  <w14:solidFill>
                    <w14:schemeClr w14:val="tx1"/>
                  </w14:solidFill>
                </w14:textFill>
              </w:rPr>
            </w:pPr>
            <w:r>
              <w:rPr>
                <w:rFonts w:hint="eastAsia"/>
                <w:color w:val="000000" w:themeColor="text1"/>
                <w:sz w:val="24"/>
                <w:szCs w:val="20"/>
                <w:highlight w:val="none"/>
                <w14:textFill>
                  <w14:solidFill>
                    <w14:schemeClr w14:val="tx1"/>
                  </w14:solidFill>
                </w14:textFill>
              </w:rPr>
              <w:t>响应时间</w:t>
            </w:r>
          </w:p>
        </w:tc>
        <w:tc>
          <w:tcPr>
            <w:tcW w:w="1537" w:type="dxa"/>
            <w:tcBorders>
              <w:top w:val="single" w:color="000000" w:sz="4" w:space="0"/>
              <w:left w:val="single" w:color="000000" w:sz="4" w:space="0"/>
              <w:bottom w:val="single" w:color="000000" w:sz="4" w:space="0"/>
              <w:right w:val="single" w:color="000000" w:sz="4" w:space="0"/>
            </w:tcBorders>
            <w:noWrap w:val="0"/>
            <w:vAlign w:val="center"/>
          </w:tcPr>
          <w:p w14:paraId="025279CE">
            <w:pPr>
              <w:keepNext w:val="0"/>
              <w:keepLines w:val="0"/>
              <w:pageBreakBefore w:val="0"/>
              <w:suppressLineNumbers w:val="0"/>
              <w:spacing w:before="0" w:beforeAutospacing="0" w:after="0" w:afterAutospacing="0" w:line="440" w:lineRule="exact"/>
              <w:ind w:left="0" w:right="0"/>
              <w:jc w:val="center"/>
              <w:rPr>
                <w:rFonts w:hint="default"/>
                <w:color w:val="000000" w:themeColor="text1"/>
                <w:sz w:val="24"/>
                <w:szCs w:val="20"/>
                <w:highlight w:val="none"/>
                <w14:textFill>
                  <w14:solidFill>
                    <w14:schemeClr w14:val="tx1"/>
                  </w14:solidFill>
                </w14:textFill>
              </w:rPr>
            </w:pPr>
            <w:r>
              <w:rPr>
                <w:rFonts w:hint="eastAsia"/>
                <w:color w:val="000000" w:themeColor="text1"/>
                <w:sz w:val="24"/>
                <w:szCs w:val="20"/>
                <w:highlight w:val="none"/>
                <w14:textFill>
                  <w14:solidFill>
                    <w14:schemeClr w14:val="tx1"/>
                  </w14:solidFill>
                </w14:textFill>
              </w:rPr>
              <w:t>到场时间</w:t>
            </w:r>
          </w:p>
        </w:tc>
        <w:tc>
          <w:tcPr>
            <w:tcW w:w="3144" w:type="dxa"/>
            <w:tcBorders>
              <w:top w:val="single" w:color="000000" w:sz="4" w:space="0"/>
              <w:left w:val="single" w:color="000000" w:sz="4" w:space="0"/>
              <w:bottom w:val="single" w:color="000000" w:sz="4" w:space="0"/>
              <w:right w:val="single" w:color="000000" w:sz="4" w:space="0"/>
            </w:tcBorders>
            <w:noWrap w:val="0"/>
            <w:vAlign w:val="center"/>
          </w:tcPr>
          <w:p w14:paraId="57ADB942">
            <w:pPr>
              <w:keepNext w:val="0"/>
              <w:keepLines w:val="0"/>
              <w:pageBreakBefore w:val="0"/>
              <w:suppressLineNumbers w:val="0"/>
              <w:spacing w:before="0" w:beforeAutospacing="0" w:after="0" w:afterAutospacing="0" w:line="440" w:lineRule="exact"/>
              <w:ind w:left="0" w:right="0"/>
              <w:jc w:val="center"/>
              <w:rPr>
                <w:rFonts w:hint="default"/>
                <w:color w:val="000000" w:themeColor="text1"/>
                <w:sz w:val="24"/>
                <w:szCs w:val="20"/>
                <w:highlight w:val="none"/>
                <w14:textFill>
                  <w14:solidFill>
                    <w14:schemeClr w14:val="tx1"/>
                  </w14:solidFill>
                </w14:textFill>
              </w:rPr>
            </w:pPr>
            <w:r>
              <w:rPr>
                <w:rFonts w:hint="eastAsia"/>
                <w:color w:val="000000" w:themeColor="text1"/>
                <w:sz w:val="24"/>
                <w:szCs w:val="20"/>
                <w:highlight w:val="none"/>
                <w14:textFill>
                  <w14:solidFill>
                    <w14:schemeClr w14:val="tx1"/>
                  </w14:solidFill>
                </w14:textFill>
              </w:rPr>
              <w:t>解决问题时间</w:t>
            </w:r>
          </w:p>
        </w:tc>
      </w:tr>
      <w:tr w14:paraId="7B7448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15" w:type="dxa"/>
            <w:tcBorders>
              <w:top w:val="single" w:color="000000" w:sz="4" w:space="0"/>
              <w:left w:val="single" w:color="000000" w:sz="4" w:space="0"/>
              <w:bottom w:val="single" w:color="000000" w:sz="4" w:space="0"/>
              <w:right w:val="single" w:color="000000" w:sz="4" w:space="0"/>
            </w:tcBorders>
            <w:noWrap w:val="0"/>
            <w:vAlign w:val="center"/>
          </w:tcPr>
          <w:p w14:paraId="0096AEA2">
            <w:pPr>
              <w:keepNext w:val="0"/>
              <w:keepLines w:val="0"/>
              <w:pageBreakBefore w:val="0"/>
              <w:suppressLineNumbers w:val="0"/>
              <w:spacing w:before="0" w:beforeAutospacing="0" w:after="0" w:afterAutospacing="0" w:line="440" w:lineRule="exact"/>
              <w:ind w:left="0" w:right="0"/>
              <w:jc w:val="center"/>
              <w:rPr>
                <w:rFonts w:hint="eastAsia" w:eastAsia="宋体"/>
                <w:color w:val="000000" w:themeColor="text1"/>
                <w:sz w:val="24"/>
                <w:szCs w:val="20"/>
                <w:highlight w:val="none"/>
                <w:lang w:eastAsia="zh-CN"/>
                <w14:textFill>
                  <w14:solidFill>
                    <w14:schemeClr w14:val="tx1"/>
                  </w14:solidFill>
                </w14:textFill>
              </w:rPr>
            </w:pPr>
            <w:r>
              <w:rPr>
                <w:rFonts w:hint="eastAsia"/>
                <w:color w:val="000000" w:themeColor="text1"/>
                <w:sz w:val="24"/>
                <w:szCs w:val="20"/>
                <w:highlight w:val="none"/>
                <w:lang w:val="en-US" w:eastAsia="zh-CN"/>
                <w14:textFill>
                  <w14:solidFill>
                    <w14:schemeClr w14:val="tx1"/>
                  </w14:solidFill>
                </w14:textFill>
              </w:rPr>
              <w:t>1</w:t>
            </w:r>
          </w:p>
        </w:tc>
        <w:tc>
          <w:tcPr>
            <w:tcW w:w="3507" w:type="dxa"/>
            <w:tcBorders>
              <w:top w:val="single" w:color="000000" w:sz="4" w:space="0"/>
              <w:left w:val="single" w:color="000000" w:sz="4" w:space="0"/>
              <w:bottom w:val="single" w:color="000000" w:sz="4" w:space="0"/>
              <w:right w:val="single" w:color="000000" w:sz="4" w:space="0"/>
            </w:tcBorders>
            <w:noWrap w:val="0"/>
            <w:vAlign w:val="center"/>
          </w:tcPr>
          <w:p w14:paraId="3504D639">
            <w:pPr>
              <w:keepNext w:val="0"/>
              <w:keepLines w:val="0"/>
              <w:pageBreakBefore w:val="0"/>
              <w:suppressLineNumbers w:val="0"/>
              <w:spacing w:before="0" w:beforeAutospacing="0" w:after="0" w:afterAutospacing="0" w:line="440" w:lineRule="exact"/>
              <w:ind w:left="0" w:right="0"/>
              <w:jc w:val="center"/>
              <w:rPr>
                <w:rFonts w:hint="default"/>
                <w:color w:val="000000" w:themeColor="text1"/>
                <w:sz w:val="24"/>
                <w:szCs w:val="20"/>
                <w:highlight w:val="none"/>
                <w14:textFill>
                  <w14:solidFill>
                    <w14:schemeClr w14:val="tx1"/>
                  </w14:solidFill>
                </w14:textFill>
              </w:rPr>
            </w:pPr>
            <w:r>
              <w:rPr>
                <w:rFonts w:hint="eastAsia"/>
                <w:color w:val="000000" w:themeColor="text1"/>
                <w:sz w:val="24"/>
                <w:szCs w:val="20"/>
                <w:highlight w:val="none"/>
                <w14:textFill>
                  <w14:solidFill>
                    <w14:schemeClr w14:val="tx1"/>
                  </w14:solidFill>
                </w14:textFill>
              </w:rPr>
              <w:t>一般情节</w:t>
            </w:r>
          </w:p>
        </w:tc>
        <w:tc>
          <w:tcPr>
            <w:tcW w:w="1579" w:type="dxa"/>
            <w:tcBorders>
              <w:top w:val="single" w:color="000000" w:sz="4" w:space="0"/>
              <w:left w:val="single" w:color="000000" w:sz="4" w:space="0"/>
              <w:bottom w:val="single" w:color="000000" w:sz="4" w:space="0"/>
              <w:right w:val="single" w:color="000000" w:sz="4" w:space="0"/>
            </w:tcBorders>
            <w:noWrap w:val="0"/>
            <w:vAlign w:val="center"/>
          </w:tcPr>
          <w:p w14:paraId="54B93755">
            <w:pPr>
              <w:keepNext w:val="0"/>
              <w:keepLines w:val="0"/>
              <w:pageBreakBefore w:val="0"/>
              <w:suppressLineNumbers w:val="0"/>
              <w:spacing w:before="0" w:beforeAutospacing="0" w:after="0" w:afterAutospacing="0" w:line="440" w:lineRule="exact"/>
              <w:ind w:left="0" w:right="0"/>
              <w:jc w:val="center"/>
              <w:rPr>
                <w:rFonts w:hint="default"/>
                <w:color w:val="000000" w:themeColor="text1"/>
                <w:sz w:val="24"/>
                <w:szCs w:val="20"/>
                <w:highlight w:val="none"/>
                <w14:textFill>
                  <w14:solidFill>
                    <w14:schemeClr w14:val="tx1"/>
                  </w14:solidFill>
                </w14:textFill>
              </w:rPr>
            </w:pPr>
            <w:r>
              <w:rPr>
                <w:rFonts w:hint="default"/>
                <w:color w:val="000000" w:themeColor="text1"/>
                <w:sz w:val="24"/>
                <w:szCs w:val="20"/>
                <w:highlight w:val="none"/>
                <w14:textFill>
                  <w14:solidFill>
                    <w14:schemeClr w14:val="tx1"/>
                  </w14:solidFill>
                </w14:textFill>
              </w:rPr>
              <w:t>10</w:t>
            </w:r>
            <w:r>
              <w:rPr>
                <w:rFonts w:hint="eastAsia"/>
                <w:color w:val="000000" w:themeColor="text1"/>
                <w:sz w:val="24"/>
                <w:szCs w:val="20"/>
                <w:highlight w:val="none"/>
                <w14:textFill>
                  <w14:solidFill>
                    <w14:schemeClr w14:val="tx1"/>
                  </w14:solidFill>
                </w14:textFill>
              </w:rPr>
              <w:t>分钟</w:t>
            </w:r>
          </w:p>
        </w:tc>
        <w:tc>
          <w:tcPr>
            <w:tcW w:w="1537" w:type="dxa"/>
            <w:tcBorders>
              <w:top w:val="single" w:color="000000" w:sz="4" w:space="0"/>
              <w:left w:val="single" w:color="000000" w:sz="4" w:space="0"/>
              <w:bottom w:val="single" w:color="000000" w:sz="4" w:space="0"/>
              <w:right w:val="single" w:color="000000" w:sz="4" w:space="0"/>
            </w:tcBorders>
            <w:noWrap w:val="0"/>
            <w:vAlign w:val="center"/>
          </w:tcPr>
          <w:p w14:paraId="518871CF">
            <w:pPr>
              <w:keepNext w:val="0"/>
              <w:keepLines w:val="0"/>
              <w:pageBreakBefore w:val="0"/>
              <w:suppressLineNumbers w:val="0"/>
              <w:spacing w:before="0" w:beforeAutospacing="0" w:after="0" w:afterAutospacing="0" w:line="440" w:lineRule="exact"/>
              <w:ind w:left="0" w:right="0"/>
              <w:jc w:val="center"/>
              <w:rPr>
                <w:rFonts w:hint="default"/>
                <w:color w:val="000000" w:themeColor="text1"/>
                <w:sz w:val="24"/>
                <w:szCs w:val="20"/>
                <w:highlight w:val="none"/>
                <w14:textFill>
                  <w14:solidFill>
                    <w14:schemeClr w14:val="tx1"/>
                  </w14:solidFill>
                </w14:textFill>
              </w:rPr>
            </w:pPr>
            <w:r>
              <w:rPr>
                <w:rFonts w:hint="default"/>
                <w:color w:val="000000" w:themeColor="text1"/>
                <w:sz w:val="24"/>
                <w:szCs w:val="20"/>
                <w:highlight w:val="none"/>
                <w14:textFill>
                  <w14:solidFill>
                    <w14:schemeClr w14:val="tx1"/>
                  </w14:solidFill>
                </w14:textFill>
              </w:rPr>
              <w:t>30</w:t>
            </w:r>
            <w:r>
              <w:rPr>
                <w:rFonts w:hint="eastAsia"/>
                <w:color w:val="000000" w:themeColor="text1"/>
                <w:sz w:val="24"/>
                <w:szCs w:val="20"/>
                <w:highlight w:val="none"/>
                <w14:textFill>
                  <w14:solidFill>
                    <w14:schemeClr w14:val="tx1"/>
                  </w14:solidFill>
                </w14:textFill>
              </w:rPr>
              <w:t>分钟</w:t>
            </w:r>
          </w:p>
        </w:tc>
        <w:tc>
          <w:tcPr>
            <w:tcW w:w="3144" w:type="dxa"/>
            <w:tcBorders>
              <w:top w:val="single" w:color="000000" w:sz="4" w:space="0"/>
              <w:left w:val="single" w:color="000000" w:sz="4" w:space="0"/>
              <w:bottom w:val="single" w:color="000000" w:sz="4" w:space="0"/>
              <w:right w:val="single" w:color="000000" w:sz="4" w:space="0"/>
            </w:tcBorders>
            <w:noWrap w:val="0"/>
            <w:vAlign w:val="center"/>
          </w:tcPr>
          <w:p w14:paraId="4C2F1EEF">
            <w:pPr>
              <w:keepNext w:val="0"/>
              <w:keepLines w:val="0"/>
              <w:pageBreakBefore w:val="0"/>
              <w:suppressLineNumbers w:val="0"/>
              <w:spacing w:before="0" w:beforeAutospacing="0" w:after="0" w:afterAutospacing="0" w:line="440" w:lineRule="exact"/>
              <w:ind w:left="0" w:right="0"/>
              <w:jc w:val="center"/>
              <w:rPr>
                <w:rFonts w:hint="default"/>
                <w:color w:val="000000" w:themeColor="text1"/>
                <w:sz w:val="24"/>
                <w:szCs w:val="20"/>
                <w:highlight w:val="none"/>
                <w14:textFill>
                  <w14:solidFill>
                    <w14:schemeClr w14:val="tx1"/>
                  </w14:solidFill>
                </w14:textFill>
              </w:rPr>
            </w:pPr>
            <w:r>
              <w:rPr>
                <w:rFonts w:hint="eastAsia"/>
                <w:color w:val="000000" w:themeColor="text1"/>
                <w:sz w:val="24"/>
                <w:szCs w:val="20"/>
                <w:highlight w:val="none"/>
                <w:lang w:val="en-US" w:eastAsia="zh-CN"/>
                <w14:textFill>
                  <w14:solidFill>
                    <w14:schemeClr w14:val="tx1"/>
                  </w14:solidFill>
                </w14:textFill>
              </w:rPr>
              <w:t>8</w:t>
            </w:r>
            <w:r>
              <w:rPr>
                <w:rFonts w:hint="eastAsia"/>
                <w:color w:val="000000" w:themeColor="text1"/>
                <w:sz w:val="24"/>
                <w:szCs w:val="20"/>
                <w:highlight w:val="none"/>
                <w14:textFill>
                  <w14:solidFill>
                    <w14:schemeClr w14:val="tx1"/>
                  </w14:solidFill>
                </w14:textFill>
              </w:rPr>
              <w:t>小时</w:t>
            </w:r>
          </w:p>
        </w:tc>
      </w:tr>
      <w:tr w14:paraId="200B44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15" w:type="dxa"/>
            <w:tcBorders>
              <w:top w:val="single" w:color="000000" w:sz="4" w:space="0"/>
              <w:left w:val="single" w:color="000000" w:sz="4" w:space="0"/>
              <w:bottom w:val="single" w:color="000000" w:sz="4" w:space="0"/>
              <w:right w:val="single" w:color="000000" w:sz="4" w:space="0"/>
            </w:tcBorders>
            <w:noWrap w:val="0"/>
            <w:vAlign w:val="center"/>
          </w:tcPr>
          <w:p w14:paraId="160A9E75">
            <w:pPr>
              <w:keepNext w:val="0"/>
              <w:keepLines w:val="0"/>
              <w:pageBreakBefore w:val="0"/>
              <w:suppressLineNumbers w:val="0"/>
              <w:spacing w:before="0" w:beforeAutospacing="0" w:after="0" w:afterAutospacing="0" w:line="440" w:lineRule="exact"/>
              <w:ind w:left="0" w:right="0"/>
              <w:jc w:val="center"/>
              <w:rPr>
                <w:rFonts w:hint="eastAsia" w:eastAsia="宋体"/>
                <w:color w:val="000000" w:themeColor="text1"/>
                <w:sz w:val="24"/>
                <w:szCs w:val="20"/>
                <w:highlight w:val="none"/>
                <w:lang w:eastAsia="zh-CN"/>
                <w14:textFill>
                  <w14:solidFill>
                    <w14:schemeClr w14:val="tx1"/>
                  </w14:solidFill>
                </w14:textFill>
              </w:rPr>
            </w:pPr>
            <w:r>
              <w:rPr>
                <w:rFonts w:hint="eastAsia"/>
                <w:color w:val="000000" w:themeColor="text1"/>
                <w:sz w:val="24"/>
                <w:szCs w:val="20"/>
                <w:highlight w:val="none"/>
                <w:lang w:val="en-US" w:eastAsia="zh-CN"/>
                <w14:textFill>
                  <w14:solidFill>
                    <w14:schemeClr w14:val="tx1"/>
                  </w14:solidFill>
                </w14:textFill>
              </w:rPr>
              <w:t>2</w:t>
            </w:r>
          </w:p>
        </w:tc>
        <w:tc>
          <w:tcPr>
            <w:tcW w:w="3507" w:type="dxa"/>
            <w:tcBorders>
              <w:top w:val="single" w:color="000000" w:sz="4" w:space="0"/>
              <w:left w:val="single" w:color="000000" w:sz="4" w:space="0"/>
              <w:bottom w:val="single" w:color="000000" w:sz="4" w:space="0"/>
              <w:right w:val="single" w:color="000000" w:sz="4" w:space="0"/>
            </w:tcBorders>
            <w:noWrap w:val="0"/>
            <w:vAlign w:val="center"/>
          </w:tcPr>
          <w:p w14:paraId="05DE3AAA">
            <w:pPr>
              <w:keepNext w:val="0"/>
              <w:keepLines w:val="0"/>
              <w:pageBreakBefore w:val="0"/>
              <w:suppressLineNumbers w:val="0"/>
              <w:spacing w:before="0" w:beforeAutospacing="0" w:after="0" w:afterAutospacing="0" w:line="440" w:lineRule="exact"/>
              <w:ind w:left="0" w:right="0"/>
              <w:jc w:val="center"/>
              <w:rPr>
                <w:rFonts w:hint="default"/>
                <w:color w:val="000000" w:themeColor="text1"/>
                <w:sz w:val="24"/>
                <w:szCs w:val="20"/>
                <w:highlight w:val="none"/>
                <w14:textFill>
                  <w14:solidFill>
                    <w14:schemeClr w14:val="tx1"/>
                  </w14:solidFill>
                </w14:textFill>
              </w:rPr>
            </w:pPr>
            <w:r>
              <w:rPr>
                <w:rFonts w:hint="eastAsia"/>
                <w:color w:val="000000" w:themeColor="text1"/>
                <w:sz w:val="24"/>
                <w:szCs w:val="20"/>
                <w:highlight w:val="none"/>
                <w14:textFill>
                  <w14:solidFill>
                    <w14:schemeClr w14:val="tx1"/>
                  </w14:solidFill>
                </w14:textFill>
              </w:rPr>
              <w:t>特殊情节</w:t>
            </w:r>
          </w:p>
        </w:tc>
        <w:tc>
          <w:tcPr>
            <w:tcW w:w="1579" w:type="dxa"/>
            <w:tcBorders>
              <w:top w:val="single" w:color="000000" w:sz="4" w:space="0"/>
              <w:left w:val="single" w:color="000000" w:sz="4" w:space="0"/>
              <w:bottom w:val="single" w:color="000000" w:sz="4" w:space="0"/>
              <w:right w:val="single" w:color="000000" w:sz="4" w:space="0"/>
            </w:tcBorders>
            <w:noWrap w:val="0"/>
            <w:vAlign w:val="center"/>
          </w:tcPr>
          <w:p w14:paraId="4DDF245E">
            <w:pPr>
              <w:keepNext w:val="0"/>
              <w:keepLines w:val="0"/>
              <w:pageBreakBefore w:val="0"/>
              <w:suppressLineNumbers w:val="0"/>
              <w:spacing w:before="0" w:beforeAutospacing="0" w:after="0" w:afterAutospacing="0" w:line="440" w:lineRule="exact"/>
              <w:ind w:left="0" w:right="0"/>
              <w:jc w:val="center"/>
              <w:rPr>
                <w:rFonts w:hint="default"/>
                <w:color w:val="000000" w:themeColor="text1"/>
                <w:sz w:val="24"/>
                <w:szCs w:val="20"/>
                <w:highlight w:val="none"/>
                <w14:textFill>
                  <w14:solidFill>
                    <w14:schemeClr w14:val="tx1"/>
                  </w14:solidFill>
                </w14:textFill>
              </w:rPr>
            </w:pPr>
            <w:r>
              <w:rPr>
                <w:rFonts w:hint="default"/>
                <w:color w:val="000000" w:themeColor="text1"/>
                <w:sz w:val="24"/>
                <w:szCs w:val="20"/>
                <w:highlight w:val="none"/>
                <w14:textFill>
                  <w14:solidFill>
                    <w14:schemeClr w14:val="tx1"/>
                  </w14:solidFill>
                </w14:textFill>
              </w:rPr>
              <w:t>10</w:t>
            </w:r>
            <w:r>
              <w:rPr>
                <w:rFonts w:hint="eastAsia"/>
                <w:color w:val="000000" w:themeColor="text1"/>
                <w:sz w:val="24"/>
                <w:szCs w:val="20"/>
                <w:highlight w:val="none"/>
                <w14:textFill>
                  <w14:solidFill>
                    <w14:schemeClr w14:val="tx1"/>
                  </w14:solidFill>
                </w14:textFill>
              </w:rPr>
              <w:t>分钟</w:t>
            </w:r>
          </w:p>
        </w:tc>
        <w:tc>
          <w:tcPr>
            <w:tcW w:w="1537" w:type="dxa"/>
            <w:tcBorders>
              <w:top w:val="single" w:color="000000" w:sz="4" w:space="0"/>
              <w:left w:val="single" w:color="000000" w:sz="4" w:space="0"/>
              <w:bottom w:val="single" w:color="000000" w:sz="4" w:space="0"/>
              <w:right w:val="single" w:color="000000" w:sz="4" w:space="0"/>
            </w:tcBorders>
            <w:noWrap w:val="0"/>
            <w:vAlign w:val="center"/>
          </w:tcPr>
          <w:p w14:paraId="68D3B310">
            <w:pPr>
              <w:keepNext w:val="0"/>
              <w:keepLines w:val="0"/>
              <w:pageBreakBefore w:val="0"/>
              <w:suppressLineNumbers w:val="0"/>
              <w:spacing w:before="0" w:beforeAutospacing="0" w:after="0" w:afterAutospacing="0" w:line="440" w:lineRule="exact"/>
              <w:ind w:left="0" w:right="0"/>
              <w:jc w:val="center"/>
              <w:rPr>
                <w:rFonts w:hint="default"/>
                <w:color w:val="000000" w:themeColor="text1"/>
                <w:sz w:val="24"/>
                <w:szCs w:val="20"/>
                <w:highlight w:val="none"/>
                <w14:textFill>
                  <w14:solidFill>
                    <w14:schemeClr w14:val="tx1"/>
                  </w14:solidFill>
                </w14:textFill>
              </w:rPr>
            </w:pPr>
            <w:r>
              <w:rPr>
                <w:rFonts w:hint="default"/>
                <w:color w:val="000000" w:themeColor="text1"/>
                <w:sz w:val="24"/>
                <w:szCs w:val="20"/>
                <w:highlight w:val="none"/>
                <w14:textFill>
                  <w14:solidFill>
                    <w14:schemeClr w14:val="tx1"/>
                  </w14:solidFill>
                </w14:textFill>
              </w:rPr>
              <w:t>30</w:t>
            </w:r>
            <w:r>
              <w:rPr>
                <w:rFonts w:hint="eastAsia"/>
                <w:color w:val="000000" w:themeColor="text1"/>
                <w:sz w:val="24"/>
                <w:szCs w:val="20"/>
                <w:highlight w:val="none"/>
                <w14:textFill>
                  <w14:solidFill>
                    <w14:schemeClr w14:val="tx1"/>
                  </w14:solidFill>
                </w14:textFill>
              </w:rPr>
              <w:t>分钟</w:t>
            </w:r>
          </w:p>
        </w:tc>
        <w:tc>
          <w:tcPr>
            <w:tcW w:w="3144" w:type="dxa"/>
            <w:tcBorders>
              <w:top w:val="single" w:color="000000" w:sz="4" w:space="0"/>
              <w:left w:val="single" w:color="000000" w:sz="4" w:space="0"/>
              <w:bottom w:val="single" w:color="000000" w:sz="4" w:space="0"/>
              <w:right w:val="single" w:color="000000" w:sz="4" w:space="0"/>
            </w:tcBorders>
            <w:noWrap w:val="0"/>
            <w:vAlign w:val="center"/>
          </w:tcPr>
          <w:p w14:paraId="0CBBA770">
            <w:pPr>
              <w:keepNext w:val="0"/>
              <w:keepLines w:val="0"/>
              <w:pageBreakBefore w:val="0"/>
              <w:suppressLineNumbers w:val="0"/>
              <w:spacing w:before="0" w:beforeAutospacing="0" w:after="0" w:afterAutospacing="0" w:line="440" w:lineRule="exact"/>
              <w:ind w:left="0" w:right="0"/>
              <w:jc w:val="center"/>
              <w:rPr>
                <w:rFonts w:hint="default" w:eastAsia="宋体"/>
                <w:color w:val="000000" w:themeColor="text1"/>
                <w:sz w:val="24"/>
                <w:szCs w:val="20"/>
                <w:highlight w:val="none"/>
                <w:lang w:val="en-US" w:eastAsia="zh-CN"/>
                <w14:textFill>
                  <w14:solidFill>
                    <w14:schemeClr w14:val="tx1"/>
                  </w14:solidFill>
                </w14:textFill>
              </w:rPr>
            </w:pPr>
            <w:r>
              <w:rPr>
                <w:rFonts w:hint="eastAsia"/>
                <w:color w:val="000000" w:themeColor="text1"/>
                <w:sz w:val="24"/>
                <w:szCs w:val="20"/>
                <w:highlight w:val="none"/>
                <w:lang w:val="en-US" w:eastAsia="zh-CN"/>
                <w14:textFill>
                  <w14:solidFill>
                    <w14:schemeClr w14:val="tx1"/>
                  </w14:solidFill>
                </w14:textFill>
              </w:rPr>
              <w:t>2小时</w:t>
            </w:r>
          </w:p>
        </w:tc>
      </w:tr>
    </w:tbl>
    <w:p w14:paraId="04623B85">
      <w:pPr>
        <w:pageBreakBefore w:val="0"/>
        <w:spacing w:line="440" w:lineRule="exact"/>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注：轻微情节：正确的操作可预防发生故障。</w:t>
      </w:r>
    </w:p>
    <w:p w14:paraId="2F3CA8F4">
      <w:pPr>
        <w:pageBreakBefore w:val="0"/>
        <w:spacing w:line="440" w:lineRule="exact"/>
        <w:ind w:firstLine="96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一般情节：管网通水不畅。</w:t>
      </w:r>
    </w:p>
    <w:p w14:paraId="1FDBBD34">
      <w:pPr>
        <w:pageBreakBefore w:val="0"/>
        <w:spacing w:line="440" w:lineRule="exact"/>
        <w:ind w:firstLine="96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特殊情节：</w:t>
      </w:r>
      <w:r>
        <w:rPr>
          <w:rFonts w:hint="eastAsia"/>
          <w:color w:val="000000" w:themeColor="text1"/>
          <w:sz w:val="24"/>
          <w:szCs w:val="24"/>
          <w:highlight w:val="none"/>
          <w:lang w:val="en-US" w:eastAsia="zh-CN"/>
          <w14:textFill>
            <w14:solidFill>
              <w14:schemeClr w14:val="tx1"/>
            </w14:solidFill>
          </w14:textFill>
        </w:rPr>
        <w:t>12345等紧急情况</w:t>
      </w:r>
      <w:r>
        <w:rPr>
          <w:rFonts w:hint="eastAsia"/>
          <w:color w:val="000000" w:themeColor="text1"/>
          <w:sz w:val="24"/>
          <w:szCs w:val="24"/>
          <w:highlight w:val="none"/>
          <w14:textFill>
            <w14:solidFill>
              <w14:schemeClr w14:val="tx1"/>
            </w14:solidFill>
          </w14:textFill>
        </w:rPr>
        <w:t>。</w:t>
      </w:r>
    </w:p>
    <w:p w14:paraId="7F7939EC">
      <w:pPr>
        <w:pageBreakBefore w:val="0"/>
        <w:spacing w:line="440" w:lineRule="exact"/>
        <w:ind w:firstLine="600"/>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投标人负责处置疏通产生的所有垃圾、污泥，包括运输以及合法合理地处置。</w:t>
      </w:r>
    </w:p>
    <w:p w14:paraId="27D8C118">
      <w:pPr>
        <w:pageBreakBefore w:val="0"/>
        <w:spacing w:line="440" w:lineRule="exact"/>
        <w:ind w:firstLine="600"/>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t>1.2</w:t>
      </w:r>
      <w:r>
        <w:rPr>
          <w:rFonts w:hint="eastAsia"/>
          <w:color w:val="000000" w:themeColor="text1"/>
          <w:sz w:val="24"/>
          <w:szCs w:val="20"/>
          <w:highlight w:val="none"/>
          <w:lang w:val="en-US" w:eastAsia="zh-CN"/>
          <w14:textFill>
            <w14:solidFill>
              <w14:schemeClr w14:val="tx1"/>
            </w14:solidFill>
          </w14:textFill>
        </w:rPr>
        <w:t xml:space="preserve"> </w:t>
      </w:r>
      <w:r>
        <w:rPr>
          <w:rFonts w:hint="eastAsia"/>
          <w:color w:val="000000" w:themeColor="text1"/>
          <w:sz w:val="24"/>
          <w:szCs w:val="20"/>
          <w:highlight w:val="none"/>
          <w14:textFill>
            <w14:solidFill>
              <w14:schemeClr w14:val="tx1"/>
            </w14:solidFill>
          </w14:textFill>
        </w:rPr>
        <w:t>清淤疏通</w:t>
      </w:r>
    </w:p>
    <w:p w14:paraId="16D59DB4">
      <w:pPr>
        <w:pageBreakBefore w:val="0"/>
        <w:spacing w:line="440" w:lineRule="exact"/>
        <w:ind w:firstLine="1060"/>
        <w:rPr>
          <w:color w:val="000000" w:themeColor="text1"/>
          <w:sz w:val="24"/>
          <w:szCs w:val="20"/>
          <w:highlight w:val="none"/>
          <w14:textFill>
            <w14:solidFill>
              <w14:schemeClr w14:val="tx1"/>
            </w14:solidFill>
          </w14:textFill>
        </w:rPr>
      </w:pPr>
      <w:r>
        <w:rPr>
          <w:rFonts w:hint="eastAsia"/>
          <w:color w:val="000000" w:themeColor="text1"/>
          <w:sz w:val="24"/>
          <w:szCs w:val="20"/>
          <w:highlight w:val="none"/>
          <w:lang w:val="en-US" w:eastAsia="zh-CN"/>
          <w14:textFill>
            <w14:solidFill>
              <w14:schemeClr w14:val="tx1"/>
            </w14:solidFill>
          </w14:textFill>
        </w:rPr>
        <w:t>①</w:t>
      </w:r>
      <w:r>
        <w:rPr>
          <w:rFonts w:hint="eastAsia"/>
          <w:color w:val="000000" w:themeColor="text1"/>
          <w:sz w:val="24"/>
          <w:szCs w:val="20"/>
          <w:highlight w:val="none"/>
          <w14:textFill>
            <w14:solidFill>
              <w14:schemeClr w14:val="tx1"/>
            </w14:solidFill>
          </w14:textFill>
        </w:rPr>
        <w:t>管道、检查井和污水口内不得留有石块等阻碍排水的杂物。</w:t>
      </w:r>
    </w:p>
    <w:p w14:paraId="181829A3">
      <w:pPr>
        <w:pageBreakBefore w:val="0"/>
        <w:spacing w:line="440" w:lineRule="exact"/>
        <w:ind w:firstLine="1060"/>
        <w:rPr>
          <w:color w:val="000000" w:themeColor="text1"/>
          <w:sz w:val="24"/>
          <w:szCs w:val="20"/>
          <w:highlight w:val="none"/>
          <w14:textFill>
            <w14:solidFill>
              <w14:schemeClr w14:val="tx1"/>
            </w14:solidFill>
          </w14:textFill>
        </w:rPr>
      </w:pPr>
      <w:r>
        <w:rPr>
          <w:rFonts w:hint="eastAsia"/>
          <w:color w:val="000000" w:themeColor="text1"/>
          <w:sz w:val="24"/>
          <w:szCs w:val="20"/>
          <w:highlight w:val="none"/>
          <w:lang w:val="en-US" w:eastAsia="zh-CN"/>
          <w14:textFill>
            <w14:solidFill>
              <w14:schemeClr w14:val="tx1"/>
            </w14:solidFill>
          </w14:textFill>
        </w:rPr>
        <w:t>②</w:t>
      </w:r>
      <w:r>
        <w:rPr>
          <w:rFonts w:hint="eastAsia"/>
          <w:color w:val="000000" w:themeColor="text1"/>
          <w:sz w:val="24"/>
          <w:szCs w:val="20"/>
          <w:highlight w:val="none"/>
          <w14:textFill>
            <w14:solidFill>
              <w14:schemeClr w14:val="tx1"/>
            </w14:solidFill>
          </w14:textFill>
        </w:rPr>
        <w:t>区域内排水设施的疏通以及清淤工作，应确保排水畅通，其允许积泥深度应满足管道检测要求及下表的规定。</w:t>
      </w:r>
    </w:p>
    <w:p w14:paraId="67842C49">
      <w:pPr>
        <w:pageBreakBefore w:val="0"/>
        <w:spacing w:line="440" w:lineRule="exact"/>
        <w:ind w:firstLine="482"/>
        <w:jc w:val="center"/>
        <w:rPr>
          <w:b/>
          <w:color w:val="000000" w:themeColor="text1"/>
          <w:sz w:val="24"/>
          <w:szCs w:val="20"/>
          <w:highlight w:val="none"/>
          <w14:textFill>
            <w14:solidFill>
              <w14:schemeClr w14:val="tx1"/>
            </w14:solidFill>
          </w14:textFill>
        </w:rPr>
      </w:pPr>
      <w:r>
        <w:rPr>
          <w:rFonts w:hint="eastAsia"/>
          <w:b/>
          <w:color w:val="000000" w:themeColor="text1"/>
          <w:sz w:val="24"/>
          <w:szCs w:val="20"/>
          <w:highlight w:val="none"/>
          <w14:textFill>
            <w14:solidFill>
              <w14:schemeClr w14:val="tx1"/>
            </w14:solidFill>
          </w14:textFill>
        </w:rPr>
        <w:t>管道、检查井的允许积泥深度</w:t>
      </w:r>
    </w:p>
    <w:tbl>
      <w:tblPr>
        <w:tblStyle w:val="39"/>
        <w:tblW w:w="8931" w:type="dxa"/>
        <w:tblInd w:w="67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617"/>
        <w:gridCol w:w="3292"/>
        <w:gridCol w:w="3022"/>
      </w:tblGrid>
      <w:tr w14:paraId="06C04E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909" w:type="dxa"/>
            <w:gridSpan w:val="2"/>
            <w:tcBorders>
              <w:top w:val="single" w:color="000000" w:sz="4" w:space="0"/>
              <w:left w:val="single" w:color="000000" w:sz="4" w:space="0"/>
              <w:bottom w:val="single" w:color="000000" w:sz="4" w:space="0"/>
              <w:right w:val="single" w:color="000000" w:sz="4" w:space="0"/>
            </w:tcBorders>
            <w:noWrap w:val="0"/>
            <w:vAlign w:val="center"/>
          </w:tcPr>
          <w:p w14:paraId="1BEB4517">
            <w:pPr>
              <w:keepNext w:val="0"/>
              <w:keepLines w:val="0"/>
              <w:pageBreakBefore w:val="0"/>
              <w:suppressLineNumbers w:val="0"/>
              <w:spacing w:before="0" w:beforeAutospacing="0" w:after="0" w:afterAutospacing="0" w:line="440" w:lineRule="exact"/>
              <w:ind w:left="0" w:right="0"/>
              <w:jc w:val="center"/>
              <w:rPr>
                <w:rFonts w:hint="default"/>
                <w:b/>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设施类别</w:t>
            </w:r>
          </w:p>
        </w:tc>
        <w:tc>
          <w:tcPr>
            <w:tcW w:w="3022" w:type="dxa"/>
            <w:tcBorders>
              <w:top w:val="single" w:color="000000" w:sz="4" w:space="0"/>
              <w:left w:val="single" w:color="000000" w:sz="4" w:space="0"/>
              <w:bottom w:val="single" w:color="000000" w:sz="4" w:space="0"/>
              <w:right w:val="single" w:color="000000" w:sz="4" w:space="0"/>
            </w:tcBorders>
            <w:noWrap w:val="0"/>
            <w:vAlign w:val="top"/>
          </w:tcPr>
          <w:p w14:paraId="26625107">
            <w:pPr>
              <w:keepNext w:val="0"/>
              <w:keepLines w:val="0"/>
              <w:pageBreakBefore w:val="0"/>
              <w:suppressLineNumbers w:val="0"/>
              <w:spacing w:before="0" w:beforeAutospacing="0" w:after="0" w:afterAutospacing="0" w:line="440" w:lineRule="exact"/>
              <w:ind w:left="0" w:right="0"/>
              <w:jc w:val="center"/>
              <w:rPr>
                <w:rFonts w:hint="default"/>
                <w:b/>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允许积泥深度</w:t>
            </w:r>
          </w:p>
        </w:tc>
      </w:tr>
      <w:tr w14:paraId="0AB5B1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909" w:type="dxa"/>
            <w:gridSpan w:val="2"/>
            <w:tcBorders>
              <w:top w:val="single" w:color="000000" w:sz="4" w:space="0"/>
              <w:left w:val="single" w:color="000000" w:sz="4" w:space="0"/>
              <w:bottom w:val="single" w:color="000000" w:sz="4" w:space="0"/>
              <w:right w:val="single" w:color="000000" w:sz="4" w:space="0"/>
            </w:tcBorders>
            <w:noWrap w:val="0"/>
            <w:vAlign w:val="center"/>
          </w:tcPr>
          <w:p w14:paraId="783594FF">
            <w:pPr>
              <w:keepNext w:val="0"/>
              <w:keepLines w:val="0"/>
              <w:pageBreakBefore w:val="0"/>
              <w:suppressLineNumbers w:val="0"/>
              <w:spacing w:before="0" w:beforeAutospacing="0" w:after="0" w:afterAutospacing="0" w:line="440" w:lineRule="exact"/>
              <w:ind w:left="0" w:right="0"/>
              <w:jc w:val="center"/>
              <w:rPr>
                <w:rFonts w:hint="default"/>
                <w:b/>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管道</w:t>
            </w:r>
          </w:p>
        </w:tc>
        <w:tc>
          <w:tcPr>
            <w:tcW w:w="3022" w:type="dxa"/>
            <w:tcBorders>
              <w:top w:val="single" w:color="000000" w:sz="4" w:space="0"/>
              <w:left w:val="single" w:color="000000" w:sz="4" w:space="0"/>
              <w:bottom w:val="single" w:color="000000" w:sz="4" w:space="0"/>
              <w:right w:val="single" w:color="000000" w:sz="4" w:space="0"/>
            </w:tcBorders>
            <w:noWrap w:val="0"/>
            <w:vAlign w:val="top"/>
          </w:tcPr>
          <w:p w14:paraId="19B6D51A">
            <w:pPr>
              <w:keepNext w:val="0"/>
              <w:keepLines w:val="0"/>
              <w:pageBreakBefore w:val="0"/>
              <w:suppressLineNumbers w:val="0"/>
              <w:spacing w:before="0" w:beforeAutospacing="0" w:after="0" w:afterAutospacing="0" w:line="440" w:lineRule="exact"/>
              <w:ind w:left="0" w:right="0"/>
              <w:jc w:val="center"/>
              <w:rPr>
                <w:rFonts w:hint="default"/>
                <w:b/>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管径的</w:t>
            </w:r>
            <w:r>
              <w:rPr>
                <w:rFonts w:hint="default" w:cs="宋体"/>
                <w:color w:val="000000" w:themeColor="text1"/>
                <w:sz w:val="24"/>
                <w:szCs w:val="24"/>
                <w:highlight w:val="none"/>
                <w14:textFill>
                  <w14:solidFill>
                    <w14:schemeClr w14:val="tx1"/>
                  </w14:solidFill>
                </w14:textFill>
              </w:rPr>
              <w:t>1/5</w:t>
            </w:r>
          </w:p>
        </w:tc>
      </w:tr>
      <w:tr w14:paraId="54473F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2617" w:type="dxa"/>
            <w:vMerge w:val="restart"/>
            <w:tcBorders>
              <w:top w:val="single" w:color="000000" w:sz="4" w:space="0"/>
              <w:left w:val="single" w:color="000000" w:sz="4" w:space="0"/>
              <w:bottom w:val="single" w:color="000000" w:sz="4" w:space="0"/>
              <w:right w:val="single" w:color="000000" w:sz="4" w:space="0"/>
            </w:tcBorders>
            <w:noWrap w:val="0"/>
            <w:vAlign w:val="center"/>
          </w:tcPr>
          <w:p w14:paraId="3EF644A2">
            <w:pPr>
              <w:keepNext w:val="0"/>
              <w:keepLines w:val="0"/>
              <w:pageBreakBefore w:val="0"/>
              <w:suppressLineNumbers w:val="0"/>
              <w:spacing w:before="0" w:beforeAutospacing="0" w:after="0" w:afterAutospacing="0" w:line="440" w:lineRule="exact"/>
              <w:ind w:left="0" w:right="0"/>
              <w:jc w:val="center"/>
              <w:rPr>
                <w:rFonts w:hint="default"/>
                <w:b/>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检查井</w:t>
            </w:r>
          </w:p>
        </w:tc>
        <w:tc>
          <w:tcPr>
            <w:tcW w:w="3292" w:type="dxa"/>
            <w:tcBorders>
              <w:top w:val="single" w:color="000000" w:sz="4" w:space="0"/>
              <w:left w:val="single" w:color="000000" w:sz="4" w:space="0"/>
              <w:bottom w:val="single" w:color="000000" w:sz="4" w:space="0"/>
              <w:right w:val="single" w:color="000000" w:sz="4" w:space="0"/>
            </w:tcBorders>
            <w:noWrap w:val="0"/>
            <w:vAlign w:val="center"/>
          </w:tcPr>
          <w:p w14:paraId="5A59FFE2">
            <w:pPr>
              <w:keepNext w:val="0"/>
              <w:keepLines w:val="0"/>
              <w:pageBreakBefore w:val="0"/>
              <w:suppressLineNumbers w:val="0"/>
              <w:spacing w:before="0" w:beforeAutospacing="0" w:after="0" w:afterAutospacing="0" w:line="440" w:lineRule="exact"/>
              <w:ind w:left="0" w:right="0"/>
              <w:jc w:val="center"/>
              <w:rPr>
                <w:rFonts w:hint="default"/>
                <w:b/>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有沉泥槽</w:t>
            </w:r>
          </w:p>
        </w:tc>
        <w:tc>
          <w:tcPr>
            <w:tcW w:w="3022" w:type="dxa"/>
            <w:tcBorders>
              <w:top w:val="single" w:color="000000" w:sz="4" w:space="0"/>
              <w:left w:val="single" w:color="000000" w:sz="4" w:space="0"/>
              <w:bottom w:val="single" w:color="000000" w:sz="4" w:space="0"/>
              <w:right w:val="single" w:color="000000" w:sz="4" w:space="0"/>
            </w:tcBorders>
            <w:noWrap w:val="0"/>
            <w:vAlign w:val="top"/>
          </w:tcPr>
          <w:p w14:paraId="089D426D">
            <w:pPr>
              <w:keepNext w:val="0"/>
              <w:keepLines w:val="0"/>
              <w:pageBreakBefore w:val="0"/>
              <w:suppressLineNumbers w:val="0"/>
              <w:spacing w:before="0" w:beforeAutospacing="0" w:after="0" w:afterAutospacing="0" w:line="440" w:lineRule="exact"/>
              <w:ind w:left="0" w:right="0"/>
              <w:jc w:val="center"/>
              <w:rPr>
                <w:rFonts w:hint="default"/>
                <w:b/>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管底以下</w:t>
            </w:r>
            <w:r>
              <w:rPr>
                <w:rFonts w:hint="default" w:cs="宋体"/>
                <w:color w:val="000000" w:themeColor="text1"/>
                <w:sz w:val="24"/>
                <w:szCs w:val="24"/>
                <w:highlight w:val="none"/>
                <w14:textFill>
                  <w14:solidFill>
                    <w14:schemeClr w14:val="tx1"/>
                  </w14:solidFill>
                </w14:textFill>
              </w:rPr>
              <w:t>50mm</w:t>
            </w:r>
          </w:p>
        </w:tc>
      </w:tr>
      <w:tr w14:paraId="42D6B1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2617" w:type="dxa"/>
            <w:vMerge w:val="continue"/>
            <w:tcBorders>
              <w:top w:val="single" w:color="000000" w:sz="4" w:space="0"/>
              <w:left w:val="single" w:color="000000" w:sz="4" w:space="0"/>
              <w:bottom w:val="single" w:color="000000" w:sz="4" w:space="0"/>
              <w:right w:val="single" w:color="000000" w:sz="4" w:space="0"/>
            </w:tcBorders>
            <w:noWrap w:val="0"/>
            <w:vAlign w:val="center"/>
          </w:tcPr>
          <w:p w14:paraId="2EE70FD4">
            <w:pPr>
              <w:keepNext w:val="0"/>
              <w:keepLines w:val="0"/>
              <w:pageBreakBefore w:val="0"/>
              <w:widowControl/>
              <w:suppressLineNumbers w:val="0"/>
              <w:spacing w:before="0" w:beforeAutospacing="0" w:after="0" w:afterAutospacing="0" w:line="440" w:lineRule="exact"/>
              <w:ind w:left="0" w:right="0"/>
              <w:jc w:val="left"/>
              <w:rPr>
                <w:rFonts w:hint="default"/>
                <w:b/>
                <w:color w:val="000000" w:themeColor="text1"/>
                <w:sz w:val="24"/>
                <w:szCs w:val="24"/>
                <w:highlight w:val="none"/>
                <w14:textFill>
                  <w14:solidFill>
                    <w14:schemeClr w14:val="tx1"/>
                  </w14:solidFill>
                </w14:textFill>
              </w:rPr>
            </w:pPr>
          </w:p>
        </w:tc>
        <w:tc>
          <w:tcPr>
            <w:tcW w:w="3292" w:type="dxa"/>
            <w:tcBorders>
              <w:top w:val="single" w:color="000000" w:sz="4" w:space="0"/>
              <w:left w:val="single" w:color="000000" w:sz="4" w:space="0"/>
              <w:bottom w:val="single" w:color="000000" w:sz="4" w:space="0"/>
              <w:right w:val="single" w:color="000000" w:sz="4" w:space="0"/>
            </w:tcBorders>
            <w:noWrap w:val="0"/>
            <w:vAlign w:val="center"/>
          </w:tcPr>
          <w:p w14:paraId="30E59464">
            <w:pPr>
              <w:keepNext w:val="0"/>
              <w:keepLines w:val="0"/>
              <w:pageBreakBefore w:val="0"/>
              <w:suppressLineNumbers w:val="0"/>
              <w:spacing w:before="0" w:beforeAutospacing="0" w:after="0" w:afterAutospacing="0" w:line="440" w:lineRule="exact"/>
              <w:ind w:left="0" w:right="0"/>
              <w:jc w:val="center"/>
              <w:rPr>
                <w:rFonts w:hint="default"/>
                <w:b/>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无沉泥槽</w:t>
            </w:r>
          </w:p>
        </w:tc>
        <w:tc>
          <w:tcPr>
            <w:tcW w:w="3022" w:type="dxa"/>
            <w:tcBorders>
              <w:top w:val="single" w:color="000000" w:sz="4" w:space="0"/>
              <w:left w:val="single" w:color="000000" w:sz="4" w:space="0"/>
              <w:bottom w:val="single" w:color="000000" w:sz="4" w:space="0"/>
              <w:right w:val="single" w:color="000000" w:sz="4" w:space="0"/>
            </w:tcBorders>
            <w:noWrap w:val="0"/>
            <w:vAlign w:val="top"/>
          </w:tcPr>
          <w:p w14:paraId="4A2B56BD">
            <w:pPr>
              <w:keepNext w:val="0"/>
              <w:keepLines w:val="0"/>
              <w:pageBreakBefore w:val="0"/>
              <w:suppressLineNumbers w:val="0"/>
              <w:spacing w:before="0" w:beforeAutospacing="0" w:after="0" w:afterAutospacing="0" w:line="440" w:lineRule="exact"/>
              <w:ind w:left="0" w:right="0"/>
              <w:jc w:val="center"/>
              <w:rPr>
                <w:rFonts w:hint="default"/>
                <w:b/>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主管径的</w:t>
            </w:r>
            <w:r>
              <w:rPr>
                <w:rFonts w:hint="default" w:cs="宋体"/>
                <w:color w:val="000000" w:themeColor="text1"/>
                <w:sz w:val="24"/>
                <w:szCs w:val="24"/>
                <w:highlight w:val="none"/>
                <w14:textFill>
                  <w14:solidFill>
                    <w14:schemeClr w14:val="tx1"/>
                  </w14:solidFill>
                </w14:textFill>
              </w:rPr>
              <w:t>1/5</w:t>
            </w:r>
          </w:p>
        </w:tc>
      </w:tr>
    </w:tbl>
    <w:p w14:paraId="2A48520A">
      <w:pPr>
        <w:pageBreakBefore w:val="0"/>
        <w:spacing w:line="440" w:lineRule="exact"/>
        <w:ind w:firstLine="1161"/>
        <w:rPr>
          <w:color w:val="000000" w:themeColor="text1"/>
          <w:sz w:val="24"/>
          <w:szCs w:val="20"/>
          <w:highlight w:val="none"/>
          <w14:textFill>
            <w14:solidFill>
              <w14:schemeClr w14:val="tx1"/>
            </w14:solidFill>
          </w14:textFill>
        </w:rPr>
      </w:pPr>
      <w:r>
        <w:rPr>
          <w:rFonts w:hint="eastAsia"/>
          <w:color w:val="000000" w:themeColor="text1"/>
          <w:sz w:val="24"/>
          <w:szCs w:val="20"/>
          <w:highlight w:val="none"/>
          <w:lang w:val="en-US" w:eastAsia="zh-CN"/>
          <w14:textFill>
            <w14:solidFill>
              <w14:schemeClr w14:val="tx1"/>
            </w14:solidFill>
          </w14:textFill>
        </w:rPr>
        <w:t>③</w:t>
      </w:r>
      <w:r>
        <w:rPr>
          <w:rFonts w:hint="eastAsia"/>
          <w:color w:val="000000" w:themeColor="text1"/>
          <w:sz w:val="24"/>
          <w:szCs w:val="20"/>
          <w:highlight w:val="none"/>
          <w14:textFill>
            <w14:solidFill>
              <w14:schemeClr w14:val="tx1"/>
            </w14:solidFill>
          </w14:textFill>
        </w:rPr>
        <w:t>疏通后积泥深度不应超过管径或渠净高的</w:t>
      </w:r>
      <w:r>
        <w:rPr>
          <w:color w:val="000000" w:themeColor="text1"/>
          <w:sz w:val="24"/>
          <w:szCs w:val="20"/>
          <w:highlight w:val="none"/>
          <w14:textFill>
            <w14:solidFill>
              <w14:schemeClr w14:val="tx1"/>
            </w14:solidFill>
          </w14:textFill>
        </w:rPr>
        <w:t>1/8</w:t>
      </w:r>
      <w:r>
        <w:rPr>
          <w:rFonts w:hint="eastAsia"/>
          <w:color w:val="000000" w:themeColor="text1"/>
          <w:sz w:val="24"/>
          <w:szCs w:val="20"/>
          <w:highlight w:val="none"/>
          <w14:textFill>
            <w14:solidFill>
              <w14:schemeClr w14:val="tx1"/>
            </w14:solidFill>
          </w14:textFill>
        </w:rPr>
        <w:t>。</w:t>
      </w:r>
    </w:p>
    <w:p w14:paraId="4D5A20BD">
      <w:pPr>
        <w:pageBreakBefore w:val="0"/>
        <w:spacing w:line="440" w:lineRule="exact"/>
        <w:ind w:firstLine="480"/>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1.3</w:t>
      </w:r>
      <w:r>
        <w:rPr>
          <w:rFonts w:hint="eastAsia"/>
          <w:color w:val="000000" w:themeColor="text1"/>
          <w:sz w:val="24"/>
          <w:szCs w:val="24"/>
          <w:highlight w:val="none"/>
          <w:lang w:val="en-US" w:eastAsia="zh-CN"/>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污泥运输与处置</w:t>
      </w:r>
    </w:p>
    <w:p w14:paraId="4AA789A7">
      <w:pPr>
        <w:pageBreakBefore w:val="0"/>
        <w:spacing w:line="440" w:lineRule="exact"/>
        <w:ind w:firstLine="924"/>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t>1.3.1</w:t>
      </w:r>
      <w:r>
        <w:rPr>
          <w:rFonts w:hint="eastAsia"/>
          <w:color w:val="000000" w:themeColor="text1"/>
          <w:sz w:val="24"/>
          <w:szCs w:val="20"/>
          <w:highlight w:val="none"/>
          <w14:textFill>
            <w14:solidFill>
              <w14:schemeClr w14:val="tx1"/>
            </w14:solidFill>
          </w14:textFill>
        </w:rPr>
        <w:t>污泥运输应符合下列规定：</w:t>
      </w:r>
      <w:r>
        <w:rPr>
          <w:rFonts w:hint="eastAsia"/>
          <w:color w:val="000000" w:themeColor="text1"/>
          <w:sz w:val="24"/>
          <w:szCs w:val="20"/>
          <w:highlight w:val="none"/>
          <w:lang w:val="en-US" w:eastAsia="zh-CN"/>
          <w14:textFill>
            <w14:solidFill>
              <w14:schemeClr w14:val="tx1"/>
            </w14:solidFill>
          </w14:textFill>
        </w:rPr>
        <w:t>①</w:t>
      </w:r>
      <w:r>
        <w:rPr>
          <w:rFonts w:hint="eastAsia"/>
          <w:color w:val="000000" w:themeColor="text1"/>
          <w:sz w:val="24"/>
          <w:szCs w:val="20"/>
          <w:highlight w:val="none"/>
          <w14:textFill>
            <w14:solidFill>
              <w14:schemeClr w14:val="tx1"/>
            </w14:solidFill>
          </w14:textFill>
        </w:rPr>
        <w:t>通沟污泥必须采用污泥运输车运输</w:t>
      </w:r>
      <w:r>
        <w:rPr>
          <w:rFonts w:hint="eastAsia"/>
          <w:color w:val="000000" w:themeColor="text1"/>
          <w:sz w:val="24"/>
          <w:szCs w:val="20"/>
          <w:highlight w:val="none"/>
          <w:lang w:eastAsia="zh-CN"/>
          <w14:textFill>
            <w14:solidFill>
              <w14:schemeClr w14:val="tx1"/>
            </w14:solidFill>
          </w14:textFill>
        </w:rPr>
        <w:t>；</w:t>
      </w:r>
      <w:r>
        <w:rPr>
          <w:rFonts w:hint="eastAsia"/>
          <w:color w:val="000000" w:themeColor="text1"/>
          <w:sz w:val="24"/>
          <w:szCs w:val="20"/>
          <w:highlight w:val="none"/>
          <w:lang w:val="en-US" w:eastAsia="zh-CN"/>
          <w14:textFill>
            <w14:solidFill>
              <w14:schemeClr w14:val="tx1"/>
            </w14:solidFill>
          </w14:textFill>
        </w:rPr>
        <w:t>②</w:t>
      </w:r>
      <w:r>
        <w:rPr>
          <w:rFonts w:hint="eastAsia"/>
          <w:color w:val="000000" w:themeColor="text1"/>
          <w:sz w:val="24"/>
          <w:szCs w:val="20"/>
          <w:highlight w:val="none"/>
          <w14:textFill>
            <w14:solidFill>
              <w14:schemeClr w14:val="tx1"/>
            </w14:solidFill>
          </w14:textFill>
        </w:rPr>
        <w:t>在运输过程中，应做到污泥不落地、沿途无洒落</w:t>
      </w:r>
      <w:r>
        <w:rPr>
          <w:rFonts w:hint="eastAsia"/>
          <w:color w:val="000000" w:themeColor="text1"/>
          <w:sz w:val="24"/>
          <w:szCs w:val="20"/>
          <w:highlight w:val="none"/>
          <w:lang w:eastAsia="zh-CN"/>
          <w14:textFill>
            <w14:solidFill>
              <w14:schemeClr w14:val="tx1"/>
            </w14:solidFill>
          </w14:textFill>
        </w:rPr>
        <w:t>；</w:t>
      </w:r>
      <w:r>
        <w:rPr>
          <w:rFonts w:hint="eastAsia"/>
          <w:color w:val="000000" w:themeColor="text1"/>
          <w:sz w:val="24"/>
          <w:szCs w:val="20"/>
          <w:highlight w:val="none"/>
          <w:lang w:val="en-US" w:eastAsia="zh-CN"/>
          <w14:textFill>
            <w14:solidFill>
              <w14:schemeClr w14:val="tx1"/>
            </w14:solidFill>
          </w14:textFill>
        </w:rPr>
        <w:t>③</w:t>
      </w:r>
      <w:r>
        <w:rPr>
          <w:rFonts w:hint="eastAsia"/>
          <w:color w:val="000000" w:themeColor="text1"/>
          <w:sz w:val="24"/>
          <w:szCs w:val="20"/>
          <w:highlight w:val="none"/>
          <w14:textFill>
            <w14:solidFill>
              <w14:schemeClr w14:val="tx1"/>
            </w14:solidFill>
          </w14:textFill>
        </w:rPr>
        <w:t>污泥运输车辆应加盖，并应定期清洗保持整洁</w:t>
      </w:r>
      <w:r>
        <w:rPr>
          <w:rFonts w:hint="eastAsia"/>
          <w:color w:val="000000" w:themeColor="text1"/>
          <w:sz w:val="24"/>
          <w:szCs w:val="20"/>
          <w:highlight w:val="none"/>
          <w:lang w:eastAsia="zh-CN"/>
          <w14:textFill>
            <w14:solidFill>
              <w14:schemeClr w14:val="tx1"/>
            </w14:solidFill>
          </w14:textFill>
        </w:rPr>
        <w:t>；</w:t>
      </w:r>
      <w:r>
        <w:rPr>
          <w:rFonts w:hint="eastAsia"/>
          <w:color w:val="000000" w:themeColor="text1"/>
          <w:sz w:val="24"/>
          <w:szCs w:val="20"/>
          <w:highlight w:val="none"/>
          <w:lang w:val="en-US" w:eastAsia="zh-CN"/>
          <w14:textFill>
            <w14:solidFill>
              <w14:schemeClr w14:val="tx1"/>
            </w14:solidFill>
          </w14:textFill>
        </w:rPr>
        <w:t>④</w:t>
      </w:r>
      <w:r>
        <w:rPr>
          <w:rFonts w:hint="eastAsia"/>
          <w:color w:val="000000" w:themeColor="text1"/>
          <w:sz w:val="24"/>
          <w:szCs w:val="20"/>
          <w:highlight w:val="none"/>
          <w14:textFill>
            <w14:solidFill>
              <w14:schemeClr w14:val="tx1"/>
            </w14:solidFill>
          </w14:textFill>
        </w:rPr>
        <w:t>污泥外运应符合政府相关环保要求，</w:t>
      </w:r>
      <w:r>
        <w:rPr>
          <w:rFonts w:hint="eastAsia"/>
          <w:color w:val="000000" w:themeColor="text1"/>
          <w:sz w:val="24"/>
          <w:szCs w:val="20"/>
          <w:highlight w:val="none"/>
          <w:lang w:val="en-US" w:eastAsia="zh-CN"/>
          <w14:textFill>
            <w14:solidFill>
              <w14:schemeClr w14:val="tx1"/>
            </w14:solidFill>
          </w14:textFill>
        </w:rPr>
        <w:t>自行运输</w:t>
      </w:r>
      <w:r>
        <w:rPr>
          <w:rFonts w:hint="eastAsia"/>
          <w:color w:val="000000" w:themeColor="text1"/>
          <w:sz w:val="24"/>
          <w:szCs w:val="20"/>
          <w:highlight w:val="none"/>
          <w14:textFill>
            <w14:solidFill>
              <w14:schemeClr w14:val="tx1"/>
            </w14:solidFill>
          </w14:textFill>
        </w:rPr>
        <w:t>，</w:t>
      </w:r>
      <w:r>
        <w:rPr>
          <w:rFonts w:hint="eastAsia"/>
          <w:color w:val="000000" w:themeColor="text1"/>
          <w:sz w:val="24"/>
          <w:szCs w:val="20"/>
          <w:highlight w:val="none"/>
          <w:lang w:val="en-US" w:eastAsia="zh-CN"/>
          <w14:textFill>
            <w14:solidFill>
              <w14:schemeClr w14:val="tx1"/>
            </w14:solidFill>
          </w14:textFill>
        </w:rPr>
        <w:t>运距包干，</w:t>
      </w:r>
      <w:r>
        <w:rPr>
          <w:rFonts w:hint="eastAsia"/>
          <w:color w:val="000000" w:themeColor="text1"/>
          <w:sz w:val="24"/>
          <w:szCs w:val="20"/>
          <w:highlight w:val="none"/>
          <w14:textFill>
            <w14:solidFill>
              <w14:schemeClr w14:val="tx1"/>
            </w14:solidFill>
          </w14:textFill>
        </w:rPr>
        <w:t>不得随意倾倒。</w:t>
      </w:r>
    </w:p>
    <w:p w14:paraId="7E744858">
      <w:pPr>
        <w:pageBreakBefore w:val="0"/>
        <w:spacing w:line="440" w:lineRule="exact"/>
        <w:ind w:firstLine="924"/>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t>1.3.2</w:t>
      </w:r>
      <w:r>
        <w:rPr>
          <w:rFonts w:hint="eastAsia"/>
          <w:color w:val="000000" w:themeColor="text1"/>
          <w:sz w:val="24"/>
          <w:szCs w:val="20"/>
          <w:highlight w:val="none"/>
          <w14:textFill>
            <w14:solidFill>
              <w14:schemeClr w14:val="tx1"/>
            </w14:solidFill>
          </w14:textFill>
        </w:rPr>
        <w:t>污泥盛器和车辆在街道上停放时，应设置安全标志，夜间应悬挂警示灯。疏通作业完毕后，应及时撤离现场。</w:t>
      </w:r>
    </w:p>
    <w:p w14:paraId="1DF31F10">
      <w:pPr>
        <w:pageBreakBefore w:val="0"/>
        <w:spacing w:line="440" w:lineRule="exact"/>
        <w:ind w:right="-161" w:firstLine="470"/>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2</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雨污分流改造工作要求：</w:t>
      </w:r>
    </w:p>
    <w:p w14:paraId="05C6AF10">
      <w:pPr>
        <w:pageBreakBefore w:val="0"/>
        <w:spacing w:line="440" w:lineRule="exact"/>
        <w:ind w:right="-161" w:firstLine="47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w:t>
      </w:r>
      <w:r>
        <w:rPr>
          <w:color w:val="000000" w:themeColor="text1"/>
          <w:sz w:val="24"/>
          <w:szCs w:val="24"/>
          <w:highlight w:val="none"/>
          <w14:textFill>
            <w14:solidFill>
              <w14:schemeClr w14:val="tx1"/>
            </w14:solidFill>
          </w14:textFill>
        </w:rPr>
        <w:t>1</w:t>
      </w:r>
      <w:r>
        <w:rPr>
          <w:rFonts w:hint="eastAsia"/>
          <w:color w:val="000000" w:themeColor="text1"/>
          <w:sz w:val="24"/>
          <w:szCs w:val="24"/>
          <w:highlight w:val="none"/>
          <w14:textFill>
            <w14:solidFill>
              <w14:schemeClr w14:val="tx1"/>
            </w14:solidFill>
          </w14:textFill>
        </w:rPr>
        <w:t>）</w:t>
      </w:r>
      <w:r>
        <w:rPr>
          <w:rFonts w:hint="eastAsia"/>
          <w:color w:val="000000" w:themeColor="text1"/>
          <w:sz w:val="24"/>
          <w:szCs w:val="24"/>
          <w:highlight w:val="none"/>
          <w:lang w:eastAsia="zh-CN"/>
          <w14:textFill>
            <w14:solidFill>
              <w14:schemeClr w14:val="tx1"/>
            </w14:solidFill>
          </w14:textFill>
        </w:rPr>
        <w:t>作业</w:t>
      </w:r>
      <w:r>
        <w:rPr>
          <w:rFonts w:hint="eastAsia"/>
          <w:color w:val="000000" w:themeColor="text1"/>
          <w:sz w:val="24"/>
          <w:szCs w:val="24"/>
          <w:highlight w:val="none"/>
          <w14:textFill>
            <w14:solidFill>
              <w14:schemeClr w14:val="tx1"/>
            </w14:solidFill>
          </w14:textFill>
        </w:rPr>
        <w:t>队伍必须加强管理，遵守作业现场的一切规章制度，文明</w:t>
      </w:r>
      <w:r>
        <w:rPr>
          <w:rFonts w:hint="eastAsia"/>
          <w:color w:val="000000" w:themeColor="text1"/>
          <w:sz w:val="24"/>
          <w:szCs w:val="24"/>
          <w:highlight w:val="none"/>
          <w:lang w:eastAsia="zh-CN"/>
          <w14:textFill>
            <w14:solidFill>
              <w14:schemeClr w14:val="tx1"/>
            </w14:solidFill>
          </w14:textFill>
        </w:rPr>
        <w:t>作业</w:t>
      </w:r>
      <w:r>
        <w:rPr>
          <w:rFonts w:hint="eastAsia"/>
          <w:color w:val="000000" w:themeColor="text1"/>
          <w:sz w:val="24"/>
          <w:szCs w:val="24"/>
          <w:highlight w:val="none"/>
          <w14:textFill>
            <w14:solidFill>
              <w14:schemeClr w14:val="tx1"/>
            </w14:solidFill>
          </w14:textFill>
        </w:rPr>
        <w:t>，注意安全，一切事故由维修单位负全责。</w:t>
      </w:r>
    </w:p>
    <w:p w14:paraId="44BDC646">
      <w:pPr>
        <w:pageBreakBefore w:val="0"/>
        <w:spacing w:line="440" w:lineRule="exact"/>
        <w:ind w:right="-161" w:firstLine="47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w:t>
      </w:r>
      <w:r>
        <w:rPr>
          <w:color w:val="000000" w:themeColor="text1"/>
          <w:sz w:val="24"/>
          <w:szCs w:val="24"/>
          <w:highlight w:val="none"/>
          <w14:textFill>
            <w14:solidFill>
              <w14:schemeClr w14:val="tx1"/>
            </w14:solidFill>
          </w14:textFill>
        </w:rPr>
        <w:t>2</w:t>
      </w:r>
      <w:r>
        <w:rPr>
          <w:rFonts w:hint="eastAsia"/>
          <w:color w:val="000000" w:themeColor="text1"/>
          <w:sz w:val="24"/>
          <w:szCs w:val="24"/>
          <w:highlight w:val="none"/>
          <w14:textFill>
            <w14:solidFill>
              <w14:schemeClr w14:val="tx1"/>
            </w14:solidFill>
          </w14:textFill>
        </w:rPr>
        <w:t>）</w:t>
      </w:r>
      <w:r>
        <w:rPr>
          <w:rFonts w:hint="eastAsia"/>
          <w:color w:val="000000" w:themeColor="text1"/>
          <w:sz w:val="24"/>
          <w:szCs w:val="24"/>
          <w:highlight w:val="none"/>
          <w:lang w:eastAsia="zh-CN"/>
          <w14:textFill>
            <w14:solidFill>
              <w14:schemeClr w14:val="tx1"/>
            </w14:solidFill>
          </w14:textFill>
        </w:rPr>
        <w:t>作业</w:t>
      </w:r>
      <w:r>
        <w:rPr>
          <w:rFonts w:hint="eastAsia"/>
          <w:color w:val="000000" w:themeColor="text1"/>
          <w:sz w:val="24"/>
          <w:szCs w:val="24"/>
          <w:highlight w:val="none"/>
          <w14:textFill>
            <w14:solidFill>
              <w14:schemeClr w14:val="tx1"/>
            </w14:solidFill>
          </w14:textFill>
        </w:rPr>
        <w:t>人员、</w:t>
      </w:r>
      <w:r>
        <w:rPr>
          <w:rFonts w:hint="eastAsia"/>
          <w:color w:val="000000" w:themeColor="text1"/>
          <w:sz w:val="24"/>
          <w:szCs w:val="24"/>
          <w:highlight w:val="none"/>
          <w:lang w:eastAsia="zh-CN"/>
          <w14:textFill>
            <w14:solidFill>
              <w14:schemeClr w14:val="tx1"/>
            </w14:solidFill>
          </w14:textFill>
        </w:rPr>
        <w:t>作业</w:t>
      </w:r>
      <w:r>
        <w:rPr>
          <w:rFonts w:hint="eastAsia"/>
          <w:color w:val="000000" w:themeColor="text1"/>
          <w:sz w:val="24"/>
          <w:szCs w:val="24"/>
          <w:highlight w:val="none"/>
          <w14:textFill>
            <w14:solidFill>
              <w14:schemeClr w14:val="tx1"/>
            </w14:solidFill>
          </w14:textFill>
        </w:rPr>
        <w:t>机械或在运输装卸途中对其他设备及邻近管线等造成损坏，应由</w:t>
      </w:r>
      <w:r>
        <w:rPr>
          <w:rFonts w:hint="eastAsia"/>
          <w:color w:val="000000" w:themeColor="text1"/>
          <w:sz w:val="24"/>
          <w:szCs w:val="24"/>
          <w:highlight w:val="none"/>
          <w:lang w:eastAsia="zh-CN"/>
          <w14:textFill>
            <w14:solidFill>
              <w14:schemeClr w14:val="tx1"/>
            </w14:solidFill>
          </w14:textFill>
        </w:rPr>
        <w:t>作业</w:t>
      </w:r>
      <w:r>
        <w:rPr>
          <w:rFonts w:hint="eastAsia"/>
          <w:color w:val="000000" w:themeColor="text1"/>
          <w:sz w:val="24"/>
          <w:szCs w:val="24"/>
          <w:highlight w:val="none"/>
          <w14:textFill>
            <w14:solidFill>
              <w14:schemeClr w14:val="tx1"/>
            </w14:solidFill>
          </w14:textFill>
        </w:rPr>
        <w:t>单位负责修复及承担一切费用。</w:t>
      </w:r>
    </w:p>
    <w:p w14:paraId="249CEE5A">
      <w:pPr>
        <w:pageBreakBefore w:val="0"/>
        <w:spacing w:line="440" w:lineRule="exact"/>
        <w:ind w:right="-161" w:firstLine="47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w:t>
      </w:r>
      <w:r>
        <w:rPr>
          <w:color w:val="000000" w:themeColor="text1"/>
          <w:sz w:val="24"/>
          <w:szCs w:val="24"/>
          <w:highlight w:val="none"/>
          <w14:textFill>
            <w14:solidFill>
              <w14:schemeClr w14:val="tx1"/>
            </w14:solidFill>
          </w14:textFill>
        </w:rPr>
        <w:t>3</w:t>
      </w:r>
      <w:r>
        <w:rPr>
          <w:rFonts w:hint="eastAsia"/>
          <w:color w:val="000000" w:themeColor="text1"/>
          <w:sz w:val="24"/>
          <w:szCs w:val="24"/>
          <w:highlight w:val="none"/>
          <w14:textFill>
            <w14:solidFill>
              <w14:schemeClr w14:val="tx1"/>
            </w14:solidFill>
          </w14:textFill>
        </w:rPr>
        <w:t>）无论</w:t>
      </w:r>
      <w:r>
        <w:rPr>
          <w:rFonts w:hint="eastAsia"/>
          <w:color w:val="000000" w:themeColor="text1"/>
          <w:sz w:val="24"/>
          <w:szCs w:val="24"/>
          <w:highlight w:val="none"/>
          <w:lang w:eastAsia="zh-CN"/>
          <w14:textFill>
            <w14:solidFill>
              <w14:schemeClr w14:val="tx1"/>
            </w14:solidFill>
          </w14:textFill>
        </w:rPr>
        <w:t>作业</w:t>
      </w:r>
      <w:r>
        <w:rPr>
          <w:rFonts w:hint="eastAsia"/>
          <w:color w:val="000000" w:themeColor="text1"/>
          <w:sz w:val="24"/>
          <w:szCs w:val="24"/>
          <w:highlight w:val="none"/>
          <w14:textFill>
            <w14:solidFill>
              <w14:schemeClr w14:val="tx1"/>
            </w14:solidFill>
          </w14:textFill>
        </w:rPr>
        <w:t>期间过程中，</w:t>
      </w:r>
      <w:r>
        <w:rPr>
          <w:rFonts w:hint="eastAsia"/>
          <w:color w:val="000000" w:themeColor="text1"/>
          <w:sz w:val="24"/>
          <w:szCs w:val="24"/>
          <w:highlight w:val="none"/>
          <w:lang w:eastAsia="zh-CN"/>
          <w14:textFill>
            <w14:solidFill>
              <w14:schemeClr w14:val="tx1"/>
            </w14:solidFill>
          </w14:textFill>
        </w:rPr>
        <w:t>作业</w:t>
      </w:r>
      <w:r>
        <w:rPr>
          <w:rFonts w:hint="eastAsia"/>
          <w:color w:val="000000" w:themeColor="text1"/>
          <w:sz w:val="24"/>
          <w:szCs w:val="24"/>
          <w:highlight w:val="none"/>
          <w14:textFill>
            <w14:solidFill>
              <w14:schemeClr w14:val="tx1"/>
            </w14:solidFill>
          </w14:textFill>
        </w:rPr>
        <w:t>单位负责及时清理垃圾。</w:t>
      </w:r>
    </w:p>
    <w:p w14:paraId="1AB02ECB">
      <w:pPr>
        <w:pageBreakBefore w:val="0"/>
        <w:spacing w:line="440" w:lineRule="exact"/>
        <w:ind w:right="-161" w:firstLine="47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w:t>
      </w:r>
      <w:r>
        <w:rPr>
          <w:color w:val="000000" w:themeColor="text1"/>
          <w:sz w:val="24"/>
          <w:szCs w:val="24"/>
          <w:highlight w:val="none"/>
          <w14:textFill>
            <w14:solidFill>
              <w14:schemeClr w14:val="tx1"/>
            </w14:solidFill>
          </w14:textFill>
        </w:rPr>
        <w:t>4</w:t>
      </w:r>
      <w:r>
        <w:rPr>
          <w:rFonts w:hint="eastAsia"/>
          <w:color w:val="000000" w:themeColor="text1"/>
          <w:sz w:val="24"/>
          <w:szCs w:val="24"/>
          <w:highlight w:val="none"/>
          <w14:textFill>
            <w14:solidFill>
              <w14:schemeClr w14:val="tx1"/>
            </w14:solidFill>
          </w14:textFill>
        </w:rPr>
        <w:t>）服务过程中注意保护现场已存在的公共设施，如有损坏必须由</w:t>
      </w:r>
      <w:r>
        <w:rPr>
          <w:rFonts w:hint="eastAsia"/>
          <w:color w:val="000000" w:themeColor="text1"/>
          <w:sz w:val="24"/>
          <w:szCs w:val="24"/>
          <w:highlight w:val="none"/>
          <w:lang w:eastAsia="zh-CN"/>
          <w14:textFill>
            <w14:solidFill>
              <w14:schemeClr w14:val="tx1"/>
            </w14:solidFill>
          </w14:textFill>
        </w:rPr>
        <w:t>作业</w:t>
      </w:r>
      <w:r>
        <w:rPr>
          <w:rFonts w:hint="eastAsia"/>
          <w:color w:val="000000" w:themeColor="text1"/>
          <w:sz w:val="24"/>
          <w:szCs w:val="24"/>
          <w:highlight w:val="none"/>
          <w14:textFill>
            <w14:solidFill>
              <w14:schemeClr w14:val="tx1"/>
            </w14:solidFill>
          </w14:textFill>
        </w:rPr>
        <w:t>单位负责恢复或赔偿。</w:t>
      </w:r>
    </w:p>
    <w:p w14:paraId="101FFA9C">
      <w:pPr>
        <w:pageBreakBefore w:val="0"/>
        <w:spacing w:line="440" w:lineRule="exact"/>
        <w:ind w:right="-161" w:firstLine="47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w:t>
      </w:r>
      <w:r>
        <w:rPr>
          <w:color w:val="000000" w:themeColor="text1"/>
          <w:sz w:val="24"/>
          <w:szCs w:val="24"/>
          <w:highlight w:val="none"/>
          <w14:textFill>
            <w14:solidFill>
              <w14:schemeClr w14:val="tx1"/>
            </w14:solidFill>
          </w14:textFill>
        </w:rPr>
        <w:t>5</w:t>
      </w:r>
      <w:r>
        <w:rPr>
          <w:rFonts w:hint="eastAsia"/>
          <w:color w:val="000000" w:themeColor="text1"/>
          <w:sz w:val="24"/>
          <w:szCs w:val="24"/>
          <w:highlight w:val="none"/>
          <w14:textFill>
            <w14:solidFill>
              <w14:schemeClr w14:val="tx1"/>
            </w14:solidFill>
          </w14:textFill>
        </w:rPr>
        <w:t>）</w:t>
      </w:r>
      <w:r>
        <w:rPr>
          <w:rFonts w:hint="eastAsia"/>
          <w:color w:val="000000" w:themeColor="text1"/>
          <w:sz w:val="24"/>
          <w:szCs w:val="24"/>
          <w:highlight w:val="none"/>
          <w:lang w:eastAsia="zh-CN"/>
          <w14:textFill>
            <w14:solidFill>
              <w14:schemeClr w14:val="tx1"/>
            </w14:solidFill>
          </w14:textFill>
        </w:rPr>
        <w:t>作业</w:t>
      </w:r>
      <w:r>
        <w:rPr>
          <w:rFonts w:hint="eastAsia"/>
          <w:color w:val="000000" w:themeColor="text1"/>
          <w:sz w:val="24"/>
          <w:szCs w:val="24"/>
          <w:highlight w:val="none"/>
          <w14:textFill>
            <w14:solidFill>
              <w14:schemeClr w14:val="tx1"/>
            </w14:solidFill>
          </w14:textFill>
        </w:rPr>
        <w:t>单位须为</w:t>
      </w:r>
      <w:r>
        <w:rPr>
          <w:rFonts w:hint="eastAsia"/>
          <w:color w:val="000000" w:themeColor="text1"/>
          <w:sz w:val="24"/>
          <w:szCs w:val="24"/>
          <w:highlight w:val="none"/>
          <w:lang w:eastAsia="zh-CN"/>
          <w14:textFill>
            <w14:solidFill>
              <w14:schemeClr w14:val="tx1"/>
            </w14:solidFill>
          </w14:textFill>
        </w:rPr>
        <w:t>作业</w:t>
      </w:r>
      <w:r>
        <w:rPr>
          <w:rFonts w:hint="eastAsia"/>
          <w:color w:val="000000" w:themeColor="text1"/>
          <w:sz w:val="24"/>
          <w:szCs w:val="24"/>
          <w:highlight w:val="none"/>
          <w14:textFill>
            <w14:solidFill>
              <w14:schemeClr w14:val="tx1"/>
            </w14:solidFill>
          </w14:textFill>
        </w:rPr>
        <w:t>人员配备印有</w:t>
      </w:r>
      <w:r>
        <w:rPr>
          <w:rFonts w:hint="eastAsia"/>
          <w:color w:val="000000" w:themeColor="text1"/>
          <w:sz w:val="24"/>
          <w:szCs w:val="24"/>
          <w:highlight w:val="none"/>
          <w:lang w:eastAsia="zh-CN"/>
          <w14:textFill>
            <w14:solidFill>
              <w14:schemeClr w14:val="tx1"/>
            </w14:solidFill>
          </w14:textFill>
        </w:rPr>
        <w:t>作业</w:t>
      </w:r>
      <w:r>
        <w:rPr>
          <w:rFonts w:hint="eastAsia"/>
          <w:color w:val="000000" w:themeColor="text1"/>
          <w:sz w:val="24"/>
          <w:szCs w:val="24"/>
          <w:highlight w:val="none"/>
          <w14:textFill>
            <w14:solidFill>
              <w14:schemeClr w14:val="tx1"/>
            </w14:solidFill>
          </w14:textFill>
        </w:rPr>
        <w:t>单位名称的现场作业安全服或反光背心，现场作业时应明示安全警示标志和作业围挡。</w:t>
      </w:r>
    </w:p>
    <w:p w14:paraId="365EA7F7">
      <w:pPr>
        <w:pageBreakBefore w:val="0"/>
        <w:spacing w:line="440" w:lineRule="exact"/>
        <w:ind w:right="-161" w:firstLine="47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w:t>
      </w:r>
      <w:r>
        <w:rPr>
          <w:color w:val="000000" w:themeColor="text1"/>
          <w:sz w:val="24"/>
          <w:szCs w:val="24"/>
          <w:highlight w:val="none"/>
          <w14:textFill>
            <w14:solidFill>
              <w14:schemeClr w14:val="tx1"/>
            </w14:solidFill>
          </w14:textFill>
        </w:rPr>
        <w:t>6</w:t>
      </w:r>
      <w:r>
        <w:rPr>
          <w:rFonts w:hint="eastAsia"/>
          <w:color w:val="000000" w:themeColor="text1"/>
          <w:sz w:val="24"/>
          <w:szCs w:val="24"/>
          <w:highlight w:val="none"/>
          <w14:textFill>
            <w14:solidFill>
              <w14:schemeClr w14:val="tx1"/>
            </w14:solidFill>
          </w14:textFill>
        </w:rPr>
        <w:t>）</w:t>
      </w:r>
      <w:r>
        <w:rPr>
          <w:rFonts w:hint="eastAsia"/>
          <w:color w:val="000000" w:themeColor="text1"/>
          <w:sz w:val="24"/>
          <w:szCs w:val="24"/>
          <w:highlight w:val="none"/>
          <w:lang w:eastAsia="zh-CN"/>
          <w14:textFill>
            <w14:solidFill>
              <w14:schemeClr w14:val="tx1"/>
            </w14:solidFill>
          </w14:textFill>
        </w:rPr>
        <w:t>作业</w:t>
      </w:r>
      <w:r>
        <w:rPr>
          <w:rFonts w:hint="eastAsia"/>
          <w:color w:val="000000" w:themeColor="text1"/>
          <w:sz w:val="24"/>
          <w:szCs w:val="24"/>
          <w:highlight w:val="none"/>
          <w14:textFill>
            <w14:solidFill>
              <w14:schemeClr w14:val="tx1"/>
            </w14:solidFill>
          </w14:textFill>
        </w:rPr>
        <w:t>工作实施过程中，</w:t>
      </w:r>
      <w:r>
        <w:rPr>
          <w:rFonts w:hint="eastAsia"/>
          <w:color w:val="000000" w:themeColor="text1"/>
          <w:sz w:val="24"/>
          <w:szCs w:val="24"/>
          <w:highlight w:val="none"/>
          <w:lang w:eastAsia="zh-CN"/>
          <w14:textFill>
            <w14:solidFill>
              <w14:schemeClr w14:val="tx1"/>
            </w14:solidFill>
          </w14:textFill>
        </w:rPr>
        <w:t>作业</w:t>
      </w:r>
      <w:r>
        <w:rPr>
          <w:rFonts w:hint="eastAsia"/>
          <w:color w:val="000000" w:themeColor="text1"/>
          <w:sz w:val="24"/>
          <w:szCs w:val="24"/>
          <w:highlight w:val="none"/>
          <w14:textFill>
            <w14:solidFill>
              <w14:schemeClr w14:val="tx1"/>
            </w14:solidFill>
          </w14:textFill>
        </w:rPr>
        <w:t>单位不得将材料</w:t>
      </w:r>
      <w:r>
        <w:rPr>
          <w:color w:val="000000" w:themeColor="text1"/>
          <w:sz w:val="24"/>
          <w:szCs w:val="24"/>
          <w:highlight w:val="none"/>
          <w14:textFill>
            <w14:solidFill>
              <w14:schemeClr w14:val="tx1"/>
            </w14:solidFill>
          </w14:textFill>
        </w:rPr>
        <w:t>/</w:t>
      </w:r>
      <w:r>
        <w:rPr>
          <w:rFonts w:hint="eastAsia"/>
          <w:color w:val="000000" w:themeColor="text1"/>
          <w:sz w:val="24"/>
          <w:szCs w:val="24"/>
          <w:highlight w:val="none"/>
          <w14:textFill>
            <w14:solidFill>
              <w14:schemeClr w14:val="tx1"/>
            </w14:solidFill>
          </w14:textFill>
        </w:rPr>
        <w:t>设备与人员共用一辆车辆运输，不得违反相关道路交通法规。</w:t>
      </w:r>
    </w:p>
    <w:p w14:paraId="12D7A651">
      <w:pPr>
        <w:pageBreakBefore w:val="0"/>
        <w:spacing w:line="440" w:lineRule="exact"/>
        <w:ind w:firstLine="60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注：如遇突发事件，须有配套</w:t>
      </w:r>
      <w:r>
        <w:rPr>
          <w:rFonts w:hint="eastAsia"/>
          <w:color w:val="000000" w:themeColor="text1"/>
          <w:sz w:val="24"/>
          <w:szCs w:val="24"/>
          <w:highlight w:val="none"/>
          <w:lang w:eastAsia="zh-CN"/>
          <w14:textFill>
            <w14:solidFill>
              <w14:schemeClr w14:val="tx1"/>
            </w14:solidFill>
          </w14:textFill>
        </w:rPr>
        <w:t>作业</w:t>
      </w:r>
      <w:r>
        <w:rPr>
          <w:rFonts w:hint="eastAsia"/>
          <w:color w:val="000000" w:themeColor="text1"/>
          <w:sz w:val="24"/>
          <w:szCs w:val="24"/>
          <w:highlight w:val="none"/>
          <w14:textFill>
            <w14:solidFill>
              <w14:schemeClr w14:val="tx1"/>
            </w14:solidFill>
          </w14:textFill>
        </w:rPr>
        <w:t>工程机具设备及必要工作人员在</w:t>
      </w:r>
      <w:r>
        <w:rPr>
          <w:color w:val="000000" w:themeColor="text1"/>
          <w:sz w:val="24"/>
          <w:szCs w:val="24"/>
          <w:highlight w:val="none"/>
          <w14:textFill>
            <w14:solidFill>
              <w14:schemeClr w14:val="tx1"/>
            </w14:solidFill>
          </w14:textFill>
        </w:rPr>
        <w:t>60</w:t>
      </w:r>
      <w:r>
        <w:rPr>
          <w:rFonts w:hint="eastAsia"/>
          <w:color w:val="000000" w:themeColor="text1"/>
          <w:sz w:val="24"/>
          <w:szCs w:val="24"/>
          <w:highlight w:val="none"/>
          <w14:textFill>
            <w14:solidFill>
              <w14:schemeClr w14:val="tx1"/>
            </w14:solidFill>
          </w14:textFill>
        </w:rPr>
        <w:t>分钟内到场应急处理，并服从采购人现场指挥。</w:t>
      </w:r>
    </w:p>
    <w:p w14:paraId="220C904A">
      <w:pPr>
        <w:pageBreakBefore w:val="0"/>
        <w:spacing w:line="440" w:lineRule="exact"/>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3</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管网</w:t>
      </w:r>
      <w:r>
        <w:rPr>
          <w:color w:val="000000" w:themeColor="text1"/>
          <w:sz w:val="24"/>
          <w:szCs w:val="24"/>
          <w:highlight w:val="none"/>
          <w14:textFill>
            <w14:solidFill>
              <w14:schemeClr w14:val="tx1"/>
            </w14:solidFill>
          </w14:textFill>
        </w:rPr>
        <w:t>修复</w:t>
      </w:r>
      <w:r>
        <w:rPr>
          <w:rFonts w:hint="eastAsia"/>
          <w:color w:val="000000" w:themeColor="text1"/>
          <w:sz w:val="24"/>
          <w:szCs w:val="24"/>
          <w:highlight w:val="none"/>
          <w14:textFill>
            <w14:solidFill>
              <w14:schemeClr w14:val="tx1"/>
            </w14:solidFill>
          </w14:textFill>
        </w:rPr>
        <w:t>工作</w:t>
      </w:r>
      <w:r>
        <w:rPr>
          <w:color w:val="000000" w:themeColor="text1"/>
          <w:sz w:val="24"/>
          <w:szCs w:val="24"/>
          <w:highlight w:val="none"/>
          <w14:textFill>
            <w14:solidFill>
              <w14:schemeClr w14:val="tx1"/>
            </w14:solidFill>
          </w14:textFill>
        </w:rPr>
        <w:t>要求</w:t>
      </w:r>
      <w:r>
        <w:rPr>
          <w:rFonts w:hint="eastAsia"/>
          <w:color w:val="000000" w:themeColor="text1"/>
          <w:sz w:val="24"/>
          <w:szCs w:val="24"/>
          <w:highlight w:val="none"/>
          <w14:textFill>
            <w14:solidFill>
              <w14:schemeClr w14:val="tx1"/>
            </w14:solidFill>
          </w14:textFill>
        </w:rPr>
        <w:t>。</w:t>
      </w:r>
    </w:p>
    <w:p w14:paraId="048DADDA">
      <w:pPr>
        <w:pageBreakBefore w:val="0"/>
        <w:spacing w:line="440" w:lineRule="exact"/>
        <w:ind w:firstLine="480"/>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使用的修复材料应具有良好的耐久性和密封性，符合相关规范要求，确保修复后的管道能够长期稳定地运行。修复后的污水管道路面应保证水平，高差应在规定范围内，不允许出现顶凸或下凹现象，并与周围地面高度适当衔接，边缘清晰无尖刺和棱角。</w:t>
      </w:r>
    </w:p>
    <w:p w14:paraId="57C33CDC">
      <w:pPr>
        <w:spacing w:line="440" w:lineRule="exact"/>
        <w:ind w:firstLine="480"/>
        <w:rPr>
          <w:rFonts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4</w:t>
      </w:r>
      <w:r>
        <w:rPr>
          <w:rFonts w:hint="eastAsia" w:ascii="Times New Roman" w:hAnsi="Times New Roman"/>
          <w:color w:val="000000" w:themeColor="text1"/>
          <w:sz w:val="24"/>
          <w:szCs w:val="24"/>
          <w:highlight w:val="none"/>
          <w:lang w:eastAsia="zh-CN"/>
          <w14:textFill>
            <w14:solidFill>
              <w14:schemeClr w14:val="tx1"/>
            </w14:solidFill>
          </w14:textFill>
        </w:rPr>
        <w:t>、</w:t>
      </w:r>
      <w:r>
        <w:rPr>
          <w:rFonts w:hint="eastAsia" w:ascii="Times New Roman" w:hAnsi="Times New Roman"/>
          <w:color w:val="000000" w:themeColor="text1"/>
          <w:sz w:val="24"/>
          <w:szCs w:val="24"/>
          <w:highlight w:val="none"/>
          <w14:textFill>
            <w14:solidFill>
              <w14:schemeClr w14:val="tx1"/>
            </w14:solidFill>
          </w14:textFill>
        </w:rPr>
        <w:t>管网</w:t>
      </w:r>
      <w:r>
        <w:rPr>
          <w:rFonts w:ascii="Times New Roman" w:hAnsi="Times New Roman"/>
          <w:color w:val="000000" w:themeColor="text1"/>
          <w:sz w:val="24"/>
          <w:szCs w:val="24"/>
          <w:highlight w:val="none"/>
          <w14:textFill>
            <w14:solidFill>
              <w14:schemeClr w14:val="tx1"/>
            </w14:solidFill>
          </w14:textFill>
        </w:rPr>
        <w:t>检测</w:t>
      </w:r>
      <w:r>
        <w:rPr>
          <w:rFonts w:hint="eastAsia" w:ascii="Times New Roman" w:hAnsi="Times New Roman"/>
          <w:color w:val="000000" w:themeColor="text1"/>
          <w:sz w:val="24"/>
          <w:szCs w:val="24"/>
          <w:highlight w:val="none"/>
          <w14:textFill>
            <w14:solidFill>
              <w14:schemeClr w14:val="tx1"/>
            </w14:solidFill>
          </w14:textFill>
        </w:rPr>
        <w:t>工作</w:t>
      </w:r>
      <w:r>
        <w:rPr>
          <w:rFonts w:ascii="Times New Roman" w:hAnsi="Times New Roman"/>
          <w:color w:val="000000" w:themeColor="text1"/>
          <w:sz w:val="24"/>
          <w:szCs w:val="24"/>
          <w:highlight w:val="none"/>
          <w14:textFill>
            <w14:solidFill>
              <w14:schemeClr w14:val="tx1"/>
            </w14:solidFill>
          </w14:textFill>
        </w:rPr>
        <w:t>要求</w:t>
      </w:r>
      <w:r>
        <w:rPr>
          <w:rFonts w:hint="eastAsia" w:ascii="Times New Roman" w:hAnsi="Times New Roman"/>
          <w:color w:val="000000" w:themeColor="text1"/>
          <w:sz w:val="24"/>
          <w:szCs w:val="24"/>
          <w:highlight w:val="none"/>
          <w14:textFill>
            <w14:solidFill>
              <w14:schemeClr w14:val="tx1"/>
            </w14:solidFill>
          </w14:textFill>
        </w:rPr>
        <w:t>。</w:t>
      </w:r>
    </w:p>
    <w:p w14:paraId="09463590">
      <w:pPr>
        <w:widowControl/>
        <w:spacing w:line="440" w:lineRule="exact"/>
        <w:ind w:firstLine="480"/>
        <w:rPr>
          <w:rFonts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根据采购人要求，针对有必要的管网采用CCTV、QV或其他方式进行检测，应全面检查管道内部的裂缝、破损、变形、堵塞、沉积物等问题，确保管道的完整性和运行效率。检测过程中应详细记录管道内部的状况，包括各类缺陷的位置、大小、形状等信息，为后续的分析和修复工作提供依据。检测完成后，应对获取的图像和视频数据进行仔细分析，准确识别管道的问题和状况。根据检测结果，应生成详细的检测报告，包括管道的状况、存在的问题以及建议的维护措施。</w:t>
      </w:r>
    </w:p>
    <w:p w14:paraId="1BE09398">
      <w:pPr>
        <w:pageBreakBefore w:val="0"/>
        <w:spacing w:line="440" w:lineRule="exact"/>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5</w:t>
      </w:r>
      <w:r>
        <w:rPr>
          <w:rFonts w:hint="eastAsia"/>
          <w:color w:val="000000" w:themeColor="text1"/>
          <w:sz w:val="24"/>
          <w:szCs w:val="24"/>
          <w:highlight w:val="none"/>
          <w14:textFill>
            <w14:solidFill>
              <w14:schemeClr w14:val="tx1"/>
            </w14:solidFill>
          </w14:textFill>
        </w:rPr>
        <w:t>、作业大纲要求</w:t>
      </w:r>
    </w:p>
    <w:p w14:paraId="799CE017">
      <w:pPr>
        <w:pageBreakBefore w:val="0"/>
        <w:spacing w:line="440" w:lineRule="exact"/>
        <w:ind w:right="-161" w:firstLine="47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w:t>
      </w:r>
      <w:r>
        <w:rPr>
          <w:color w:val="000000" w:themeColor="text1"/>
          <w:sz w:val="24"/>
          <w:szCs w:val="24"/>
          <w:highlight w:val="none"/>
          <w14:textFill>
            <w14:solidFill>
              <w14:schemeClr w14:val="tx1"/>
            </w14:solidFill>
          </w14:textFill>
        </w:rPr>
        <w:t>1</w:t>
      </w:r>
      <w:r>
        <w:rPr>
          <w:rFonts w:hint="eastAsia"/>
          <w:color w:val="000000" w:themeColor="text1"/>
          <w:sz w:val="24"/>
          <w:szCs w:val="24"/>
          <w:highlight w:val="none"/>
          <w14:textFill>
            <w14:solidFill>
              <w14:schemeClr w14:val="tx1"/>
            </w14:solidFill>
          </w14:textFill>
        </w:rPr>
        <w:t>）</w:t>
      </w:r>
      <w:r>
        <w:rPr>
          <w:rFonts w:hint="eastAsia"/>
          <w:color w:val="000000" w:themeColor="text1"/>
          <w:sz w:val="24"/>
          <w:szCs w:val="20"/>
          <w:highlight w:val="none"/>
          <w14:textFill>
            <w14:solidFill>
              <w14:schemeClr w14:val="tx1"/>
            </w14:solidFill>
          </w14:textFill>
        </w:rPr>
        <w:t>污水管网、窨井疏通养护</w:t>
      </w:r>
      <w:r>
        <w:rPr>
          <w:rFonts w:hint="eastAsia"/>
          <w:color w:val="000000" w:themeColor="text1"/>
          <w:sz w:val="24"/>
          <w:szCs w:val="20"/>
          <w:highlight w:val="none"/>
          <w:lang w:eastAsia="zh-CN"/>
          <w14:textFill>
            <w14:solidFill>
              <w14:schemeClr w14:val="tx1"/>
            </w14:solidFill>
          </w14:textFill>
        </w:rPr>
        <w:t>作业</w:t>
      </w:r>
      <w:r>
        <w:rPr>
          <w:rFonts w:hint="eastAsia"/>
          <w:color w:val="000000" w:themeColor="text1"/>
          <w:sz w:val="24"/>
          <w:szCs w:val="20"/>
          <w:highlight w:val="none"/>
          <w14:textFill>
            <w14:solidFill>
              <w14:schemeClr w14:val="tx1"/>
            </w14:solidFill>
          </w14:textFill>
        </w:rPr>
        <w:t>方案</w:t>
      </w:r>
      <w:r>
        <w:rPr>
          <w:rFonts w:hint="eastAsia"/>
          <w:color w:val="000000" w:themeColor="text1"/>
          <w:sz w:val="24"/>
          <w:szCs w:val="24"/>
          <w:highlight w:val="none"/>
          <w14:textFill>
            <w14:solidFill>
              <w14:schemeClr w14:val="tx1"/>
            </w14:solidFill>
          </w14:textFill>
        </w:rPr>
        <w:t>。</w:t>
      </w:r>
    </w:p>
    <w:p w14:paraId="74E3EA64">
      <w:pPr>
        <w:pageBreakBefore w:val="0"/>
        <w:spacing w:line="440" w:lineRule="exact"/>
        <w:ind w:right="-161" w:firstLine="47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w:t>
      </w:r>
      <w:r>
        <w:rPr>
          <w:color w:val="000000" w:themeColor="text1"/>
          <w:sz w:val="24"/>
          <w:szCs w:val="24"/>
          <w:highlight w:val="none"/>
          <w14:textFill>
            <w14:solidFill>
              <w14:schemeClr w14:val="tx1"/>
            </w14:solidFill>
          </w14:textFill>
        </w:rPr>
        <w:t>2</w:t>
      </w:r>
      <w:r>
        <w:rPr>
          <w:rFonts w:hint="eastAsia"/>
          <w:color w:val="000000" w:themeColor="text1"/>
          <w:sz w:val="24"/>
          <w:szCs w:val="24"/>
          <w:highlight w:val="none"/>
          <w14:textFill>
            <w14:solidFill>
              <w14:schemeClr w14:val="tx1"/>
            </w14:solidFill>
          </w14:textFill>
        </w:rPr>
        <w:t>）雨污分流改造、管网检测、管道修复</w:t>
      </w:r>
      <w:r>
        <w:rPr>
          <w:rFonts w:hint="eastAsia"/>
          <w:color w:val="000000" w:themeColor="text1"/>
          <w:sz w:val="24"/>
          <w:szCs w:val="24"/>
          <w:highlight w:val="none"/>
          <w:lang w:eastAsia="zh-CN"/>
          <w14:textFill>
            <w14:solidFill>
              <w14:schemeClr w14:val="tx1"/>
            </w14:solidFill>
          </w14:textFill>
        </w:rPr>
        <w:t>作业</w:t>
      </w:r>
      <w:r>
        <w:rPr>
          <w:rFonts w:hint="eastAsia"/>
          <w:color w:val="000000" w:themeColor="text1"/>
          <w:sz w:val="24"/>
          <w:szCs w:val="24"/>
          <w:highlight w:val="none"/>
          <w14:textFill>
            <w14:solidFill>
              <w14:schemeClr w14:val="tx1"/>
            </w14:solidFill>
          </w14:textFill>
        </w:rPr>
        <w:t>方案。</w:t>
      </w:r>
    </w:p>
    <w:p w14:paraId="21394C69">
      <w:pPr>
        <w:pageBreakBefore w:val="0"/>
        <w:spacing w:line="440" w:lineRule="exact"/>
        <w:ind w:right="-161" w:firstLine="47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w:t>
      </w:r>
      <w:r>
        <w:rPr>
          <w:color w:val="000000" w:themeColor="text1"/>
          <w:sz w:val="24"/>
          <w:szCs w:val="24"/>
          <w:highlight w:val="none"/>
          <w14:textFill>
            <w14:solidFill>
              <w14:schemeClr w14:val="tx1"/>
            </w14:solidFill>
          </w14:textFill>
        </w:rPr>
        <w:t>3</w:t>
      </w:r>
      <w:r>
        <w:rPr>
          <w:rFonts w:hint="eastAsia"/>
          <w:color w:val="000000" w:themeColor="text1"/>
          <w:sz w:val="24"/>
          <w:szCs w:val="24"/>
          <w:highlight w:val="none"/>
          <w14:textFill>
            <w14:solidFill>
              <w14:schemeClr w14:val="tx1"/>
            </w14:solidFill>
          </w14:textFill>
        </w:rPr>
        <w:t>）安全文明与现场交通等组织协调措施。</w:t>
      </w:r>
    </w:p>
    <w:p w14:paraId="76BB7D22">
      <w:pPr>
        <w:pageBreakBefore w:val="0"/>
        <w:spacing w:line="440" w:lineRule="exact"/>
        <w:ind w:right="-161" w:firstLine="47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w:t>
      </w:r>
      <w:r>
        <w:rPr>
          <w:color w:val="000000" w:themeColor="text1"/>
          <w:sz w:val="24"/>
          <w:szCs w:val="24"/>
          <w:highlight w:val="none"/>
          <w14:textFill>
            <w14:solidFill>
              <w14:schemeClr w14:val="tx1"/>
            </w14:solidFill>
          </w14:textFill>
        </w:rPr>
        <w:t>4</w:t>
      </w:r>
      <w:r>
        <w:rPr>
          <w:rFonts w:hint="eastAsia"/>
          <w:color w:val="000000" w:themeColor="text1"/>
          <w:sz w:val="24"/>
          <w:szCs w:val="24"/>
          <w:highlight w:val="none"/>
          <w14:textFill>
            <w14:solidFill>
              <w14:schemeClr w14:val="tx1"/>
            </w14:solidFill>
          </w14:textFill>
        </w:rPr>
        <w:t>）针对本项目服务质量保证措施方案。</w:t>
      </w:r>
    </w:p>
    <w:p w14:paraId="2980DFB9">
      <w:pPr>
        <w:pageBreakBefore w:val="0"/>
        <w:spacing w:line="440" w:lineRule="exact"/>
        <w:ind w:right="-161" w:firstLine="47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w:t>
      </w:r>
      <w:r>
        <w:rPr>
          <w:color w:val="000000" w:themeColor="text1"/>
          <w:sz w:val="24"/>
          <w:szCs w:val="24"/>
          <w:highlight w:val="none"/>
          <w14:textFill>
            <w14:solidFill>
              <w14:schemeClr w14:val="tx1"/>
            </w14:solidFill>
          </w14:textFill>
        </w:rPr>
        <w:t>5</w:t>
      </w:r>
      <w:r>
        <w:rPr>
          <w:rFonts w:hint="eastAsia"/>
          <w:color w:val="000000" w:themeColor="text1"/>
          <w:sz w:val="24"/>
          <w:szCs w:val="24"/>
          <w:highlight w:val="none"/>
          <w14:textFill>
            <w14:solidFill>
              <w14:schemeClr w14:val="tx1"/>
            </w14:solidFill>
          </w14:textFill>
        </w:rPr>
        <w:t>）各类灾害性天气等应急服务方案。</w:t>
      </w:r>
    </w:p>
    <w:p w14:paraId="56B73D6D">
      <w:pPr>
        <w:pageBreakBefore w:val="0"/>
        <w:spacing w:line="440" w:lineRule="exact"/>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6</w:t>
      </w:r>
      <w:r>
        <w:rPr>
          <w:rFonts w:hint="eastAsia"/>
          <w:color w:val="000000" w:themeColor="text1"/>
          <w:sz w:val="24"/>
          <w:szCs w:val="24"/>
          <w:highlight w:val="none"/>
          <w14:textFill>
            <w14:solidFill>
              <w14:schemeClr w14:val="tx1"/>
            </w14:solidFill>
          </w14:textFill>
        </w:rPr>
        <w:t>、作业目标</w:t>
      </w:r>
    </w:p>
    <w:p w14:paraId="39CDECCC">
      <w:pPr>
        <w:pageBreakBefore w:val="0"/>
        <w:spacing w:line="440" w:lineRule="exact"/>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污水管道通畅；杜绝污水外溢；检查井、进水井内无淤积物；各种井盖无缺失、无破损、无轧响。</w:t>
      </w:r>
    </w:p>
    <w:p w14:paraId="4285FD14">
      <w:pPr>
        <w:pageBreakBefore w:val="0"/>
        <w:spacing w:line="440" w:lineRule="exact"/>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7</w:t>
      </w:r>
      <w:r>
        <w:rPr>
          <w:rFonts w:hint="eastAsia"/>
          <w:color w:val="000000" w:themeColor="text1"/>
          <w:sz w:val="24"/>
          <w:szCs w:val="24"/>
          <w:highlight w:val="none"/>
          <w14:textFill>
            <w14:solidFill>
              <w14:schemeClr w14:val="tx1"/>
            </w14:solidFill>
          </w14:textFill>
        </w:rPr>
        <w:t>、资料要求</w:t>
      </w:r>
    </w:p>
    <w:p w14:paraId="5D6C2963">
      <w:pPr>
        <w:pageBreakBefore w:val="0"/>
        <w:spacing w:line="440" w:lineRule="exact"/>
        <w:ind w:right="-161" w:firstLine="360"/>
        <w:rPr>
          <w:rFonts w:hint="eastAsia" w:eastAsia="宋体" w:cs="Times New Roman"/>
          <w:color w:val="000000" w:themeColor="text1"/>
          <w:sz w:val="24"/>
          <w:szCs w:val="20"/>
          <w:highlight w:val="none"/>
          <w14:textFill>
            <w14:solidFill>
              <w14:schemeClr w14:val="tx1"/>
            </w14:solidFill>
          </w14:textFill>
        </w:rPr>
      </w:pPr>
      <w:r>
        <w:rPr>
          <w:rFonts w:hint="eastAsia"/>
          <w:color w:val="000000" w:themeColor="text1"/>
          <w:sz w:val="24"/>
          <w:szCs w:val="20"/>
          <w:highlight w:val="none"/>
          <w14:textFill>
            <w14:solidFill>
              <w14:schemeClr w14:val="tx1"/>
            </w14:solidFill>
          </w14:textFill>
        </w:rPr>
        <w:t>（</w:t>
      </w:r>
      <w:r>
        <w:rPr>
          <w:color w:val="000000" w:themeColor="text1"/>
          <w:sz w:val="24"/>
          <w:szCs w:val="20"/>
          <w:highlight w:val="none"/>
          <w14:textFill>
            <w14:solidFill>
              <w14:schemeClr w14:val="tx1"/>
            </w14:solidFill>
          </w14:textFill>
        </w:rPr>
        <w:t>1</w:t>
      </w:r>
      <w:r>
        <w:rPr>
          <w:rFonts w:hint="eastAsia"/>
          <w:color w:val="000000" w:themeColor="text1"/>
          <w:sz w:val="24"/>
          <w:szCs w:val="20"/>
          <w:highlight w:val="none"/>
          <w14:textFill>
            <w14:solidFill>
              <w14:schemeClr w14:val="tx1"/>
            </w14:solidFill>
          </w14:textFill>
        </w:rPr>
        <w:t>）妥善保管各种图纸、说明书和有关资料，集中存放，由专人定期整理。设备调拨时有关资料</w:t>
      </w:r>
      <w:r>
        <w:rPr>
          <w:rFonts w:hint="eastAsia" w:eastAsia="宋体" w:cs="Times New Roman"/>
          <w:color w:val="000000" w:themeColor="text1"/>
          <w:sz w:val="24"/>
          <w:szCs w:val="20"/>
          <w:highlight w:val="none"/>
          <w14:textFill>
            <w14:solidFill>
              <w14:schemeClr w14:val="tx1"/>
            </w14:solidFill>
          </w14:textFill>
        </w:rPr>
        <w:t>应随机转移，不得扣留或抽取插页。</w:t>
      </w:r>
    </w:p>
    <w:p w14:paraId="284CC7A6">
      <w:pPr>
        <w:pageBreakBefore w:val="0"/>
        <w:spacing w:line="440" w:lineRule="exact"/>
        <w:ind w:right="-161" w:firstLine="360"/>
        <w:rPr>
          <w:rFonts w:hint="eastAsia" w:eastAsia="宋体" w:cs="Times New Roman"/>
          <w:color w:val="000000" w:themeColor="text1"/>
          <w:sz w:val="24"/>
          <w:szCs w:val="20"/>
          <w:highlight w:val="none"/>
          <w14:textFill>
            <w14:solidFill>
              <w14:schemeClr w14:val="tx1"/>
            </w14:solidFill>
          </w14:textFill>
        </w:rPr>
      </w:pPr>
      <w:r>
        <w:rPr>
          <w:rFonts w:hint="eastAsia" w:eastAsia="宋体" w:cs="Times New Roman"/>
          <w:color w:val="000000" w:themeColor="text1"/>
          <w:sz w:val="24"/>
          <w:szCs w:val="20"/>
          <w:highlight w:val="none"/>
          <w14:textFill>
            <w14:solidFill>
              <w14:schemeClr w14:val="tx1"/>
            </w14:solidFill>
          </w14:textFill>
        </w:rPr>
        <w:t>（2）每次作业均需留档，包括作业时间、地点、签证工程量、现场照片等。</w:t>
      </w:r>
    </w:p>
    <w:p w14:paraId="0BFFF303">
      <w:pPr>
        <w:pageBreakBefore w:val="0"/>
        <w:spacing w:line="440" w:lineRule="exact"/>
        <w:ind w:right="-161" w:firstLine="360"/>
        <w:rPr>
          <w:rFonts w:hint="eastAsia" w:eastAsia="宋体" w:cs="Times New Roman"/>
          <w:color w:val="000000" w:themeColor="text1"/>
          <w:sz w:val="24"/>
          <w:szCs w:val="20"/>
          <w:highlight w:val="none"/>
          <w14:textFill>
            <w14:solidFill>
              <w14:schemeClr w14:val="tx1"/>
            </w14:solidFill>
          </w14:textFill>
        </w:rPr>
      </w:pPr>
      <w:r>
        <w:rPr>
          <w:rFonts w:hint="eastAsia" w:eastAsia="宋体" w:cs="Times New Roman"/>
          <w:color w:val="000000" w:themeColor="text1"/>
          <w:sz w:val="24"/>
          <w:szCs w:val="20"/>
          <w:highlight w:val="none"/>
          <w14:textFill>
            <w14:solidFill>
              <w14:schemeClr w14:val="tx1"/>
            </w14:solidFill>
          </w14:textFill>
        </w:rPr>
        <w:t>（3）建立企业作业日志，妥善保存启用、停用、大修、故障及重要测试数据。</w:t>
      </w:r>
    </w:p>
    <w:p w14:paraId="18F09786">
      <w:pPr>
        <w:pageBreakBefore w:val="0"/>
        <w:spacing w:line="440" w:lineRule="exact"/>
        <w:ind w:right="-161" w:firstLine="360"/>
        <w:rPr>
          <w:color w:val="000000" w:themeColor="text1"/>
          <w:sz w:val="24"/>
          <w:szCs w:val="20"/>
          <w:highlight w:val="none"/>
          <w14:textFill>
            <w14:solidFill>
              <w14:schemeClr w14:val="tx1"/>
            </w14:solidFill>
          </w14:textFill>
        </w:rPr>
      </w:pPr>
      <w:r>
        <w:rPr>
          <w:rFonts w:hint="eastAsia" w:eastAsia="宋体" w:cs="Times New Roman"/>
          <w:color w:val="000000" w:themeColor="text1"/>
          <w:sz w:val="24"/>
          <w:szCs w:val="20"/>
          <w:highlight w:val="none"/>
          <w14:textFill>
            <w14:solidFill>
              <w14:schemeClr w14:val="tx1"/>
            </w14:solidFill>
          </w14:textFill>
        </w:rPr>
        <w:t>（4）各种记录在当月工作完成后要及时整理。作业计划、报表和</w:t>
      </w:r>
      <w:r>
        <w:rPr>
          <w:rFonts w:hint="eastAsia"/>
          <w:color w:val="000000" w:themeColor="text1"/>
          <w:sz w:val="24"/>
          <w:szCs w:val="20"/>
          <w:highlight w:val="none"/>
          <w14:textFill>
            <w14:solidFill>
              <w14:schemeClr w14:val="tx1"/>
            </w14:solidFill>
          </w14:textFill>
        </w:rPr>
        <w:t>记录要装订成册，标识明确。</w:t>
      </w:r>
    </w:p>
    <w:p w14:paraId="524A75B2">
      <w:pPr>
        <w:pageBreakBefore w:val="0"/>
        <w:spacing w:line="440" w:lineRule="exact"/>
        <w:ind w:right="-161" w:firstLine="360"/>
        <w:rPr>
          <w:color w:val="000000" w:themeColor="text1"/>
          <w:sz w:val="24"/>
          <w:szCs w:val="20"/>
          <w:highlight w:val="none"/>
          <w14:textFill>
            <w14:solidFill>
              <w14:schemeClr w14:val="tx1"/>
            </w14:solidFill>
          </w14:textFill>
        </w:rPr>
      </w:pPr>
      <w:r>
        <w:rPr>
          <w:rFonts w:hint="eastAsia"/>
          <w:color w:val="000000" w:themeColor="text1"/>
          <w:sz w:val="24"/>
          <w:szCs w:val="20"/>
          <w:highlight w:val="none"/>
          <w14:textFill>
            <w14:solidFill>
              <w14:schemeClr w14:val="tx1"/>
            </w14:solidFill>
          </w14:textFill>
        </w:rPr>
        <w:t>（</w:t>
      </w:r>
      <w:r>
        <w:rPr>
          <w:color w:val="000000" w:themeColor="text1"/>
          <w:sz w:val="24"/>
          <w:szCs w:val="20"/>
          <w:highlight w:val="none"/>
          <w14:textFill>
            <w14:solidFill>
              <w14:schemeClr w14:val="tx1"/>
            </w14:solidFill>
          </w14:textFill>
        </w:rPr>
        <w:t>5</w:t>
      </w:r>
      <w:r>
        <w:rPr>
          <w:rFonts w:hint="eastAsia"/>
          <w:color w:val="000000" w:themeColor="text1"/>
          <w:sz w:val="24"/>
          <w:szCs w:val="20"/>
          <w:highlight w:val="none"/>
          <w14:textFill>
            <w14:solidFill>
              <w14:schemeClr w14:val="tx1"/>
            </w14:solidFill>
          </w14:textFill>
        </w:rPr>
        <w:t>）各种养护报表、值班记录，要妥善保存。</w:t>
      </w:r>
      <w:r>
        <w:rPr>
          <w:rFonts w:hint="eastAsia"/>
          <w:color w:val="000000" w:themeColor="text1"/>
          <w:sz w:val="24"/>
          <w:szCs w:val="20"/>
          <w:highlight w:val="none"/>
          <w:lang w:val="en-US" w:eastAsia="zh-CN"/>
          <w14:textFill>
            <w14:solidFill>
              <w14:schemeClr w14:val="tx1"/>
            </w14:solidFill>
          </w14:textFill>
        </w:rPr>
        <w:t>投标人</w:t>
      </w:r>
      <w:r>
        <w:rPr>
          <w:rFonts w:hint="eastAsia"/>
          <w:color w:val="000000" w:themeColor="text1"/>
          <w:sz w:val="24"/>
          <w:szCs w:val="20"/>
          <w:highlight w:val="none"/>
          <w14:textFill>
            <w14:solidFill>
              <w14:schemeClr w14:val="tx1"/>
            </w14:solidFill>
          </w14:textFill>
        </w:rPr>
        <w:t>提供服务项目组组成人员名单、常规服务、服务档案、服务建议等；</w:t>
      </w:r>
    </w:p>
    <w:p w14:paraId="4F21830C">
      <w:pPr>
        <w:pageBreakBefore w:val="0"/>
        <w:spacing w:line="440" w:lineRule="exact"/>
        <w:ind w:right="-161" w:firstLine="360"/>
        <w:rPr>
          <w:color w:val="000000" w:themeColor="text1"/>
          <w:sz w:val="24"/>
          <w:szCs w:val="20"/>
          <w:highlight w:val="none"/>
          <w14:textFill>
            <w14:solidFill>
              <w14:schemeClr w14:val="tx1"/>
            </w14:solidFill>
          </w14:textFill>
        </w:rPr>
      </w:pPr>
      <w:r>
        <w:rPr>
          <w:rFonts w:hint="eastAsia"/>
          <w:color w:val="000000" w:themeColor="text1"/>
          <w:sz w:val="24"/>
          <w:szCs w:val="20"/>
          <w:highlight w:val="none"/>
          <w14:textFill>
            <w14:solidFill>
              <w14:schemeClr w14:val="tx1"/>
            </w14:solidFill>
          </w14:textFill>
        </w:rPr>
        <w:t>（</w:t>
      </w:r>
      <w:r>
        <w:rPr>
          <w:color w:val="000000" w:themeColor="text1"/>
          <w:sz w:val="24"/>
          <w:szCs w:val="20"/>
          <w:highlight w:val="none"/>
          <w14:textFill>
            <w14:solidFill>
              <w14:schemeClr w14:val="tx1"/>
            </w14:solidFill>
          </w14:textFill>
        </w:rPr>
        <w:t>6</w:t>
      </w:r>
      <w:r>
        <w:rPr>
          <w:rFonts w:hint="eastAsia"/>
          <w:color w:val="000000" w:themeColor="text1"/>
          <w:sz w:val="24"/>
          <w:szCs w:val="20"/>
          <w:highlight w:val="none"/>
          <w14:textFill>
            <w14:solidFill>
              <w14:schemeClr w14:val="tx1"/>
            </w14:solidFill>
          </w14:textFill>
        </w:rPr>
        <w:t>）作业人员应相对固定，认真填写作业日志，并做到作业人员在故障突发时随叫随到。</w:t>
      </w:r>
    </w:p>
    <w:p w14:paraId="3DD73922">
      <w:pPr>
        <w:pageBreakBefore w:val="0"/>
        <w:spacing w:line="440" w:lineRule="exact"/>
        <w:outlineLvl w:val="1"/>
        <w:rPr>
          <w:b/>
          <w:bCs/>
          <w:color w:val="000000" w:themeColor="text1"/>
          <w:sz w:val="28"/>
          <w:szCs w:val="28"/>
          <w:highlight w:val="none"/>
          <w14:textFill>
            <w14:solidFill>
              <w14:schemeClr w14:val="tx1"/>
            </w14:solidFill>
          </w14:textFill>
        </w:rPr>
      </w:pPr>
      <w:bookmarkStart w:id="204" w:name="_Toc167780138"/>
      <w:bookmarkStart w:id="205" w:name="_Toc153263477"/>
      <w:bookmarkStart w:id="206" w:name="_Toc163508393"/>
      <w:bookmarkStart w:id="207" w:name="_Toc163508318"/>
      <w:bookmarkStart w:id="208" w:name="_Toc2871"/>
      <w:bookmarkStart w:id="209" w:name="_Toc25151"/>
      <w:bookmarkStart w:id="210" w:name="_Toc157604640"/>
      <w:r>
        <w:rPr>
          <w:rFonts w:hint="eastAsia"/>
          <w:b/>
          <w:bCs/>
          <w:color w:val="000000" w:themeColor="text1"/>
          <w:sz w:val="28"/>
          <w:szCs w:val="28"/>
          <w:highlight w:val="none"/>
          <w:lang w:val="en-US" w:eastAsia="zh-CN"/>
          <w14:textFill>
            <w14:solidFill>
              <w14:schemeClr w14:val="tx1"/>
            </w14:solidFill>
          </w14:textFill>
        </w:rPr>
        <w:t>四</w:t>
      </w:r>
      <w:r>
        <w:rPr>
          <w:rFonts w:hint="eastAsia"/>
          <w:b/>
          <w:bCs/>
          <w:color w:val="000000" w:themeColor="text1"/>
          <w:sz w:val="28"/>
          <w:szCs w:val="28"/>
          <w:highlight w:val="none"/>
          <w14:textFill>
            <w14:solidFill>
              <w14:schemeClr w14:val="tx1"/>
            </w14:solidFill>
          </w14:textFill>
        </w:rPr>
        <w:t>、质量要求以及其他要求</w:t>
      </w:r>
      <w:bookmarkEnd w:id="204"/>
      <w:bookmarkEnd w:id="205"/>
      <w:bookmarkEnd w:id="206"/>
      <w:bookmarkEnd w:id="207"/>
      <w:bookmarkEnd w:id="208"/>
      <w:bookmarkEnd w:id="209"/>
      <w:bookmarkEnd w:id="210"/>
    </w:p>
    <w:p w14:paraId="301E2207">
      <w:pPr>
        <w:pageBreakBefore w:val="0"/>
        <w:spacing w:line="440" w:lineRule="exact"/>
        <w:ind w:firstLine="480"/>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t>1</w:t>
      </w:r>
      <w:r>
        <w:rPr>
          <w:rFonts w:hint="eastAsia"/>
          <w:color w:val="000000" w:themeColor="text1"/>
          <w:sz w:val="24"/>
          <w:szCs w:val="20"/>
          <w:highlight w:val="none"/>
          <w14:textFill>
            <w14:solidFill>
              <w14:schemeClr w14:val="tx1"/>
            </w14:solidFill>
          </w14:textFill>
        </w:rPr>
        <w:t>、因中标人管理不善，造成服务范围内的设施、设备损坏，造成重大损失的由直接责任人赔偿，若直接责任人因故无法赔偿的，采购人有权要求中标单位按实际损失金额赔偿。</w:t>
      </w:r>
    </w:p>
    <w:p w14:paraId="596D8485">
      <w:pPr>
        <w:pageBreakBefore w:val="0"/>
        <w:spacing w:line="440" w:lineRule="exact"/>
        <w:ind w:firstLine="480"/>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t>2</w:t>
      </w:r>
      <w:r>
        <w:rPr>
          <w:rFonts w:hint="eastAsia"/>
          <w:color w:val="000000" w:themeColor="text1"/>
          <w:sz w:val="24"/>
          <w:szCs w:val="20"/>
          <w:highlight w:val="none"/>
          <w14:textFill>
            <w14:solidFill>
              <w14:schemeClr w14:val="tx1"/>
            </w14:solidFill>
          </w14:textFill>
        </w:rPr>
        <w:t>、投标文件中明确的项目组人员、设备与进场作业人员、设备应一致，中标单位不得随意更换，如发现未经采购人许可随意更换主要技术人员及设备，按中标单位违约处理。</w:t>
      </w:r>
    </w:p>
    <w:p w14:paraId="5199CE9B">
      <w:pPr>
        <w:pageBreakBefore w:val="0"/>
        <w:spacing w:line="440" w:lineRule="exact"/>
        <w:ind w:firstLine="480"/>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t>3</w:t>
      </w:r>
      <w:r>
        <w:rPr>
          <w:rFonts w:hint="eastAsia"/>
          <w:color w:val="000000" w:themeColor="text1"/>
          <w:sz w:val="24"/>
          <w:szCs w:val="20"/>
          <w:highlight w:val="none"/>
          <w14:textFill>
            <w14:solidFill>
              <w14:schemeClr w14:val="tx1"/>
            </w14:solidFill>
          </w14:textFill>
        </w:rPr>
        <w:t>、中标人人员进场，需持有身份证，资质证书复印件，经与投标文件核对无误，方能上岗工作，若有人员变动，需法定代表人签字或盖章，阐明变动原因，并需经采购人同意。</w:t>
      </w:r>
    </w:p>
    <w:p w14:paraId="1CD60DAB">
      <w:pPr>
        <w:pageBreakBefore w:val="0"/>
        <w:spacing w:line="440" w:lineRule="exact"/>
        <w:ind w:right="-161" w:firstLine="470"/>
        <w:rPr>
          <w:rFonts w:hint="eastAsia"/>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4</w:t>
      </w:r>
      <w:r>
        <w:rPr>
          <w:rFonts w:hint="eastAsia"/>
          <w:color w:val="000000" w:themeColor="text1"/>
          <w:sz w:val="24"/>
          <w:szCs w:val="24"/>
          <w:highlight w:val="none"/>
          <w14:textFill>
            <w14:solidFill>
              <w14:schemeClr w14:val="tx1"/>
            </w14:solidFill>
          </w14:textFill>
        </w:rPr>
        <w:t>、采购人对中标人人员每月不定期检查，如发现撤离到其他工地作业时，按中标人违约处理。</w:t>
      </w:r>
    </w:p>
    <w:p w14:paraId="65962D88">
      <w:pPr>
        <w:pageBreakBefore w:val="0"/>
        <w:spacing w:line="440" w:lineRule="exact"/>
        <w:ind w:right="-161" w:firstLine="470"/>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5</w:t>
      </w:r>
      <w:r>
        <w:rPr>
          <w:rFonts w:hint="eastAsia"/>
          <w:color w:val="000000" w:themeColor="text1"/>
          <w:sz w:val="24"/>
          <w:szCs w:val="24"/>
          <w:highlight w:val="none"/>
          <w14:textFill>
            <w14:solidFill>
              <w14:schemeClr w14:val="tx1"/>
            </w14:solidFill>
          </w14:textFill>
        </w:rPr>
        <w:t>、中标人应根据采购人的服务要求，以及服务规范、规程等进行服务。</w:t>
      </w:r>
    </w:p>
    <w:p w14:paraId="64F1190D">
      <w:pPr>
        <w:pageBreakBefore w:val="0"/>
        <w:spacing w:line="440" w:lineRule="exact"/>
        <w:ind w:right="-161" w:firstLine="470"/>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6</w:t>
      </w:r>
      <w:r>
        <w:rPr>
          <w:rFonts w:hint="eastAsia"/>
          <w:color w:val="000000" w:themeColor="text1"/>
          <w:sz w:val="24"/>
          <w:szCs w:val="24"/>
          <w:highlight w:val="none"/>
          <w14:textFill>
            <w14:solidFill>
              <w14:schemeClr w14:val="tx1"/>
            </w14:solidFill>
          </w14:textFill>
        </w:rPr>
        <w:t>、中标人应按期向采购人提供符合质量要求的文件资料。</w:t>
      </w:r>
    </w:p>
    <w:p w14:paraId="22A03A80">
      <w:pPr>
        <w:pageBreakBefore w:val="0"/>
        <w:spacing w:line="440" w:lineRule="exact"/>
        <w:ind w:right="-161" w:firstLine="470"/>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7</w:t>
      </w:r>
      <w:r>
        <w:rPr>
          <w:rFonts w:hint="eastAsia"/>
          <w:color w:val="000000" w:themeColor="text1"/>
          <w:sz w:val="24"/>
          <w:szCs w:val="24"/>
          <w:highlight w:val="none"/>
          <w14:textFill>
            <w14:solidFill>
              <w14:schemeClr w14:val="tx1"/>
            </w14:solidFill>
          </w14:textFill>
        </w:rPr>
        <w:t>、中标人自行承担服务期限内人员的全部作业安全责任，并负责仪器设备车辆的使用正常以及其他项目正常实施的一切必要因素。</w:t>
      </w:r>
    </w:p>
    <w:p w14:paraId="177E3136">
      <w:pPr>
        <w:pageBreakBefore w:val="0"/>
        <w:spacing w:line="440" w:lineRule="exact"/>
        <w:ind w:right="-161" w:firstLine="470"/>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8</w:t>
      </w:r>
      <w:r>
        <w:rPr>
          <w:rFonts w:hint="eastAsia"/>
          <w:color w:val="000000" w:themeColor="text1"/>
          <w:sz w:val="24"/>
          <w:szCs w:val="24"/>
          <w:highlight w:val="none"/>
          <w14:textFill>
            <w14:solidFill>
              <w14:schemeClr w14:val="tx1"/>
            </w14:solidFill>
          </w14:textFill>
        </w:rPr>
        <w:t>、中标人应遵守养护规范要求，文明</w:t>
      </w:r>
      <w:r>
        <w:rPr>
          <w:rFonts w:hint="eastAsia"/>
          <w:color w:val="000000" w:themeColor="text1"/>
          <w:sz w:val="24"/>
          <w:szCs w:val="24"/>
          <w:highlight w:val="none"/>
          <w:lang w:eastAsia="zh-CN"/>
          <w14:textFill>
            <w14:solidFill>
              <w14:schemeClr w14:val="tx1"/>
            </w14:solidFill>
          </w14:textFill>
        </w:rPr>
        <w:t>作业</w:t>
      </w:r>
      <w:r>
        <w:rPr>
          <w:rFonts w:hint="eastAsia"/>
          <w:color w:val="000000" w:themeColor="text1"/>
          <w:sz w:val="24"/>
          <w:szCs w:val="24"/>
          <w:highlight w:val="none"/>
          <w14:textFill>
            <w14:solidFill>
              <w14:schemeClr w14:val="tx1"/>
            </w14:solidFill>
          </w14:textFill>
        </w:rPr>
        <w:t>；</w:t>
      </w:r>
    </w:p>
    <w:p w14:paraId="13C9450F">
      <w:pPr>
        <w:pageBreakBefore w:val="0"/>
        <w:spacing w:line="440" w:lineRule="exact"/>
        <w:ind w:right="-161" w:firstLine="470"/>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9</w:t>
      </w:r>
      <w:r>
        <w:rPr>
          <w:rFonts w:hint="eastAsia"/>
          <w:color w:val="000000" w:themeColor="text1"/>
          <w:sz w:val="24"/>
          <w:szCs w:val="24"/>
          <w:highlight w:val="none"/>
          <w14:textFill>
            <w14:solidFill>
              <w14:schemeClr w14:val="tx1"/>
            </w14:solidFill>
          </w14:textFill>
        </w:rPr>
        <w:t>、中标人作业人员对车辆设备、管线等造成损坏的，应由中标人负责修复及承担一切费用；</w:t>
      </w:r>
    </w:p>
    <w:p w14:paraId="532BFA78">
      <w:pPr>
        <w:pageBreakBefore w:val="0"/>
        <w:spacing w:line="440" w:lineRule="exact"/>
        <w:ind w:right="-161" w:firstLine="470"/>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10</w:t>
      </w:r>
      <w:r>
        <w:rPr>
          <w:rFonts w:hint="eastAsia"/>
          <w:color w:val="000000" w:themeColor="text1"/>
          <w:sz w:val="24"/>
          <w:szCs w:val="24"/>
          <w:highlight w:val="none"/>
          <w14:textFill>
            <w14:solidFill>
              <w14:schemeClr w14:val="tx1"/>
            </w14:solidFill>
          </w14:textFill>
        </w:rPr>
        <w:t>、在作业过程中应做好安全交通标识牌，中标人负责及时清理垃圾，保证场地清洁不影响市民出行。</w:t>
      </w:r>
    </w:p>
    <w:p w14:paraId="41C2B4B1">
      <w:pPr>
        <w:pageBreakBefore w:val="0"/>
        <w:spacing w:line="440" w:lineRule="exact"/>
        <w:ind w:right="-161" w:firstLine="470"/>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11</w:t>
      </w:r>
      <w:r>
        <w:rPr>
          <w:rFonts w:hint="eastAsia"/>
          <w:color w:val="000000" w:themeColor="text1"/>
          <w:sz w:val="24"/>
          <w:szCs w:val="24"/>
          <w:highlight w:val="none"/>
          <w14:textFill>
            <w14:solidFill>
              <w14:schemeClr w14:val="tx1"/>
            </w14:solidFill>
          </w14:textFill>
        </w:rPr>
        <w:t>、中标人承担</w:t>
      </w:r>
      <w:r>
        <w:rPr>
          <w:rFonts w:hint="eastAsia"/>
          <w:color w:val="000000" w:themeColor="text1"/>
          <w:sz w:val="24"/>
          <w:szCs w:val="24"/>
          <w:highlight w:val="none"/>
          <w:lang w:eastAsia="zh-CN"/>
          <w14:textFill>
            <w14:solidFill>
              <w14:schemeClr w14:val="tx1"/>
            </w14:solidFill>
          </w14:textFill>
        </w:rPr>
        <w:t>作业</w:t>
      </w:r>
      <w:r>
        <w:rPr>
          <w:rFonts w:hint="eastAsia"/>
          <w:color w:val="000000" w:themeColor="text1"/>
          <w:sz w:val="24"/>
          <w:szCs w:val="24"/>
          <w:highlight w:val="none"/>
          <w14:textFill>
            <w14:solidFill>
              <w14:schemeClr w14:val="tx1"/>
            </w14:solidFill>
          </w14:textFill>
        </w:rPr>
        <w:t>人员的安全责任。</w:t>
      </w:r>
    </w:p>
    <w:p w14:paraId="087308CA">
      <w:pPr>
        <w:pageBreakBefore w:val="0"/>
        <w:spacing w:line="440" w:lineRule="exact"/>
        <w:ind w:right="-161" w:firstLine="470"/>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12</w:t>
      </w:r>
      <w:r>
        <w:rPr>
          <w:rFonts w:hint="eastAsia"/>
          <w:color w:val="000000" w:themeColor="text1"/>
          <w:sz w:val="24"/>
          <w:szCs w:val="24"/>
          <w:highlight w:val="none"/>
          <w14:textFill>
            <w14:solidFill>
              <w14:schemeClr w14:val="tx1"/>
            </w14:solidFill>
          </w14:textFill>
        </w:rPr>
        <w:t>、采购人配合工作：负责提供中标人所需的图纸和相关资料；负责中标人与其他工作单位人员的协调。</w:t>
      </w:r>
    </w:p>
    <w:p w14:paraId="17C674F9">
      <w:pPr>
        <w:pageBreakBefore w:val="0"/>
        <w:spacing w:line="440" w:lineRule="exact"/>
        <w:outlineLvl w:val="1"/>
        <w:rPr>
          <w:b/>
          <w:bCs/>
          <w:color w:val="000000" w:themeColor="text1"/>
          <w:sz w:val="28"/>
          <w:szCs w:val="28"/>
          <w:highlight w:val="none"/>
          <w14:textFill>
            <w14:solidFill>
              <w14:schemeClr w14:val="tx1"/>
            </w14:solidFill>
          </w14:textFill>
        </w:rPr>
      </w:pPr>
      <w:bookmarkStart w:id="211" w:name="_Toc163508319"/>
      <w:bookmarkStart w:id="212" w:name="_Toc157604641"/>
      <w:bookmarkStart w:id="213" w:name="_Toc6779"/>
      <w:bookmarkStart w:id="214" w:name="_Toc27263"/>
      <w:bookmarkStart w:id="215" w:name="_Toc163508394"/>
      <w:bookmarkStart w:id="216" w:name="_Toc167780139"/>
      <w:bookmarkStart w:id="217" w:name="_Toc153263478"/>
      <w:r>
        <w:rPr>
          <w:rFonts w:hint="eastAsia"/>
          <w:b/>
          <w:bCs/>
          <w:color w:val="000000" w:themeColor="text1"/>
          <w:sz w:val="28"/>
          <w:szCs w:val="28"/>
          <w:highlight w:val="none"/>
          <w:lang w:val="en-US" w:eastAsia="zh-CN"/>
          <w14:textFill>
            <w14:solidFill>
              <w14:schemeClr w14:val="tx1"/>
            </w14:solidFill>
          </w14:textFill>
        </w:rPr>
        <w:t>五</w:t>
      </w:r>
      <w:r>
        <w:rPr>
          <w:rFonts w:hint="eastAsia"/>
          <w:b/>
          <w:bCs/>
          <w:color w:val="000000" w:themeColor="text1"/>
          <w:sz w:val="28"/>
          <w:szCs w:val="28"/>
          <w:highlight w:val="none"/>
          <w14:textFill>
            <w14:solidFill>
              <w14:schemeClr w14:val="tx1"/>
            </w14:solidFill>
          </w14:textFill>
        </w:rPr>
        <w:t>、人员及机械配置要求</w:t>
      </w:r>
      <w:bookmarkEnd w:id="211"/>
      <w:bookmarkEnd w:id="212"/>
      <w:bookmarkEnd w:id="213"/>
      <w:bookmarkEnd w:id="214"/>
      <w:bookmarkEnd w:id="215"/>
      <w:bookmarkEnd w:id="216"/>
      <w:bookmarkEnd w:id="217"/>
    </w:p>
    <w:p w14:paraId="16637CCC">
      <w:pPr>
        <w:pageBreakBefore w:val="0"/>
        <w:spacing w:line="440" w:lineRule="exact"/>
        <w:ind w:right="-161" w:firstLine="470"/>
        <w:rPr>
          <w:rFonts w:hint="default"/>
          <w:color w:val="000000" w:themeColor="text1"/>
          <w:sz w:val="24"/>
          <w:szCs w:val="24"/>
          <w:highlight w:val="none"/>
          <w:lang w:val="en-US"/>
          <w14:textFill>
            <w14:solidFill>
              <w14:schemeClr w14:val="tx1"/>
            </w14:solidFill>
          </w14:textFill>
        </w:rPr>
      </w:pPr>
      <w:bookmarkStart w:id="218" w:name="_Toc153263479"/>
      <w:bookmarkStart w:id="219" w:name="_Toc157604642"/>
      <w:bookmarkStart w:id="220" w:name="_Toc163508320"/>
      <w:bookmarkStart w:id="221" w:name="_Toc163508395"/>
      <w:r>
        <w:rPr>
          <w:color w:val="000000" w:themeColor="text1"/>
          <w:sz w:val="24"/>
          <w:szCs w:val="24"/>
          <w:highlight w:val="none"/>
          <w14:textFill>
            <w14:solidFill>
              <w14:schemeClr w14:val="tx1"/>
            </w14:solidFill>
          </w14:textFill>
        </w:rPr>
        <w:t>1</w:t>
      </w:r>
      <w:r>
        <w:rPr>
          <w:rFonts w:hint="eastAsia"/>
          <w:color w:val="000000" w:themeColor="text1"/>
          <w:sz w:val="24"/>
          <w:szCs w:val="24"/>
          <w:highlight w:val="none"/>
          <w14:textFill>
            <w14:solidFill>
              <w14:schemeClr w14:val="tx1"/>
            </w14:solidFill>
          </w14:textFill>
        </w:rPr>
        <w:t>、投标人需为本项目配备项目负责人1人，并配备相应的项目组作业人员不少于3人。</w:t>
      </w:r>
    </w:p>
    <w:p w14:paraId="793B4F1E">
      <w:pPr>
        <w:pageBreakBefore w:val="0"/>
        <w:spacing w:line="440" w:lineRule="exact"/>
        <w:ind w:right="-161" w:firstLine="47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注：配备的人员须为企业本职职员，项目负责人原则上在服务期间不得更换，与投标文件中一致，除采购人书面同意之外。</w:t>
      </w:r>
    </w:p>
    <w:p w14:paraId="7CB65CB0">
      <w:pPr>
        <w:pageBreakBefore w:val="0"/>
        <w:spacing w:line="440" w:lineRule="exact"/>
        <w:ind w:right="-161" w:firstLine="47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2、</w:t>
      </w:r>
      <w:r>
        <w:rPr>
          <w:rFonts w:hint="eastAsia" w:ascii="宋体" w:hAnsi="宋体"/>
          <w:color w:val="000000" w:themeColor="text1"/>
          <w:sz w:val="24"/>
          <w:szCs w:val="24"/>
          <w:highlight w:val="none"/>
          <w14:textFill>
            <w14:solidFill>
              <w14:schemeClr w14:val="tx1"/>
            </w14:solidFill>
          </w14:textFill>
        </w:rPr>
        <w:t>主要专业</w:t>
      </w:r>
      <w:r>
        <w:rPr>
          <w:rFonts w:hint="eastAsia" w:ascii="宋体" w:hAnsi="宋体"/>
          <w:color w:val="000000" w:themeColor="text1"/>
          <w:sz w:val="24"/>
          <w:szCs w:val="24"/>
          <w:highlight w:val="none"/>
          <w:lang w:eastAsia="zh-CN"/>
          <w14:textFill>
            <w14:solidFill>
              <w14:schemeClr w14:val="tx1"/>
            </w14:solidFill>
          </w14:textFill>
        </w:rPr>
        <w:t>作业</w:t>
      </w:r>
      <w:r>
        <w:rPr>
          <w:rFonts w:hint="eastAsia" w:ascii="宋体" w:hAnsi="宋体"/>
          <w:color w:val="000000" w:themeColor="text1"/>
          <w:sz w:val="24"/>
          <w:szCs w:val="24"/>
          <w:highlight w:val="none"/>
          <w14:textFill>
            <w14:solidFill>
              <w14:schemeClr w14:val="tx1"/>
            </w14:solidFill>
          </w14:textFill>
        </w:rPr>
        <w:t>机械及设备配置</w:t>
      </w:r>
      <w:r>
        <w:rPr>
          <w:rFonts w:ascii="宋体" w:hAnsi="宋体"/>
          <w:color w:val="000000" w:themeColor="text1"/>
          <w:sz w:val="24"/>
          <w:szCs w:val="24"/>
          <w:highlight w:val="none"/>
          <w14:textFill>
            <w14:solidFill>
              <w14:schemeClr w14:val="tx1"/>
            </w14:solidFill>
          </w14:textFill>
        </w:rPr>
        <w:t>要求：</w:t>
      </w:r>
      <w:r>
        <w:rPr>
          <w:rFonts w:hint="eastAsia" w:asciiTheme="minorEastAsia" w:hAnsiTheme="minorEastAsia" w:eastAsiaTheme="minorEastAsia"/>
          <w:color w:val="000000" w:themeColor="text1"/>
          <w:sz w:val="24"/>
          <w:szCs w:val="24"/>
          <w:highlight w:val="none"/>
          <w14:textFill>
            <w14:solidFill>
              <w14:schemeClr w14:val="tx1"/>
            </w14:solidFill>
          </w14:textFill>
        </w:rPr>
        <w:t>气体检测仪、全地形管道机器人、高压清洗机、厢式运输车、疏通车（清洗车）、吸污净化车、大功率排水泵（排水量800m3/小时以上）、非开挖铺管钻机、</w:t>
      </w:r>
      <w:r>
        <w:rPr>
          <w:rFonts w:asciiTheme="minorEastAsia" w:hAnsiTheme="minorEastAsia" w:eastAsiaTheme="minorEastAsia"/>
          <w:color w:val="000000" w:themeColor="text1"/>
          <w:sz w:val="24"/>
          <w:szCs w:val="24"/>
          <w:highlight w:val="none"/>
          <w14:textFill>
            <w14:solidFill>
              <w14:schemeClr w14:val="tx1"/>
            </w14:solidFill>
          </w14:textFill>
        </w:rPr>
        <w:t>管道</w:t>
      </w:r>
      <w:r>
        <w:rPr>
          <w:rFonts w:hint="eastAsia" w:asciiTheme="minorEastAsia" w:hAnsiTheme="minorEastAsia" w:eastAsiaTheme="minorEastAsia"/>
          <w:color w:val="000000" w:themeColor="text1"/>
          <w:sz w:val="24"/>
          <w:szCs w:val="24"/>
          <w:highlight w:val="none"/>
          <w14:textFill>
            <w14:solidFill>
              <w14:schemeClr w14:val="tx1"/>
            </w14:solidFill>
          </w14:textFill>
        </w:rPr>
        <w:t>修复</w:t>
      </w:r>
      <w:r>
        <w:rPr>
          <w:rFonts w:asciiTheme="minorEastAsia" w:hAnsiTheme="minorEastAsia" w:eastAsiaTheme="minorEastAsia"/>
          <w:color w:val="000000" w:themeColor="text1"/>
          <w:sz w:val="24"/>
          <w:szCs w:val="24"/>
          <w:highlight w:val="none"/>
          <w14:textFill>
            <w14:solidFill>
              <w14:schemeClr w14:val="tx1"/>
            </w14:solidFill>
          </w14:textFill>
        </w:rPr>
        <w:t>机械（</w:t>
      </w:r>
      <w:r>
        <w:rPr>
          <w:rFonts w:hint="eastAsia" w:asciiTheme="minorEastAsia" w:hAnsiTheme="minorEastAsia" w:eastAsiaTheme="minorEastAsia"/>
          <w:color w:val="000000" w:themeColor="text1"/>
          <w:sz w:val="24"/>
          <w:szCs w:val="24"/>
          <w:highlight w:val="none"/>
          <w14:textFill>
            <w14:solidFill>
              <w14:schemeClr w14:val="tx1"/>
            </w14:solidFill>
          </w14:textFill>
        </w:rPr>
        <w:t>符合</w:t>
      </w:r>
      <w:r>
        <w:rPr>
          <w:rFonts w:asciiTheme="minorEastAsia" w:hAnsiTheme="minorEastAsia" w:eastAsiaTheme="minorEastAsia"/>
          <w:color w:val="000000" w:themeColor="text1"/>
          <w:sz w:val="24"/>
          <w:szCs w:val="24"/>
          <w:highlight w:val="none"/>
          <w14:textFill>
            <w14:solidFill>
              <w14:schemeClr w14:val="tx1"/>
            </w14:solidFill>
          </w14:textFill>
        </w:rPr>
        <w:t>项目需求修复</w:t>
      </w:r>
      <w:r>
        <w:rPr>
          <w:rFonts w:hint="eastAsia" w:asciiTheme="minorEastAsia" w:hAnsiTheme="minorEastAsia" w:eastAsiaTheme="minorEastAsia"/>
          <w:color w:val="000000" w:themeColor="text1"/>
          <w:sz w:val="24"/>
          <w:szCs w:val="24"/>
          <w:highlight w:val="none"/>
          <w14:textFill>
            <w14:solidFill>
              <w14:schemeClr w14:val="tx1"/>
            </w14:solidFill>
          </w14:textFill>
        </w:rPr>
        <w:t>方法</w:t>
      </w:r>
      <w:r>
        <w:rPr>
          <w:rFonts w:asciiTheme="minorEastAsia" w:hAnsiTheme="minorEastAsia" w:eastAsiaTheme="minorEastAsia"/>
          <w:color w:val="000000" w:themeColor="text1"/>
          <w:sz w:val="24"/>
          <w:szCs w:val="24"/>
          <w:highlight w:val="none"/>
          <w14:textFill>
            <w14:solidFill>
              <w14:schemeClr w14:val="tx1"/>
            </w14:solidFill>
          </w14:textFill>
        </w:rPr>
        <w:t>）</w:t>
      </w:r>
      <w:r>
        <w:rPr>
          <w:rFonts w:hint="eastAsia" w:asciiTheme="minorEastAsia" w:hAnsiTheme="minorEastAsia" w:eastAsiaTheme="minorEastAsia"/>
          <w:color w:val="000000" w:themeColor="text1"/>
          <w:sz w:val="24"/>
          <w:szCs w:val="24"/>
          <w:highlight w:val="none"/>
          <w14:textFill>
            <w14:solidFill>
              <w14:schemeClr w14:val="tx1"/>
            </w14:solidFill>
          </w14:textFill>
        </w:rPr>
        <w:t>、</w:t>
      </w:r>
      <w:r>
        <w:rPr>
          <w:rFonts w:asciiTheme="minorEastAsia" w:hAnsiTheme="minorEastAsia" w:eastAsiaTheme="minorEastAsia"/>
          <w:color w:val="000000" w:themeColor="text1"/>
          <w:sz w:val="24"/>
          <w:szCs w:val="24"/>
          <w:highlight w:val="none"/>
          <w14:textFill>
            <w14:solidFill>
              <w14:schemeClr w14:val="tx1"/>
            </w14:solidFill>
          </w14:textFill>
        </w:rPr>
        <w:t>管道</w:t>
      </w:r>
      <w:r>
        <w:rPr>
          <w:rFonts w:hint="eastAsia" w:asciiTheme="minorEastAsia" w:hAnsiTheme="minorEastAsia" w:eastAsiaTheme="minorEastAsia"/>
          <w:color w:val="000000" w:themeColor="text1"/>
          <w:sz w:val="24"/>
          <w:szCs w:val="24"/>
          <w:highlight w:val="none"/>
          <w14:textFill>
            <w14:solidFill>
              <w14:schemeClr w14:val="tx1"/>
            </w14:solidFill>
          </w14:textFill>
        </w:rPr>
        <w:t>声纳</w:t>
      </w:r>
      <w:r>
        <w:rPr>
          <w:rFonts w:hint="eastAsia" w:asciiTheme="minorEastAsia" w:hAnsiTheme="minorEastAsia"/>
          <w:color w:val="000000" w:themeColor="text1"/>
          <w:sz w:val="24"/>
          <w:szCs w:val="24"/>
          <w:highlight w:val="none"/>
          <w:lang w:val="en-US" w:eastAsia="zh-CN"/>
          <w14:textFill>
            <w14:solidFill>
              <w14:schemeClr w14:val="tx1"/>
            </w14:solidFill>
          </w14:textFill>
        </w:rPr>
        <w:t>至少各一台</w:t>
      </w:r>
      <w:r>
        <w:rPr>
          <w:rFonts w:hint="eastAsia"/>
          <w:color w:val="000000" w:themeColor="text1"/>
          <w:sz w:val="24"/>
          <w:szCs w:val="24"/>
          <w:highlight w:val="none"/>
          <w14:textFill>
            <w14:solidFill>
              <w14:schemeClr w14:val="tx1"/>
            </w14:solidFill>
          </w14:textFill>
        </w:rPr>
        <w:t>。</w:t>
      </w:r>
    </w:p>
    <w:p w14:paraId="7B576019">
      <w:pPr>
        <w:pageBreakBefore w:val="0"/>
        <w:spacing w:line="440" w:lineRule="exact"/>
        <w:ind w:right="-161" w:firstLine="470"/>
        <w:rPr>
          <w:rFonts w:hint="eastAsia"/>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3、投标人为满足工程车辆进入城区需要，吸污车、疏通车进入城区提供有效期内的常熟市市区通行证明。</w:t>
      </w:r>
    </w:p>
    <w:p w14:paraId="75750073">
      <w:pPr>
        <w:pageBreakBefore w:val="0"/>
        <w:spacing w:line="440" w:lineRule="exact"/>
        <w:outlineLvl w:val="1"/>
        <w:rPr>
          <w:b/>
          <w:bCs/>
          <w:color w:val="000000" w:themeColor="text1"/>
          <w:sz w:val="28"/>
          <w:szCs w:val="28"/>
          <w:highlight w:val="none"/>
          <w14:textFill>
            <w14:solidFill>
              <w14:schemeClr w14:val="tx1"/>
            </w14:solidFill>
          </w14:textFill>
        </w:rPr>
      </w:pPr>
      <w:bookmarkStart w:id="222" w:name="_Toc167780140"/>
      <w:bookmarkStart w:id="223" w:name="_Toc12402"/>
      <w:bookmarkStart w:id="224" w:name="_Toc17600"/>
      <w:r>
        <w:rPr>
          <w:rFonts w:hint="eastAsia"/>
          <w:b/>
          <w:bCs/>
          <w:color w:val="000000" w:themeColor="text1"/>
          <w:sz w:val="28"/>
          <w:szCs w:val="28"/>
          <w:highlight w:val="none"/>
          <w:lang w:val="en-US" w:eastAsia="zh-CN"/>
          <w14:textFill>
            <w14:solidFill>
              <w14:schemeClr w14:val="tx1"/>
            </w14:solidFill>
          </w14:textFill>
        </w:rPr>
        <w:t>六</w:t>
      </w:r>
      <w:r>
        <w:rPr>
          <w:rFonts w:hint="eastAsia"/>
          <w:b/>
          <w:bCs/>
          <w:color w:val="000000" w:themeColor="text1"/>
          <w:sz w:val="28"/>
          <w:szCs w:val="28"/>
          <w:highlight w:val="none"/>
          <w14:textFill>
            <w14:solidFill>
              <w14:schemeClr w14:val="tx1"/>
            </w14:solidFill>
          </w14:textFill>
        </w:rPr>
        <w:t>、报价要求</w:t>
      </w:r>
      <w:bookmarkEnd w:id="218"/>
      <w:bookmarkEnd w:id="219"/>
      <w:bookmarkEnd w:id="220"/>
      <w:bookmarkEnd w:id="221"/>
      <w:bookmarkEnd w:id="222"/>
      <w:bookmarkEnd w:id="223"/>
      <w:bookmarkEnd w:id="224"/>
    </w:p>
    <w:p w14:paraId="7DA2B6D3">
      <w:pPr>
        <w:pageBreakBefore w:val="0"/>
        <w:spacing w:line="440" w:lineRule="exact"/>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1、投标人须对本项目中包含的所有服务内容进行报价，不得漏报，否则将失去投标资格。</w:t>
      </w:r>
    </w:p>
    <w:p w14:paraId="48ECCEC8">
      <w:pPr>
        <w:spacing w:line="440" w:lineRule="exact"/>
        <w:ind w:firstLine="482"/>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2、本项目采购预算为</w:t>
      </w:r>
      <w:r>
        <w:rPr>
          <w:rFonts w:hint="eastAsia" w:ascii="宋体" w:hAnsi="宋体"/>
          <w:b/>
          <w:color w:val="000000" w:themeColor="text1"/>
          <w:sz w:val="24"/>
          <w:szCs w:val="24"/>
          <w:highlight w:val="none"/>
          <w:lang w:val="en-US" w:eastAsia="zh-CN"/>
          <w14:textFill>
            <w14:solidFill>
              <w14:schemeClr w14:val="tx1"/>
            </w14:solidFill>
          </w14:textFill>
        </w:rPr>
        <w:t>2943000.00</w:t>
      </w:r>
      <w:r>
        <w:rPr>
          <w:rFonts w:hint="eastAsia" w:ascii="宋体" w:hAnsi="宋体"/>
          <w:b/>
          <w:color w:val="000000" w:themeColor="text1"/>
          <w:sz w:val="24"/>
          <w:szCs w:val="24"/>
          <w:highlight w:val="none"/>
          <w14:textFill>
            <w14:solidFill>
              <w14:schemeClr w14:val="tx1"/>
            </w14:solidFill>
          </w14:textFill>
        </w:rPr>
        <w:t>元，投标人的报价以统一</w:t>
      </w:r>
      <w:r>
        <w:rPr>
          <w:rFonts w:hint="eastAsia" w:ascii="宋体" w:hAnsi="宋体"/>
          <w:b/>
          <w:color w:val="000000" w:themeColor="text1"/>
          <w:sz w:val="24"/>
          <w:szCs w:val="24"/>
          <w:highlight w:val="none"/>
          <w:lang w:val="en-US" w:eastAsia="zh-CN"/>
          <w14:textFill>
            <w14:solidFill>
              <w14:schemeClr w14:val="tx1"/>
            </w14:solidFill>
          </w14:textFill>
        </w:rPr>
        <w:t>的</w:t>
      </w:r>
      <w:r>
        <w:rPr>
          <w:rFonts w:ascii="宋体" w:hAnsi="宋体"/>
          <w:b/>
          <w:color w:val="000000" w:themeColor="text1"/>
          <w:sz w:val="24"/>
          <w:szCs w:val="24"/>
          <w:highlight w:val="none"/>
          <w14:textFill>
            <w14:solidFill>
              <w14:schemeClr w14:val="tx1"/>
            </w14:solidFill>
          </w14:textFill>
        </w:rPr>
        <w:t>优惠率</w:t>
      </w:r>
      <w:r>
        <w:rPr>
          <w:rFonts w:hint="eastAsia" w:ascii="宋体" w:hAnsi="宋体"/>
          <w:b/>
          <w:color w:val="000000" w:themeColor="text1"/>
          <w:sz w:val="24"/>
          <w:szCs w:val="24"/>
          <w:highlight w:val="none"/>
          <w14:textFill>
            <w14:solidFill>
              <w14:schemeClr w14:val="tx1"/>
            </w14:solidFill>
          </w14:textFill>
        </w:rPr>
        <w:t>进行</w:t>
      </w:r>
      <w:r>
        <w:rPr>
          <w:rFonts w:ascii="宋体" w:hAnsi="宋体"/>
          <w:b/>
          <w:color w:val="000000" w:themeColor="text1"/>
          <w:sz w:val="24"/>
          <w:szCs w:val="24"/>
          <w:highlight w:val="none"/>
          <w14:textFill>
            <w14:solidFill>
              <w14:schemeClr w14:val="tx1"/>
            </w14:solidFill>
          </w14:textFill>
        </w:rPr>
        <w:t>报价</w:t>
      </w:r>
      <w:r>
        <w:rPr>
          <w:rFonts w:hint="eastAsia" w:ascii="宋体" w:hAnsi="宋体"/>
          <w:b/>
          <w:color w:val="000000" w:themeColor="text1"/>
          <w:sz w:val="24"/>
          <w:szCs w:val="24"/>
          <w:highlight w:val="none"/>
          <w:lang w:eastAsia="zh-CN"/>
          <w14:textFill>
            <w14:solidFill>
              <w14:schemeClr w14:val="tx1"/>
            </w14:solidFill>
          </w14:textFill>
        </w:rPr>
        <w:t>，</w:t>
      </w:r>
      <w:r>
        <w:rPr>
          <w:rFonts w:hint="eastAsia" w:ascii="宋体" w:hAnsi="宋体"/>
          <w:b/>
          <w:color w:val="000000" w:themeColor="text1"/>
          <w:sz w:val="24"/>
          <w:szCs w:val="24"/>
          <w:highlight w:val="none"/>
          <w:lang w:val="en-US" w:eastAsia="zh-CN"/>
          <w14:textFill>
            <w14:solidFill>
              <w14:schemeClr w14:val="tx1"/>
            </w14:solidFill>
          </w14:textFill>
        </w:rPr>
        <w:t>投标</w:t>
      </w:r>
      <w:r>
        <w:rPr>
          <w:rFonts w:hint="eastAsia" w:ascii="宋体" w:hAnsi="宋体"/>
          <w:b/>
          <w:color w:val="000000" w:themeColor="text1"/>
          <w:sz w:val="24"/>
          <w:szCs w:val="24"/>
          <w:highlight w:val="none"/>
          <w14:textFill>
            <w14:solidFill>
              <w14:schemeClr w14:val="tx1"/>
            </w14:solidFill>
          </w14:textFill>
        </w:rPr>
        <w:t>优惠率</w:t>
      </w:r>
      <w:r>
        <w:rPr>
          <w:rFonts w:ascii="宋体" w:hAnsi="宋体"/>
          <w:b/>
          <w:color w:val="000000" w:themeColor="text1"/>
          <w:sz w:val="24"/>
          <w:szCs w:val="24"/>
          <w:highlight w:val="none"/>
          <w14:textFill>
            <w14:solidFill>
              <w14:schemeClr w14:val="tx1"/>
            </w14:solidFill>
          </w14:textFill>
        </w:rPr>
        <w:t>报价</w:t>
      </w:r>
      <w:r>
        <w:rPr>
          <w:rFonts w:hint="eastAsia" w:ascii="宋体" w:hAnsi="宋体"/>
          <w:b/>
          <w:color w:val="000000" w:themeColor="text1"/>
          <w:sz w:val="24"/>
          <w:szCs w:val="24"/>
          <w:highlight w:val="none"/>
          <w14:textFill>
            <w14:solidFill>
              <w14:schemeClr w14:val="tx1"/>
            </w14:solidFill>
          </w14:textFill>
        </w:rPr>
        <w:t>必须≥</w:t>
      </w:r>
      <w:r>
        <w:rPr>
          <w:rFonts w:hint="eastAsia" w:ascii="宋体" w:hAnsi="宋体"/>
          <w:b/>
          <w:color w:val="000000" w:themeColor="text1"/>
          <w:sz w:val="24"/>
          <w:szCs w:val="24"/>
          <w:highlight w:val="none"/>
          <w:lang w:val="en-US" w:eastAsia="zh-CN"/>
          <w14:textFill>
            <w14:solidFill>
              <w14:schemeClr w14:val="tx1"/>
            </w14:solidFill>
          </w14:textFill>
        </w:rPr>
        <w:t>10</w:t>
      </w:r>
      <w:r>
        <w:rPr>
          <w:rFonts w:ascii="宋体" w:hAnsi="宋体"/>
          <w:b/>
          <w:color w:val="000000" w:themeColor="text1"/>
          <w:sz w:val="24"/>
          <w:szCs w:val="24"/>
          <w:highlight w:val="none"/>
          <w14:textFill>
            <w14:solidFill>
              <w14:schemeClr w14:val="tx1"/>
            </w14:solidFill>
          </w14:textFill>
        </w:rPr>
        <w:t>%</w:t>
      </w:r>
      <w:r>
        <w:rPr>
          <w:rFonts w:hint="eastAsia"/>
          <w:b/>
          <w:color w:val="000000" w:themeColor="text1"/>
          <w:sz w:val="24"/>
          <w:szCs w:val="24"/>
          <w:highlight w:val="none"/>
          <w14:textFill>
            <w14:solidFill>
              <w14:schemeClr w14:val="tx1"/>
            </w14:solidFill>
          </w14:textFill>
        </w:rPr>
        <w:t>，</w:t>
      </w:r>
      <w:r>
        <w:rPr>
          <w:rFonts w:hint="eastAsia" w:ascii="宋体" w:hAnsi="宋体"/>
          <w:b/>
          <w:color w:val="000000" w:themeColor="text1"/>
          <w:sz w:val="24"/>
          <w:szCs w:val="24"/>
          <w:highlight w:val="none"/>
          <w14:textFill>
            <w14:solidFill>
              <w14:schemeClr w14:val="tx1"/>
            </w14:solidFill>
          </w14:textFill>
        </w:rPr>
        <w:t>否则将作无效投标处理。</w:t>
      </w:r>
    </w:p>
    <w:p w14:paraId="70935C32">
      <w:pPr>
        <w:pageBreakBefore w:val="0"/>
        <w:spacing w:line="440" w:lineRule="exact"/>
        <w:ind w:firstLine="48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3</w:t>
      </w:r>
      <w:r>
        <w:rPr>
          <w:rFonts w:hint="eastAsia" w:ascii="宋体" w:hAnsi="宋体"/>
          <w:color w:val="000000" w:themeColor="text1"/>
          <w:sz w:val="24"/>
          <w:szCs w:val="24"/>
          <w:highlight w:val="none"/>
          <w14:textFill>
            <w14:solidFill>
              <w14:schemeClr w14:val="tx1"/>
            </w14:solidFill>
          </w14:textFill>
        </w:rPr>
        <w:t>、本项目</w:t>
      </w:r>
      <w:r>
        <w:rPr>
          <w:rFonts w:ascii="宋体" w:hAnsi="宋体"/>
          <w:color w:val="000000" w:themeColor="text1"/>
          <w:sz w:val="24"/>
          <w:szCs w:val="24"/>
          <w:highlight w:val="none"/>
          <w14:textFill>
            <w14:solidFill>
              <w14:schemeClr w14:val="tx1"/>
            </w14:solidFill>
          </w14:textFill>
        </w:rPr>
        <w:t>投标</w:t>
      </w:r>
      <w:r>
        <w:rPr>
          <w:rFonts w:hint="eastAsia" w:ascii="宋体" w:hAnsi="宋体"/>
          <w:color w:val="000000" w:themeColor="text1"/>
          <w:sz w:val="24"/>
          <w:szCs w:val="24"/>
          <w:highlight w:val="none"/>
          <w14:textFill>
            <w14:solidFill>
              <w14:schemeClr w14:val="tx1"/>
            </w14:solidFill>
          </w14:textFill>
        </w:rPr>
        <w:t>报价应以人民币报价，投标总价包括</w:t>
      </w:r>
      <w:r>
        <w:rPr>
          <w:rFonts w:hint="eastAsia" w:ascii="宋体" w:hAnsi="宋体"/>
          <w:b/>
          <w:bCs/>
          <w:color w:val="000000" w:themeColor="text1"/>
          <w:sz w:val="24"/>
          <w:szCs w:val="24"/>
          <w:highlight w:val="none"/>
          <w14:textFill>
            <w14:solidFill>
              <w14:schemeClr w14:val="tx1"/>
            </w14:solidFill>
          </w14:textFill>
        </w:rPr>
        <w:t>劳务、运输、管理、安装、养护、保险、利润、税金、政策性文件规定及合同包含的所有风险、责任等各项应有费用。</w:t>
      </w:r>
    </w:p>
    <w:p w14:paraId="54CFE6BF">
      <w:pPr>
        <w:pageBreakBefore w:val="0"/>
        <w:spacing w:line="440" w:lineRule="exact"/>
        <w:ind w:firstLine="48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4</w:t>
      </w:r>
      <w:r>
        <w:rPr>
          <w:rFonts w:hint="eastAsia" w:ascii="宋体" w:hAnsi="宋体"/>
          <w:color w:val="000000" w:themeColor="text1"/>
          <w:sz w:val="24"/>
          <w:szCs w:val="24"/>
          <w:highlight w:val="none"/>
          <w14:textFill>
            <w14:solidFill>
              <w14:schemeClr w14:val="tx1"/>
            </w14:solidFill>
          </w14:textFill>
        </w:rPr>
        <w:t>、投标人在报价时应充分考虑各种风险因素，包括但不限于遇重大活动、检查、突发情况、省市有关项目政策调整、最低工资调整、物价调整、税费调整等。相关风险因素费用全部包含在报价中，采购人不再为本项目支付其他任何费用。</w:t>
      </w:r>
    </w:p>
    <w:p w14:paraId="19D030E2">
      <w:pPr>
        <w:pageBreakBefore w:val="0"/>
        <w:spacing w:line="440" w:lineRule="exact"/>
        <w:ind w:firstLine="480"/>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5</w:t>
      </w:r>
      <w:r>
        <w:rPr>
          <w:rFonts w:hint="eastAsia" w:ascii="宋体" w:hAnsi="宋体"/>
          <w:color w:val="000000" w:themeColor="text1"/>
          <w:sz w:val="24"/>
          <w:szCs w:val="24"/>
          <w:highlight w:val="none"/>
          <w14:textFill>
            <w14:solidFill>
              <w14:schemeClr w14:val="tx1"/>
            </w14:solidFill>
          </w14:textFill>
        </w:rPr>
        <w:t>、中标人工作人员在岗履行职责期间（包括上下班途中），发生自身的人身伤害、伤亡，均由中标人负责处理并承担经济和道义上的责任，采购人不承担任何责任。</w:t>
      </w:r>
    </w:p>
    <w:p w14:paraId="0F9078ED">
      <w:pPr>
        <w:spacing w:line="440" w:lineRule="exact"/>
        <w:rPr>
          <w:rFonts w:hint="eastAsia" w:ascii="宋体" w:hAnsi="宋体" w:eastAsia="宋体" w:cs="Times New Roman"/>
          <w:b/>
          <w:color w:val="000000" w:themeColor="text1"/>
          <w:sz w:val="28"/>
          <w:szCs w:val="24"/>
          <w:highlight w:val="none"/>
          <w:lang w:val="en-US" w:eastAsia="zh-CN"/>
          <w14:textFill>
            <w14:solidFill>
              <w14:schemeClr w14:val="tx1"/>
            </w14:solidFill>
          </w14:textFill>
        </w:rPr>
      </w:pPr>
      <w:r>
        <w:rPr>
          <w:rFonts w:hint="eastAsia" w:ascii="宋体" w:hAnsi="宋体" w:cs="Times New Roman"/>
          <w:b/>
          <w:color w:val="000000" w:themeColor="text1"/>
          <w:sz w:val="28"/>
          <w:szCs w:val="24"/>
          <w:highlight w:val="none"/>
          <w:lang w:val="en-US" w:eastAsia="zh-CN"/>
          <w14:textFill>
            <w14:solidFill>
              <w14:schemeClr w14:val="tx1"/>
            </w14:solidFill>
          </w14:textFill>
        </w:rPr>
        <w:t>七</w:t>
      </w:r>
      <w:r>
        <w:rPr>
          <w:rFonts w:hint="eastAsia" w:ascii="宋体" w:hAnsi="宋体" w:eastAsia="宋体" w:cs="Times New Roman"/>
          <w:b/>
          <w:color w:val="000000" w:themeColor="text1"/>
          <w:sz w:val="28"/>
          <w:szCs w:val="24"/>
          <w:highlight w:val="none"/>
          <w:lang w:val="en-US" w:eastAsia="zh-CN"/>
          <w14:textFill>
            <w14:solidFill>
              <w14:schemeClr w14:val="tx1"/>
            </w14:solidFill>
          </w14:textFill>
        </w:rPr>
        <w:t>、其他要求：</w:t>
      </w:r>
    </w:p>
    <w:p w14:paraId="41E714DF">
      <w:pPr>
        <w:spacing w:line="440" w:lineRule="exact"/>
        <w:ind w:firstLine="482"/>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1</w:t>
      </w:r>
      <w:r>
        <w:rPr>
          <w:rFonts w:ascii="宋体" w:hAnsi="宋体"/>
          <w:b/>
          <w:bCs/>
          <w:color w:val="000000" w:themeColor="text1"/>
          <w:sz w:val="24"/>
          <w:szCs w:val="24"/>
          <w:highlight w:val="none"/>
          <w14:textFill>
            <w14:solidFill>
              <w14:schemeClr w14:val="tx1"/>
            </w14:solidFill>
          </w14:textFill>
        </w:rPr>
        <w:t>、实质性</w:t>
      </w:r>
      <w:r>
        <w:rPr>
          <w:rFonts w:hint="eastAsia" w:ascii="宋体" w:hAnsi="宋体"/>
          <w:b/>
          <w:bCs/>
          <w:color w:val="000000" w:themeColor="text1"/>
          <w:sz w:val="24"/>
          <w:szCs w:val="24"/>
          <w:highlight w:val="none"/>
          <w14:textFill>
            <w14:solidFill>
              <w14:schemeClr w14:val="tx1"/>
            </w14:solidFill>
          </w14:textFill>
        </w:rPr>
        <w:t>要求：</w:t>
      </w:r>
      <w:r>
        <w:rPr>
          <w:rFonts w:hint="eastAsia" w:ascii="宋体" w:hAnsi="宋体" w:cs="宋体"/>
          <w:b/>
          <w:bCs/>
          <w:color w:val="000000" w:themeColor="text1"/>
          <w:sz w:val="24"/>
          <w:szCs w:val="24"/>
          <w:highlight w:val="none"/>
          <w14:textFill>
            <w14:solidFill>
              <w14:schemeClr w14:val="tx1"/>
            </w14:solidFill>
          </w14:textFill>
        </w:rPr>
        <w:t>“第四章  采购需求”中，斜体且有下划线部分为实质性要求，其余的均为常规要求，</w:t>
      </w:r>
      <w:r>
        <w:rPr>
          <w:rFonts w:hint="eastAsia" w:ascii="Times New Roman" w:hAnsi="Times New Roman"/>
          <w:b/>
          <w:bCs/>
          <w:color w:val="000000" w:themeColor="text1"/>
          <w:sz w:val="24"/>
          <w:szCs w:val="24"/>
          <w:highlight w:val="none"/>
          <w14:textFill>
            <w14:solidFill>
              <w14:schemeClr w14:val="tx1"/>
            </w14:solidFill>
          </w14:textFill>
        </w:rPr>
        <w:t>任何一项</w:t>
      </w:r>
      <w:r>
        <w:rPr>
          <w:rFonts w:hint="eastAsia"/>
          <w:b/>
          <w:bCs/>
          <w:color w:val="000000" w:themeColor="text1"/>
          <w:sz w:val="24"/>
          <w:highlight w:val="none"/>
          <w14:textFill>
            <w14:solidFill>
              <w14:schemeClr w14:val="tx1"/>
            </w14:solidFill>
          </w14:textFill>
        </w:rPr>
        <w:t>实质性要求</w:t>
      </w:r>
      <w:r>
        <w:rPr>
          <w:rFonts w:hint="eastAsia" w:ascii="Times New Roman" w:hAnsi="Times New Roman"/>
          <w:b/>
          <w:bCs/>
          <w:color w:val="000000" w:themeColor="text1"/>
          <w:sz w:val="24"/>
          <w:szCs w:val="24"/>
          <w:highlight w:val="none"/>
          <w14:textFill>
            <w14:solidFill>
              <w14:schemeClr w14:val="tx1"/>
            </w14:solidFill>
          </w14:textFill>
        </w:rPr>
        <w:t>未满足的，</w:t>
      </w:r>
      <w:r>
        <w:rPr>
          <w:rFonts w:hint="eastAsia" w:ascii="Times New Roman" w:hAnsi="Times New Roman"/>
          <w:b/>
          <w:bCs/>
          <w:color w:val="000000" w:themeColor="text1"/>
          <w:sz w:val="24"/>
          <w:highlight w:val="none"/>
          <w14:textFill>
            <w14:solidFill>
              <w14:schemeClr w14:val="tx1"/>
            </w14:solidFill>
          </w14:textFill>
        </w:rPr>
        <w:t>将作无效投标处理</w:t>
      </w:r>
      <w:r>
        <w:rPr>
          <w:rFonts w:hint="eastAsia" w:ascii="宋体" w:hAnsi="宋体"/>
          <w:b/>
          <w:bCs/>
          <w:color w:val="000000" w:themeColor="text1"/>
          <w:sz w:val="24"/>
          <w:szCs w:val="24"/>
          <w:highlight w:val="none"/>
          <w14:textFill>
            <w14:solidFill>
              <w14:schemeClr w14:val="tx1"/>
            </w14:solidFill>
          </w14:textFill>
        </w:rPr>
        <w:t>。</w:t>
      </w:r>
    </w:p>
    <w:p w14:paraId="01982E57">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p>
    <w:p w14:paraId="24F13185">
      <w:pPr>
        <w:keepNext/>
        <w:ind w:firstLine="880"/>
        <w:jc w:val="center"/>
        <w:outlineLvl w:val="0"/>
        <w:rPr>
          <w:rFonts w:hint="eastAsia" w:ascii="黑体" w:hAnsi="Courier New" w:eastAsia="黑体" w:cs="Courier New"/>
          <w:bCs/>
          <w:color w:val="000000" w:themeColor="text1"/>
          <w:sz w:val="44"/>
          <w:szCs w:val="21"/>
          <w:highlight w:val="none"/>
          <w14:textFill>
            <w14:solidFill>
              <w14:schemeClr w14:val="tx1"/>
            </w14:solidFill>
          </w14:textFill>
        </w:rPr>
      </w:pPr>
      <w:bookmarkStart w:id="225" w:name="_Toc20352"/>
      <w:bookmarkStart w:id="226" w:name="_Toc16818"/>
      <w:r>
        <w:rPr>
          <w:rFonts w:hint="eastAsia" w:ascii="黑体" w:hAnsi="Courier New" w:eastAsia="黑体" w:cs="Courier New"/>
          <w:bCs/>
          <w:color w:val="000000" w:themeColor="text1"/>
          <w:sz w:val="44"/>
          <w:szCs w:val="21"/>
          <w:highlight w:val="none"/>
          <w14:textFill>
            <w14:solidFill>
              <w14:schemeClr w14:val="tx1"/>
            </w14:solidFill>
          </w14:textFill>
        </w:rPr>
        <w:t>第五章  评审因素和评分标准</w:t>
      </w:r>
      <w:bookmarkEnd w:id="225"/>
      <w:bookmarkEnd w:id="226"/>
    </w:p>
    <w:p w14:paraId="09E386F0">
      <w:pPr>
        <w:spacing w:line="440" w:lineRule="exact"/>
        <w:rPr>
          <w:b/>
          <w:bCs/>
          <w:color w:val="000000" w:themeColor="text1"/>
          <w:sz w:val="28"/>
          <w:highlight w:val="none"/>
          <w14:textFill>
            <w14:solidFill>
              <w14:schemeClr w14:val="tx1"/>
            </w14:solidFill>
          </w14:textFill>
        </w:rPr>
      </w:pPr>
      <w:r>
        <w:rPr>
          <w:b/>
          <w:bCs/>
          <w:color w:val="000000" w:themeColor="text1"/>
          <w:sz w:val="28"/>
          <w:highlight w:val="none"/>
          <w14:textFill>
            <w14:solidFill>
              <w14:schemeClr w14:val="tx1"/>
            </w14:solidFill>
          </w14:textFill>
        </w:rPr>
        <w:t>一、评审方法：</w:t>
      </w:r>
    </w:p>
    <w:p w14:paraId="38FED61A">
      <w:pPr>
        <w:spacing w:line="440" w:lineRule="exact"/>
        <w:ind w:firstLine="480"/>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1、</w:t>
      </w:r>
      <w:r>
        <w:rPr>
          <w:rFonts w:hint="eastAsia"/>
          <w:color w:val="000000" w:themeColor="text1"/>
          <w:sz w:val="24"/>
          <w:highlight w:val="none"/>
          <w14:textFill>
            <w14:solidFill>
              <w14:schemeClr w14:val="tx1"/>
            </w14:solidFill>
          </w14:textFill>
        </w:rPr>
        <w:t>本项目采用综合评分法。评标结果按</w:t>
      </w:r>
      <w:r>
        <w:rPr>
          <w:color w:val="000000" w:themeColor="text1"/>
          <w:sz w:val="24"/>
          <w:szCs w:val="24"/>
          <w:highlight w:val="none"/>
          <w14:textFill>
            <w14:solidFill>
              <w14:schemeClr w14:val="tx1"/>
            </w14:solidFill>
          </w14:textFill>
        </w:rPr>
        <w:t>评审后得分由高到低顺序排列。得分相同的，按投标报价由低到高顺序排列。得分且投标报价相同的</w:t>
      </w:r>
      <w:r>
        <w:rPr>
          <w:rFonts w:hint="eastAsia"/>
          <w:color w:val="000000" w:themeColor="text1"/>
          <w:sz w:val="24"/>
          <w:szCs w:val="24"/>
          <w:highlight w:val="none"/>
          <w14:textFill>
            <w14:solidFill>
              <w14:schemeClr w14:val="tx1"/>
            </w14:solidFill>
          </w14:textFill>
        </w:rPr>
        <w:t>，</w:t>
      </w:r>
      <w:r>
        <w:rPr>
          <w:color w:val="000000" w:themeColor="text1"/>
          <w:sz w:val="24"/>
          <w:szCs w:val="24"/>
          <w:highlight w:val="none"/>
          <w14:textFill>
            <w14:solidFill>
              <w14:schemeClr w14:val="tx1"/>
            </w14:solidFill>
          </w14:textFill>
        </w:rPr>
        <w:t>按</w:t>
      </w:r>
      <w:r>
        <w:rPr>
          <w:rFonts w:hint="eastAsia"/>
          <w:color w:val="000000" w:themeColor="text1"/>
          <w:sz w:val="24"/>
          <w:szCs w:val="24"/>
          <w:highlight w:val="none"/>
          <w14:textFill>
            <w14:solidFill>
              <w14:schemeClr w14:val="tx1"/>
            </w14:solidFill>
          </w14:textFill>
        </w:rPr>
        <w:t>上传加密电子投标文件时间先后</w:t>
      </w:r>
      <w:r>
        <w:rPr>
          <w:color w:val="000000" w:themeColor="text1"/>
          <w:sz w:val="24"/>
          <w:szCs w:val="24"/>
          <w:highlight w:val="none"/>
          <w14:textFill>
            <w14:solidFill>
              <w14:schemeClr w14:val="tx1"/>
            </w14:solidFill>
          </w14:textFill>
        </w:rPr>
        <w:t>顺序排列</w:t>
      </w:r>
      <w:r>
        <w:rPr>
          <w:rFonts w:ascii="宋体" w:hAnsi="宋体" w:cs="宋体"/>
          <w:color w:val="000000" w:themeColor="text1"/>
          <w:sz w:val="24"/>
          <w:szCs w:val="24"/>
          <w:highlight w:val="none"/>
          <w14:textFill>
            <w14:solidFill>
              <w14:schemeClr w14:val="tx1"/>
            </w14:solidFill>
          </w14:textFill>
        </w:rPr>
        <w:t>。</w:t>
      </w:r>
    </w:p>
    <w:p w14:paraId="19FCAB23">
      <w:pPr>
        <w:spacing w:line="440" w:lineRule="exact"/>
        <w:ind w:firstLine="480"/>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2、评委会根据排列情况将推荐前三名为中标候选人，并根据采购人委托</w:t>
      </w:r>
      <w:r>
        <w:rPr>
          <w:rFonts w:hint="eastAsia"/>
          <w:color w:val="000000" w:themeColor="text1"/>
          <w:sz w:val="24"/>
          <w:szCs w:val="24"/>
          <w:highlight w:val="none"/>
          <w14:textFill>
            <w14:solidFill>
              <w14:schemeClr w14:val="tx1"/>
            </w14:solidFill>
          </w14:textFill>
        </w:rPr>
        <w:t>直接</w:t>
      </w:r>
      <w:r>
        <w:rPr>
          <w:color w:val="000000" w:themeColor="text1"/>
          <w:sz w:val="24"/>
          <w:szCs w:val="24"/>
          <w:highlight w:val="none"/>
          <w14:textFill>
            <w14:solidFill>
              <w14:schemeClr w14:val="tx1"/>
            </w14:solidFill>
          </w14:textFill>
        </w:rPr>
        <w:t>确定排名第一的中标候选人为中标人。</w:t>
      </w:r>
    </w:p>
    <w:p w14:paraId="7D1D80FC">
      <w:pPr>
        <w:keepNext w:val="0"/>
        <w:keepLines w:val="0"/>
        <w:pageBreakBefore w:val="0"/>
        <w:widowControl w:val="0"/>
        <w:spacing w:line="440" w:lineRule="exact"/>
        <w:rPr>
          <w:b/>
          <w:bCs/>
          <w:color w:val="000000" w:themeColor="text1"/>
          <w:sz w:val="28"/>
          <w:highlight w:val="none"/>
          <w14:textFill>
            <w14:solidFill>
              <w14:schemeClr w14:val="tx1"/>
            </w14:solidFill>
          </w14:textFill>
        </w:rPr>
      </w:pPr>
      <w:r>
        <w:rPr>
          <w:b/>
          <w:bCs/>
          <w:color w:val="000000" w:themeColor="text1"/>
          <w:sz w:val="28"/>
          <w:highlight w:val="none"/>
          <w14:textFill>
            <w14:solidFill>
              <w14:schemeClr w14:val="tx1"/>
            </w14:solidFill>
          </w14:textFill>
        </w:rPr>
        <w:t>二、评审因素、权值及评分标准：</w:t>
      </w:r>
    </w:p>
    <w:p w14:paraId="72BF3B05">
      <w:pPr>
        <w:keepNext w:val="0"/>
        <w:keepLines w:val="0"/>
        <w:pageBreakBefore w:val="0"/>
        <w:widowControl w:val="0"/>
        <w:spacing w:line="440" w:lineRule="exact"/>
        <w:ind w:firstLine="470"/>
        <w:rPr>
          <w:b/>
          <w:bCs/>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注：每部分的得分保留小数点后两位，合计得分保留小数点后两位。</w:t>
      </w:r>
    </w:p>
    <w:p w14:paraId="09B7D323">
      <w:pPr>
        <w:keepNext w:val="0"/>
        <w:keepLines w:val="0"/>
        <w:pageBreakBefore w:val="0"/>
        <w:widowControl w:val="0"/>
        <w:spacing w:line="440" w:lineRule="exact"/>
        <w:ind w:firstLine="472"/>
        <w:rPr>
          <w:b/>
          <w:bCs/>
          <w:color w:val="000000" w:themeColor="text1"/>
          <w:sz w:val="24"/>
          <w:highlight w:val="none"/>
          <w14:textFill>
            <w14:solidFill>
              <w14:schemeClr w14:val="tx1"/>
            </w14:solidFill>
          </w14:textFill>
        </w:rPr>
      </w:pPr>
      <w:r>
        <w:rPr>
          <w:b/>
          <w:bCs/>
          <w:color w:val="000000" w:themeColor="text1"/>
          <w:sz w:val="24"/>
          <w:highlight w:val="none"/>
          <w14:textFill>
            <w14:solidFill>
              <w14:schemeClr w14:val="tx1"/>
            </w14:solidFill>
          </w14:textFill>
        </w:rPr>
        <w:t>1、投标报价</w:t>
      </w:r>
      <w:r>
        <w:rPr>
          <w:rFonts w:hint="eastAsia"/>
          <w:b/>
          <w:bCs/>
          <w:color w:val="000000" w:themeColor="text1"/>
          <w:sz w:val="24"/>
          <w:highlight w:val="none"/>
          <w:lang w:val="en-US" w:eastAsia="zh-CN"/>
          <w14:textFill>
            <w14:solidFill>
              <w14:schemeClr w14:val="tx1"/>
            </w14:solidFill>
          </w14:textFill>
        </w:rPr>
        <w:t>15</w:t>
      </w:r>
      <w:r>
        <w:rPr>
          <w:b/>
          <w:bCs/>
          <w:color w:val="000000" w:themeColor="text1"/>
          <w:sz w:val="24"/>
          <w:highlight w:val="none"/>
          <w14:textFill>
            <w14:solidFill>
              <w14:schemeClr w14:val="tx1"/>
            </w14:solidFill>
          </w14:textFill>
        </w:rPr>
        <w:t>分</w:t>
      </w:r>
    </w:p>
    <w:p w14:paraId="5C7CB48A">
      <w:pPr>
        <w:keepNext w:val="0"/>
        <w:keepLines w:val="0"/>
        <w:pageBreakBefore w:val="0"/>
        <w:widowControl w:val="0"/>
        <w:spacing w:line="440" w:lineRule="exact"/>
        <w:ind w:firstLine="48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所有有效投标人中，投标</w:t>
      </w:r>
      <w:r>
        <w:rPr>
          <w:rFonts w:hint="eastAsia"/>
          <w:color w:val="000000" w:themeColor="text1"/>
          <w:sz w:val="24"/>
          <w:highlight w:val="none"/>
          <w14:textFill>
            <w14:solidFill>
              <w14:schemeClr w14:val="tx1"/>
            </w14:solidFill>
          </w14:textFill>
        </w:rPr>
        <w:t>优惠率</w:t>
      </w:r>
      <w:r>
        <w:rPr>
          <w:rFonts w:hint="eastAsia"/>
          <w:b/>
          <w:color w:val="000000" w:themeColor="text1"/>
          <w:sz w:val="24"/>
          <w:highlight w:val="none"/>
          <w14:textFill>
            <w14:solidFill>
              <w14:schemeClr w14:val="tx1"/>
            </w14:solidFill>
          </w14:textFill>
        </w:rPr>
        <w:t>最高</w:t>
      </w:r>
      <w:r>
        <w:rPr>
          <w:color w:val="000000" w:themeColor="text1"/>
          <w:sz w:val="24"/>
          <w:highlight w:val="none"/>
          <w14:textFill>
            <w14:solidFill>
              <w14:schemeClr w14:val="tx1"/>
            </w14:solidFill>
          </w14:textFill>
        </w:rPr>
        <w:t>的为评标基准</w:t>
      </w:r>
      <w:r>
        <w:rPr>
          <w:rFonts w:hint="eastAsia"/>
          <w:color w:val="000000" w:themeColor="text1"/>
          <w:sz w:val="24"/>
          <w:highlight w:val="none"/>
          <w14:textFill>
            <w14:solidFill>
              <w14:schemeClr w14:val="tx1"/>
            </w14:solidFill>
          </w14:textFill>
        </w:rPr>
        <w:t>价</w:t>
      </w:r>
      <w:r>
        <w:rPr>
          <w:color w:val="000000" w:themeColor="text1"/>
          <w:sz w:val="24"/>
          <w:highlight w:val="none"/>
          <w14:textFill>
            <w14:solidFill>
              <w14:schemeClr w14:val="tx1"/>
            </w14:solidFill>
          </w14:textFill>
        </w:rPr>
        <w:t>，其投标报价得分</w:t>
      </w:r>
      <w:r>
        <w:rPr>
          <w:rFonts w:hint="eastAsia"/>
          <w:color w:val="000000" w:themeColor="text1"/>
          <w:sz w:val="24"/>
          <w:highlight w:val="none"/>
          <w:lang w:val="en-US" w:eastAsia="zh-CN"/>
          <w14:textFill>
            <w14:solidFill>
              <w14:schemeClr w14:val="tx1"/>
            </w14:solidFill>
          </w14:textFill>
        </w:rPr>
        <w:t>15</w:t>
      </w:r>
      <w:r>
        <w:rPr>
          <w:color w:val="000000" w:themeColor="text1"/>
          <w:sz w:val="24"/>
          <w:highlight w:val="none"/>
          <w14:textFill>
            <w14:solidFill>
              <w14:schemeClr w14:val="tx1"/>
            </w14:solidFill>
          </w14:textFill>
        </w:rPr>
        <w:t>分；其他投标人投标报价得分=</w:t>
      </w:r>
      <w:r>
        <w:rPr>
          <w:rFonts w:hint="eastAsia"/>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w:t>
      </w:r>
      <w:r>
        <w:rPr>
          <w:rFonts w:hint="eastAsia"/>
          <w:color w:val="000000" w:themeColor="text1"/>
          <w:sz w:val="24"/>
          <w:highlight w:val="none"/>
          <w14:textFill>
            <w14:solidFill>
              <w14:schemeClr w14:val="tx1"/>
            </w14:solidFill>
          </w14:textFill>
        </w:rPr>
        <w:t>1-</w:t>
      </w:r>
      <w:r>
        <w:rPr>
          <w:color w:val="000000" w:themeColor="text1"/>
          <w:sz w:val="24"/>
          <w:highlight w:val="none"/>
          <w14:textFill>
            <w14:solidFill>
              <w14:schemeClr w14:val="tx1"/>
            </w14:solidFill>
          </w14:textFill>
        </w:rPr>
        <w:t>评标基准</w:t>
      </w:r>
      <w:r>
        <w:rPr>
          <w:rFonts w:hint="eastAsia"/>
          <w:color w:val="000000" w:themeColor="text1"/>
          <w:sz w:val="24"/>
          <w:highlight w:val="none"/>
          <w14:textFill>
            <w14:solidFill>
              <w14:schemeClr w14:val="tx1"/>
            </w14:solidFill>
          </w14:textFill>
        </w:rPr>
        <w:t>价）</w:t>
      </w:r>
      <w:r>
        <w:rPr>
          <w:color w:val="000000" w:themeColor="text1"/>
          <w:sz w:val="24"/>
          <w:highlight w:val="none"/>
          <w14:textFill>
            <w14:solidFill>
              <w14:schemeClr w14:val="tx1"/>
            </w14:solidFill>
          </w14:textFill>
        </w:rPr>
        <w:t>／</w:t>
      </w:r>
      <w:r>
        <w:rPr>
          <w:rFonts w:hint="eastAsia"/>
          <w:color w:val="000000" w:themeColor="text1"/>
          <w:sz w:val="24"/>
          <w:highlight w:val="none"/>
          <w14:textFill>
            <w14:solidFill>
              <w14:schemeClr w14:val="tx1"/>
            </w14:solidFill>
          </w14:textFill>
        </w:rPr>
        <w:t>（1-投标优惠率）】</w:t>
      </w:r>
      <w:r>
        <w:rPr>
          <w:color w:val="000000" w:themeColor="text1"/>
          <w:sz w:val="24"/>
          <w:highlight w:val="none"/>
          <w14:textFill>
            <w14:solidFill>
              <w14:schemeClr w14:val="tx1"/>
            </w14:solidFill>
          </w14:textFill>
        </w:rPr>
        <w:t>×</w:t>
      </w:r>
      <w:r>
        <w:rPr>
          <w:rFonts w:hint="eastAsia"/>
          <w:color w:val="000000" w:themeColor="text1"/>
          <w:sz w:val="24"/>
          <w:highlight w:val="none"/>
          <w:lang w:val="en-US" w:eastAsia="zh-CN"/>
          <w14:textFill>
            <w14:solidFill>
              <w14:schemeClr w14:val="tx1"/>
            </w14:solidFill>
          </w14:textFill>
        </w:rPr>
        <w:t>15</w:t>
      </w:r>
      <w:r>
        <w:rPr>
          <w:color w:val="000000" w:themeColor="text1"/>
          <w:sz w:val="24"/>
          <w:highlight w:val="none"/>
          <w14:textFill>
            <w14:solidFill>
              <w14:schemeClr w14:val="tx1"/>
            </w14:solidFill>
          </w14:textFill>
        </w:rPr>
        <w:t>分。</w:t>
      </w:r>
    </w:p>
    <w:p w14:paraId="12EAC271">
      <w:pPr>
        <w:keepNext w:val="0"/>
        <w:keepLines w:val="0"/>
        <w:pageBreakBefore w:val="0"/>
        <w:widowControl w:val="0"/>
        <w:spacing w:line="440" w:lineRule="exact"/>
        <w:ind w:firstLine="482"/>
        <w:rPr>
          <w:b/>
          <w:color w:val="000000" w:themeColor="text1"/>
          <w:sz w:val="24"/>
          <w:szCs w:val="24"/>
          <w:highlight w:val="none"/>
          <w14:textFill>
            <w14:solidFill>
              <w14:schemeClr w14:val="tx1"/>
            </w14:solidFill>
          </w14:textFill>
        </w:rPr>
      </w:pPr>
      <w:r>
        <w:rPr>
          <w:color w:val="000000" w:themeColor="text1"/>
          <w:sz w:val="24"/>
          <w:highlight w:val="none"/>
          <w14:textFill>
            <w14:solidFill>
              <w14:schemeClr w14:val="tx1"/>
            </w14:solidFill>
          </w14:textFill>
        </w:rPr>
        <w:t>投标人的</w:t>
      </w:r>
      <w:r>
        <w:rPr>
          <w:rFonts w:hint="eastAsia"/>
          <w:b/>
          <w:bCs/>
          <w:color w:val="000000" w:themeColor="text1"/>
          <w:sz w:val="24"/>
          <w:highlight w:val="none"/>
          <w:lang w:val="en-US" w:eastAsia="zh-CN"/>
          <w14:textFill>
            <w14:solidFill>
              <w14:schemeClr w14:val="tx1"/>
            </w14:solidFill>
          </w14:textFill>
        </w:rPr>
        <w:t>报价（1-投标优惠率）</w:t>
      </w:r>
      <w:r>
        <w:rPr>
          <w:rFonts w:hint="eastAsia"/>
          <w:b w:val="0"/>
          <w:bCs w:val="0"/>
          <w:color w:val="000000" w:themeColor="text1"/>
          <w:sz w:val="24"/>
          <w:highlight w:val="none"/>
          <w:lang w:val="en-US" w:eastAsia="zh-CN"/>
          <w14:textFill>
            <w14:solidFill>
              <w14:schemeClr w14:val="tx1"/>
            </w14:solidFill>
          </w14:textFill>
        </w:rPr>
        <w:t>明显低于</w:t>
      </w:r>
      <w:r>
        <w:rPr>
          <w:color w:val="000000" w:themeColor="text1"/>
          <w:sz w:val="24"/>
          <w:highlight w:val="none"/>
          <w14:textFill>
            <w14:solidFill>
              <w14:schemeClr w14:val="tx1"/>
            </w14:solidFill>
          </w14:textFill>
        </w:rPr>
        <w:t>其他通过符合性审查投标人的报价，有可能影响服务质量或者不能诚信履约的，评标委员会可要求其在合理的时间内提供书面说明，必要时提交相关证明材料；投标人不能证明其投标报价合理性的，评标委员会可将其作为无效投标处理。</w:t>
      </w:r>
    </w:p>
    <w:p w14:paraId="4355A488">
      <w:pPr>
        <w:spacing w:line="440" w:lineRule="exact"/>
        <w:ind w:firstLine="482"/>
        <w:rPr>
          <w:b/>
          <w:color w:val="000000" w:themeColor="text1"/>
          <w:sz w:val="24"/>
          <w:szCs w:val="20"/>
          <w:highlight w:val="none"/>
          <w14:textFill>
            <w14:solidFill>
              <w14:schemeClr w14:val="tx1"/>
            </w14:solidFill>
          </w14:textFill>
        </w:rPr>
      </w:pPr>
      <w:r>
        <w:rPr>
          <w:b/>
          <w:color w:val="000000" w:themeColor="text1"/>
          <w:sz w:val="24"/>
          <w:szCs w:val="20"/>
          <w:highlight w:val="none"/>
          <w14:textFill>
            <w14:solidFill>
              <w14:schemeClr w14:val="tx1"/>
            </w14:solidFill>
          </w14:textFill>
        </w:rPr>
        <w:t>2</w:t>
      </w:r>
      <w:r>
        <w:rPr>
          <w:rFonts w:hint="eastAsia"/>
          <w:b/>
          <w:color w:val="000000" w:themeColor="text1"/>
          <w:sz w:val="24"/>
          <w:szCs w:val="20"/>
          <w:highlight w:val="none"/>
          <w14:textFill>
            <w14:solidFill>
              <w14:schemeClr w14:val="tx1"/>
            </w14:solidFill>
          </w14:textFill>
        </w:rPr>
        <w:t>、服务响应及人员机械投入情况</w:t>
      </w:r>
      <w:r>
        <w:rPr>
          <w:rFonts w:hint="eastAsia"/>
          <w:b/>
          <w:color w:val="000000" w:themeColor="text1"/>
          <w:sz w:val="24"/>
          <w:szCs w:val="20"/>
          <w:highlight w:val="none"/>
          <w:lang w:val="en-US" w:eastAsia="zh-CN"/>
          <w14:textFill>
            <w14:solidFill>
              <w14:schemeClr w14:val="tx1"/>
            </w14:solidFill>
          </w14:textFill>
        </w:rPr>
        <w:t>29</w:t>
      </w:r>
      <w:r>
        <w:rPr>
          <w:rFonts w:hint="eastAsia"/>
          <w:b/>
          <w:color w:val="000000" w:themeColor="text1"/>
          <w:sz w:val="24"/>
          <w:szCs w:val="20"/>
          <w:highlight w:val="none"/>
          <w14:textFill>
            <w14:solidFill>
              <w14:schemeClr w14:val="tx1"/>
            </w14:solidFill>
          </w14:textFill>
        </w:rPr>
        <w:t>分</w:t>
      </w:r>
    </w:p>
    <w:tbl>
      <w:tblPr>
        <w:tblStyle w:val="39"/>
        <w:tblW w:w="927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0"/>
        <w:gridCol w:w="1436"/>
        <w:gridCol w:w="874"/>
        <w:gridCol w:w="6156"/>
      </w:tblGrid>
      <w:tr w14:paraId="09694B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5" w:hRule="atLeast"/>
          <w:jc w:val="center"/>
        </w:trPr>
        <w:tc>
          <w:tcPr>
            <w:tcW w:w="810" w:type="dxa"/>
            <w:tcBorders>
              <w:top w:val="single" w:color="000000" w:sz="4" w:space="0"/>
              <w:left w:val="single" w:color="000000" w:sz="4" w:space="0"/>
              <w:bottom w:val="single" w:color="000000" w:sz="4" w:space="0"/>
              <w:right w:val="single" w:color="000000" w:sz="4" w:space="0"/>
            </w:tcBorders>
            <w:noWrap w:val="0"/>
          </w:tcPr>
          <w:p w14:paraId="35AB7A01">
            <w:pPr>
              <w:keepNext w:val="0"/>
              <w:keepLines w:val="0"/>
              <w:suppressLineNumbers w:val="0"/>
              <w:spacing w:before="0" w:beforeAutospacing="0" w:after="0" w:afterAutospacing="0" w:line="440" w:lineRule="exact"/>
              <w:ind w:left="0" w:right="0"/>
              <w:jc w:val="center"/>
              <w:rPr>
                <w:rFonts w:hint="default"/>
                <w:color w:val="000000" w:themeColor="text1"/>
                <w:sz w:val="24"/>
                <w:szCs w:val="20"/>
                <w:highlight w:val="none"/>
                <w14:textFill>
                  <w14:solidFill>
                    <w14:schemeClr w14:val="tx1"/>
                  </w14:solidFill>
                </w14:textFill>
              </w:rPr>
            </w:pPr>
            <w:r>
              <w:rPr>
                <w:rFonts w:hint="eastAsia"/>
                <w:color w:val="000000" w:themeColor="text1"/>
                <w:sz w:val="24"/>
                <w:szCs w:val="20"/>
                <w:highlight w:val="none"/>
                <w14:textFill>
                  <w14:solidFill>
                    <w14:schemeClr w14:val="tx1"/>
                  </w14:solidFill>
                </w14:textFill>
              </w:rPr>
              <w:t>序号</w:t>
            </w:r>
          </w:p>
        </w:tc>
        <w:tc>
          <w:tcPr>
            <w:tcW w:w="1436" w:type="dxa"/>
            <w:tcBorders>
              <w:top w:val="single" w:color="000000" w:sz="4" w:space="0"/>
              <w:left w:val="single" w:color="000000" w:sz="4" w:space="0"/>
              <w:bottom w:val="single" w:color="000000" w:sz="4" w:space="0"/>
              <w:right w:val="single" w:color="000000" w:sz="4" w:space="0"/>
            </w:tcBorders>
            <w:noWrap w:val="0"/>
            <w:vAlign w:val="center"/>
          </w:tcPr>
          <w:p w14:paraId="78CB5CDC">
            <w:pPr>
              <w:keepNext w:val="0"/>
              <w:keepLines w:val="0"/>
              <w:suppressLineNumbers w:val="0"/>
              <w:spacing w:before="0" w:beforeAutospacing="0" w:after="0" w:afterAutospacing="0" w:line="440" w:lineRule="exact"/>
              <w:ind w:left="0" w:right="0"/>
              <w:jc w:val="center"/>
              <w:rPr>
                <w:rFonts w:hint="default"/>
                <w:color w:val="000000" w:themeColor="text1"/>
                <w:sz w:val="24"/>
                <w:szCs w:val="20"/>
                <w:highlight w:val="none"/>
                <w14:textFill>
                  <w14:solidFill>
                    <w14:schemeClr w14:val="tx1"/>
                  </w14:solidFill>
                </w14:textFill>
              </w:rPr>
            </w:pPr>
            <w:r>
              <w:rPr>
                <w:rFonts w:hint="eastAsia"/>
                <w:color w:val="000000" w:themeColor="text1"/>
                <w:sz w:val="24"/>
                <w:szCs w:val="20"/>
                <w:highlight w:val="none"/>
                <w14:textFill>
                  <w14:solidFill>
                    <w14:schemeClr w14:val="tx1"/>
                  </w14:solidFill>
                </w14:textFill>
              </w:rPr>
              <w:t>评分因素</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4EFEAFC5">
            <w:pPr>
              <w:keepNext w:val="0"/>
              <w:keepLines w:val="0"/>
              <w:suppressLineNumbers w:val="0"/>
              <w:spacing w:before="0" w:beforeAutospacing="0" w:after="0" w:afterAutospacing="0" w:line="440" w:lineRule="exact"/>
              <w:ind w:left="0" w:right="0"/>
              <w:jc w:val="center"/>
              <w:rPr>
                <w:rFonts w:hint="default"/>
                <w:color w:val="000000" w:themeColor="text1"/>
                <w:sz w:val="24"/>
                <w:szCs w:val="20"/>
                <w:highlight w:val="none"/>
                <w14:textFill>
                  <w14:solidFill>
                    <w14:schemeClr w14:val="tx1"/>
                  </w14:solidFill>
                </w14:textFill>
              </w:rPr>
            </w:pPr>
            <w:r>
              <w:rPr>
                <w:rFonts w:hint="eastAsia"/>
                <w:color w:val="000000" w:themeColor="text1"/>
                <w:sz w:val="24"/>
                <w:szCs w:val="20"/>
                <w:highlight w:val="none"/>
                <w14:textFill>
                  <w14:solidFill>
                    <w14:schemeClr w14:val="tx1"/>
                  </w14:solidFill>
                </w14:textFill>
              </w:rPr>
              <w:t>分值</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14:paraId="5DF9A1F1">
            <w:pPr>
              <w:keepNext w:val="0"/>
              <w:keepLines w:val="0"/>
              <w:suppressLineNumbers w:val="0"/>
              <w:spacing w:before="0" w:beforeAutospacing="0" w:after="0" w:afterAutospacing="0" w:line="440" w:lineRule="exact"/>
              <w:ind w:left="0" w:right="0"/>
              <w:jc w:val="center"/>
              <w:rPr>
                <w:rFonts w:hint="default"/>
                <w:color w:val="000000" w:themeColor="text1"/>
                <w:sz w:val="24"/>
                <w:szCs w:val="20"/>
                <w:highlight w:val="none"/>
                <w14:textFill>
                  <w14:solidFill>
                    <w14:schemeClr w14:val="tx1"/>
                  </w14:solidFill>
                </w14:textFill>
              </w:rPr>
            </w:pPr>
            <w:r>
              <w:rPr>
                <w:rFonts w:hint="eastAsia"/>
                <w:color w:val="000000" w:themeColor="text1"/>
                <w:sz w:val="24"/>
                <w:szCs w:val="20"/>
                <w:highlight w:val="none"/>
                <w14:textFill>
                  <w14:solidFill>
                    <w14:schemeClr w14:val="tx1"/>
                  </w14:solidFill>
                </w14:textFill>
              </w:rPr>
              <w:t>评分标准</w:t>
            </w:r>
          </w:p>
        </w:tc>
      </w:tr>
      <w:tr w14:paraId="16D8F7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55" w:hRule="atLeast"/>
          <w:jc w:val="center"/>
        </w:trPr>
        <w:tc>
          <w:tcPr>
            <w:tcW w:w="810" w:type="dxa"/>
            <w:tcBorders>
              <w:top w:val="single" w:color="000000" w:sz="4" w:space="0"/>
              <w:left w:val="single" w:color="000000" w:sz="4" w:space="0"/>
              <w:bottom w:val="single" w:color="000000" w:sz="4" w:space="0"/>
              <w:right w:val="single" w:color="000000" w:sz="4" w:space="0"/>
            </w:tcBorders>
            <w:noWrap w:val="0"/>
            <w:vAlign w:val="center"/>
          </w:tcPr>
          <w:p w14:paraId="67BDF659">
            <w:pPr>
              <w:keepNext w:val="0"/>
              <w:keepLines w:val="0"/>
              <w:suppressLineNumbers w:val="0"/>
              <w:spacing w:before="0" w:beforeAutospacing="0" w:after="0" w:afterAutospacing="0" w:line="440" w:lineRule="exact"/>
              <w:ind w:left="0" w:right="0"/>
              <w:jc w:val="center"/>
              <w:rPr>
                <w:rFonts w:hint="default" w:asciiTheme="minorEastAsia" w:hAnsiTheme="minorEastAsia" w:eastAsiaTheme="minorEastAsia"/>
                <w:color w:val="000000" w:themeColor="text1"/>
                <w:sz w:val="24"/>
                <w:szCs w:val="20"/>
                <w:highlight w:val="none"/>
                <w14:textFill>
                  <w14:solidFill>
                    <w14:schemeClr w14:val="tx1"/>
                  </w14:solidFill>
                </w14:textFill>
              </w:rPr>
            </w:pPr>
            <w:r>
              <w:rPr>
                <w:rFonts w:hint="default" w:asciiTheme="minorEastAsia" w:hAnsiTheme="minorEastAsia" w:eastAsiaTheme="minorEastAsia"/>
                <w:color w:val="000000" w:themeColor="text1"/>
                <w:sz w:val="24"/>
                <w:szCs w:val="20"/>
                <w:highlight w:val="none"/>
                <w14:textFill>
                  <w14:solidFill>
                    <w14:schemeClr w14:val="tx1"/>
                  </w14:solidFill>
                </w14:textFill>
              </w:rPr>
              <w:t>1</w:t>
            </w:r>
          </w:p>
        </w:tc>
        <w:tc>
          <w:tcPr>
            <w:tcW w:w="1436" w:type="dxa"/>
            <w:tcBorders>
              <w:top w:val="single" w:color="000000" w:sz="4" w:space="0"/>
              <w:left w:val="single" w:color="000000" w:sz="4" w:space="0"/>
              <w:bottom w:val="single" w:color="000000" w:sz="4" w:space="0"/>
              <w:right w:val="single" w:color="000000" w:sz="4" w:space="0"/>
            </w:tcBorders>
            <w:noWrap w:val="0"/>
            <w:vAlign w:val="center"/>
          </w:tcPr>
          <w:p w14:paraId="379013A9">
            <w:pPr>
              <w:keepNext w:val="0"/>
              <w:keepLines w:val="0"/>
              <w:suppressLineNumbers w:val="0"/>
              <w:spacing w:before="0" w:beforeAutospacing="0" w:after="0" w:afterAutospacing="0"/>
              <w:ind w:left="0" w:right="0"/>
              <w:jc w:val="center"/>
              <w:rPr>
                <w:rFonts w:hint="default" w:asciiTheme="minorEastAsia" w:hAnsiTheme="minorEastAsia" w:eastAsiaTheme="minorEastAsia"/>
                <w:color w:val="000000" w:themeColor="text1"/>
                <w:sz w:val="24"/>
                <w:szCs w:val="20"/>
                <w:highlight w:val="none"/>
                <w14:textFill>
                  <w14:solidFill>
                    <w14:schemeClr w14:val="tx1"/>
                  </w14:solidFill>
                </w14:textFill>
              </w:rPr>
            </w:pPr>
            <w:r>
              <w:rPr>
                <w:rFonts w:hint="eastAsia" w:asciiTheme="minorEastAsia" w:hAnsiTheme="minorEastAsia" w:eastAsiaTheme="minorEastAsia"/>
                <w:color w:val="000000" w:themeColor="text1"/>
                <w:sz w:val="24"/>
                <w:szCs w:val="24"/>
                <w:highlight w:val="none"/>
                <w:lang w:val="zh-CN"/>
                <w14:textFill>
                  <w14:solidFill>
                    <w14:schemeClr w14:val="tx1"/>
                  </w14:solidFill>
                </w14:textFill>
              </w:rPr>
              <w:t>服务响应情况</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615ACF44">
            <w:pPr>
              <w:keepNext w:val="0"/>
              <w:keepLines w:val="0"/>
              <w:suppressLineNumbers w:val="0"/>
              <w:spacing w:before="0" w:beforeAutospacing="0" w:after="0" w:afterAutospacing="0"/>
              <w:ind w:left="0" w:right="0"/>
              <w:jc w:val="center"/>
              <w:rPr>
                <w:rFonts w:hint="eastAsia" w:asciiTheme="minorEastAsia" w:hAnsiTheme="minorEastAsia" w:eastAsiaTheme="minorEastAsia"/>
                <w:color w:val="000000" w:themeColor="text1"/>
                <w:sz w:val="24"/>
                <w:szCs w:val="20"/>
                <w:highlight w:val="none"/>
                <w:lang w:eastAsia="zh-CN"/>
                <w14:textFill>
                  <w14:solidFill>
                    <w14:schemeClr w14:val="tx1"/>
                  </w14:solidFill>
                </w14:textFill>
              </w:rPr>
            </w:pPr>
            <w:r>
              <w:rPr>
                <w:rFonts w:hint="eastAsia" w:asciiTheme="minorEastAsia" w:hAnsiTheme="minorEastAsia"/>
                <w:color w:val="000000" w:themeColor="text1"/>
                <w:sz w:val="24"/>
                <w:szCs w:val="20"/>
                <w:highlight w:val="none"/>
                <w:lang w:val="en-US" w:eastAsia="zh-CN"/>
                <w14:textFill>
                  <w14:solidFill>
                    <w14:schemeClr w14:val="tx1"/>
                  </w14:solidFill>
                </w14:textFill>
              </w:rPr>
              <w:t>9</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14:paraId="0AB7D7C1">
            <w:pPr>
              <w:keepNext w:val="0"/>
              <w:keepLines w:val="0"/>
              <w:pageBreakBefore w:val="0"/>
              <w:widowControl w:val="0"/>
              <w:suppressLineNumbers w:val="0"/>
              <w:spacing w:before="0" w:beforeAutospacing="0" w:after="0" w:afterAutospacing="0" w:line="380" w:lineRule="exact"/>
              <w:ind w:left="0" w:right="0"/>
              <w:jc w:val="left"/>
              <w:rPr>
                <w:rFonts w:hint="default" w:asciiTheme="minorEastAsia" w:hAnsiTheme="minorEastAsia" w:eastAsiaTheme="minorEastAsia"/>
                <w:color w:val="000000" w:themeColor="text1"/>
                <w:sz w:val="24"/>
                <w:szCs w:val="20"/>
                <w:highlight w:val="none"/>
                <w14:textFill>
                  <w14:solidFill>
                    <w14:schemeClr w14:val="tx1"/>
                  </w14:solidFill>
                </w14:textFill>
              </w:rPr>
            </w:pPr>
            <w:r>
              <w:rPr>
                <w:rFonts w:hint="eastAsia" w:asciiTheme="minorEastAsia" w:hAnsiTheme="minorEastAsia" w:eastAsiaTheme="minorEastAsia"/>
                <w:color w:val="000000" w:themeColor="text1"/>
                <w:sz w:val="24"/>
                <w:szCs w:val="20"/>
                <w:highlight w:val="none"/>
                <w14:textFill>
                  <w14:solidFill>
                    <w14:schemeClr w14:val="tx1"/>
                  </w14:solidFill>
                </w14:textFill>
              </w:rPr>
              <w:t>投标人</w:t>
            </w:r>
            <w:r>
              <w:rPr>
                <w:rFonts w:hint="eastAsia" w:asciiTheme="minorEastAsia" w:hAnsiTheme="minorEastAsia" w:eastAsiaTheme="minorEastAsia"/>
                <w:color w:val="000000" w:themeColor="text1"/>
                <w:sz w:val="24"/>
                <w:szCs w:val="24"/>
                <w:highlight w:val="none"/>
                <w14:textFill>
                  <w14:solidFill>
                    <w14:schemeClr w14:val="tx1"/>
                  </w14:solidFill>
                </w14:textFill>
              </w:rPr>
              <w:t>对招标文件中</w:t>
            </w:r>
            <w:r>
              <w:rPr>
                <w:rFonts w:hint="eastAsia" w:asciiTheme="minorEastAsia" w:hAnsiTheme="minorEastAsia" w:eastAsiaTheme="minorEastAsia"/>
                <w:color w:val="000000" w:themeColor="text1"/>
                <w:sz w:val="24"/>
                <w:szCs w:val="24"/>
                <w:highlight w:val="none"/>
                <w:lang w:val="en-US" w:eastAsia="zh-CN"/>
                <w14:textFill>
                  <w14:solidFill>
                    <w14:schemeClr w14:val="tx1"/>
                  </w14:solidFill>
                </w14:textFill>
              </w:rPr>
              <w:t>的服务要求（45条）</w:t>
            </w:r>
            <w:r>
              <w:rPr>
                <w:rFonts w:hint="eastAsia" w:asciiTheme="minorEastAsia" w:hAnsiTheme="minorEastAsia" w:eastAsiaTheme="minorEastAsia"/>
                <w:color w:val="000000" w:themeColor="text1"/>
                <w:sz w:val="24"/>
                <w:szCs w:val="24"/>
                <w:highlight w:val="none"/>
                <w14:textFill>
                  <w14:solidFill>
                    <w14:schemeClr w14:val="tx1"/>
                  </w14:solidFill>
                </w14:textFill>
              </w:rPr>
              <w:t>完全响应的得</w:t>
            </w:r>
            <w:r>
              <w:rPr>
                <w:rFonts w:hint="eastAsia" w:asciiTheme="minorEastAsia" w:hAnsiTheme="minorEastAsia"/>
                <w:color w:val="000000" w:themeColor="text1"/>
                <w:sz w:val="24"/>
                <w:szCs w:val="24"/>
                <w:highlight w:val="none"/>
                <w:lang w:val="en-US" w:eastAsia="zh-CN"/>
                <w14:textFill>
                  <w14:solidFill>
                    <w14:schemeClr w14:val="tx1"/>
                  </w14:solidFill>
                </w14:textFill>
              </w:rPr>
              <w:t>9</w:t>
            </w:r>
            <w:r>
              <w:rPr>
                <w:rFonts w:hint="eastAsia" w:asciiTheme="minorEastAsia" w:hAnsiTheme="minorEastAsia" w:eastAsiaTheme="minorEastAsia"/>
                <w:color w:val="000000" w:themeColor="text1"/>
                <w:sz w:val="24"/>
                <w:szCs w:val="24"/>
                <w:highlight w:val="none"/>
                <w14:textFill>
                  <w14:solidFill>
                    <w14:schemeClr w14:val="tx1"/>
                  </w14:solidFill>
                </w14:textFill>
              </w:rPr>
              <w:t>分；有负偏离条款，每条扣</w:t>
            </w:r>
            <w:r>
              <w:rPr>
                <w:rFonts w:hint="eastAsia" w:asciiTheme="minorEastAsia" w:hAnsiTheme="minorEastAsia"/>
                <w:color w:val="000000" w:themeColor="text1"/>
                <w:sz w:val="24"/>
                <w:szCs w:val="24"/>
                <w:highlight w:val="none"/>
                <w:lang w:val="en-US" w:eastAsia="zh-CN"/>
                <w14:textFill>
                  <w14:solidFill>
                    <w14:schemeClr w14:val="tx1"/>
                  </w14:solidFill>
                </w14:textFill>
              </w:rPr>
              <w:t>0.2</w:t>
            </w:r>
            <w:r>
              <w:rPr>
                <w:rFonts w:hint="eastAsia" w:asciiTheme="minorEastAsia" w:hAnsiTheme="minorEastAsia" w:eastAsiaTheme="minorEastAsia"/>
                <w:color w:val="000000" w:themeColor="text1"/>
                <w:sz w:val="24"/>
                <w:szCs w:val="24"/>
                <w:highlight w:val="none"/>
                <w14:textFill>
                  <w14:solidFill>
                    <w14:schemeClr w14:val="tx1"/>
                  </w14:solidFill>
                </w14:textFill>
              </w:rPr>
              <w:t>分。</w:t>
            </w:r>
          </w:p>
        </w:tc>
      </w:tr>
      <w:tr w14:paraId="7B4AA7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181" w:hRule="atLeast"/>
          <w:jc w:val="center"/>
        </w:trPr>
        <w:tc>
          <w:tcPr>
            <w:tcW w:w="810" w:type="dxa"/>
            <w:tcBorders>
              <w:top w:val="single" w:color="000000" w:sz="4" w:space="0"/>
              <w:left w:val="single" w:color="000000" w:sz="4" w:space="0"/>
              <w:bottom w:val="single" w:color="000000" w:sz="4" w:space="0"/>
              <w:right w:val="single" w:color="000000" w:sz="4" w:space="0"/>
            </w:tcBorders>
            <w:noWrap w:val="0"/>
            <w:vAlign w:val="center"/>
          </w:tcPr>
          <w:p w14:paraId="21D0EF07">
            <w:pPr>
              <w:keepNext w:val="0"/>
              <w:keepLines w:val="0"/>
              <w:suppressLineNumbers w:val="0"/>
              <w:spacing w:before="0" w:beforeAutospacing="0" w:after="0" w:afterAutospacing="0" w:line="440" w:lineRule="exact"/>
              <w:ind w:left="0" w:right="0"/>
              <w:jc w:val="center"/>
              <w:rPr>
                <w:rFonts w:hint="default" w:asciiTheme="minorEastAsia" w:hAnsiTheme="minorEastAsia" w:eastAsiaTheme="minorEastAsia"/>
                <w:color w:val="000000" w:themeColor="text1"/>
                <w:sz w:val="24"/>
                <w:szCs w:val="20"/>
                <w:highlight w:val="none"/>
                <w14:textFill>
                  <w14:solidFill>
                    <w14:schemeClr w14:val="tx1"/>
                  </w14:solidFill>
                </w14:textFill>
              </w:rPr>
            </w:pPr>
            <w:r>
              <w:rPr>
                <w:rFonts w:hint="default" w:asciiTheme="minorEastAsia" w:hAnsiTheme="minorEastAsia" w:eastAsiaTheme="minorEastAsia"/>
                <w:color w:val="000000" w:themeColor="text1"/>
                <w:sz w:val="24"/>
                <w:szCs w:val="20"/>
                <w:highlight w:val="none"/>
                <w14:textFill>
                  <w14:solidFill>
                    <w14:schemeClr w14:val="tx1"/>
                  </w14:solidFill>
                </w14:textFill>
              </w:rPr>
              <w:t>2</w:t>
            </w:r>
          </w:p>
        </w:tc>
        <w:tc>
          <w:tcPr>
            <w:tcW w:w="1436" w:type="dxa"/>
            <w:tcBorders>
              <w:top w:val="single" w:color="000000" w:sz="4" w:space="0"/>
              <w:left w:val="single" w:color="000000" w:sz="4" w:space="0"/>
              <w:bottom w:val="single" w:color="000000" w:sz="4" w:space="0"/>
              <w:right w:val="single" w:color="000000" w:sz="4" w:space="0"/>
            </w:tcBorders>
            <w:noWrap w:val="0"/>
            <w:vAlign w:val="center"/>
          </w:tcPr>
          <w:p w14:paraId="4C3E54D9">
            <w:pPr>
              <w:keepNext w:val="0"/>
              <w:keepLines w:val="0"/>
              <w:suppressLineNumbers w:val="0"/>
              <w:spacing w:before="0" w:beforeAutospacing="0" w:after="0" w:afterAutospacing="0"/>
              <w:ind w:left="0" w:right="0"/>
              <w:jc w:val="center"/>
              <w:rPr>
                <w:rFonts w:hint="eastAsia" w:asciiTheme="minorEastAsia" w:hAnsiTheme="minorEastAsia" w:eastAsiaTheme="minorEastAsia"/>
                <w:color w:val="000000" w:themeColor="text1"/>
                <w:sz w:val="24"/>
                <w:szCs w:val="20"/>
                <w:highlight w:val="none"/>
                <w:lang w:val="en-US" w:eastAsia="zh-CN"/>
                <w14:textFill>
                  <w14:solidFill>
                    <w14:schemeClr w14:val="tx1"/>
                  </w14:solidFill>
                </w14:textFill>
              </w:rPr>
            </w:pPr>
            <w:r>
              <w:rPr>
                <w:rFonts w:hint="eastAsia" w:asciiTheme="minorEastAsia" w:hAnsiTheme="minorEastAsia" w:eastAsiaTheme="minorEastAsia"/>
                <w:color w:val="000000" w:themeColor="text1"/>
                <w:sz w:val="24"/>
                <w:szCs w:val="20"/>
                <w:highlight w:val="none"/>
                <w:lang w:val="en-US" w:eastAsia="zh-CN"/>
                <w14:textFill>
                  <w14:solidFill>
                    <w14:schemeClr w14:val="tx1"/>
                  </w14:solidFill>
                </w14:textFill>
              </w:rPr>
              <w:t>项目负责人</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21F10433">
            <w:pPr>
              <w:keepNext w:val="0"/>
              <w:keepLines w:val="0"/>
              <w:suppressLineNumbers w:val="0"/>
              <w:spacing w:before="0" w:beforeAutospacing="0" w:after="0" w:afterAutospacing="0"/>
              <w:ind w:left="0" w:right="0"/>
              <w:jc w:val="center"/>
              <w:rPr>
                <w:rFonts w:hint="eastAsia" w:asciiTheme="minorEastAsia" w:hAnsiTheme="minorEastAsia" w:eastAsiaTheme="minorEastAsia"/>
                <w:color w:val="000000" w:themeColor="text1"/>
                <w:sz w:val="24"/>
                <w:szCs w:val="20"/>
                <w:highlight w:val="none"/>
                <w:lang w:eastAsia="zh-CN"/>
                <w14:textFill>
                  <w14:solidFill>
                    <w14:schemeClr w14:val="tx1"/>
                  </w14:solidFill>
                </w14:textFill>
              </w:rPr>
            </w:pPr>
            <w:r>
              <w:rPr>
                <w:rFonts w:hint="eastAsia" w:asciiTheme="minorEastAsia" w:hAnsiTheme="minorEastAsia"/>
                <w:color w:val="000000" w:themeColor="text1"/>
                <w:sz w:val="24"/>
                <w:szCs w:val="20"/>
                <w:highlight w:val="none"/>
                <w:lang w:val="en-US" w:eastAsia="zh-CN"/>
                <w14:textFill>
                  <w14:solidFill>
                    <w14:schemeClr w14:val="tx1"/>
                  </w14:solidFill>
                </w14:textFill>
              </w:rPr>
              <w:t>6</w:t>
            </w:r>
          </w:p>
        </w:tc>
        <w:tc>
          <w:tcPr>
            <w:tcW w:w="6156" w:type="dxa"/>
            <w:tcBorders>
              <w:top w:val="single" w:color="000000" w:sz="4" w:space="0"/>
              <w:left w:val="single" w:color="000000" w:sz="4" w:space="0"/>
              <w:bottom w:val="single" w:color="000000" w:sz="4" w:space="0"/>
              <w:right w:val="single" w:color="000000" w:sz="4" w:space="0"/>
            </w:tcBorders>
            <w:noWrap w:val="0"/>
          </w:tcPr>
          <w:p w14:paraId="783F92E5">
            <w:pPr>
              <w:keepNext w:val="0"/>
              <w:keepLines w:val="0"/>
              <w:pageBreakBefore w:val="0"/>
              <w:widowControl w:val="0"/>
              <w:suppressLineNumbers w:val="0"/>
              <w:spacing w:before="0" w:beforeAutospacing="0" w:after="0" w:afterAutospacing="0" w:line="380" w:lineRule="exact"/>
              <w:ind w:left="0" w:right="0"/>
              <w:jc w:val="left"/>
              <w:rPr>
                <w:rFonts w:hint="eastAsia" w:asciiTheme="minorEastAsia" w:hAnsiTheme="minorEastAsia" w:eastAsia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olor w:val="000000" w:themeColor="text1"/>
                <w:sz w:val="24"/>
                <w:szCs w:val="24"/>
                <w:highlight w:val="none"/>
                <w14:textFill>
                  <w14:solidFill>
                    <w14:schemeClr w14:val="tx1"/>
                  </w14:solidFill>
                </w14:textFill>
              </w:rPr>
              <w:t>根据投标人委派的项目负责人基本情况进行评定，</w:t>
            </w:r>
          </w:p>
          <w:p w14:paraId="0ED6F7F6">
            <w:pPr>
              <w:keepNext w:val="0"/>
              <w:keepLines w:val="0"/>
              <w:pageBreakBefore w:val="0"/>
              <w:widowControl w:val="0"/>
              <w:suppressLineNumbers w:val="0"/>
              <w:spacing w:before="0" w:beforeAutospacing="0" w:after="0" w:afterAutospacing="0" w:line="380" w:lineRule="exact"/>
              <w:ind w:left="0" w:right="0"/>
              <w:jc w:val="left"/>
              <w:rPr>
                <w:rFonts w:hint="eastAsia" w:asciiTheme="minorEastAsia" w:hAnsiTheme="minorEastAsia" w:eastAsiaTheme="minorEastAsia"/>
                <w:color w:val="000000" w:themeColor="text1"/>
                <w:sz w:val="24"/>
                <w:szCs w:val="24"/>
                <w:highlight w:val="none"/>
                <w:lang w:eastAsia="zh-CN"/>
                <w14:textFill>
                  <w14:solidFill>
                    <w14:schemeClr w14:val="tx1"/>
                  </w14:solidFill>
                </w14:textFill>
              </w:rPr>
            </w:pPr>
            <w:r>
              <w:rPr>
                <w:rFonts w:hint="eastAsia" w:asciiTheme="minorEastAsia" w:hAnsiTheme="minorEastAsia"/>
                <w:color w:val="000000" w:themeColor="text1"/>
                <w:sz w:val="24"/>
                <w:szCs w:val="24"/>
                <w:highlight w:val="none"/>
                <w:lang w:val="en-US" w:eastAsia="zh-CN"/>
                <w14:textFill>
                  <w14:solidFill>
                    <w14:schemeClr w14:val="tx1"/>
                  </w14:solidFill>
                </w14:textFill>
              </w:rPr>
              <w:t>1、</w:t>
            </w:r>
            <w:r>
              <w:rPr>
                <w:rFonts w:hint="eastAsia" w:asciiTheme="minorEastAsia" w:hAnsiTheme="minorEastAsia" w:eastAsiaTheme="minorEastAsia"/>
                <w:color w:val="000000" w:themeColor="text1"/>
                <w:sz w:val="24"/>
                <w:szCs w:val="24"/>
                <w:highlight w:val="none"/>
                <w14:textFill>
                  <w14:solidFill>
                    <w14:schemeClr w14:val="tx1"/>
                  </w14:solidFill>
                </w14:textFill>
              </w:rPr>
              <w:t>项目负责人为本单位职工且具有市政公用工程</w:t>
            </w:r>
            <w:r>
              <w:rPr>
                <w:rFonts w:hint="eastAsia" w:asciiTheme="minorEastAsia" w:hAnsiTheme="minorEastAsia"/>
                <w:color w:val="000000" w:themeColor="text1"/>
                <w:sz w:val="24"/>
                <w:szCs w:val="24"/>
                <w:highlight w:val="none"/>
                <w:lang w:val="en-US" w:eastAsia="zh-CN"/>
                <w14:textFill>
                  <w14:solidFill>
                    <w14:schemeClr w14:val="tx1"/>
                  </w14:solidFill>
                </w14:textFill>
              </w:rPr>
              <w:t>一</w:t>
            </w:r>
            <w:r>
              <w:rPr>
                <w:rFonts w:hint="eastAsia" w:asciiTheme="minorEastAsia" w:hAnsiTheme="minorEastAsia" w:eastAsiaTheme="minorEastAsia"/>
                <w:color w:val="000000" w:themeColor="text1"/>
                <w:sz w:val="24"/>
                <w:szCs w:val="24"/>
                <w:highlight w:val="none"/>
                <w14:textFill>
                  <w14:solidFill>
                    <w14:schemeClr w14:val="tx1"/>
                  </w14:solidFill>
                </w14:textFill>
              </w:rPr>
              <w:t>级注册建造师资质及相应的安全生产</w:t>
            </w:r>
            <w:r>
              <w:rPr>
                <w:rFonts w:hint="default" w:asciiTheme="minorEastAsia" w:hAnsiTheme="minorEastAsia" w:eastAsiaTheme="minorEastAsia"/>
                <w:color w:val="000000" w:themeColor="text1"/>
                <w:sz w:val="24"/>
                <w:szCs w:val="24"/>
                <w:highlight w:val="none"/>
                <w14:textFill>
                  <w14:solidFill>
                    <w14:schemeClr w14:val="tx1"/>
                  </w14:solidFill>
                </w14:textFill>
              </w:rPr>
              <w:t>B</w:t>
            </w:r>
            <w:r>
              <w:rPr>
                <w:rFonts w:hint="eastAsia" w:asciiTheme="minorEastAsia" w:hAnsiTheme="minorEastAsia" w:eastAsiaTheme="minorEastAsia"/>
                <w:color w:val="000000" w:themeColor="text1"/>
                <w:sz w:val="24"/>
                <w:szCs w:val="24"/>
                <w:highlight w:val="none"/>
                <w14:textFill>
                  <w14:solidFill>
                    <w14:schemeClr w14:val="tx1"/>
                  </w14:solidFill>
                </w14:textFill>
              </w:rPr>
              <w:t>类证书的得</w:t>
            </w:r>
            <w:r>
              <w:rPr>
                <w:rFonts w:hint="eastAsia" w:asciiTheme="minorEastAsia" w:hAnsiTheme="minorEastAsia"/>
                <w:color w:val="000000" w:themeColor="text1"/>
                <w:sz w:val="24"/>
                <w:szCs w:val="24"/>
                <w:highlight w:val="none"/>
                <w:lang w:val="en-US" w:eastAsia="zh-CN"/>
                <w14:textFill>
                  <w14:solidFill>
                    <w14:schemeClr w14:val="tx1"/>
                  </w14:solidFill>
                </w14:textFill>
              </w:rPr>
              <w:t>3</w:t>
            </w:r>
            <w:r>
              <w:rPr>
                <w:rFonts w:hint="eastAsia" w:asciiTheme="minorEastAsia" w:hAnsiTheme="minorEastAsia" w:eastAsiaTheme="minorEastAsia"/>
                <w:color w:val="000000" w:themeColor="text1"/>
                <w:sz w:val="24"/>
                <w:szCs w:val="24"/>
                <w:highlight w:val="none"/>
                <w14:textFill>
                  <w14:solidFill>
                    <w14:schemeClr w14:val="tx1"/>
                  </w14:solidFill>
                </w14:textFill>
              </w:rPr>
              <w:t>分；具有市政公用工程</w:t>
            </w:r>
            <w:r>
              <w:rPr>
                <w:rFonts w:hint="eastAsia" w:asciiTheme="minorEastAsia" w:hAnsiTheme="minorEastAsia"/>
                <w:color w:val="000000" w:themeColor="text1"/>
                <w:sz w:val="24"/>
                <w:szCs w:val="24"/>
                <w:highlight w:val="none"/>
                <w:lang w:val="en-US" w:eastAsia="zh-CN"/>
                <w14:textFill>
                  <w14:solidFill>
                    <w14:schemeClr w14:val="tx1"/>
                  </w14:solidFill>
                </w14:textFill>
              </w:rPr>
              <w:t>二</w:t>
            </w:r>
            <w:r>
              <w:rPr>
                <w:rFonts w:hint="eastAsia" w:asciiTheme="minorEastAsia" w:hAnsiTheme="minorEastAsia" w:eastAsiaTheme="minorEastAsia"/>
                <w:color w:val="000000" w:themeColor="text1"/>
                <w:sz w:val="24"/>
                <w:szCs w:val="24"/>
                <w:highlight w:val="none"/>
                <w14:textFill>
                  <w14:solidFill>
                    <w14:schemeClr w14:val="tx1"/>
                  </w14:solidFill>
                </w14:textFill>
              </w:rPr>
              <w:t>级注册建造师资质及相应的安全生产</w:t>
            </w:r>
            <w:r>
              <w:rPr>
                <w:rFonts w:hint="default" w:asciiTheme="minorEastAsia" w:hAnsiTheme="minorEastAsia" w:eastAsiaTheme="minorEastAsia"/>
                <w:color w:val="000000" w:themeColor="text1"/>
                <w:sz w:val="24"/>
                <w:szCs w:val="24"/>
                <w:highlight w:val="none"/>
                <w14:textFill>
                  <w14:solidFill>
                    <w14:schemeClr w14:val="tx1"/>
                  </w14:solidFill>
                </w14:textFill>
              </w:rPr>
              <w:t>B</w:t>
            </w:r>
            <w:r>
              <w:rPr>
                <w:rFonts w:hint="eastAsia" w:asciiTheme="minorEastAsia" w:hAnsiTheme="minorEastAsia" w:eastAsiaTheme="minorEastAsia"/>
                <w:color w:val="000000" w:themeColor="text1"/>
                <w:sz w:val="24"/>
                <w:szCs w:val="24"/>
                <w:highlight w:val="none"/>
                <w14:textFill>
                  <w14:solidFill>
                    <w14:schemeClr w14:val="tx1"/>
                  </w14:solidFill>
                </w14:textFill>
              </w:rPr>
              <w:t>类证书的得</w:t>
            </w:r>
            <w:r>
              <w:rPr>
                <w:rFonts w:hint="eastAsia" w:asciiTheme="minorEastAsia" w:hAnsiTheme="minorEastAsia"/>
                <w:color w:val="000000" w:themeColor="text1"/>
                <w:sz w:val="24"/>
                <w:szCs w:val="24"/>
                <w:highlight w:val="none"/>
                <w:lang w:val="en-US" w:eastAsia="zh-CN"/>
                <w14:textFill>
                  <w14:solidFill>
                    <w14:schemeClr w14:val="tx1"/>
                  </w14:solidFill>
                </w14:textFill>
              </w:rPr>
              <w:t>1.5</w:t>
            </w:r>
            <w:r>
              <w:rPr>
                <w:rFonts w:hint="eastAsia" w:asciiTheme="minorEastAsia" w:hAnsiTheme="minorEastAsia" w:eastAsiaTheme="minorEastAsia"/>
                <w:color w:val="000000" w:themeColor="text1"/>
                <w:sz w:val="24"/>
                <w:szCs w:val="24"/>
                <w:highlight w:val="none"/>
                <w14:textFill>
                  <w14:solidFill>
                    <w14:schemeClr w14:val="tx1"/>
                  </w14:solidFill>
                </w14:textFill>
              </w:rPr>
              <w:t>分</w:t>
            </w:r>
            <w:r>
              <w:rPr>
                <w:rFonts w:hint="eastAsia" w:asciiTheme="minorEastAsia" w:hAnsiTheme="minorEastAsia" w:eastAsiaTheme="minorEastAsia"/>
                <w:color w:val="000000" w:themeColor="text1"/>
                <w:sz w:val="24"/>
                <w:szCs w:val="24"/>
                <w:highlight w:val="none"/>
                <w:lang w:eastAsia="zh-CN"/>
                <w14:textFill>
                  <w14:solidFill>
                    <w14:schemeClr w14:val="tx1"/>
                  </w14:solidFill>
                </w14:textFill>
              </w:rPr>
              <w:t>，</w:t>
            </w:r>
            <w:r>
              <w:rPr>
                <w:rFonts w:hint="eastAsia" w:asciiTheme="minorEastAsia" w:hAnsiTheme="minorEastAsia" w:eastAsiaTheme="minorEastAsia"/>
                <w:color w:val="000000" w:themeColor="text1"/>
                <w:sz w:val="24"/>
                <w:szCs w:val="24"/>
                <w:highlight w:val="none"/>
                <w:lang w:val="en-US" w:eastAsia="zh-CN"/>
                <w14:textFill>
                  <w14:solidFill>
                    <w14:schemeClr w14:val="tx1"/>
                  </w14:solidFill>
                </w14:textFill>
              </w:rPr>
              <w:t>否则不得分。</w:t>
            </w:r>
          </w:p>
          <w:p w14:paraId="71B0D9FF">
            <w:pPr>
              <w:keepNext w:val="0"/>
              <w:keepLines w:val="0"/>
              <w:pageBreakBefore w:val="0"/>
              <w:widowControl w:val="0"/>
              <w:suppressLineNumbers w:val="0"/>
              <w:spacing w:before="0" w:beforeAutospacing="0" w:after="0" w:afterAutospacing="0" w:line="380" w:lineRule="exact"/>
              <w:ind w:left="0" w:right="0"/>
              <w:jc w:val="left"/>
              <w:rPr>
                <w:rFonts w:hint="default" w:asciiTheme="minorEastAsia" w:hAnsiTheme="minorEastAsia" w:eastAsia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color w:val="000000" w:themeColor="text1"/>
                <w:sz w:val="24"/>
                <w:szCs w:val="24"/>
                <w:highlight w:val="none"/>
                <w:lang w:val="en-US" w:eastAsia="zh-CN"/>
                <w14:textFill>
                  <w14:solidFill>
                    <w14:schemeClr w14:val="tx1"/>
                  </w14:solidFill>
                </w14:textFill>
              </w:rPr>
              <w:t>2、</w:t>
            </w:r>
            <w:r>
              <w:rPr>
                <w:rFonts w:hint="eastAsia" w:asciiTheme="minorEastAsia" w:hAnsiTheme="minorEastAsia" w:eastAsiaTheme="minorEastAsia"/>
                <w:color w:val="000000" w:themeColor="text1"/>
                <w:sz w:val="24"/>
                <w:szCs w:val="24"/>
                <w:highlight w:val="none"/>
                <w14:textFill>
                  <w14:solidFill>
                    <w14:schemeClr w14:val="tx1"/>
                  </w14:solidFill>
                </w14:textFill>
              </w:rPr>
              <w:t>具有</w:t>
            </w:r>
            <w:r>
              <w:rPr>
                <w:rFonts w:hint="eastAsia" w:asciiTheme="minorEastAsia" w:hAnsiTheme="minorEastAsia"/>
                <w:color w:val="000000" w:themeColor="text1"/>
                <w:sz w:val="24"/>
                <w:szCs w:val="24"/>
                <w:highlight w:val="none"/>
                <w:lang w:val="en-US" w:eastAsia="zh-CN"/>
                <w14:textFill>
                  <w14:solidFill>
                    <w14:schemeClr w14:val="tx1"/>
                  </w14:solidFill>
                </w14:textFill>
              </w:rPr>
              <w:t>高级工程师职称的得3分；具有工程师职称的得1.5分，</w:t>
            </w:r>
            <w:r>
              <w:rPr>
                <w:rFonts w:hint="eastAsia" w:asciiTheme="minorEastAsia" w:hAnsiTheme="minorEastAsia" w:eastAsiaTheme="minorEastAsia"/>
                <w:color w:val="000000" w:themeColor="text1"/>
                <w:sz w:val="24"/>
                <w:szCs w:val="24"/>
                <w:highlight w:val="none"/>
                <w:lang w:val="en-US" w:eastAsia="zh-CN"/>
                <w14:textFill>
                  <w14:solidFill>
                    <w14:schemeClr w14:val="tx1"/>
                  </w14:solidFill>
                </w14:textFill>
              </w:rPr>
              <w:t>否则不得分。</w:t>
            </w:r>
          </w:p>
          <w:p w14:paraId="60C62FF7">
            <w:pPr>
              <w:keepNext w:val="0"/>
              <w:keepLines w:val="0"/>
              <w:pageBreakBefore w:val="0"/>
              <w:widowControl w:val="0"/>
              <w:suppressLineNumbers w:val="0"/>
              <w:spacing w:before="0" w:beforeAutospacing="0" w:after="0" w:afterAutospacing="0" w:line="380" w:lineRule="exact"/>
              <w:ind w:left="0" w:right="0"/>
              <w:jc w:val="left"/>
              <w:rPr>
                <w:rFonts w:hint="default" w:asciiTheme="minorEastAsia" w:hAnsiTheme="minorEastAsia" w:eastAsiaTheme="minorEastAsia"/>
                <w:b/>
                <w:color w:val="000000" w:themeColor="text1"/>
                <w:sz w:val="24"/>
                <w:szCs w:val="20"/>
                <w:highlight w:val="none"/>
                <w14:textFill>
                  <w14:solidFill>
                    <w14:schemeClr w14:val="tx1"/>
                  </w14:solidFill>
                </w14:textFill>
              </w:rPr>
            </w:pPr>
            <w:r>
              <w:rPr>
                <w:rFonts w:hint="eastAsia" w:asciiTheme="minorEastAsia" w:hAnsiTheme="minorEastAsia" w:eastAsiaTheme="minorEastAsia"/>
                <w:b/>
                <w:color w:val="000000" w:themeColor="text1"/>
                <w:sz w:val="24"/>
                <w:szCs w:val="24"/>
                <w:highlight w:val="none"/>
                <w14:textFill>
                  <w14:solidFill>
                    <w14:schemeClr w14:val="tx1"/>
                  </w14:solidFill>
                </w14:textFill>
              </w:rPr>
              <w:t>注：</w:t>
            </w:r>
            <w:r>
              <w:rPr>
                <w:rFonts w:hint="eastAsia" w:asciiTheme="minorEastAsia" w:hAnsiTheme="minorEastAsia" w:eastAsiaTheme="minorEastAsia"/>
                <w:b/>
                <w:color w:val="000000" w:themeColor="text1"/>
                <w:sz w:val="24"/>
                <w:szCs w:val="24"/>
                <w:highlight w:val="none"/>
                <w:lang w:val="zh-CN"/>
                <w14:textFill>
                  <w14:solidFill>
                    <w14:schemeClr w14:val="tx1"/>
                  </w14:solidFill>
                </w14:textFill>
              </w:rPr>
              <w:t>投标文件中需提供项目负责人的资质证书、安全生产</w:t>
            </w:r>
            <w:r>
              <w:rPr>
                <w:rFonts w:hint="default" w:asciiTheme="minorEastAsia" w:hAnsiTheme="minorEastAsia" w:eastAsiaTheme="minorEastAsia"/>
                <w:b/>
                <w:color w:val="000000" w:themeColor="text1"/>
                <w:sz w:val="24"/>
                <w:szCs w:val="24"/>
                <w:highlight w:val="none"/>
                <w:lang w:val="zh-CN"/>
                <w14:textFill>
                  <w14:solidFill>
                    <w14:schemeClr w14:val="tx1"/>
                  </w14:solidFill>
                </w14:textFill>
              </w:rPr>
              <w:t>B</w:t>
            </w:r>
            <w:r>
              <w:rPr>
                <w:rFonts w:hint="eastAsia" w:asciiTheme="minorEastAsia" w:hAnsiTheme="minorEastAsia" w:eastAsiaTheme="minorEastAsia"/>
                <w:b/>
                <w:color w:val="000000" w:themeColor="text1"/>
                <w:sz w:val="24"/>
                <w:szCs w:val="24"/>
                <w:highlight w:val="none"/>
                <w:lang w:val="zh-CN"/>
                <w14:textFill>
                  <w14:solidFill>
                    <w14:schemeClr w14:val="tx1"/>
                  </w14:solidFill>
                </w14:textFill>
              </w:rPr>
              <w:t>类证书扫描件以及投标人近三个月任意</w:t>
            </w:r>
            <w:r>
              <w:rPr>
                <w:rFonts w:hint="default" w:asciiTheme="minorEastAsia" w:hAnsiTheme="minorEastAsia" w:eastAsiaTheme="minorEastAsia"/>
                <w:b/>
                <w:color w:val="000000" w:themeColor="text1"/>
                <w:sz w:val="24"/>
                <w:szCs w:val="24"/>
                <w:highlight w:val="none"/>
                <w:lang w:val="zh-CN"/>
                <w14:textFill>
                  <w14:solidFill>
                    <w14:schemeClr w14:val="tx1"/>
                  </w14:solidFill>
                </w14:textFill>
              </w:rPr>
              <w:t>一个月</w:t>
            </w:r>
            <w:r>
              <w:rPr>
                <w:rFonts w:hint="eastAsia" w:asciiTheme="minorEastAsia" w:hAnsiTheme="minorEastAsia" w:eastAsiaTheme="minorEastAsia"/>
                <w:b/>
                <w:color w:val="000000" w:themeColor="text1"/>
                <w:sz w:val="24"/>
                <w:szCs w:val="24"/>
                <w:highlight w:val="none"/>
                <w:lang w:val="zh-CN"/>
                <w14:textFill>
                  <w14:solidFill>
                    <w14:schemeClr w14:val="tx1"/>
                  </w14:solidFill>
                </w14:textFill>
              </w:rPr>
              <w:t>为其缴纳</w:t>
            </w:r>
            <w:r>
              <w:rPr>
                <w:rFonts w:hint="eastAsia" w:asciiTheme="minorEastAsia" w:hAnsiTheme="minorEastAsia" w:eastAsiaTheme="minorEastAsia"/>
                <w:b/>
                <w:color w:val="000000" w:themeColor="text1"/>
                <w:sz w:val="24"/>
                <w:szCs w:val="24"/>
                <w:highlight w:val="none"/>
                <w14:textFill>
                  <w14:solidFill>
                    <w14:schemeClr w14:val="tx1"/>
                  </w14:solidFill>
                </w14:textFill>
              </w:rPr>
              <w:t>社保的证明扫描件</w:t>
            </w:r>
            <w:r>
              <w:rPr>
                <w:rFonts w:hint="eastAsia" w:asciiTheme="minorEastAsia" w:hAnsiTheme="minorEastAsia" w:eastAsiaTheme="minorEastAsia"/>
                <w:b/>
                <w:color w:val="000000" w:themeColor="text1"/>
                <w:sz w:val="24"/>
                <w:szCs w:val="24"/>
                <w:highlight w:val="none"/>
                <w:lang w:val="zh-CN"/>
                <w14:textFill>
                  <w14:solidFill>
                    <w14:schemeClr w14:val="tx1"/>
                  </w14:solidFill>
                </w14:textFill>
              </w:rPr>
              <w:t>，未提供的不得分</w:t>
            </w:r>
            <w:r>
              <w:rPr>
                <w:rFonts w:hint="eastAsia" w:asciiTheme="minorEastAsia" w:hAnsiTheme="minorEastAsia" w:eastAsiaTheme="minorEastAsia"/>
                <w:b/>
                <w:color w:val="000000" w:themeColor="text1"/>
                <w:sz w:val="24"/>
                <w:szCs w:val="24"/>
                <w:highlight w:val="none"/>
                <w14:textFill>
                  <w14:solidFill>
                    <w14:schemeClr w14:val="tx1"/>
                  </w14:solidFill>
                </w14:textFill>
              </w:rPr>
              <w:t>。</w:t>
            </w:r>
          </w:p>
        </w:tc>
      </w:tr>
      <w:tr w14:paraId="55EBB5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90" w:hRule="atLeast"/>
          <w:jc w:val="center"/>
        </w:trPr>
        <w:tc>
          <w:tcPr>
            <w:tcW w:w="810" w:type="dxa"/>
            <w:tcBorders>
              <w:top w:val="single" w:color="000000" w:sz="4" w:space="0"/>
              <w:left w:val="single" w:color="000000" w:sz="4" w:space="0"/>
              <w:bottom w:val="single" w:color="000000" w:sz="4" w:space="0"/>
              <w:right w:val="single" w:color="000000" w:sz="4" w:space="0"/>
            </w:tcBorders>
            <w:noWrap w:val="0"/>
            <w:vAlign w:val="center"/>
          </w:tcPr>
          <w:p w14:paraId="7F0A78B4">
            <w:pPr>
              <w:keepNext w:val="0"/>
              <w:keepLines w:val="0"/>
              <w:widowControl/>
              <w:suppressLineNumbers w:val="0"/>
              <w:spacing w:before="0" w:beforeAutospacing="0" w:after="0" w:afterAutospacing="0"/>
              <w:ind w:left="0" w:right="0"/>
              <w:jc w:val="center"/>
              <w:rPr>
                <w:rFonts w:hint="eastAsia" w:asciiTheme="minorEastAsia" w:hAnsiTheme="minorEastAsia" w:eastAsiaTheme="minorEastAsia"/>
                <w:strike/>
                <w:color w:val="000000" w:themeColor="text1"/>
                <w:sz w:val="24"/>
                <w:szCs w:val="20"/>
                <w:highlight w:val="none"/>
                <w:lang w:val="en-US" w:eastAsia="zh-CN"/>
                <w14:textFill>
                  <w14:solidFill>
                    <w14:schemeClr w14:val="tx1"/>
                  </w14:solidFill>
                </w14:textFill>
              </w:rPr>
            </w:pPr>
            <w:r>
              <w:rPr>
                <w:rFonts w:hint="eastAsia" w:asciiTheme="minorEastAsia" w:hAnsiTheme="minorEastAsia" w:eastAsiaTheme="minorEastAsia"/>
                <w:strike w:val="0"/>
                <w:color w:val="000000" w:themeColor="text1"/>
                <w:sz w:val="24"/>
                <w:szCs w:val="20"/>
                <w:highlight w:val="none"/>
                <w:lang w:val="en-US" w:eastAsia="zh-CN"/>
                <w14:textFill>
                  <w14:solidFill>
                    <w14:schemeClr w14:val="tx1"/>
                  </w14:solidFill>
                </w14:textFill>
              </w:rPr>
              <w:t>3</w:t>
            </w:r>
          </w:p>
        </w:tc>
        <w:tc>
          <w:tcPr>
            <w:tcW w:w="1436" w:type="dxa"/>
            <w:tcBorders>
              <w:top w:val="single" w:color="000000" w:sz="4" w:space="0"/>
              <w:left w:val="single" w:color="000000" w:sz="4" w:space="0"/>
              <w:bottom w:val="single" w:color="000000" w:sz="4" w:space="0"/>
              <w:right w:val="single" w:color="000000" w:sz="4" w:space="0"/>
            </w:tcBorders>
            <w:noWrap w:val="0"/>
            <w:vAlign w:val="center"/>
          </w:tcPr>
          <w:p w14:paraId="1E57F5D2">
            <w:pPr>
              <w:keepNext w:val="0"/>
              <w:keepLines w:val="0"/>
              <w:widowControl/>
              <w:suppressLineNumbers w:val="0"/>
              <w:spacing w:before="0" w:beforeAutospacing="0" w:after="0" w:afterAutospacing="0"/>
              <w:ind w:left="0" w:right="0"/>
              <w:jc w:val="center"/>
              <w:rPr>
                <w:rFonts w:hint="default" w:asciiTheme="minorEastAsia" w:hAnsiTheme="minorEastAsia" w:eastAsiaTheme="minorEastAsia"/>
                <w:strike/>
                <w:color w:val="000000" w:themeColor="text1"/>
                <w:sz w:val="24"/>
                <w:szCs w:val="20"/>
                <w:highlight w:val="none"/>
                <w14:textFill>
                  <w14:solidFill>
                    <w14:schemeClr w14:val="tx1"/>
                  </w14:solidFill>
                </w14:textFill>
              </w:rPr>
            </w:pPr>
            <w:r>
              <w:rPr>
                <w:rFonts w:hint="eastAsia" w:asciiTheme="minorEastAsia" w:hAnsiTheme="minorEastAsia"/>
                <w:strike w:val="0"/>
                <w:color w:val="000000" w:themeColor="text1"/>
                <w:sz w:val="24"/>
                <w:szCs w:val="24"/>
                <w:highlight w:val="none"/>
                <w:lang w:val="en-US" w:eastAsia="zh-CN"/>
                <w14:textFill>
                  <w14:solidFill>
                    <w14:schemeClr w14:val="tx1"/>
                  </w14:solidFill>
                </w14:textFill>
              </w:rPr>
              <w:t>项目组作业人员</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7344EC59">
            <w:pPr>
              <w:keepNext w:val="0"/>
              <w:keepLines w:val="0"/>
              <w:suppressLineNumbers w:val="0"/>
              <w:spacing w:before="0" w:beforeAutospacing="0" w:after="0" w:afterAutospacing="0" w:line="440" w:lineRule="exact"/>
              <w:ind w:left="0" w:right="0"/>
              <w:jc w:val="center"/>
              <w:rPr>
                <w:rFonts w:hint="eastAsia" w:asciiTheme="minorEastAsia" w:hAnsiTheme="minorEastAsia" w:eastAsiaTheme="minorEastAsia"/>
                <w:strike/>
                <w:color w:val="000000" w:themeColor="text1"/>
                <w:sz w:val="24"/>
                <w:szCs w:val="20"/>
                <w:highlight w:val="none"/>
                <w:lang w:eastAsia="zh-CN"/>
                <w14:textFill>
                  <w14:solidFill>
                    <w14:schemeClr w14:val="tx1"/>
                  </w14:solidFill>
                </w14:textFill>
              </w:rPr>
            </w:pPr>
            <w:r>
              <w:rPr>
                <w:rFonts w:hint="eastAsia" w:asciiTheme="minorEastAsia" w:hAnsiTheme="minorEastAsia"/>
                <w:strike/>
                <w:color w:val="000000" w:themeColor="text1"/>
                <w:sz w:val="24"/>
                <w:szCs w:val="20"/>
                <w:highlight w:val="none"/>
                <w:lang w:val="en-US" w:eastAsia="zh-CN"/>
                <w14:textFill>
                  <w14:solidFill>
                    <w14:schemeClr w14:val="tx1"/>
                  </w14:solidFill>
                </w14:textFill>
              </w:rPr>
              <w:t>4</w:t>
            </w:r>
          </w:p>
        </w:tc>
        <w:tc>
          <w:tcPr>
            <w:tcW w:w="6156" w:type="dxa"/>
            <w:tcBorders>
              <w:top w:val="single" w:color="000000" w:sz="4" w:space="0"/>
              <w:left w:val="single" w:color="000000" w:sz="4" w:space="0"/>
              <w:bottom w:val="single" w:color="000000" w:sz="4" w:space="0"/>
              <w:right w:val="single" w:color="000000" w:sz="4" w:space="0"/>
            </w:tcBorders>
            <w:noWrap w:val="0"/>
          </w:tcPr>
          <w:p w14:paraId="2B0344D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80" w:lineRule="exact"/>
              <w:ind w:left="0" w:right="0"/>
              <w:jc w:val="left"/>
              <w:textAlignment w:val="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1、拟投入项目组作业人员(不含项目负责人)数量满足招标要求</w:t>
            </w:r>
            <w:r>
              <w:rPr>
                <w:rFonts w:hint="eastAsia" w:ascii="宋体" w:hAnsi="宋体"/>
                <w:color w:val="000000" w:themeColor="text1"/>
                <w:sz w:val="24"/>
                <w:szCs w:val="24"/>
                <w:highlight w:val="none"/>
                <w:lang w:eastAsia="zh-CN"/>
                <w14:textFill>
                  <w14:solidFill>
                    <w14:schemeClr w14:val="tx1"/>
                  </w14:solidFill>
                </w14:textFill>
              </w:rPr>
              <w:t>（</w:t>
            </w:r>
            <w:r>
              <w:rPr>
                <w:rFonts w:hint="eastAsia" w:ascii="宋体" w:hAnsi="宋体"/>
                <w:color w:val="000000" w:themeColor="text1"/>
                <w:sz w:val="24"/>
                <w:szCs w:val="24"/>
                <w:highlight w:val="none"/>
                <w:lang w:val="en-US" w:eastAsia="zh-CN"/>
                <w14:textFill>
                  <w14:solidFill>
                    <w14:schemeClr w14:val="tx1"/>
                  </w14:solidFill>
                </w14:textFill>
              </w:rPr>
              <w:t>3人</w:t>
            </w:r>
            <w:r>
              <w:rPr>
                <w:rFonts w:hint="eastAsia" w:ascii="宋体" w:hAnsi="宋体"/>
                <w:color w:val="000000" w:themeColor="text1"/>
                <w:sz w:val="24"/>
                <w:szCs w:val="24"/>
                <w:highlight w:val="none"/>
                <w:lang w:eastAsia="zh-CN"/>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的基础上，每增加1人加1分，最多加2分。注</w:t>
            </w:r>
            <w:r>
              <w:rPr>
                <w:rFonts w:hint="eastAsia" w:ascii="宋体" w:hAnsi="宋体"/>
                <w:color w:val="000000" w:themeColor="text1"/>
                <w:sz w:val="24"/>
                <w:szCs w:val="24"/>
                <w:highlight w:val="none"/>
                <w:lang w:eastAsia="zh-CN"/>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作业人员数量不满足招标要求的本项不得分，投标文件中需提供投标人为其缴纳的最近三个月中任意一个月的社保证明材料，否则不得分。</w:t>
            </w:r>
            <w:bookmarkStart w:id="258" w:name="_GoBack"/>
            <w:bookmarkEnd w:id="258"/>
          </w:p>
          <w:p w14:paraId="3DA4E72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80" w:lineRule="exact"/>
              <w:ind w:left="0" w:right="0"/>
              <w:jc w:val="left"/>
              <w:textAlignment w:val="auto"/>
              <w:rPr>
                <w:rFonts w:hint="eastAsia" w:asciiTheme="minorEastAsia" w:hAnsiTheme="minorEastAsia" w:eastAsiaTheme="minorEastAsia"/>
                <w:strike/>
                <w:color w:val="000000" w:themeColor="text1"/>
                <w:sz w:val="24"/>
                <w:szCs w:val="20"/>
                <w:highlight w:val="none"/>
                <w:lang w:val="en-US"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2、投标人为拟投入本项目的项目组作业人员(不含项目</w:t>
            </w:r>
            <w:r>
              <w:rPr>
                <w:rFonts w:hint="eastAsia" w:ascii="宋体" w:hAnsi="宋体"/>
                <w:color w:val="000000" w:themeColor="text1"/>
                <w:sz w:val="24"/>
                <w:szCs w:val="24"/>
                <w:highlight w:val="none"/>
                <w:lang w:val="en-US" w:eastAsia="zh-CN"/>
                <w14:textFill>
                  <w14:solidFill>
                    <w14:schemeClr w14:val="tx1"/>
                  </w14:solidFill>
                </w14:textFill>
              </w:rPr>
              <w:t>负责</w:t>
            </w:r>
            <w:r>
              <w:rPr>
                <w:rFonts w:hint="eastAsia" w:ascii="宋体" w:hAnsi="宋体"/>
                <w:color w:val="000000" w:themeColor="text1"/>
                <w:sz w:val="24"/>
                <w:szCs w:val="24"/>
                <w:highlight w:val="none"/>
                <w14:textFill>
                  <w14:solidFill>
                    <w14:schemeClr w14:val="tx1"/>
                  </w14:solidFill>
                </w14:textFill>
              </w:rPr>
              <w:t>人</w:t>
            </w:r>
            <w:r>
              <w:rPr>
                <w:rFonts w:hint="eastAsia" w:ascii="宋体" w:hAnsi="宋体"/>
                <w:color w:val="000000" w:themeColor="text1"/>
                <w:sz w:val="24"/>
                <w:szCs w:val="24"/>
                <w:highlight w:val="none"/>
                <w:lang w:eastAsia="zh-CN"/>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投保(或承诺投保)意外伤害险≥50万元的得2</w:t>
            </w:r>
            <w:r>
              <w:rPr>
                <w:rFonts w:hint="eastAsia" w:ascii="宋体" w:hAnsi="宋体"/>
                <w:color w:val="000000" w:themeColor="text1"/>
                <w:sz w:val="24"/>
                <w:szCs w:val="24"/>
                <w:highlight w:val="none"/>
                <w:lang w:val="en-US" w:eastAsia="zh-CN"/>
                <w14:textFill>
                  <w14:solidFill>
                    <w14:schemeClr w14:val="tx1"/>
                  </w14:solidFill>
                </w14:textFill>
              </w:rPr>
              <w:t>分</w:t>
            </w:r>
            <w:r>
              <w:rPr>
                <w:rFonts w:hint="eastAsia" w:ascii="宋体" w:hAnsi="宋体"/>
                <w:color w:val="000000" w:themeColor="text1"/>
                <w:sz w:val="24"/>
                <w:szCs w:val="24"/>
                <w:highlight w:val="none"/>
                <w:lang w:eastAsia="zh-CN"/>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意外伤害险≥30万元的得1分。注</w:t>
            </w:r>
            <w:r>
              <w:rPr>
                <w:rFonts w:hint="eastAsia" w:ascii="宋体" w:hAnsi="宋体"/>
                <w:color w:val="000000" w:themeColor="text1"/>
                <w:sz w:val="24"/>
                <w:szCs w:val="24"/>
                <w:highlight w:val="none"/>
                <w:lang w:eastAsia="zh-CN"/>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投标文件中需提供保单扫描件或承诺函</w:t>
            </w:r>
            <w:r>
              <w:rPr>
                <w:rFonts w:hint="eastAsia" w:ascii="宋体" w:hAnsi="宋体"/>
                <w:color w:val="000000" w:themeColor="text1"/>
                <w:sz w:val="24"/>
                <w:szCs w:val="24"/>
                <w:highlight w:val="none"/>
                <w:lang w:eastAsia="zh-CN"/>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格式自拟</w:t>
            </w:r>
            <w:r>
              <w:rPr>
                <w:rFonts w:hint="eastAsia" w:ascii="宋体" w:hAnsi="宋体"/>
                <w:color w:val="000000" w:themeColor="text1"/>
                <w:sz w:val="24"/>
                <w:szCs w:val="24"/>
                <w:highlight w:val="none"/>
                <w:lang w:eastAsia="zh-CN"/>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未提供的本项不得分。</w:t>
            </w:r>
          </w:p>
        </w:tc>
      </w:tr>
      <w:tr w14:paraId="62CC66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77" w:hRule="atLeast"/>
          <w:jc w:val="center"/>
        </w:trPr>
        <w:tc>
          <w:tcPr>
            <w:tcW w:w="810" w:type="dxa"/>
            <w:tcBorders>
              <w:top w:val="single" w:color="000000" w:sz="4" w:space="0"/>
              <w:left w:val="single" w:color="000000" w:sz="4" w:space="0"/>
              <w:bottom w:val="single" w:color="000000" w:sz="4" w:space="0"/>
              <w:right w:val="single" w:color="000000" w:sz="4" w:space="0"/>
            </w:tcBorders>
            <w:noWrap w:val="0"/>
            <w:vAlign w:val="center"/>
          </w:tcPr>
          <w:p w14:paraId="0C8716A4">
            <w:pPr>
              <w:keepNext w:val="0"/>
              <w:keepLines w:val="0"/>
              <w:suppressLineNumbers w:val="0"/>
              <w:spacing w:before="0" w:beforeAutospacing="0" w:after="0" w:afterAutospacing="0" w:line="440" w:lineRule="exact"/>
              <w:ind w:left="0" w:right="0"/>
              <w:jc w:val="center"/>
              <w:rPr>
                <w:rFonts w:hint="eastAsia" w:asciiTheme="minorEastAsia" w:hAnsiTheme="minorEastAsia" w:eastAsiaTheme="minorEastAsia"/>
                <w:color w:val="000000" w:themeColor="text1"/>
                <w:sz w:val="24"/>
                <w:szCs w:val="20"/>
                <w:highlight w:val="none"/>
                <w:lang w:eastAsia="zh-CN"/>
                <w14:textFill>
                  <w14:solidFill>
                    <w14:schemeClr w14:val="tx1"/>
                  </w14:solidFill>
                </w14:textFill>
              </w:rPr>
            </w:pPr>
            <w:r>
              <w:rPr>
                <w:rFonts w:hint="eastAsia" w:asciiTheme="minorEastAsia" w:hAnsiTheme="minorEastAsia" w:eastAsiaTheme="minorEastAsia"/>
                <w:color w:val="000000" w:themeColor="text1"/>
                <w:sz w:val="24"/>
                <w:szCs w:val="20"/>
                <w:highlight w:val="none"/>
                <w:lang w:val="en-US" w:eastAsia="zh-CN"/>
                <w14:textFill>
                  <w14:solidFill>
                    <w14:schemeClr w14:val="tx1"/>
                  </w14:solidFill>
                </w14:textFill>
              </w:rPr>
              <w:t>4</w:t>
            </w:r>
          </w:p>
        </w:tc>
        <w:tc>
          <w:tcPr>
            <w:tcW w:w="1436" w:type="dxa"/>
            <w:tcBorders>
              <w:top w:val="single" w:color="000000" w:sz="4" w:space="0"/>
              <w:left w:val="single" w:color="000000" w:sz="4" w:space="0"/>
              <w:bottom w:val="single" w:color="000000" w:sz="4" w:space="0"/>
              <w:right w:val="single" w:color="000000" w:sz="4" w:space="0"/>
            </w:tcBorders>
            <w:noWrap w:val="0"/>
            <w:vAlign w:val="center"/>
          </w:tcPr>
          <w:p w14:paraId="37A22A43">
            <w:pPr>
              <w:keepNext w:val="0"/>
              <w:keepLines w:val="0"/>
              <w:suppressLineNumbers w:val="0"/>
              <w:spacing w:before="0" w:beforeAutospacing="0" w:after="0" w:afterAutospacing="0" w:line="440" w:lineRule="exact"/>
              <w:ind w:left="0" w:right="0"/>
              <w:jc w:val="center"/>
              <w:rPr>
                <w:rFonts w:hint="default" w:asciiTheme="minorEastAsia" w:hAnsiTheme="minorEastAsia" w:eastAsiaTheme="minorEastAsia"/>
                <w:color w:val="000000" w:themeColor="text1"/>
                <w:sz w:val="24"/>
                <w:szCs w:val="20"/>
                <w:highlight w:val="none"/>
                <w14:textFill>
                  <w14:solidFill>
                    <w14:schemeClr w14:val="tx1"/>
                  </w14:solidFill>
                </w14:textFill>
              </w:rPr>
            </w:pPr>
            <w:r>
              <w:rPr>
                <w:rFonts w:hint="eastAsia" w:asciiTheme="minorEastAsia" w:hAnsiTheme="minorEastAsia" w:eastAsiaTheme="minorEastAsia"/>
                <w:color w:val="000000" w:themeColor="text1"/>
                <w:sz w:val="24"/>
                <w:szCs w:val="20"/>
                <w:highlight w:val="none"/>
                <w14:textFill>
                  <w14:solidFill>
                    <w14:schemeClr w14:val="tx1"/>
                  </w14:solidFill>
                </w14:textFill>
              </w:rPr>
              <w:t>车辆、工具机械配备情况</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6DE86C19">
            <w:pPr>
              <w:keepNext w:val="0"/>
              <w:keepLines w:val="0"/>
              <w:suppressLineNumbers w:val="0"/>
              <w:spacing w:before="0" w:beforeAutospacing="0" w:after="0" w:afterAutospacing="0" w:line="440" w:lineRule="exact"/>
              <w:ind w:left="0" w:right="0"/>
              <w:jc w:val="center"/>
              <w:rPr>
                <w:rFonts w:hint="default" w:asciiTheme="minorEastAsia" w:hAnsiTheme="minorEastAsia" w:eastAsiaTheme="minorEastAsia"/>
                <w:color w:val="000000" w:themeColor="text1"/>
                <w:sz w:val="24"/>
                <w:szCs w:val="20"/>
                <w:highlight w:val="none"/>
                <w14:textFill>
                  <w14:solidFill>
                    <w14:schemeClr w14:val="tx1"/>
                  </w14:solidFill>
                </w14:textFill>
              </w:rPr>
            </w:pPr>
            <w:r>
              <w:rPr>
                <w:rFonts w:hint="eastAsia" w:asciiTheme="minorEastAsia" w:hAnsiTheme="minorEastAsia" w:eastAsiaTheme="minorEastAsia"/>
                <w:color w:val="000000" w:themeColor="text1"/>
                <w:sz w:val="24"/>
                <w:szCs w:val="20"/>
                <w:highlight w:val="none"/>
                <w14:textFill>
                  <w14:solidFill>
                    <w14:schemeClr w14:val="tx1"/>
                  </w14:solidFill>
                </w14:textFill>
              </w:rPr>
              <w:t>10</w:t>
            </w:r>
          </w:p>
        </w:tc>
        <w:tc>
          <w:tcPr>
            <w:tcW w:w="6156" w:type="dxa"/>
            <w:tcBorders>
              <w:top w:val="single" w:color="000000" w:sz="4" w:space="0"/>
              <w:left w:val="single" w:color="000000" w:sz="4" w:space="0"/>
              <w:bottom w:val="single" w:color="000000" w:sz="4" w:space="0"/>
              <w:right w:val="single" w:color="000000" w:sz="4" w:space="0"/>
            </w:tcBorders>
            <w:noWrap w:val="0"/>
          </w:tcPr>
          <w:p w14:paraId="59ECB3A4">
            <w:pPr>
              <w:keepNext w:val="0"/>
              <w:keepLines w:val="0"/>
              <w:suppressLineNumbers w:val="0"/>
              <w:spacing w:before="0" w:beforeAutospacing="0" w:after="0" w:afterAutospacing="0"/>
              <w:ind w:left="0" w:right="0"/>
              <w:jc w:val="left"/>
              <w:rPr>
                <w:rFonts w:hint="default"/>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根据投标人的主要专业</w:t>
            </w:r>
            <w:r>
              <w:rPr>
                <w:rFonts w:hint="eastAsia"/>
                <w:color w:val="000000" w:themeColor="text1"/>
                <w:sz w:val="24"/>
                <w:szCs w:val="24"/>
                <w:highlight w:val="none"/>
                <w:lang w:eastAsia="zh-CN"/>
                <w14:textFill>
                  <w14:solidFill>
                    <w14:schemeClr w14:val="tx1"/>
                  </w14:solidFill>
                </w14:textFill>
              </w:rPr>
              <w:t>作业</w:t>
            </w:r>
            <w:r>
              <w:rPr>
                <w:rFonts w:hint="eastAsia"/>
                <w:color w:val="000000" w:themeColor="text1"/>
                <w:sz w:val="24"/>
                <w:szCs w:val="24"/>
                <w:highlight w:val="none"/>
                <w14:textFill>
                  <w14:solidFill>
                    <w14:schemeClr w14:val="tx1"/>
                  </w14:solidFill>
                </w14:textFill>
              </w:rPr>
              <w:t>机械及设备</w:t>
            </w:r>
            <w:r>
              <w:rPr>
                <w:rFonts w:hint="default"/>
                <w:color w:val="000000" w:themeColor="text1"/>
                <w:sz w:val="24"/>
                <w:szCs w:val="24"/>
                <w:highlight w:val="none"/>
                <w14:textFill>
                  <w14:solidFill>
                    <w14:schemeClr w14:val="tx1"/>
                  </w14:solidFill>
                </w14:textFill>
              </w:rPr>
              <w:t>评定</w:t>
            </w:r>
            <w:r>
              <w:rPr>
                <w:rFonts w:hint="eastAsia"/>
                <w:color w:val="000000" w:themeColor="text1"/>
                <w:sz w:val="24"/>
                <w:szCs w:val="24"/>
                <w:highlight w:val="none"/>
                <w14:textFill>
                  <w14:solidFill>
                    <w14:schemeClr w14:val="tx1"/>
                  </w14:solidFill>
                </w14:textFill>
              </w:rPr>
              <w:t>：气体检测仪、全地形管道机器人、高压清洗机、厢式运输车、疏通车（清洗车）、吸污净化车、大功率排水泵（排水量800m3/小时以上）、非开挖铺管钻机、</w:t>
            </w:r>
            <w:r>
              <w:rPr>
                <w:rFonts w:hint="default"/>
                <w:color w:val="000000" w:themeColor="text1"/>
                <w:sz w:val="24"/>
                <w:szCs w:val="24"/>
                <w:highlight w:val="none"/>
                <w14:textFill>
                  <w14:solidFill>
                    <w14:schemeClr w14:val="tx1"/>
                  </w14:solidFill>
                </w14:textFill>
              </w:rPr>
              <w:t>管道</w:t>
            </w:r>
            <w:r>
              <w:rPr>
                <w:rFonts w:hint="eastAsia"/>
                <w:color w:val="000000" w:themeColor="text1"/>
                <w:sz w:val="24"/>
                <w:szCs w:val="24"/>
                <w:highlight w:val="none"/>
                <w14:textFill>
                  <w14:solidFill>
                    <w14:schemeClr w14:val="tx1"/>
                  </w14:solidFill>
                </w14:textFill>
              </w:rPr>
              <w:t>修复</w:t>
            </w:r>
            <w:r>
              <w:rPr>
                <w:rFonts w:hint="default"/>
                <w:color w:val="000000" w:themeColor="text1"/>
                <w:sz w:val="24"/>
                <w:szCs w:val="24"/>
                <w:highlight w:val="none"/>
                <w14:textFill>
                  <w14:solidFill>
                    <w14:schemeClr w14:val="tx1"/>
                  </w14:solidFill>
                </w14:textFill>
              </w:rPr>
              <w:t>机械（</w:t>
            </w:r>
            <w:r>
              <w:rPr>
                <w:rFonts w:hint="eastAsia"/>
                <w:color w:val="000000" w:themeColor="text1"/>
                <w:sz w:val="24"/>
                <w:szCs w:val="24"/>
                <w:highlight w:val="none"/>
                <w14:textFill>
                  <w14:solidFill>
                    <w14:schemeClr w14:val="tx1"/>
                  </w14:solidFill>
                </w14:textFill>
              </w:rPr>
              <w:t>符合</w:t>
            </w:r>
            <w:r>
              <w:rPr>
                <w:rFonts w:hint="default"/>
                <w:color w:val="000000" w:themeColor="text1"/>
                <w:sz w:val="24"/>
                <w:szCs w:val="24"/>
                <w:highlight w:val="none"/>
                <w14:textFill>
                  <w14:solidFill>
                    <w14:schemeClr w14:val="tx1"/>
                  </w14:solidFill>
                </w14:textFill>
              </w:rPr>
              <w:t>项目需求修复</w:t>
            </w:r>
            <w:r>
              <w:rPr>
                <w:rFonts w:hint="eastAsia"/>
                <w:color w:val="000000" w:themeColor="text1"/>
                <w:sz w:val="24"/>
                <w:szCs w:val="24"/>
                <w:highlight w:val="none"/>
                <w14:textFill>
                  <w14:solidFill>
                    <w14:schemeClr w14:val="tx1"/>
                  </w14:solidFill>
                </w14:textFill>
              </w:rPr>
              <w:t>方法</w:t>
            </w:r>
            <w:r>
              <w:rPr>
                <w:rFonts w:hint="default"/>
                <w:color w:val="000000" w:themeColor="text1"/>
                <w:sz w:val="24"/>
                <w:szCs w:val="24"/>
                <w:highlight w:val="none"/>
                <w14:textFill>
                  <w14:solidFill>
                    <w14:schemeClr w14:val="tx1"/>
                  </w14:solidFill>
                </w14:textFill>
              </w:rPr>
              <w:t>）</w:t>
            </w:r>
            <w:r>
              <w:rPr>
                <w:rFonts w:hint="eastAsia"/>
                <w:color w:val="000000" w:themeColor="text1"/>
                <w:sz w:val="24"/>
                <w:szCs w:val="24"/>
                <w:highlight w:val="none"/>
                <w14:textFill>
                  <w14:solidFill>
                    <w14:schemeClr w14:val="tx1"/>
                  </w14:solidFill>
                </w14:textFill>
              </w:rPr>
              <w:t>、</w:t>
            </w:r>
            <w:r>
              <w:rPr>
                <w:rFonts w:hint="default"/>
                <w:color w:val="000000" w:themeColor="text1"/>
                <w:sz w:val="24"/>
                <w:szCs w:val="24"/>
                <w:highlight w:val="none"/>
                <w14:textFill>
                  <w14:solidFill>
                    <w14:schemeClr w14:val="tx1"/>
                  </w14:solidFill>
                </w14:textFill>
              </w:rPr>
              <w:t>管道</w:t>
            </w:r>
            <w:r>
              <w:rPr>
                <w:rFonts w:hint="eastAsia"/>
                <w:color w:val="000000" w:themeColor="text1"/>
                <w:sz w:val="24"/>
                <w:szCs w:val="24"/>
                <w:highlight w:val="none"/>
                <w14:textFill>
                  <w14:solidFill>
                    <w14:schemeClr w14:val="tx1"/>
                  </w14:solidFill>
                </w14:textFill>
              </w:rPr>
              <w:t>声纳；以上机械及设备每自有或租赁一类的得1分，最高得</w:t>
            </w:r>
            <w:r>
              <w:rPr>
                <w:rFonts w:hint="default"/>
                <w:color w:val="000000" w:themeColor="text1"/>
                <w:sz w:val="24"/>
                <w:szCs w:val="24"/>
                <w:highlight w:val="none"/>
                <w14:textFill>
                  <w14:solidFill>
                    <w14:schemeClr w14:val="tx1"/>
                  </w14:solidFill>
                </w14:textFill>
              </w:rPr>
              <w:t>10</w:t>
            </w:r>
            <w:r>
              <w:rPr>
                <w:rFonts w:hint="eastAsia"/>
                <w:color w:val="000000" w:themeColor="text1"/>
                <w:sz w:val="24"/>
                <w:szCs w:val="24"/>
                <w:highlight w:val="none"/>
                <w14:textFill>
                  <w14:solidFill>
                    <w14:schemeClr w14:val="tx1"/>
                  </w14:solidFill>
                </w14:textFill>
              </w:rPr>
              <w:t>分。</w:t>
            </w:r>
          </w:p>
          <w:p w14:paraId="4DD8E38E">
            <w:pPr>
              <w:keepNext w:val="0"/>
              <w:keepLines w:val="0"/>
              <w:suppressLineNumbers w:val="0"/>
              <w:spacing w:before="0" w:beforeAutospacing="0" w:after="0" w:afterAutospacing="0"/>
              <w:ind w:left="0" w:right="0"/>
              <w:jc w:val="left"/>
              <w:rPr>
                <w:rFonts w:hint="default" w:asciiTheme="minorEastAsia" w:hAnsiTheme="minorEastAsia" w:eastAsiaTheme="minorEastAsia"/>
                <w:b/>
                <w:color w:val="000000" w:themeColor="text1"/>
                <w:sz w:val="24"/>
                <w:szCs w:val="24"/>
                <w:highlight w:val="none"/>
                <w14:textFill>
                  <w14:solidFill>
                    <w14:schemeClr w14:val="tx1"/>
                  </w14:solidFill>
                </w14:textFill>
              </w:rPr>
            </w:pPr>
            <w:r>
              <w:rPr>
                <w:rFonts w:hint="eastAsia" w:asciiTheme="minorEastAsia" w:hAnsiTheme="minorEastAsia" w:eastAsiaTheme="minorEastAsia"/>
                <w:b/>
                <w:color w:val="000000" w:themeColor="text1"/>
                <w:sz w:val="24"/>
                <w:szCs w:val="24"/>
                <w:highlight w:val="none"/>
                <w14:textFill>
                  <w14:solidFill>
                    <w14:schemeClr w14:val="tx1"/>
                  </w14:solidFill>
                </w14:textFill>
              </w:rPr>
              <w:t>注：（1）自有车辆相关材料扫描件包括带有车牌号码的照片、车辆行驶证、车辆购置发票，三者须一一对应，缺一不可；自有设备相关材料包括</w:t>
            </w:r>
            <w:r>
              <w:rPr>
                <w:rFonts w:hint="eastAsia" w:asciiTheme="minorEastAsia" w:hAnsiTheme="minorEastAsia" w:eastAsiaTheme="minorEastAsia"/>
                <w:b/>
                <w:color w:val="000000" w:themeColor="text1"/>
                <w:sz w:val="24"/>
                <w:szCs w:val="24"/>
                <w:highlight w:val="none"/>
                <w:lang w:val="en-US" w:eastAsia="zh-CN"/>
                <w14:textFill>
                  <w14:solidFill>
                    <w14:schemeClr w14:val="tx1"/>
                  </w14:solidFill>
                </w14:textFill>
              </w:rPr>
              <w:t>设备</w:t>
            </w:r>
            <w:r>
              <w:rPr>
                <w:rFonts w:hint="eastAsia" w:asciiTheme="minorEastAsia" w:hAnsiTheme="minorEastAsia" w:eastAsiaTheme="minorEastAsia"/>
                <w:b/>
                <w:color w:val="000000" w:themeColor="text1"/>
                <w:sz w:val="24"/>
                <w:szCs w:val="24"/>
                <w:highlight w:val="none"/>
                <w14:textFill>
                  <w14:solidFill>
                    <w14:schemeClr w14:val="tx1"/>
                  </w14:solidFill>
                </w14:textFill>
              </w:rPr>
              <w:t>照片、设备购置发票。</w:t>
            </w:r>
          </w:p>
          <w:p w14:paraId="4BE2B424">
            <w:pPr>
              <w:keepNext w:val="0"/>
              <w:keepLines w:val="0"/>
              <w:suppressLineNumbers w:val="0"/>
              <w:spacing w:before="0" w:beforeAutospacing="0" w:after="0" w:afterAutospacing="0"/>
              <w:ind w:left="0" w:right="0"/>
              <w:jc w:val="left"/>
              <w:rPr>
                <w:rFonts w:hint="default" w:asciiTheme="minorEastAsia" w:hAnsiTheme="minorEastAsia" w:eastAsiaTheme="minorEastAsia"/>
                <w:b/>
                <w:color w:val="000000" w:themeColor="text1"/>
                <w:sz w:val="24"/>
                <w:szCs w:val="24"/>
                <w:highlight w:val="none"/>
                <w14:textFill>
                  <w14:solidFill>
                    <w14:schemeClr w14:val="tx1"/>
                  </w14:solidFill>
                </w14:textFill>
              </w:rPr>
            </w:pPr>
            <w:r>
              <w:rPr>
                <w:rFonts w:hint="eastAsia" w:asciiTheme="minorEastAsia" w:hAnsiTheme="minorEastAsia" w:eastAsiaTheme="minorEastAsia"/>
                <w:b/>
                <w:color w:val="000000" w:themeColor="text1"/>
                <w:sz w:val="24"/>
                <w:szCs w:val="24"/>
                <w:highlight w:val="none"/>
                <w14:textFill>
                  <w14:solidFill>
                    <w14:schemeClr w14:val="tx1"/>
                  </w14:solidFill>
                </w14:textFill>
              </w:rPr>
              <w:t>（2）租赁车辆相关材料扫描件包括带有车牌号码的照片或图片、车辆行驶证、车辆购置发票、租赁合同（租期需满足本项目服务期限要求），缺一不可；租赁设备相关材料包括</w:t>
            </w:r>
            <w:r>
              <w:rPr>
                <w:rFonts w:hint="eastAsia" w:asciiTheme="minorEastAsia" w:hAnsiTheme="minorEastAsia" w:eastAsiaTheme="minorEastAsia"/>
                <w:b/>
                <w:color w:val="000000" w:themeColor="text1"/>
                <w:sz w:val="24"/>
                <w:szCs w:val="24"/>
                <w:highlight w:val="none"/>
                <w:lang w:val="en-US" w:eastAsia="zh-CN"/>
                <w14:textFill>
                  <w14:solidFill>
                    <w14:schemeClr w14:val="tx1"/>
                  </w14:solidFill>
                </w14:textFill>
              </w:rPr>
              <w:t>设备</w:t>
            </w:r>
            <w:r>
              <w:rPr>
                <w:rFonts w:hint="eastAsia" w:asciiTheme="minorEastAsia" w:hAnsiTheme="minorEastAsia" w:eastAsiaTheme="minorEastAsia"/>
                <w:b/>
                <w:color w:val="000000" w:themeColor="text1"/>
                <w:sz w:val="24"/>
                <w:szCs w:val="24"/>
                <w:highlight w:val="none"/>
                <w14:textFill>
                  <w14:solidFill>
                    <w14:schemeClr w14:val="tx1"/>
                  </w14:solidFill>
                </w14:textFill>
              </w:rPr>
              <w:t>照片、设备购置发票及租赁合同。</w:t>
            </w:r>
          </w:p>
          <w:p w14:paraId="4443E178">
            <w:pPr>
              <w:keepNext w:val="0"/>
              <w:keepLines w:val="0"/>
              <w:suppressLineNumbers w:val="0"/>
              <w:spacing w:before="0" w:beforeAutospacing="0" w:after="0" w:afterAutospacing="0"/>
              <w:ind w:left="0" w:right="0"/>
              <w:jc w:val="left"/>
              <w:rPr>
                <w:rFonts w:hint="default" w:asciiTheme="minorEastAsia" w:hAnsiTheme="minorEastAsia" w:eastAsiaTheme="minorEastAsia"/>
                <w:b/>
                <w:color w:val="000000" w:themeColor="text1"/>
                <w:sz w:val="24"/>
                <w:szCs w:val="20"/>
                <w:highlight w:val="none"/>
                <w14:textFill>
                  <w14:solidFill>
                    <w14:schemeClr w14:val="tx1"/>
                  </w14:solidFill>
                </w14:textFill>
              </w:rPr>
            </w:pPr>
            <w:r>
              <w:rPr>
                <w:rFonts w:hint="eastAsia" w:asciiTheme="minorEastAsia" w:hAnsiTheme="minorEastAsia" w:eastAsiaTheme="minorEastAsia"/>
                <w:b/>
                <w:color w:val="000000" w:themeColor="text1"/>
                <w:sz w:val="24"/>
                <w:szCs w:val="24"/>
                <w:highlight w:val="none"/>
                <w14:textFill>
                  <w14:solidFill>
                    <w14:schemeClr w14:val="tx1"/>
                  </w14:solidFill>
                </w14:textFill>
              </w:rPr>
              <w:t>（3）投标专业</w:t>
            </w:r>
            <w:r>
              <w:rPr>
                <w:rFonts w:hint="eastAsia" w:asciiTheme="minorEastAsia" w:hAnsiTheme="minorEastAsia" w:eastAsiaTheme="minorEastAsia"/>
                <w:b/>
                <w:color w:val="000000" w:themeColor="text1"/>
                <w:sz w:val="24"/>
                <w:szCs w:val="24"/>
                <w:highlight w:val="none"/>
                <w:lang w:eastAsia="zh-CN"/>
                <w14:textFill>
                  <w14:solidFill>
                    <w14:schemeClr w14:val="tx1"/>
                  </w14:solidFill>
                </w14:textFill>
              </w:rPr>
              <w:t>作业</w:t>
            </w:r>
            <w:r>
              <w:rPr>
                <w:rFonts w:hint="eastAsia" w:asciiTheme="minorEastAsia" w:hAnsiTheme="minorEastAsia" w:eastAsiaTheme="minorEastAsia"/>
                <w:b/>
                <w:color w:val="000000" w:themeColor="text1"/>
                <w:sz w:val="24"/>
                <w:szCs w:val="24"/>
                <w:highlight w:val="none"/>
                <w14:textFill>
                  <w14:solidFill>
                    <w14:schemeClr w14:val="tx1"/>
                  </w14:solidFill>
                </w14:textFill>
              </w:rPr>
              <w:t>机械及设备名称</w:t>
            </w:r>
            <w:r>
              <w:rPr>
                <w:rFonts w:hint="default" w:asciiTheme="minorEastAsia" w:hAnsiTheme="minorEastAsia" w:eastAsiaTheme="minorEastAsia"/>
                <w:b/>
                <w:color w:val="000000" w:themeColor="text1"/>
                <w:sz w:val="24"/>
                <w:szCs w:val="24"/>
                <w:highlight w:val="none"/>
                <w14:textFill>
                  <w14:solidFill>
                    <w14:schemeClr w14:val="tx1"/>
                  </w14:solidFill>
                </w14:textFill>
              </w:rPr>
              <w:t>可</w:t>
            </w:r>
            <w:r>
              <w:rPr>
                <w:rFonts w:hint="eastAsia" w:asciiTheme="minorEastAsia" w:hAnsiTheme="minorEastAsia" w:eastAsiaTheme="minorEastAsia"/>
                <w:b/>
                <w:color w:val="000000" w:themeColor="text1"/>
                <w:sz w:val="24"/>
                <w:szCs w:val="24"/>
                <w:highlight w:val="none"/>
                <w14:textFill>
                  <w14:solidFill>
                    <w14:schemeClr w14:val="tx1"/>
                  </w14:solidFill>
                </w14:textFill>
              </w:rPr>
              <w:t>与</w:t>
            </w:r>
            <w:r>
              <w:rPr>
                <w:rFonts w:hint="default" w:asciiTheme="minorEastAsia" w:hAnsiTheme="minorEastAsia" w:eastAsiaTheme="minorEastAsia"/>
                <w:b/>
                <w:color w:val="000000" w:themeColor="text1"/>
                <w:sz w:val="24"/>
                <w:szCs w:val="24"/>
                <w:highlight w:val="none"/>
                <w14:textFill>
                  <w14:solidFill>
                    <w14:schemeClr w14:val="tx1"/>
                  </w14:solidFill>
                </w14:textFill>
              </w:rPr>
              <w:t>上述名称不完全</w:t>
            </w:r>
            <w:r>
              <w:rPr>
                <w:rFonts w:hint="eastAsia" w:asciiTheme="minorEastAsia" w:hAnsiTheme="minorEastAsia" w:eastAsiaTheme="minorEastAsia"/>
                <w:b/>
                <w:color w:val="000000" w:themeColor="text1"/>
                <w:sz w:val="24"/>
                <w:szCs w:val="24"/>
                <w:highlight w:val="none"/>
                <w14:textFill>
                  <w14:solidFill>
                    <w14:schemeClr w14:val="tx1"/>
                  </w14:solidFill>
                </w14:textFill>
              </w:rPr>
              <w:t>一致</w:t>
            </w:r>
            <w:r>
              <w:rPr>
                <w:rFonts w:hint="default" w:asciiTheme="minorEastAsia" w:hAnsiTheme="minorEastAsia" w:eastAsiaTheme="minorEastAsia"/>
                <w:b/>
                <w:color w:val="000000" w:themeColor="text1"/>
                <w:sz w:val="24"/>
                <w:szCs w:val="24"/>
                <w:highlight w:val="none"/>
                <w14:textFill>
                  <w14:solidFill>
                    <w14:schemeClr w14:val="tx1"/>
                  </w14:solidFill>
                </w14:textFill>
              </w:rPr>
              <w:t>，但</w:t>
            </w:r>
            <w:r>
              <w:rPr>
                <w:rFonts w:hint="eastAsia" w:asciiTheme="minorEastAsia" w:hAnsiTheme="minorEastAsia" w:eastAsiaTheme="minorEastAsia"/>
                <w:b/>
                <w:color w:val="000000" w:themeColor="text1"/>
                <w:sz w:val="24"/>
                <w:szCs w:val="24"/>
                <w:highlight w:val="none"/>
                <w14:textFill>
                  <w14:solidFill>
                    <w14:schemeClr w14:val="tx1"/>
                  </w14:solidFill>
                </w14:textFill>
              </w:rPr>
              <w:t>功能</w:t>
            </w:r>
            <w:r>
              <w:rPr>
                <w:rFonts w:hint="default" w:asciiTheme="minorEastAsia" w:hAnsiTheme="minorEastAsia" w:eastAsiaTheme="minorEastAsia"/>
                <w:b/>
                <w:color w:val="000000" w:themeColor="text1"/>
                <w:sz w:val="24"/>
                <w:szCs w:val="24"/>
                <w:highlight w:val="none"/>
                <w14:textFill>
                  <w14:solidFill>
                    <w14:schemeClr w14:val="tx1"/>
                  </w14:solidFill>
                </w14:textFill>
              </w:rPr>
              <w:t>须一致或完全覆盖</w:t>
            </w:r>
            <w:r>
              <w:rPr>
                <w:rFonts w:hint="eastAsia" w:asciiTheme="minorEastAsia" w:hAnsiTheme="minorEastAsia" w:eastAsiaTheme="minorEastAsia"/>
                <w:b/>
                <w:color w:val="000000" w:themeColor="text1"/>
                <w:sz w:val="24"/>
                <w:szCs w:val="24"/>
                <w:highlight w:val="none"/>
                <w14:textFill>
                  <w14:solidFill>
                    <w14:schemeClr w14:val="tx1"/>
                  </w14:solidFill>
                </w14:textFill>
              </w:rPr>
              <w:t>，</w:t>
            </w:r>
            <w:r>
              <w:rPr>
                <w:rFonts w:hint="default" w:asciiTheme="minorEastAsia" w:hAnsiTheme="minorEastAsia" w:eastAsiaTheme="minorEastAsia"/>
                <w:b/>
                <w:color w:val="000000" w:themeColor="text1"/>
                <w:sz w:val="24"/>
                <w:szCs w:val="24"/>
                <w:highlight w:val="none"/>
                <w14:textFill>
                  <w14:solidFill>
                    <w14:schemeClr w14:val="tx1"/>
                  </w14:solidFill>
                </w14:textFill>
              </w:rPr>
              <w:t>不完全一致的</w:t>
            </w:r>
            <w:r>
              <w:rPr>
                <w:rFonts w:hint="eastAsia" w:asciiTheme="minorEastAsia" w:hAnsiTheme="minorEastAsia" w:eastAsiaTheme="minorEastAsia"/>
                <w:b/>
                <w:color w:val="000000" w:themeColor="text1"/>
                <w:sz w:val="24"/>
                <w:szCs w:val="24"/>
                <w:highlight w:val="none"/>
                <w14:textFill>
                  <w14:solidFill>
                    <w14:schemeClr w14:val="tx1"/>
                  </w14:solidFill>
                </w14:textFill>
              </w:rPr>
              <w:t>需提供</w:t>
            </w:r>
            <w:r>
              <w:rPr>
                <w:rFonts w:hint="default" w:asciiTheme="minorEastAsia" w:hAnsiTheme="minorEastAsia" w:eastAsiaTheme="minorEastAsia"/>
                <w:b/>
                <w:color w:val="000000" w:themeColor="text1"/>
                <w:sz w:val="24"/>
                <w:szCs w:val="24"/>
                <w:highlight w:val="none"/>
                <w14:textFill>
                  <w14:solidFill>
                    <w14:schemeClr w14:val="tx1"/>
                  </w14:solidFill>
                </w14:textFill>
              </w:rPr>
              <w:t>说明及必要证明材料。</w:t>
            </w:r>
          </w:p>
        </w:tc>
      </w:tr>
    </w:tbl>
    <w:p w14:paraId="15CAB1EE">
      <w:pPr>
        <w:spacing w:line="440" w:lineRule="exact"/>
        <w:ind w:firstLine="482"/>
        <w:rPr>
          <w:b/>
          <w:color w:val="000000" w:themeColor="text1"/>
          <w:sz w:val="24"/>
          <w:szCs w:val="20"/>
          <w:highlight w:val="none"/>
          <w14:textFill>
            <w14:solidFill>
              <w14:schemeClr w14:val="tx1"/>
            </w14:solidFill>
          </w14:textFill>
        </w:rPr>
      </w:pPr>
      <w:r>
        <w:rPr>
          <w:b/>
          <w:color w:val="000000" w:themeColor="text1"/>
          <w:sz w:val="24"/>
          <w:szCs w:val="20"/>
          <w:highlight w:val="none"/>
          <w14:textFill>
            <w14:solidFill>
              <w14:schemeClr w14:val="tx1"/>
            </w14:solidFill>
          </w14:textFill>
        </w:rPr>
        <w:t>3</w:t>
      </w:r>
      <w:r>
        <w:rPr>
          <w:rFonts w:hint="eastAsia"/>
          <w:b/>
          <w:color w:val="000000" w:themeColor="text1"/>
          <w:sz w:val="24"/>
          <w:szCs w:val="20"/>
          <w:highlight w:val="none"/>
          <w14:textFill>
            <w14:solidFill>
              <w14:schemeClr w14:val="tx1"/>
            </w14:solidFill>
          </w14:textFill>
        </w:rPr>
        <w:t>、项目服务方案</w:t>
      </w:r>
      <w:r>
        <w:rPr>
          <w:rFonts w:hint="eastAsia"/>
          <w:b/>
          <w:color w:val="000000" w:themeColor="text1"/>
          <w:sz w:val="24"/>
          <w:szCs w:val="20"/>
          <w:highlight w:val="none"/>
          <w:lang w:val="en-US" w:eastAsia="zh-CN"/>
          <w14:textFill>
            <w14:solidFill>
              <w14:schemeClr w14:val="tx1"/>
            </w14:solidFill>
          </w14:textFill>
        </w:rPr>
        <w:t>44</w:t>
      </w:r>
      <w:r>
        <w:rPr>
          <w:rFonts w:hint="eastAsia"/>
          <w:b/>
          <w:color w:val="000000" w:themeColor="text1"/>
          <w:sz w:val="24"/>
          <w:szCs w:val="20"/>
          <w:highlight w:val="none"/>
          <w14:textFill>
            <w14:solidFill>
              <w14:schemeClr w14:val="tx1"/>
            </w14:solidFill>
          </w14:textFill>
        </w:rPr>
        <w:t>分</w:t>
      </w:r>
    </w:p>
    <w:tbl>
      <w:tblPr>
        <w:tblStyle w:val="39"/>
        <w:tblW w:w="932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23"/>
        <w:gridCol w:w="1477"/>
        <w:gridCol w:w="851"/>
        <w:gridCol w:w="6170"/>
      </w:tblGrid>
      <w:tr w14:paraId="7E8275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1" w:hRule="atLeast"/>
          <w:jc w:val="center"/>
        </w:trPr>
        <w:tc>
          <w:tcPr>
            <w:tcW w:w="823" w:type="dxa"/>
            <w:tcBorders>
              <w:top w:val="single" w:color="000000" w:sz="4" w:space="0"/>
              <w:left w:val="single" w:color="000000" w:sz="4" w:space="0"/>
              <w:bottom w:val="single" w:color="000000" w:sz="4" w:space="0"/>
              <w:right w:val="single" w:color="000000" w:sz="4" w:space="0"/>
            </w:tcBorders>
            <w:noWrap w:val="0"/>
            <w:vAlign w:val="center"/>
          </w:tcPr>
          <w:p w14:paraId="600159CD">
            <w:pPr>
              <w:keepNext w:val="0"/>
              <w:keepLines w:val="0"/>
              <w:suppressLineNumbers w:val="0"/>
              <w:spacing w:before="0" w:beforeAutospacing="0" w:after="0" w:afterAutospacing="0" w:line="240" w:lineRule="atLeast"/>
              <w:ind w:left="0" w:right="0"/>
              <w:jc w:val="center"/>
              <w:rPr>
                <w:rFonts w:hint="default"/>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序号</w:t>
            </w:r>
          </w:p>
        </w:tc>
        <w:tc>
          <w:tcPr>
            <w:tcW w:w="1477" w:type="dxa"/>
            <w:tcBorders>
              <w:top w:val="single" w:color="000000" w:sz="4" w:space="0"/>
              <w:left w:val="single" w:color="000000" w:sz="4" w:space="0"/>
              <w:bottom w:val="single" w:color="000000" w:sz="4" w:space="0"/>
              <w:right w:val="single" w:color="000000" w:sz="4" w:space="0"/>
            </w:tcBorders>
            <w:noWrap w:val="0"/>
            <w:vAlign w:val="center"/>
          </w:tcPr>
          <w:p w14:paraId="4AD005E8">
            <w:pPr>
              <w:keepNext w:val="0"/>
              <w:keepLines w:val="0"/>
              <w:suppressLineNumbers w:val="0"/>
              <w:spacing w:before="0" w:beforeAutospacing="0" w:after="0" w:afterAutospacing="0" w:line="240" w:lineRule="atLeast"/>
              <w:ind w:left="0" w:right="0"/>
              <w:jc w:val="center"/>
              <w:rPr>
                <w:rFonts w:hint="default"/>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评分因素</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2B913FF0">
            <w:pPr>
              <w:keepNext w:val="0"/>
              <w:keepLines w:val="0"/>
              <w:suppressLineNumbers w:val="0"/>
              <w:spacing w:before="0" w:beforeAutospacing="0" w:after="0" w:afterAutospacing="0" w:line="240" w:lineRule="atLeast"/>
              <w:ind w:left="0" w:right="0"/>
              <w:jc w:val="center"/>
              <w:rPr>
                <w:rFonts w:hint="default"/>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分值</w:t>
            </w:r>
          </w:p>
        </w:tc>
        <w:tc>
          <w:tcPr>
            <w:tcW w:w="6170" w:type="dxa"/>
            <w:tcBorders>
              <w:top w:val="single" w:color="000000" w:sz="4" w:space="0"/>
              <w:left w:val="single" w:color="000000" w:sz="4" w:space="0"/>
              <w:bottom w:val="single" w:color="000000" w:sz="4" w:space="0"/>
              <w:right w:val="single" w:color="000000" w:sz="4" w:space="0"/>
            </w:tcBorders>
            <w:noWrap w:val="0"/>
            <w:vAlign w:val="center"/>
          </w:tcPr>
          <w:p w14:paraId="219B94F9">
            <w:pPr>
              <w:keepNext w:val="0"/>
              <w:keepLines w:val="0"/>
              <w:suppressLineNumbers w:val="0"/>
              <w:spacing w:before="0" w:beforeAutospacing="0" w:after="0" w:afterAutospacing="0" w:line="240" w:lineRule="atLeast"/>
              <w:ind w:left="0" w:right="0"/>
              <w:jc w:val="center"/>
              <w:rPr>
                <w:rFonts w:hint="default"/>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评分标准</w:t>
            </w:r>
          </w:p>
        </w:tc>
      </w:tr>
      <w:tr w14:paraId="3E1F42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45" w:hRule="atLeast"/>
          <w:jc w:val="center"/>
        </w:trPr>
        <w:tc>
          <w:tcPr>
            <w:tcW w:w="823" w:type="dxa"/>
            <w:tcBorders>
              <w:top w:val="single" w:color="000000" w:sz="4" w:space="0"/>
              <w:left w:val="single" w:color="000000" w:sz="4" w:space="0"/>
              <w:bottom w:val="single" w:color="000000" w:sz="4" w:space="0"/>
              <w:right w:val="single" w:color="000000" w:sz="4" w:space="0"/>
            </w:tcBorders>
            <w:noWrap w:val="0"/>
            <w:vAlign w:val="center"/>
          </w:tcPr>
          <w:p w14:paraId="63AB41C6">
            <w:pPr>
              <w:keepNext w:val="0"/>
              <w:keepLines w:val="0"/>
              <w:suppressLineNumbers w:val="0"/>
              <w:spacing w:before="0" w:beforeAutospacing="0" w:after="0" w:afterAutospacing="0" w:line="440" w:lineRule="exact"/>
              <w:ind w:left="0" w:right="0"/>
              <w:jc w:val="center"/>
              <w:rPr>
                <w:rFonts w:hint="default"/>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1</w:t>
            </w:r>
          </w:p>
        </w:tc>
        <w:tc>
          <w:tcPr>
            <w:tcW w:w="1477" w:type="dxa"/>
            <w:tcBorders>
              <w:top w:val="single" w:color="000000" w:sz="4" w:space="0"/>
              <w:left w:val="single" w:color="000000" w:sz="4" w:space="0"/>
              <w:bottom w:val="single" w:color="000000" w:sz="4" w:space="0"/>
              <w:right w:val="single" w:color="000000" w:sz="4" w:space="0"/>
            </w:tcBorders>
            <w:noWrap w:val="0"/>
            <w:vAlign w:val="center"/>
          </w:tcPr>
          <w:p w14:paraId="5695625E">
            <w:pPr>
              <w:keepNext w:val="0"/>
              <w:keepLines w:val="0"/>
              <w:suppressLineNumbers w:val="0"/>
              <w:spacing w:before="0" w:beforeAutospacing="0" w:after="0" w:afterAutospacing="0"/>
              <w:ind w:left="0" w:right="0"/>
              <w:jc w:val="center"/>
              <w:rPr>
                <w:rFonts w:hint="eastAsia" w:ascii="Calibri" w:hAnsi="Calibri" w:eastAsia="宋体" w:cs="Times New Roman"/>
                <w:color w:val="000000" w:themeColor="text1"/>
                <w:sz w:val="24"/>
                <w:szCs w:val="20"/>
                <w:highlight w:val="none"/>
                <w:lang w:val="en-US" w:eastAsia="zh-CN" w:bidi="ar-SA"/>
                <w14:textFill>
                  <w14:solidFill>
                    <w14:schemeClr w14:val="tx1"/>
                  </w14:solidFill>
                </w14:textFill>
              </w:rPr>
            </w:pPr>
            <w:r>
              <w:rPr>
                <w:rFonts w:hint="eastAsia" w:ascii="Calibri" w:hAnsi="Calibri" w:eastAsia="宋体" w:cs="Times New Roman"/>
                <w:color w:val="000000" w:themeColor="text1"/>
                <w:sz w:val="24"/>
                <w:szCs w:val="20"/>
                <w:highlight w:val="none"/>
                <w:lang w:val="en-US" w:eastAsia="zh-CN" w:bidi="ar-SA"/>
                <w14:textFill>
                  <w14:solidFill>
                    <w14:schemeClr w14:val="tx1"/>
                  </w14:solidFill>
                </w14:textFill>
              </w:rPr>
              <w:t>项目理解</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3BF8D140">
            <w:pPr>
              <w:keepNext w:val="0"/>
              <w:keepLines w:val="0"/>
              <w:suppressLineNumbers w:val="0"/>
              <w:spacing w:before="0" w:beforeAutospacing="0" w:after="0" w:afterAutospacing="0"/>
              <w:ind w:left="0" w:right="0"/>
              <w:jc w:val="center"/>
              <w:rPr>
                <w:rFonts w:hint="eastAsia" w:eastAsiaTheme="minorEastAsia"/>
                <w:color w:val="000000" w:themeColor="text1"/>
                <w:sz w:val="24"/>
                <w:szCs w:val="20"/>
                <w:highlight w:val="none"/>
                <w:lang w:eastAsia="zh-CN"/>
                <w14:textFill>
                  <w14:solidFill>
                    <w14:schemeClr w14:val="tx1"/>
                  </w14:solidFill>
                </w14:textFill>
              </w:rPr>
            </w:pPr>
            <w:r>
              <w:rPr>
                <w:rFonts w:hint="eastAsia"/>
                <w:color w:val="000000" w:themeColor="text1"/>
                <w:sz w:val="24"/>
                <w:szCs w:val="20"/>
                <w:highlight w:val="none"/>
                <w:lang w:val="en-US" w:eastAsia="zh-CN"/>
                <w14:textFill>
                  <w14:solidFill>
                    <w14:schemeClr w14:val="tx1"/>
                  </w14:solidFill>
                </w14:textFill>
              </w:rPr>
              <w:t>4</w:t>
            </w:r>
          </w:p>
        </w:tc>
        <w:tc>
          <w:tcPr>
            <w:tcW w:w="6170" w:type="dxa"/>
            <w:tcBorders>
              <w:top w:val="single" w:color="000000" w:sz="4" w:space="0"/>
              <w:left w:val="single" w:color="000000" w:sz="4" w:space="0"/>
              <w:bottom w:val="single" w:color="000000" w:sz="4" w:space="0"/>
              <w:right w:val="single" w:color="000000" w:sz="4" w:space="0"/>
            </w:tcBorders>
            <w:noWrap w:val="0"/>
            <w:vAlign w:val="center"/>
          </w:tcPr>
          <w:p w14:paraId="32CB4C13">
            <w:pPr>
              <w:keepNext w:val="0"/>
              <w:keepLines w:val="0"/>
              <w:suppressLineNumbers w:val="0"/>
              <w:spacing w:before="0" w:beforeAutospacing="0" w:after="0" w:afterAutospacing="0"/>
              <w:ind w:left="0" w:right="0"/>
              <w:jc w:val="left"/>
              <w:rPr>
                <w:rFonts w:hint="default"/>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根据投标人</w:t>
            </w:r>
            <w:r>
              <w:rPr>
                <w:rFonts w:hint="eastAsia"/>
                <w:b/>
                <w:color w:val="000000" w:themeColor="text1"/>
                <w:sz w:val="24"/>
                <w:szCs w:val="24"/>
                <w:highlight w:val="none"/>
                <w14:textFill>
                  <w14:solidFill>
                    <w14:schemeClr w14:val="tx1"/>
                  </w14:solidFill>
                </w14:textFill>
              </w:rPr>
              <w:t>对项目区域及基本情况熟悉程度</w:t>
            </w:r>
            <w:r>
              <w:rPr>
                <w:rFonts w:hint="eastAsia"/>
                <w:color w:val="000000" w:themeColor="text1"/>
                <w:sz w:val="24"/>
                <w:szCs w:val="24"/>
                <w:highlight w:val="none"/>
                <w14:textFill>
                  <w14:solidFill>
                    <w14:schemeClr w14:val="tx1"/>
                  </w14:solidFill>
                </w14:textFill>
              </w:rPr>
              <w:t>进行</w:t>
            </w:r>
            <w:r>
              <w:rPr>
                <w:rFonts w:hint="default"/>
                <w:color w:val="000000" w:themeColor="text1"/>
                <w:sz w:val="24"/>
                <w:szCs w:val="24"/>
                <w:highlight w:val="none"/>
                <w14:textFill>
                  <w14:solidFill>
                    <w14:schemeClr w14:val="tx1"/>
                  </w14:solidFill>
                </w14:textFill>
              </w:rPr>
              <w:t>综合评定</w:t>
            </w:r>
            <w:r>
              <w:rPr>
                <w:rFonts w:hint="eastAsia"/>
                <w:color w:val="000000" w:themeColor="text1"/>
                <w:sz w:val="24"/>
                <w:szCs w:val="24"/>
                <w:highlight w:val="none"/>
                <w14:textFill>
                  <w14:solidFill>
                    <w14:schemeClr w14:val="tx1"/>
                  </w14:solidFill>
                </w14:textFill>
              </w:rPr>
              <w:t>，区域基本情况了解清晰</w:t>
            </w:r>
            <w:r>
              <w:rPr>
                <w:rFonts w:hint="default"/>
                <w:color w:val="000000" w:themeColor="text1"/>
                <w:sz w:val="24"/>
                <w:szCs w:val="24"/>
                <w:highlight w:val="none"/>
                <w14:textFill>
                  <w14:solidFill>
                    <w14:schemeClr w14:val="tx1"/>
                  </w14:solidFill>
                </w14:textFill>
              </w:rPr>
              <w:t>、</w:t>
            </w:r>
            <w:r>
              <w:rPr>
                <w:rFonts w:hint="eastAsia"/>
                <w:color w:val="000000" w:themeColor="text1"/>
                <w:sz w:val="24"/>
                <w:szCs w:val="24"/>
                <w:highlight w:val="none"/>
                <w14:textFill>
                  <w14:solidFill>
                    <w14:schemeClr w14:val="tx1"/>
                  </w14:solidFill>
                </w14:textFill>
              </w:rPr>
              <w:t>分析准确的得</w:t>
            </w:r>
            <w:r>
              <w:rPr>
                <w:rFonts w:hint="eastAsia"/>
                <w:color w:val="000000" w:themeColor="text1"/>
                <w:sz w:val="24"/>
                <w:szCs w:val="24"/>
                <w:highlight w:val="none"/>
                <w:lang w:val="en-US" w:eastAsia="zh-CN"/>
                <w14:textFill>
                  <w14:solidFill>
                    <w14:schemeClr w14:val="tx1"/>
                  </w14:solidFill>
                </w14:textFill>
              </w:rPr>
              <w:t>4</w:t>
            </w:r>
            <w:r>
              <w:rPr>
                <w:rFonts w:hint="eastAsia"/>
                <w:color w:val="000000" w:themeColor="text1"/>
                <w:sz w:val="24"/>
                <w:szCs w:val="24"/>
                <w:highlight w:val="none"/>
                <w14:textFill>
                  <w14:solidFill>
                    <w14:schemeClr w14:val="tx1"/>
                  </w14:solidFill>
                </w14:textFill>
              </w:rPr>
              <w:t>分；对项目区域及基本情况的熟悉</w:t>
            </w:r>
            <w:r>
              <w:rPr>
                <w:rFonts w:hint="default"/>
                <w:color w:val="000000" w:themeColor="text1"/>
                <w:sz w:val="24"/>
                <w:szCs w:val="24"/>
                <w:highlight w:val="none"/>
                <w14:textFill>
                  <w14:solidFill>
                    <w14:schemeClr w14:val="tx1"/>
                  </w14:solidFill>
                </w14:textFill>
              </w:rPr>
              <w:t>程度能满足项目需求</w:t>
            </w:r>
            <w:r>
              <w:rPr>
                <w:rFonts w:hint="eastAsia"/>
                <w:color w:val="000000" w:themeColor="text1"/>
                <w:sz w:val="24"/>
                <w:szCs w:val="24"/>
                <w:highlight w:val="none"/>
                <w14:textFill>
                  <w14:solidFill>
                    <w14:schemeClr w14:val="tx1"/>
                  </w14:solidFill>
                </w14:textFill>
              </w:rPr>
              <w:t>的得</w:t>
            </w:r>
            <w:r>
              <w:rPr>
                <w:rFonts w:hint="eastAsia"/>
                <w:color w:val="000000" w:themeColor="text1"/>
                <w:sz w:val="24"/>
                <w:szCs w:val="24"/>
                <w:highlight w:val="none"/>
                <w:lang w:val="en-US" w:eastAsia="zh-CN"/>
                <w14:textFill>
                  <w14:solidFill>
                    <w14:schemeClr w14:val="tx1"/>
                  </w14:solidFill>
                </w14:textFill>
              </w:rPr>
              <w:t>2</w:t>
            </w:r>
            <w:r>
              <w:rPr>
                <w:rFonts w:hint="eastAsia"/>
                <w:color w:val="000000" w:themeColor="text1"/>
                <w:sz w:val="24"/>
                <w:szCs w:val="24"/>
                <w:highlight w:val="none"/>
                <w14:textFill>
                  <w14:solidFill>
                    <w14:schemeClr w14:val="tx1"/>
                  </w14:solidFill>
                </w14:textFill>
              </w:rPr>
              <w:t>分；未作说明的不得分。</w:t>
            </w:r>
          </w:p>
        </w:tc>
      </w:tr>
      <w:tr w14:paraId="1B6338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64" w:hRule="atLeast"/>
          <w:jc w:val="center"/>
        </w:trPr>
        <w:tc>
          <w:tcPr>
            <w:tcW w:w="82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2EE9DE0">
            <w:pPr>
              <w:keepNext w:val="0"/>
              <w:keepLines w:val="0"/>
              <w:suppressLineNumbers w:val="0"/>
              <w:spacing w:before="0" w:beforeAutospacing="0" w:after="0" w:afterAutospacing="0" w:line="440" w:lineRule="exact"/>
              <w:ind w:left="0" w:right="0"/>
              <w:jc w:val="center"/>
              <w:rPr>
                <w:rFonts w:hint="default" w:asciiTheme="minorHAnsi" w:hAnsiTheme="minorHAnsi" w:eastAsiaTheme="minorEastAsia" w:cstheme="minorBidi"/>
                <w:color w:val="000000" w:themeColor="text1"/>
                <w:sz w:val="24"/>
                <w:szCs w:val="24"/>
                <w:highlight w:val="none"/>
                <w:lang w:val="en-US" w:eastAsia="zh-CN" w:bidi="ar-SA"/>
                <w14:textFill>
                  <w14:solidFill>
                    <w14:schemeClr w14:val="tx1"/>
                  </w14:solidFill>
                </w14:textFill>
              </w:rPr>
            </w:pPr>
            <w:r>
              <w:rPr>
                <w:rFonts w:hint="eastAsia" w:cstheme="minorBidi"/>
                <w:color w:val="000000" w:themeColor="text1"/>
                <w:sz w:val="24"/>
                <w:szCs w:val="24"/>
                <w:highlight w:val="none"/>
                <w:lang w:val="en-US" w:eastAsia="zh-CN" w:bidi="ar-SA"/>
                <w14:textFill>
                  <w14:solidFill>
                    <w14:schemeClr w14:val="tx1"/>
                  </w14:solidFill>
                </w14:textFill>
              </w:rPr>
              <w:t>2</w:t>
            </w:r>
          </w:p>
        </w:tc>
        <w:tc>
          <w:tcPr>
            <w:tcW w:w="147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628DFCC">
            <w:pPr>
              <w:keepNext w:val="0"/>
              <w:keepLines w:val="0"/>
              <w:suppressLineNumbers w:val="0"/>
              <w:spacing w:before="0" w:beforeAutospacing="0" w:after="0" w:afterAutospacing="0"/>
              <w:ind w:left="0" w:right="0"/>
              <w:jc w:val="center"/>
              <w:rPr>
                <w:rFonts w:hint="eastAsia" w:ascii="Calibri" w:hAnsi="Calibri" w:eastAsia="宋体" w:cs="Times New Roman"/>
                <w:color w:val="000000" w:themeColor="text1"/>
                <w:sz w:val="24"/>
                <w:szCs w:val="20"/>
                <w:highlight w:val="none"/>
                <w:lang w:val="en-US" w:eastAsia="zh-CN" w:bidi="ar-SA"/>
                <w14:textFill>
                  <w14:solidFill>
                    <w14:schemeClr w14:val="tx1"/>
                  </w14:solidFill>
                </w14:textFill>
              </w:rPr>
            </w:pPr>
            <w:r>
              <w:rPr>
                <w:rFonts w:hint="eastAsia" w:ascii="Calibri" w:hAnsi="Calibri" w:eastAsia="宋体" w:cs="Times New Roman"/>
                <w:color w:val="000000" w:themeColor="text1"/>
                <w:sz w:val="24"/>
                <w:szCs w:val="20"/>
                <w:highlight w:val="none"/>
                <w:lang w:val="en-US" w:eastAsia="zh-CN" w:bidi="ar-SA"/>
                <w14:textFill>
                  <w14:solidFill>
                    <w14:schemeClr w14:val="tx1"/>
                  </w14:solidFill>
                </w14:textFill>
              </w:rPr>
              <w:t>泵站运维方案</w:t>
            </w:r>
          </w:p>
        </w:tc>
        <w:tc>
          <w:tcPr>
            <w:tcW w:w="85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F7C2985">
            <w:pPr>
              <w:keepNext w:val="0"/>
              <w:keepLines w:val="0"/>
              <w:suppressLineNumbers w:val="0"/>
              <w:spacing w:before="0" w:beforeAutospacing="0" w:after="0" w:afterAutospacing="0"/>
              <w:ind w:left="0" w:right="0"/>
              <w:jc w:val="center"/>
              <w:rPr>
                <w:rFonts w:hint="eastAsia" w:asciiTheme="minorHAnsi" w:hAnsiTheme="minorHAnsi" w:eastAsiaTheme="minorEastAsia" w:cstheme="minorBidi"/>
                <w:color w:val="000000" w:themeColor="text1"/>
                <w:sz w:val="24"/>
                <w:szCs w:val="24"/>
                <w:highlight w:val="none"/>
                <w:lang w:val="en-US" w:eastAsia="zh-CN" w:bidi="ar-SA"/>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4</w:t>
            </w:r>
          </w:p>
        </w:tc>
        <w:tc>
          <w:tcPr>
            <w:tcW w:w="6170" w:type="dxa"/>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2C83F3F6">
            <w:pPr>
              <w:pStyle w:val="409"/>
              <w:keepNext w:val="0"/>
              <w:keepLines w:val="0"/>
              <w:suppressLineNumbers w:val="0"/>
              <w:spacing w:before="0" w:beforeAutospacing="0" w:after="0" w:afterAutospacing="0"/>
              <w:ind w:left="0" w:right="0"/>
              <w:jc w:val="left"/>
              <w:rPr>
                <w:rFonts w:hint="eastAsia" w:ascii="宋体" w:hAnsi="宋体"/>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①泵站日常运维方案</w:t>
            </w:r>
            <w:r>
              <w:rPr>
                <w:rFonts w:hint="eastAsia" w:ascii="宋体" w:hAnsi="宋体"/>
                <w:color w:val="000000" w:themeColor="text1"/>
                <w:sz w:val="24"/>
                <w:szCs w:val="24"/>
                <w:highlight w:val="none"/>
                <w:lang w:val="en-US" w:eastAsia="zh-CN"/>
                <w14:textFill>
                  <w14:solidFill>
                    <w14:schemeClr w14:val="tx1"/>
                  </w14:solidFill>
                </w14:textFill>
              </w:rPr>
              <w:t>内容详细、科学合理，切实可行的得2分；方案内容合理、满足项目实施的得1分；未作说明的不得分。</w:t>
            </w:r>
          </w:p>
          <w:p w14:paraId="3EDED66D">
            <w:pPr>
              <w:pStyle w:val="409"/>
              <w:keepNext w:val="0"/>
              <w:keepLines w:val="0"/>
              <w:suppressLineNumbers w:val="0"/>
              <w:spacing w:before="0" w:beforeAutospacing="0" w:after="0" w:afterAutospacing="0"/>
              <w:ind w:left="0" w:right="0"/>
              <w:jc w:val="left"/>
              <w:rPr>
                <w:rFonts w:hint="eastAsia" w:asciiTheme="minorHAnsi" w:hAnsiTheme="minorHAnsi" w:eastAsiaTheme="minorEastAsia" w:cstheme="minorBidi"/>
                <w:color w:val="000000" w:themeColor="text1"/>
                <w:sz w:val="24"/>
                <w:szCs w:val="24"/>
                <w:highlight w:val="none"/>
                <w:lang w:val="en-US" w:eastAsia="zh-CN" w:bidi="ar-SA"/>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②汛期</w:t>
            </w:r>
            <w:r>
              <w:rPr>
                <w:rFonts w:hint="eastAsia"/>
                <w:color w:val="000000" w:themeColor="text1"/>
                <w:sz w:val="24"/>
                <w:szCs w:val="24"/>
                <w:highlight w:val="none"/>
                <w:lang w:val="en-US" w:eastAsia="zh-CN"/>
                <w14:textFill>
                  <w14:solidFill>
                    <w14:schemeClr w14:val="tx1"/>
                  </w14:solidFill>
                </w14:textFill>
              </w:rPr>
              <w:t>运维方案</w:t>
            </w:r>
            <w:r>
              <w:rPr>
                <w:rFonts w:hint="eastAsia" w:ascii="宋体" w:hAnsi="宋体"/>
                <w:color w:val="000000" w:themeColor="text1"/>
                <w:sz w:val="24"/>
                <w:szCs w:val="24"/>
                <w:highlight w:val="none"/>
                <w:lang w:val="en-US" w:eastAsia="zh-CN"/>
                <w14:textFill>
                  <w14:solidFill>
                    <w14:schemeClr w14:val="tx1"/>
                  </w14:solidFill>
                </w14:textFill>
              </w:rPr>
              <w:t>内容详细、科学合理，切实可行的得2分；方案内容合理、满足项目实施的得1分；未作说明的不得分。</w:t>
            </w:r>
          </w:p>
        </w:tc>
      </w:tr>
      <w:tr w14:paraId="5603D7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89" w:hRule="atLeast"/>
          <w:jc w:val="center"/>
        </w:trPr>
        <w:tc>
          <w:tcPr>
            <w:tcW w:w="82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074F0AF">
            <w:pPr>
              <w:keepNext w:val="0"/>
              <w:keepLines w:val="0"/>
              <w:suppressLineNumbers w:val="0"/>
              <w:spacing w:before="0" w:beforeAutospacing="0" w:after="0" w:afterAutospacing="0" w:line="440" w:lineRule="exact"/>
              <w:ind w:left="0" w:right="0"/>
              <w:jc w:val="center"/>
              <w:rPr>
                <w:rFonts w:hint="default" w:asciiTheme="minorHAnsi" w:hAnsiTheme="minorHAnsi" w:eastAsiaTheme="minorEastAsia" w:cstheme="minorBidi"/>
                <w:color w:val="000000" w:themeColor="text1"/>
                <w:sz w:val="24"/>
                <w:szCs w:val="24"/>
                <w:highlight w:val="none"/>
                <w:lang w:val="en-US" w:eastAsia="zh-CN" w:bidi="ar-SA"/>
                <w14:textFill>
                  <w14:solidFill>
                    <w14:schemeClr w14:val="tx1"/>
                  </w14:solidFill>
                </w14:textFill>
              </w:rPr>
            </w:pPr>
            <w:r>
              <w:rPr>
                <w:rFonts w:hint="eastAsia" w:cstheme="minorBidi"/>
                <w:color w:val="000000" w:themeColor="text1"/>
                <w:sz w:val="24"/>
                <w:szCs w:val="24"/>
                <w:highlight w:val="none"/>
                <w:lang w:val="en-US" w:eastAsia="zh-CN" w:bidi="ar-SA"/>
                <w14:textFill>
                  <w14:solidFill>
                    <w14:schemeClr w14:val="tx1"/>
                  </w14:solidFill>
                </w14:textFill>
              </w:rPr>
              <w:t>3</w:t>
            </w:r>
          </w:p>
        </w:tc>
        <w:tc>
          <w:tcPr>
            <w:tcW w:w="147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B11860A">
            <w:pPr>
              <w:pStyle w:val="13"/>
              <w:keepNext w:val="0"/>
              <w:keepLines w:val="0"/>
              <w:suppressLineNumbers w:val="0"/>
              <w:spacing w:before="0" w:beforeAutospacing="0" w:after="0" w:afterAutospacing="0"/>
              <w:ind w:left="0" w:right="0"/>
              <w:rPr>
                <w:rFonts w:hint="eastAsia" w:ascii="Calibri" w:hAnsi="Calibri" w:eastAsia="宋体" w:cs="Times New Roman"/>
                <w:color w:val="000000" w:themeColor="text1"/>
                <w:sz w:val="24"/>
                <w:szCs w:val="20"/>
                <w:highlight w:val="none"/>
                <w:lang w:val="en-US" w:eastAsia="zh-CN" w:bidi="ar-SA"/>
                <w14:textFill>
                  <w14:solidFill>
                    <w14:schemeClr w14:val="tx1"/>
                  </w14:solidFill>
                </w14:textFill>
              </w:rPr>
            </w:pPr>
            <w:r>
              <w:rPr>
                <w:rFonts w:hint="eastAsia" w:ascii="Calibri" w:hAnsi="Calibri" w:eastAsia="宋体" w:cs="Times New Roman"/>
                <w:color w:val="000000" w:themeColor="text1"/>
                <w:sz w:val="24"/>
                <w:szCs w:val="20"/>
                <w:highlight w:val="none"/>
                <w:lang w:val="en-US" w:eastAsia="zh-CN" w:bidi="ar-SA"/>
                <w14:textFill>
                  <w14:solidFill>
                    <w14:schemeClr w14:val="tx1"/>
                  </w14:solidFill>
                </w14:textFill>
              </w:rPr>
              <w:t>防汛及降排水作业方案</w:t>
            </w:r>
          </w:p>
        </w:tc>
        <w:tc>
          <w:tcPr>
            <w:tcW w:w="85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5019919">
            <w:pPr>
              <w:pStyle w:val="409"/>
              <w:keepNext w:val="0"/>
              <w:keepLines w:val="0"/>
              <w:suppressLineNumbers w:val="0"/>
              <w:spacing w:before="0" w:beforeAutospacing="0" w:after="0" w:afterAutospacing="0"/>
              <w:ind w:left="0" w:right="0"/>
              <w:rPr>
                <w:rFonts w:hint="eastAsia" w:ascii="宋体" w:hAnsi="宋体" w:cs="宋体" w:eastAsiaTheme="minorEastAsia"/>
                <w:color w:val="000000" w:themeColor="text1"/>
                <w:sz w:val="24"/>
                <w:szCs w:val="24"/>
                <w:highlight w:val="none"/>
                <w:lang w:val="en-US" w:eastAsia="zh-CN" w:bidi="ar-SA"/>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6</w:t>
            </w:r>
          </w:p>
        </w:tc>
        <w:tc>
          <w:tcPr>
            <w:tcW w:w="617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B674BA4">
            <w:pPr>
              <w:pStyle w:val="409"/>
              <w:keepNext w:val="0"/>
              <w:keepLines w:val="0"/>
              <w:suppressLineNumbers w:val="0"/>
              <w:spacing w:before="0" w:beforeAutospacing="0" w:after="0" w:afterAutospacing="0"/>
              <w:ind w:left="0" w:right="0"/>
              <w:jc w:val="left"/>
              <w:rPr>
                <w:rFonts w:hint="default" w:ascii="宋体" w:hAnsi="宋体" w:eastAsiaTheme="minorEastAsia"/>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①防汛管理方案内容详细、科学合理，切实可行的得2分；方案内容合理、满足项目实施的得1分；未作说明的不得分。</w:t>
            </w:r>
          </w:p>
          <w:p w14:paraId="6CB91269">
            <w:pPr>
              <w:pStyle w:val="409"/>
              <w:keepNext w:val="0"/>
              <w:keepLines w:val="0"/>
              <w:suppressLineNumbers w:val="0"/>
              <w:spacing w:before="0" w:beforeAutospacing="0" w:after="0" w:afterAutospacing="0"/>
              <w:ind w:left="0" w:right="0"/>
              <w:jc w:val="left"/>
              <w:rPr>
                <w:rFonts w:hint="eastAsia" w:ascii="宋体" w:hAnsi="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②降排水作业方案内容详细、科学合理，切实可行的得2分；方案内容合理、满足项目实施的得1分；未作说明的不得分。</w:t>
            </w:r>
          </w:p>
          <w:p w14:paraId="71F11C01">
            <w:pPr>
              <w:pStyle w:val="409"/>
              <w:keepNext w:val="0"/>
              <w:keepLines w:val="0"/>
              <w:suppressLineNumbers w:val="0"/>
              <w:spacing w:before="0" w:beforeAutospacing="0" w:after="0" w:afterAutospacing="0"/>
              <w:ind w:left="0" w:right="0"/>
              <w:jc w:val="left"/>
              <w:rPr>
                <w:rFonts w:hint="default" w:ascii="宋体" w:hAnsi="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③</w:t>
            </w:r>
            <w:r>
              <w:rPr>
                <w:rFonts w:hint="eastAsia" w:ascii="宋体" w:hAnsi="宋体"/>
                <w:color w:val="000000" w:themeColor="text1"/>
                <w:sz w:val="24"/>
                <w:highlight w:val="none"/>
                <w:lang w:val="en-US" w:eastAsia="zh-CN"/>
                <w14:textFill>
                  <w14:solidFill>
                    <w14:schemeClr w14:val="tx1"/>
                  </w14:solidFill>
                </w14:textFill>
              </w:rPr>
              <w:t>应急服务方案内容</w:t>
            </w:r>
            <w:r>
              <w:rPr>
                <w:rFonts w:hint="eastAsia" w:ascii="宋体" w:hAnsi="宋体" w:cs="宋体"/>
                <w:bCs/>
                <w:color w:val="000000" w:themeColor="text1"/>
                <w:sz w:val="24"/>
                <w:highlight w:val="none"/>
                <w:lang w:val="en-US" w:eastAsia="zh-CN"/>
                <w14:textFill>
                  <w14:solidFill>
                    <w14:schemeClr w14:val="tx1"/>
                  </w14:solidFill>
                </w14:textFill>
              </w:rPr>
              <w:t>完整</w:t>
            </w:r>
            <w:r>
              <w:rPr>
                <w:rFonts w:hint="eastAsia" w:ascii="宋体" w:hAnsi="宋体"/>
                <w:color w:val="000000" w:themeColor="text1"/>
                <w:sz w:val="24"/>
                <w:highlight w:val="none"/>
                <w:lang w:val="en-US" w:eastAsia="zh-CN"/>
                <w14:textFill>
                  <w14:solidFill>
                    <w14:schemeClr w14:val="tx1"/>
                  </w14:solidFill>
                </w14:textFill>
              </w:rPr>
              <w:t>合理，切实可行的得2分，内容合理，满足项目实施的得1分，内容明显不合理或未作说明的不得分。</w:t>
            </w:r>
          </w:p>
        </w:tc>
      </w:tr>
      <w:tr w14:paraId="4D2891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8" w:hRule="atLeast"/>
          <w:jc w:val="center"/>
        </w:trPr>
        <w:tc>
          <w:tcPr>
            <w:tcW w:w="82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9E4ECA0">
            <w:pPr>
              <w:keepNext w:val="0"/>
              <w:keepLines w:val="0"/>
              <w:suppressLineNumbers w:val="0"/>
              <w:spacing w:before="0" w:beforeAutospacing="0" w:after="0" w:afterAutospacing="0" w:line="440" w:lineRule="exact"/>
              <w:ind w:left="0" w:right="0"/>
              <w:jc w:val="center"/>
              <w:rPr>
                <w:rFonts w:hint="eastAsia" w:asciiTheme="minorHAnsi" w:hAnsiTheme="minorHAnsi" w:eastAsiaTheme="minorEastAsia" w:cstheme="minorBidi"/>
                <w:color w:val="000000" w:themeColor="text1"/>
                <w:sz w:val="24"/>
                <w:szCs w:val="24"/>
                <w:highlight w:val="none"/>
                <w:lang w:val="en-US" w:eastAsia="zh-CN" w:bidi="ar-SA"/>
                <w14:textFill>
                  <w14:solidFill>
                    <w14:schemeClr w14:val="tx1"/>
                  </w14:solidFill>
                </w14:textFill>
              </w:rPr>
            </w:pPr>
            <w:r>
              <w:rPr>
                <w:rFonts w:hint="eastAsia"/>
                <w:color w:val="000000" w:themeColor="text1"/>
                <w:sz w:val="24"/>
                <w:highlight w:val="none"/>
                <w14:textFill>
                  <w14:solidFill>
                    <w14:schemeClr w14:val="tx1"/>
                  </w14:solidFill>
                </w14:textFill>
              </w:rPr>
              <w:t>4</w:t>
            </w:r>
          </w:p>
        </w:tc>
        <w:tc>
          <w:tcPr>
            <w:tcW w:w="147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C0C5A94">
            <w:pPr>
              <w:pStyle w:val="13"/>
              <w:keepNext w:val="0"/>
              <w:keepLines w:val="0"/>
              <w:suppressLineNumbers w:val="0"/>
              <w:spacing w:before="0" w:beforeAutospacing="0" w:after="0" w:afterAutospacing="0"/>
              <w:ind w:left="0" w:right="0"/>
              <w:rPr>
                <w:rFonts w:hint="eastAsia" w:ascii="Calibri" w:hAnsi="Calibri" w:eastAsia="宋体" w:cs="Times New Roman"/>
                <w:color w:val="000000" w:themeColor="text1"/>
                <w:sz w:val="24"/>
                <w:szCs w:val="20"/>
                <w:highlight w:val="none"/>
                <w:lang w:val="en-US" w:eastAsia="zh-CN" w:bidi="ar-SA"/>
                <w14:textFill>
                  <w14:solidFill>
                    <w14:schemeClr w14:val="tx1"/>
                  </w14:solidFill>
                </w14:textFill>
              </w:rPr>
            </w:pPr>
            <w:r>
              <w:rPr>
                <w:rFonts w:hint="eastAsia" w:ascii="Calibri" w:hAnsi="Calibri" w:eastAsia="宋体" w:cs="Times New Roman"/>
                <w:color w:val="000000" w:themeColor="text1"/>
                <w:sz w:val="24"/>
                <w:szCs w:val="20"/>
                <w:highlight w:val="none"/>
                <w:lang w:val="en-US" w:eastAsia="zh-CN" w:bidi="ar-SA"/>
                <w14:textFill>
                  <w14:solidFill>
                    <w14:schemeClr w14:val="tx1"/>
                  </w14:solidFill>
                </w14:textFill>
              </w:rPr>
              <w:t>水生植物养护管理方案</w:t>
            </w:r>
          </w:p>
        </w:tc>
        <w:tc>
          <w:tcPr>
            <w:tcW w:w="85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41252CF">
            <w:pPr>
              <w:keepNext w:val="0"/>
              <w:keepLines w:val="0"/>
              <w:suppressLineNumbers w:val="0"/>
              <w:spacing w:before="0" w:beforeAutospacing="0" w:after="0" w:afterAutospacing="0"/>
              <w:ind w:left="0" w:right="0"/>
              <w:jc w:val="center"/>
              <w:rPr>
                <w:rFonts w:hint="eastAsia" w:asciiTheme="minorHAnsi" w:hAnsiTheme="minorHAnsi" w:eastAsiaTheme="minorEastAsia" w:cstheme="minorBidi"/>
                <w:color w:val="000000" w:themeColor="text1"/>
                <w:sz w:val="24"/>
                <w:szCs w:val="24"/>
                <w:highlight w:val="none"/>
                <w:lang w:val="en-US" w:eastAsia="zh-CN" w:bidi="ar-SA"/>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4</w:t>
            </w:r>
          </w:p>
        </w:tc>
        <w:tc>
          <w:tcPr>
            <w:tcW w:w="6170" w:type="dxa"/>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0CE84848">
            <w:pPr>
              <w:pStyle w:val="409"/>
              <w:keepNext w:val="0"/>
              <w:keepLines w:val="0"/>
              <w:suppressLineNumbers w:val="0"/>
              <w:spacing w:before="0" w:beforeAutospacing="0" w:after="0" w:afterAutospacing="0"/>
              <w:ind w:left="0" w:right="0"/>
              <w:jc w:val="left"/>
              <w:rPr>
                <w:rFonts w:hint="eastAsia" w:ascii="宋体" w:hAnsi="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根据投标人提供的水生植物管理措施进行评定：</w:t>
            </w:r>
          </w:p>
          <w:p w14:paraId="0BD76DF8">
            <w:pPr>
              <w:pStyle w:val="409"/>
              <w:keepNext w:val="0"/>
              <w:keepLines w:val="0"/>
              <w:suppressLineNumbers w:val="0"/>
              <w:spacing w:before="0" w:beforeAutospacing="0" w:after="0" w:afterAutospacing="0"/>
              <w:ind w:left="0" w:right="0"/>
              <w:jc w:val="left"/>
              <w:rPr>
                <w:rFonts w:hint="eastAsia" w:ascii="宋体" w:hAnsi="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①组织与管理措施流程规范、工作内容清晰、重点明确、措施针对性强的得2分，维护管理措施存在细微不合理或缺陷但仍能保障一定效果的得1分，未作说明的不得分。</w:t>
            </w:r>
          </w:p>
          <w:p w14:paraId="1CDE25DF">
            <w:pPr>
              <w:pStyle w:val="409"/>
              <w:keepNext w:val="0"/>
              <w:keepLines w:val="0"/>
              <w:suppressLineNumbers w:val="0"/>
              <w:spacing w:before="0" w:beforeAutospacing="0" w:after="0" w:afterAutospacing="0"/>
              <w:ind w:left="0" w:right="0"/>
              <w:jc w:val="left"/>
              <w:rPr>
                <w:rFonts w:hint="eastAsia" w:asciiTheme="minorHAnsi" w:hAnsiTheme="minorHAnsi" w:eastAsiaTheme="minorEastAsia" w:cstheme="minorBidi"/>
                <w:color w:val="000000" w:themeColor="text1"/>
                <w:sz w:val="24"/>
                <w:szCs w:val="24"/>
                <w:highlight w:val="none"/>
                <w:lang w:val="en-US" w:eastAsia="zh-CN" w:bidi="ar-SA"/>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②养护措施作业内容清晰、重点明确、措施针对性强的得2分，养护措施存在细微不合理或缺陷但仍能保障一定效果的得1分，未作说明的不得分。</w:t>
            </w:r>
          </w:p>
        </w:tc>
      </w:tr>
      <w:tr w14:paraId="41584F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4" w:hRule="atLeast"/>
          <w:jc w:val="center"/>
        </w:trPr>
        <w:tc>
          <w:tcPr>
            <w:tcW w:w="823" w:type="dxa"/>
            <w:tcBorders>
              <w:top w:val="single" w:color="000000" w:sz="4" w:space="0"/>
              <w:left w:val="single" w:color="000000" w:sz="4" w:space="0"/>
              <w:bottom w:val="single" w:color="000000" w:sz="4" w:space="0"/>
              <w:right w:val="single" w:color="000000" w:sz="4" w:space="0"/>
            </w:tcBorders>
            <w:noWrap w:val="0"/>
            <w:vAlign w:val="center"/>
          </w:tcPr>
          <w:p w14:paraId="772DA044">
            <w:pPr>
              <w:keepNext w:val="0"/>
              <w:keepLines w:val="0"/>
              <w:suppressLineNumbers w:val="0"/>
              <w:spacing w:before="0" w:beforeAutospacing="0" w:after="0" w:afterAutospacing="0" w:line="440" w:lineRule="exact"/>
              <w:ind w:left="0" w:right="0"/>
              <w:jc w:val="center"/>
              <w:rPr>
                <w:rFonts w:hint="eastAsia" w:eastAsiaTheme="minor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5</w:t>
            </w:r>
          </w:p>
        </w:tc>
        <w:tc>
          <w:tcPr>
            <w:tcW w:w="1477" w:type="dxa"/>
            <w:tcBorders>
              <w:top w:val="single" w:color="000000" w:sz="4" w:space="0"/>
              <w:left w:val="single" w:color="000000" w:sz="4" w:space="0"/>
              <w:bottom w:val="single" w:color="000000" w:sz="4" w:space="0"/>
              <w:right w:val="single" w:color="000000" w:sz="4" w:space="0"/>
            </w:tcBorders>
            <w:noWrap w:val="0"/>
            <w:vAlign w:val="center"/>
          </w:tcPr>
          <w:p w14:paraId="14BA4863">
            <w:pPr>
              <w:keepNext w:val="0"/>
              <w:keepLines w:val="0"/>
              <w:suppressLineNumbers w:val="0"/>
              <w:spacing w:before="0" w:beforeAutospacing="0" w:after="0" w:afterAutospacing="0"/>
              <w:ind w:left="0" w:right="0"/>
              <w:jc w:val="center"/>
              <w:rPr>
                <w:rFonts w:hint="eastAsia"/>
                <w:color w:val="000000" w:themeColor="text1"/>
                <w:sz w:val="24"/>
                <w:szCs w:val="20"/>
                <w:highlight w:val="none"/>
                <w14:textFill>
                  <w14:solidFill>
                    <w14:schemeClr w14:val="tx1"/>
                  </w14:solidFill>
                </w14:textFill>
              </w:rPr>
            </w:pPr>
            <w:r>
              <w:rPr>
                <w:rFonts w:hint="eastAsia"/>
                <w:color w:val="000000" w:themeColor="text1"/>
                <w:sz w:val="24"/>
                <w:szCs w:val="20"/>
                <w:highlight w:val="none"/>
                <w14:textFill>
                  <w14:solidFill>
                    <w14:schemeClr w14:val="tx1"/>
                  </w14:solidFill>
                </w14:textFill>
              </w:rPr>
              <w:t>管网疏通、养护方案</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4041C62A">
            <w:pPr>
              <w:keepNext w:val="0"/>
              <w:keepLines w:val="0"/>
              <w:suppressLineNumbers w:val="0"/>
              <w:spacing w:before="0" w:beforeAutospacing="0" w:after="0" w:afterAutospacing="0"/>
              <w:ind w:left="0" w:right="0"/>
              <w:jc w:val="center"/>
              <w:rPr>
                <w:rFonts w:hint="eastAsia" w:eastAsiaTheme="minorEastAsia"/>
                <w:color w:val="000000" w:themeColor="text1"/>
                <w:sz w:val="24"/>
                <w:highlight w:val="none"/>
                <w:lang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4</w:t>
            </w:r>
          </w:p>
        </w:tc>
        <w:tc>
          <w:tcPr>
            <w:tcW w:w="6170" w:type="dxa"/>
            <w:tcBorders>
              <w:top w:val="single" w:color="000000" w:sz="4" w:space="0"/>
              <w:left w:val="single" w:color="000000" w:sz="4" w:space="0"/>
              <w:bottom w:val="single" w:color="000000" w:sz="4" w:space="0"/>
              <w:right w:val="single" w:color="000000" w:sz="4" w:space="0"/>
            </w:tcBorders>
            <w:noWrap w:val="0"/>
            <w:vAlign w:val="center"/>
          </w:tcPr>
          <w:p w14:paraId="2B501689">
            <w:pPr>
              <w:keepNext w:val="0"/>
              <w:keepLines w:val="0"/>
              <w:suppressLineNumbers w:val="0"/>
              <w:spacing w:before="0" w:beforeAutospacing="0" w:after="0" w:afterAutospacing="0"/>
              <w:ind w:left="0" w:right="0"/>
              <w:jc w:val="left"/>
              <w:rPr>
                <w:rFonts w:hint="default"/>
                <w:color w:val="000000" w:themeColor="text1"/>
                <w:sz w:val="24"/>
                <w:szCs w:val="20"/>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根据</w:t>
            </w:r>
            <w:r>
              <w:rPr>
                <w:rFonts w:hint="eastAsia"/>
                <w:color w:val="000000" w:themeColor="text1"/>
                <w:sz w:val="24"/>
                <w:szCs w:val="20"/>
                <w:highlight w:val="none"/>
                <w14:textFill>
                  <w14:solidFill>
                    <w14:schemeClr w14:val="tx1"/>
                  </w14:solidFill>
                </w14:textFill>
              </w:rPr>
              <w:t>投标人针对本项目</w:t>
            </w:r>
            <w:r>
              <w:rPr>
                <w:rFonts w:hint="eastAsia"/>
                <w:color w:val="000000" w:themeColor="text1"/>
                <w:sz w:val="24"/>
                <w:highlight w:val="none"/>
                <w14:textFill>
                  <w14:solidFill>
                    <w14:schemeClr w14:val="tx1"/>
                  </w14:solidFill>
                </w14:textFill>
              </w:rPr>
              <w:t>提供的管网</w:t>
            </w:r>
            <w:r>
              <w:rPr>
                <w:rFonts w:hint="eastAsia"/>
                <w:color w:val="000000" w:themeColor="text1"/>
                <w:sz w:val="24"/>
                <w:szCs w:val="20"/>
                <w:highlight w:val="none"/>
                <w14:textFill>
                  <w14:solidFill>
                    <w14:schemeClr w14:val="tx1"/>
                  </w14:solidFill>
                </w14:textFill>
              </w:rPr>
              <w:t>疏通、养护方案进行综合评定：</w:t>
            </w:r>
          </w:p>
          <w:p w14:paraId="41B3B627">
            <w:pPr>
              <w:keepNext w:val="0"/>
              <w:keepLines w:val="0"/>
              <w:suppressLineNumbers w:val="0"/>
              <w:spacing w:before="0" w:beforeAutospacing="0" w:after="0" w:afterAutospacing="0"/>
              <w:ind w:left="0" w:right="0"/>
              <w:jc w:val="left"/>
              <w:rPr>
                <w:rFonts w:hint="default"/>
                <w:color w:val="000000" w:themeColor="text1"/>
                <w:sz w:val="24"/>
                <w:szCs w:val="20"/>
                <w:highlight w:val="none"/>
                <w14:textFill>
                  <w14:solidFill>
                    <w14:schemeClr w14:val="tx1"/>
                  </w14:solidFill>
                </w14:textFill>
              </w:rPr>
            </w:pPr>
            <w:r>
              <w:rPr>
                <w:rFonts w:hint="eastAsia"/>
                <w:color w:val="000000" w:themeColor="text1"/>
                <w:sz w:val="24"/>
                <w:szCs w:val="20"/>
                <w:highlight w:val="none"/>
                <w14:textFill>
                  <w14:solidFill>
                    <w14:schemeClr w14:val="tx1"/>
                  </w14:solidFill>
                </w14:textFill>
              </w:rPr>
              <w:t>①管网疏通方案内容完整详细、科学合理、切实可行的得</w:t>
            </w:r>
            <w:r>
              <w:rPr>
                <w:rFonts w:hint="eastAsia"/>
                <w:color w:val="000000" w:themeColor="text1"/>
                <w:sz w:val="24"/>
                <w:szCs w:val="20"/>
                <w:highlight w:val="none"/>
                <w:lang w:val="en-US" w:eastAsia="zh-CN"/>
                <w14:textFill>
                  <w14:solidFill>
                    <w14:schemeClr w14:val="tx1"/>
                  </w14:solidFill>
                </w14:textFill>
              </w:rPr>
              <w:t>2</w:t>
            </w:r>
            <w:r>
              <w:rPr>
                <w:rFonts w:hint="eastAsia"/>
                <w:color w:val="000000" w:themeColor="text1"/>
                <w:sz w:val="24"/>
                <w:szCs w:val="20"/>
                <w:highlight w:val="none"/>
                <w14:textFill>
                  <w14:solidFill>
                    <w14:schemeClr w14:val="tx1"/>
                  </w14:solidFill>
                </w14:textFill>
              </w:rPr>
              <w:t>分，方案简单粗糙、内容空洞的得1分，</w:t>
            </w:r>
            <w:r>
              <w:rPr>
                <w:rFonts w:hint="eastAsia"/>
                <w:color w:val="000000" w:themeColor="text1"/>
                <w:sz w:val="24"/>
                <w:szCs w:val="20"/>
                <w:highlight w:val="none"/>
                <w:lang w:val="zh-CN"/>
                <w14:textFill>
                  <w14:solidFill>
                    <w14:schemeClr w14:val="tx1"/>
                  </w14:solidFill>
                </w14:textFill>
              </w:rPr>
              <w:t>未作说明的本项不得分。</w:t>
            </w:r>
          </w:p>
          <w:p w14:paraId="6616794A">
            <w:pPr>
              <w:keepNext w:val="0"/>
              <w:keepLines w:val="0"/>
              <w:suppressLineNumbers w:val="0"/>
              <w:spacing w:before="0" w:beforeAutospacing="0" w:after="0" w:afterAutospacing="0"/>
              <w:ind w:left="0" w:right="0"/>
              <w:jc w:val="left"/>
              <w:rPr>
                <w:rFonts w:hint="default"/>
                <w:color w:val="000000" w:themeColor="text1"/>
                <w:sz w:val="24"/>
                <w:szCs w:val="24"/>
                <w:highlight w:val="none"/>
                <w14:textFill>
                  <w14:solidFill>
                    <w14:schemeClr w14:val="tx1"/>
                  </w14:solidFill>
                </w14:textFill>
              </w:rPr>
            </w:pPr>
            <w:r>
              <w:rPr>
                <w:rFonts w:hint="eastAsia"/>
                <w:color w:val="000000" w:themeColor="text1"/>
                <w:sz w:val="24"/>
                <w:szCs w:val="20"/>
                <w:highlight w:val="none"/>
                <w14:textFill>
                  <w14:solidFill>
                    <w14:schemeClr w14:val="tx1"/>
                  </w14:solidFill>
                </w14:textFill>
              </w:rPr>
              <w:t>②管网养护方案内容完整详细、科学合理、切实可行</w:t>
            </w:r>
            <w:r>
              <w:rPr>
                <w:rFonts w:hint="eastAsia"/>
                <w:color w:val="000000" w:themeColor="text1"/>
                <w:sz w:val="24"/>
                <w:highlight w:val="none"/>
                <w14:textFill>
                  <w14:solidFill>
                    <w14:schemeClr w14:val="tx1"/>
                  </w14:solidFill>
                </w14:textFill>
              </w:rPr>
              <w:t>的得</w:t>
            </w:r>
            <w:r>
              <w:rPr>
                <w:rFonts w:hint="eastAsia"/>
                <w:color w:val="000000" w:themeColor="text1"/>
                <w:sz w:val="24"/>
                <w:highlight w:val="none"/>
                <w:lang w:val="en-US" w:eastAsia="zh-CN"/>
                <w14:textFill>
                  <w14:solidFill>
                    <w14:schemeClr w14:val="tx1"/>
                  </w14:solidFill>
                </w14:textFill>
              </w:rPr>
              <w:t>2</w:t>
            </w:r>
            <w:r>
              <w:rPr>
                <w:rFonts w:hint="eastAsia"/>
                <w:color w:val="000000" w:themeColor="text1"/>
                <w:sz w:val="24"/>
                <w:highlight w:val="none"/>
                <w14:textFill>
                  <w14:solidFill>
                    <w14:schemeClr w14:val="tx1"/>
                  </w14:solidFill>
                </w14:textFill>
              </w:rPr>
              <w:t>分，方案简单粗糙、内容空洞的得1分，</w:t>
            </w:r>
            <w:r>
              <w:rPr>
                <w:rFonts w:hint="eastAsia"/>
                <w:color w:val="000000" w:themeColor="text1"/>
                <w:sz w:val="24"/>
                <w:szCs w:val="20"/>
                <w:highlight w:val="none"/>
                <w:lang w:val="zh-CN"/>
                <w14:textFill>
                  <w14:solidFill>
                    <w14:schemeClr w14:val="tx1"/>
                  </w14:solidFill>
                </w14:textFill>
              </w:rPr>
              <w:t>未作说明的本项不得分。</w:t>
            </w:r>
          </w:p>
        </w:tc>
      </w:tr>
      <w:tr w14:paraId="6F2082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97" w:hRule="atLeast"/>
          <w:jc w:val="center"/>
        </w:trPr>
        <w:tc>
          <w:tcPr>
            <w:tcW w:w="823" w:type="dxa"/>
            <w:tcBorders>
              <w:top w:val="single" w:color="000000" w:sz="4" w:space="0"/>
              <w:left w:val="single" w:color="000000" w:sz="4" w:space="0"/>
              <w:bottom w:val="single" w:color="000000" w:sz="4" w:space="0"/>
              <w:right w:val="single" w:color="000000" w:sz="4" w:space="0"/>
            </w:tcBorders>
            <w:noWrap w:val="0"/>
            <w:vAlign w:val="center"/>
          </w:tcPr>
          <w:p w14:paraId="6491085D">
            <w:pPr>
              <w:keepNext w:val="0"/>
              <w:keepLines w:val="0"/>
              <w:suppressLineNumbers w:val="0"/>
              <w:spacing w:before="0" w:beforeAutospacing="0" w:after="0" w:afterAutospacing="0" w:line="440" w:lineRule="exact"/>
              <w:ind w:left="0" w:right="0"/>
              <w:jc w:val="center"/>
              <w:rPr>
                <w:rFonts w:hint="eastAsia" w:eastAsia="宋体"/>
                <w:color w:val="000000" w:themeColor="text1"/>
                <w:sz w:val="24"/>
                <w:highlight w:val="none"/>
                <w:lang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6</w:t>
            </w:r>
          </w:p>
        </w:tc>
        <w:tc>
          <w:tcPr>
            <w:tcW w:w="1477" w:type="dxa"/>
            <w:tcBorders>
              <w:top w:val="single" w:color="000000" w:sz="4" w:space="0"/>
              <w:left w:val="single" w:color="000000" w:sz="4" w:space="0"/>
              <w:bottom w:val="single" w:color="000000" w:sz="4" w:space="0"/>
              <w:right w:val="single" w:color="000000" w:sz="4" w:space="0"/>
            </w:tcBorders>
            <w:noWrap w:val="0"/>
            <w:vAlign w:val="center"/>
          </w:tcPr>
          <w:p w14:paraId="7738B37E">
            <w:pPr>
              <w:keepNext w:val="0"/>
              <w:keepLines w:val="0"/>
              <w:suppressLineNumbers w:val="0"/>
              <w:spacing w:before="0" w:beforeAutospacing="0" w:after="0" w:afterAutospacing="0"/>
              <w:ind w:left="0" w:right="0"/>
              <w:jc w:val="center"/>
              <w:rPr>
                <w:rFonts w:hint="eastAsia"/>
                <w:color w:val="000000" w:themeColor="text1"/>
                <w:sz w:val="24"/>
                <w:szCs w:val="20"/>
                <w:highlight w:val="none"/>
                <w14:textFill>
                  <w14:solidFill>
                    <w14:schemeClr w14:val="tx1"/>
                  </w14:solidFill>
                </w14:textFill>
              </w:rPr>
            </w:pPr>
            <w:r>
              <w:rPr>
                <w:rFonts w:hint="eastAsia"/>
                <w:color w:val="000000" w:themeColor="text1"/>
                <w:sz w:val="24"/>
                <w:szCs w:val="20"/>
                <w:highlight w:val="none"/>
                <w14:textFill>
                  <w14:solidFill>
                    <w14:schemeClr w14:val="tx1"/>
                  </w14:solidFill>
                </w14:textFill>
              </w:rPr>
              <w:t>雨污分流改造及管网修复</w:t>
            </w:r>
            <w:r>
              <w:rPr>
                <w:rFonts w:hint="eastAsia"/>
                <w:color w:val="000000" w:themeColor="text1"/>
                <w:sz w:val="24"/>
                <w:szCs w:val="20"/>
                <w:highlight w:val="none"/>
                <w:lang w:eastAsia="zh-CN"/>
                <w14:textFill>
                  <w14:solidFill>
                    <w14:schemeClr w14:val="tx1"/>
                  </w14:solidFill>
                </w14:textFill>
              </w:rPr>
              <w:t>作业</w:t>
            </w:r>
            <w:r>
              <w:rPr>
                <w:rFonts w:hint="eastAsia"/>
                <w:color w:val="000000" w:themeColor="text1"/>
                <w:sz w:val="24"/>
                <w:szCs w:val="20"/>
                <w:highlight w:val="none"/>
                <w14:textFill>
                  <w14:solidFill>
                    <w14:schemeClr w14:val="tx1"/>
                  </w14:solidFill>
                </w14:textFill>
              </w:rPr>
              <w:t>方案</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416CA072">
            <w:pPr>
              <w:keepNext w:val="0"/>
              <w:keepLines w:val="0"/>
              <w:suppressLineNumbers w:val="0"/>
              <w:spacing w:before="0" w:beforeAutospacing="0" w:after="0" w:afterAutospacing="0"/>
              <w:ind w:left="0" w:right="0"/>
              <w:jc w:val="center"/>
              <w:rPr>
                <w:rFonts w:hint="eastAsia" w:eastAsiaTheme="minorEastAsia"/>
                <w:color w:val="000000" w:themeColor="text1"/>
                <w:sz w:val="24"/>
                <w:highlight w:val="none"/>
                <w:lang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4</w:t>
            </w:r>
          </w:p>
        </w:tc>
        <w:tc>
          <w:tcPr>
            <w:tcW w:w="6170" w:type="dxa"/>
            <w:tcBorders>
              <w:top w:val="single" w:color="000000" w:sz="4" w:space="0"/>
              <w:left w:val="single" w:color="000000" w:sz="4" w:space="0"/>
              <w:bottom w:val="single" w:color="000000" w:sz="4" w:space="0"/>
              <w:right w:val="single" w:color="000000" w:sz="4" w:space="0"/>
            </w:tcBorders>
            <w:noWrap w:val="0"/>
          </w:tcPr>
          <w:p w14:paraId="6E6B4AEF">
            <w:pPr>
              <w:keepNext w:val="0"/>
              <w:keepLines w:val="0"/>
              <w:suppressLineNumbers w:val="0"/>
              <w:spacing w:before="0" w:beforeAutospacing="0" w:after="0" w:afterAutospacing="0"/>
              <w:ind w:left="0" w:right="0"/>
              <w:jc w:val="left"/>
              <w:rPr>
                <w:rFonts w:hint="default"/>
                <w:color w:val="000000" w:themeColor="text1"/>
                <w:sz w:val="24"/>
                <w:szCs w:val="20"/>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根据</w:t>
            </w:r>
            <w:r>
              <w:rPr>
                <w:rFonts w:hint="eastAsia"/>
                <w:color w:val="000000" w:themeColor="text1"/>
                <w:sz w:val="24"/>
                <w:szCs w:val="20"/>
                <w:highlight w:val="none"/>
                <w14:textFill>
                  <w14:solidFill>
                    <w14:schemeClr w14:val="tx1"/>
                  </w14:solidFill>
                </w14:textFill>
              </w:rPr>
              <w:t>投标人针对本项目</w:t>
            </w:r>
            <w:r>
              <w:rPr>
                <w:rFonts w:hint="eastAsia"/>
                <w:color w:val="000000" w:themeColor="text1"/>
                <w:sz w:val="24"/>
                <w:highlight w:val="none"/>
                <w14:textFill>
                  <w14:solidFill>
                    <w14:schemeClr w14:val="tx1"/>
                  </w14:solidFill>
                </w14:textFill>
              </w:rPr>
              <w:t>提供的</w:t>
            </w:r>
            <w:r>
              <w:rPr>
                <w:rFonts w:hint="eastAsia" w:cs="宋体"/>
                <w:color w:val="000000" w:themeColor="text1"/>
                <w:sz w:val="24"/>
                <w:highlight w:val="none"/>
                <w14:textFill>
                  <w14:solidFill>
                    <w14:schemeClr w14:val="tx1"/>
                  </w14:solidFill>
                </w14:textFill>
              </w:rPr>
              <w:t>雨污分流改造、</w:t>
            </w:r>
            <w:r>
              <w:rPr>
                <w:rFonts w:hint="eastAsia"/>
                <w:color w:val="000000" w:themeColor="text1"/>
                <w:sz w:val="24"/>
                <w:highlight w:val="none"/>
                <w14:textFill>
                  <w14:solidFill>
                    <w14:schemeClr w14:val="tx1"/>
                  </w14:solidFill>
                </w14:textFill>
              </w:rPr>
              <w:t>管网修复</w:t>
            </w:r>
            <w:r>
              <w:rPr>
                <w:rFonts w:hint="eastAsia"/>
                <w:color w:val="000000" w:themeColor="text1"/>
                <w:sz w:val="24"/>
                <w:highlight w:val="none"/>
                <w:lang w:eastAsia="zh-CN"/>
                <w14:textFill>
                  <w14:solidFill>
                    <w14:schemeClr w14:val="tx1"/>
                  </w14:solidFill>
                </w14:textFill>
              </w:rPr>
              <w:t>作业</w:t>
            </w:r>
            <w:r>
              <w:rPr>
                <w:rFonts w:hint="eastAsia" w:cs="Arial"/>
                <w:color w:val="000000" w:themeColor="text1"/>
                <w:sz w:val="24"/>
                <w:szCs w:val="20"/>
                <w:highlight w:val="none"/>
                <w14:textFill>
                  <w14:solidFill>
                    <w14:schemeClr w14:val="tx1"/>
                  </w14:solidFill>
                </w14:textFill>
              </w:rPr>
              <w:t>方案</w:t>
            </w:r>
            <w:r>
              <w:rPr>
                <w:rFonts w:hint="eastAsia"/>
                <w:color w:val="000000" w:themeColor="text1"/>
                <w:sz w:val="24"/>
                <w:szCs w:val="20"/>
                <w:highlight w:val="none"/>
                <w14:textFill>
                  <w14:solidFill>
                    <w14:schemeClr w14:val="tx1"/>
                  </w14:solidFill>
                </w14:textFill>
              </w:rPr>
              <w:t>进行综合评定：</w:t>
            </w:r>
          </w:p>
          <w:p w14:paraId="6D52933D">
            <w:pPr>
              <w:keepNext w:val="0"/>
              <w:keepLines w:val="0"/>
              <w:suppressLineNumbers w:val="0"/>
              <w:spacing w:before="0" w:beforeAutospacing="0" w:after="0" w:afterAutospacing="0"/>
              <w:ind w:left="0" w:right="0"/>
              <w:jc w:val="left"/>
              <w:rPr>
                <w:rFonts w:hint="default"/>
                <w:color w:val="000000" w:themeColor="text1"/>
                <w:sz w:val="24"/>
                <w:szCs w:val="20"/>
                <w:highlight w:val="none"/>
                <w14:textFill>
                  <w14:solidFill>
                    <w14:schemeClr w14:val="tx1"/>
                  </w14:solidFill>
                </w14:textFill>
              </w:rPr>
            </w:pPr>
            <w:r>
              <w:rPr>
                <w:rFonts w:hint="eastAsia"/>
                <w:color w:val="000000" w:themeColor="text1"/>
                <w:sz w:val="24"/>
                <w:szCs w:val="20"/>
                <w:highlight w:val="none"/>
                <w14:textFill>
                  <w14:solidFill>
                    <w14:schemeClr w14:val="tx1"/>
                  </w14:solidFill>
                </w14:textFill>
              </w:rPr>
              <w:t>①管网及检查井</w:t>
            </w:r>
            <w:r>
              <w:rPr>
                <w:rFonts w:hint="eastAsia"/>
                <w:color w:val="000000" w:themeColor="text1"/>
                <w:sz w:val="24"/>
                <w:szCs w:val="20"/>
                <w:highlight w:val="none"/>
                <w:lang w:val="en-US" w:eastAsia="zh-CN"/>
                <w14:textFill>
                  <w14:solidFill>
                    <w14:schemeClr w14:val="tx1"/>
                  </w14:solidFill>
                </w14:textFill>
              </w:rPr>
              <w:t>作业</w:t>
            </w:r>
            <w:r>
              <w:rPr>
                <w:rFonts w:hint="eastAsia"/>
                <w:color w:val="000000" w:themeColor="text1"/>
                <w:sz w:val="24"/>
                <w:szCs w:val="20"/>
                <w:highlight w:val="none"/>
                <w14:textFill>
                  <w14:solidFill>
                    <w14:schemeClr w14:val="tx1"/>
                  </w14:solidFill>
                </w14:textFill>
              </w:rPr>
              <w:t>方案内容完整详细、科学合理、切实可行的得</w:t>
            </w:r>
            <w:r>
              <w:rPr>
                <w:rFonts w:hint="eastAsia"/>
                <w:color w:val="000000" w:themeColor="text1"/>
                <w:sz w:val="24"/>
                <w:szCs w:val="20"/>
                <w:highlight w:val="none"/>
                <w:lang w:val="en-US" w:eastAsia="zh-CN"/>
                <w14:textFill>
                  <w14:solidFill>
                    <w14:schemeClr w14:val="tx1"/>
                  </w14:solidFill>
                </w14:textFill>
              </w:rPr>
              <w:t>2</w:t>
            </w:r>
            <w:r>
              <w:rPr>
                <w:rFonts w:hint="eastAsia"/>
                <w:color w:val="000000" w:themeColor="text1"/>
                <w:sz w:val="24"/>
                <w:szCs w:val="20"/>
                <w:highlight w:val="none"/>
                <w14:textFill>
                  <w14:solidFill>
                    <w14:schemeClr w14:val="tx1"/>
                  </w14:solidFill>
                </w14:textFill>
              </w:rPr>
              <w:t>分，方案简单粗糙、内容空洞的得1分，未作说明的本项不得分。</w:t>
            </w:r>
          </w:p>
          <w:p w14:paraId="51435BF3">
            <w:pPr>
              <w:keepNext w:val="0"/>
              <w:keepLines w:val="0"/>
              <w:suppressLineNumbers w:val="0"/>
              <w:spacing w:before="0" w:beforeAutospacing="0" w:after="0" w:afterAutospacing="0"/>
              <w:ind w:left="0" w:right="0"/>
              <w:jc w:val="left"/>
              <w:rPr>
                <w:rFonts w:hint="default"/>
                <w:color w:val="000000" w:themeColor="text1"/>
                <w:sz w:val="24"/>
                <w:szCs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②</w:t>
            </w:r>
            <w:r>
              <w:rPr>
                <w:rFonts w:hint="eastAsia"/>
                <w:color w:val="000000" w:themeColor="text1"/>
                <w:sz w:val="24"/>
                <w:szCs w:val="20"/>
                <w:highlight w:val="none"/>
                <w14:textFill>
                  <w14:solidFill>
                    <w14:schemeClr w14:val="tx1"/>
                  </w14:solidFill>
                </w14:textFill>
              </w:rPr>
              <w:t>路面拆除及修复</w:t>
            </w:r>
            <w:r>
              <w:rPr>
                <w:rFonts w:hint="eastAsia"/>
                <w:color w:val="000000" w:themeColor="text1"/>
                <w:sz w:val="24"/>
                <w:szCs w:val="20"/>
                <w:highlight w:val="none"/>
                <w:lang w:val="en-US" w:eastAsia="zh-CN"/>
                <w14:textFill>
                  <w14:solidFill>
                    <w14:schemeClr w14:val="tx1"/>
                  </w14:solidFill>
                </w14:textFill>
              </w:rPr>
              <w:t>作业</w:t>
            </w:r>
            <w:r>
              <w:rPr>
                <w:rFonts w:hint="eastAsia"/>
                <w:color w:val="000000" w:themeColor="text1"/>
                <w:sz w:val="24"/>
                <w:szCs w:val="20"/>
                <w:highlight w:val="none"/>
                <w14:textFill>
                  <w14:solidFill>
                    <w14:schemeClr w14:val="tx1"/>
                  </w14:solidFill>
                </w14:textFill>
              </w:rPr>
              <w:t>方案内容完整详细、科学合理、切实可行的得</w:t>
            </w:r>
            <w:r>
              <w:rPr>
                <w:rFonts w:hint="eastAsia"/>
                <w:color w:val="000000" w:themeColor="text1"/>
                <w:sz w:val="24"/>
                <w:szCs w:val="20"/>
                <w:highlight w:val="none"/>
                <w:lang w:val="en-US" w:eastAsia="zh-CN"/>
                <w14:textFill>
                  <w14:solidFill>
                    <w14:schemeClr w14:val="tx1"/>
                  </w14:solidFill>
                </w14:textFill>
              </w:rPr>
              <w:t>2</w:t>
            </w:r>
            <w:r>
              <w:rPr>
                <w:rFonts w:hint="eastAsia"/>
                <w:color w:val="000000" w:themeColor="text1"/>
                <w:sz w:val="24"/>
                <w:szCs w:val="20"/>
                <w:highlight w:val="none"/>
                <w14:textFill>
                  <w14:solidFill>
                    <w14:schemeClr w14:val="tx1"/>
                  </w14:solidFill>
                </w14:textFill>
              </w:rPr>
              <w:t>分，方案简单粗糙、内容空洞的得1分，未作说明的本项不得分。</w:t>
            </w:r>
          </w:p>
        </w:tc>
      </w:tr>
      <w:tr w14:paraId="27FA35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24" w:hRule="atLeast"/>
          <w:jc w:val="center"/>
        </w:trPr>
        <w:tc>
          <w:tcPr>
            <w:tcW w:w="82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F370058">
            <w:pPr>
              <w:keepNext w:val="0"/>
              <w:keepLines w:val="0"/>
              <w:suppressLineNumbers w:val="0"/>
              <w:spacing w:before="0" w:beforeAutospacing="0" w:after="0" w:afterAutospacing="0" w:line="440" w:lineRule="exact"/>
              <w:ind w:left="0" w:right="0"/>
              <w:jc w:val="center"/>
              <w:rPr>
                <w:rFonts w:hint="eastAsia" w:asciiTheme="minorHAnsi" w:hAnsiTheme="minorHAnsi" w:eastAsiaTheme="minorEastAsia" w:cstheme="minorBidi"/>
                <w:color w:val="000000" w:themeColor="text1"/>
                <w:sz w:val="24"/>
                <w:szCs w:val="24"/>
                <w:highlight w:val="none"/>
                <w:lang w:val="en-US" w:eastAsia="zh-CN" w:bidi="ar-SA"/>
                <w14:textFill>
                  <w14:solidFill>
                    <w14:schemeClr w14:val="tx1"/>
                  </w14:solidFill>
                </w14:textFill>
              </w:rPr>
            </w:pPr>
            <w:r>
              <w:rPr>
                <w:rFonts w:hint="eastAsia" w:eastAsiaTheme="minorEastAsia"/>
                <w:color w:val="000000" w:themeColor="text1"/>
                <w:sz w:val="24"/>
                <w:highlight w:val="none"/>
                <w:lang w:val="en-US" w:eastAsia="zh-CN"/>
                <w14:textFill>
                  <w14:solidFill>
                    <w14:schemeClr w14:val="tx1"/>
                  </w14:solidFill>
                </w14:textFill>
              </w:rPr>
              <w:t>7</w:t>
            </w:r>
          </w:p>
        </w:tc>
        <w:tc>
          <w:tcPr>
            <w:tcW w:w="147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F2A3802">
            <w:pPr>
              <w:keepNext w:val="0"/>
              <w:keepLines w:val="0"/>
              <w:suppressLineNumbers w:val="0"/>
              <w:spacing w:before="0" w:beforeAutospacing="0" w:after="0" w:afterAutospacing="0"/>
              <w:ind w:left="0" w:right="0"/>
              <w:jc w:val="center"/>
              <w:rPr>
                <w:rFonts w:hint="eastAsia"/>
                <w:color w:val="000000" w:themeColor="text1"/>
                <w:sz w:val="24"/>
                <w:szCs w:val="20"/>
                <w:highlight w:val="none"/>
                <w:lang w:val="en-US" w:eastAsia="zh-CN"/>
                <w14:textFill>
                  <w14:solidFill>
                    <w14:schemeClr w14:val="tx1"/>
                  </w14:solidFill>
                </w14:textFill>
              </w:rPr>
            </w:pPr>
            <w:r>
              <w:rPr>
                <w:rFonts w:hint="eastAsia"/>
                <w:color w:val="000000" w:themeColor="text1"/>
                <w:sz w:val="24"/>
                <w:szCs w:val="20"/>
                <w:highlight w:val="none"/>
                <w14:textFill>
                  <w14:solidFill>
                    <w14:schemeClr w14:val="tx1"/>
                  </w14:solidFill>
                </w14:textFill>
              </w:rPr>
              <w:t>管网检测方案</w:t>
            </w:r>
          </w:p>
        </w:tc>
        <w:tc>
          <w:tcPr>
            <w:tcW w:w="85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26F9A03">
            <w:pPr>
              <w:keepNext w:val="0"/>
              <w:keepLines w:val="0"/>
              <w:suppressLineNumbers w:val="0"/>
              <w:spacing w:before="0" w:beforeAutospacing="0" w:after="0" w:afterAutospacing="0"/>
              <w:ind w:left="0" w:right="0"/>
              <w:jc w:val="center"/>
              <w:rPr>
                <w:rFonts w:hint="eastAsia" w:asciiTheme="minorHAnsi" w:hAnsiTheme="minorHAnsi" w:eastAsiaTheme="minorEastAsia" w:cstheme="minorBidi"/>
                <w:color w:val="000000" w:themeColor="text1"/>
                <w:sz w:val="24"/>
                <w:szCs w:val="24"/>
                <w:highlight w:val="none"/>
                <w:lang w:val="en-US" w:eastAsia="zh-CN" w:bidi="ar-SA"/>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4</w:t>
            </w:r>
          </w:p>
        </w:tc>
        <w:tc>
          <w:tcPr>
            <w:tcW w:w="6170" w:type="dxa"/>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0112BD70">
            <w:pPr>
              <w:keepNext w:val="0"/>
              <w:keepLines w:val="0"/>
              <w:suppressLineNumbers w:val="0"/>
              <w:spacing w:before="0" w:beforeAutospacing="0" w:after="0" w:afterAutospacing="0"/>
              <w:ind w:left="0" w:right="0"/>
              <w:jc w:val="left"/>
              <w:rPr>
                <w:rFonts w:hint="default" w:asciiTheme="minorHAnsi" w:hAnsiTheme="minorHAnsi" w:eastAsiaTheme="minorEastAsia" w:cstheme="minorBidi"/>
                <w:color w:val="000000" w:themeColor="text1"/>
                <w:sz w:val="24"/>
                <w:szCs w:val="24"/>
                <w:highlight w:val="none"/>
                <w:lang w:val="en-US" w:eastAsia="zh-CN" w:bidi="ar-SA"/>
                <w14:textFill>
                  <w14:solidFill>
                    <w14:schemeClr w14:val="tx1"/>
                  </w14:solidFill>
                </w14:textFill>
              </w:rPr>
            </w:pPr>
            <w:r>
              <w:rPr>
                <w:rFonts w:hint="eastAsia"/>
                <w:color w:val="000000" w:themeColor="text1"/>
                <w:sz w:val="24"/>
                <w:szCs w:val="24"/>
                <w:highlight w:val="none"/>
                <w14:textFill>
                  <w14:solidFill>
                    <w14:schemeClr w14:val="tx1"/>
                  </w14:solidFill>
                </w14:textFill>
              </w:rPr>
              <w:t>根据投标人制定</w:t>
            </w:r>
            <w:r>
              <w:rPr>
                <w:rFonts w:hint="eastAsia"/>
                <w:color w:val="000000" w:themeColor="text1"/>
                <w:sz w:val="24"/>
                <w:szCs w:val="24"/>
                <w:highlight w:val="none"/>
                <w:lang w:val="en-US" w:eastAsia="zh-CN"/>
                <w14:textFill>
                  <w14:solidFill>
                    <w14:schemeClr w14:val="tx1"/>
                  </w14:solidFill>
                </w14:textFill>
              </w:rPr>
              <w:t>的管道检测方案进行</w:t>
            </w:r>
            <w:r>
              <w:rPr>
                <w:rFonts w:hint="default"/>
                <w:color w:val="000000" w:themeColor="text1"/>
                <w:sz w:val="24"/>
                <w:szCs w:val="24"/>
                <w:highlight w:val="none"/>
                <w14:textFill>
                  <w14:solidFill>
                    <w14:schemeClr w14:val="tx1"/>
                  </w14:solidFill>
                </w14:textFill>
              </w:rPr>
              <w:t>综合</w:t>
            </w:r>
            <w:r>
              <w:rPr>
                <w:rFonts w:hint="eastAsia"/>
                <w:color w:val="000000" w:themeColor="text1"/>
                <w:sz w:val="24"/>
                <w:szCs w:val="24"/>
                <w:highlight w:val="none"/>
                <w14:textFill>
                  <w14:solidFill>
                    <w14:schemeClr w14:val="tx1"/>
                  </w14:solidFill>
                </w14:textFill>
              </w:rPr>
              <w:t>评定，方案</w:t>
            </w:r>
            <w:r>
              <w:rPr>
                <w:rFonts w:hint="eastAsia"/>
                <w:color w:val="000000" w:themeColor="text1"/>
                <w:sz w:val="24"/>
                <w:szCs w:val="24"/>
                <w:highlight w:val="none"/>
                <w:lang w:val="en-US" w:eastAsia="zh-CN"/>
                <w14:textFill>
                  <w14:solidFill>
                    <w14:schemeClr w14:val="tx1"/>
                  </w14:solidFill>
                </w14:textFill>
              </w:rPr>
              <w:t>内容详细、科学合理、有利于项目实施的得4分；方案合理、满足项目实施的得2分；</w:t>
            </w:r>
            <w:r>
              <w:rPr>
                <w:rFonts w:hint="eastAsia"/>
                <w:color w:val="000000" w:themeColor="text1"/>
                <w:sz w:val="24"/>
                <w:szCs w:val="20"/>
                <w:highlight w:val="none"/>
                <w14:textFill>
                  <w14:solidFill>
                    <w14:schemeClr w14:val="tx1"/>
                  </w14:solidFill>
                </w14:textFill>
              </w:rPr>
              <w:t>未作说明的本项不得分。</w:t>
            </w:r>
          </w:p>
        </w:tc>
      </w:tr>
      <w:tr w14:paraId="515577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32" w:hRule="atLeast"/>
          <w:jc w:val="center"/>
        </w:trPr>
        <w:tc>
          <w:tcPr>
            <w:tcW w:w="823" w:type="dxa"/>
            <w:tcBorders>
              <w:top w:val="single" w:color="000000" w:sz="4" w:space="0"/>
              <w:left w:val="single" w:color="000000" w:sz="4" w:space="0"/>
              <w:bottom w:val="single" w:color="000000" w:sz="4" w:space="0"/>
              <w:right w:val="single" w:color="000000" w:sz="4" w:space="0"/>
            </w:tcBorders>
            <w:noWrap w:val="0"/>
            <w:vAlign w:val="center"/>
          </w:tcPr>
          <w:p w14:paraId="5F7C8007">
            <w:pPr>
              <w:keepNext w:val="0"/>
              <w:keepLines w:val="0"/>
              <w:suppressLineNumbers w:val="0"/>
              <w:spacing w:before="0" w:beforeAutospacing="0" w:after="0" w:afterAutospacing="0" w:line="440" w:lineRule="exact"/>
              <w:ind w:left="0" w:right="0"/>
              <w:jc w:val="center"/>
              <w:rPr>
                <w:rFonts w:hint="eastAsia" w:eastAsia="宋体"/>
                <w:color w:val="000000" w:themeColor="text1"/>
                <w:sz w:val="24"/>
                <w:highlight w:val="none"/>
                <w:lang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8</w:t>
            </w:r>
          </w:p>
        </w:tc>
        <w:tc>
          <w:tcPr>
            <w:tcW w:w="1477" w:type="dxa"/>
            <w:tcBorders>
              <w:top w:val="single" w:color="000000" w:sz="4" w:space="0"/>
              <w:left w:val="single" w:color="000000" w:sz="4" w:space="0"/>
              <w:bottom w:val="single" w:color="000000" w:sz="4" w:space="0"/>
              <w:right w:val="single" w:color="000000" w:sz="4" w:space="0"/>
            </w:tcBorders>
            <w:noWrap w:val="0"/>
            <w:vAlign w:val="center"/>
          </w:tcPr>
          <w:p w14:paraId="303C85F1">
            <w:pPr>
              <w:keepNext w:val="0"/>
              <w:keepLines w:val="0"/>
              <w:suppressLineNumbers w:val="0"/>
              <w:spacing w:before="0" w:beforeAutospacing="0" w:after="0" w:afterAutospacing="0"/>
              <w:ind w:left="0" w:right="0"/>
              <w:jc w:val="center"/>
              <w:rPr>
                <w:rFonts w:hint="eastAsia"/>
                <w:color w:val="000000" w:themeColor="text1"/>
                <w:sz w:val="24"/>
                <w:szCs w:val="20"/>
                <w:highlight w:val="none"/>
                <w14:textFill>
                  <w14:solidFill>
                    <w14:schemeClr w14:val="tx1"/>
                  </w14:solidFill>
                </w14:textFill>
              </w:rPr>
            </w:pPr>
            <w:r>
              <w:rPr>
                <w:rFonts w:hint="eastAsia"/>
                <w:color w:val="000000" w:themeColor="text1"/>
                <w:sz w:val="24"/>
                <w:szCs w:val="20"/>
                <w:highlight w:val="none"/>
                <w14:textFill>
                  <w14:solidFill>
                    <w14:schemeClr w14:val="tx1"/>
                  </w14:solidFill>
                </w14:textFill>
              </w:rPr>
              <w:t>安全文明与现场交通等组织协调措施</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4FD48470">
            <w:pPr>
              <w:keepNext w:val="0"/>
              <w:keepLines w:val="0"/>
              <w:suppressLineNumbers w:val="0"/>
              <w:spacing w:before="0" w:beforeAutospacing="0" w:after="0" w:afterAutospacing="0"/>
              <w:ind w:left="0" w:right="0"/>
              <w:jc w:val="center"/>
              <w:rPr>
                <w:rFonts w:hint="eastAsia" w:eastAsiaTheme="minorEastAsia"/>
                <w:color w:val="000000" w:themeColor="text1"/>
                <w:sz w:val="24"/>
                <w:highlight w:val="none"/>
                <w:lang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4</w:t>
            </w:r>
          </w:p>
        </w:tc>
        <w:tc>
          <w:tcPr>
            <w:tcW w:w="6170" w:type="dxa"/>
            <w:tcBorders>
              <w:top w:val="single" w:color="000000" w:sz="4" w:space="0"/>
              <w:left w:val="single" w:color="000000" w:sz="4" w:space="0"/>
              <w:bottom w:val="single" w:color="000000" w:sz="4" w:space="0"/>
              <w:right w:val="single" w:color="000000" w:sz="4" w:space="0"/>
            </w:tcBorders>
            <w:noWrap w:val="0"/>
          </w:tcPr>
          <w:p w14:paraId="6F137FEC">
            <w:pPr>
              <w:keepNext w:val="0"/>
              <w:keepLines w:val="0"/>
              <w:suppressLineNumbers w:val="0"/>
              <w:spacing w:before="0" w:beforeAutospacing="0" w:after="0" w:afterAutospacing="0"/>
              <w:ind w:left="0" w:right="0"/>
              <w:rPr>
                <w:rFonts w:hint="default" w:ascii="宋体" w:hAnsi="宋体"/>
                <w:color w:val="000000" w:themeColor="text1"/>
                <w:sz w:val="24"/>
                <w:highlight w:val="none"/>
                <w:lang w:val="en-US" w:eastAsia="zh-CN"/>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①</w:t>
            </w:r>
            <w:r>
              <w:rPr>
                <w:rFonts w:hint="default"/>
                <w:color w:val="000000" w:themeColor="text1"/>
                <w:sz w:val="24"/>
                <w:szCs w:val="24"/>
                <w:highlight w:val="none"/>
                <w14:textFill>
                  <w14:solidFill>
                    <w14:schemeClr w14:val="tx1"/>
                  </w14:solidFill>
                </w14:textFill>
              </w:rPr>
              <w:t>安全</w:t>
            </w:r>
            <w:r>
              <w:rPr>
                <w:rFonts w:hint="eastAsia"/>
                <w:color w:val="000000" w:themeColor="text1"/>
                <w:sz w:val="24"/>
                <w:szCs w:val="24"/>
                <w:highlight w:val="none"/>
                <w:lang w:val="en-US" w:eastAsia="zh-CN"/>
                <w14:textFill>
                  <w14:solidFill>
                    <w14:schemeClr w14:val="tx1"/>
                  </w14:solidFill>
                </w14:textFill>
              </w:rPr>
              <w:t>文明</w:t>
            </w:r>
            <w:r>
              <w:rPr>
                <w:rFonts w:hint="default"/>
                <w:color w:val="000000" w:themeColor="text1"/>
                <w:sz w:val="24"/>
                <w:szCs w:val="24"/>
                <w:highlight w:val="none"/>
                <w14:textFill>
                  <w14:solidFill>
                    <w14:schemeClr w14:val="tx1"/>
                  </w14:solidFill>
                </w14:textFill>
              </w:rPr>
              <w:t>管理</w:t>
            </w:r>
            <w:r>
              <w:rPr>
                <w:rFonts w:hint="eastAsia" w:ascii="宋体" w:hAnsi="宋体"/>
                <w:color w:val="000000" w:themeColor="text1"/>
                <w:sz w:val="24"/>
                <w:highlight w:val="none"/>
                <w14:textFill>
                  <w14:solidFill>
                    <w14:schemeClr w14:val="tx1"/>
                  </w14:solidFill>
                </w14:textFill>
              </w:rPr>
              <w:t>措施</w:t>
            </w:r>
            <w:r>
              <w:rPr>
                <w:rFonts w:hint="eastAsia" w:ascii="宋体" w:hAnsi="宋体" w:cs="宋体"/>
                <w:bCs/>
                <w:color w:val="000000" w:themeColor="text1"/>
                <w:sz w:val="24"/>
                <w:highlight w:val="none"/>
                <w14:textFill>
                  <w14:solidFill>
                    <w14:schemeClr w14:val="tx1"/>
                  </w14:solidFill>
                </w14:textFill>
              </w:rPr>
              <w:t>全面</w:t>
            </w:r>
            <w:r>
              <w:rPr>
                <w:rFonts w:hint="eastAsia" w:ascii="宋体" w:hAnsi="宋体" w:cs="宋体"/>
                <w:bCs/>
                <w:color w:val="000000" w:themeColor="text1"/>
                <w:sz w:val="24"/>
                <w:highlight w:val="none"/>
                <w:lang w:val="en-US" w:eastAsia="zh-CN"/>
                <w14:textFill>
                  <w14:solidFill>
                    <w14:schemeClr w14:val="tx1"/>
                  </w14:solidFill>
                </w14:textFill>
              </w:rPr>
              <w:t>完整</w:t>
            </w:r>
            <w:r>
              <w:rPr>
                <w:rFonts w:hint="eastAsia" w:ascii="宋体" w:hAnsi="宋体" w:cs="宋体"/>
                <w:bCs/>
                <w:color w:val="000000" w:themeColor="text1"/>
                <w:sz w:val="24"/>
                <w:highlight w:val="none"/>
                <w14:textFill>
                  <w14:solidFill>
                    <w14:schemeClr w14:val="tx1"/>
                  </w14:solidFill>
                </w14:textFill>
              </w:rPr>
              <w:t>、切实可行的得</w:t>
            </w:r>
            <w:r>
              <w:rPr>
                <w:rFonts w:hint="eastAsia" w:ascii="宋体" w:hAnsi="宋体" w:cs="宋体"/>
                <w:bCs/>
                <w:color w:val="000000" w:themeColor="text1"/>
                <w:sz w:val="24"/>
                <w:highlight w:val="none"/>
                <w:lang w:val="en-US" w:eastAsia="zh-CN"/>
                <w14:textFill>
                  <w14:solidFill>
                    <w14:schemeClr w14:val="tx1"/>
                  </w14:solidFill>
                </w14:textFill>
              </w:rPr>
              <w:t>2</w:t>
            </w:r>
            <w:r>
              <w:rPr>
                <w:rFonts w:hint="eastAsia" w:ascii="宋体" w:hAnsi="宋体" w:cs="宋体"/>
                <w:bCs/>
                <w:color w:val="000000" w:themeColor="text1"/>
                <w:sz w:val="24"/>
                <w:highlight w:val="none"/>
                <w14:textFill>
                  <w14:solidFill>
                    <w14:schemeClr w14:val="tx1"/>
                  </w14:solidFill>
                </w14:textFill>
              </w:rPr>
              <w:t>分；</w:t>
            </w:r>
            <w:r>
              <w:rPr>
                <w:rFonts w:hint="eastAsia" w:ascii="宋体" w:hAnsi="宋体" w:cs="宋体"/>
                <w:bCs/>
                <w:color w:val="000000" w:themeColor="text1"/>
                <w:sz w:val="24"/>
                <w:highlight w:val="none"/>
                <w:lang w:val="en-US" w:eastAsia="zh-CN"/>
                <w14:textFill>
                  <w14:solidFill>
                    <w14:schemeClr w14:val="tx1"/>
                  </w14:solidFill>
                </w14:textFill>
              </w:rPr>
              <w:t>措施合理、满足项目实施的得1分，</w:t>
            </w:r>
            <w:r>
              <w:rPr>
                <w:rFonts w:hint="eastAsia" w:ascii="宋体" w:hAnsi="宋体"/>
                <w:color w:val="000000" w:themeColor="text1"/>
                <w:sz w:val="24"/>
                <w:highlight w:val="none"/>
                <w:lang w:val="en-US" w:eastAsia="zh-CN"/>
                <w14:textFill>
                  <w14:solidFill>
                    <w14:schemeClr w14:val="tx1"/>
                  </w14:solidFill>
                </w14:textFill>
              </w:rPr>
              <w:t>内容明显不合理或未作说明的不得分。</w:t>
            </w:r>
          </w:p>
          <w:p w14:paraId="7D9D5220">
            <w:pPr>
              <w:keepNext w:val="0"/>
              <w:keepLines w:val="0"/>
              <w:suppressLineNumbers w:val="0"/>
              <w:spacing w:before="0" w:beforeAutospacing="0" w:after="0" w:afterAutospacing="0"/>
              <w:ind w:left="0" w:right="0"/>
              <w:rPr>
                <w:rFonts w:hint="default"/>
                <w:color w:val="000000" w:themeColor="text1"/>
                <w:sz w:val="24"/>
                <w:szCs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②</w:t>
            </w:r>
            <w:r>
              <w:rPr>
                <w:rFonts w:hint="eastAsia" w:ascii="宋体" w:hAnsi="宋体"/>
                <w:color w:val="000000" w:themeColor="text1"/>
                <w:sz w:val="24"/>
                <w:highlight w:val="none"/>
                <w14:textFill>
                  <w14:solidFill>
                    <w14:schemeClr w14:val="tx1"/>
                  </w14:solidFill>
                </w14:textFill>
              </w:rPr>
              <w:t>现场交通组织协调措施</w:t>
            </w:r>
            <w:r>
              <w:rPr>
                <w:rFonts w:hint="eastAsia" w:ascii="宋体" w:hAnsi="宋体" w:cs="宋体"/>
                <w:bCs/>
                <w:color w:val="000000" w:themeColor="text1"/>
                <w:sz w:val="24"/>
                <w:highlight w:val="none"/>
                <w14:textFill>
                  <w14:solidFill>
                    <w14:schemeClr w14:val="tx1"/>
                  </w14:solidFill>
                </w14:textFill>
              </w:rPr>
              <w:t>全面</w:t>
            </w:r>
            <w:r>
              <w:rPr>
                <w:rFonts w:hint="eastAsia" w:ascii="宋体" w:hAnsi="宋体" w:cs="宋体"/>
                <w:bCs/>
                <w:color w:val="000000" w:themeColor="text1"/>
                <w:sz w:val="24"/>
                <w:highlight w:val="none"/>
                <w:lang w:val="en-US" w:eastAsia="zh-CN"/>
                <w14:textFill>
                  <w14:solidFill>
                    <w14:schemeClr w14:val="tx1"/>
                  </w14:solidFill>
                </w14:textFill>
              </w:rPr>
              <w:t>完整</w:t>
            </w:r>
            <w:r>
              <w:rPr>
                <w:rFonts w:hint="eastAsia" w:ascii="宋体" w:hAnsi="宋体" w:cs="宋体"/>
                <w:bCs/>
                <w:color w:val="000000" w:themeColor="text1"/>
                <w:sz w:val="24"/>
                <w:highlight w:val="none"/>
                <w14:textFill>
                  <w14:solidFill>
                    <w14:schemeClr w14:val="tx1"/>
                  </w14:solidFill>
                </w14:textFill>
              </w:rPr>
              <w:t>、切实可行的得</w:t>
            </w:r>
            <w:r>
              <w:rPr>
                <w:rFonts w:hint="eastAsia" w:ascii="宋体" w:hAnsi="宋体" w:cs="宋体"/>
                <w:bCs/>
                <w:color w:val="000000" w:themeColor="text1"/>
                <w:sz w:val="24"/>
                <w:highlight w:val="none"/>
                <w:lang w:val="en-US" w:eastAsia="zh-CN"/>
                <w14:textFill>
                  <w14:solidFill>
                    <w14:schemeClr w14:val="tx1"/>
                  </w14:solidFill>
                </w14:textFill>
              </w:rPr>
              <w:t>2</w:t>
            </w:r>
            <w:r>
              <w:rPr>
                <w:rFonts w:hint="eastAsia" w:ascii="宋体" w:hAnsi="宋体" w:cs="宋体"/>
                <w:bCs/>
                <w:color w:val="000000" w:themeColor="text1"/>
                <w:sz w:val="24"/>
                <w:highlight w:val="none"/>
                <w14:textFill>
                  <w14:solidFill>
                    <w14:schemeClr w14:val="tx1"/>
                  </w14:solidFill>
                </w14:textFill>
              </w:rPr>
              <w:t>分；</w:t>
            </w:r>
            <w:r>
              <w:rPr>
                <w:rFonts w:hint="eastAsia" w:ascii="宋体" w:hAnsi="宋体" w:cs="宋体"/>
                <w:bCs/>
                <w:color w:val="000000" w:themeColor="text1"/>
                <w:sz w:val="24"/>
                <w:highlight w:val="none"/>
                <w:lang w:val="en-US" w:eastAsia="zh-CN"/>
                <w14:textFill>
                  <w14:solidFill>
                    <w14:schemeClr w14:val="tx1"/>
                  </w14:solidFill>
                </w14:textFill>
              </w:rPr>
              <w:t>措施合理、满足项目实施的得1分，</w:t>
            </w:r>
            <w:r>
              <w:rPr>
                <w:rFonts w:hint="eastAsia" w:ascii="宋体" w:hAnsi="宋体"/>
                <w:color w:val="000000" w:themeColor="text1"/>
                <w:sz w:val="24"/>
                <w:highlight w:val="none"/>
                <w:lang w:val="en-US" w:eastAsia="zh-CN"/>
                <w14:textFill>
                  <w14:solidFill>
                    <w14:schemeClr w14:val="tx1"/>
                  </w14:solidFill>
                </w14:textFill>
              </w:rPr>
              <w:t>内容明显不合理或未作说明的不得分。</w:t>
            </w:r>
          </w:p>
        </w:tc>
      </w:tr>
      <w:tr w14:paraId="276512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37" w:hRule="atLeast"/>
          <w:jc w:val="center"/>
        </w:trPr>
        <w:tc>
          <w:tcPr>
            <w:tcW w:w="823" w:type="dxa"/>
            <w:tcBorders>
              <w:top w:val="single" w:color="000000" w:sz="4" w:space="0"/>
              <w:left w:val="single" w:color="000000" w:sz="4" w:space="0"/>
              <w:bottom w:val="single" w:color="000000" w:sz="4" w:space="0"/>
              <w:right w:val="single" w:color="000000" w:sz="4" w:space="0"/>
            </w:tcBorders>
            <w:noWrap w:val="0"/>
            <w:vAlign w:val="center"/>
          </w:tcPr>
          <w:p w14:paraId="502393EE">
            <w:pPr>
              <w:keepNext w:val="0"/>
              <w:keepLines w:val="0"/>
              <w:suppressLineNumbers w:val="0"/>
              <w:spacing w:before="0" w:beforeAutospacing="0" w:after="0" w:afterAutospacing="0" w:line="440" w:lineRule="exact"/>
              <w:ind w:left="0" w:right="0"/>
              <w:jc w:val="center"/>
              <w:rPr>
                <w:rFonts w:hint="eastAsia" w:eastAsia="宋体"/>
                <w:color w:val="000000" w:themeColor="text1"/>
                <w:sz w:val="24"/>
                <w:highlight w:val="none"/>
                <w:lang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9</w:t>
            </w:r>
          </w:p>
        </w:tc>
        <w:tc>
          <w:tcPr>
            <w:tcW w:w="1477" w:type="dxa"/>
            <w:tcBorders>
              <w:top w:val="single" w:color="000000" w:sz="4" w:space="0"/>
              <w:left w:val="single" w:color="000000" w:sz="4" w:space="0"/>
              <w:bottom w:val="single" w:color="000000" w:sz="4" w:space="0"/>
              <w:right w:val="single" w:color="000000" w:sz="4" w:space="0"/>
            </w:tcBorders>
            <w:noWrap w:val="0"/>
            <w:vAlign w:val="center"/>
          </w:tcPr>
          <w:p w14:paraId="09960479">
            <w:pPr>
              <w:keepNext w:val="0"/>
              <w:keepLines w:val="0"/>
              <w:suppressLineNumbers w:val="0"/>
              <w:spacing w:before="0" w:beforeAutospacing="0" w:after="0" w:afterAutospacing="0"/>
              <w:ind w:left="0" w:right="0"/>
              <w:jc w:val="center"/>
              <w:rPr>
                <w:rFonts w:hint="eastAsia"/>
                <w:color w:val="000000" w:themeColor="text1"/>
                <w:sz w:val="24"/>
                <w:szCs w:val="20"/>
                <w:highlight w:val="none"/>
                <w14:textFill>
                  <w14:solidFill>
                    <w14:schemeClr w14:val="tx1"/>
                  </w14:solidFill>
                </w14:textFill>
              </w:rPr>
            </w:pPr>
            <w:r>
              <w:rPr>
                <w:rFonts w:hint="eastAsia"/>
                <w:color w:val="000000" w:themeColor="text1"/>
                <w:sz w:val="24"/>
                <w:szCs w:val="20"/>
                <w:highlight w:val="none"/>
                <w14:textFill>
                  <w14:solidFill>
                    <w14:schemeClr w14:val="tx1"/>
                  </w14:solidFill>
                </w14:textFill>
              </w:rPr>
              <w:t>重难点分析</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4B2DD64C">
            <w:pPr>
              <w:keepNext w:val="0"/>
              <w:keepLines w:val="0"/>
              <w:widowControl/>
              <w:suppressLineNumbers w:val="0"/>
              <w:spacing w:before="0" w:beforeAutospacing="0" w:after="0" w:afterAutospacing="0" w:line="400" w:lineRule="exact"/>
              <w:ind w:left="0" w:right="0"/>
              <w:jc w:val="center"/>
              <w:rPr>
                <w:rFonts w:hint="eastAsia" w:eastAsiaTheme="minorEastAsia"/>
                <w:color w:val="000000" w:themeColor="text1"/>
                <w:sz w:val="24"/>
                <w:szCs w:val="24"/>
                <w:highlight w:val="none"/>
                <w:lang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4</w:t>
            </w:r>
          </w:p>
        </w:tc>
        <w:tc>
          <w:tcPr>
            <w:tcW w:w="6170" w:type="dxa"/>
            <w:tcBorders>
              <w:top w:val="single" w:color="000000" w:sz="4" w:space="0"/>
              <w:left w:val="single" w:color="000000" w:sz="4" w:space="0"/>
              <w:bottom w:val="single" w:color="000000" w:sz="4" w:space="0"/>
              <w:right w:val="single" w:color="000000" w:sz="4" w:space="0"/>
            </w:tcBorders>
            <w:noWrap w:val="0"/>
            <w:vAlign w:val="center"/>
          </w:tcPr>
          <w:p w14:paraId="2E8E7F39">
            <w:pPr>
              <w:keepNext w:val="0"/>
              <w:keepLines w:val="0"/>
              <w:widowControl/>
              <w:suppressLineNumbers w:val="0"/>
              <w:spacing w:before="0" w:beforeAutospacing="0" w:after="0" w:afterAutospacing="0"/>
              <w:ind w:left="0" w:right="0"/>
              <w:jc w:val="left"/>
              <w:rPr>
                <w:rFonts w:hint="default"/>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针对投标人对本项目及区域特点的重点难点分析进行综合评定，分析准确、理解深刻的得</w:t>
            </w:r>
            <w:r>
              <w:rPr>
                <w:rFonts w:hint="eastAsia"/>
                <w:color w:val="000000" w:themeColor="text1"/>
                <w:sz w:val="24"/>
                <w:szCs w:val="24"/>
                <w:highlight w:val="none"/>
                <w:lang w:val="en-US" w:eastAsia="zh-CN"/>
                <w14:textFill>
                  <w14:solidFill>
                    <w14:schemeClr w14:val="tx1"/>
                  </w14:solidFill>
                </w14:textFill>
              </w:rPr>
              <w:t>4</w:t>
            </w:r>
            <w:r>
              <w:rPr>
                <w:rFonts w:hint="eastAsia"/>
                <w:color w:val="000000" w:themeColor="text1"/>
                <w:sz w:val="24"/>
                <w:szCs w:val="24"/>
                <w:highlight w:val="none"/>
                <w14:textFill>
                  <w14:solidFill>
                    <w14:schemeClr w14:val="tx1"/>
                  </w14:solidFill>
                </w14:textFill>
              </w:rPr>
              <w:t>分；分析到位</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lang w:val="en-US" w:eastAsia="zh-CN"/>
                <w14:textFill>
                  <w14:solidFill>
                    <w14:schemeClr w14:val="tx1"/>
                  </w14:solidFill>
                </w14:textFill>
              </w:rPr>
              <w:t>满足项目实施</w:t>
            </w:r>
            <w:r>
              <w:rPr>
                <w:rFonts w:hint="eastAsia"/>
                <w:color w:val="000000" w:themeColor="text1"/>
                <w:sz w:val="24"/>
                <w:szCs w:val="24"/>
                <w:highlight w:val="none"/>
                <w14:textFill>
                  <w14:solidFill>
                    <w14:schemeClr w14:val="tx1"/>
                  </w14:solidFill>
                </w14:textFill>
              </w:rPr>
              <w:t>的得</w:t>
            </w:r>
            <w:r>
              <w:rPr>
                <w:rFonts w:hint="eastAsia"/>
                <w:color w:val="000000" w:themeColor="text1"/>
                <w:sz w:val="24"/>
                <w:szCs w:val="24"/>
                <w:highlight w:val="none"/>
                <w:lang w:val="en-US" w:eastAsia="zh-CN"/>
                <w14:textFill>
                  <w14:solidFill>
                    <w14:schemeClr w14:val="tx1"/>
                  </w14:solidFill>
                </w14:textFill>
              </w:rPr>
              <w:t>2</w:t>
            </w:r>
            <w:r>
              <w:rPr>
                <w:rFonts w:hint="eastAsia"/>
                <w:color w:val="000000" w:themeColor="text1"/>
                <w:sz w:val="24"/>
                <w:szCs w:val="24"/>
                <w:highlight w:val="none"/>
                <w14:textFill>
                  <w14:solidFill>
                    <w14:schemeClr w14:val="tx1"/>
                  </w14:solidFill>
                </w14:textFill>
              </w:rPr>
              <w:t>分；未作说明</w:t>
            </w:r>
            <w:r>
              <w:rPr>
                <w:rFonts w:hint="eastAsia"/>
                <w:color w:val="000000" w:themeColor="text1"/>
                <w:sz w:val="24"/>
                <w:szCs w:val="24"/>
                <w:highlight w:val="none"/>
                <w:lang w:val="en-US" w:eastAsia="zh-CN"/>
                <w14:textFill>
                  <w14:solidFill>
                    <w14:schemeClr w14:val="tx1"/>
                  </w14:solidFill>
                </w14:textFill>
              </w:rPr>
              <w:t>的</w:t>
            </w:r>
            <w:r>
              <w:rPr>
                <w:rFonts w:hint="eastAsia"/>
                <w:color w:val="000000" w:themeColor="text1"/>
                <w:sz w:val="24"/>
                <w:szCs w:val="24"/>
                <w:highlight w:val="none"/>
                <w14:textFill>
                  <w14:solidFill>
                    <w14:schemeClr w14:val="tx1"/>
                  </w14:solidFill>
                </w14:textFill>
              </w:rPr>
              <w:t>不得分。</w:t>
            </w:r>
          </w:p>
        </w:tc>
      </w:tr>
      <w:tr w14:paraId="23F305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49" w:hRule="atLeast"/>
          <w:jc w:val="center"/>
        </w:trPr>
        <w:tc>
          <w:tcPr>
            <w:tcW w:w="823" w:type="dxa"/>
            <w:tcBorders>
              <w:top w:val="single" w:color="000000" w:sz="4" w:space="0"/>
              <w:left w:val="single" w:color="000000" w:sz="4" w:space="0"/>
              <w:bottom w:val="single" w:color="000000" w:sz="4" w:space="0"/>
              <w:right w:val="single" w:color="000000" w:sz="4" w:space="0"/>
            </w:tcBorders>
            <w:noWrap w:val="0"/>
            <w:vAlign w:val="center"/>
          </w:tcPr>
          <w:p w14:paraId="3EFED272">
            <w:pPr>
              <w:keepNext w:val="0"/>
              <w:keepLines w:val="0"/>
              <w:suppressLineNumbers w:val="0"/>
              <w:spacing w:before="0" w:beforeAutospacing="0" w:after="0" w:afterAutospacing="0" w:line="440" w:lineRule="exact"/>
              <w:ind w:left="0" w:right="0"/>
              <w:jc w:val="center"/>
              <w:rPr>
                <w:rFonts w:hint="default" w:eastAsiaTheme="minor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10</w:t>
            </w:r>
          </w:p>
        </w:tc>
        <w:tc>
          <w:tcPr>
            <w:tcW w:w="147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98A18C3">
            <w:pPr>
              <w:keepNext w:val="0"/>
              <w:keepLines w:val="0"/>
              <w:suppressLineNumbers w:val="0"/>
              <w:spacing w:before="0" w:beforeAutospacing="0" w:after="0" w:afterAutospacing="0"/>
              <w:ind w:left="0" w:right="0"/>
              <w:jc w:val="center"/>
              <w:rPr>
                <w:rFonts w:hint="eastAsia"/>
                <w:color w:val="000000" w:themeColor="text1"/>
                <w:sz w:val="24"/>
                <w:szCs w:val="20"/>
                <w:highlight w:val="none"/>
                <w:lang w:val="en-US" w:eastAsia="zh-CN"/>
                <w14:textFill>
                  <w14:solidFill>
                    <w14:schemeClr w14:val="tx1"/>
                  </w14:solidFill>
                </w14:textFill>
              </w:rPr>
            </w:pPr>
            <w:r>
              <w:rPr>
                <w:rFonts w:hint="eastAsia"/>
                <w:color w:val="000000" w:themeColor="text1"/>
                <w:sz w:val="24"/>
                <w:szCs w:val="20"/>
                <w:highlight w:val="none"/>
                <w:lang w:val="en-US" w:eastAsia="zh-CN"/>
                <w14:textFill>
                  <w14:solidFill>
                    <w14:schemeClr w14:val="tx1"/>
                  </w14:solidFill>
                </w14:textFill>
              </w:rPr>
              <w:t>内部管理制度</w:t>
            </w:r>
          </w:p>
        </w:tc>
        <w:tc>
          <w:tcPr>
            <w:tcW w:w="85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D1479E8">
            <w:pPr>
              <w:keepNext w:val="0"/>
              <w:keepLines w:val="0"/>
              <w:suppressLineNumbers w:val="0"/>
              <w:spacing w:before="0" w:beforeAutospacing="0" w:after="0" w:afterAutospacing="0"/>
              <w:ind w:left="0" w:right="0"/>
              <w:jc w:val="center"/>
              <w:rPr>
                <w:rFonts w:hint="eastAsia" w:asciiTheme="minorHAnsi" w:hAnsiTheme="minorHAnsi" w:eastAsiaTheme="minorEastAsia" w:cstheme="minorBidi"/>
                <w:color w:val="000000" w:themeColor="text1"/>
                <w:sz w:val="24"/>
                <w:szCs w:val="24"/>
                <w:highlight w:val="none"/>
                <w:lang w:val="en-US" w:eastAsia="zh-CN" w:bidi="ar-SA"/>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6</w:t>
            </w:r>
          </w:p>
        </w:tc>
        <w:tc>
          <w:tcPr>
            <w:tcW w:w="617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9FFD31D">
            <w:pPr>
              <w:pStyle w:val="14"/>
              <w:keepNext w:val="0"/>
              <w:keepLines w:val="0"/>
              <w:widowControl w:val="0"/>
              <w:suppressLineNumbers w:val="0"/>
              <w:spacing w:before="0" w:beforeAutospacing="0" w:after="0" w:afterAutospacing="0" w:line="240" w:lineRule="auto"/>
              <w:ind w:left="0" w:right="0"/>
              <w:jc w:val="left"/>
              <w:rPr>
                <w:rFonts w:hint="eastAsia" w:ascii="宋体" w:hAnsi="宋体" w:eastAsia="宋体" w:cs="Times New Roman"/>
                <w:color w:val="000000" w:themeColor="text1"/>
                <w:sz w:val="24"/>
                <w:szCs w:val="22"/>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2"/>
                <w:highlight w:val="none"/>
                <w:lang w:val="en-US" w:eastAsia="zh-CN" w:bidi="ar-SA"/>
                <w14:textFill>
                  <w14:solidFill>
                    <w14:schemeClr w14:val="tx1"/>
                  </w14:solidFill>
                </w14:textFill>
              </w:rPr>
              <w:t>根据投标人提供的各类管理制度进行评定：</w:t>
            </w:r>
          </w:p>
          <w:p w14:paraId="361C44AF">
            <w:pPr>
              <w:pStyle w:val="14"/>
              <w:keepNext w:val="0"/>
              <w:keepLines w:val="0"/>
              <w:widowControl w:val="0"/>
              <w:suppressLineNumbers w:val="0"/>
              <w:spacing w:before="0" w:beforeAutospacing="0" w:after="0" w:afterAutospacing="0" w:line="240" w:lineRule="auto"/>
              <w:ind w:left="0" w:right="0"/>
              <w:jc w:val="left"/>
              <w:rPr>
                <w:rFonts w:hint="eastAsia" w:ascii="宋体" w:hAnsi="宋体" w:eastAsia="宋体" w:cs="Times New Roman"/>
                <w:color w:val="000000" w:themeColor="text1"/>
                <w:sz w:val="24"/>
                <w:szCs w:val="22"/>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2"/>
                <w:highlight w:val="none"/>
                <w:lang w:val="en-US" w:eastAsia="zh-CN" w:bidi="ar-SA"/>
                <w14:textFill>
                  <w14:solidFill>
                    <w14:schemeClr w14:val="tx1"/>
                  </w14:solidFill>
                </w14:textFill>
              </w:rPr>
              <w:t>①</w:t>
            </w:r>
            <w:r>
              <w:rPr>
                <w:rFonts w:hint="eastAsia" w:ascii="宋体" w:hAnsi="宋体" w:eastAsia="宋体" w:cs="Times New Roman"/>
                <w:color w:val="000000" w:themeColor="text1"/>
                <w:sz w:val="24"/>
                <w:szCs w:val="22"/>
                <w:highlight w:val="none"/>
                <w:lang w:val="zh-CN" w:eastAsia="zh-CN" w:bidi="ar-SA"/>
                <w14:textFill>
                  <w14:solidFill>
                    <w14:schemeClr w14:val="tx1"/>
                  </w14:solidFill>
                </w14:textFill>
              </w:rPr>
              <w:t>企业内部组织机构</w:t>
            </w:r>
            <w:r>
              <w:rPr>
                <w:rFonts w:hint="eastAsia" w:ascii="宋体" w:hAnsi="宋体" w:eastAsia="宋体" w:cs="Times New Roman"/>
                <w:color w:val="000000" w:themeColor="text1"/>
                <w:sz w:val="24"/>
                <w:szCs w:val="22"/>
                <w:highlight w:val="none"/>
                <w:lang w:val="en-US" w:eastAsia="zh-CN" w:bidi="ar-SA"/>
                <w14:textFill>
                  <w14:solidFill>
                    <w14:schemeClr w14:val="tx1"/>
                  </w14:solidFill>
                </w14:textFill>
              </w:rPr>
              <w:t>内容完整科学合理的得2分；制度措施基本可行的得1分；内容明显不合理或未作说明的不得分。</w:t>
            </w:r>
          </w:p>
          <w:p w14:paraId="79C1BC5F">
            <w:pPr>
              <w:pStyle w:val="14"/>
              <w:keepNext w:val="0"/>
              <w:keepLines w:val="0"/>
              <w:widowControl w:val="0"/>
              <w:suppressLineNumbers w:val="0"/>
              <w:spacing w:before="0" w:beforeAutospacing="0" w:after="0" w:afterAutospacing="0" w:line="240" w:lineRule="auto"/>
              <w:ind w:left="0" w:right="0"/>
              <w:jc w:val="left"/>
              <w:rPr>
                <w:rFonts w:hint="eastAsia" w:ascii="宋体" w:hAnsi="宋体" w:eastAsia="宋体" w:cs="Times New Roman"/>
                <w:color w:val="000000" w:themeColor="text1"/>
                <w:sz w:val="24"/>
                <w:szCs w:val="22"/>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2"/>
                <w:highlight w:val="none"/>
                <w:lang w:val="en-US" w:eastAsia="zh-CN" w:bidi="ar-SA"/>
                <w14:textFill>
                  <w14:solidFill>
                    <w14:schemeClr w14:val="tx1"/>
                  </w14:solidFill>
                </w14:textFill>
              </w:rPr>
              <w:t>②内部检查考核制度完善合理、管理措施到位的得2分；制度笼统、安全管理措施基本可行的得1分；内容明显不合理或未作说明的不得分。</w:t>
            </w:r>
          </w:p>
          <w:p w14:paraId="2F5F65D5">
            <w:pPr>
              <w:pStyle w:val="14"/>
              <w:keepNext w:val="0"/>
              <w:keepLines w:val="0"/>
              <w:widowControl w:val="0"/>
              <w:suppressLineNumbers w:val="0"/>
              <w:spacing w:before="0" w:beforeAutospacing="0" w:after="0" w:afterAutospacing="0" w:line="240" w:lineRule="auto"/>
              <w:ind w:left="0" w:right="0"/>
              <w:jc w:val="left"/>
              <w:rPr>
                <w:rFonts w:hint="eastAsia" w:ascii="宋体" w:hAnsi="宋体" w:eastAsiaTheme="minorEastAsia" w:cstheme="minorBidi"/>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2"/>
                <w:highlight w:val="none"/>
                <w:lang w:val="en-US" w:eastAsia="zh-CN" w:bidi="ar-SA"/>
                <w14:textFill>
                  <w14:solidFill>
                    <w14:schemeClr w14:val="tx1"/>
                  </w14:solidFill>
                </w14:textFill>
              </w:rPr>
              <w:t>③人员管理方案完善合理的得2分；方案笼统但基本可行的得1分；内容明显不合理或未作说明的不得分。</w:t>
            </w:r>
          </w:p>
        </w:tc>
      </w:tr>
    </w:tbl>
    <w:p w14:paraId="490D953E">
      <w:pPr>
        <w:spacing w:line="440" w:lineRule="exact"/>
        <w:ind w:firstLine="482"/>
        <w:rPr>
          <w:b/>
          <w:color w:val="000000" w:themeColor="text1"/>
          <w:sz w:val="24"/>
          <w:szCs w:val="20"/>
          <w:highlight w:val="none"/>
          <w14:textFill>
            <w14:solidFill>
              <w14:schemeClr w14:val="tx1"/>
            </w14:solidFill>
          </w14:textFill>
        </w:rPr>
      </w:pPr>
      <w:r>
        <w:rPr>
          <w:b/>
          <w:color w:val="000000" w:themeColor="text1"/>
          <w:sz w:val="24"/>
          <w:szCs w:val="20"/>
          <w:highlight w:val="none"/>
          <w14:textFill>
            <w14:solidFill>
              <w14:schemeClr w14:val="tx1"/>
            </w14:solidFill>
          </w14:textFill>
        </w:rPr>
        <w:t>4</w:t>
      </w:r>
      <w:r>
        <w:rPr>
          <w:rFonts w:hint="eastAsia"/>
          <w:b/>
          <w:color w:val="000000" w:themeColor="text1"/>
          <w:sz w:val="24"/>
          <w:szCs w:val="20"/>
          <w:highlight w:val="none"/>
          <w14:textFill>
            <w14:solidFill>
              <w14:schemeClr w14:val="tx1"/>
            </w14:solidFill>
          </w14:textFill>
        </w:rPr>
        <w:t>、综合实力</w:t>
      </w:r>
      <w:r>
        <w:rPr>
          <w:b/>
          <w:color w:val="000000" w:themeColor="text1"/>
          <w:sz w:val="24"/>
          <w:szCs w:val="20"/>
          <w:highlight w:val="none"/>
          <w14:textFill>
            <w14:solidFill>
              <w14:schemeClr w14:val="tx1"/>
            </w14:solidFill>
          </w14:textFill>
        </w:rPr>
        <w:t>1</w:t>
      </w:r>
      <w:r>
        <w:rPr>
          <w:rFonts w:hint="eastAsia"/>
          <w:b/>
          <w:color w:val="000000" w:themeColor="text1"/>
          <w:sz w:val="24"/>
          <w:szCs w:val="20"/>
          <w:highlight w:val="none"/>
          <w14:textFill>
            <w14:solidFill>
              <w14:schemeClr w14:val="tx1"/>
            </w14:solidFill>
          </w14:textFill>
        </w:rPr>
        <w:t>2分</w:t>
      </w:r>
    </w:p>
    <w:tbl>
      <w:tblPr>
        <w:tblStyle w:val="39"/>
        <w:tblW w:w="930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03"/>
        <w:gridCol w:w="1472"/>
        <w:gridCol w:w="851"/>
        <w:gridCol w:w="6181"/>
      </w:tblGrid>
      <w:tr w14:paraId="1EBFBA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87" w:hRule="atLeast"/>
          <w:jc w:val="center"/>
        </w:trPr>
        <w:tc>
          <w:tcPr>
            <w:tcW w:w="803" w:type="dxa"/>
            <w:tcBorders>
              <w:top w:val="single" w:color="000000" w:sz="4" w:space="0"/>
              <w:left w:val="single" w:color="000000" w:sz="4" w:space="0"/>
              <w:bottom w:val="single" w:color="000000" w:sz="4" w:space="0"/>
              <w:right w:val="single" w:color="000000" w:sz="4" w:space="0"/>
            </w:tcBorders>
            <w:noWrap w:val="0"/>
            <w:vAlign w:val="center"/>
          </w:tcPr>
          <w:p w14:paraId="4196E0B0">
            <w:pPr>
              <w:keepNext w:val="0"/>
              <w:keepLines w:val="0"/>
              <w:suppressLineNumbers w:val="0"/>
              <w:spacing w:before="0" w:beforeAutospacing="0" w:after="0" w:afterAutospacing="0" w:line="240" w:lineRule="atLeast"/>
              <w:ind w:left="0" w:right="0"/>
              <w:jc w:val="center"/>
              <w:rPr>
                <w:rFonts w:hint="default"/>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序号</w:t>
            </w:r>
          </w:p>
        </w:tc>
        <w:tc>
          <w:tcPr>
            <w:tcW w:w="1472" w:type="dxa"/>
            <w:tcBorders>
              <w:top w:val="single" w:color="000000" w:sz="4" w:space="0"/>
              <w:left w:val="single" w:color="000000" w:sz="4" w:space="0"/>
              <w:bottom w:val="single" w:color="000000" w:sz="4" w:space="0"/>
              <w:right w:val="single" w:color="000000" w:sz="4" w:space="0"/>
            </w:tcBorders>
            <w:noWrap w:val="0"/>
            <w:vAlign w:val="center"/>
          </w:tcPr>
          <w:p w14:paraId="71AE7FEC">
            <w:pPr>
              <w:keepNext w:val="0"/>
              <w:keepLines w:val="0"/>
              <w:suppressLineNumbers w:val="0"/>
              <w:spacing w:before="0" w:beforeAutospacing="0" w:after="0" w:afterAutospacing="0" w:line="240" w:lineRule="atLeast"/>
              <w:ind w:left="0" w:right="0"/>
              <w:jc w:val="center"/>
              <w:rPr>
                <w:rFonts w:hint="default"/>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评分因素</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214AEC70">
            <w:pPr>
              <w:keepNext w:val="0"/>
              <w:keepLines w:val="0"/>
              <w:suppressLineNumbers w:val="0"/>
              <w:spacing w:before="0" w:beforeAutospacing="0" w:after="0" w:afterAutospacing="0" w:line="240" w:lineRule="atLeast"/>
              <w:ind w:left="0" w:right="0"/>
              <w:jc w:val="center"/>
              <w:rPr>
                <w:rFonts w:hint="default"/>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分值</w:t>
            </w:r>
          </w:p>
        </w:tc>
        <w:tc>
          <w:tcPr>
            <w:tcW w:w="6181" w:type="dxa"/>
            <w:tcBorders>
              <w:top w:val="single" w:color="000000" w:sz="4" w:space="0"/>
              <w:left w:val="single" w:color="000000" w:sz="4" w:space="0"/>
              <w:bottom w:val="single" w:color="000000" w:sz="4" w:space="0"/>
              <w:right w:val="single" w:color="000000" w:sz="4" w:space="0"/>
            </w:tcBorders>
            <w:noWrap w:val="0"/>
            <w:vAlign w:val="center"/>
          </w:tcPr>
          <w:p w14:paraId="0A97B84E">
            <w:pPr>
              <w:keepNext w:val="0"/>
              <w:keepLines w:val="0"/>
              <w:suppressLineNumbers w:val="0"/>
              <w:spacing w:before="0" w:beforeAutospacing="0" w:after="0" w:afterAutospacing="0" w:line="240" w:lineRule="atLeast"/>
              <w:ind w:left="0" w:right="0"/>
              <w:jc w:val="center"/>
              <w:rPr>
                <w:rFonts w:hint="default"/>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评分标准</w:t>
            </w:r>
          </w:p>
        </w:tc>
      </w:tr>
      <w:tr w14:paraId="7A3137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68" w:hRule="atLeast"/>
          <w:jc w:val="center"/>
        </w:trPr>
        <w:tc>
          <w:tcPr>
            <w:tcW w:w="803" w:type="dxa"/>
            <w:tcBorders>
              <w:top w:val="single" w:color="000000" w:sz="4" w:space="0"/>
              <w:left w:val="single" w:color="000000" w:sz="4" w:space="0"/>
              <w:bottom w:val="single" w:color="000000" w:sz="4" w:space="0"/>
              <w:right w:val="single" w:color="000000" w:sz="4" w:space="0"/>
            </w:tcBorders>
            <w:noWrap w:val="0"/>
            <w:vAlign w:val="center"/>
          </w:tcPr>
          <w:p w14:paraId="6FF77376">
            <w:pPr>
              <w:keepNext w:val="0"/>
              <w:keepLines w:val="0"/>
              <w:suppressLineNumbers w:val="0"/>
              <w:spacing w:before="0" w:beforeAutospacing="0" w:after="0" w:afterAutospacing="0" w:line="240" w:lineRule="atLeast"/>
              <w:ind w:left="0" w:right="0"/>
              <w:jc w:val="center"/>
              <w:rPr>
                <w:rFonts w:hint="default"/>
                <w:color w:val="000000" w:themeColor="text1"/>
                <w:sz w:val="24"/>
                <w:szCs w:val="20"/>
                <w:highlight w:val="none"/>
                <w14:textFill>
                  <w14:solidFill>
                    <w14:schemeClr w14:val="tx1"/>
                  </w14:solidFill>
                </w14:textFill>
              </w:rPr>
            </w:pPr>
            <w:r>
              <w:rPr>
                <w:rFonts w:hint="default"/>
                <w:color w:val="000000" w:themeColor="text1"/>
                <w:sz w:val="24"/>
                <w:szCs w:val="20"/>
                <w:highlight w:val="none"/>
                <w14:textFill>
                  <w14:solidFill>
                    <w14:schemeClr w14:val="tx1"/>
                  </w14:solidFill>
                </w14:textFill>
              </w:rPr>
              <w:t>1</w:t>
            </w:r>
          </w:p>
        </w:tc>
        <w:tc>
          <w:tcPr>
            <w:tcW w:w="1472" w:type="dxa"/>
            <w:tcBorders>
              <w:top w:val="single" w:color="000000" w:sz="4" w:space="0"/>
              <w:left w:val="single" w:color="000000" w:sz="4" w:space="0"/>
              <w:bottom w:val="single" w:color="000000" w:sz="4" w:space="0"/>
              <w:right w:val="single" w:color="000000" w:sz="4" w:space="0"/>
            </w:tcBorders>
            <w:noWrap w:val="0"/>
            <w:vAlign w:val="center"/>
          </w:tcPr>
          <w:p w14:paraId="7BB4086B">
            <w:pPr>
              <w:keepNext w:val="0"/>
              <w:keepLines w:val="0"/>
              <w:suppressLineNumbers w:val="0"/>
              <w:spacing w:before="0" w:beforeAutospacing="0" w:after="0" w:afterAutospacing="0" w:line="240" w:lineRule="atLeast"/>
              <w:ind w:left="0" w:right="0"/>
              <w:jc w:val="center"/>
              <w:rPr>
                <w:rFonts w:hint="default"/>
                <w:color w:val="000000" w:themeColor="text1"/>
                <w:sz w:val="24"/>
                <w:szCs w:val="20"/>
                <w:highlight w:val="none"/>
                <w14:textFill>
                  <w14:solidFill>
                    <w14:schemeClr w14:val="tx1"/>
                  </w14:solidFill>
                </w14:textFill>
              </w:rPr>
            </w:pPr>
            <w:r>
              <w:rPr>
                <w:rFonts w:hint="eastAsia"/>
                <w:color w:val="000000" w:themeColor="text1"/>
                <w:sz w:val="24"/>
                <w:szCs w:val="20"/>
                <w:highlight w:val="none"/>
                <w14:textFill>
                  <w14:solidFill>
                    <w14:schemeClr w14:val="tx1"/>
                  </w14:solidFill>
                </w14:textFill>
              </w:rPr>
              <w:t>商务条件响应性</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55FDEEFD">
            <w:pPr>
              <w:keepNext w:val="0"/>
              <w:keepLines w:val="0"/>
              <w:suppressLineNumbers w:val="0"/>
              <w:spacing w:before="0" w:beforeAutospacing="0" w:after="0" w:afterAutospacing="0" w:line="240" w:lineRule="atLeast"/>
              <w:ind w:left="0" w:right="0"/>
              <w:jc w:val="center"/>
              <w:rPr>
                <w:rFonts w:hint="eastAsia" w:eastAsiaTheme="minorEastAsia"/>
                <w:color w:val="000000" w:themeColor="text1"/>
                <w:sz w:val="24"/>
                <w:szCs w:val="20"/>
                <w:highlight w:val="none"/>
                <w:lang w:eastAsia="zh-CN"/>
                <w14:textFill>
                  <w14:solidFill>
                    <w14:schemeClr w14:val="tx1"/>
                  </w14:solidFill>
                </w14:textFill>
              </w:rPr>
            </w:pPr>
            <w:r>
              <w:rPr>
                <w:rFonts w:hint="eastAsia"/>
                <w:color w:val="000000" w:themeColor="text1"/>
                <w:sz w:val="24"/>
                <w:szCs w:val="20"/>
                <w:highlight w:val="none"/>
                <w:lang w:val="en-US" w:eastAsia="zh-CN"/>
                <w14:textFill>
                  <w14:solidFill>
                    <w14:schemeClr w14:val="tx1"/>
                  </w14:solidFill>
                </w14:textFill>
              </w:rPr>
              <w:t>4</w:t>
            </w:r>
          </w:p>
        </w:tc>
        <w:tc>
          <w:tcPr>
            <w:tcW w:w="6181" w:type="dxa"/>
            <w:tcBorders>
              <w:top w:val="single" w:color="000000" w:sz="4" w:space="0"/>
              <w:left w:val="single" w:color="000000" w:sz="4" w:space="0"/>
              <w:bottom w:val="single" w:color="000000" w:sz="4" w:space="0"/>
              <w:right w:val="single" w:color="000000" w:sz="4" w:space="0"/>
            </w:tcBorders>
            <w:noWrap w:val="0"/>
            <w:vAlign w:val="center"/>
          </w:tcPr>
          <w:p w14:paraId="24D28C6F">
            <w:pPr>
              <w:keepNext w:val="0"/>
              <w:keepLines w:val="0"/>
              <w:suppressLineNumbers w:val="0"/>
              <w:spacing w:before="0" w:beforeAutospacing="0" w:after="0" w:afterAutospacing="0" w:line="240" w:lineRule="atLeast"/>
              <w:ind w:left="0" w:right="0"/>
              <w:jc w:val="left"/>
              <w:rPr>
                <w:rFonts w:hint="default"/>
                <w:color w:val="000000" w:themeColor="text1"/>
                <w:sz w:val="24"/>
                <w:szCs w:val="20"/>
                <w:highlight w:val="none"/>
                <w14:textFill>
                  <w14:solidFill>
                    <w14:schemeClr w14:val="tx1"/>
                  </w14:solidFill>
                </w14:textFill>
              </w:rPr>
            </w:pPr>
            <w:r>
              <w:rPr>
                <w:rFonts w:hint="eastAsia"/>
                <w:color w:val="000000" w:themeColor="text1"/>
                <w:sz w:val="24"/>
                <w:szCs w:val="20"/>
                <w:highlight w:val="none"/>
                <w14:textFill>
                  <w14:solidFill>
                    <w14:schemeClr w14:val="tx1"/>
                  </w14:solidFill>
                </w14:textFill>
              </w:rPr>
              <w:t>投标人对招标文件中合同条款等商务条件完全响应</w:t>
            </w:r>
            <w:r>
              <w:rPr>
                <w:rFonts w:hint="eastAsia"/>
                <w:color w:val="000000" w:themeColor="text1"/>
                <w:sz w:val="24"/>
                <w:szCs w:val="20"/>
                <w:highlight w:val="none"/>
                <w:lang w:eastAsia="zh-CN"/>
                <w14:textFill>
                  <w14:solidFill>
                    <w14:schemeClr w14:val="tx1"/>
                  </w14:solidFill>
                </w14:textFill>
              </w:rPr>
              <w:t>（</w:t>
            </w:r>
            <w:r>
              <w:rPr>
                <w:rFonts w:hint="eastAsia"/>
                <w:color w:val="000000" w:themeColor="text1"/>
                <w:sz w:val="24"/>
                <w:szCs w:val="20"/>
                <w:highlight w:val="none"/>
                <w:lang w:val="en-US" w:eastAsia="zh-CN"/>
                <w14:textFill>
                  <w14:solidFill>
                    <w14:schemeClr w14:val="tx1"/>
                  </w14:solidFill>
                </w14:textFill>
              </w:rPr>
              <w:t>10条</w:t>
            </w:r>
            <w:r>
              <w:rPr>
                <w:rFonts w:hint="eastAsia"/>
                <w:color w:val="000000" w:themeColor="text1"/>
                <w:sz w:val="24"/>
                <w:szCs w:val="20"/>
                <w:highlight w:val="none"/>
                <w:lang w:eastAsia="zh-CN"/>
                <w14:textFill>
                  <w14:solidFill>
                    <w14:schemeClr w14:val="tx1"/>
                  </w14:solidFill>
                </w14:textFill>
              </w:rPr>
              <w:t>）</w:t>
            </w:r>
            <w:r>
              <w:rPr>
                <w:rFonts w:hint="eastAsia"/>
                <w:color w:val="000000" w:themeColor="text1"/>
                <w:sz w:val="24"/>
                <w:szCs w:val="20"/>
                <w:highlight w:val="none"/>
                <w14:textFill>
                  <w14:solidFill>
                    <w14:schemeClr w14:val="tx1"/>
                  </w14:solidFill>
                </w14:textFill>
              </w:rPr>
              <w:t>的得</w:t>
            </w:r>
            <w:r>
              <w:rPr>
                <w:rFonts w:hint="eastAsia"/>
                <w:color w:val="000000" w:themeColor="text1"/>
                <w:sz w:val="24"/>
                <w:szCs w:val="20"/>
                <w:highlight w:val="none"/>
                <w:lang w:val="en-US" w:eastAsia="zh-CN"/>
                <w14:textFill>
                  <w14:solidFill>
                    <w14:schemeClr w14:val="tx1"/>
                  </w14:solidFill>
                </w14:textFill>
              </w:rPr>
              <w:t>4</w:t>
            </w:r>
            <w:r>
              <w:rPr>
                <w:rFonts w:hint="eastAsia"/>
                <w:color w:val="000000" w:themeColor="text1"/>
                <w:sz w:val="24"/>
                <w:szCs w:val="20"/>
                <w:highlight w:val="none"/>
                <w14:textFill>
                  <w14:solidFill>
                    <w14:schemeClr w14:val="tx1"/>
                  </w14:solidFill>
                </w14:textFill>
              </w:rPr>
              <w:t>分；有负偏离条款的，每条扣</w:t>
            </w:r>
            <w:r>
              <w:rPr>
                <w:rFonts w:hint="default"/>
                <w:color w:val="000000" w:themeColor="text1"/>
                <w:sz w:val="24"/>
                <w:szCs w:val="20"/>
                <w:highlight w:val="none"/>
                <w14:textFill>
                  <w14:solidFill>
                    <w14:schemeClr w14:val="tx1"/>
                  </w14:solidFill>
                </w14:textFill>
              </w:rPr>
              <w:t>0.</w:t>
            </w:r>
            <w:r>
              <w:rPr>
                <w:rFonts w:hint="eastAsia"/>
                <w:color w:val="000000" w:themeColor="text1"/>
                <w:sz w:val="24"/>
                <w:szCs w:val="20"/>
                <w:highlight w:val="none"/>
                <w:lang w:val="en-US" w:eastAsia="zh-CN"/>
                <w14:textFill>
                  <w14:solidFill>
                    <w14:schemeClr w14:val="tx1"/>
                  </w14:solidFill>
                </w14:textFill>
              </w:rPr>
              <w:t>4</w:t>
            </w:r>
            <w:r>
              <w:rPr>
                <w:rFonts w:hint="eastAsia"/>
                <w:color w:val="000000" w:themeColor="text1"/>
                <w:sz w:val="24"/>
                <w:szCs w:val="20"/>
                <w:highlight w:val="none"/>
                <w14:textFill>
                  <w14:solidFill>
                    <w14:schemeClr w14:val="tx1"/>
                  </w14:solidFill>
                </w14:textFill>
              </w:rPr>
              <w:t>分。</w:t>
            </w:r>
          </w:p>
        </w:tc>
      </w:tr>
      <w:tr w14:paraId="74CA89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9" w:hRule="atLeast"/>
          <w:jc w:val="center"/>
        </w:trPr>
        <w:tc>
          <w:tcPr>
            <w:tcW w:w="803" w:type="dxa"/>
            <w:tcBorders>
              <w:top w:val="single" w:color="000000" w:sz="4" w:space="0"/>
              <w:left w:val="single" w:color="000000" w:sz="4" w:space="0"/>
              <w:bottom w:val="single" w:color="000000" w:sz="4" w:space="0"/>
              <w:right w:val="single" w:color="000000" w:sz="4" w:space="0"/>
            </w:tcBorders>
            <w:noWrap w:val="0"/>
            <w:vAlign w:val="center"/>
          </w:tcPr>
          <w:p w14:paraId="608237C0">
            <w:pPr>
              <w:keepNext w:val="0"/>
              <w:keepLines w:val="0"/>
              <w:suppressLineNumbers w:val="0"/>
              <w:spacing w:before="0" w:beforeAutospacing="0" w:after="0" w:afterAutospacing="0" w:line="360" w:lineRule="auto"/>
              <w:ind w:left="0" w:right="0"/>
              <w:jc w:val="center"/>
              <w:rPr>
                <w:rFonts w:hint="default"/>
                <w:color w:val="000000" w:themeColor="text1"/>
                <w:sz w:val="24"/>
                <w:szCs w:val="20"/>
                <w:highlight w:val="none"/>
                <w14:textFill>
                  <w14:solidFill>
                    <w14:schemeClr w14:val="tx1"/>
                  </w14:solidFill>
                </w14:textFill>
              </w:rPr>
            </w:pPr>
            <w:r>
              <w:rPr>
                <w:rFonts w:hint="default"/>
                <w:color w:val="000000" w:themeColor="text1"/>
                <w:sz w:val="24"/>
                <w:szCs w:val="20"/>
                <w:highlight w:val="none"/>
                <w14:textFill>
                  <w14:solidFill>
                    <w14:schemeClr w14:val="tx1"/>
                  </w14:solidFill>
                </w14:textFill>
              </w:rPr>
              <w:t>2</w:t>
            </w:r>
          </w:p>
        </w:tc>
        <w:tc>
          <w:tcPr>
            <w:tcW w:w="1472" w:type="dxa"/>
            <w:tcBorders>
              <w:top w:val="single" w:color="000000" w:sz="4" w:space="0"/>
              <w:left w:val="single" w:color="000000" w:sz="4" w:space="0"/>
              <w:bottom w:val="single" w:color="000000" w:sz="4" w:space="0"/>
              <w:right w:val="single" w:color="000000" w:sz="4" w:space="0"/>
            </w:tcBorders>
            <w:noWrap w:val="0"/>
            <w:vAlign w:val="center"/>
          </w:tcPr>
          <w:p w14:paraId="02EA0C92">
            <w:pPr>
              <w:keepNext w:val="0"/>
              <w:keepLines w:val="0"/>
              <w:suppressLineNumbers w:val="0"/>
              <w:spacing w:before="0" w:beforeAutospacing="0" w:after="0" w:afterAutospacing="0" w:line="360" w:lineRule="auto"/>
              <w:ind w:left="0" w:right="0"/>
              <w:jc w:val="center"/>
              <w:rPr>
                <w:rFonts w:hint="default"/>
                <w:color w:val="000000" w:themeColor="text1"/>
                <w:sz w:val="24"/>
                <w:szCs w:val="20"/>
                <w:highlight w:val="none"/>
                <w14:textFill>
                  <w14:solidFill>
                    <w14:schemeClr w14:val="tx1"/>
                  </w14:solidFill>
                </w14:textFill>
              </w:rPr>
            </w:pPr>
            <w:r>
              <w:rPr>
                <w:rFonts w:hint="eastAsia"/>
                <w:color w:val="000000" w:themeColor="text1"/>
                <w:sz w:val="24"/>
                <w:szCs w:val="20"/>
                <w:highlight w:val="none"/>
                <w14:textFill>
                  <w14:solidFill>
                    <w14:schemeClr w14:val="tx1"/>
                  </w14:solidFill>
                </w14:textFill>
              </w:rPr>
              <w:t>业绩情况</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46854E8A">
            <w:pPr>
              <w:keepNext w:val="0"/>
              <w:keepLines w:val="0"/>
              <w:suppressLineNumbers w:val="0"/>
              <w:spacing w:before="0" w:beforeAutospacing="0" w:after="0" w:afterAutospacing="0" w:line="360" w:lineRule="auto"/>
              <w:ind w:left="0" w:right="0"/>
              <w:jc w:val="center"/>
              <w:rPr>
                <w:rFonts w:hint="default"/>
                <w:color w:val="000000" w:themeColor="text1"/>
                <w:sz w:val="24"/>
                <w:szCs w:val="20"/>
                <w:highlight w:val="none"/>
                <w14:textFill>
                  <w14:solidFill>
                    <w14:schemeClr w14:val="tx1"/>
                  </w14:solidFill>
                </w14:textFill>
              </w:rPr>
            </w:pPr>
            <w:r>
              <w:rPr>
                <w:rFonts w:hint="eastAsia"/>
                <w:color w:val="000000" w:themeColor="text1"/>
                <w:sz w:val="24"/>
                <w:szCs w:val="20"/>
                <w:highlight w:val="none"/>
                <w14:textFill>
                  <w14:solidFill>
                    <w14:schemeClr w14:val="tx1"/>
                  </w14:solidFill>
                </w14:textFill>
              </w:rPr>
              <w:t>8</w:t>
            </w:r>
          </w:p>
        </w:tc>
        <w:tc>
          <w:tcPr>
            <w:tcW w:w="6181" w:type="dxa"/>
            <w:tcBorders>
              <w:top w:val="single" w:color="000000" w:sz="4" w:space="0"/>
              <w:left w:val="single" w:color="000000" w:sz="4" w:space="0"/>
              <w:bottom w:val="single" w:color="000000" w:sz="4" w:space="0"/>
              <w:right w:val="single" w:color="000000" w:sz="4" w:space="0"/>
            </w:tcBorders>
            <w:noWrap w:val="0"/>
            <w:vAlign w:val="center"/>
          </w:tcPr>
          <w:p w14:paraId="647C13E5">
            <w:pPr>
              <w:keepNext w:val="0"/>
              <w:keepLines w:val="0"/>
              <w:suppressLineNumbers w:val="0"/>
              <w:spacing w:before="0" w:beforeAutospacing="0" w:after="0" w:afterAutospacing="0" w:line="240" w:lineRule="atLeast"/>
              <w:ind w:left="0" w:right="0"/>
              <w:jc w:val="left"/>
              <w:rPr>
                <w:rFonts w:hint="eastAsia"/>
                <w:color w:val="000000" w:themeColor="text1"/>
                <w:sz w:val="24"/>
                <w:szCs w:val="20"/>
                <w:highlight w:val="none"/>
                <w14:textFill>
                  <w14:solidFill>
                    <w14:schemeClr w14:val="tx1"/>
                  </w14:solidFill>
                </w14:textFill>
              </w:rPr>
            </w:pPr>
            <w:r>
              <w:rPr>
                <w:rFonts w:hint="eastAsia"/>
                <w:color w:val="000000" w:themeColor="text1"/>
                <w:sz w:val="24"/>
                <w:szCs w:val="20"/>
                <w:highlight w:val="none"/>
                <w14:textFill>
                  <w14:solidFill>
                    <w14:schemeClr w14:val="tx1"/>
                  </w14:solidFill>
                </w14:textFill>
              </w:rPr>
              <w:t>根据投标人2021年1月1日至今（时间以合同签订日期为准）实施的类似项目业绩进行评定：</w:t>
            </w:r>
          </w:p>
          <w:p w14:paraId="4FF9570F">
            <w:pPr>
              <w:keepNext w:val="0"/>
              <w:keepLines w:val="0"/>
              <w:suppressLineNumbers w:val="0"/>
              <w:spacing w:before="0" w:beforeAutospacing="0" w:after="0" w:afterAutospacing="0" w:line="240" w:lineRule="atLeast"/>
              <w:ind w:left="0" w:right="0"/>
              <w:jc w:val="left"/>
              <w:rPr>
                <w:rFonts w:hint="eastAsia"/>
                <w:color w:val="000000" w:themeColor="text1"/>
                <w:sz w:val="24"/>
                <w:szCs w:val="20"/>
                <w:highlight w:val="none"/>
                <w14:textFill>
                  <w14:solidFill>
                    <w14:schemeClr w14:val="tx1"/>
                  </w14:solidFill>
                </w14:textFill>
              </w:rPr>
            </w:pPr>
            <w:r>
              <w:rPr>
                <w:rFonts w:hint="eastAsia"/>
                <w:color w:val="000000" w:themeColor="text1"/>
                <w:sz w:val="24"/>
                <w:szCs w:val="20"/>
                <w:highlight w:val="none"/>
                <w14:textFill>
                  <w14:solidFill>
                    <w14:schemeClr w14:val="tx1"/>
                  </w14:solidFill>
                </w14:textFill>
              </w:rPr>
              <w:t>①内容为市政排水管网养护的，每提供一项得2分，最高得2分；</w:t>
            </w:r>
          </w:p>
          <w:p w14:paraId="79E9EAC8">
            <w:pPr>
              <w:keepNext w:val="0"/>
              <w:keepLines w:val="0"/>
              <w:suppressLineNumbers w:val="0"/>
              <w:spacing w:before="0" w:beforeAutospacing="0" w:after="0" w:afterAutospacing="0" w:line="240" w:lineRule="atLeast"/>
              <w:ind w:left="0" w:right="0"/>
              <w:jc w:val="left"/>
              <w:rPr>
                <w:rFonts w:hint="eastAsia"/>
                <w:color w:val="000000" w:themeColor="text1"/>
                <w:sz w:val="24"/>
                <w:szCs w:val="20"/>
                <w:highlight w:val="none"/>
                <w14:textFill>
                  <w14:solidFill>
                    <w14:schemeClr w14:val="tx1"/>
                  </w14:solidFill>
                </w14:textFill>
              </w:rPr>
            </w:pPr>
            <w:r>
              <w:rPr>
                <w:rFonts w:hint="eastAsia"/>
                <w:color w:val="000000" w:themeColor="text1"/>
                <w:sz w:val="24"/>
                <w:szCs w:val="20"/>
                <w:highlight w:val="none"/>
                <w14:textFill>
                  <w14:solidFill>
                    <w14:schemeClr w14:val="tx1"/>
                  </w14:solidFill>
                </w14:textFill>
              </w:rPr>
              <w:t>②内容为水生植物养护的，每提供一项得2分，最高得2分；</w:t>
            </w:r>
          </w:p>
          <w:p w14:paraId="6D703481">
            <w:pPr>
              <w:keepNext w:val="0"/>
              <w:keepLines w:val="0"/>
              <w:suppressLineNumbers w:val="0"/>
              <w:spacing w:before="0" w:beforeAutospacing="0" w:after="0" w:afterAutospacing="0" w:line="240" w:lineRule="atLeast"/>
              <w:ind w:left="0" w:right="0"/>
              <w:jc w:val="left"/>
              <w:rPr>
                <w:rFonts w:hint="eastAsia"/>
                <w:color w:val="000000" w:themeColor="text1"/>
                <w:sz w:val="24"/>
                <w:szCs w:val="20"/>
                <w:highlight w:val="none"/>
                <w14:textFill>
                  <w14:solidFill>
                    <w14:schemeClr w14:val="tx1"/>
                  </w14:solidFill>
                </w14:textFill>
              </w:rPr>
            </w:pPr>
            <w:r>
              <w:rPr>
                <w:rFonts w:hint="eastAsia"/>
                <w:color w:val="000000" w:themeColor="text1"/>
                <w:sz w:val="24"/>
                <w:szCs w:val="20"/>
                <w:highlight w:val="none"/>
                <w14:textFill>
                  <w14:solidFill>
                    <w14:schemeClr w14:val="tx1"/>
                  </w14:solidFill>
                </w14:textFill>
              </w:rPr>
              <w:t>③内容为市政排水管网非开挖修复的，每提供一项得2分，最高得2分；</w:t>
            </w:r>
          </w:p>
          <w:p w14:paraId="6D3350D6">
            <w:pPr>
              <w:keepNext w:val="0"/>
              <w:keepLines w:val="0"/>
              <w:suppressLineNumbers w:val="0"/>
              <w:spacing w:before="0" w:beforeAutospacing="0" w:after="0" w:afterAutospacing="0" w:line="240" w:lineRule="atLeast"/>
              <w:ind w:left="0" w:right="0"/>
              <w:jc w:val="left"/>
              <w:rPr>
                <w:rFonts w:hint="eastAsia"/>
                <w:color w:val="000000" w:themeColor="text1"/>
                <w:sz w:val="24"/>
                <w:szCs w:val="20"/>
                <w:highlight w:val="none"/>
                <w14:textFill>
                  <w14:solidFill>
                    <w14:schemeClr w14:val="tx1"/>
                  </w14:solidFill>
                </w14:textFill>
              </w:rPr>
            </w:pPr>
            <w:r>
              <w:rPr>
                <w:rFonts w:hint="eastAsia"/>
                <w:color w:val="000000" w:themeColor="text1"/>
                <w:sz w:val="24"/>
                <w:szCs w:val="20"/>
                <w:highlight w:val="none"/>
                <w14:textFill>
                  <w14:solidFill>
                    <w14:schemeClr w14:val="tx1"/>
                  </w14:solidFill>
                </w14:textFill>
              </w:rPr>
              <w:t>④内容为一体化泵站维护的，每提供一项得2分，最高得2分；</w:t>
            </w:r>
          </w:p>
          <w:p w14:paraId="24F0480C">
            <w:pPr>
              <w:keepNext w:val="0"/>
              <w:keepLines w:val="0"/>
              <w:suppressLineNumbers w:val="0"/>
              <w:spacing w:before="0" w:beforeAutospacing="0" w:after="0" w:afterAutospacing="0" w:line="240" w:lineRule="atLeast"/>
              <w:ind w:left="0" w:right="0"/>
              <w:jc w:val="left"/>
              <w:rPr>
                <w:rFonts w:hint="eastAsia"/>
                <w:color w:val="000000" w:themeColor="text1"/>
                <w:sz w:val="24"/>
                <w:szCs w:val="20"/>
                <w:highlight w:val="none"/>
                <w14:textFill>
                  <w14:solidFill>
                    <w14:schemeClr w14:val="tx1"/>
                  </w14:solidFill>
                </w14:textFill>
              </w:rPr>
            </w:pPr>
            <w:r>
              <w:rPr>
                <w:rFonts w:hint="eastAsia"/>
                <w:color w:val="000000" w:themeColor="text1"/>
                <w:sz w:val="24"/>
                <w:szCs w:val="20"/>
                <w:highlight w:val="none"/>
                <w14:textFill>
                  <w14:solidFill>
                    <w14:schemeClr w14:val="tx1"/>
                  </w14:solidFill>
                </w14:textFill>
              </w:rPr>
              <w:t>本项最高得</w:t>
            </w:r>
            <w:r>
              <w:rPr>
                <w:rFonts w:hint="eastAsia"/>
                <w:color w:val="000000" w:themeColor="text1"/>
                <w:sz w:val="24"/>
                <w:szCs w:val="20"/>
                <w:highlight w:val="none"/>
                <w:lang w:val="en-US" w:eastAsia="zh-CN"/>
                <w14:textFill>
                  <w14:solidFill>
                    <w14:schemeClr w14:val="tx1"/>
                  </w14:solidFill>
                </w14:textFill>
              </w:rPr>
              <w:t>8</w:t>
            </w:r>
            <w:r>
              <w:rPr>
                <w:rFonts w:hint="eastAsia"/>
                <w:color w:val="000000" w:themeColor="text1"/>
                <w:sz w:val="24"/>
                <w:szCs w:val="20"/>
                <w:highlight w:val="none"/>
                <w14:textFill>
                  <w14:solidFill>
                    <w14:schemeClr w14:val="tx1"/>
                  </w14:solidFill>
                </w14:textFill>
              </w:rPr>
              <w:t>分。未提供的不得分。</w:t>
            </w:r>
          </w:p>
          <w:p w14:paraId="71CFDE80">
            <w:pPr>
              <w:keepNext w:val="0"/>
              <w:keepLines w:val="0"/>
              <w:suppressLineNumbers w:val="0"/>
              <w:spacing w:before="0" w:beforeAutospacing="0" w:after="0" w:afterAutospacing="0" w:line="240" w:lineRule="atLeast"/>
              <w:ind w:left="0" w:right="0"/>
              <w:jc w:val="left"/>
              <w:rPr>
                <w:rFonts w:hint="eastAsia"/>
                <w:b/>
                <w:color w:val="000000" w:themeColor="text1"/>
                <w:sz w:val="24"/>
                <w:szCs w:val="20"/>
                <w:highlight w:val="none"/>
                <w14:textFill>
                  <w14:solidFill>
                    <w14:schemeClr w14:val="tx1"/>
                  </w14:solidFill>
                </w14:textFill>
              </w:rPr>
            </w:pPr>
            <w:r>
              <w:rPr>
                <w:rFonts w:hint="eastAsia"/>
                <w:b/>
                <w:color w:val="000000" w:themeColor="text1"/>
                <w:sz w:val="24"/>
                <w:szCs w:val="20"/>
                <w:highlight w:val="none"/>
                <w14:textFill>
                  <w14:solidFill>
                    <w14:schemeClr w14:val="tx1"/>
                  </w14:solidFill>
                </w14:textFill>
              </w:rPr>
              <w:t>注：（1）投标文件中需提供业绩相关合同扫描件，未提供合同扫描件的不得分。</w:t>
            </w:r>
          </w:p>
          <w:p w14:paraId="27130707">
            <w:pPr>
              <w:keepNext w:val="0"/>
              <w:keepLines w:val="0"/>
              <w:numPr>
                <w:ilvl w:val="0"/>
                <w:numId w:val="0"/>
              </w:numPr>
              <w:suppressLineNumbers w:val="0"/>
              <w:spacing w:before="0" w:beforeAutospacing="0" w:after="0" w:afterAutospacing="0" w:line="240" w:lineRule="atLeast"/>
              <w:ind w:left="0" w:right="0"/>
              <w:jc w:val="left"/>
              <w:rPr>
                <w:rFonts w:hint="default"/>
                <w:b/>
                <w:color w:val="000000" w:themeColor="text1"/>
                <w:sz w:val="24"/>
                <w:szCs w:val="20"/>
                <w:highlight w:val="none"/>
                <w14:textFill>
                  <w14:solidFill>
                    <w14:schemeClr w14:val="tx1"/>
                  </w14:solidFill>
                </w14:textFill>
              </w:rPr>
            </w:pPr>
            <w:r>
              <w:rPr>
                <w:rFonts w:hint="default" w:asciiTheme="minorHAnsi" w:hAnsiTheme="minorHAnsi" w:eastAsiaTheme="minorEastAsia" w:cstheme="minorBidi"/>
                <w:b/>
                <w:color w:val="000000" w:themeColor="text1"/>
                <w:sz w:val="24"/>
                <w:szCs w:val="20"/>
                <w:highlight w:val="none"/>
                <w:lang w:val="en-US" w:eastAsia="zh-CN" w:bidi="ar-SA"/>
                <w14:textFill>
                  <w14:solidFill>
                    <w14:schemeClr w14:val="tx1"/>
                  </w14:solidFill>
                </w14:textFill>
              </w:rPr>
              <w:t>（2）</w:t>
            </w:r>
            <w:r>
              <w:rPr>
                <w:rFonts w:hint="eastAsia"/>
                <w:b/>
                <w:color w:val="000000" w:themeColor="text1"/>
                <w:sz w:val="24"/>
                <w:szCs w:val="20"/>
                <w:highlight w:val="none"/>
                <w14:textFill>
                  <w14:solidFill>
                    <w14:schemeClr w14:val="tx1"/>
                  </w14:solidFill>
                </w14:textFill>
              </w:rPr>
              <w:t>同一份</w:t>
            </w:r>
            <w:r>
              <w:rPr>
                <w:rFonts w:hint="default"/>
                <w:b/>
                <w:color w:val="000000" w:themeColor="text1"/>
                <w:sz w:val="24"/>
                <w:szCs w:val="20"/>
                <w:highlight w:val="none"/>
                <w14:textFill>
                  <w14:solidFill>
                    <w14:schemeClr w14:val="tx1"/>
                  </w14:solidFill>
                </w14:textFill>
              </w:rPr>
              <w:t>合同有多个内容的，只计取一次，不重复计取。</w:t>
            </w:r>
          </w:p>
          <w:p w14:paraId="75BAE620">
            <w:pPr>
              <w:keepNext w:val="0"/>
              <w:keepLines w:val="0"/>
              <w:numPr>
                <w:ilvl w:val="0"/>
                <w:numId w:val="0"/>
              </w:numPr>
              <w:suppressLineNumbers w:val="0"/>
              <w:spacing w:before="0" w:beforeAutospacing="0" w:after="0" w:afterAutospacing="0" w:line="240" w:lineRule="atLeast"/>
              <w:ind w:left="0" w:right="0"/>
              <w:jc w:val="left"/>
              <w:rPr>
                <w:rFonts w:hint="default"/>
                <w:b/>
                <w:color w:val="000000" w:themeColor="text1"/>
                <w:sz w:val="24"/>
                <w:szCs w:val="20"/>
                <w:highlight w:val="none"/>
                <w14:textFill>
                  <w14:solidFill>
                    <w14:schemeClr w14:val="tx1"/>
                  </w14:solidFill>
                </w14:textFill>
              </w:rPr>
            </w:pPr>
            <w:r>
              <w:rPr>
                <w:rFonts w:hint="default" w:asciiTheme="minorHAnsi" w:hAnsiTheme="minorHAnsi" w:eastAsiaTheme="minorEastAsia" w:cstheme="minorBidi"/>
                <w:b/>
                <w:color w:val="000000" w:themeColor="text1"/>
                <w:sz w:val="24"/>
                <w:szCs w:val="20"/>
                <w:highlight w:val="none"/>
                <w:lang w:val="en-US" w:eastAsia="zh-CN" w:bidi="ar-SA"/>
                <w14:textFill>
                  <w14:solidFill>
                    <w14:schemeClr w14:val="tx1"/>
                  </w14:solidFill>
                </w14:textFill>
              </w:rPr>
              <w:t>（3）</w:t>
            </w:r>
            <w:r>
              <w:rPr>
                <w:rFonts w:hint="eastAsia"/>
                <w:b/>
                <w:color w:val="000000" w:themeColor="text1"/>
                <w:sz w:val="24"/>
                <w:szCs w:val="20"/>
                <w:highlight w:val="none"/>
                <w14:textFill>
                  <w14:solidFill>
                    <w14:schemeClr w14:val="tx1"/>
                  </w14:solidFill>
                </w14:textFill>
              </w:rPr>
              <w:t>管网非开挖修复为短管置换、内衬修复、紫外光固、热塑成型、原位固化等。</w:t>
            </w:r>
          </w:p>
        </w:tc>
      </w:tr>
    </w:tbl>
    <w:p w14:paraId="72E37397">
      <w:pPr>
        <w:spacing w:line="440" w:lineRule="exact"/>
        <w:ind w:firstLine="562"/>
        <w:rPr>
          <w:b/>
          <w:bCs/>
          <w:color w:val="000000" w:themeColor="text1"/>
          <w:sz w:val="28"/>
          <w:highlight w:val="none"/>
          <w14:textFill>
            <w14:solidFill>
              <w14:schemeClr w14:val="tx1"/>
            </w14:solidFill>
          </w14:textFill>
        </w:rPr>
      </w:pPr>
      <w:r>
        <w:rPr>
          <w:rFonts w:hint="eastAsia"/>
          <w:b/>
          <w:bCs/>
          <w:color w:val="000000" w:themeColor="text1"/>
          <w:sz w:val="28"/>
          <w:highlight w:val="none"/>
          <w14:textFill>
            <w14:solidFill>
              <w14:schemeClr w14:val="tx1"/>
            </w14:solidFill>
          </w14:textFill>
        </w:rPr>
        <w:t>三、政府采购政策：</w:t>
      </w:r>
    </w:p>
    <w:p w14:paraId="45E5F074">
      <w:pPr>
        <w:spacing w:line="440" w:lineRule="exact"/>
        <w:ind w:firstLine="480"/>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1、落实政府采购政策需满足的资格要求：</w:t>
      </w:r>
    </w:p>
    <w:p w14:paraId="61B9FE40">
      <w:pPr>
        <w:spacing w:line="440" w:lineRule="exact"/>
        <w:ind w:firstLine="482"/>
        <w:rPr>
          <w:color w:val="000000" w:themeColor="text1"/>
          <w:sz w:val="24"/>
          <w:highlight w:val="none"/>
          <w14:textFill>
            <w14:solidFill>
              <w14:schemeClr w14:val="tx1"/>
            </w14:solidFill>
          </w14:textFill>
        </w:rPr>
      </w:pPr>
      <w:r>
        <w:rPr>
          <w:rFonts w:hint="eastAsia"/>
          <w:b/>
          <w:bCs/>
          <w:color w:val="000000" w:themeColor="text1"/>
          <w:sz w:val="24"/>
          <w:highlight w:val="none"/>
          <w14:textFill>
            <w14:solidFill>
              <w14:schemeClr w14:val="tx1"/>
            </w14:solidFill>
          </w14:textFill>
        </w:rPr>
        <w:t>（1）</w:t>
      </w:r>
      <w:r>
        <w:rPr>
          <w:b/>
          <w:bCs/>
          <w:color w:val="000000" w:themeColor="text1"/>
          <w:sz w:val="24"/>
          <w:szCs w:val="24"/>
          <w:highlight w:val="none"/>
          <w14:textFill>
            <w14:solidFill>
              <w14:schemeClr w14:val="tx1"/>
            </w14:solidFill>
          </w14:textFill>
        </w:rPr>
        <w:t>本项目专门面向中小企业采购，所属行业为</w:t>
      </w:r>
      <w:r>
        <w:rPr>
          <w:rFonts w:hint="eastAsia"/>
          <w:b/>
          <w:bCs/>
          <w:color w:val="000000" w:themeColor="text1"/>
          <w:sz w:val="24"/>
          <w:szCs w:val="24"/>
          <w:highlight w:val="none"/>
          <w:lang w:val="en-US" w:eastAsia="zh-CN"/>
          <w14:textFill>
            <w14:solidFill>
              <w14:schemeClr w14:val="tx1"/>
            </w14:solidFill>
          </w14:textFill>
        </w:rPr>
        <w:t>其他未列明行业</w:t>
      </w:r>
      <w:r>
        <w:rPr>
          <w:b/>
          <w:bCs/>
          <w:color w:val="000000" w:themeColor="text1"/>
          <w:sz w:val="24"/>
          <w:szCs w:val="24"/>
          <w:highlight w:val="none"/>
          <w14:textFill>
            <w14:solidFill>
              <w14:schemeClr w14:val="tx1"/>
            </w14:solidFill>
          </w14:textFill>
        </w:rPr>
        <w:t>。</w:t>
      </w:r>
    </w:p>
    <w:p w14:paraId="46723E79">
      <w:pPr>
        <w:spacing w:line="440" w:lineRule="exact"/>
        <w:ind w:firstLine="480"/>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（2）在投标文件中须提供《中小企业声明函》。（填报严格按工信部联企业〔2011〕300号通知中的《中小企业划型标准规定》进行）</w:t>
      </w:r>
    </w:p>
    <w:p w14:paraId="7DC2B61E">
      <w:pPr>
        <w:spacing w:line="440" w:lineRule="exact"/>
        <w:ind w:firstLine="480"/>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3）对残疾人福利性单位、监狱企业视同小型、微型企业，残疾人福利性单位需提供《残疾人福利性单位声明函》；监狱企业需提供由省级以上监狱管理局、戒毒管理局（含新疆生产建设兵团）出具的属于监狱企业的证明文件。</w:t>
      </w:r>
    </w:p>
    <w:p w14:paraId="774E4BCB">
      <w:pPr>
        <w:spacing w:line="440" w:lineRule="exact"/>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w:t>
      </w:r>
      <w:r>
        <w:rPr>
          <w:color w:val="000000" w:themeColor="text1"/>
          <w:sz w:val="24"/>
          <w:szCs w:val="24"/>
          <w:highlight w:val="none"/>
          <w14:textFill>
            <w14:solidFill>
              <w14:schemeClr w14:val="tx1"/>
            </w14:solidFill>
          </w14:textFill>
        </w:rPr>
        <w:t>4</w:t>
      </w:r>
      <w:r>
        <w:rPr>
          <w:rFonts w:hint="eastAsia"/>
          <w:color w:val="000000" w:themeColor="text1"/>
          <w:sz w:val="24"/>
          <w:szCs w:val="24"/>
          <w:highlight w:val="none"/>
          <w14:textFill>
            <w14:solidFill>
              <w14:schemeClr w14:val="tx1"/>
            </w14:solidFill>
          </w14:textFill>
        </w:rPr>
        <w:t>）本项目专门面向中小企业采购应符合下列情形</w:t>
      </w:r>
      <w:r>
        <w:rPr>
          <w:color w:val="000000" w:themeColor="text1"/>
          <w:sz w:val="24"/>
          <w:szCs w:val="24"/>
          <w:highlight w:val="none"/>
          <w14:textFill>
            <w14:solidFill>
              <w14:schemeClr w14:val="tx1"/>
            </w14:solidFill>
          </w14:textFill>
        </w:rPr>
        <w:t>：</w:t>
      </w:r>
      <w:r>
        <w:rPr>
          <w:rFonts w:hint="eastAsia"/>
          <w:color w:val="000000" w:themeColor="text1"/>
          <w:sz w:val="24"/>
          <w:szCs w:val="24"/>
          <w:highlight w:val="none"/>
          <w14:textFill>
            <w14:solidFill>
              <w14:schemeClr w14:val="tx1"/>
            </w14:solidFill>
          </w14:textFill>
        </w:rPr>
        <w:t>供应商提供的货物由中小企业制造，即货物由中小企业生产且使用该中小企业商号或者注册商标。如既有中小企业制造货物，也有大型企业制造货物的则不予认定。</w:t>
      </w:r>
    </w:p>
    <w:p w14:paraId="54718647">
      <w:pPr>
        <w:spacing w:line="440" w:lineRule="exact"/>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w:t>
      </w:r>
      <w:r>
        <w:rPr>
          <w:color w:val="000000" w:themeColor="text1"/>
          <w:sz w:val="24"/>
          <w:szCs w:val="24"/>
          <w:highlight w:val="none"/>
          <w14:textFill>
            <w14:solidFill>
              <w14:schemeClr w14:val="tx1"/>
            </w14:solidFill>
          </w14:textFill>
        </w:rPr>
        <w:t>5</w:t>
      </w:r>
      <w:r>
        <w:rPr>
          <w:rFonts w:hint="eastAsia"/>
          <w:color w:val="000000" w:themeColor="text1"/>
          <w:sz w:val="24"/>
          <w:szCs w:val="24"/>
          <w:highlight w:val="none"/>
          <w14:textFill>
            <w14:solidFill>
              <w14:schemeClr w14:val="tx1"/>
            </w14:solidFill>
          </w14:textFill>
        </w:rPr>
        <w:t>）</w:t>
      </w:r>
      <w:r>
        <w:rPr>
          <w:color w:val="000000" w:themeColor="text1"/>
          <w:sz w:val="24"/>
          <w:szCs w:val="24"/>
          <w:highlight w:val="none"/>
          <w14:textFill>
            <w14:solidFill>
              <w14:schemeClr w14:val="tx1"/>
            </w14:solidFill>
          </w14:textFill>
        </w:rPr>
        <w:t>享受政府采购支持政策的残疾人福利性单位应当同时满足以下条件：</w:t>
      </w:r>
    </w:p>
    <w:p w14:paraId="5C0B3407">
      <w:pPr>
        <w:spacing w:line="440" w:lineRule="exact"/>
        <w:ind w:firstLine="480"/>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安置的残疾人占本单位在职职工人数的比例不低于25%（含25%），并且安置的残疾人人数不少于10人（含10人）；依法与安置的每位残疾人签订了一年以上（含一年）的劳动合同或服务协议；</w:t>
      </w:r>
    </w:p>
    <w:p w14:paraId="677D32AD">
      <w:pPr>
        <w:spacing w:line="440" w:lineRule="exact"/>
        <w:ind w:firstLine="480"/>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为安置的每位残疾人按月足额缴纳了基本养老保险、基本医疗保险、失业保险、工伤保险和生育保险等社会保险费；通过银行等金融机构向安置的每位残疾人，按月支付了不低于单位所在区县适用的经省级人民政府批准的月最低工资标准的工资；</w:t>
      </w:r>
    </w:p>
    <w:p w14:paraId="1C333E42">
      <w:pPr>
        <w:spacing w:line="440" w:lineRule="exact"/>
        <w:ind w:firstLine="480"/>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提供本单位制造的货物、承担的工程或者服务，或者提供其他残疾人福利性单位制造的货物（不包括使用非残疾人福利性单位注册商标的货物）。</w:t>
      </w:r>
    </w:p>
    <w:p w14:paraId="32034F4C">
      <w:pPr>
        <w:spacing w:line="440" w:lineRule="exact"/>
        <w:ind w:firstLine="480"/>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26C26F59">
      <w:pPr>
        <w:spacing w:line="440" w:lineRule="exact"/>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w:t>
      </w:r>
      <w:r>
        <w:rPr>
          <w:color w:val="000000" w:themeColor="text1"/>
          <w:sz w:val="24"/>
          <w:szCs w:val="24"/>
          <w:highlight w:val="none"/>
          <w14:textFill>
            <w14:solidFill>
              <w14:schemeClr w14:val="tx1"/>
            </w14:solidFill>
          </w14:textFill>
        </w:rPr>
        <w:t>6</w:t>
      </w:r>
      <w:r>
        <w:rPr>
          <w:rFonts w:hint="eastAsia"/>
          <w:color w:val="000000" w:themeColor="text1"/>
          <w:sz w:val="24"/>
          <w:szCs w:val="24"/>
          <w:highlight w:val="none"/>
          <w14:textFill>
            <w14:solidFill>
              <w14:schemeClr w14:val="tx1"/>
            </w14:solidFill>
          </w14:textFill>
        </w:rPr>
        <w:t>）</w:t>
      </w:r>
      <w:r>
        <w:rPr>
          <w:color w:val="000000" w:themeColor="text1"/>
          <w:sz w:val="24"/>
          <w:szCs w:val="24"/>
          <w:highlight w:val="none"/>
          <w14:textFill>
            <w14:solidFill>
              <w14:schemeClr w14:val="tx1"/>
            </w14:solidFill>
          </w14:textFill>
        </w:rPr>
        <w:t>中标、成交供应商享受中小企业扶持政策或者为残疾人福利性单位的，应当随中标、成交结果同时公告其《中小企业声明函》或《残疾人福利性单位声明函》，接受社会监督。若供应商提供的上述声明函为虚假声明则视同提供虚假材料，按</w:t>
      </w:r>
      <w:r>
        <w:rPr>
          <w:rFonts w:hint="eastAsia"/>
          <w:color w:val="000000" w:themeColor="text1"/>
          <w:sz w:val="24"/>
          <w:szCs w:val="24"/>
          <w:highlight w:val="none"/>
          <w14:textFill>
            <w14:solidFill>
              <w14:schemeClr w14:val="tx1"/>
            </w14:solidFill>
          </w14:textFill>
        </w:rPr>
        <w:t>“</w:t>
      </w:r>
      <w:r>
        <w:rPr>
          <w:color w:val="000000" w:themeColor="text1"/>
          <w:sz w:val="24"/>
          <w:szCs w:val="24"/>
          <w:highlight w:val="none"/>
          <w14:textFill>
            <w14:solidFill>
              <w14:schemeClr w14:val="tx1"/>
            </w14:solidFill>
          </w14:textFill>
        </w:rPr>
        <w:t>政府采购法</w:t>
      </w:r>
      <w:r>
        <w:rPr>
          <w:rFonts w:hint="eastAsia"/>
          <w:color w:val="000000" w:themeColor="text1"/>
          <w:sz w:val="24"/>
          <w:szCs w:val="24"/>
          <w:highlight w:val="none"/>
          <w14:textFill>
            <w14:solidFill>
              <w14:schemeClr w14:val="tx1"/>
            </w14:solidFill>
          </w14:textFill>
        </w:rPr>
        <w:t>”</w:t>
      </w:r>
      <w:r>
        <w:rPr>
          <w:color w:val="000000" w:themeColor="text1"/>
          <w:sz w:val="24"/>
          <w:szCs w:val="24"/>
          <w:highlight w:val="none"/>
          <w14:textFill>
            <w14:solidFill>
              <w14:schemeClr w14:val="tx1"/>
            </w14:solidFill>
          </w14:textFill>
        </w:rPr>
        <w:t>相关规定处理并报请政府监管部门给予行政处罚。</w:t>
      </w:r>
    </w:p>
    <w:p w14:paraId="06325C4D">
      <w:pPr>
        <w:spacing w:before="240" w:after="240" w:line="440" w:lineRule="exact"/>
        <w:ind w:firstLine="480"/>
        <w:jc w:val="center"/>
        <w:outlineLvl w:val="0"/>
        <w:rPr>
          <w:rFonts w:ascii="黑体" w:hAnsi="Courier New" w:eastAsia="黑体" w:cs="Courier New"/>
          <w:bCs/>
          <w:color w:val="000000" w:themeColor="text1"/>
          <w:sz w:val="44"/>
          <w:szCs w:val="21"/>
          <w:highlight w:val="none"/>
          <w14:textFill>
            <w14:solidFill>
              <w14:schemeClr w14:val="tx1"/>
            </w14:solidFill>
          </w14:textFill>
        </w:rPr>
      </w:pPr>
      <w:r>
        <w:rPr>
          <w:color w:val="000000" w:themeColor="text1"/>
          <w:sz w:val="24"/>
          <w:szCs w:val="24"/>
          <w:highlight w:val="none"/>
          <w14:textFill>
            <w14:solidFill>
              <w14:schemeClr w14:val="tx1"/>
            </w14:solidFill>
          </w14:textFill>
        </w:rPr>
        <w:br w:type="page" w:clear="all"/>
      </w:r>
      <w:bookmarkStart w:id="227" w:name="_Toc3022"/>
      <w:r>
        <w:rPr>
          <w:rFonts w:hint="eastAsia" w:ascii="黑体" w:hAnsi="Courier New" w:eastAsia="黑体" w:cs="Courier New"/>
          <w:bCs/>
          <w:color w:val="000000" w:themeColor="text1"/>
          <w:sz w:val="44"/>
          <w:szCs w:val="21"/>
          <w:highlight w:val="none"/>
          <w14:textFill>
            <w14:solidFill>
              <w14:schemeClr w14:val="tx1"/>
            </w14:solidFill>
          </w14:textFill>
        </w:rPr>
        <w:t>第六章  投标</w:t>
      </w:r>
      <w:bookmarkEnd w:id="197"/>
      <w:bookmarkEnd w:id="198"/>
      <w:bookmarkEnd w:id="199"/>
      <w:r>
        <w:rPr>
          <w:rFonts w:hint="eastAsia" w:ascii="黑体" w:hAnsi="Courier New" w:eastAsia="黑体" w:cs="Courier New"/>
          <w:bCs/>
          <w:color w:val="000000" w:themeColor="text1"/>
          <w:sz w:val="44"/>
          <w:szCs w:val="21"/>
          <w:highlight w:val="none"/>
          <w14:textFill>
            <w14:solidFill>
              <w14:schemeClr w14:val="tx1"/>
            </w14:solidFill>
          </w14:textFill>
        </w:rPr>
        <w:t>文件格式</w:t>
      </w:r>
      <w:bookmarkEnd w:id="227"/>
      <w:r>
        <w:rPr>
          <w:rFonts w:hint="eastAsia" w:ascii="黑体" w:hAnsi="Courier New" w:eastAsia="黑体" w:cs="Courier New"/>
          <w:bCs/>
          <w:color w:val="000000" w:themeColor="text1"/>
          <w:sz w:val="44"/>
          <w:szCs w:val="21"/>
          <w:highlight w:val="none"/>
          <w14:textFill>
            <w14:solidFill>
              <w14:schemeClr w14:val="tx1"/>
            </w14:solidFill>
          </w14:textFill>
        </w:rPr>
        <w:t xml:space="preserve"> </w:t>
      </w:r>
    </w:p>
    <w:p w14:paraId="64912707">
      <w:pPr>
        <w:ind w:firstLine="1446"/>
        <w:jc w:val="center"/>
        <w:rPr>
          <w:rFonts w:ascii="宋体" w:hAnsi="宋体"/>
          <w:b/>
          <w:color w:val="000000" w:themeColor="text1"/>
          <w:sz w:val="72"/>
          <w:szCs w:val="21"/>
          <w:highlight w:val="none"/>
          <w14:textFill>
            <w14:solidFill>
              <w14:schemeClr w14:val="tx1"/>
            </w14:solidFill>
          </w14:textFill>
        </w:rPr>
      </w:pPr>
      <w:bookmarkStart w:id="228" w:name="_Hlt26955039"/>
      <w:bookmarkEnd w:id="228"/>
      <w:bookmarkStart w:id="229" w:name="_Hlt26671244"/>
      <w:bookmarkEnd w:id="229"/>
      <w:bookmarkStart w:id="230" w:name="_Toc26554094"/>
      <w:bookmarkStart w:id="231" w:name="_Toc49090576"/>
      <w:bookmarkStart w:id="232" w:name="_Toc120614282"/>
    </w:p>
    <w:p w14:paraId="65162D22">
      <w:pPr>
        <w:jc w:val="center"/>
        <w:rPr>
          <w:rFonts w:ascii="宋体" w:hAnsi="宋体"/>
          <w:b/>
          <w:color w:val="000000" w:themeColor="text1"/>
          <w:sz w:val="72"/>
          <w:szCs w:val="21"/>
          <w:highlight w:val="none"/>
          <w14:textFill>
            <w14:solidFill>
              <w14:schemeClr w14:val="tx1"/>
            </w14:solidFill>
          </w14:textFill>
        </w:rPr>
      </w:pPr>
      <w:r>
        <w:rPr>
          <w:rFonts w:hint="eastAsia" w:ascii="宋体" w:hAnsi="宋体"/>
          <w:b/>
          <w:color w:val="000000" w:themeColor="text1"/>
          <w:sz w:val="72"/>
          <w:szCs w:val="21"/>
          <w:highlight w:val="none"/>
          <w14:textFill>
            <w14:solidFill>
              <w14:schemeClr w14:val="tx1"/>
            </w14:solidFill>
          </w14:textFill>
        </w:rPr>
        <w:t>投  标  文  件</w:t>
      </w:r>
    </w:p>
    <w:p w14:paraId="4585C05F">
      <w:pPr>
        <w:ind w:firstLine="1446"/>
        <w:jc w:val="center"/>
        <w:rPr>
          <w:rFonts w:ascii="宋体" w:hAnsi="宋体"/>
          <w:b/>
          <w:color w:val="000000" w:themeColor="text1"/>
          <w:sz w:val="72"/>
          <w:szCs w:val="21"/>
          <w:highlight w:val="none"/>
          <w14:textFill>
            <w14:solidFill>
              <w14:schemeClr w14:val="tx1"/>
            </w14:solidFill>
          </w14:textFill>
        </w:rPr>
      </w:pPr>
    </w:p>
    <w:p w14:paraId="7D6E7926">
      <w:pPr>
        <w:ind w:firstLine="1446"/>
        <w:jc w:val="center"/>
        <w:rPr>
          <w:rFonts w:ascii="宋体" w:hAnsi="宋体"/>
          <w:b/>
          <w:color w:val="000000" w:themeColor="text1"/>
          <w:sz w:val="72"/>
          <w:szCs w:val="21"/>
          <w:highlight w:val="none"/>
          <w14:textFill>
            <w14:solidFill>
              <w14:schemeClr w14:val="tx1"/>
            </w14:solidFill>
          </w14:textFill>
        </w:rPr>
      </w:pPr>
    </w:p>
    <w:p w14:paraId="3658B1ED">
      <w:pPr>
        <w:ind w:firstLine="723"/>
        <w:jc w:val="center"/>
        <w:rPr>
          <w:rFonts w:ascii="宋体" w:hAnsi="宋体"/>
          <w:b/>
          <w:color w:val="000000" w:themeColor="text1"/>
          <w:sz w:val="36"/>
          <w:szCs w:val="21"/>
          <w:highlight w:val="none"/>
          <w14:textFill>
            <w14:solidFill>
              <w14:schemeClr w14:val="tx1"/>
            </w14:solidFill>
          </w14:textFill>
        </w:rPr>
      </w:pPr>
    </w:p>
    <w:p w14:paraId="1F613AFC">
      <w:pPr>
        <w:ind w:firstLine="723"/>
        <w:jc w:val="center"/>
        <w:rPr>
          <w:rFonts w:ascii="宋体" w:hAnsi="宋体"/>
          <w:b/>
          <w:color w:val="000000" w:themeColor="text1"/>
          <w:sz w:val="36"/>
          <w:szCs w:val="21"/>
          <w:highlight w:val="none"/>
          <w14:textFill>
            <w14:solidFill>
              <w14:schemeClr w14:val="tx1"/>
            </w14:solidFill>
          </w14:textFill>
        </w:rPr>
      </w:pPr>
    </w:p>
    <w:p w14:paraId="199ADECB">
      <w:pPr>
        <w:ind w:firstLine="723"/>
        <w:jc w:val="center"/>
        <w:rPr>
          <w:rFonts w:ascii="宋体" w:hAnsi="宋体"/>
          <w:b/>
          <w:color w:val="000000" w:themeColor="text1"/>
          <w:sz w:val="36"/>
          <w:szCs w:val="21"/>
          <w:highlight w:val="none"/>
          <w14:textFill>
            <w14:solidFill>
              <w14:schemeClr w14:val="tx1"/>
            </w14:solidFill>
          </w14:textFill>
        </w:rPr>
      </w:pPr>
    </w:p>
    <w:p w14:paraId="0501A946">
      <w:pPr>
        <w:spacing w:line="480" w:lineRule="exact"/>
        <w:ind w:firstLine="803"/>
        <w:rPr>
          <w:rFonts w:hint="eastAsia" w:ascii="宋体" w:hAnsi="宋体" w:eastAsia="宋体"/>
          <w:b/>
          <w:color w:val="000000" w:themeColor="text1"/>
          <w:sz w:val="40"/>
          <w:highlight w:val="none"/>
          <w:lang w:eastAsia="zh-CN"/>
          <w14:textFill>
            <w14:solidFill>
              <w14:schemeClr w14:val="tx1"/>
            </w14:solidFill>
          </w14:textFill>
        </w:rPr>
      </w:pPr>
      <w:r>
        <w:rPr>
          <w:rFonts w:hint="eastAsia" w:ascii="宋体" w:hAnsi="宋体"/>
          <w:b/>
          <w:color w:val="000000" w:themeColor="text1"/>
          <w:sz w:val="40"/>
          <w:highlight w:val="none"/>
          <w14:textFill>
            <w14:solidFill>
              <w14:schemeClr w14:val="tx1"/>
            </w14:solidFill>
          </w14:textFill>
        </w:rPr>
        <w:t>项 目 名 称：</w:t>
      </w:r>
      <w:r>
        <w:rPr>
          <w:rFonts w:hint="eastAsia" w:ascii="宋体" w:hAnsi="宋体"/>
          <w:b/>
          <w:color w:val="000000" w:themeColor="text1"/>
          <w:sz w:val="36"/>
          <w:szCs w:val="24"/>
          <w:highlight w:val="none"/>
          <w:lang w:eastAsia="zh-CN"/>
          <w14:textFill>
            <w14:solidFill>
              <w14:schemeClr w14:val="tx1"/>
            </w14:solidFill>
          </w14:textFill>
        </w:rPr>
        <w:t>琴川街道2025年度雨污水管网设施养护</w:t>
      </w:r>
    </w:p>
    <w:p w14:paraId="5C605538">
      <w:pPr>
        <w:spacing w:line="480" w:lineRule="exact"/>
        <w:ind w:firstLine="803"/>
        <w:rPr>
          <w:rFonts w:ascii="宋体" w:hAnsi="宋体"/>
          <w:b/>
          <w:color w:val="000000" w:themeColor="text1"/>
          <w:sz w:val="40"/>
          <w:highlight w:val="none"/>
          <w14:textFill>
            <w14:solidFill>
              <w14:schemeClr w14:val="tx1"/>
            </w14:solidFill>
          </w14:textFill>
        </w:rPr>
      </w:pPr>
    </w:p>
    <w:p w14:paraId="464D4A64">
      <w:pPr>
        <w:spacing w:line="480" w:lineRule="exact"/>
        <w:ind w:firstLine="803"/>
        <w:rPr>
          <w:rFonts w:hint="eastAsia" w:ascii="宋体" w:hAnsi="宋体" w:eastAsia="宋体"/>
          <w:b/>
          <w:color w:val="000000" w:themeColor="text1"/>
          <w:sz w:val="40"/>
          <w:highlight w:val="none"/>
          <w:u w:val="single"/>
          <w:lang w:eastAsia="zh-CN"/>
          <w14:textFill>
            <w14:solidFill>
              <w14:schemeClr w14:val="tx1"/>
            </w14:solidFill>
          </w14:textFill>
        </w:rPr>
      </w:pPr>
      <w:r>
        <w:rPr>
          <w:rFonts w:hint="eastAsia" w:ascii="宋体" w:hAnsi="宋体"/>
          <w:b/>
          <w:color w:val="000000" w:themeColor="text1"/>
          <w:sz w:val="40"/>
          <w:highlight w:val="none"/>
          <w14:textFill>
            <w14:solidFill>
              <w14:schemeClr w14:val="tx1"/>
            </w14:solidFill>
          </w14:textFill>
        </w:rPr>
        <w:t>项 目 编 号：</w:t>
      </w:r>
      <w:r>
        <w:rPr>
          <w:rFonts w:hint="eastAsia" w:ascii="宋体" w:hAnsi="宋体"/>
          <w:b/>
          <w:color w:val="000000" w:themeColor="text1"/>
          <w:sz w:val="36"/>
          <w:szCs w:val="24"/>
          <w:highlight w:val="none"/>
          <w:lang w:eastAsia="zh-CN"/>
          <w14:textFill>
            <w14:solidFill>
              <w14:schemeClr w14:val="tx1"/>
            </w14:solidFill>
          </w14:textFill>
        </w:rPr>
        <w:t>JSZC-320581-SZXY-G2025-0002</w:t>
      </w:r>
    </w:p>
    <w:p w14:paraId="3942B72F">
      <w:pPr>
        <w:spacing w:line="480" w:lineRule="exact"/>
        <w:ind w:firstLine="803"/>
        <w:rPr>
          <w:rFonts w:ascii="宋体" w:hAnsi="宋体"/>
          <w:b/>
          <w:color w:val="000000" w:themeColor="text1"/>
          <w:sz w:val="40"/>
          <w:highlight w:val="none"/>
          <w14:textFill>
            <w14:solidFill>
              <w14:schemeClr w14:val="tx1"/>
            </w14:solidFill>
          </w14:textFill>
        </w:rPr>
      </w:pPr>
    </w:p>
    <w:p w14:paraId="093EDBD4">
      <w:pPr>
        <w:spacing w:line="480" w:lineRule="exact"/>
        <w:ind w:firstLine="803"/>
        <w:rPr>
          <w:rFonts w:ascii="宋体" w:hAnsi="宋体"/>
          <w:b/>
          <w:color w:val="000000" w:themeColor="text1"/>
          <w:sz w:val="40"/>
          <w:highlight w:val="none"/>
          <w14:textFill>
            <w14:solidFill>
              <w14:schemeClr w14:val="tx1"/>
            </w14:solidFill>
          </w14:textFill>
        </w:rPr>
      </w:pPr>
    </w:p>
    <w:p w14:paraId="3CB0A022">
      <w:pPr>
        <w:spacing w:line="480" w:lineRule="exact"/>
        <w:ind w:firstLine="803"/>
        <w:rPr>
          <w:rFonts w:ascii="宋体" w:hAnsi="宋体"/>
          <w:b/>
          <w:color w:val="000000" w:themeColor="text1"/>
          <w:sz w:val="40"/>
          <w:highlight w:val="none"/>
          <w14:textFill>
            <w14:solidFill>
              <w14:schemeClr w14:val="tx1"/>
            </w14:solidFill>
          </w14:textFill>
        </w:rPr>
      </w:pPr>
    </w:p>
    <w:p w14:paraId="68905B50">
      <w:pPr>
        <w:spacing w:line="480" w:lineRule="exact"/>
        <w:ind w:firstLine="803"/>
        <w:rPr>
          <w:rFonts w:ascii="宋体" w:hAnsi="宋体"/>
          <w:b/>
          <w:color w:val="000000" w:themeColor="text1"/>
          <w:sz w:val="40"/>
          <w:highlight w:val="none"/>
          <w14:textFill>
            <w14:solidFill>
              <w14:schemeClr w14:val="tx1"/>
            </w14:solidFill>
          </w14:textFill>
        </w:rPr>
      </w:pPr>
    </w:p>
    <w:p w14:paraId="232DD934">
      <w:pPr>
        <w:spacing w:line="480" w:lineRule="exact"/>
        <w:ind w:firstLine="803"/>
        <w:rPr>
          <w:rFonts w:ascii="宋体" w:hAnsi="宋体"/>
          <w:b/>
          <w:color w:val="000000" w:themeColor="text1"/>
          <w:sz w:val="40"/>
          <w:highlight w:val="none"/>
          <w14:textFill>
            <w14:solidFill>
              <w14:schemeClr w14:val="tx1"/>
            </w14:solidFill>
          </w14:textFill>
        </w:rPr>
      </w:pPr>
    </w:p>
    <w:p w14:paraId="41749787">
      <w:pPr>
        <w:spacing w:line="480" w:lineRule="exact"/>
        <w:ind w:firstLine="803"/>
        <w:rPr>
          <w:rFonts w:ascii="宋体" w:hAnsi="宋体"/>
          <w:b/>
          <w:color w:val="000000" w:themeColor="text1"/>
          <w:sz w:val="40"/>
          <w:highlight w:val="none"/>
          <w14:textFill>
            <w14:solidFill>
              <w14:schemeClr w14:val="tx1"/>
            </w14:solidFill>
          </w14:textFill>
        </w:rPr>
      </w:pPr>
    </w:p>
    <w:p w14:paraId="6F9D6A9A">
      <w:pPr>
        <w:spacing w:line="480" w:lineRule="exact"/>
        <w:ind w:firstLine="803"/>
        <w:rPr>
          <w:rFonts w:ascii="宋体" w:hAnsi="宋体"/>
          <w:b/>
          <w:color w:val="000000" w:themeColor="text1"/>
          <w:sz w:val="40"/>
          <w:highlight w:val="none"/>
          <w14:textFill>
            <w14:solidFill>
              <w14:schemeClr w14:val="tx1"/>
            </w14:solidFill>
          </w14:textFill>
        </w:rPr>
      </w:pPr>
    </w:p>
    <w:p w14:paraId="615A2112">
      <w:pPr>
        <w:spacing w:line="480" w:lineRule="exact"/>
        <w:ind w:firstLine="803"/>
        <w:rPr>
          <w:rFonts w:ascii="宋体" w:hAnsi="宋体"/>
          <w:b/>
          <w:color w:val="000000" w:themeColor="text1"/>
          <w:sz w:val="40"/>
          <w:highlight w:val="none"/>
          <w14:textFill>
            <w14:solidFill>
              <w14:schemeClr w14:val="tx1"/>
            </w14:solidFill>
          </w14:textFill>
        </w:rPr>
      </w:pPr>
    </w:p>
    <w:p w14:paraId="579CAE27">
      <w:pPr>
        <w:spacing w:line="480" w:lineRule="exact"/>
        <w:jc w:val="center"/>
        <w:rPr>
          <w:rFonts w:ascii="宋体" w:hAnsi="宋体"/>
          <w:b/>
          <w:color w:val="000000" w:themeColor="text1"/>
          <w:sz w:val="40"/>
          <w:highlight w:val="none"/>
          <w:u w:val="single"/>
          <w14:textFill>
            <w14:solidFill>
              <w14:schemeClr w14:val="tx1"/>
            </w14:solidFill>
          </w14:textFill>
        </w:rPr>
      </w:pPr>
      <w:r>
        <w:rPr>
          <w:rFonts w:hint="eastAsia" w:ascii="宋体" w:hAnsi="宋体"/>
          <w:b/>
          <w:color w:val="000000" w:themeColor="text1"/>
          <w:sz w:val="40"/>
          <w:highlight w:val="none"/>
          <w14:textFill>
            <w14:solidFill>
              <w14:schemeClr w14:val="tx1"/>
            </w14:solidFill>
          </w14:textFill>
        </w:rPr>
        <w:t>投标人名称 ：</w:t>
      </w:r>
      <w:r>
        <w:rPr>
          <w:rFonts w:hint="eastAsia" w:ascii="宋体" w:hAnsi="宋体"/>
          <w:b/>
          <w:color w:val="000000" w:themeColor="text1"/>
          <w:sz w:val="40"/>
          <w:highlight w:val="none"/>
          <w:u w:val="single"/>
          <w14:textFill>
            <w14:solidFill>
              <w14:schemeClr w14:val="tx1"/>
            </w14:solidFill>
          </w14:textFill>
        </w:rPr>
        <w:t>（加盖CA电子公章）</w:t>
      </w:r>
    </w:p>
    <w:p w14:paraId="6FFF9342">
      <w:pPr>
        <w:spacing w:line="480" w:lineRule="exact"/>
        <w:ind w:firstLine="803"/>
        <w:jc w:val="center"/>
        <w:rPr>
          <w:rFonts w:ascii="宋体" w:hAnsi="宋体"/>
          <w:b/>
          <w:color w:val="000000" w:themeColor="text1"/>
          <w:sz w:val="40"/>
          <w:highlight w:val="none"/>
          <w14:textFill>
            <w14:solidFill>
              <w14:schemeClr w14:val="tx1"/>
            </w14:solidFill>
          </w14:textFill>
        </w:rPr>
      </w:pPr>
    </w:p>
    <w:p w14:paraId="69F44F37">
      <w:pPr>
        <w:spacing w:line="480" w:lineRule="exact"/>
        <w:ind w:firstLine="2008"/>
        <w:jc w:val="both"/>
        <w:rPr>
          <w:rFonts w:ascii="宋体" w:hAnsi="宋体"/>
          <w:b/>
          <w:color w:val="000000" w:themeColor="text1"/>
          <w:sz w:val="40"/>
          <w:highlight w:val="none"/>
          <w:u w:val="single"/>
          <w14:textFill>
            <w14:solidFill>
              <w14:schemeClr w14:val="tx1"/>
            </w14:solidFill>
          </w14:textFill>
        </w:rPr>
      </w:pPr>
      <w:r>
        <w:rPr>
          <w:rFonts w:hint="eastAsia" w:ascii="宋体" w:hAnsi="宋体"/>
          <w:b/>
          <w:color w:val="000000" w:themeColor="text1"/>
          <w:sz w:val="40"/>
          <w:highlight w:val="none"/>
          <w14:textFill>
            <w14:solidFill>
              <w14:schemeClr w14:val="tx1"/>
            </w14:solidFill>
          </w14:textFill>
        </w:rPr>
        <w:t>日      期 ：</w:t>
      </w:r>
      <w:r>
        <w:rPr>
          <w:rFonts w:hint="eastAsia" w:ascii="宋体" w:hAnsi="宋体"/>
          <w:b/>
          <w:color w:val="000000" w:themeColor="text1"/>
          <w:sz w:val="36"/>
          <w:szCs w:val="24"/>
          <w:highlight w:val="none"/>
          <w:lang w:val="en-US" w:eastAsia="zh-CN"/>
          <w14:textFill>
            <w14:solidFill>
              <w14:schemeClr w14:val="tx1"/>
            </w14:solidFill>
          </w14:textFill>
        </w:rPr>
        <w:t>2025</w:t>
      </w:r>
      <w:r>
        <w:rPr>
          <w:b/>
          <w:color w:val="000000" w:themeColor="text1"/>
          <w:sz w:val="40"/>
          <w:szCs w:val="40"/>
          <w:highlight w:val="none"/>
          <w14:textFill>
            <w14:solidFill>
              <w14:schemeClr w14:val="tx1"/>
            </w14:solidFill>
          </w14:textFill>
        </w:rPr>
        <w:t>年</w:t>
      </w:r>
      <w:r>
        <w:rPr>
          <w:rFonts w:hint="eastAsia"/>
          <w:b/>
          <w:color w:val="000000" w:themeColor="text1"/>
          <w:sz w:val="40"/>
          <w:szCs w:val="40"/>
          <w:highlight w:val="none"/>
          <w14:textFill>
            <w14:solidFill>
              <w14:schemeClr w14:val="tx1"/>
            </w14:solidFill>
          </w14:textFill>
        </w:rPr>
        <w:t xml:space="preserve">   </w:t>
      </w:r>
      <w:r>
        <w:rPr>
          <w:b/>
          <w:color w:val="000000" w:themeColor="text1"/>
          <w:sz w:val="40"/>
          <w:szCs w:val="40"/>
          <w:highlight w:val="none"/>
          <w14:textFill>
            <w14:solidFill>
              <w14:schemeClr w14:val="tx1"/>
            </w14:solidFill>
          </w14:textFill>
        </w:rPr>
        <w:t>月     日</w:t>
      </w:r>
    </w:p>
    <w:p w14:paraId="7AECF7AF">
      <w:pPr>
        <w:spacing w:line="440" w:lineRule="exact"/>
        <w:rPr>
          <w:rFonts w:ascii="宋体" w:hAnsi="宋体"/>
          <w:color w:val="000000" w:themeColor="text1"/>
          <w:szCs w:val="21"/>
          <w:highlight w:val="none"/>
          <w14:textFill>
            <w14:solidFill>
              <w14:schemeClr w14:val="tx1"/>
            </w14:solidFill>
          </w14:textFill>
        </w:rPr>
      </w:pPr>
    </w:p>
    <w:p w14:paraId="09D6532E">
      <w:pPr>
        <w:widowControl/>
        <w:ind w:firstLine="643"/>
        <w:jc w:val="left"/>
        <w:rPr>
          <w:rFonts w:ascii="宋体" w:hAnsi="宋体"/>
          <w:b/>
          <w:bCs/>
          <w:color w:val="000000" w:themeColor="text1"/>
          <w:sz w:val="32"/>
          <w:szCs w:val="32"/>
          <w:highlight w:val="none"/>
          <w14:textFill>
            <w14:solidFill>
              <w14:schemeClr w14:val="tx1"/>
            </w14:solidFill>
          </w14:textFill>
        </w:rPr>
      </w:pPr>
      <w:r>
        <w:rPr>
          <w:rFonts w:ascii="宋体" w:hAnsi="宋体"/>
          <w:b/>
          <w:bCs/>
          <w:color w:val="000000" w:themeColor="text1"/>
          <w:sz w:val="32"/>
          <w:szCs w:val="32"/>
          <w:highlight w:val="none"/>
          <w14:textFill>
            <w14:solidFill>
              <w14:schemeClr w14:val="tx1"/>
            </w14:solidFill>
          </w14:textFill>
        </w:rPr>
        <w:br w:type="page" w:clear="all"/>
      </w:r>
    </w:p>
    <w:p w14:paraId="15F16ACF">
      <w:pPr>
        <w:spacing w:line="440" w:lineRule="exact"/>
        <w:ind w:firstLine="643"/>
        <w:jc w:val="center"/>
        <w:rPr>
          <w:rFonts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t>投标文件目录</w:t>
      </w:r>
    </w:p>
    <w:p w14:paraId="5D267E18">
      <w:pPr>
        <w:spacing w:line="440" w:lineRule="exact"/>
        <w:ind w:firstLine="482"/>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一、基本目录</w:t>
      </w:r>
    </w:p>
    <w:p w14:paraId="7F82E442">
      <w:pPr>
        <w:spacing w:line="440" w:lineRule="exact"/>
        <w:ind w:firstLine="72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1、开标一览表（格式见附件）</w:t>
      </w:r>
    </w:p>
    <w:p w14:paraId="39DCB52B">
      <w:pPr>
        <w:spacing w:line="440" w:lineRule="exact"/>
        <w:ind w:firstLine="482"/>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二、资格审查内容</w:t>
      </w:r>
    </w:p>
    <w:p w14:paraId="38C140F7">
      <w:pPr>
        <w:spacing w:line="440" w:lineRule="exact"/>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w:t>
      </w:r>
      <w:r>
        <w:rPr>
          <w:rFonts w:hint="eastAsia" w:ascii="宋体" w:hAnsi="宋体" w:cs="宋体"/>
          <w:color w:val="000000" w:themeColor="text1"/>
          <w:sz w:val="24"/>
          <w:szCs w:val="24"/>
          <w:highlight w:val="none"/>
          <w14:textFill>
            <w14:solidFill>
              <w14:schemeClr w14:val="tx1"/>
            </w14:solidFill>
          </w14:textFill>
        </w:rPr>
        <w:t>满足《中华人民共和国政府采购法》第二十二条规定，并提供下列材料：</w:t>
      </w:r>
    </w:p>
    <w:p w14:paraId="25C01D14">
      <w:pPr>
        <w:spacing w:line="440" w:lineRule="exact"/>
        <w:ind w:firstLine="72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1.1 法人或者其他组织的营业执照等证明文件；</w:t>
      </w:r>
    </w:p>
    <w:p w14:paraId="30C61873">
      <w:pPr>
        <w:spacing w:line="440" w:lineRule="exact"/>
        <w:ind w:firstLine="72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1.2 202</w:t>
      </w:r>
      <w:r>
        <w:rPr>
          <w:rFonts w:hint="eastAsia" w:ascii="宋体" w:hAnsi="宋体" w:cs="宋体"/>
          <w:color w:val="000000" w:themeColor="text1"/>
          <w:sz w:val="24"/>
          <w:highlight w:val="none"/>
          <w:lang w:val="en-US" w:eastAsia="zh-CN"/>
          <w14:textFill>
            <w14:solidFill>
              <w14:schemeClr w14:val="tx1"/>
            </w14:solidFill>
          </w14:textFill>
        </w:rPr>
        <w:t>3</w:t>
      </w:r>
      <w:r>
        <w:rPr>
          <w:rFonts w:hint="eastAsia" w:ascii="宋体" w:hAnsi="宋体" w:cs="宋体"/>
          <w:color w:val="000000" w:themeColor="text1"/>
          <w:sz w:val="24"/>
          <w:highlight w:val="none"/>
          <w14:textFill>
            <w14:solidFill>
              <w14:schemeClr w14:val="tx1"/>
            </w14:solidFill>
          </w14:textFill>
        </w:rPr>
        <w:t>年度至今任意一期的财务报告（财务报表）或金融机构（中介机构）出具的资信证明</w:t>
      </w:r>
      <w:r>
        <w:rPr>
          <w:rFonts w:hint="eastAsia" w:ascii="宋体" w:hAnsi="宋体" w:cs="宋体"/>
          <w:color w:val="000000" w:themeColor="text1"/>
          <w:sz w:val="24"/>
          <w:szCs w:val="24"/>
          <w:highlight w:val="none"/>
          <w14:textFill>
            <w14:solidFill>
              <w14:schemeClr w14:val="tx1"/>
            </w14:solidFill>
          </w14:textFill>
        </w:rPr>
        <w:t>；</w:t>
      </w:r>
    </w:p>
    <w:p w14:paraId="41AD53F2">
      <w:pPr>
        <w:spacing w:line="440" w:lineRule="exact"/>
        <w:ind w:firstLine="72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1.3 具备履行合同所必需的设备和专业技术能力的书面声明（格式见附件）</w:t>
      </w:r>
    </w:p>
    <w:p w14:paraId="2378A47B">
      <w:pPr>
        <w:spacing w:line="440" w:lineRule="exact"/>
        <w:ind w:firstLine="72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1.4 依法缴纳税收和社会保障资金的相关材料（提供投标截止时间前一年内至少一个月依法缴纳税收及缴纳社会保障资金的证明材料</w:t>
      </w:r>
      <w:r>
        <w:rPr>
          <w:rFonts w:hint="eastAsia" w:ascii="宋体" w:hAnsi="宋体" w:cs="宋体"/>
          <w:color w:val="000000" w:themeColor="text1"/>
          <w:sz w:val="24"/>
          <w:szCs w:val="24"/>
          <w:highlight w:val="none"/>
          <w14:textFill>
            <w14:solidFill>
              <w14:schemeClr w14:val="tx1"/>
            </w14:solidFill>
          </w14:textFill>
        </w:rPr>
        <w:t>，如投标人缴纳税收的凭据、缴纳社会保险的专用收据或社会保险缴纳清单</w:t>
      </w:r>
      <w:r>
        <w:rPr>
          <w:rFonts w:hint="eastAsia" w:ascii="宋体" w:hAnsi="宋体" w:cs="宋体"/>
          <w:color w:val="000000" w:themeColor="text1"/>
          <w:sz w:val="24"/>
          <w:highlight w:val="none"/>
          <w14:textFill>
            <w14:solidFill>
              <w14:schemeClr w14:val="tx1"/>
            </w14:solidFill>
          </w14:textFill>
        </w:rPr>
        <w:t>。投标人依法享受免缴税收、社会保障资金的提供证明材料。）</w:t>
      </w:r>
    </w:p>
    <w:p w14:paraId="3EDC6335">
      <w:pPr>
        <w:spacing w:line="440" w:lineRule="exact"/>
        <w:ind w:firstLine="72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1.5 参加政府采购活动前 3 年内在经营活动中没有重大违法记录的书面声明（格式见附件）</w:t>
      </w:r>
    </w:p>
    <w:p w14:paraId="2E4453CF">
      <w:pPr>
        <w:spacing w:line="440" w:lineRule="exact"/>
        <w:ind w:firstLine="480"/>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2、中小企业声明函（格式见附件）或残疾人福利性单位声明函（格式见附件）或省级以上监狱管理局、戒毒管理局（含新疆生产建设兵团）出具的属于监狱企业的证明文件。</w:t>
      </w:r>
    </w:p>
    <w:p w14:paraId="14E1A2C4">
      <w:pPr>
        <w:spacing w:line="440" w:lineRule="exact"/>
        <w:ind w:firstLine="482"/>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三、符合性审查内容</w:t>
      </w:r>
    </w:p>
    <w:p w14:paraId="0C9C08B7">
      <w:pPr>
        <w:spacing w:line="440" w:lineRule="exact"/>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1、投标函（格式见附件）</w:t>
      </w:r>
    </w:p>
    <w:p w14:paraId="22143E2A">
      <w:pPr>
        <w:spacing w:line="440" w:lineRule="exact"/>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2、法人授权书（格式见附件</w:t>
      </w:r>
      <w:r>
        <w:rPr>
          <w:rFonts w:hint="eastAsia" w:ascii="宋体" w:hAnsi="宋体" w:cs="宋体"/>
          <w:color w:val="000000" w:themeColor="text1"/>
          <w:sz w:val="24"/>
          <w:highlight w:val="none"/>
          <w:lang w:eastAsia="zh-CN"/>
          <w14:textFill>
            <w14:solidFill>
              <w14:schemeClr w14:val="tx1"/>
            </w14:solidFill>
          </w14:textFill>
        </w:rPr>
        <w:t>，</w:t>
      </w:r>
      <w:r>
        <w:rPr>
          <w:rFonts w:hint="eastAsia" w:ascii="Times New Roman" w:hAnsi="Times New Roman"/>
          <w:color w:val="000000" w:themeColor="text1"/>
          <w:sz w:val="24"/>
          <w:szCs w:val="24"/>
          <w:highlight w:val="none"/>
          <w14:textFill>
            <w14:solidFill>
              <w14:schemeClr w14:val="tx1"/>
            </w14:solidFill>
          </w14:textFill>
        </w:rPr>
        <w:t>如法定代表人参加投标，“法人授权书”可不提供，但需提供法人代表人身份证正反面扫描件</w:t>
      </w:r>
      <w:r>
        <w:rPr>
          <w:rFonts w:hint="eastAsia" w:ascii="宋体" w:hAnsi="宋体" w:cs="宋体"/>
          <w:color w:val="000000" w:themeColor="text1"/>
          <w:sz w:val="24"/>
          <w:highlight w:val="none"/>
          <w14:textFill>
            <w14:solidFill>
              <w14:schemeClr w14:val="tx1"/>
            </w14:solidFill>
          </w14:textFill>
        </w:rPr>
        <w:t>）</w:t>
      </w:r>
    </w:p>
    <w:p w14:paraId="4B82F579">
      <w:pPr>
        <w:spacing w:line="440" w:lineRule="exact"/>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3、实质性要求响应及偏离表（格式见附件）</w:t>
      </w:r>
    </w:p>
    <w:p w14:paraId="646E0972">
      <w:pPr>
        <w:spacing w:line="440" w:lineRule="exact"/>
        <w:ind w:firstLine="482"/>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四、综合评审文件</w:t>
      </w:r>
    </w:p>
    <w:p w14:paraId="2D698939">
      <w:pPr>
        <w:spacing w:line="440" w:lineRule="exact"/>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1、项目服务要求响应及偏离表（格式见附件）</w:t>
      </w:r>
    </w:p>
    <w:p w14:paraId="1D123465">
      <w:pPr>
        <w:spacing w:line="440" w:lineRule="exact"/>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2、项目方案（格式见附件）</w:t>
      </w:r>
    </w:p>
    <w:p w14:paraId="5503180A">
      <w:pPr>
        <w:spacing w:line="440" w:lineRule="exact"/>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3、人员配置情况（格式见附件）</w:t>
      </w:r>
    </w:p>
    <w:p w14:paraId="2A7C0AEA">
      <w:pPr>
        <w:spacing w:line="440" w:lineRule="exact"/>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4、养护车辆配备一览表（格式见附件）</w:t>
      </w:r>
    </w:p>
    <w:p w14:paraId="5A8DECF1">
      <w:pPr>
        <w:spacing w:line="440" w:lineRule="exact"/>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5</w:t>
      </w:r>
      <w:r>
        <w:rPr>
          <w:rFonts w:hint="eastAsia" w:ascii="宋体" w:hAnsi="宋体" w:cs="宋体"/>
          <w:color w:val="000000" w:themeColor="text1"/>
          <w:sz w:val="24"/>
          <w:highlight w:val="none"/>
          <w14:textFill>
            <w14:solidFill>
              <w14:schemeClr w14:val="tx1"/>
            </w14:solidFill>
          </w14:textFill>
        </w:rPr>
        <w:t>、业绩一览表（格式详见附件）</w:t>
      </w:r>
    </w:p>
    <w:p w14:paraId="561B1C5E">
      <w:pPr>
        <w:spacing w:line="440" w:lineRule="exact"/>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6</w:t>
      </w:r>
      <w:r>
        <w:rPr>
          <w:rFonts w:hint="eastAsia" w:ascii="宋体" w:hAnsi="宋体" w:cs="宋体"/>
          <w:color w:val="000000" w:themeColor="text1"/>
          <w:sz w:val="24"/>
          <w:highlight w:val="none"/>
          <w14:textFill>
            <w14:solidFill>
              <w14:schemeClr w14:val="tx1"/>
            </w14:solidFill>
          </w14:textFill>
        </w:rPr>
        <w:t>、商务要求响应及偏离表（格式详见附件）</w:t>
      </w:r>
    </w:p>
    <w:p w14:paraId="334F5C51">
      <w:pPr>
        <w:spacing w:line="440" w:lineRule="exact"/>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7</w:t>
      </w:r>
      <w:r>
        <w:rPr>
          <w:rFonts w:hint="eastAsia" w:ascii="宋体" w:hAnsi="宋体" w:cs="宋体"/>
          <w:color w:val="000000" w:themeColor="text1"/>
          <w:sz w:val="24"/>
          <w:highlight w:val="none"/>
          <w14:textFill>
            <w14:solidFill>
              <w14:schemeClr w14:val="tx1"/>
            </w14:solidFill>
          </w14:textFill>
        </w:rPr>
        <w:t>、其他</w:t>
      </w:r>
    </w:p>
    <w:p w14:paraId="682E398D">
      <w:pPr>
        <w:spacing w:line="440" w:lineRule="exact"/>
        <w:ind w:firstLine="482"/>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备注：针对“二、资格审查内容”和“三、符合性审查内容”，投标人必须在投标文件中提供相关材料，若有缺失或无效的，将导致其投标无效。</w:t>
      </w:r>
    </w:p>
    <w:p w14:paraId="55C132FB">
      <w:pPr>
        <w:spacing w:line="440" w:lineRule="exact"/>
        <w:ind w:firstLine="482"/>
        <w:jc w:val="center"/>
        <w:outlineLvl w:val="1"/>
        <w:rPr>
          <w:rFonts w:ascii="Times New Roman" w:hAnsi="Times New Roman"/>
          <w:b/>
          <w:bCs/>
          <w:color w:val="000000" w:themeColor="text1"/>
          <w:sz w:val="28"/>
          <w:szCs w:val="28"/>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br w:type="page" w:clear="all"/>
      </w:r>
      <w:bookmarkStart w:id="233" w:name="_Toc3603"/>
      <w:r>
        <w:rPr>
          <w:rFonts w:hint="eastAsia" w:ascii="Times New Roman" w:hAnsi="Times New Roman"/>
          <w:b/>
          <w:bCs/>
          <w:color w:val="000000" w:themeColor="text1"/>
          <w:sz w:val="28"/>
          <w:szCs w:val="28"/>
          <w:highlight w:val="none"/>
          <w14:textFill>
            <w14:solidFill>
              <w14:schemeClr w14:val="tx1"/>
            </w14:solidFill>
          </w14:textFill>
        </w:rPr>
        <w:t>附件1 开标一览表</w:t>
      </w:r>
      <w:bookmarkEnd w:id="233"/>
    </w:p>
    <w:p w14:paraId="7CE99FC8">
      <w:pPr>
        <w:ind w:firstLine="482"/>
        <w:rPr>
          <w:rFonts w:ascii="宋体" w:hAnsi="宋体"/>
          <w:b/>
          <w:color w:val="000000" w:themeColor="text1"/>
          <w:sz w:val="24"/>
          <w:szCs w:val="24"/>
          <w:highlight w:val="none"/>
          <w14:textFill>
            <w14:solidFill>
              <w14:schemeClr w14:val="tx1"/>
            </w14:solidFill>
          </w14:textFill>
        </w:rPr>
      </w:pPr>
    </w:p>
    <w:p w14:paraId="12759E49">
      <w:pPr>
        <w:spacing w:line="440" w:lineRule="exact"/>
        <w:ind w:firstLine="482"/>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投标人全称（加盖CA电子签章）：</w:t>
      </w:r>
    </w:p>
    <w:p w14:paraId="0D73B35F">
      <w:pPr>
        <w:spacing w:line="440" w:lineRule="exact"/>
        <w:ind w:firstLine="482"/>
        <w:rPr>
          <w:rFonts w:hint="eastAsia" w:eastAsia="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项目名称：</w:t>
      </w:r>
      <w:r>
        <w:rPr>
          <w:rFonts w:hint="eastAsia" w:ascii="宋体" w:hAnsi="宋体"/>
          <w:color w:val="000000" w:themeColor="text1"/>
          <w:sz w:val="24"/>
          <w:szCs w:val="24"/>
          <w:highlight w:val="none"/>
          <w:lang w:eastAsia="zh-CN"/>
          <w14:textFill>
            <w14:solidFill>
              <w14:schemeClr w14:val="tx1"/>
            </w14:solidFill>
          </w14:textFill>
        </w:rPr>
        <w:t>琴川街道2025年度雨污水管网设施养护</w:t>
      </w:r>
    </w:p>
    <w:p w14:paraId="22AA9FF6">
      <w:pPr>
        <w:spacing w:line="440" w:lineRule="exact"/>
        <w:ind w:firstLine="482"/>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项目编号：</w:t>
      </w:r>
      <w:r>
        <w:rPr>
          <w:rFonts w:hint="eastAsia" w:ascii="宋体" w:hAnsi="宋体"/>
          <w:color w:val="000000" w:themeColor="text1"/>
          <w:sz w:val="24"/>
          <w:szCs w:val="24"/>
          <w:highlight w:val="none"/>
          <w:lang w:eastAsia="zh-CN"/>
          <w14:textFill>
            <w14:solidFill>
              <w14:schemeClr w14:val="tx1"/>
            </w14:solidFill>
          </w14:textFill>
        </w:rPr>
        <w:t>JSZC-320581-SZXY-G2025-0002</w:t>
      </w:r>
      <w:bookmarkEnd w:id="192"/>
      <w:bookmarkEnd w:id="193"/>
      <w:bookmarkEnd w:id="230"/>
      <w:bookmarkEnd w:id="231"/>
      <w:bookmarkEnd w:id="232"/>
    </w:p>
    <w:tbl>
      <w:tblPr>
        <w:tblStyle w:val="39"/>
        <w:tblW w:w="934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340"/>
      </w:tblGrid>
      <w:tr w14:paraId="18606A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01" w:hRule="atLeast"/>
          <w:jc w:val="center"/>
        </w:trPr>
        <w:tc>
          <w:tcPr>
            <w:tcW w:w="9340" w:type="dxa"/>
            <w:noWrap w:val="0"/>
            <w:vAlign w:val="center"/>
          </w:tcPr>
          <w:p w14:paraId="3B720070">
            <w:pPr>
              <w:keepNext w:val="0"/>
              <w:keepLines w:val="0"/>
              <w:suppressLineNumbers w:val="0"/>
              <w:spacing w:before="0" w:beforeAutospacing="0" w:after="0" w:afterAutospacing="0" w:line="440" w:lineRule="exact"/>
              <w:ind w:left="0" w:right="0"/>
              <w:rPr>
                <w:rFonts w:hint="default"/>
                <w:color w:val="000000" w:themeColor="text1"/>
                <w:sz w:val="24"/>
                <w:szCs w:val="24"/>
                <w:highlight w:val="none"/>
                <w14:textFill>
                  <w14:solidFill>
                    <w14:schemeClr w14:val="tx1"/>
                  </w14:solidFill>
                </w14:textFill>
              </w:rPr>
            </w:pPr>
            <w:r>
              <w:rPr>
                <w:rFonts w:hint="eastAsia" w:hAnsi="宋体"/>
                <w:bCs/>
                <w:color w:val="000000" w:themeColor="text1"/>
                <w:sz w:val="24"/>
                <w:szCs w:val="24"/>
                <w:highlight w:val="none"/>
                <w14:textFill>
                  <w14:solidFill>
                    <w14:schemeClr w14:val="tx1"/>
                  </w14:solidFill>
                </w14:textFill>
              </w:rPr>
              <w:t>投标优惠率</w:t>
            </w:r>
          </w:p>
        </w:tc>
      </w:tr>
      <w:tr w14:paraId="0F664C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00" w:hRule="atLeast"/>
          <w:jc w:val="center"/>
        </w:trPr>
        <w:tc>
          <w:tcPr>
            <w:tcW w:w="9340" w:type="dxa"/>
            <w:noWrap w:val="0"/>
            <w:vAlign w:val="center"/>
          </w:tcPr>
          <w:p w14:paraId="0CF368A8">
            <w:pPr>
              <w:keepNext w:val="0"/>
              <w:keepLines w:val="0"/>
              <w:suppressLineNumbers w:val="0"/>
              <w:spacing w:before="0" w:beforeAutospacing="0" w:after="0" w:afterAutospacing="0" w:line="440" w:lineRule="exact"/>
              <w:ind w:left="0" w:right="0"/>
              <w:rPr>
                <w:rFonts w:hint="default"/>
                <w:color w:val="000000" w:themeColor="text1"/>
                <w:sz w:val="24"/>
                <w:highlight w:val="none"/>
                <w14:textFill>
                  <w14:solidFill>
                    <w14:schemeClr w14:val="tx1"/>
                  </w14:solidFill>
                </w14:textFill>
              </w:rPr>
            </w:pPr>
            <w:r>
              <w:rPr>
                <w:rFonts w:hint="eastAsia" w:hAnsi="宋体"/>
                <w:bCs/>
                <w:color w:val="000000" w:themeColor="text1"/>
                <w:sz w:val="24"/>
                <w:szCs w:val="24"/>
                <w:highlight w:val="none"/>
                <w14:textFill>
                  <w14:solidFill>
                    <w14:schemeClr w14:val="tx1"/>
                  </w14:solidFill>
                </w14:textFill>
              </w:rPr>
              <w:t>投标优惠率：</w:t>
            </w:r>
            <w:r>
              <w:rPr>
                <w:rFonts w:hint="eastAsia" w:hAnsi="宋体"/>
                <w:bCs/>
                <w:color w:val="000000" w:themeColor="text1"/>
                <w:sz w:val="24"/>
                <w:szCs w:val="24"/>
                <w:highlight w:val="none"/>
                <w:u w:val="single"/>
                <w14:textFill>
                  <w14:solidFill>
                    <w14:schemeClr w14:val="tx1"/>
                  </w14:solidFill>
                </w14:textFill>
              </w:rPr>
              <w:t xml:space="preserve">      </w:t>
            </w:r>
            <w:r>
              <w:rPr>
                <w:rFonts w:hint="eastAsia" w:hAnsi="宋体"/>
                <w:bCs/>
                <w:color w:val="000000" w:themeColor="text1"/>
                <w:sz w:val="24"/>
                <w:szCs w:val="24"/>
                <w:highlight w:val="none"/>
                <w14:textFill>
                  <w14:solidFill>
                    <w14:schemeClr w14:val="tx1"/>
                  </w14:solidFill>
                </w14:textFill>
              </w:rPr>
              <w:t>%</w:t>
            </w:r>
          </w:p>
        </w:tc>
      </w:tr>
    </w:tbl>
    <w:p w14:paraId="70474C9C">
      <w:pPr>
        <w:spacing w:line="440" w:lineRule="exact"/>
        <w:ind w:firstLine="241"/>
        <w:rPr>
          <w:b/>
          <w:color w:val="000000" w:themeColor="text1"/>
          <w:sz w:val="24"/>
          <w:szCs w:val="24"/>
          <w:highlight w:val="none"/>
          <w14:textFill>
            <w14:solidFill>
              <w14:schemeClr w14:val="tx1"/>
            </w14:solidFill>
          </w14:textFill>
        </w:rPr>
      </w:pPr>
      <w:r>
        <w:rPr>
          <w:rFonts w:hint="eastAsia"/>
          <w:b/>
          <w:color w:val="000000" w:themeColor="text1"/>
          <w:sz w:val="24"/>
          <w:szCs w:val="24"/>
          <w:highlight w:val="none"/>
          <w14:textFill>
            <w14:solidFill>
              <w14:schemeClr w14:val="tx1"/>
            </w14:solidFill>
          </w14:textFill>
        </w:rPr>
        <w:t>注：1、“投标优惠率”</w:t>
      </w:r>
      <w:r>
        <w:rPr>
          <w:b/>
          <w:color w:val="000000" w:themeColor="text1"/>
          <w:sz w:val="24"/>
          <w:szCs w:val="24"/>
          <w:highlight w:val="none"/>
          <w14:textFill>
            <w14:solidFill>
              <w14:schemeClr w14:val="tx1"/>
            </w14:solidFill>
          </w14:textFill>
        </w:rPr>
        <w:t>请保留小数点后两位</w:t>
      </w:r>
      <w:r>
        <w:rPr>
          <w:rFonts w:hint="eastAsia"/>
          <w:b/>
          <w:color w:val="000000" w:themeColor="text1"/>
          <w:sz w:val="24"/>
          <w:szCs w:val="24"/>
          <w:highlight w:val="none"/>
          <w14:textFill>
            <w14:solidFill>
              <w14:schemeClr w14:val="tx1"/>
            </w14:solidFill>
          </w14:textFill>
        </w:rPr>
        <w:t>，</w:t>
      </w:r>
      <w:r>
        <w:rPr>
          <w:b/>
          <w:color w:val="000000" w:themeColor="text1"/>
          <w:sz w:val="24"/>
          <w:szCs w:val="24"/>
          <w:highlight w:val="none"/>
          <w14:textFill>
            <w14:solidFill>
              <w14:schemeClr w14:val="tx1"/>
            </w14:solidFill>
          </w14:textFill>
        </w:rPr>
        <w:t>保留百分号。</w:t>
      </w:r>
    </w:p>
    <w:p w14:paraId="540524BC">
      <w:pPr>
        <w:spacing w:line="440" w:lineRule="exact"/>
        <w:ind w:firstLine="757"/>
        <w:rPr>
          <w:rFonts w:hint="eastAsia" w:eastAsia="宋体"/>
          <w:b/>
          <w:color w:val="000000" w:themeColor="text1"/>
          <w:sz w:val="24"/>
          <w:szCs w:val="24"/>
          <w:highlight w:val="none"/>
          <w:lang w:val="en-US" w:eastAsia="zh-CN"/>
          <w14:textFill>
            <w14:solidFill>
              <w14:schemeClr w14:val="tx1"/>
            </w14:solidFill>
          </w14:textFill>
        </w:rPr>
      </w:pPr>
      <w:r>
        <w:rPr>
          <w:rFonts w:hint="eastAsia"/>
          <w:b/>
          <w:color w:val="000000" w:themeColor="text1"/>
          <w:sz w:val="24"/>
          <w:szCs w:val="24"/>
          <w:highlight w:val="none"/>
          <w:lang w:val="en-US" w:eastAsia="zh-CN"/>
          <w14:textFill>
            <w14:solidFill>
              <w14:schemeClr w14:val="tx1"/>
            </w14:solidFill>
          </w14:textFill>
        </w:rPr>
        <w:t>2、</w:t>
      </w:r>
      <w:r>
        <w:rPr>
          <w:rFonts w:hint="eastAsia" w:ascii="宋体" w:hAnsi="宋体"/>
          <w:b/>
          <w:color w:val="000000" w:themeColor="text1"/>
          <w:sz w:val="24"/>
          <w:szCs w:val="24"/>
          <w:highlight w:val="none"/>
          <w:lang w:val="en-US" w:eastAsia="zh-CN"/>
          <w14:textFill>
            <w14:solidFill>
              <w14:schemeClr w14:val="tx1"/>
            </w14:solidFill>
          </w14:textFill>
        </w:rPr>
        <w:t>投标</w:t>
      </w:r>
      <w:r>
        <w:rPr>
          <w:rFonts w:hint="eastAsia" w:ascii="宋体" w:hAnsi="宋体"/>
          <w:b/>
          <w:color w:val="000000" w:themeColor="text1"/>
          <w:sz w:val="24"/>
          <w:szCs w:val="24"/>
          <w:highlight w:val="none"/>
          <w14:textFill>
            <w14:solidFill>
              <w14:schemeClr w14:val="tx1"/>
            </w14:solidFill>
          </w14:textFill>
        </w:rPr>
        <w:t>优惠率</w:t>
      </w:r>
      <w:r>
        <w:rPr>
          <w:rFonts w:ascii="宋体" w:hAnsi="宋体"/>
          <w:b/>
          <w:color w:val="000000" w:themeColor="text1"/>
          <w:sz w:val="24"/>
          <w:szCs w:val="24"/>
          <w:highlight w:val="none"/>
          <w14:textFill>
            <w14:solidFill>
              <w14:schemeClr w14:val="tx1"/>
            </w14:solidFill>
          </w14:textFill>
        </w:rPr>
        <w:t>报价</w:t>
      </w:r>
      <w:r>
        <w:rPr>
          <w:rFonts w:hint="eastAsia" w:ascii="宋体" w:hAnsi="宋体"/>
          <w:b/>
          <w:color w:val="000000" w:themeColor="text1"/>
          <w:sz w:val="24"/>
          <w:szCs w:val="24"/>
          <w:highlight w:val="none"/>
          <w14:textFill>
            <w14:solidFill>
              <w14:schemeClr w14:val="tx1"/>
            </w14:solidFill>
          </w14:textFill>
        </w:rPr>
        <w:t>必须≥</w:t>
      </w:r>
      <w:r>
        <w:rPr>
          <w:rFonts w:hint="eastAsia" w:ascii="宋体" w:hAnsi="宋体"/>
          <w:b/>
          <w:color w:val="000000" w:themeColor="text1"/>
          <w:sz w:val="24"/>
          <w:szCs w:val="24"/>
          <w:highlight w:val="none"/>
          <w:lang w:val="en-US" w:eastAsia="zh-CN"/>
          <w14:textFill>
            <w14:solidFill>
              <w14:schemeClr w14:val="tx1"/>
            </w14:solidFill>
          </w14:textFill>
        </w:rPr>
        <w:t>10</w:t>
      </w:r>
      <w:r>
        <w:rPr>
          <w:rFonts w:ascii="宋体" w:hAnsi="宋体"/>
          <w:b/>
          <w:color w:val="000000" w:themeColor="text1"/>
          <w:sz w:val="24"/>
          <w:szCs w:val="24"/>
          <w:highlight w:val="none"/>
          <w14:textFill>
            <w14:solidFill>
              <w14:schemeClr w14:val="tx1"/>
            </w14:solidFill>
          </w14:textFill>
        </w:rPr>
        <w:t>%</w:t>
      </w:r>
      <w:r>
        <w:rPr>
          <w:rFonts w:hint="eastAsia"/>
          <w:b/>
          <w:color w:val="000000" w:themeColor="text1"/>
          <w:sz w:val="24"/>
          <w:szCs w:val="24"/>
          <w:highlight w:val="none"/>
          <w14:textFill>
            <w14:solidFill>
              <w14:schemeClr w14:val="tx1"/>
            </w14:solidFill>
          </w14:textFill>
        </w:rPr>
        <w:t>，</w:t>
      </w:r>
      <w:r>
        <w:rPr>
          <w:rFonts w:hint="eastAsia" w:ascii="宋体" w:hAnsi="宋体"/>
          <w:b/>
          <w:color w:val="000000" w:themeColor="text1"/>
          <w:sz w:val="24"/>
          <w:szCs w:val="24"/>
          <w:highlight w:val="none"/>
          <w14:textFill>
            <w14:solidFill>
              <w14:schemeClr w14:val="tx1"/>
            </w14:solidFill>
          </w14:textFill>
        </w:rPr>
        <w:t>否则将作无效投标处理</w:t>
      </w:r>
    </w:p>
    <w:p w14:paraId="5D2DDEFD">
      <w:pPr>
        <w:ind w:firstLine="482"/>
        <w:rPr>
          <w:rFonts w:ascii="宋体" w:hAnsi="宋体"/>
          <w:b/>
          <w:color w:val="000000" w:themeColor="text1"/>
          <w:sz w:val="24"/>
          <w:szCs w:val="24"/>
          <w:highlight w:val="none"/>
          <w14:textFill>
            <w14:solidFill>
              <w14:schemeClr w14:val="tx1"/>
            </w14:solidFill>
          </w14:textFill>
        </w:rPr>
      </w:pPr>
    </w:p>
    <w:p w14:paraId="461BE834">
      <w:pPr>
        <w:ind w:firstLine="482"/>
        <w:rPr>
          <w:rFonts w:ascii="宋体" w:hAnsi="宋体"/>
          <w:b/>
          <w:color w:val="000000" w:themeColor="text1"/>
          <w:sz w:val="24"/>
          <w:szCs w:val="24"/>
          <w:highlight w:val="none"/>
          <w14:textFill>
            <w14:solidFill>
              <w14:schemeClr w14:val="tx1"/>
            </w14:solidFill>
          </w14:textFill>
        </w:rPr>
      </w:pPr>
    </w:p>
    <w:p w14:paraId="0F2CDA36">
      <w:pPr>
        <w:ind w:firstLine="482"/>
        <w:rPr>
          <w:rFonts w:ascii="宋体" w:hAnsi="宋体"/>
          <w:b/>
          <w:color w:val="000000" w:themeColor="text1"/>
          <w:sz w:val="24"/>
          <w:szCs w:val="24"/>
          <w:highlight w:val="none"/>
          <w14:textFill>
            <w14:solidFill>
              <w14:schemeClr w14:val="tx1"/>
            </w14:solidFill>
          </w14:textFill>
        </w:rPr>
      </w:pPr>
    </w:p>
    <w:p w14:paraId="0C459865">
      <w:pPr>
        <w:ind w:firstLine="482"/>
        <w:rPr>
          <w:rFonts w:ascii="宋体" w:hAnsi="宋体"/>
          <w:b/>
          <w:color w:val="000000" w:themeColor="text1"/>
          <w:sz w:val="24"/>
          <w:szCs w:val="24"/>
          <w:highlight w:val="none"/>
          <w14:textFill>
            <w14:solidFill>
              <w14:schemeClr w14:val="tx1"/>
            </w14:solidFill>
          </w14:textFill>
        </w:rPr>
      </w:pPr>
    </w:p>
    <w:p w14:paraId="46161C5F">
      <w:pPr>
        <w:ind w:firstLine="482"/>
        <w:rPr>
          <w:rFonts w:ascii="宋体" w:hAnsi="宋体"/>
          <w:b/>
          <w:color w:val="000000" w:themeColor="text1"/>
          <w:sz w:val="24"/>
          <w:szCs w:val="24"/>
          <w:highlight w:val="none"/>
          <w14:textFill>
            <w14:solidFill>
              <w14:schemeClr w14:val="tx1"/>
            </w14:solidFill>
          </w14:textFill>
        </w:rPr>
      </w:pPr>
    </w:p>
    <w:p w14:paraId="722BEC17">
      <w:pPr>
        <w:ind w:firstLine="482"/>
        <w:rPr>
          <w:rFonts w:ascii="宋体" w:hAnsi="宋体"/>
          <w:b/>
          <w:color w:val="000000" w:themeColor="text1"/>
          <w:sz w:val="24"/>
          <w:szCs w:val="24"/>
          <w:highlight w:val="none"/>
          <w14:textFill>
            <w14:solidFill>
              <w14:schemeClr w14:val="tx1"/>
            </w14:solidFill>
          </w14:textFill>
        </w:rPr>
      </w:pPr>
    </w:p>
    <w:p w14:paraId="24E3FA7A">
      <w:pPr>
        <w:ind w:firstLine="482"/>
        <w:rPr>
          <w:rFonts w:ascii="宋体" w:hAnsi="宋体"/>
          <w:b/>
          <w:color w:val="000000" w:themeColor="text1"/>
          <w:sz w:val="24"/>
          <w:szCs w:val="24"/>
          <w:highlight w:val="none"/>
          <w14:textFill>
            <w14:solidFill>
              <w14:schemeClr w14:val="tx1"/>
            </w14:solidFill>
          </w14:textFill>
        </w:rPr>
      </w:pPr>
    </w:p>
    <w:p w14:paraId="66BB7DB5">
      <w:pPr>
        <w:ind w:firstLine="482"/>
        <w:rPr>
          <w:rFonts w:ascii="宋体" w:hAnsi="宋体"/>
          <w:b/>
          <w:color w:val="000000" w:themeColor="text1"/>
          <w:sz w:val="24"/>
          <w:szCs w:val="24"/>
          <w:highlight w:val="none"/>
          <w14:textFill>
            <w14:solidFill>
              <w14:schemeClr w14:val="tx1"/>
            </w14:solidFill>
          </w14:textFill>
        </w:rPr>
      </w:pPr>
    </w:p>
    <w:p w14:paraId="6921CAEC">
      <w:pPr>
        <w:ind w:firstLine="482"/>
        <w:rPr>
          <w:rFonts w:ascii="宋体" w:hAnsi="宋体"/>
          <w:b/>
          <w:color w:val="000000" w:themeColor="text1"/>
          <w:sz w:val="24"/>
          <w:szCs w:val="24"/>
          <w:highlight w:val="none"/>
          <w14:textFill>
            <w14:solidFill>
              <w14:schemeClr w14:val="tx1"/>
            </w14:solidFill>
          </w14:textFill>
        </w:rPr>
      </w:pPr>
    </w:p>
    <w:p w14:paraId="0E07435F">
      <w:pPr>
        <w:ind w:firstLine="482"/>
        <w:rPr>
          <w:rFonts w:ascii="宋体" w:hAnsi="宋体"/>
          <w:b/>
          <w:color w:val="000000" w:themeColor="text1"/>
          <w:sz w:val="24"/>
          <w:szCs w:val="24"/>
          <w:highlight w:val="none"/>
          <w14:textFill>
            <w14:solidFill>
              <w14:schemeClr w14:val="tx1"/>
            </w14:solidFill>
          </w14:textFill>
        </w:rPr>
      </w:pPr>
    </w:p>
    <w:p w14:paraId="78C3AA81">
      <w:pPr>
        <w:ind w:firstLine="482"/>
        <w:rPr>
          <w:rFonts w:ascii="宋体" w:hAnsi="宋体"/>
          <w:b/>
          <w:color w:val="000000" w:themeColor="text1"/>
          <w:sz w:val="24"/>
          <w:szCs w:val="24"/>
          <w:highlight w:val="none"/>
          <w14:textFill>
            <w14:solidFill>
              <w14:schemeClr w14:val="tx1"/>
            </w14:solidFill>
          </w14:textFill>
        </w:rPr>
      </w:pPr>
    </w:p>
    <w:p w14:paraId="72D712CA">
      <w:pPr>
        <w:ind w:firstLine="482"/>
        <w:rPr>
          <w:rFonts w:ascii="宋体" w:hAnsi="宋体"/>
          <w:b/>
          <w:color w:val="000000" w:themeColor="text1"/>
          <w:sz w:val="24"/>
          <w:szCs w:val="24"/>
          <w:highlight w:val="none"/>
          <w14:textFill>
            <w14:solidFill>
              <w14:schemeClr w14:val="tx1"/>
            </w14:solidFill>
          </w14:textFill>
        </w:rPr>
      </w:pPr>
    </w:p>
    <w:p w14:paraId="31B82A55">
      <w:pPr>
        <w:ind w:firstLine="482"/>
        <w:rPr>
          <w:rFonts w:ascii="宋体" w:hAnsi="宋体"/>
          <w:b/>
          <w:color w:val="000000" w:themeColor="text1"/>
          <w:sz w:val="24"/>
          <w:szCs w:val="24"/>
          <w:highlight w:val="none"/>
          <w14:textFill>
            <w14:solidFill>
              <w14:schemeClr w14:val="tx1"/>
            </w14:solidFill>
          </w14:textFill>
        </w:rPr>
      </w:pPr>
    </w:p>
    <w:p w14:paraId="3AD596E9">
      <w:pPr>
        <w:ind w:firstLine="482"/>
        <w:rPr>
          <w:rFonts w:ascii="宋体" w:hAnsi="宋体"/>
          <w:b/>
          <w:color w:val="000000" w:themeColor="text1"/>
          <w:sz w:val="24"/>
          <w:szCs w:val="24"/>
          <w:highlight w:val="none"/>
          <w14:textFill>
            <w14:solidFill>
              <w14:schemeClr w14:val="tx1"/>
            </w14:solidFill>
          </w14:textFill>
        </w:rPr>
      </w:pPr>
    </w:p>
    <w:p w14:paraId="05806478">
      <w:pPr>
        <w:ind w:firstLine="482"/>
        <w:rPr>
          <w:rFonts w:ascii="宋体" w:hAnsi="宋体"/>
          <w:b/>
          <w:color w:val="000000" w:themeColor="text1"/>
          <w:sz w:val="24"/>
          <w:szCs w:val="24"/>
          <w:highlight w:val="none"/>
          <w14:textFill>
            <w14:solidFill>
              <w14:schemeClr w14:val="tx1"/>
            </w14:solidFill>
          </w14:textFill>
        </w:rPr>
      </w:pPr>
    </w:p>
    <w:p w14:paraId="55398966">
      <w:pPr>
        <w:ind w:firstLine="482"/>
        <w:rPr>
          <w:rFonts w:ascii="宋体" w:hAnsi="宋体"/>
          <w:b/>
          <w:color w:val="000000" w:themeColor="text1"/>
          <w:sz w:val="24"/>
          <w:szCs w:val="24"/>
          <w:highlight w:val="none"/>
          <w14:textFill>
            <w14:solidFill>
              <w14:schemeClr w14:val="tx1"/>
            </w14:solidFill>
          </w14:textFill>
        </w:rPr>
      </w:pPr>
    </w:p>
    <w:p w14:paraId="1B5AD778">
      <w:pPr>
        <w:ind w:firstLine="482"/>
        <w:rPr>
          <w:rFonts w:ascii="宋体" w:hAnsi="宋体"/>
          <w:b/>
          <w:color w:val="000000" w:themeColor="text1"/>
          <w:sz w:val="24"/>
          <w:szCs w:val="24"/>
          <w:highlight w:val="none"/>
          <w14:textFill>
            <w14:solidFill>
              <w14:schemeClr w14:val="tx1"/>
            </w14:solidFill>
          </w14:textFill>
        </w:rPr>
      </w:pPr>
    </w:p>
    <w:p w14:paraId="1D9BDD3B">
      <w:pPr>
        <w:ind w:firstLine="482"/>
        <w:rPr>
          <w:rFonts w:ascii="宋体" w:hAnsi="宋体"/>
          <w:b/>
          <w:color w:val="000000" w:themeColor="text1"/>
          <w:sz w:val="24"/>
          <w:szCs w:val="24"/>
          <w:highlight w:val="none"/>
          <w14:textFill>
            <w14:solidFill>
              <w14:schemeClr w14:val="tx1"/>
            </w14:solidFill>
          </w14:textFill>
        </w:rPr>
      </w:pPr>
    </w:p>
    <w:p w14:paraId="1D5095BC">
      <w:pPr>
        <w:ind w:firstLine="482"/>
        <w:rPr>
          <w:rFonts w:ascii="宋体" w:hAnsi="宋体"/>
          <w:b/>
          <w:color w:val="000000" w:themeColor="text1"/>
          <w:sz w:val="24"/>
          <w:szCs w:val="24"/>
          <w:highlight w:val="none"/>
          <w14:textFill>
            <w14:solidFill>
              <w14:schemeClr w14:val="tx1"/>
            </w14:solidFill>
          </w14:textFill>
        </w:rPr>
      </w:pPr>
    </w:p>
    <w:p w14:paraId="160A85DC">
      <w:pPr>
        <w:ind w:firstLine="482"/>
        <w:rPr>
          <w:rFonts w:ascii="宋体" w:hAnsi="宋体"/>
          <w:b/>
          <w:color w:val="000000" w:themeColor="text1"/>
          <w:sz w:val="24"/>
          <w:szCs w:val="24"/>
          <w:highlight w:val="none"/>
          <w14:textFill>
            <w14:solidFill>
              <w14:schemeClr w14:val="tx1"/>
            </w14:solidFill>
          </w14:textFill>
        </w:rPr>
      </w:pPr>
    </w:p>
    <w:p w14:paraId="01C6CAD1">
      <w:pPr>
        <w:ind w:firstLine="482"/>
        <w:rPr>
          <w:rFonts w:ascii="宋体" w:hAnsi="宋体"/>
          <w:b/>
          <w:color w:val="000000" w:themeColor="text1"/>
          <w:sz w:val="24"/>
          <w:szCs w:val="24"/>
          <w:highlight w:val="none"/>
          <w14:textFill>
            <w14:solidFill>
              <w14:schemeClr w14:val="tx1"/>
            </w14:solidFill>
          </w14:textFill>
        </w:rPr>
      </w:pPr>
    </w:p>
    <w:p w14:paraId="40AD5156">
      <w:pPr>
        <w:ind w:firstLine="482"/>
        <w:rPr>
          <w:rFonts w:ascii="宋体" w:hAnsi="宋体"/>
          <w:b/>
          <w:color w:val="000000" w:themeColor="text1"/>
          <w:sz w:val="24"/>
          <w:szCs w:val="24"/>
          <w:highlight w:val="none"/>
          <w14:textFill>
            <w14:solidFill>
              <w14:schemeClr w14:val="tx1"/>
            </w14:solidFill>
          </w14:textFill>
        </w:rPr>
      </w:pPr>
    </w:p>
    <w:p w14:paraId="1E8AA583">
      <w:pPr>
        <w:ind w:firstLine="482"/>
        <w:rPr>
          <w:rFonts w:ascii="宋体" w:hAnsi="宋体"/>
          <w:b/>
          <w:color w:val="000000" w:themeColor="text1"/>
          <w:sz w:val="24"/>
          <w:szCs w:val="24"/>
          <w:highlight w:val="none"/>
          <w14:textFill>
            <w14:solidFill>
              <w14:schemeClr w14:val="tx1"/>
            </w14:solidFill>
          </w14:textFill>
        </w:rPr>
      </w:pPr>
    </w:p>
    <w:p w14:paraId="0BD93D98">
      <w:pPr>
        <w:pStyle w:val="3"/>
        <w:spacing w:line="440" w:lineRule="exact"/>
        <w:jc w:val="center"/>
        <w:rPr>
          <w:rFonts w:ascii="宋体" w:hAnsi="宋体"/>
          <w:color w:val="000000" w:themeColor="text1"/>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br w:type="page" w:clear="all"/>
      </w:r>
      <w:bookmarkStart w:id="234" w:name="_Toc15142"/>
      <w:r>
        <w:rPr>
          <w:rFonts w:hint="eastAsia" w:ascii="Times New Roman" w:hAnsi="Times New Roman" w:eastAsia="宋体" w:cs="Times New Roman"/>
          <w:b/>
          <w:bCs/>
          <w:color w:val="000000" w:themeColor="text1"/>
          <w:sz w:val="28"/>
          <w:szCs w:val="28"/>
          <w:highlight w:val="none"/>
          <w14:textFill>
            <w14:solidFill>
              <w14:schemeClr w14:val="tx1"/>
            </w14:solidFill>
          </w14:textFill>
        </w:rPr>
        <w:t>附件</w:t>
      </w:r>
      <w:r>
        <w:rPr>
          <w:rFonts w:hint="eastAsia" w:ascii="Times New Roman" w:hAnsi="Times New Roman" w:eastAsia="宋体" w:cs="Times New Roman"/>
          <w:b/>
          <w:bCs/>
          <w:color w:val="000000" w:themeColor="text1"/>
          <w:sz w:val="28"/>
          <w:szCs w:val="28"/>
          <w:highlight w:val="none"/>
          <w:lang w:val="en-US" w:eastAsia="zh-CN"/>
          <w14:textFill>
            <w14:solidFill>
              <w14:schemeClr w14:val="tx1"/>
            </w14:solidFill>
          </w14:textFill>
        </w:rPr>
        <w:t>2</w:t>
      </w:r>
      <w:r>
        <w:rPr>
          <w:rFonts w:hint="eastAsia" w:ascii="Times New Roman" w:hAnsi="Times New Roman" w:eastAsia="宋体" w:cs="Times New Roman"/>
          <w:b/>
          <w:bCs/>
          <w:color w:val="000000" w:themeColor="text1"/>
          <w:sz w:val="28"/>
          <w:szCs w:val="28"/>
          <w:highlight w:val="none"/>
          <w14:textFill>
            <w14:solidFill>
              <w14:schemeClr w14:val="tx1"/>
            </w14:solidFill>
          </w14:textFill>
        </w:rPr>
        <w:t xml:space="preserve"> 项目服务要求响应及偏离表</w:t>
      </w:r>
      <w:bookmarkEnd w:id="234"/>
    </w:p>
    <w:tbl>
      <w:tblPr>
        <w:tblStyle w:val="39"/>
        <w:tblW w:w="9997"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8"/>
        <w:gridCol w:w="2897"/>
        <w:gridCol w:w="2333"/>
        <w:gridCol w:w="1889"/>
        <w:gridCol w:w="2110"/>
      </w:tblGrid>
      <w:tr w14:paraId="1B333A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768" w:type="dxa"/>
            <w:noWrap w:val="0"/>
            <w:vAlign w:val="center"/>
          </w:tcPr>
          <w:p w14:paraId="6542A293">
            <w:pPr>
              <w:keepNext w:val="0"/>
              <w:keepLines w:val="0"/>
              <w:suppressLineNumbers w:val="0"/>
              <w:spacing w:before="0" w:beforeAutospacing="0" w:after="0" w:afterAutospacing="0" w:line="440" w:lineRule="exact"/>
              <w:ind w:left="0" w:right="0"/>
              <w:jc w:val="center"/>
              <w:rPr>
                <w:rFonts w:hint="default"/>
                <w:color w:val="000000" w:themeColor="text1"/>
                <w:highlight w:val="none"/>
                <w14:textFill>
                  <w14:solidFill>
                    <w14:schemeClr w14:val="tx1"/>
                  </w14:solidFill>
                </w14:textFill>
              </w:rPr>
            </w:pPr>
            <w:r>
              <w:rPr>
                <w:rFonts w:hint="default"/>
                <w:color w:val="000000" w:themeColor="text1"/>
                <w:highlight w:val="none"/>
                <w14:textFill>
                  <w14:solidFill>
                    <w14:schemeClr w14:val="tx1"/>
                  </w14:solidFill>
                </w14:textFill>
              </w:rPr>
              <w:t>序号</w:t>
            </w:r>
          </w:p>
        </w:tc>
        <w:tc>
          <w:tcPr>
            <w:tcW w:w="2897" w:type="dxa"/>
            <w:noWrap w:val="0"/>
            <w:vAlign w:val="center"/>
          </w:tcPr>
          <w:p w14:paraId="4AD9D9B1">
            <w:pPr>
              <w:keepNext w:val="0"/>
              <w:keepLines w:val="0"/>
              <w:suppressLineNumbers w:val="0"/>
              <w:spacing w:before="0" w:beforeAutospacing="0" w:after="0" w:afterAutospacing="0"/>
              <w:ind w:left="0" w:right="0"/>
              <w:jc w:val="center"/>
              <w:rPr>
                <w:rFonts w:hint="default"/>
                <w:color w:val="000000" w:themeColor="text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招标文件</w:t>
            </w:r>
            <w:r>
              <w:rPr>
                <w:rFonts w:hint="default"/>
                <w:color w:val="000000" w:themeColor="text1"/>
                <w:szCs w:val="21"/>
                <w:highlight w:val="none"/>
                <w14:textFill>
                  <w14:solidFill>
                    <w14:schemeClr w14:val="tx1"/>
                  </w14:solidFill>
                </w14:textFill>
              </w:rPr>
              <w:t>要求</w:t>
            </w:r>
          </w:p>
        </w:tc>
        <w:tc>
          <w:tcPr>
            <w:tcW w:w="2333" w:type="dxa"/>
            <w:noWrap w:val="0"/>
            <w:vAlign w:val="center"/>
          </w:tcPr>
          <w:p w14:paraId="1AC56117">
            <w:pPr>
              <w:keepNext w:val="0"/>
              <w:keepLines w:val="0"/>
              <w:suppressLineNumbers w:val="0"/>
              <w:spacing w:before="0" w:beforeAutospacing="0" w:after="0" w:afterAutospacing="0"/>
              <w:ind w:left="0" w:right="0"/>
              <w:jc w:val="center"/>
              <w:rPr>
                <w:rFonts w:hint="default"/>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投标人</w:t>
            </w:r>
            <w:r>
              <w:rPr>
                <w:rFonts w:hint="default"/>
                <w:color w:val="000000" w:themeColor="text1"/>
                <w:szCs w:val="21"/>
                <w:highlight w:val="none"/>
                <w14:textFill>
                  <w14:solidFill>
                    <w14:schemeClr w14:val="tx1"/>
                  </w14:solidFill>
                </w14:textFill>
              </w:rPr>
              <w:t>提供服务承诺</w:t>
            </w:r>
          </w:p>
        </w:tc>
        <w:tc>
          <w:tcPr>
            <w:tcW w:w="1889" w:type="dxa"/>
            <w:noWrap w:val="0"/>
            <w:vAlign w:val="center"/>
          </w:tcPr>
          <w:p w14:paraId="77499835">
            <w:pPr>
              <w:keepNext w:val="0"/>
              <w:keepLines w:val="0"/>
              <w:suppressLineNumbers w:val="0"/>
              <w:spacing w:before="0" w:beforeAutospacing="0" w:after="0" w:afterAutospacing="0"/>
              <w:ind w:left="0" w:right="0"/>
              <w:jc w:val="center"/>
              <w:rPr>
                <w:rFonts w:hint="default"/>
                <w:color w:val="000000" w:themeColor="text1"/>
                <w:highlight w:val="none"/>
                <w14:textFill>
                  <w14:solidFill>
                    <w14:schemeClr w14:val="tx1"/>
                  </w14:solidFill>
                </w14:textFill>
              </w:rPr>
            </w:pPr>
            <w:r>
              <w:rPr>
                <w:rFonts w:hint="default"/>
                <w:color w:val="000000" w:themeColor="text1"/>
                <w:highlight w:val="none"/>
                <w14:textFill>
                  <w14:solidFill>
                    <w14:schemeClr w14:val="tx1"/>
                  </w14:solidFill>
                </w14:textFill>
              </w:rPr>
              <w:t>有无偏离</w:t>
            </w:r>
          </w:p>
        </w:tc>
        <w:tc>
          <w:tcPr>
            <w:tcW w:w="2110" w:type="dxa"/>
            <w:noWrap w:val="0"/>
            <w:vAlign w:val="center"/>
          </w:tcPr>
          <w:p w14:paraId="66392C7E">
            <w:pPr>
              <w:keepNext w:val="0"/>
              <w:keepLines w:val="0"/>
              <w:suppressLineNumbers w:val="0"/>
              <w:spacing w:before="0" w:beforeAutospacing="0" w:after="0" w:afterAutospacing="0"/>
              <w:ind w:left="0" w:right="0"/>
              <w:jc w:val="center"/>
              <w:rPr>
                <w:rFonts w:hint="default"/>
                <w:color w:val="000000" w:themeColor="text1"/>
                <w:highlight w:val="none"/>
                <w14:textFill>
                  <w14:solidFill>
                    <w14:schemeClr w14:val="tx1"/>
                  </w14:solidFill>
                </w14:textFill>
              </w:rPr>
            </w:pPr>
            <w:r>
              <w:rPr>
                <w:rFonts w:hint="default"/>
                <w:color w:val="000000" w:themeColor="text1"/>
                <w:highlight w:val="none"/>
                <w14:textFill>
                  <w14:solidFill>
                    <w14:schemeClr w14:val="tx1"/>
                  </w14:solidFill>
                </w14:textFill>
              </w:rPr>
              <w:t>偏离内容及原因</w:t>
            </w:r>
          </w:p>
        </w:tc>
      </w:tr>
      <w:tr w14:paraId="4F8D75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trPr>
        <w:tc>
          <w:tcPr>
            <w:tcW w:w="768" w:type="dxa"/>
            <w:noWrap w:val="0"/>
            <w:vAlign w:val="center"/>
          </w:tcPr>
          <w:p w14:paraId="5D75F9AD">
            <w:pPr>
              <w:keepNext w:val="0"/>
              <w:keepLines w:val="0"/>
              <w:suppressLineNumbers w:val="0"/>
              <w:spacing w:before="0" w:beforeAutospacing="0" w:after="0" w:afterAutospacing="0" w:line="440" w:lineRule="exact"/>
              <w:ind w:left="0" w:right="0"/>
              <w:jc w:val="center"/>
              <w:rPr>
                <w:rFonts w:hint="default"/>
                <w:color w:val="000000" w:themeColor="text1"/>
                <w:highlight w:val="none"/>
                <w14:textFill>
                  <w14:solidFill>
                    <w14:schemeClr w14:val="tx1"/>
                  </w14:solidFill>
                </w14:textFill>
              </w:rPr>
            </w:pPr>
            <w:r>
              <w:rPr>
                <w:rFonts w:hint="default"/>
                <w:color w:val="000000" w:themeColor="text1"/>
                <w:highlight w:val="none"/>
                <w14:textFill>
                  <w14:solidFill>
                    <w14:schemeClr w14:val="tx1"/>
                  </w14:solidFill>
                </w14:textFill>
              </w:rPr>
              <w:t>1</w:t>
            </w:r>
          </w:p>
        </w:tc>
        <w:tc>
          <w:tcPr>
            <w:tcW w:w="2897" w:type="dxa"/>
            <w:noWrap w:val="0"/>
            <w:vAlign w:val="center"/>
          </w:tcPr>
          <w:p w14:paraId="1D4EF734">
            <w:pPr>
              <w:keepNext w:val="0"/>
              <w:keepLines w:val="0"/>
              <w:suppressLineNumbers w:val="0"/>
              <w:spacing w:before="0" w:beforeAutospacing="0" w:after="0" w:afterAutospacing="0" w:line="440" w:lineRule="exact"/>
              <w:ind w:left="0" w:right="0"/>
              <w:jc w:val="center"/>
              <w:rPr>
                <w:rFonts w:hint="default"/>
                <w:color w:val="000000" w:themeColor="text1"/>
                <w:highlight w:val="none"/>
                <w14:textFill>
                  <w14:solidFill>
                    <w14:schemeClr w14:val="tx1"/>
                  </w14:solidFill>
                </w14:textFill>
              </w:rPr>
            </w:pPr>
          </w:p>
        </w:tc>
        <w:tc>
          <w:tcPr>
            <w:tcW w:w="2333" w:type="dxa"/>
            <w:noWrap w:val="0"/>
            <w:vAlign w:val="center"/>
          </w:tcPr>
          <w:p w14:paraId="4DA192C7">
            <w:pPr>
              <w:keepNext w:val="0"/>
              <w:keepLines w:val="0"/>
              <w:suppressLineNumbers w:val="0"/>
              <w:spacing w:before="0" w:beforeAutospacing="0" w:after="0" w:afterAutospacing="0" w:line="440" w:lineRule="exact"/>
              <w:ind w:left="0" w:right="0"/>
              <w:jc w:val="center"/>
              <w:rPr>
                <w:rFonts w:hint="default"/>
                <w:color w:val="000000" w:themeColor="text1"/>
                <w:highlight w:val="none"/>
                <w14:textFill>
                  <w14:solidFill>
                    <w14:schemeClr w14:val="tx1"/>
                  </w14:solidFill>
                </w14:textFill>
              </w:rPr>
            </w:pPr>
          </w:p>
        </w:tc>
        <w:tc>
          <w:tcPr>
            <w:tcW w:w="1889" w:type="dxa"/>
            <w:noWrap w:val="0"/>
            <w:vAlign w:val="center"/>
          </w:tcPr>
          <w:p w14:paraId="747DC148">
            <w:pPr>
              <w:keepNext w:val="0"/>
              <w:keepLines w:val="0"/>
              <w:suppressLineNumbers w:val="0"/>
              <w:spacing w:before="0" w:beforeAutospacing="0" w:after="0" w:afterAutospacing="0" w:line="440" w:lineRule="exact"/>
              <w:ind w:left="0" w:right="0"/>
              <w:jc w:val="center"/>
              <w:rPr>
                <w:rFonts w:hint="default"/>
                <w:color w:val="000000" w:themeColor="text1"/>
                <w:highlight w:val="none"/>
                <w14:textFill>
                  <w14:solidFill>
                    <w14:schemeClr w14:val="tx1"/>
                  </w14:solidFill>
                </w14:textFill>
              </w:rPr>
            </w:pPr>
          </w:p>
        </w:tc>
        <w:tc>
          <w:tcPr>
            <w:tcW w:w="2110" w:type="dxa"/>
            <w:noWrap w:val="0"/>
            <w:vAlign w:val="center"/>
          </w:tcPr>
          <w:p w14:paraId="28C119E2">
            <w:pPr>
              <w:keepNext w:val="0"/>
              <w:keepLines w:val="0"/>
              <w:suppressLineNumbers w:val="0"/>
              <w:spacing w:before="0" w:beforeAutospacing="0" w:after="0" w:afterAutospacing="0" w:line="440" w:lineRule="exact"/>
              <w:ind w:left="0" w:right="0"/>
              <w:jc w:val="center"/>
              <w:rPr>
                <w:rFonts w:hint="default"/>
                <w:color w:val="000000" w:themeColor="text1"/>
                <w:highlight w:val="none"/>
                <w14:textFill>
                  <w14:solidFill>
                    <w14:schemeClr w14:val="tx1"/>
                  </w14:solidFill>
                </w14:textFill>
              </w:rPr>
            </w:pPr>
          </w:p>
        </w:tc>
      </w:tr>
      <w:tr w14:paraId="48DAFA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trPr>
        <w:tc>
          <w:tcPr>
            <w:tcW w:w="768" w:type="dxa"/>
            <w:noWrap w:val="0"/>
            <w:vAlign w:val="center"/>
          </w:tcPr>
          <w:p w14:paraId="3490D41A">
            <w:pPr>
              <w:keepNext w:val="0"/>
              <w:keepLines w:val="0"/>
              <w:suppressLineNumbers w:val="0"/>
              <w:spacing w:before="0" w:beforeAutospacing="0" w:after="0" w:afterAutospacing="0" w:line="440" w:lineRule="exact"/>
              <w:ind w:left="0" w:right="0"/>
              <w:jc w:val="center"/>
              <w:rPr>
                <w:rFonts w:hint="default"/>
                <w:color w:val="000000" w:themeColor="text1"/>
                <w:highlight w:val="none"/>
                <w14:textFill>
                  <w14:solidFill>
                    <w14:schemeClr w14:val="tx1"/>
                  </w14:solidFill>
                </w14:textFill>
              </w:rPr>
            </w:pPr>
            <w:r>
              <w:rPr>
                <w:rFonts w:hint="default"/>
                <w:color w:val="000000" w:themeColor="text1"/>
                <w:highlight w:val="none"/>
                <w14:textFill>
                  <w14:solidFill>
                    <w14:schemeClr w14:val="tx1"/>
                  </w14:solidFill>
                </w14:textFill>
              </w:rPr>
              <w:t>2</w:t>
            </w:r>
          </w:p>
        </w:tc>
        <w:tc>
          <w:tcPr>
            <w:tcW w:w="2897" w:type="dxa"/>
            <w:noWrap w:val="0"/>
            <w:vAlign w:val="center"/>
          </w:tcPr>
          <w:p w14:paraId="6CE338F9">
            <w:pPr>
              <w:keepNext w:val="0"/>
              <w:keepLines w:val="0"/>
              <w:suppressLineNumbers w:val="0"/>
              <w:spacing w:before="0" w:beforeAutospacing="0" w:after="0" w:afterAutospacing="0" w:line="440" w:lineRule="exact"/>
              <w:ind w:left="0" w:right="0"/>
              <w:jc w:val="center"/>
              <w:rPr>
                <w:rFonts w:hint="default"/>
                <w:color w:val="000000" w:themeColor="text1"/>
                <w:highlight w:val="none"/>
                <w14:textFill>
                  <w14:solidFill>
                    <w14:schemeClr w14:val="tx1"/>
                  </w14:solidFill>
                </w14:textFill>
              </w:rPr>
            </w:pPr>
          </w:p>
        </w:tc>
        <w:tc>
          <w:tcPr>
            <w:tcW w:w="2333" w:type="dxa"/>
            <w:noWrap w:val="0"/>
            <w:vAlign w:val="center"/>
          </w:tcPr>
          <w:p w14:paraId="6F01A472">
            <w:pPr>
              <w:keepNext w:val="0"/>
              <w:keepLines w:val="0"/>
              <w:suppressLineNumbers w:val="0"/>
              <w:spacing w:before="0" w:beforeAutospacing="0" w:after="0" w:afterAutospacing="0" w:line="440" w:lineRule="exact"/>
              <w:ind w:left="0" w:right="0"/>
              <w:jc w:val="center"/>
              <w:rPr>
                <w:rFonts w:hint="default"/>
                <w:color w:val="000000" w:themeColor="text1"/>
                <w:highlight w:val="none"/>
                <w14:textFill>
                  <w14:solidFill>
                    <w14:schemeClr w14:val="tx1"/>
                  </w14:solidFill>
                </w14:textFill>
              </w:rPr>
            </w:pPr>
          </w:p>
        </w:tc>
        <w:tc>
          <w:tcPr>
            <w:tcW w:w="1889" w:type="dxa"/>
            <w:noWrap w:val="0"/>
            <w:vAlign w:val="center"/>
          </w:tcPr>
          <w:p w14:paraId="1000F245">
            <w:pPr>
              <w:keepNext w:val="0"/>
              <w:keepLines w:val="0"/>
              <w:suppressLineNumbers w:val="0"/>
              <w:spacing w:before="0" w:beforeAutospacing="0" w:after="0" w:afterAutospacing="0" w:line="440" w:lineRule="exact"/>
              <w:ind w:left="0" w:right="0"/>
              <w:jc w:val="center"/>
              <w:rPr>
                <w:rFonts w:hint="default"/>
                <w:color w:val="000000" w:themeColor="text1"/>
                <w:highlight w:val="none"/>
                <w14:textFill>
                  <w14:solidFill>
                    <w14:schemeClr w14:val="tx1"/>
                  </w14:solidFill>
                </w14:textFill>
              </w:rPr>
            </w:pPr>
          </w:p>
        </w:tc>
        <w:tc>
          <w:tcPr>
            <w:tcW w:w="2110" w:type="dxa"/>
            <w:noWrap w:val="0"/>
            <w:vAlign w:val="center"/>
          </w:tcPr>
          <w:p w14:paraId="6A091AAD">
            <w:pPr>
              <w:keepNext w:val="0"/>
              <w:keepLines w:val="0"/>
              <w:suppressLineNumbers w:val="0"/>
              <w:spacing w:before="0" w:beforeAutospacing="0" w:after="0" w:afterAutospacing="0" w:line="440" w:lineRule="exact"/>
              <w:ind w:left="0" w:right="0"/>
              <w:jc w:val="center"/>
              <w:rPr>
                <w:rFonts w:hint="default"/>
                <w:color w:val="000000" w:themeColor="text1"/>
                <w:highlight w:val="none"/>
                <w14:textFill>
                  <w14:solidFill>
                    <w14:schemeClr w14:val="tx1"/>
                  </w14:solidFill>
                </w14:textFill>
              </w:rPr>
            </w:pPr>
          </w:p>
        </w:tc>
      </w:tr>
      <w:tr w14:paraId="2DF7C1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trPr>
        <w:tc>
          <w:tcPr>
            <w:tcW w:w="768" w:type="dxa"/>
            <w:noWrap w:val="0"/>
            <w:vAlign w:val="center"/>
          </w:tcPr>
          <w:p w14:paraId="7C75D38E">
            <w:pPr>
              <w:keepNext w:val="0"/>
              <w:keepLines w:val="0"/>
              <w:suppressLineNumbers w:val="0"/>
              <w:spacing w:before="0" w:beforeAutospacing="0" w:after="0" w:afterAutospacing="0" w:line="440" w:lineRule="exact"/>
              <w:ind w:left="0" w:right="0"/>
              <w:jc w:val="center"/>
              <w:rPr>
                <w:rFonts w:hint="default"/>
                <w:color w:val="000000" w:themeColor="text1"/>
                <w:highlight w:val="none"/>
                <w14:textFill>
                  <w14:solidFill>
                    <w14:schemeClr w14:val="tx1"/>
                  </w14:solidFill>
                </w14:textFill>
              </w:rPr>
            </w:pPr>
            <w:r>
              <w:rPr>
                <w:rFonts w:hint="default"/>
                <w:color w:val="000000" w:themeColor="text1"/>
                <w:highlight w:val="none"/>
                <w14:textFill>
                  <w14:solidFill>
                    <w14:schemeClr w14:val="tx1"/>
                  </w14:solidFill>
                </w14:textFill>
              </w:rPr>
              <w:t>3</w:t>
            </w:r>
          </w:p>
        </w:tc>
        <w:tc>
          <w:tcPr>
            <w:tcW w:w="2897" w:type="dxa"/>
            <w:noWrap w:val="0"/>
            <w:vAlign w:val="center"/>
          </w:tcPr>
          <w:p w14:paraId="082C3587">
            <w:pPr>
              <w:keepNext w:val="0"/>
              <w:keepLines w:val="0"/>
              <w:suppressLineNumbers w:val="0"/>
              <w:spacing w:before="0" w:beforeAutospacing="0" w:after="0" w:afterAutospacing="0" w:line="440" w:lineRule="exact"/>
              <w:ind w:left="0" w:right="0"/>
              <w:jc w:val="center"/>
              <w:rPr>
                <w:rFonts w:hint="default"/>
                <w:color w:val="000000" w:themeColor="text1"/>
                <w:highlight w:val="none"/>
                <w14:textFill>
                  <w14:solidFill>
                    <w14:schemeClr w14:val="tx1"/>
                  </w14:solidFill>
                </w14:textFill>
              </w:rPr>
            </w:pPr>
          </w:p>
        </w:tc>
        <w:tc>
          <w:tcPr>
            <w:tcW w:w="2333" w:type="dxa"/>
            <w:noWrap w:val="0"/>
            <w:vAlign w:val="center"/>
          </w:tcPr>
          <w:p w14:paraId="36A0267A">
            <w:pPr>
              <w:keepNext w:val="0"/>
              <w:keepLines w:val="0"/>
              <w:suppressLineNumbers w:val="0"/>
              <w:spacing w:before="0" w:beforeAutospacing="0" w:after="0" w:afterAutospacing="0" w:line="440" w:lineRule="exact"/>
              <w:ind w:left="0" w:right="0"/>
              <w:jc w:val="center"/>
              <w:rPr>
                <w:rFonts w:hint="default"/>
                <w:color w:val="000000" w:themeColor="text1"/>
                <w:highlight w:val="none"/>
                <w14:textFill>
                  <w14:solidFill>
                    <w14:schemeClr w14:val="tx1"/>
                  </w14:solidFill>
                </w14:textFill>
              </w:rPr>
            </w:pPr>
          </w:p>
        </w:tc>
        <w:tc>
          <w:tcPr>
            <w:tcW w:w="1889" w:type="dxa"/>
            <w:noWrap w:val="0"/>
            <w:vAlign w:val="center"/>
          </w:tcPr>
          <w:p w14:paraId="2298348C">
            <w:pPr>
              <w:keepNext w:val="0"/>
              <w:keepLines w:val="0"/>
              <w:suppressLineNumbers w:val="0"/>
              <w:spacing w:before="0" w:beforeAutospacing="0" w:after="0" w:afterAutospacing="0" w:line="440" w:lineRule="exact"/>
              <w:ind w:left="0" w:right="0"/>
              <w:jc w:val="center"/>
              <w:rPr>
                <w:rFonts w:hint="default"/>
                <w:color w:val="000000" w:themeColor="text1"/>
                <w:highlight w:val="none"/>
                <w14:textFill>
                  <w14:solidFill>
                    <w14:schemeClr w14:val="tx1"/>
                  </w14:solidFill>
                </w14:textFill>
              </w:rPr>
            </w:pPr>
          </w:p>
        </w:tc>
        <w:tc>
          <w:tcPr>
            <w:tcW w:w="2110" w:type="dxa"/>
            <w:noWrap w:val="0"/>
            <w:vAlign w:val="center"/>
          </w:tcPr>
          <w:p w14:paraId="5B88E87B">
            <w:pPr>
              <w:keepNext w:val="0"/>
              <w:keepLines w:val="0"/>
              <w:suppressLineNumbers w:val="0"/>
              <w:spacing w:before="0" w:beforeAutospacing="0" w:after="0" w:afterAutospacing="0" w:line="440" w:lineRule="exact"/>
              <w:ind w:left="0" w:right="0"/>
              <w:jc w:val="center"/>
              <w:rPr>
                <w:rFonts w:hint="default"/>
                <w:color w:val="000000" w:themeColor="text1"/>
                <w:highlight w:val="none"/>
                <w14:textFill>
                  <w14:solidFill>
                    <w14:schemeClr w14:val="tx1"/>
                  </w14:solidFill>
                </w14:textFill>
              </w:rPr>
            </w:pPr>
          </w:p>
        </w:tc>
      </w:tr>
      <w:tr w14:paraId="2791F8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trPr>
        <w:tc>
          <w:tcPr>
            <w:tcW w:w="768" w:type="dxa"/>
            <w:noWrap w:val="0"/>
            <w:vAlign w:val="center"/>
          </w:tcPr>
          <w:p w14:paraId="1431979A">
            <w:pPr>
              <w:keepNext w:val="0"/>
              <w:keepLines w:val="0"/>
              <w:suppressLineNumbers w:val="0"/>
              <w:spacing w:before="0" w:beforeAutospacing="0" w:after="0" w:afterAutospacing="0" w:line="440" w:lineRule="exact"/>
              <w:ind w:left="0" w:right="0"/>
              <w:jc w:val="center"/>
              <w:rPr>
                <w:rFonts w:hint="default"/>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4</w:t>
            </w:r>
          </w:p>
        </w:tc>
        <w:tc>
          <w:tcPr>
            <w:tcW w:w="2897" w:type="dxa"/>
            <w:noWrap w:val="0"/>
            <w:vAlign w:val="center"/>
          </w:tcPr>
          <w:p w14:paraId="26700479">
            <w:pPr>
              <w:keepNext w:val="0"/>
              <w:keepLines w:val="0"/>
              <w:suppressLineNumbers w:val="0"/>
              <w:spacing w:before="0" w:beforeAutospacing="0" w:after="0" w:afterAutospacing="0" w:line="440" w:lineRule="exact"/>
              <w:ind w:left="0" w:right="0"/>
              <w:jc w:val="center"/>
              <w:rPr>
                <w:rFonts w:hint="default"/>
                <w:color w:val="000000" w:themeColor="text1"/>
                <w:highlight w:val="none"/>
                <w14:textFill>
                  <w14:solidFill>
                    <w14:schemeClr w14:val="tx1"/>
                  </w14:solidFill>
                </w14:textFill>
              </w:rPr>
            </w:pPr>
          </w:p>
        </w:tc>
        <w:tc>
          <w:tcPr>
            <w:tcW w:w="2333" w:type="dxa"/>
            <w:noWrap w:val="0"/>
            <w:vAlign w:val="center"/>
          </w:tcPr>
          <w:p w14:paraId="4055286E">
            <w:pPr>
              <w:keepNext w:val="0"/>
              <w:keepLines w:val="0"/>
              <w:suppressLineNumbers w:val="0"/>
              <w:spacing w:before="0" w:beforeAutospacing="0" w:after="0" w:afterAutospacing="0" w:line="440" w:lineRule="exact"/>
              <w:ind w:left="0" w:right="0"/>
              <w:jc w:val="center"/>
              <w:rPr>
                <w:rFonts w:hint="default"/>
                <w:color w:val="000000" w:themeColor="text1"/>
                <w:highlight w:val="none"/>
                <w14:textFill>
                  <w14:solidFill>
                    <w14:schemeClr w14:val="tx1"/>
                  </w14:solidFill>
                </w14:textFill>
              </w:rPr>
            </w:pPr>
          </w:p>
        </w:tc>
        <w:tc>
          <w:tcPr>
            <w:tcW w:w="1889" w:type="dxa"/>
            <w:noWrap w:val="0"/>
            <w:vAlign w:val="center"/>
          </w:tcPr>
          <w:p w14:paraId="734B27BB">
            <w:pPr>
              <w:keepNext w:val="0"/>
              <w:keepLines w:val="0"/>
              <w:suppressLineNumbers w:val="0"/>
              <w:spacing w:before="0" w:beforeAutospacing="0" w:after="0" w:afterAutospacing="0" w:line="440" w:lineRule="exact"/>
              <w:ind w:left="0" w:right="0"/>
              <w:jc w:val="center"/>
              <w:rPr>
                <w:rFonts w:hint="default"/>
                <w:color w:val="000000" w:themeColor="text1"/>
                <w:highlight w:val="none"/>
                <w14:textFill>
                  <w14:solidFill>
                    <w14:schemeClr w14:val="tx1"/>
                  </w14:solidFill>
                </w14:textFill>
              </w:rPr>
            </w:pPr>
          </w:p>
        </w:tc>
        <w:tc>
          <w:tcPr>
            <w:tcW w:w="2110" w:type="dxa"/>
            <w:noWrap w:val="0"/>
            <w:vAlign w:val="center"/>
          </w:tcPr>
          <w:p w14:paraId="6A8A80F6">
            <w:pPr>
              <w:keepNext w:val="0"/>
              <w:keepLines w:val="0"/>
              <w:suppressLineNumbers w:val="0"/>
              <w:spacing w:before="0" w:beforeAutospacing="0" w:after="0" w:afterAutospacing="0" w:line="440" w:lineRule="exact"/>
              <w:ind w:left="0" w:right="0"/>
              <w:jc w:val="center"/>
              <w:rPr>
                <w:rFonts w:hint="default"/>
                <w:color w:val="000000" w:themeColor="text1"/>
                <w:highlight w:val="none"/>
                <w14:textFill>
                  <w14:solidFill>
                    <w14:schemeClr w14:val="tx1"/>
                  </w14:solidFill>
                </w14:textFill>
              </w:rPr>
            </w:pPr>
          </w:p>
        </w:tc>
      </w:tr>
      <w:tr w14:paraId="04DF3E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trPr>
        <w:tc>
          <w:tcPr>
            <w:tcW w:w="768" w:type="dxa"/>
            <w:noWrap w:val="0"/>
            <w:vAlign w:val="center"/>
          </w:tcPr>
          <w:p w14:paraId="219ADCE1">
            <w:pPr>
              <w:keepNext w:val="0"/>
              <w:keepLines w:val="0"/>
              <w:suppressLineNumbers w:val="0"/>
              <w:spacing w:before="0" w:beforeAutospacing="0" w:after="0" w:afterAutospacing="0" w:line="440" w:lineRule="exact"/>
              <w:ind w:left="0" w:right="0"/>
              <w:jc w:val="center"/>
              <w:rPr>
                <w:rFonts w:hint="default"/>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5</w:t>
            </w:r>
          </w:p>
        </w:tc>
        <w:tc>
          <w:tcPr>
            <w:tcW w:w="2897" w:type="dxa"/>
            <w:noWrap w:val="0"/>
            <w:vAlign w:val="center"/>
          </w:tcPr>
          <w:p w14:paraId="7E73A162">
            <w:pPr>
              <w:keepNext w:val="0"/>
              <w:keepLines w:val="0"/>
              <w:suppressLineNumbers w:val="0"/>
              <w:spacing w:before="0" w:beforeAutospacing="0" w:after="0" w:afterAutospacing="0" w:line="440" w:lineRule="exact"/>
              <w:ind w:left="0" w:right="0"/>
              <w:jc w:val="center"/>
              <w:rPr>
                <w:rFonts w:hint="default"/>
                <w:color w:val="000000" w:themeColor="text1"/>
                <w:highlight w:val="none"/>
                <w14:textFill>
                  <w14:solidFill>
                    <w14:schemeClr w14:val="tx1"/>
                  </w14:solidFill>
                </w14:textFill>
              </w:rPr>
            </w:pPr>
          </w:p>
        </w:tc>
        <w:tc>
          <w:tcPr>
            <w:tcW w:w="2333" w:type="dxa"/>
            <w:noWrap w:val="0"/>
            <w:vAlign w:val="center"/>
          </w:tcPr>
          <w:p w14:paraId="1C38E1E4">
            <w:pPr>
              <w:keepNext w:val="0"/>
              <w:keepLines w:val="0"/>
              <w:suppressLineNumbers w:val="0"/>
              <w:spacing w:before="0" w:beforeAutospacing="0" w:after="0" w:afterAutospacing="0" w:line="440" w:lineRule="exact"/>
              <w:ind w:left="0" w:right="0"/>
              <w:jc w:val="center"/>
              <w:rPr>
                <w:rFonts w:hint="default"/>
                <w:color w:val="000000" w:themeColor="text1"/>
                <w:highlight w:val="none"/>
                <w14:textFill>
                  <w14:solidFill>
                    <w14:schemeClr w14:val="tx1"/>
                  </w14:solidFill>
                </w14:textFill>
              </w:rPr>
            </w:pPr>
          </w:p>
        </w:tc>
        <w:tc>
          <w:tcPr>
            <w:tcW w:w="1889" w:type="dxa"/>
            <w:noWrap w:val="0"/>
            <w:vAlign w:val="center"/>
          </w:tcPr>
          <w:p w14:paraId="64E939B4">
            <w:pPr>
              <w:keepNext w:val="0"/>
              <w:keepLines w:val="0"/>
              <w:suppressLineNumbers w:val="0"/>
              <w:spacing w:before="0" w:beforeAutospacing="0" w:after="0" w:afterAutospacing="0" w:line="440" w:lineRule="exact"/>
              <w:ind w:left="0" w:right="0"/>
              <w:jc w:val="center"/>
              <w:rPr>
                <w:rFonts w:hint="default"/>
                <w:color w:val="000000" w:themeColor="text1"/>
                <w:highlight w:val="none"/>
                <w14:textFill>
                  <w14:solidFill>
                    <w14:schemeClr w14:val="tx1"/>
                  </w14:solidFill>
                </w14:textFill>
              </w:rPr>
            </w:pPr>
          </w:p>
        </w:tc>
        <w:tc>
          <w:tcPr>
            <w:tcW w:w="2110" w:type="dxa"/>
            <w:noWrap w:val="0"/>
            <w:vAlign w:val="center"/>
          </w:tcPr>
          <w:p w14:paraId="1B1A5BB0">
            <w:pPr>
              <w:keepNext w:val="0"/>
              <w:keepLines w:val="0"/>
              <w:suppressLineNumbers w:val="0"/>
              <w:spacing w:before="0" w:beforeAutospacing="0" w:after="0" w:afterAutospacing="0" w:line="440" w:lineRule="exact"/>
              <w:ind w:left="0" w:right="0"/>
              <w:jc w:val="center"/>
              <w:rPr>
                <w:rFonts w:hint="default"/>
                <w:color w:val="000000" w:themeColor="text1"/>
                <w:highlight w:val="none"/>
                <w14:textFill>
                  <w14:solidFill>
                    <w14:schemeClr w14:val="tx1"/>
                  </w14:solidFill>
                </w14:textFill>
              </w:rPr>
            </w:pPr>
          </w:p>
        </w:tc>
      </w:tr>
      <w:tr w14:paraId="128985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trPr>
        <w:tc>
          <w:tcPr>
            <w:tcW w:w="768" w:type="dxa"/>
            <w:noWrap w:val="0"/>
            <w:vAlign w:val="center"/>
          </w:tcPr>
          <w:p w14:paraId="76B61A54">
            <w:pPr>
              <w:keepNext w:val="0"/>
              <w:keepLines w:val="0"/>
              <w:suppressLineNumbers w:val="0"/>
              <w:spacing w:before="0" w:beforeAutospacing="0" w:after="0" w:afterAutospacing="0" w:line="440" w:lineRule="exact"/>
              <w:ind w:left="0" w:right="0"/>
              <w:jc w:val="center"/>
              <w:rPr>
                <w:rFonts w:hint="default"/>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6</w:t>
            </w:r>
          </w:p>
        </w:tc>
        <w:tc>
          <w:tcPr>
            <w:tcW w:w="2897" w:type="dxa"/>
            <w:noWrap w:val="0"/>
            <w:vAlign w:val="center"/>
          </w:tcPr>
          <w:p w14:paraId="49F58FE0">
            <w:pPr>
              <w:keepNext w:val="0"/>
              <w:keepLines w:val="0"/>
              <w:suppressLineNumbers w:val="0"/>
              <w:spacing w:before="0" w:beforeAutospacing="0" w:after="0" w:afterAutospacing="0" w:line="440" w:lineRule="exact"/>
              <w:ind w:left="0" w:right="0"/>
              <w:jc w:val="center"/>
              <w:rPr>
                <w:rFonts w:hint="default"/>
                <w:color w:val="000000" w:themeColor="text1"/>
                <w:highlight w:val="none"/>
                <w14:textFill>
                  <w14:solidFill>
                    <w14:schemeClr w14:val="tx1"/>
                  </w14:solidFill>
                </w14:textFill>
              </w:rPr>
            </w:pPr>
          </w:p>
        </w:tc>
        <w:tc>
          <w:tcPr>
            <w:tcW w:w="2333" w:type="dxa"/>
            <w:noWrap w:val="0"/>
            <w:vAlign w:val="center"/>
          </w:tcPr>
          <w:p w14:paraId="51E2C1D6">
            <w:pPr>
              <w:keepNext w:val="0"/>
              <w:keepLines w:val="0"/>
              <w:suppressLineNumbers w:val="0"/>
              <w:spacing w:before="0" w:beforeAutospacing="0" w:after="0" w:afterAutospacing="0" w:line="440" w:lineRule="exact"/>
              <w:ind w:left="0" w:right="0"/>
              <w:jc w:val="center"/>
              <w:rPr>
                <w:rFonts w:hint="default"/>
                <w:color w:val="000000" w:themeColor="text1"/>
                <w:highlight w:val="none"/>
                <w14:textFill>
                  <w14:solidFill>
                    <w14:schemeClr w14:val="tx1"/>
                  </w14:solidFill>
                </w14:textFill>
              </w:rPr>
            </w:pPr>
          </w:p>
        </w:tc>
        <w:tc>
          <w:tcPr>
            <w:tcW w:w="1889" w:type="dxa"/>
            <w:noWrap w:val="0"/>
            <w:vAlign w:val="center"/>
          </w:tcPr>
          <w:p w14:paraId="5B2265A4">
            <w:pPr>
              <w:keepNext w:val="0"/>
              <w:keepLines w:val="0"/>
              <w:suppressLineNumbers w:val="0"/>
              <w:spacing w:before="0" w:beforeAutospacing="0" w:after="0" w:afterAutospacing="0" w:line="440" w:lineRule="exact"/>
              <w:ind w:left="0" w:right="0"/>
              <w:jc w:val="center"/>
              <w:rPr>
                <w:rFonts w:hint="default"/>
                <w:color w:val="000000" w:themeColor="text1"/>
                <w:highlight w:val="none"/>
                <w14:textFill>
                  <w14:solidFill>
                    <w14:schemeClr w14:val="tx1"/>
                  </w14:solidFill>
                </w14:textFill>
              </w:rPr>
            </w:pPr>
          </w:p>
        </w:tc>
        <w:tc>
          <w:tcPr>
            <w:tcW w:w="2110" w:type="dxa"/>
            <w:noWrap w:val="0"/>
            <w:vAlign w:val="center"/>
          </w:tcPr>
          <w:p w14:paraId="6D9C8AE3">
            <w:pPr>
              <w:keepNext w:val="0"/>
              <w:keepLines w:val="0"/>
              <w:suppressLineNumbers w:val="0"/>
              <w:spacing w:before="0" w:beforeAutospacing="0" w:after="0" w:afterAutospacing="0" w:line="440" w:lineRule="exact"/>
              <w:ind w:left="0" w:right="0"/>
              <w:jc w:val="center"/>
              <w:rPr>
                <w:rFonts w:hint="default"/>
                <w:color w:val="000000" w:themeColor="text1"/>
                <w:highlight w:val="none"/>
                <w14:textFill>
                  <w14:solidFill>
                    <w14:schemeClr w14:val="tx1"/>
                  </w14:solidFill>
                </w14:textFill>
              </w:rPr>
            </w:pPr>
          </w:p>
        </w:tc>
      </w:tr>
      <w:tr w14:paraId="0DB634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trPr>
        <w:tc>
          <w:tcPr>
            <w:tcW w:w="768" w:type="dxa"/>
            <w:noWrap w:val="0"/>
            <w:vAlign w:val="center"/>
          </w:tcPr>
          <w:p w14:paraId="26F6C131">
            <w:pPr>
              <w:keepNext w:val="0"/>
              <w:keepLines w:val="0"/>
              <w:suppressLineNumbers w:val="0"/>
              <w:spacing w:before="0" w:beforeAutospacing="0" w:after="0" w:afterAutospacing="0" w:line="440" w:lineRule="exact"/>
              <w:ind w:left="0" w:right="0"/>
              <w:jc w:val="center"/>
              <w:rPr>
                <w:rFonts w:hint="default"/>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7</w:t>
            </w:r>
          </w:p>
        </w:tc>
        <w:tc>
          <w:tcPr>
            <w:tcW w:w="2897" w:type="dxa"/>
            <w:noWrap w:val="0"/>
            <w:vAlign w:val="center"/>
          </w:tcPr>
          <w:p w14:paraId="3AFF7604">
            <w:pPr>
              <w:keepNext w:val="0"/>
              <w:keepLines w:val="0"/>
              <w:suppressLineNumbers w:val="0"/>
              <w:spacing w:before="0" w:beforeAutospacing="0" w:after="0" w:afterAutospacing="0" w:line="440" w:lineRule="exact"/>
              <w:ind w:left="0" w:right="0"/>
              <w:jc w:val="center"/>
              <w:rPr>
                <w:rFonts w:hint="default"/>
                <w:color w:val="000000" w:themeColor="text1"/>
                <w:highlight w:val="none"/>
                <w14:textFill>
                  <w14:solidFill>
                    <w14:schemeClr w14:val="tx1"/>
                  </w14:solidFill>
                </w14:textFill>
              </w:rPr>
            </w:pPr>
          </w:p>
        </w:tc>
        <w:tc>
          <w:tcPr>
            <w:tcW w:w="2333" w:type="dxa"/>
            <w:noWrap w:val="0"/>
            <w:vAlign w:val="center"/>
          </w:tcPr>
          <w:p w14:paraId="36EB5E42">
            <w:pPr>
              <w:keepNext w:val="0"/>
              <w:keepLines w:val="0"/>
              <w:suppressLineNumbers w:val="0"/>
              <w:spacing w:before="0" w:beforeAutospacing="0" w:after="0" w:afterAutospacing="0" w:line="440" w:lineRule="exact"/>
              <w:ind w:left="0" w:right="0"/>
              <w:jc w:val="center"/>
              <w:rPr>
                <w:rFonts w:hint="default"/>
                <w:color w:val="000000" w:themeColor="text1"/>
                <w:highlight w:val="none"/>
                <w14:textFill>
                  <w14:solidFill>
                    <w14:schemeClr w14:val="tx1"/>
                  </w14:solidFill>
                </w14:textFill>
              </w:rPr>
            </w:pPr>
          </w:p>
        </w:tc>
        <w:tc>
          <w:tcPr>
            <w:tcW w:w="1889" w:type="dxa"/>
            <w:noWrap w:val="0"/>
            <w:vAlign w:val="center"/>
          </w:tcPr>
          <w:p w14:paraId="5ADEB933">
            <w:pPr>
              <w:keepNext w:val="0"/>
              <w:keepLines w:val="0"/>
              <w:suppressLineNumbers w:val="0"/>
              <w:spacing w:before="0" w:beforeAutospacing="0" w:after="0" w:afterAutospacing="0" w:line="440" w:lineRule="exact"/>
              <w:ind w:left="0" w:right="0"/>
              <w:jc w:val="center"/>
              <w:rPr>
                <w:rFonts w:hint="default"/>
                <w:color w:val="000000" w:themeColor="text1"/>
                <w:highlight w:val="none"/>
                <w14:textFill>
                  <w14:solidFill>
                    <w14:schemeClr w14:val="tx1"/>
                  </w14:solidFill>
                </w14:textFill>
              </w:rPr>
            </w:pPr>
          </w:p>
        </w:tc>
        <w:tc>
          <w:tcPr>
            <w:tcW w:w="2110" w:type="dxa"/>
            <w:noWrap w:val="0"/>
            <w:vAlign w:val="center"/>
          </w:tcPr>
          <w:p w14:paraId="5C7C0776">
            <w:pPr>
              <w:keepNext w:val="0"/>
              <w:keepLines w:val="0"/>
              <w:suppressLineNumbers w:val="0"/>
              <w:spacing w:before="0" w:beforeAutospacing="0" w:after="0" w:afterAutospacing="0" w:line="440" w:lineRule="exact"/>
              <w:ind w:left="0" w:right="0"/>
              <w:jc w:val="center"/>
              <w:rPr>
                <w:rFonts w:hint="default"/>
                <w:color w:val="000000" w:themeColor="text1"/>
                <w:highlight w:val="none"/>
                <w14:textFill>
                  <w14:solidFill>
                    <w14:schemeClr w14:val="tx1"/>
                  </w14:solidFill>
                </w14:textFill>
              </w:rPr>
            </w:pPr>
          </w:p>
        </w:tc>
      </w:tr>
      <w:tr w14:paraId="2E8245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trPr>
        <w:tc>
          <w:tcPr>
            <w:tcW w:w="768" w:type="dxa"/>
            <w:noWrap w:val="0"/>
            <w:vAlign w:val="center"/>
          </w:tcPr>
          <w:p w14:paraId="29DB8F5E">
            <w:pPr>
              <w:keepNext w:val="0"/>
              <w:keepLines w:val="0"/>
              <w:suppressLineNumbers w:val="0"/>
              <w:spacing w:before="0" w:beforeAutospacing="0" w:after="0" w:afterAutospacing="0" w:line="440" w:lineRule="exact"/>
              <w:ind w:left="0" w:right="0"/>
              <w:jc w:val="center"/>
              <w:rPr>
                <w:rFonts w:hint="default"/>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w:t>
            </w:r>
          </w:p>
        </w:tc>
        <w:tc>
          <w:tcPr>
            <w:tcW w:w="2897" w:type="dxa"/>
            <w:noWrap w:val="0"/>
            <w:vAlign w:val="center"/>
          </w:tcPr>
          <w:p w14:paraId="02322F8B">
            <w:pPr>
              <w:keepNext w:val="0"/>
              <w:keepLines w:val="0"/>
              <w:suppressLineNumbers w:val="0"/>
              <w:spacing w:before="0" w:beforeAutospacing="0" w:after="0" w:afterAutospacing="0" w:line="440" w:lineRule="exact"/>
              <w:ind w:left="0" w:right="0"/>
              <w:jc w:val="center"/>
              <w:rPr>
                <w:rFonts w:hint="default"/>
                <w:color w:val="000000" w:themeColor="text1"/>
                <w:highlight w:val="none"/>
                <w14:textFill>
                  <w14:solidFill>
                    <w14:schemeClr w14:val="tx1"/>
                  </w14:solidFill>
                </w14:textFill>
              </w:rPr>
            </w:pPr>
          </w:p>
        </w:tc>
        <w:tc>
          <w:tcPr>
            <w:tcW w:w="2333" w:type="dxa"/>
            <w:noWrap w:val="0"/>
            <w:vAlign w:val="center"/>
          </w:tcPr>
          <w:p w14:paraId="05CDA82A">
            <w:pPr>
              <w:keepNext w:val="0"/>
              <w:keepLines w:val="0"/>
              <w:suppressLineNumbers w:val="0"/>
              <w:spacing w:before="0" w:beforeAutospacing="0" w:after="0" w:afterAutospacing="0" w:line="440" w:lineRule="exact"/>
              <w:ind w:left="0" w:right="0"/>
              <w:jc w:val="center"/>
              <w:rPr>
                <w:rFonts w:hint="default"/>
                <w:color w:val="000000" w:themeColor="text1"/>
                <w:highlight w:val="none"/>
                <w14:textFill>
                  <w14:solidFill>
                    <w14:schemeClr w14:val="tx1"/>
                  </w14:solidFill>
                </w14:textFill>
              </w:rPr>
            </w:pPr>
          </w:p>
        </w:tc>
        <w:tc>
          <w:tcPr>
            <w:tcW w:w="1889" w:type="dxa"/>
            <w:noWrap w:val="0"/>
            <w:vAlign w:val="center"/>
          </w:tcPr>
          <w:p w14:paraId="250E340D">
            <w:pPr>
              <w:keepNext w:val="0"/>
              <w:keepLines w:val="0"/>
              <w:suppressLineNumbers w:val="0"/>
              <w:spacing w:before="0" w:beforeAutospacing="0" w:after="0" w:afterAutospacing="0" w:line="440" w:lineRule="exact"/>
              <w:ind w:left="0" w:right="0"/>
              <w:jc w:val="center"/>
              <w:rPr>
                <w:rFonts w:hint="default"/>
                <w:color w:val="000000" w:themeColor="text1"/>
                <w:highlight w:val="none"/>
                <w14:textFill>
                  <w14:solidFill>
                    <w14:schemeClr w14:val="tx1"/>
                  </w14:solidFill>
                </w14:textFill>
              </w:rPr>
            </w:pPr>
          </w:p>
        </w:tc>
        <w:tc>
          <w:tcPr>
            <w:tcW w:w="2110" w:type="dxa"/>
            <w:noWrap w:val="0"/>
            <w:vAlign w:val="center"/>
          </w:tcPr>
          <w:p w14:paraId="174AD1BC">
            <w:pPr>
              <w:keepNext w:val="0"/>
              <w:keepLines w:val="0"/>
              <w:suppressLineNumbers w:val="0"/>
              <w:spacing w:before="0" w:beforeAutospacing="0" w:after="0" w:afterAutospacing="0" w:line="440" w:lineRule="exact"/>
              <w:ind w:left="0" w:right="0"/>
              <w:jc w:val="center"/>
              <w:rPr>
                <w:rFonts w:hint="default"/>
                <w:color w:val="000000" w:themeColor="text1"/>
                <w:highlight w:val="none"/>
                <w14:textFill>
                  <w14:solidFill>
                    <w14:schemeClr w14:val="tx1"/>
                  </w14:solidFill>
                </w14:textFill>
              </w:rPr>
            </w:pPr>
          </w:p>
        </w:tc>
      </w:tr>
    </w:tbl>
    <w:p w14:paraId="39318512">
      <w:pPr>
        <w:keepNext w:val="0"/>
        <w:keepLines w:val="0"/>
        <w:pageBreakBefore w:val="0"/>
        <w:widowControl w:val="0"/>
        <w:spacing w:line="440" w:lineRule="exact"/>
        <w:outlineLvl w:val="9"/>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注：（1）</w:t>
      </w:r>
      <w:r>
        <w:rPr>
          <w:rFonts w:hint="eastAsia"/>
          <w:color w:val="000000" w:themeColor="text1"/>
          <w:sz w:val="24"/>
          <w:szCs w:val="24"/>
          <w:highlight w:val="none"/>
          <w14:textFill>
            <w14:solidFill>
              <w14:schemeClr w14:val="tx1"/>
            </w14:solidFill>
          </w14:textFill>
        </w:rPr>
        <w:t>投标人</w:t>
      </w:r>
      <w:r>
        <w:rPr>
          <w:color w:val="000000" w:themeColor="text1"/>
          <w:sz w:val="24"/>
          <w:szCs w:val="24"/>
          <w:highlight w:val="none"/>
          <w14:textFill>
            <w14:solidFill>
              <w14:schemeClr w14:val="tx1"/>
            </w14:solidFill>
          </w14:textFill>
        </w:rPr>
        <w:t>应根</w:t>
      </w:r>
      <w:r>
        <w:rPr>
          <w:rFonts w:hint="eastAsia"/>
          <w:color w:val="000000" w:themeColor="text1"/>
          <w:sz w:val="24"/>
          <w:szCs w:val="24"/>
          <w:highlight w:val="none"/>
          <w14:textFill>
            <w14:solidFill>
              <w14:schemeClr w14:val="tx1"/>
            </w14:solidFill>
          </w14:textFill>
        </w:rPr>
        <w:t>据“项目需求”中</w:t>
      </w:r>
      <w:r>
        <w:rPr>
          <w:rFonts w:hint="eastAsia"/>
          <w:b/>
          <w:bCs/>
          <w:color w:val="000000" w:themeColor="text1"/>
          <w:sz w:val="24"/>
          <w:szCs w:val="24"/>
          <w:highlight w:val="none"/>
          <w14:textFill>
            <w14:solidFill>
              <w14:schemeClr w14:val="tx1"/>
            </w14:solidFill>
          </w14:textFill>
        </w:rPr>
        <w:t>“</w:t>
      </w:r>
      <w:r>
        <w:rPr>
          <w:rFonts w:hint="eastAsia"/>
          <w:b/>
          <w:bCs/>
          <w:color w:val="000000" w:themeColor="text1"/>
          <w:sz w:val="24"/>
          <w:szCs w:val="24"/>
          <w:highlight w:val="none"/>
          <w:lang w:val="en-US" w:eastAsia="zh-CN"/>
          <w14:textFill>
            <w14:solidFill>
              <w14:schemeClr w14:val="tx1"/>
            </w14:solidFill>
          </w14:textFill>
        </w:rPr>
        <w:t>三、项目服务要求、四、质量要求以及其他要求</w:t>
      </w:r>
      <w:r>
        <w:rPr>
          <w:rFonts w:hint="eastAsia"/>
          <w:b/>
          <w:bCs/>
          <w:color w:val="000000" w:themeColor="text1"/>
          <w:sz w:val="24"/>
          <w:szCs w:val="24"/>
          <w:highlight w:val="none"/>
          <w14:textFill>
            <w14:solidFill>
              <w14:schemeClr w14:val="tx1"/>
            </w14:solidFill>
          </w14:textFill>
        </w:rPr>
        <w:t>”</w:t>
      </w:r>
      <w:r>
        <w:rPr>
          <w:rFonts w:hint="eastAsia"/>
          <w:color w:val="000000" w:themeColor="text1"/>
          <w:sz w:val="24"/>
          <w:szCs w:val="24"/>
          <w:highlight w:val="none"/>
          <w14:textFill>
            <w14:solidFill>
              <w14:schemeClr w14:val="tx1"/>
            </w14:solidFill>
          </w14:textFill>
        </w:rPr>
        <w:t>，对照所能提供的服务承诺进行评议。</w:t>
      </w:r>
    </w:p>
    <w:p w14:paraId="63577BBB">
      <w:pPr>
        <w:keepNext w:val="0"/>
        <w:keepLines w:val="0"/>
        <w:pageBreakBefore w:val="0"/>
        <w:widowControl w:val="0"/>
        <w:spacing w:line="480" w:lineRule="exact"/>
        <w:ind w:firstLine="480"/>
        <w:outlineLvl w:val="9"/>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（2）</w:t>
      </w:r>
      <w:r>
        <w:rPr>
          <w:rFonts w:hint="eastAsia"/>
          <w:color w:val="000000" w:themeColor="text1"/>
          <w:sz w:val="24"/>
          <w:szCs w:val="24"/>
          <w:highlight w:val="none"/>
          <w14:textFill>
            <w14:solidFill>
              <w14:schemeClr w14:val="tx1"/>
            </w14:solidFill>
          </w14:textFill>
        </w:rPr>
        <w:t>若无偏离，在“有无偏离”栏中填写“无”；若有偏离在“有无偏离”栏中填写“有”并在“偏离内容及原因”栏中作出说明；因未标明或表述含糊导致的评审风险将由投标人承担。</w:t>
      </w:r>
    </w:p>
    <w:p w14:paraId="53515B10">
      <w:pPr>
        <w:keepNext w:val="0"/>
        <w:keepLines w:val="0"/>
        <w:pageBreakBefore w:val="0"/>
        <w:widowControl w:val="0"/>
        <w:spacing w:line="480" w:lineRule="exact"/>
        <w:ind w:firstLine="480"/>
        <w:outlineLvl w:val="9"/>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（3）表格不够可另接。</w:t>
      </w:r>
    </w:p>
    <w:p w14:paraId="3FC2DC8D">
      <w:pPr>
        <w:spacing w:after="120" w:line="440" w:lineRule="exact"/>
        <w:ind w:firstLine="480"/>
        <w:rPr>
          <w:rFonts w:ascii="宋体" w:hAnsi="宋体"/>
          <w:bCs/>
          <w:color w:val="000000" w:themeColor="text1"/>
          <w:sz w:val="24"/>
          <w:szCs w:val="24"/>
          <w:highlight w:val="none"/>
          <w14:textFill>
            <w14:solidFill>
              <w14:schemeClr w14:val="tx1"/>
            </w14:solidFill>
          </w14:textFill>
        </w:rPr>
      </w:pPr>
    </w:p>
    <w:p w14:paraId="12F3074E">
      <w:pPr>
        <w:spacing w:line="440" w:lineRule="exact"/>
        <w:jc w:val="center"/>
        <w:outlineLvl w:val="1"/>
        <w:rPr>
          <w:rFonts w:ascii="Times New Roman" w:hAnsi="Times New Roman"/>
          <w:b/>
          <w:bCs/>
          <w:color w:val="000000" w:themeColor="text1"/>
          <w:sz w:val="28"/>
          <w:szCs w:val="28"/>
          <w:highlight w:val="none"/>
          <w14:textFill>
            <w14:solidFill>
              <w14:schemeClr w14:val="tx1"/>
            </w14:solidFill>
          </w14:textFill>
        </w:rPr>
      </w:pPr>
      <w:r>
        <w:rPr>
          <w:color w:val="000000" w:themeColor="text1"/>
          <w:highlight w:val="none"/>
          <w14:textFill>
            <w14:solidFill>
              <w14:schemeClr w14:val="tx1"/>
            </w14:solidFill>
          </w14:textFill>
        </w:rPr>
        <w:br w:type="page" w:clear="all"/>
      </w:r>
      <w:bookmarkStart w:id="235" w:name="_Toc22324"/>
      <w:bookmarkStart w:id="236" w:name="_Toc387400419"/>
      <w:bookmarkStart w:id="237" w:name="_Toc522610225"/>
      <w:bookmarkStart w:id="238" w:name="_Toc43821328"/>
      <w:bookmarkStart w:id="239" w:name="_Toc146524609"/>
      <w:bookmarkStart w:id="240" w:name="_Toc354834784"/>
      <w:r>
        <w:rPr>
          <w:rFonts w:hint="eastAsia" w:ascii="Times New Roman" w:hAnsi="Times New Roman"/>
          <w:b/>
          <w:bCs/>
          <w:color w:val="000000" w:themeColor="text1"/>
          <w:sz w:val="28"/>
          <w:szCs w:val="28"/>
          <w:highlight w:val="none"/>
          <w14:textFill>
            <w14:solidFill>
              <w14:schemeClr w14:val="tx1"/>
            </w14:solidFill>
          </w14:textFill>
        </w:rPr>
        <w:t>附件</w:t>
      </w:r>
      <w:r>
        <w:rPr>
          <w:rFonts w:hint="eastAsia" w:ascii="Times New Roman" w:hAnsi="Times New Roman"/>
          <w:b/>
          <w:bCs/>
          <w:color w:val="000000" w:themeColor="text1"/>
          <w:sz w:val="28"/>
          <w:szCs w:val="28"/>
          <w:highlight w:val="none"/>
          <w:lang w:val="en-US" w:eastAsia="zh-CN"/>
          <w14:textFill>
            <w14:solidFill>
              <w14:schemeClr w14:val="tx1"/>
            </w14:solidFill>
          </w14:textFill>
        </w:rPr>
        <w:t>3</w:t>
      </w:r>
      <w:r>
        <w:rPr>
          <w:rFonts w:ascii="Times New Roman" w:hAnsi="Times New Roman"/>
          <w:b/>
          <w:bCs/>
          <w:color w:val="000000" w:themeColor="text1"/>
          <w:sz w:val="28"/>
          <w:szCs w:val="28"/>
          <w:highlight w:val="none"/>
          <w14:textFill>
            <w14:solidFill>
              <w14:schemeClr w14:val="tx1"/>
            </w14:solidFill>
          </w14:textFill>
        </w:rPr>
        <w:t xml:space="preserve"> </w:t>
      </w:r>
      <w:r>
        <w:rPr>
          <w:rFonts w:hint="eastAsia" w:ascii="Times New Roman" w:hAnsi="Times New Roman"/>
          <w:b/>
          <w:bCs/>
          <w:color w:val="000000" w:themeColor="text1"/>
          <w:sz w:val="28"/>
          <w:szCs w:val="28"/>
          <w:highlight w:val="none"/>
          <w14:textFill>
            <w14:solidFill>
              <w14:schemeClr w14:val="tx1"/>
            </w14:solidFill>
          </w14:textFill>
        </w:rPr>
        <w:t>项目方案</w:t>
      </w:r>
      <w:bookmarkEnd w:id="235"/>
    </w:p>
    <w:p w14:paraId="188FC6F2">
      <w:pPr>
        <w:spacing w:line="460" w:lineRule="exact"/>
        <w:ind w:firstLine="480"/>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主要内容应包括但不限于以下方面：</w:t>
      </w:r>
    </w:p>
    <w:p w14:paraId="7925B053">
      <w:pPr>
        <w:spacing w:line="460" w:lineRule="exact"/>
        <w:ind w:firstLine="480"/>
        <w:rPr>
          <w:rFonts w:hint="eastAsia"/>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1、</w:t>
      </w:r>
      <w:r>
        <w:rPr>
          <w:rFonts w:hint="eastAsia" w:ascii="Calibri" w:hAnsi="Calibri" w:eastAsia="宋体" w:cs="Times New Roman"/>
          <w:color w:val="000000" w:themeColor="text1"/>
          <w:sz w:val="24"/>
          <w:szCs w:val="20"/>
          <w:highlight w:val="none"/>
          <w:lang w:val="en-US" w:eastAsia="zh-CN" w:bidi="ar-SA"/>
          <w14:textFill>
            <w14:solidFill>
              <w14:schemeClr w14:val="tx1"/>
            </w14:solidFill>
          </w14:textFill>
        </w:rPr>
        <w:t>项目理解</w:t>
      </w:r>
    </w:p>
    <w:p w14:paraId="556508E2">
      <w:pPr>
        <w:spacing w:line="460" w:lineRule="exact"/>
        <w:ind w:firstLine="480"/>
        <w:rPr>
          <w:rFonts w:hint="eastAsia"/>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2、</w:t>
      </w:r>
      <w:r>
        <w:rPr>
          <w:rFonts w:hint="eastAsia" w:ascii="Calibri" w:hAnsi="Calibri" w:eastAsia="宋体" w:cs="Times New Roman"/>
          <w:color w:val="000000" w:themeColor="text1"/>
          <w:sz w:val="24"/>
          <w:szCs w:val="20"/>
          <w:highlight w:val="none"/>
          <w:lang w:val="en-US" w:eastAsia="zh-CN" w:bidi="ar-SA"/>
          <w14:textFill>
            <w14:solidFill>
              <w14:schemeClr w14:val="tx1"/>
            </w14:solidFill>
          </w14:textFill>
        </w:rPr>
        <w:t>泵站运维方案</w:t>
      </w:r>
    </w:p>
    <w:p w14:paraId="2AF7C7C1">
      <w:pPr>
        <w:spacing w:line="460" w:lineRule="exact"/>
        <w:ind w:firstLine="480"/>
        <w:rPr>
          <w:rFonts w:hint="eastAsia"/>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3、</w:t>
      </w:r>
      <w:r>
        <w:rPr>
          <w:rFonts w:hint="eastAsia" w:ascii="Calibri" w:hAnsi="Calibri" w:eastAsia="宋体" w:cs="Times New Roman"/>
          <w:color w:val="000000" w:themeColor="text1"/>
          <w:sz w:val="24"/>
          <w:szCs w:val="20"/>
          <w:highlight w:val="none"/>
          <w:lang w:val="en-US" w:eastAsia="zh-CN" w:bidi="ar-SA"/>
          <w14:textFill>
            <w14:solidFill>
              <w14:schemeClr w14:val="tx1"/>
            </w14:solidFill>
          </w14:textFill>
        </w:rPr>
        <w:t>防汛及降排水作业方案</w:t>
      </w:r>
    </w:p>
    <w:p w14:paraId="4B2852B4">
      <w:pPr>
        <w:spacing w:line="460" w:lineRule="exact"/>
        <w:ind w:firstLine="480"/>
        <w:rPr>
          <w:rFonts w:hint="eastAsia"/>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4、</w:t>
      </w:r>
      <w:r>
        <w:rPr>
          <w:rFonts w:hint="eastAsia" w:ascii="Calibri" w:hAnsi="Calibri" w:eastAsia="宋体" w:cs="Times New Roman"/>
          <w:color w:val="000000" w:themeColor="text1"/>
          <w:sz w:val="24"/>
          <w:szCs w:val="20"/>
          <w:highlight w:val="none"/>
          <w:lang w:val="en-US" w:eastAsia="zh-CN" w:bidi="ar-SA"/>
          <w14:textFill>
            <w14:solidFill>
              <w14:schemeClr w14:val="tx1"/>
            </w14:solidFill>
          </w14:textFill>
        </w:rPr>
        <w:t>水生植物养护管理方案</w:t>
      </w:r>
    </w:p>
    <w:p w14:paraId="7EE6D352">
      <w:pPr>
        <w:spacing w:line="460" w:lineRule="exact"/>
        <w:ind w:firstLine="480"/>
        <w:rPr>
          <w:rFonts w:hint="eastAsia"/>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5、</w:t>
      </w:r>
      <w:r>
        <w:rPr>
          <w:rFonts w:hint="eastAsia"/>
          <w:color w:val="000000" w:themeColor="text1"/>
          <w:sz w:val="24"/>
          <w:szCs w:val="20"/>
          <w:highlight w:val="none"/>
          <w14:textFill>
            <w14:solidFill>
              <w14:schemeClr w14:val="tx1"/>
            </w14:solidFill>
          </w14:textFill>
        </w:rPr>
        <w:t>管网疏通、养护方案</w:t>
      </w:r>
    </w:p>
    <w:p w14:paraId="1EA5766B">
      <w:pPr>
        <w:spacing w:line="460" w:lineRule="exact"/>
        <w:ind w:firstLine="480"/>
        <w:rPr>
          <w:rFonts w:hint="eastAsia"/>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6、</w:t>
      </w:r>
      <w:r>
        <w:rPr>
          <w:rFonts w:hint="eastAsia"/>
          <w:color w:val="000000" w:themeColor="text1"/>
          <w:sz w:val="24"/>
          <w:szCs w:val="20"/>
          <w:highlight w:val="none"/>
          <w14:textFill>
            <w14:solidFill>
              <w14:schemeClr w14:val="tx1"/>
            </w14:solidFill>
          </w14:textFill>
        </w:rPr>
        <w:t>雨污分流改造及管网修复</w:t>
      </w:r>
      <w:r>
        <w:rPr>
          <w:rFonts w:hint="eastAsia"/>
          <w:color w:val="000000" w:themeColor="text1"/>
          <w:sz w:val="24"/>
          <w:szCs w:val="20"/>
          <w:highlight w:val="none"/>
          <w:lang w:eastAsia="zh-CN"/>
          <w14:textFill>
            <w14:solidFill>
              <w14:schemeClr w14:val="tx1"/>
            </w14:solidFill>
          </w14:textFill>
        </w:rPr>
        <w:t>作业</w:t>
      </w:r>
      <w:r>
        <w:rPr>
          <w:rFonts w:hint="eastAsia"/>
          <w:color w:val="000000" w:themeColor="text1"/>
          <w:sz w:val="24"/>
          <w:szCs w:val="20"/>
          <w:highlight w:val="none"/>
          <w14:textFill>
            <w14:solidFill>
              <w14:schemeClr w14:val="tx1"/>
            </w14:solidFill>
          </w14:textFill>
        </w:rPr>
        <w:t>方案</w:t>
      </w:r>
    </w:p>
    <w:p w14:paraId="73780A89">
      <w:pPr>
        <w:spacing w:line="460" w:lineRule="exact"/>
        <w:ind w:firstLine="480"/>
        <w:rPr>
          <w:rFonts w:hint="eastAsia"/>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7、</w:t>
      </w:r>
      <w:r>
        <w:rPr>
          <w:rFonts w:hint="eastAsia"/>
          <w:color w:val="000000" w:themeColor="text1"/>
          <w:sz w:val="24"/>
          <w:szCs w:val="20"/>
          <w:highlight w:val="none"/>
          <w14:textFill>
            <w14:solidFill>
              <w14:schemeClr w14:val="tx1"/>
            </w14:solidFill>
          </w14:textFill>
        </w:rPr>
        <w:t>管网检测方案</w:t>
      </w:r>
    </w:p>
    <w:p w14:paraId="055E3711">
      <w:pPr>
        <w:spacing w:line="460" w:lineRule="exact"/>
        <w:ind w:firstLine="480"/>
        <w:rPr>
          <w:rFonts w:hint="eastAsia"/>
          <w:color w:val="000000" w:themeColor="text1"/>
          <w:sz w:val="24"/>
          <w:szCs w:val="20"/>
          <w:highlight w:val="none"/>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8、</w:t>
      </w:r>
      <w:r>
        <w:rPr>
          <w:rFonts w:hint="eastAsia"/>
          <w:color w:val="000000" w:themeColor="text1"/>
          <w:sz w:val="24"/>
          <w:szCs w:val="20"/>
          <w:highlight w:val="none"/>
          <w14:textFill>
            <w14:solidFill>
              <w14:schemeClr w14:val="tx1"/>
            </w14:solidFill>
          </w14:textFill>
        </w:rPr>
        <w:t>安全文明与现场交通等组织协调措施</w:t>
      </w:r>
    </w:p>
    <w:p w14:paraId="7F631A6B">
      <w:pPr>
        <w:spacing w:line="460" w:lineRule="exact"/>
        <w:ind w:firstLine="480"/>
        <w:rPr>
          <w:rFonts w:hint="eastAsia"/>
          <w:color w:val="000000" w:themeColor="text1"/>
          <w:sz w:val="24"/>
          <w:szCs w:val="20"/>
          <w:highlight w:val="none"/>
          <w:lang w:val="en-US" w:eastAsia="zh-CN"/>
          <w14:textFill>
            <w14:solidFill>
              <w14:schemeClr w14:val="tx1"/>
            </w14:solidFill>
          </w14:textFill>
        </w:rPr>
      </w:pPr>
      <w:r>
        <w:rPr>
          <w:rFonts w:hint="eastAsia"/>
          <w:color w:val="000000" w:themeColor="text1"/>
          <w:sz w:val="24"/>
          <w:szCs w:val="20"/>
          <w:highlight w:val="none"/>
          <w:lang w:val="en-US" w:eastAsia="zh-CN"/>
          <w14:textFill>
            <w14:solidFill>
              <w14:schemeClr w14:val="tx1"/>
            </w14:solidFill>
          </w14:textFill>
        </w:rPr>
        <w:t>9、</w:t>
      </w:r>
      <w:r>
        <w:rPr>
          <w:rFonts w:hint="eastAsia"/>
          <w:color w:val="000000" w:themeColor="text1"/>
          <w:sz w:val="24"/>
          <w:szCs w:val="20"/>
          <w:highlight w:val="none"/>
          <w14:textFill>
            <w14:solidFill>
              <w14:schemeClr w14:val="tx1"/>
            </w14:solidFill>
          </w14:textFill>
        </w:rPr>
        <w:t>重难点分析</w:t>
      </w:r>
    </w:p>
    <w:p w14:paraId="557A4C1B">
      <w:pPr>
        <w:spacing w:line="460" w:lineRule="exact"/>
        <w:ind w:firstLine="480"/>
        <w:rPr>
          <w:rFonts w:hint="default"/>
          <w:color w:val="000000" w:themeColor="text1"/>
          <w:sz w:val="24"/>
          <w:szCs w:val="20"/>
          <w:highlight w:val="none"/>
          <w:lang w:val="en-US" w:eastAsia="zh-CN"/>
          <w14:textFill>
            <w14:solidFill>
              <w14:schemeClr w14:val="tx1"/>
            </w14:solidFill>
          </w14:textFill>
        </w:rPr>
      </w:pPr>
      <w:r>
        <w:rPr>
          <w:rFonts w:hint="eastAsia"/>
          <w:color w:val="000000" w:themeColor="text1"/>
          <w:sz w:val="24"/>
          <w:szCs w:val="20"/>
          <w:highlight w:val="none"/>
          <w:lang w:val="en-US" w:eastAsia="zh-CN"/>
          <w14:textFill>
            <w14:solidFill>
              <w14:schemeClr w14:val="tx1"/>
            </w14:solidFill>
          </w14:textFill>
        </w:rPr>
        <w:t>10、内部管理制度</w:t>
      </w:r>
    </w:p>
    <w:p w14:paraId="28AFFCD5">
      <w:pPr>
        <w:spacing w:line="460" w:lineRule="exact"/>
        <w:ind w:firstLine="480"/>
        <w:rPr>
          <w:rFonts w:hint="default"/>
          <w:color w:val="000000" w:themeColor="text1"/>
          <w:sz w:val="24"/>
          <w:szCs w:val="24"/>
          <w:highlight w:val="none"/>
          <w:lang w:val="en-US" w:eastAsia="zh-CN"/>
          <w14:textFill>
            <w14:solidFill>
              <w14:schemeClr w14:val="tx1"/>
            </w14:solidFill>
          </w14:textFill>
        </w:rPr>
      </w:pPr>
    </w:p>
    <w:p w14:paraId="2F060A4A">
      <w:pPr>
        <w:widowControl/>
        <w:jc w:val="left"/>
        <w:rPr>
          <w:color w:val="000000" w:themeColor="text1"/>
          <w:highlight w:val="none"/>
          <w14:textFill>
            <w14:solidFill>
              <w14:schemeClr w14:val="tx1"/>
            </w14:solidFill>
          </w14:textFill>
        </w:rPr>
      </w:pPr>
    </w:p>
    <w:p w14:paraId="0E5DA9D0">
      <w:pPr>
        <w:widowControl/>
        <w:jc w:val="left"/>
        <w:rPr>
          <w:color w:val="000000" w:themeColor="text1"/>
          <w:highlight w:val="none"/>
          <w14:textFill>
            <w14:solidFill>
              <w14:schemeClr w14:val="tx1"/>
            </w14:solidFill>
          </w14:textFill>
        </w:rPr>
      </w:pPr>
    </w:p>
    <w:p w14:paraId="27A62D80">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p>
    <w:p w14:paraId="3C425B16">
      <w:pPr>
        <w:pStyle w:val="3"/>
        <w:spacing w:line="440" w:lineRule="exact"/>
        <w:jc w:val="center"/>
        <w:rPr>
          <w:rFonts w:ascii="Times New Roman" w:hAnsi="Times New Roman" w:eastAsia="宋体" w:cs="Times New Roman"/>
          <w:b/>
          <w:bCs/>
          <w:color w:val="000000" w:themeColor="text1"/>
          <w:sz w:val="28"/>
          <w:szCs w:val="28"/>
          <w:highlight w:val="none"/>
          <w14:textFill>
            <w14:solidFill>
              <w14:schemeClr w14:val="tx1"/>
            </w14:solidFill>
          </w14:textFill>
        </w:rPr>
      </w:pPr>
      <w:bookmarkStart w:id="241" w:name="_Toc7270"/>
      <w:r>
        <w:rPr>
          <w:rFonts w:hint="eastAsia" w:ascii="Times New Roman" w:hAnsi="Times New Roman" w:eastAsia="宋体" w:cs="Times New Roman"/>
          <w:b/>
          <w:bCs/>
          <w:color w:val="000000" w:themeColor="text1"/>
          <w:sz w:val="28"/>
          <w:szCs w:val="28"/>
          <w:highlight w:val="none"/>
          <w14:textFill>
            <w14:solidFill>
              <w14:schemeClr w14:val="tx1"/>
            </w14:solidFill>
          </w14:textFill>
        </w:rPr>
        <w:t>附件</w:t>
      </w:r>
      <w:bookmarkEnd w:id="236"/>
      <w:bookmarkEnd w:id="237"/>
      <w:bookmarkEnd w:id="238"/>
      <w:bookmarkEnd w:id="239"/>
      <w:bookmarkEnd w:id="240"/>
      <w:r>
        <w:rPr>
          <w:rFonts w:hint="eastAsia" w:ascii="Times New Roman" w:hAnsi="Times New Roman" w:eastAsia="宋体" w:cs="Times New Roman"/>
          <w:b/>
          <w:bCs/>
          <w:color w:val="000000" w:themeColor="text1"/>
          <w:sz w:val="28"/>
          <w:szCs w:val="28"/>
          <w:highlight w:val="none"/>
          <w14:textFill>
            <w14:solidFill>
              <w14:schemeClr w14:val="tx1"/>
            </w14:solidFill>
          </w14:textFill>
        </w:rPr>
        <w:t>4 人员配置情况</w:t>
      </w:r>
      <w:bookmarkEnd w:id="241"/>
    </w:p>
    <w:tbl>
      <w:tblPr>
        <w:tblStyle w:val="39"/>
        <w:tblW w:w="90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9"/>
        <w:gridCol w:w="1626"/>
        <w:gridCol w:w="739"/>
        <w:gridCol w:w="886"/>
        <w:gridCol w:w="739"/>
        <w:gridCol w:w="739"/>
        <w:gridCol w:w="1774"/>
        <w:gridCol w:w="886"/>
        <w:gridCol w:w="887"/>
      </w:tblGrid>
      <w:tr w14:paraId="3FD22D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4" w:hRule="atLeast"/>
          <w:jc w:val="center"/>
        </w:trPr>
        <w:tc>
          <w:tcPr>
            <w:tcW w:w="73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A8B2A2F">
            <w:pPr>
              <w:keepNext w:val="0"/>
              <w:keepLines w:val="0"/>
              <w:widowControl/>
              <w:suppressLineNumbers w:val="0"/>
              <w:spacing w:before="0" w:beforeAutospacing="0" w:after="0" w:afterAutospacing="0" w:line="360" w:lineRule="auto"/>
              <w:ind w:left="0" w:right="0"/>
              <w:jc w:val="center"/>
              <w:rPr>
                <w:rFonts w:hint="default"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序号</w:t>
            </w:r>
          </w:p>
        </w:tc>
        <w:tc>
          <w:tcPr>
            <w:tcW w:w="162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BE62C94">
            <w:pPr>
              <w:keepNext w:val="0"/>
              <w:keepLines w:val="0"/>
              <w:widowControl/>
              <w:suppressLineNumbers w:val="0"/>
              <w:spacing w:before="0" w:beforeAutospacing="0" w:after="0" w:afterAutospacing="0" w:line="360" w:lineRule="auto"/>
              <w:ind w:left="0" w:right="0"/>
              <w:jc w:val="center"/>
              <w:rPr>
                <w:rFonts w:hint="default"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本项目中拟担任的职务</w:t>
            </w:r>
          </w:p>
        </w:tc>
        <w:tc>
          <w:tcPr>
            <w:tcW w:w="73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03CAA91">
            <w:pPr>
              <w:keepNext w:val="0"/>
              <w:keepLines w:val="0"/>
              <w:widowControl/>
              <w:suppressLineNumbers w:val="0"/>
              <w:spacing w:before="0" w:beforeAutospacing="0" w:after="0" w:afterAutospacing="0" w:line="360" w:lineRule="auto"/>
              <w:ind w:left="0" w:right="0"/>
              <w:jc w:val="center"/>
              <w:rPr>
                <w:rFonts w:hint="default"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姓名</w:t>
            </w:r>
          </w:p>
        </w:tc>
        <w:tc>
          <w:tcPr>
            <w:tcW w:w="88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71B2CB7">
            <w:pPr>
              <w:keepNext w:val="0"/>
              <w:keepLines w:val="0"/>
              <w:widowControl/>
              <w:suppressLineNumbers w:val="0"/>
              <w:spacing w:before="0" w:beforeAutospacing="0" w:after="0" w:afterAutospacing="0" w:line="360" w:lineRule="auto"/>
              <w:ind w:left="0" w:right="0"/>
              <w:jc w:val="center"/>
              <w:rPr>
                <w:rFonts w:hint="default"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专业</w:t>
            </w:r>
          </w:p>
        </w:tc>
        <w:tc>
          <w:tcPr>
            <w:tcW w:w="73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0BCF681">
            <w:pPr>
              <w:keepNext w:val="0"/>
              <w:keepLines w:val="0"/>
              <w:suppressLineNumbers w:val="0"/>
              <w:spacing w:before="0" w:beforeAutospacing="0" w:after="0" w:afterAutospacing="0" w:line="360" w:lineRule="auto"/>
              <w:ind w:left="0" w:right="0"/>
              <w:jc w:val="center"/>
              <w:rPr>
                <w:rFonts w:hint="default"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职称</w:t>
            </w:r>
          </w:p>
        </w:tc>
        <w:tc>
          <w:tcPr>
            <w:tcW w:w="73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3736C20">
            <w:pPr>
              <w:keepNext w:val="0"/>
              <w:keepLines w:val="0"/>
              <w:widowControl/>
              <w:suppressLineNumbers w:val="0"/>
              <w:spacing w:before="0" w:beforeAutospacing="0" w:after="0" w:afterAutospacing="0" w:line="360" w:lineRule="auto"/>
              <w:ind w:left="0" w:right="0"/>
              <w:jc w:val="center"/>
              <w:rPr>
                <w:rFonts w:hint="default"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学历</w:t>
            </w:r>
          </w:p>
          <w:p w14:paraId="0EEF2BA6">
            <w:pPr>
              <w:keepNext w:val="0"/>
              <w:keepLines w:val="0"/>
              <w:widowControl/>
              <w:suppressLineNumbers w:val="0"/>
              <w:spacing w:before="0" w:beforeAutospacing="0" w:after="0" w:afterAutospacing="0" w:line="360" w:lineRule="auto"/>
              <w:ind w:left="0" w:right="0"/>
              <w:jc w:val="center"/>
              <w:rPr>
                <w:rFonts w:hint="default"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学位</w:t>
            </w:r>
          </w:p>
        </w:tc>
        <w:tc>
          <w:tcPr>
            <w:tcW w:w="1774"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B8A8C06">
            <w:pPr>
              <w:keepNext w:val="0"/>
              <w:keepLines w:val="0"/>
              <w:widowControl/>
              <w:suppressLineNumbers w:val="0"/>
              <w:spacing w:before="0" w:beforeAutospacing="0" w:after="0" w:afterAutospacing="0" w:line="360" w:lineRule="auto"/>
              <w:ind w:left="0" w:right="0"/>
              <w:jc w:val="center"/>
              <w:rPr>
                <w:rFonts w:hint="default"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具有证书情况</w:t>
            </w:r>
          </w:p>
        </w:tc>
        <w:tc>
          <w:tcPr>
            <w:tcW w:w="88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DDE4222">
            <w:pPr>
              <w:keepNext w:val="0"/>
              <w:keepLines w:val="0"/>
              <w:widowControl/>
              <w:suppressLineNumbers w:val="0"/>
              <w:spacing w:before="0" w:beforeAutospacing="0" w:after="0" w:afterAutospacing="0" w:line="360" w:lineRule="auto"/>
              <w:ind w:left="0" w:right="0"/>
              <w:jc w:val="center"/>
              <w:rPr>
                <w:rFonts w:hint="default"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从业经验</w:t>
            </w:r>
          </w:p>
        </w:tc>
        <w:tc>
          <w:tcPr>
            <w:tcW w:w="88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2653866">
            <w:pPr>
              <w:keepNext w:val="0"/>
              <w:keepLines w:val="0"/>
              <w:widowControl/>
              <w:suppressLineNumbers w:val="0"/>
              <w:spacing w:before="0" w:beforeAutospacing="0" w:after="0" w:afterAutospacing="0" w:line="360" w:lineRule="auto"/>
              <w:ind w:left="0" w:right="0"/>
              <w:jc w:val="center"/>
              <w:rPr>
                <w:rFonts w:hint="default"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履历情况</w:t>
            </w:r>
          </w:p>
        </w:tc>
      </w:tr>
      <w:tr w14:paraId="7050A7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4" w:hRule="atLeast"/>
          <w:jc w:val="center"/>
        </w:trPr>
        <w:tc>
          <w:tcPr>
            <w:tcW w:w="73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B920069">
            <w:pPr>
              <w:keepNext w:val="0"/>
              <w:keepLines w:val="0"/>
              <w:widowControl/>
              <w:suppressLineNumbers w:val="0"/>
              <w:spacing w:before="0" w:beforeAutospacing="0" w:after="0" w:afterAutospacing="0" w:line="360" w:lineRule="auto"/>
              <w:ind w:left="0" w:right="0"/>
              <w:jc w:val="center"/>
              <w:rPr>
                <w:rFonts w:hint="default"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1</w:t>
            </w:r>
          </w:p>
        </w:tc>
        <w:tc>
          <w:tcPr>
            <w:tcW w:w="162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EBC6461">
            <w:pPr>
              <w:keepNext w:val="0"/>
              <w:keepLines w:val="0"/>
              <w:widowControl/>
              <w:suppressLineNumbers w:val="0"/>
              <w:spacing w:before="0" w:beforeAutospacing="0" w:after="0" w:afterAutospacing="0" w:line="360" w:lineRule="auto"/>
              <w:ind w:left="0" w:right="0"/>
              <w:jc w:val="center"/>
              <w:rPr>
                <w:rFonts w:hint="default"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项目负责人</w:t>
            </w:r>
          </w:p>
        </w:tc>
        <w:tc>
          <w:tcPr>
            <w:tcW w:w="73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63C583E">
            <w:pPr>
              <w:keepNext w:val="0"/>
              <w:keepLines w:val="0"/>
              <w:widowControl/>
              <w:suppressLineNumbers w:val="0"/>
              <w:spacing w:before="0" w:beforeAutospacing="0" w:after="0" w:afterAutospacing="0" w:line="360" w:lineRule="auto"/>
              <w:ind w:left="0" w:right="0"/>
              <w:jc w:val="center"/>
              <w:rPr>
                <w:rFonts w:hint="default" w:ascii="宋体" w:hAnsi="宋体" w:cs="宋体"/>
                <w:color w:val="000000" w:themeColor="text1"/>
                <w:sz w:val="24"/>
                <w:szCs w:val="24"/>
                <w:highlight w:val="none"/>
                <w14:textFill>
                  <w14:solidFill>
                    <w14:schemeClr w14:val="tx1"/>
                  </w14:solidFill>
                </w14:textFill>
              </w:rPr>
            </w:pPr>
          </w:p>
        </w:tc>
        <w:tc>
          <w:tcPr>
            <w:tcW w:w="88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347125F">
            <w:pPr>
              <w:keepNext w:val="0"/>
              <w:keepLines w:val="0"/>
              <w:widowControl/>
              <w:suppressLineNumbers w:val="0"/>
              <w:spacing w:before="0" w:beforeAutospacing="0" w:after="0" w:afterAutospacing="0" w:line="360" w:lineRule="auto"/>
              <w:ind w:left="0" w:right="0"/>
              <w:jc w:val="center"/>
              <w:rPr>
                <w:rFonts w:hint="default" w:ascii="宋体" w:hAnsi="宋体" w:cs="宋体"/>
                <w:color w:val="000000" w:themeColor="text1"/>
                <w:sz w:val="24"/>
                <w:szCs w:val="24"/>
                <w:highlight w:val="none"/>
                <w14:textFill>
                  <w14:solidFill>
                    <w14:schemeClr w14:val="tx1"/>
                  </w14:solidFill>
                </w14:textFill>
              </w:rPr>
            </w:pPr>
          </w:p>
        </w:tc>
        <w:tc>
          <w:tcPr>
            <w:tcW w:w="73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FD431F5">
            <w:pPr>
              <w:keepNext w:val="0"/>
              <w:keepLines w:val="0"/>
              <w:widowControl/>
              <w:suppressLineNumbers w:val="0"/>
              <w:spacing w:before="0" w:beforeAutospacing="0" w:after="0" w:afterAutospacing="0" w:line="360" w:lineRule="auto"/>
              <w:ind w:left="0" w:right="0"/>
              <w:jc w:val="center"/>
              <w:rPr>
                <w:rFonts w:hint="default" w:ascii="宋体" w:hAnsi="宋体" w:cs="宋体"/>
                <w:color w:val="000000" w:themeColor="text1"/>
                <w:sz w:val="24"/>
                <w:szCs w:val="24"/>
                <w:highlight w:val="none"/>
                <w14:textFill>
                  <w14:solidFill>
                    <w14:schemeClr w14:val="tx1"/>
                  </w14:solidFill>
                </w14:textFill>
              </w:rPr>
            </w:pPr>
          </w:p>
        </w:tc>
        <w:tc>
          <w:tcPr>
            <w:tcW w:w="73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4188D1D">
            <w:pPr>
              <w:keepNext w:val="0"/>
              <w:keepLines w:val="0"/>
              <w:widowControl/>
              <w:suppressLineNumbers w:val="0"/>
              <w:spacing w:before="0" w:beforeAutospacing="0" w:after="0" w:afterAutospacing="0" w:line="360" w:lineRule="auto"/>
              <w:ind w:left="0" w:right="0"/>
              <w:jc w:val="center"/>
              <w:rPr>
                <w:rFonts w:hint="default" w:ascii="宋体" w:hAnsi="宋体" w:cs="宋体"/>
                <w:color w:val="000000" w:themeColor="text1"/>
                <w:sz w:val="24"/>
                <w:szCs w:val="24"/>
                <w:highlight w:val="none"/>
                <w14:textFill>
                  <w14:solidFill>
                    <w14:schemeClr w14:val="tx1"/>
                  </w14:solidFill>
                </w14:textFill>
              </w:rPr>
            </w:pPr>
          </w:p>
        </w:tc>
        <w:tc>
          <w:tcPr>
            <w:tcW w:w="1774"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1129C0F">
            <w:pPr>
              <w:keepNext w:val="0"/>
              <w:keepLines w:val="0"/>
              <w:widowControl/>
              <w:suppressLineNumbers w:val="0"/>
              <w:spacing w:before="0" w:beforeAutospacing="0" w:after="0" w:afterAutospacing="0" w:line="360" w:lineRule="auto"/>
              <w:ind w:left="0" w:right="0"/>
              <w:jc w:val="center"/>
              <w:rPr>
                <w:rFonts w:hint="default" w:ascii="宋体" w:hAnsi="宋体" w:cs="宋体"/>
                <w:color w:val="000000" w:themeColor="text1"/>
                <w:sz w:val="24"/>
                <w:szCs w:val="24"/>
                <w:highlight w:val="none"/>
                <w14:textFill>
                  <w14:solidFill>
                    <w14:schemeClr w14:val="tx1"/>
                  </w14:solidFill>
                </w14:textFill>
              </w:rPr>
            </w:pPr>
          </w:p>
        </w:tc>
        <w:tc>
          <w:tcPr>
            <w:tcW w:w="88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A7B6703">
            <w:pPr>
              <w:keepNext w:val="0"/>
              <w:keepLines w:val="0"/>
              <w:widowControl/>
              <w:suppressLineNumbers w:val="0"/>
              <w:spacing w:before="0" w:beforeAutospacing="0" w:after="0" w:afterAutospacing="0" w:line="360" w:lineRule="auto"/>
              <w:ind w:left="0" w:right="0"/>
              <w:jc w:val="center"/>
              <w:rPr>
                <w:rFonts w:hint="default" w:ascii="宋体" w:hAnsi="宋体" w:cs="宋体"/>
                <w:color w:val="000000" w:themeColor="text1"/>
                <w:sz w:val="24"/>
                <w:szCs w:val="24"/>
                <w:highlight w:val="none"/>
                <w14:textFill>
                  <w14:solidFill>
                    <w14:schemeClr w14:val="tx1"/>
                  </w14:solidFill>
                </w14:textFill>
              </w:rPr>
            </w:pPr>
          </w:p>
        </w:tc>
        <w:tc>
          <w:tcPr>
            <w:tcW w:w="88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43D16B8">
            <w:pPr>
              <w:keepNext w:val="0"/>
              <w:keepLines w:val="0"/>
              <w:widowControl/>
              <w:suppressLineNumbers w:val="0"/>
              <w:spacing w:before="0" w:beforeAutospacing="0" w:after="0" w:afterAutospacing="0" w:line="360" w:lineRule="auto"/>
              <w:ind w:left="0" w:right="0"/>
              <w:jc w:val="center"/>
              <w:rPr>
                <w:rFonts w:hint="default" w:ascii="宋体" w:hAnsi="宋体" w:cs="宋体"/>
                <w:color w:val="000000" w:themeColor="text1"/>
                <w:sz w:val="24"/>
                <w:szCs w:val="24"/>
                <w:highlight w:val="none"/>
                <w14:textFill>
                  <w14:solidFill>
                    <w14:schemeClr w14:val="tx1"/>
                  </w14:solidFill>
                </w14:textFill>
              </w:rPr>
            </w:pPr>
          </w:p>
        </w:tc>
      </w:tr>
      <w:tr w14:paraId="1E9B68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1" w:hRule="atLeast"/>
          <w:jc w:val="center"/>
        </w:trPr>
        <w:tc>
          <w:tcPr>
            <w:tcW w:w="73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1C53C31">
            <w:pPr>
              <w:keepNext w:val="0"/>
              <w:keepLines w:val="0"/>
              <w:widowControl/>
              <w:suppressLineNumbers w:val="0"/>
              <w:spacing w:before="0" w:beforeAutospacing="0" w:after="0" w:afterAutospacing="0" w:line="360" w:lineRule="auto"/>
              <w:ind w:left="0" w:right="0"/>
              <w:jc w:val="center"/>
              <w:rPr>
                <w:rFonts w:hint="default"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2</w:t>
            </w:r>
          </w:p>
        </w:tc>
        <w:tc>
          <w:tcPr>
            <w:tcW w:w="162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A452510">
            <w:pPr>
              <w:keepNext w:val="0"/>
              <w:keepLines w:val="0"/>
              <w:widowControl/>
              <w:suppressLineNumbers w:val="0"/>
              <w:spacing w:before="0" w:beforeAutospacing="0" w:after="0" w:afterAutospacing="0" w:line="360" w:lineRule="auto"/>
              <w:ind w:left="0" w:right="0"/>
              <w:jc w:val="center"/>
              <w:rPr>
                <w:rFonts w:hint="default"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w:t>
            </w:r>
          </w:p>
        </w:tc>
        <w:tc>
          <w:tcPr>
            <w:tcW w:w="73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8DBC0CA">
            <w:pPr>
              <w:keepNext w:val="0"/>
              <w:keepLines w:val="0"/>
              <w:widowControl/>
              <w:suppressLineNumbers w:val="0"/>
              <w:spacing w:before="0" w:beforeAutospacing="0" w:after="0" w:afterAutospacing="0" w:line="360" w:lineRule="auto"/>
              <w:ind w:left="0" w:right="0"/>
              <w:jc w:val="center"/>
              <w:rPr>
                <w:rFonts w:hint="default" w:ascii="宋体" w:hAnsi="宋体" w:cs="宋体"/>
                <w:color w:val="000000" w:themeColor="text1"/>
                <w:sz w:val="24"/>
                <w:szCs w:val="24"/>
                <w:highlight w:val="none"/>
                <w14:textFill>
                  <w14:solidFill>
                    <w14:schemeClr w14:val="tx1"/>
                  </w14:solidFill>
                </w14:textFill>
              </w:rPr>
            </w:pPr>
          </w:p>
        </w:tc>
        <w:tc>
          <w:tcPr>
            <w:tcW w:w="88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E132159">
            <w:pPr>
              <w:keepNext w:val="0"/>
              <w:keepLines w:val="0"/>
              <w:widowControl/>
              <w:suppressLineNumbers w:val="0"/>
              <w:spacing w:before="0" w:beforeAutospacing="0" w:after="0" w:afterAutospacing="0" w:line="360" w:lineRule="auto"/>
              <w:ind w:left="0" w:right="0"/>
              <w:jc w:val="center"/>
              <w:rPr>
                <w:rFonts w:hint="default" w:ascii="宋体" w:hAnsi="宋体" w:cs="宋体"/>
                <w:color w:val="000000" w:themeColor="text1"/>
                <w:sz w:val="24"/>
                <w:szCs w:val="24"/>
                <w:highlight w:val="none"/>
                <w14:textFill>
                  <w14:solidFill>
                    <w14:schemeClr w14:val="tx1"/>
                  </w14:solidFill>
                </w14:textFill>
              </w:rPr>
            </w:pPr>
          </w:p>
        </w:tc>
        <w:tc>
          <w:tcPr>
            <w:tcW w:w="73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DDD5946">
            <w:pPr>
              <w:keepNext w:val="0"/>
              <w:keepLines w:val="0"/>
              <w:widowControl/>
              <w:suppressLineNumbers w:val="0"/>
              <w:spacing w:before="0" w:beforeAutospacing="0" w:after="0" w:afterAutospacing="0" w:line="360" w:lineRule="auto"/>
              <w:ind w:left="0" w:right="0"/>
              <w:jc w:val="center"/>
              <w:rPr>
                <w:rFonts w:hint="default" w:ascii="宋体" w:hAnsi="宋体" w:cs="宋体"/>
                <w:color w:val="000000" w:themeColor="text1"/>
                <w:sz w:val="24"/>
                <w:szCs w:val="24"/>
                <w:highlight w:val="none"/>
                <w14:textFill>
                  <w14:solidFill>
                    <w14:schemeClr w14:val="tx1"/>
                  </w14:solidFill>
                </w14:textFill>
              </w:rPr>
            </w:pPr>
          </w:p>
        </w:tc>
        <w:tc>
          <w:tcPr>
            <w:tcW w:w="73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6E677A8">
            <w:pPr>
              <w:keepNext w:val="0"/>
              <w:keepLines w:val="0"/>
              <w:widowControl/>
              <w:suppressLineNumbers w:val="0"/>
              <w:spacing w:before="0" w:beforeAutospacing="0" w:after="0" w:afterAutospacing="0" w:line="360" w:lineRule="auto"/>
              <w:ind w:left="0" w:right="0"/>
              <w:jc w:val="center"/>
              <w:rPr>
                <w:rFonts w:hint="default" w:ascii="宋体" w:hAnsi="宋体" w:cs="宋体"/>
                <w:color w:val="000000" w:themeColor="text1"/>
                <w:sz w:val="24"/>
                <w:szCs w:val="24"/>
                <w:highlight w:val="none"/>
                <w14:textFill>
                  <w14:solidFill>
                    <w14:schemeClr w14:val="tx1"/>
                  </w14:solidFill>
                </w14:textFill>
              </w:rPr>
            </w:pPr>
          </w:p>
        </w:tc>
        <w:tc>
          <w:tcPr>
            <w:tcW w:w="1774"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58B959D">
            <w:pPr>
              <w:keepNext w:val="0"/>
              <w:keepLines w:val="0"/>
              <w:widowControl/>
              <w:suppressLineNumbers w:val="0"/>
              <w:spacing w:before="0" w:beforeAutospacing="0" w:after="0" w:afterAutospacing="0" w:line="360" w:lineRule="auto"/>
              <w:ind w:left="0" w:right="0"/>
              <w:jc w:val="center"/>
              <w:rPr>
                <w:rFonts w:hint="default" w:ascii="宋体" w:hAnsi="宋体" w:cs="宋体"/>
                <w:color w:val="000000" w:themeColor="text1"/>
                <w:sz w:val="24"/>
                <w:szCs w:val="24"/>
                <w:highlight w:val="none"/>
                <w14:textFill>
                  <w14:solidFill>
                    <w14:schemeClr w14:val="tx1"/>
                  </w14:solidFill>
                </w14:textFill>
              </w:rPr>
            </w:pPr>
          </w:p>
        </w:tc>
        <w:tc>
          <w:tcPr>
            <w:tcW w:w="88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38E12DF">
            <w:pPr>
              <w:keepNext w:val="0"/>
              <w:keepLines w:val="0"/>
              <w:widowControl/>
              <w:suppressLineNumbers w:val="0"/>
              <w:spacing w:before="0" w:beforeAutospacing="0" w:after="0" w:afterAutospacing="0" w:line="360" w:lineRule="auto"/>
              <w:ind w:left="0" w:right="0"/>
              <w:jc w:val="center"/>
              <w:rPr>
                <w:rFonts w:hint="default" w:ascii="宋体" w:hAnsi="宋体" w:cs="宋体"/>
                <w:color w:val="000000" w:themeColor="text1"/>
                <w:sz w:val="24"/>
                <w:szCs w:val="24"/>
                <w:highlight w:val="none"/>
                <w14:textFill>
                  <w14:solidFill>
                    <w14:schemeClr w14:val="tx1"/>
                  </w14:solidFill>
                </w14:textFill>
              </w:rPr>
            </w:pPr>
          </w:p>
        </w:tc>
        <w:tc>
          <w:tcPr>
            <w:tcW w:w="88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9EB48DA">
            <w:pPr>
              <w:keepNext w:val="0"/>
              <w:keepLines w:val="0"/>
              <w:widowControl/>
              <w:suppressLineNumbers w:val="0"/>
              <w:spacing w:before="0" w:beforeAutospacing="0" w:after="0" w:afterAutospacing="0" w:line="360" w:lineRule="auto"/>
              <w:ind w:left="0" w:right="0"/>
              <w:jc w:val="center"/>
              <w:rPr>
                <w:rFonts w:hint="default" w:ascii="宋体" w:hAnsi="宋体" w:cs="宋体"/>
                <w:color w:val="000000" w:themeColor="text1"/>
                <w:sz w:val="24"/>
                <w:szCs w:val="24"/>
                <w:highlight w:val="none"/>
                <w14:textFill>
                  <w14:solidFill>
                    <w14:schemeClr w14:val="tx1"/>
                  </w14:solidFill>
                </w14:textFill>
              </w:rPr>
            </w:pPr>
          </w:p>
        </w:tc>
      </w:tr>
      <w:tr w14:paraId="4AC18D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1" w:hRule="atLeast"/>
          <w:jc w:val="center"/>
        </w:trPr>
        <w:tc>
          <w:tcPr>
            <w:tcW w:w="73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E3CF1F3">
            <w:pPr>
              <w:keepNext w:val="0"/>
              <w:keepLines w:val="0"/>
              <w:widowControl/>
              <w:suppressLineNumbers w:val="0"/>
              <w:spacing w:before="0" w:beforeAutospacing="0" w:after="0" w:afterAutospacing="0" w:line="360" w:lineRule="auto"/>
              <w:ind w:left="0" w:right="0"/>
              <w:jc w:val="center"/>
              <w:rPr>
                <w:rFonts w:hint="default"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3</w:t>
            </w:r>
          </w:p>
        </w:tc>
        <w:tc>
          <w:tcPr>
            <w:tcW w:w="162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79FDF06">
            <w:pPr>
              <w:keepNext w:val="0"/>
              <w:keepLines w:val="0"/>
              <w:widowControl/>
              <w:suppressLineNumbers w:val="0"/>
              <w:spacing w:before="0" w:beforeAutospacing="0" w:after="0" w:afterAutospacing="0" w:line="360" w:lineRule="auto"/>
              <w:ind w:left="0" w:right="0"/>
              <w:jc w:val="center"/>
              <w:rPr>
                <w:rFonts w:hint="default" w:ascii="宋体" w:hAnsi="宋体" w:cs="宋体"/>
                <w:color w:val="000000" w:themeColor="text1"/>
                <w:sz w:val="24"/>
                <w:szCs w:val="24"/>
                <w:highlight w:val="none"/>
                <w14:textFill>
                  <w14:solidFill>
                    <w14:schemeClr w14:val="tx1"/>
                  </w14:solidFill>
                </w14:textFill>
              </w:rPr>
            </w:pPr>
          </w:p>
        </w:tc>
        <w:tc>
          <w:tcPr>
            <w:tcW w:w="73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1243BF6">
            <w:pPr>
              <w:keepNext w:val="0"/>
              <w:keepLines w:val="0"/>
              <w:widowControl/>
              <w:suppressLineNumbers w:val="0"/>
              <w:spacing w:before="0" w:beforeAutospacing="0" w:after="0" w:afterAutospacing="0" w:line="360" w:lineRule="auto"/>
              <w:ind w:left="0" w:right="0"/>
              <w:jc w:val="center"/>
              <w:rPr>
                <w:rFonts w:hint="default" w:ascii="宋体" w:hAnsi="宋体" w:cs="宋体"/>
                <w:color w:val="000000" w:themeColor="text1"/>
                <w:sz w:val="24"/>
                <w:szCs w:val="24"/>
                <w:highlight w:val="none"/>
                <w14:textFill>
                  <w14:solidFill>
                    <w14:schemeClr w14:val="tx1"/>
                  </w14:solidFill>
                </w14:textFill>
              </w:rPr>
            </w:pPr>
          </w:p>
        </w:tc>
        <w:tc>
          <w:tcPr>
            <w:tcW w:w="88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FF48271">
            <w:pPr>
              <w:keepNext w:val="0"/>
              <w:keepLines w:val="0"/>
              <w:widowControl/>
              <w:suppressLineNumbers w:val="0"/>
              <w:spacing w:before="0" w:beforeAutospacing="0" w:after="0" w:afterAutospacing="0" w:line="360" w:lineRule="auto"/>
              <w:ind w:left="0" w:right="0"/>
              <w:jc w:val="center"/>
              <w:rPr>
                <w:rFonts w:hint="default" w:ascii="宋体" w:hAnsi="宋体" w:cs="宋体"/>
                <w:color w:val="000000" w:themeColor="text1"/>
                <w:sz w:val="24"/>
                <w:szCs w:val="24"/>
                <w:highlight w:val="none"/>
                <w14:textFill>
                  <w14:solidFill>
                    <w14:schemeClr w14:val="tx1"/>
                  </w14:solidFill>
                </w14:textFill>
              </w:rPr>
            </w:pPr>
          </w:p>
        </w:tc>
        <w:tc>
          <w:tcPr>
            <w:tcW w:w="73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FE22381">
            <w:pPr>
              <w:keepNext w:val="0"/>
              <w:keepLines w:val="0"/>
              <w:widowControl/>
              <w:suppressLineNumbers w:val="0"/>
              <w:spacing w:before="0" w:beforeAutospacing="0" w:after="0" w:afterAutospacing="0" w:line="360" w:lineRule="auto"/>
              <w:ind w:left="0" w:right="0"/>
              <w:jc w:val="center"/>
              <w:rPr>
                <w:rFonts w:hint="default" w:ascii="宋体" w:hAnsi="宋体" w:cs="宋体"/>
                <w:color w:val="000000" w:themeColor="text1"/>
                <w:sz w:val="24"/>
                <w:szCs w:val="24"/>
                <w:highlight w:val="none"/>
                <w14:textFill>
                  <w14:solidFill>
                    <w14:schemeClr w14:val="tx1"/>
                  </w14:solidFill>
                </w14:textFill>
              </w:rPr>
            </w:pPr>
          </w:p>
        </w:tc>
        <w:tc>
          <w:tcPr>
            <w:tcW w:w="73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D4C90FD">
            <w:pPr>
              <w:keepNext w:val="0"/>
              <w:keepLines w:val="0"/>
              <w:widowControl/>
              <w:suppressLineNumbers w:val="0"/>
              <w:spacing w:before="0" w:beforeAutospacing="0" w:after="0" w:afterAutospacing="0" w:line="360" w:lineRule="auto"/>
              <w:ind w:left="0" w:right="0"/>
              <w:jc w:val="center"/>
              <w:rPr>
                <w:rFonts w:hint="default" w:ascii="宋体" w:hAnsi="宋体" w:cs="宋体"/>
                <w:color w:val="000000" w:themeColor="text1"/>
                <w:sz w:val="24"/>
                <w:szCs w:val="24"/>
                <w:highlight w:val="none"/>
                <w14:textFill>
                  <w14:solidFill>
                    <w14:schemeClr w14:val="tx1"/>
                  </w14:solidFill>
                </w14:textFill>
              </w:rPr>
            </w:pPr>
          </w:p>
        </w:tc>
        <w:tc>
          <w:tcPr>
            <w:tcW w:w="1774"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350D486">
            <w:pPr>
              <w:keepNext w:val="0"/>
              <w:keepLines w:val="0"/>
              <w:widowControl/>
              <w:suppressLineNumbers w:val="0"/>
              <w:spacing w:before="0" w:beforeAutospacing="0" w:after="0" w:afterAutospacing="0" w:line="360" w:lineRule="auto"/>
              <w:ind w:left="0" w:right="0"/>
              <w:jc w:val="center"/>
              <w:rPr>
                <w:rFonts w:hint="default" w:ascii="宋体" w:hAnsi="宋体" w:cs="宋体"/>
                <w:color w:val="000000" w:themeColor="text1"/>
                <w:sz w:val="24"/>
                <w:szCs w:val="24"/>
                <w:highlight w:val="none"/>
                <w14:textFill>
                  <w14:solidFill>
                    <w14:schemeClr w14:val="tx1"/>
                  </w14:solidFill>
                </w14:textFill>
              </w:rPr>
            </w:pPr>
          </w:p>
        </w:tc>
        <w:tc>
          <w:tcPr>
            <w:tcW w:w="88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12108B9">
            <w:pPr>
              <w:keepNext w:val="0"/>
              <w:keepLines w:val="0"/>
              <w:widowControl/>
              <w:suppressLineNumbers w:val="0"/>
              <w:spacing w:before="0" w:beforeAutospacing="0" w:after="0" w:afterAutospacing="0" w:line="360" w:lineRule="auto"/>
              <w:ind w:left="0" w:right="0"/>
              <w:jc w:val="center"/>
              <w:rPr>
                <w:rFonts w:hint="default" w:ascii="宋体" w:hAnsi="宋体" w:cs="宋体"/>
                <w:color w:val="000000" w:themeColor="text1"/>
                <w:sz w:val="24"/>
                <w:szCs w:val="24"/>
                <w:highlight w:val="none"/>
                <w14:textFill>
                  <w14:solidFill>
                    <w14:schemeClr w14:val="tx1"/>
                  </w14:solidFill>
                </w14:textFill>
              </w:rPr>
            </w:pPr>
          </w:p>
        </w:tc>
        <w:tc>
          <w:tcPr>
            <w:tcW w:w="88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4B1783F">
            <w:pPr>
              <w:keepNext w:val="0"/>
              <w:keepLines w:val="0"/>
              <w:widowControl/>
              <w:suppressLineNumbers w:val="0"/>
              <w:spacing w:before="0" w:beforeAutospacing="0" w:after="0" w:afterAutospacing="0" w:line="360" w:lineRule="auto"/>
              <w:ind w:left="0" w:right="0"/>
              <w:jc w:val="center"/>
              <w:rPr>
                <w:rFonts w:hint="default" w:ascii="宋体" w:hAnsi="宋体" w:cs="宋体"/>
                <w:color w:val="000000" w:themeColor="text1"/>
                <w:sz w:val="24"/>
                <w:szCs w:val="24"/>
                <w:highlight w:val="none"/>
                <w14:textFill>
                  <w14:solidFill>
                    <w14:schemeClr w14:val="tx1"/>
                  </w14:solidFill>
                </w14:textFill>
              </w:rPr>
            </w:pPr>
          </w:p>
        </w:tc>
      </w:tr>
      <w:tr w14:paraId="070E10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5" w:hRule="atLeast"/>
          <w:jc w:val="center"/>
        </w:trPr>
        <w:tc>
          <w:tcPr>
            <w:tcW w:w="73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073DA65">
            <w:pPr>
              <w:keepNext w:val="0"/>
              <w:keepLines w:val="0"/>
              <w:widowControl/>
              <w:suppressLineNumbers w:val="0"/>
              <w:spacing w:before="0" w:beforeAutospacing="0" w:after="0" w:afterAutospacing="0" w:line="360" w:lineRule="auto"/>
              <w:ind w:left="0" w:right="0"/>
              <w:jc w:val="center"/>
              <w:rPr>
                <w:rFonts w:hint="default"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w:t>
            </w:r>
          </w:p>
        </w:tc>
        <w:tc>
          <w:tcPr>
            <w:tcW w:w="162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D992615">
            <w:pPr>
              <w:keepNext w:val="0"/>
              <w:keepLines w:val="0"/>
              <w:widowControl/>
              <w:suppressLineNumbers w:val="0"/>
              <w:spacing w:before="0" w:beforeAutospacing="0" w:after="0" w:afterAutospacing="0" w:line="360" w:lineRule="auto"/>
              <w:ind w:left="0" w:right="0"/>
              <w:jc w:val="center"/>
              <w:rPr>
                <w:rFonts w:hint="default" w:ascii="宋体" w:hAnsi="宋体" w:cs="宋体"/>
                <w:color w:val="000000" w:themeColor="text1"/>
                <w:sz w:val="24"/>
                <w:szCs w:val="24"/>
                <w:highlight w:val="none"/>
                <w14:textFill>
                  <w14:solidFill>
                    <w14:schemeClr w14:val="tx1"/>
                  </w14:solidFill>
                </w14:textFill>
              </w:rPr>
            </w:pPr>
          </w:p>
        </w:tc>
        <w:tc>
          <w:tcPr>
            <w:tcW w:w="73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05C4129">
            <w:pPr>
              <w:keepNext w:val="0"/>
              <w:keepLines w:val="0"/>
              <w:widowControl/>
              <w:suppressLineNumbers w:val="0"/>
              <w:spacing w:before="0" w:beforeAutospacing="0" w:after="0" w:afterAutospacing="0" w:line="360" w:lineRule="auto"/>
              <w:ind w:left="0" w:right="0"/>
              <w:jc w:val="center"/>
              <w:rPr>
                <w:rFonts w:hint="default" w:ascii="宋体" w:hAnsi="宋体" w:cs="宋体"/>
                <w:color w:val="000000" w:themeColor="text1"/>
                <w:sz w:val="24"/>
                <w:szCs w:val="24"/>
                <w:highlight w:val="none"/>
                <w14:textFill>
                  <w14:solidFill>
                    <w14:schemeClr w14:val="tx1"/>
                  </w14:solidFill>
                </w14:textFill>
              </w:rPr>
            </w:pPr>
          </w:p>
        </w:tc>
        <w:tc>
          <w:tcPr>
            <w:tcW w:w="88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E1CFCF9">
            <w:pPr>
              <w:keepNext w:val="0"/>
              <w:keepLines w:val="0"/>
              <w:widowControl/>
              <w:suppressLineNumbers w:val="0"/>
              <w:spacing w:before="0" w:beforeAutospacing="0" w:after="0" w:afterAutospacing="0" w:line="360" w:lineRule="auto"/>
              <w:ind w:left="0" w:right="0"/>
              <w:jc w:val="center"/>
              <w:rPr>
                <w:rFonts w:hint="default" w:ascii="宋体" w:hAnsi="宋体" w:cs="宋体"/>
                <w:color w:val="000000" w:themeColor="text1"/>
                <w:sz w:val="24"/>
                <w:szCs w:val="24"/>
                <w:highlight w:val="none"/>
                <w14:textFill>
                  <w14:solidFill>
                    <w14:schemeClr w14:val="tx1"/>
                  </w14:solidFill>
                </w14:textFill>
              </w:rPr>
            </w:pPr>
          </w:p>
        </w:tc>
        <w:tc>
          <w:tcPr>
            <w:tcW w:w="73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65F1C98">
            <w:pPr>
              <w:keepNext w:val="0"/>
              <w:keepLines w:val="0"/>
              <w:widowControl/>
              <w:suppressLineNumbers w:val="0"/>
              <w:spacing w:before="0" w:beforeAutospacing="0" w:after="0" w:afterAutospacing="0" w:line="360" w:lineRule="auto"/>
              <w:ind w:left="0" w:right="0"/>
              <w:jc w:val="center"/>
              <w:rPr>
                <w:rFonts w:hint="default" w:ascii="宋体" w:hAnsi="宋体" w:cs="宋体"/>
                <w:color w:val="000000" w:themeColor="text1"/>
                <w:sz w:val="24"/>
                <w:szCs w:val="24"/>
                <w:highlight w:val="none"/>
                <w14:textFill>
                  <w14:solidFill>
                    <w14:schemeClr w14:val="tx1"/>
                  </w14:solidFill>
                </w14:textFill>
              </w:rPr>
            </w:pPr>
          </w:p>
        </w:tc>
        <w:tc>
          <w:tcPr>
            <w:tcW w:w="73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8FED8CD">
            <w:pPr>
              <w:keepNext w:val="0"/>
              <w:keepLines w:val="0"/>
              <w:widowControl/>
              <w:suppressLineNumbers w:val="0"/>
              <w:spacing w:before="0" w:beforeAutospacing="0" w:after="0" w:afterAutospacing="0" w:line="360" w:lineRule="auto"/>
              <w:ind w:left="0" w:right="0"/>
              <w:jc w:val="center"/>
              <w:rPr>
                <w:rFonts w:hint="default" w:ascii="宋体" w:hAnsi="宋体" w:cs="宋体"/>
                <w:color w:val="000000" w:themeColor="text1"/>
                <w:sz w:val="24"/>
                <w:szCs w:val="24"/>
                <w:highlight w:val="none"/>
                <w14:textFill>
                  <w14:solidFill>
                    <w14:schemeClr w14:val="tx1"/>
                  </w14:solidFill>
                </w14:textFill>
              </w:rPr>
            </w:pPr>
          </w:p>
        </w:tc>
        <w:tc>
          <w:tcPr>
            <w:tcW w:w="1774"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D15BA82">
            <w:pPr>
              <w:keepNext w:val="0"/>
              <w:keepLines w:val="0"/>
              <w:widowControl/>
              <w:suppressLineNumbers w:val="0"/>
              <w:spacing w:before="0" w:beforeAutospacing="0" w:after="0" w:afterAutospacing="0" w:line="360" w:lineRule="auto"/>
              <w:ind w:left="0" w:right="0"/>
              <w:jc w:val="center"/>
              <w:rPr>
                <w:rFonts w:hint="default" w:ascii="宋体" w:hAnsi="宋体" w:cs="宋体"/>
                <w:color w:val="000000" w:themeColor="text1"/>
                <w:sz w:val="24"/>
                <w:szCs w:val="24"/>
                <w:highlight w:val="none"/>
                <w14:textFill>
                  <w14:solidFill>
                    <w14:schemeClr w14:val="tx1"/>
                  </w14:solidFill>
                </w14:textFill>
              </w:rPr>
            </w:pPr>
          </w:p>
        </w:tc>
        <w:tc>
          <w:tcPr>
            <w:tcW w:w="88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C35A86B">
            <w:pPr>
              <w:keepNext w:val="0"/>
              <w:keepLines w:val="0"/>
              <w:widowControl/>
              <w:suppressLineNumbers w:val="0"/>
              <w:spacing w:before="0" w:beforeAutospacing="0" w:after="0" w:afterAutospacing="0" w:line="360" w:lineRule="auto"/>
              <w:ind w:left="0" w:right="0"/>
              <w:jc w:val="center"/>
              <w:rPr>
                <w:rFonts w:hint="default" w:ascii="宋体" w:hAnsi="宋体" w:cs="宋体"/>
                <w:color w:val="000000" w:themeColor="text1"/>
                <w:sz w:val="24"/>
                <w:szCs w:val="24"/>
                <w:highlight w:val="none"/>
                <w14:textFill>
                  <w14:solidFill>
                    <w14:schemeClr w14:val="tx1"/>
                  </w14:solidFill>
                </w14:textFill>
              </w:rPr>
            </w:pPr>
          </w:p>
        </w:tc>
        <w:tc>
          <w:tcPr>
            <w:tcW w:w="88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7DAD424">
            <w:pPr>
              <w:keepNext w:val="0"/>
              <w:keepLines w:val="0"/>
              <w:widowControl/>
              <w:suppressLineNumbers w:val="0"/>
              <w:spacing w:before="0" w:beforeAutospacing="0" w:after="0" w:afterAutospacing="0" w:line="360" w:lineRule="auto"/>
              <w:ind w:left="0" w:right="0"/>
              <w:jc w:val="center"/>
              <w:rPr>
                <w:rFonts w:hint="default" w:ascii="宋体" w:hAnsi="宋体" w:cs="宋体"/>
                <w:color w:val="000000" w:themeColor="text1"/>
                <w:sz w:val="24"/>
                <w:szCs w:val="24"/>
                <w:highlight w:val="none"/>
                <w14:textFill>
                  <w14:solidFill>
                    <w14:schemeClr w14:val="tx1"/>
                  </w14:solidFill>
                </w14:textFill>
              </w:rPr>
            </w:pPr>
          </w:p>
        </w:tc>
      </w:tr>
    </w:tbl>
    <w:p w14:paraId="42C13685">
      <w:pPr>
        <w:spacing w:line="460" w:lineRule="exact"/>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注：1、投标人根据项目实际情况配置人员，如实详细填写上述表格。</w:t>
      </w:r>
    </w:p>
    <w:p w14:paraId="728C76F3">
      <w:pPr>
        <w:spacing w:line="460" w:lineRule="exact"/>
        <w:ind w:firstLine="480"/>
        <w:jc w:val="left"/>
        <w:rPr>
          <w:rFonts w:hint="default" w:ascii="宋体" w:hAnsi="宋体" w:cs="宋体"/>
          <w:color w:val="000000" w:themeColor="text1"/>
          <w:sz w:val="24"/>
          <w:szCs w:val="24"/>
          <w:highlight w:val="none"/>
          <w:lang w:val="en-US" w:bidi="ar"/>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2、相关人员从业经验、履历情况等内容可另附详细说明，</w:t>
      </w:r>
      <w:r>
        <w:rPr>
          <w:rFonts w:hint="eastAsia" w:ascii="宋体" w:hAnsi="宋体" w:cs="宋体"/>
          <w:color w:val="000000" w:themeColor="text1"/>
          <w:sz w:val="24"/>
          <w:szCs w:val="24"/>
          <w:highlight w:val="none"/>
          <w:lang w:val="en-US" w:eastAsia="zh-CN" w:bidi="ar"/>
          <w14:textFill>
            <w14:solidFill>
              <w14:schemeClr w14:val="tx1"/>
            </w14:solidFill>
          </w14:textFill>
        </w:rPr>
        <w:t>需按“第五章  评标方法与评标标准”要求提供相关证明材料。</w:t>
      </w:r>
    </w:p>
    <w:p w14:paraId="2D000B17">
      <w:pPr>
        <w:spacing w:line="440" w:lineRule="exact"/>
        <w:ind w:firstLine="720"/>
        <w:rPr>
          <w:rFonts w:ascii="Times New Roman" w:hAnsi="Times New Roman"/>
          <w:color w:val="000000" w:themeColor="text1"/>
          <w:sz w:val="24"/>
          <w:szCs w:val="24"/>
          <w:highlight w:val="none"/>
          <w14:textFill>
            <w14:solidFill>
              <w14:schemeClr w14:val="tx1"/>
            </w14:solidFill>
          </w14:textFill>
        </w:rPr>
      </w:pPr>
    </w:p>
    <w:p w14:paraId="545A092C">
      <w:pPr>
        <w:rPr>
          <w:rFonts w:hint="eastAsia" w:ascii="Times New Roman" w:hAnsi="Times New Roman" w:eastAsia="宋体" w:cs="Times New Roman"/>
          <w:b/>
          <w:bCs/>
          <w:color w:val="000000" w:themeColor="text1"/>
          <w:sz w:val="28"/>
          <w:szCs w:val="28"/>
          <w:highlight w:val="none"/>
          <w14:textFill>
            <w14:solidFill>
              <w14:schemeClr w14:val="tx1"/>
            </w14:solidFill>
          </w14:textFill>
        </w:rPr>
      </w:pPr>
      <w:bookmarkStart w:id="242" w:name="_Toc139725707"/>
      <w:r>
        <w:rPr>
          <w:rFonts w:hint="eastAsia" w:ascii="Times New Roman" w:hAnsi="Times New Roman" w:eastAsia="宋体" w:cs="Times New Roman"/>
          <w:b/>
          <w:bCs/>
          <w:color w:val="000000" w:themeColor="text1"/>
          <w:sz w:val="28"/>
          <w:szCs w:val="28"/>
          <w:highlight w:val="none"/>
          <w14:textFill>
            <w14:solidFill>
              <w14:schemeClr w14:val="tx1"/>
            </w14:solidFill>
          </w14:textFill>
        </w:rPr>
        <w:br w:type="page" w:clear="all"/>
      </w:r>
    </w:p>
    <w:p w14:paraId="2D9B9069">
      <w:pPr>
        <w:pStyle w:val="3"/>
        <w:spacing w:line="440" w:lineRule="exact"/>
        <w:jc w:val="center"/>
        <w:rPr>
          <w:rFonts w:ascii="Times New Roman" w:hAnsi="Times New Roman" w:eastAsia="宋体" w:cs="Times New Roman"/>
          <w:b/>
          <w:bCs/>
          <w:color w:val="000000" w:themeColor="text1"/>
          <w:sz w:val="28"/>
          <w:szCs w:val="28"/>
          <w:highlight w:val="none"/>
          <w14:textFill>
            <w14:solidFill>
              <w14:schemeClr w14:val="tx1"/>
            </w14:solidFill>
          </w14:textFill>
        </w:rPr>
      </w:pPr>
      <w:bookmarkStart w:id="243" w:name="_Toc14127"/>
      <w:r>
        <w:rPr>
          <w:rFonts w:hint="eastAsia" w:ascii="Times New Roman" w:hAnsi="Times New Roman" w:eastAsia="宋体" w:cs="Times New Roman"/>
          <w:b/>
          <w:bCs/>
          <w:color w:val="000000" w:themeColor="text1"/>
          <w:sz w:val="28"/>
          <w:szCs w:val="28"/>
          <w:highlight w:val="none"/>
          <w14:textFill>
            <w14:solidFill>
              <w14:schemeClr w14:val="tx1"/>
            </w14:solidFill>
          </w14:textFill>
        </w:rPr>
        <w:t>附件</w:t>
      </w:r>
      <w:r>
        <w:rPr>
          <w:rFonts w:hint="eastAsia" w:ascii="Times New Roman" w:hAnsi="Times New Roman" w:eastAsia="宋体" w:cs="Times New Roman"/>
          <w:b/>
          <w:bCs/>
          <w:color w:val="000000" w:themeColor="text1"/>
          <w:sz w:val="28"/>
          <w:szCs w:val="28"/>
          <w:highlight w:val="none"/>
          <w:lang w:val="en-US" w:eastAsia="zh-CN"/>
          <w14:textFill>
            <w14:solidFill>
              <w14:schemeClr w14:val="tx1"/>
            </w14:solidFill>
          </w14:textFill>
        </w:rPr>
        <w:t>5</w:t>
      </w:r>
      <w:r>
        <w:rPr>
          <w:rFonts w:hint="eastAsia" w:ascii="Times New Roman" w:hAnsi="Times New Roman" w:eastAsia="宋体" w:cs="Times New Roman"/>
          <w:b/>
          <w:bCs/>
          <w:color w:val="000000" w:themeColor="text1"/>
          <w:sz w:val="28"/>
          <w:szCs w:val="28"/>
          <w:highlight w:val="none"/>
          <w14:textFill>
            <w14:solidFill>
              <w14:schemeClr w14:val="tx1"/>
            </w14:solidFill>
          </w14:textFill>
        </w:rPr>
        <w:t xml:space="preserve"> 养护车辆配备一览表</w:t>
      </w:r>
      <w:bookmarkEnd w:id="242"/>
      <w:bookmarkEnd w:id="243"/>
    </w:p>
    <w:tbl>
      <w:tblPr>
        <w:tblStyle w:val="39"/>
        <w:tblW w:w="10065" w:type="dxa"/>
        <w:tblInd w:w="13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0"/>
        <w:gridCol w:w="1735"/>
        <w:gridCol w:w="1383"/>
        <w:gridCol w:w="3113"/>
        <w:gridCol w:w="3124"/>
      </w:tblGrid>
      <w:tr w14:paraId="781B73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10065" w:type="dxa"/>
            <w:gridSpan w:val="5"/>
            <w:tcBorders>
              <w:top w:val="single" w:color="auto" w:sz="4" w:space="0"/>
              <w:left w:val="single" w:color="auto" w:sz="4" w:space="0"/>
              <w:bottom w:val="single" w:color="auto" w:sz="4" w:space="0"/>
              <w:right w:val="single" w:color="auto" w:sz="4" w:space="0"/>
            </w:tcBorders>
            <w:shd w:val="clear" w:color="auto" w:fill="auto"/>
            <w:noWrap w:val="0"/>
            <w:vAlign w:val="center"/>
          </w:tcPr>
          <w:p w14:paraId="03507B52">
            <w:pPr>
              <w:keepNext w:val="0"/>
              <w:keepLines w:val="0"/>
              <w:suppressLineNumbers w:val="0"/>
              <w:spacing w:before="0" w:beforeAutospacing="0" w:after="0" w:afterAutospacing="0"/>
              <w:ind w:left="0" w:right="0"/>
              <w:jc w:val="center"/>
              <w:rPr>
                <w:rFonts w:hint="default" w:ascii="宋体" w:hAnsi="宋体" w:cs="宋体"/>
                <w:b/>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车辆机械</w:t>
            </w:r>
          </w:p>
        </w:tc>
      </w:tr>
      <w:tr w14:paraId="328A6C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71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2D41998">
            <w:pPr>
              <w:keepNext w:val="0"/>
              <w:keepLines w:val="0"/>
              <w:suppressLineNumbers w:val="0"/>
              <w:spacing w:before="0" w:beforeAutospacing="0" w:after="0" w:afterAutospacing="0"/>
              <w:ind w:left="0" w:right="0"/>
              <w:jc w:val="center"/>
              <w:rPr>
                <w:rFonts w:hint="default"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lang w:bidi="ar"/>
                <w14:textFill>
                  <w14:solidFill>
                    <w14:schemeClr w14:val="tx1"/>
                  </w14:solidFill>
                </w14:textFill>
              </w:rPr>
              <w:t>序号</w:t>
            </w:r>
          </w:p>
        </w:tc>
        <w:tc>
          <w:tcPr>
            <w:tcW w:w="1735"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6BE243D">
            <w:pPr>
              <w:keepNext w:val="0"/>
              <w:keepLines w:val="0"/>
              <w:suppressLineNumbers w:val="0"/>
              <w:spacing w:before="0" w:beforeAutospacing="0" w:after="0" w:afterAutospacing="0"/>
              <w:ind w:left="0" w:right="0"/>
              <w:jc w:val="center"/>
              <w:rPr>
                <w:rFonts w:hint="default"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lang w:bidi="ar"/>
                <w14:textFill>
                  <w14:solidFill>
                    <w14:schemeClr w14:val="tx1"/>
                  </w14:solidFill>
                </w14:textFill>
              </w:rPr>
              <w:t>车辆机械名称</w:t>
            </w:r>
          </w:p>
        </w:tc>
        <w:tc>
          <w:tcPr>
            <w:tcW w:w="1383"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F0B5218">
            <w:pPr>
              <w:keepNext w:val="0"/>
              <w:keepLines w:val="0"/>
              <w:suppressLineNumbers w:val="0"/>
              <w:spacing w:before="0" w:beforeAutospacing="0" w:after="0" w:afterAutospacing="0"/>
              <w:ind w:left="0" w:right="0"/>
              <w:jc w:val="center"/>
              <w:rPr>
                <w:rFonts w:hint="eastAsia" w:ascii="宋体" w:hAnsi="宋体" w:cs="宋体"/>
                <w:b/>
                <w:color w:val="000000" w:themeColor="text1"/>
                <w:sz w:val="24"/>
                <w:szCs w:val="24"/>
                <w:highlight w:val="none"/>
                <w:lang w:bidi="ar"/>
                <w14:textFill>
                  <w14:solidFill>
                    <w14:schemeClr w14:val="tx1"/>
                  </w14:solidFill>
                </w14:textFill>
              </w:rPr>
            </w:pPr>
            <w:r>
              <w:rPr>
                <w:rFonts w:hint="eastAsia" w:ascii="宋体" w:hAnsi="宋体" w:cs="宋体"/>
                <w:b/>
                <w:color w:val="000000" w:themeColor="text1"/>
                <w:sz w:val="24"/>
                <w:szCs w:val="24"/>
                <w:highlight w:val="none"/>
                <w:lang w:bidi="ar"/>
                <w14:textFill>
                  <w14:solidFill>
                    <w14:schemeClr w14:val="tx1"/>
                  </w14:solidFill>
                </w14:textFill>
              </w:rPr>
              <w:t>数量</w:t>
            </w:r>
          </w:p>
          <w:p w14:paraId="1FC606F2">
            <w:pPr>
              <w:keepNext w:val="0"/>
              <w:keepLines w:val="0"/>
              <w:suppressLineNumbers w:val="0"/>
              <w:spacing w:before="0" w:beforeAutospacing="0" w:after="0" w:afterAutospacing="0"/>
              <w:ind w:left="0" w:right="0"/>
              <w:jc w:val="center"/>
              <w:rPr>
                <w:rFonts w:hint="default"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lang w:bidi="ar"/>
                <w14:textFill>
                  <w14:solidFill>
                    <w14:schemeClr w14:val="tx1"/>
                  </w14:solidFill>
                </w14:textFill>
              </w:rPr>
              <w:t>（单位）</w:t>
            </w:r>
          </w:p>
        </w:tc>
        <w:tc>
          <w:tcPr>
            <w:tcW w:w="3113"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85A200C">
            <w:pPr>
              <w:keepNext w:val="0"/>
              <w:keepLines w:val="0"/>
              <w:suppressLineNumbers w:val="0"/>
              <w:spacing w:before="0" w:beforeAutospacing="0" w:after="0" w:afterAutospacing="0"/>
              <w:ind w:left="0" w:right="0"/>
              <w:jc w:val="center"/>
              <w:rPr>
                <w:rFonts w:hint="default"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lang w:bidi="ar"/>
                <w14:textFill>
                  <w14:solidFill>
                    <w14:schemeClr w14:val="tx1"/>
                  </w14:solidFill>
                </w14:textFill>
              </w:rPr>
              <w:t>图片（照片）</w:t>
            </w:r>
          </w:p>
        </w:tc>
        <w:tc>
          <w:tcPr>
            <w:tcW w:w="3124"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C1D07DF">
            <w:pPr>
              <w:keepNext w:val="0"/>
              <w:keepLines w:val="0"/>
              <w:suppressLineNumbers w:val="0"/>
              <w:spacing w:before="0" w:beforeAutospacing="0" w:after="0" w:afterAutospacing="0"/>
              <w:ind w:left="0" w:right="0"/>
              <w:jc w:val="center"/>
              <w:rPr>
                <w:rFonts w:hint="default"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lang w:bidi="ar"/>
                <w14:textFill>
                  <w14:solidFill>
                    <w14:schemeClr w14:val="tx1"/>
                  </w14:solidFill>
                </w14:textFill>
              </w:rPr>
              <w:t>备注</w:t>
            </w:r>
          </w:p>
        </w:tc>
      </w:tr>
      <w:tr w14:paraId="16208B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1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F2F0429">
            <w:pPr>
              <w:keepNext w:val="0"/>
              <w:keepLines w:val="0"/>
              <w:suppressLineNumbers w:val="0"/>
              <w:spacing w:before="0" w:beforeAutospacing="0" w:after="0" w:afterAutospacing="0"/>
              <w:ind w:left="0" w:right="0"/>
              <w:jc w:val="center"/>
              <w:rPr>
                <w:rFonts w:hint="default"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1</w:t>
            </w:r>
          </w:p>
        </w:tc>
        <w:tc>
          <w:tcPr>
            <w:tcW w:w="1735"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AF10291">
            <w:pPr>
              <w:keepNext w:val="0"/>
              <w:keepLines w:val="0"/>
              <w:suppressLineNumbers w:val="0"/>
              <w:spacing w:before="0" w:beforeAutospacing="0" w:after="0" w:afterAutospacing="0"/>
              <w:ind w:left="0" w:right="0"/>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w:t>
            </w:r>
          </w:p>
        </w:tc>
        <w:tc>
          <w:tcPr>
            <w:tcW w:w="1383"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79E3AAD">
            <w:pPr>
              <w:keepNext w:val="0"/>
              <w:keepLines w:val="0"/>
              <w:suppressLineNumbers w:val="0"/>
              <w:spacing w:before="0" w:beforeAutospacing="0" w:after="0" w:afterAutospacing="0"/>
              <w:ind w:left="0" w:right="0"/>
              <w:jc w:val="center"/>
              <w:rPr>
                <w:rFonts w:hint="default" w:ascii="宋体" w:hAnsi="宋体" w:cs="宋体"/>
                <w:color w:val="000000" w:themeColor="text1"/>
                <w:sz w:val="24"/>
                <w:szCs w:val="24"/>
                <w:highlight w:val="none"/>
                <w14:textFill>
                  <w14:solidFill>
                    <w14:schemeClr w14:val="tx1"/>
                  </w14:solidFill>
                </w14:textFill>
              </w:rPr>
            </w:pPr>
          </w:p>
        </w:tc>
        <w:tc>
          <w:tcPr>
            <w:tcW w:w="3113"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76A5044">
            <w:pPr>
              <w:keepNext w:val="0"/>
              <w:keepLines w:val="0"/>
              <w:suppressLineNumbers w:val="0"/>
              <w:spacing w:before="0" w:beforeAutospacing="0" w:after="0" w:afterAutospacing="0"/>
              <w:ind w:left="0" w:right="0"/>
              <w:jc w:val="center"/>
              <w:rPr>
                <w:rFonts w:hint="default" w:ascii="宋体" w:hAnsi="宋体" w:cs="宋体"/>
                <w:color w:val="000000" w:themeColor="text1"/>
                <w:sz w:val="24"/>
                <w:szCs w:val="24"/>
                <w:highlight w:val="none"/>
                <w14:textFill>
                  <w14:solidFill>
                    <w14:schemeClr w14:val="tx1"/>
                  </w14:solidFill>
                </w14:textFill>
              </w:rPr>
            </w:pPr>
          </w:p>
        </w:tc>
        <w:tc>
          <w:tcPr>
            <w:tcW w:w="3124"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A55FCDF">
            <w:pPr>
              <w:keepNext w:val="0"/>
              <w:keepLines w:val="0"/>
              <w:suppressLineNumbers w:val="0"/>
              <w:spacing w:before="0" w:beforeAutospacing="0" w:after="0" w:afterAutospacing="0"/>
              <w:ind w:left="0" w:right="0"/>
              <w:jc w:val="center"/>
              <w:rPr>
                <w:rFonts w:hint="default" w:ascii="宋体" w:hAnsi="宋体" w:cs="宋体"/>
                <w:color w:val="000000" w:themeColor="text1"/>
                <w:sz w:val="24"/>
                <w:szCs w:val="24"/>
                <w:highlight w:val="none"/>
                <w14:textFill>
                  <w14:solidFill>
                    <w14:schemeClr w14:val="tx1"/>
                  </w14:solidFill>
                </w14:textFill>
              </w:rPr>
            </w:pPr>
          </w:p>
        </w:tc>
      </w:tr>
      <w:tr w14:paraId="4E3C73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1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2BD3C46">
            <w:pPr>
              <w:keepNext w:val="0"/>
              <w:keepLines w:val="0"/>
              <w:suppressLineNumbers w:val="0"/>
              <w:spacing w:before="0" w:beforeAutospacing="0" w:after="0" w:afterAutospacing="0"/>
              <w:ind w:left="0" w:right="0"/>
              <w:jc w:val="center"/>
              <w:rPr>
                <w:rFonts w:hint="default"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w:t>
            </w:r>
          </w:p>
        </w:tc>
        <w:tc>
          <w:tcPr>
            <w:tcW w:w="1735"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94A6F72">
            <w:pPr>
              <w:keepNext w:val="0"/>
              <w:keepLines w:val="0"/>
              <w:suppressLineNumbers w:val="0"/>
              <w:spacing w:before="0" w:beforeAutospacing="0" w:after="0" w:afterAutospacing="0"/>
              <w:ind w:left="0" w:right="0"/>
              <w:rPr>
                <w:rFonts w:hint="default" w:ascii="宋体" w:hAnsi="宋体" w:cs="宋体"/>
                <w:color w:val="000000" w:themeColor="text1"/>
                <w:szCs w:val="21"/>
                <w:highlight w:val="none"/>
                <w14:textFill>
                  <w14:solidFill>
                    <w14:schemeClr w14:val="tx1"/>
                  </w14:solidFill>
                </w14:textFill>
              </w:rPr>
            </w:pPr>
          </w:p>
        </w:tc>
        <w:tc>
          <w:tcPr>
            <w:tcW w:w="1383"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5445F17">
            <w:pPr>
              <w:keepNext w:val="0"/>
              <w:keepLines w:val="0"/>
              <w:suppressLineNumbers w:val="0"/>
              <w:spacing w:before="0" w:beforeAutospacing="0" w:after="0" w:afterAutospacing="0"/>
              <w:ind w:left="0" w:right="0"/>
              <w:jc w:val="center"/>
              <w:rPr>
                <w:rFonts w:hint="default" w:ascii="宋体" w:hAnsi="宋体" w:cs="宋体"/>
                <w:color w:val="000000" w:themeColor="text1"/>
                <w:sz w:val="24"/>
                <w:szCs w:val="24"/>
                <w:highlight w:val="none"/>
                <w14:textFill>
                  <w14:solidFill>
                    <w14:schemeClr w14:val="tx1"/>
                  </w14:solidFill>
                </w14:textFill>
              </w:rPr>
            </w:pPr>
          </w:p>
        </w:tc>
        <w:tc>
          <w:tcPr>
            <w:tcW w:w="3113"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72C5C92">
            <w:pPr>
              <w:keepNext w:val="0"/>
              <w:keepLines w:val="0"/>
              <w:suppressLineNumbers w:val="0"/>
              <w:spacing w:before="0" w:beforeAutospacing="0" w:after="0" w:afterAutospacing="0"/>
              <w:ind w:left="0" w:right="0"/>
              <w:jc w:val="center"/>
              <w:rPr>
                <w:rFonts w:hint="default" w:ascii="宋体" w:hAnsi="宋体" w:cs="宋体"/>
                <w:color w:val="000000" w:themeColor="text1"/>
                <w:sz w:val="24"/>
                <w:szCs w:val="24"/>
                <w:highlight w:val="none"/>
                <w14:textFill>
                  <w14:solidFill>
                    <w14:schemeClr w14:val="tx1"/>
                  </w14:solidFill>
                </w14:textFill>
              </w:rPr>
            </w:pPr>
          </w:p>
        </w:tc>
        <w:tc>
          <w:tcPr>
            <w:tcW w:w="3124"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A3E584C">
            <w:pPr>
              <w:keepNext w:val="0"/>
              <w:keepLines w:val="0"/>
              <w:suppressLineNumbers w:val="0"/>
              <w:spacing w:before="0" w:beforeAutospacing="0" w:after="0" w:afterAutospacing="0"/>
              <w:ind w:left="0" w:right="0"/>
              <w:jc w:val="center"/>
              <w:rPr>
                <w:rFonts w:hint="default" w:ascii="宋体" w:hAnsi="宋体" w:cs="宋体"/>
                <w:color w:val="000000" w:themeColor="text1"/>
                <w:sz w:val="24"/>
                <w:szCs w:val="24"/>
                <w:highlight w:val="none"/>
                <w14:textFill>
                  <w14:solidFill>
                    <w14:schemeClr w14:val="tx1"/>
                  </w14:solidFill>
                </w14:textFill>
              </w:rPr>
            </w:pPr>
          </w:p>
        </w:tc>
      </w:tr>
      <w:tr w14:paraId="25AAE5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1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AF5B8F6">
            <w:pPr>
              <w:keepNext w:val="0"/>
              <w:keepLines w:val="0"/>
              <w:suppressLineNumbers w:val="0"/>
              <w:spacing w:before="0" w:beforeAutospacing="0" w:after="0" w:afterAutospacing="0"/>
              <w:ind w:left="0" w:right="0"/>
              <w:jc w:val="center"/>
              <w:rPr>
                <w:rFonts w:hint="default" w:ascii="宋体" w:hAnsi="宋体" w:cs="宋体"/>
                <w:color w:val="000000" w:themeColor="text1"/>
                <w:sz w:val="24"/>
                <w:szCs w:val="24"/>
                <w:highlight w:val="none"/>
                <w14:textFill>
                  <w14:solidFill>
                    <w14:schemeClr w14:val="tx1"/>
                  </w14:solidFill>
                </w14:textFill>
              </w:rPr>
            </w:pPr>
          </w:p>
        </w:tc>
        <w:tc>
          <w:tcPr>
            <w:tcW w:w="1735"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0C2066D">
            <w:pPr>
              <w:keepNext w:val="0"/>
              <w:keepLines w:val="0"/>
              <w:suppressLineNumbers w:val="0"/>
              <w:spacing w:before="0" w:beforeAutospacing="0" w:after="0" w:afterAutospacing="0"/>
              <w:ind w:left="0" w:right="0"/>
              <w:rPr>
                <w:rFonts w:hint="default" w:ascii="宋体" w:hAnsi="宋体" w:cs="宋体"/>
                <w:color w:val="000000" w:themeColor="text1"/>
                <w:szCs w:val="21"/>
                <w:highlight w:val="none"/>
                <w14:textFill>
                  <w14:solidFill>
                    <w14:schemeClr w14:val="tx1"/>
                  </w14:solidFill>
                </w14:textFill>
              </w:rPr>
            </w:pPr>
          </w:p>
        </w:tc>
        <w:tc>
          <w:tcPr>
            <w:tcW w:w="1383"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C765E37">
            <w:pPr>
              <w:keepNext w:val="0"/>
              <w:keepLines w:val="0"/>
              <w:suppressLineNumbers w:val="0"/>
              <w:spacing w:before="0" w:beforeAutospacing="0" w:after="0" w:afterAutospacing="0"/>
              <w:ind w:left="0" w:right="0"/>
              <w:jc w:val="center"/>
              <w:rPr>
                <w:rFonts w:hint="default" w:ascii="宋体" w:hAnsi="宋体" w:cs="宋体"/>
                <w:color w:val="000000" w:themeColor="text1"/>
                <w:sz w:val="24"/>
                <w:szCs w:val="24"/>
                <w:highlight w:val="none"/>
                <w14:textFill>
                  <w14:solidFill>
                    <w14:schemeClr w14:val="tx1"/>
                  </w14:solidFill>
                </w14:textFill>
              </w:rPr>
            </w:pPr>
          </w:p>
        </w:tc>
        <w:tc>
          <w:tcPr>
            <w:tcW w:w="3113"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3F69A29">
            <w:pPr>
              <w:keepNext w:val="0"/>
              <w:keepLines w:val="0"/>
              <w:suppressLineNumbers w:val="0"/>
              <w:spacing w:before="0" w:beforeAutospacing="0" w:after="0" w:afterAutospacing="0"/>
              <w:ind w:left="0" w:right="0"/>
              <w:jc w:val="center"/>
              <w:rPr>
                <w:rFonts w:hint="default" w:ascii="宋体" w:hAnsi="宋体" w:cs="宋体"/>
                <w:color w:val="000000" w:themeColor="text1"/>
                <w:sz w:val="24"/>
                <w:szCs w:val="24"/>
                <w:highlight w:val="none"/>
                <w14:textFill>
                  <w14:solidFill>
                    <w14:schemeClr w14:val="tx1"/>
                  </w14:solidFill>
                </w14:textFill>
              </w:rPr>
            </w:pPr>
          </w:p>
        </w:tc>
        <w:tc>
          <w:tcPr>
            <w:tcW w:w="3124"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9D0A949">
            <w:pPr>
              <w:keepNext w:val="0"/>
              <w:keepLines w:val="0"/>
              <w:suppressLineNumbers w:val="0"/>
              <w:spacing w:before="0" w:beforeAutospacing="0" w:after="0" w:afterAutospacing="0"/>
              <w:ind w:left="0" w:right="0"/>
              <w:jc w:val="center"/>
              <w:rPr>
                <w:rFonts w:hint="default" w:ascii="宋体" w:hAnsi="宋体" w:cs="宋体"/>
                <w:color w:val="000000" w:themeColor="text1"/>
                <w:sz w:val="24"/>
                <w:szCs w:val="24"/>
                <w:highlight w:val="none"/>
                <w14:textFill>
                  <w14:solidFill>
                    <w14:schemeClr w14:val="tx1"/>
                  </w14:solidFill>
                </w14:textFill>
              </w:rPr>
            </w:pPr>
          </w:p>
        </w:tc>
      </w:tr>
      <w:tr w14:paraId="57995E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1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61D55AD">
            <w:pPr>
              <w:keepNext w:val="0"/>
              <w:keepLines w:val="0"/>
              <w:suppressLineNumbers w:val="0"/>
              <w:spacing w:before="0" w:beforeAutospacing="0" w:after="0" w:afterAutospacing="0"/>
              <w:ind w:left="0" w:right="0"/>
              <w:jc w:val="center"/>
              <w:rPr>
                <w:rFonts w:hint="default" w:ascii="宋体" w:hAnsi="宋体" w:cs="宋体"/>
                <w:color w:val="000000" w:themeColor="text1"/>
                <w:sz w:val="24"/>
                <w:szCs w:val="24"/>
                <w:highlight w:val="none"/>
                <w14:textFill>
                  <w14:solidFill>
                    <w14:schemeClr w14:val="tx1"/>
                  </w14:solidFill>
                </w14:textFill>
              </w:rPr>
            </w:pPr>
          </w:p>
        </w:tc>
        <w:tc>
          <w:tcPr>
            <w:tcW w:w="1735"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4F9C71C">
            <w:pPr>
              <w:keepNext w:val="0"/>
              <w:keepLines w:val="0"/>
              <w:suppressLineNumbers w:val="0"/>
              <w:spacing w:before="0" w:beforeAutospacing="0" w:after="0" w:afterAutospacing="0"/>
              <w:ind w:left="0" w:right="0"/>
              <w:rPr>
                <w:rFonts w:hint="default" w:ascii="宋体" w:hAnsi="宋体" w:cs="宋体"/>
                <w:color w:val="000000" w:themeColor="text1"/>
                <w:szCs w:val="21"/>
                <w:highlight w:val="none"/>
                <w14:textFill>
                  <w14:solidFill>
                    <w14:schemeClr w14:val="tx1"/>
                  </w14:solidFill>
                </w14:textFill>
              </w:rPr>
            </w:pPr>
          </w:p>
        </w:tc>
        <w:tc>
          <w:tcPr>
            <w:tcW w:w="1383"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4C2235E">
            <w:pPr>
              <w:keepNext w:val="0"/>
              <w:keepLines w:val="0"/>
              <w:suppressLineNumbers w:val="0"/>
              <w:spacing w:before="0" w:beforeAutospacing="0" w:after="0" w:afterAutospacing="0"/>
              <w:ind w:left="0" w:right="0"/>
              <w:jc w:val="center"/>
              <w:rPr>
                <w:rFonts w:hint="default" w:ascii="宋体" w:hAnsi="宋体" w:cs="宋体"/>
                <w:color w:val="000000" w:themeColor="text1"/>
                <w:sz w:val="24"/>
                <w:szCs w:val="24"/>
                <w:highlight w:val="none"/>
                <w14:textFill>
                  <w14:solidFill>
                    <w14:schemeClr w14:val="tx1"/>
                  </w14:solidFill>
                </w14:textFill>
              </w:rPr>
            </w:pPr>
          </w:p>
        </w:tc>
        <w:tc>
          <w:tcPr>
            <w:tcW w:w="3113"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20EC0CC">
            <w:pPr>
              <w:keepNext w:val="0"/>
              <w:keepLines w:val="0"/>
              <w:suppressLineNumbers w:val="0"/>
              <w:spacing w:before="0" w:beforeAutospacing="0" w:after="0" w:afterAutospacing="0"/>
              <w:ind w:left="0" w:right="0"/>
              <w:jc w:val="center"/>
              <w:rPr>
                <w:rFonts w:hint="default" w:ascii="宋体" w:hAnsi="宋体" w:cs="宋体"/>
                <w:color w:val="000000" w:themeColor="text1"/>
                <w:sz w:val="24"/>
                <w:szCs w:val="24"/>
                <w:highlight w:val="none"/>
                <w14:textFill>
                  <w14:solidFill>
                    <w14:schemeClr w14:val="tx1"/>
                  </w14:solidFill>
                </w14:textFill>
              </w:rPr>
            </w:pPr>
          </w:p>
        </w:tc>
        <w:tc>
          <w:tcPr>
            <w:tcW w:w="3124"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970FBC2">
            <w:pPr>
              <w:keepNext w:val="0"/>
              <w:keepLines w:val="0"/>
              <w:suppressLineNumbers w:val="0"/>
              <w:spacing w:before="0" w:beforeAutospacing="0" w:after="0" w:afterAutospacing="0"/>
              <w:ind w:left="0" w:right="0"/>
              <w:jc w:val="center"/>
              <w:rPr>
                <w:rFonts w:hint="default" w:ascii="宋体" w:hAnsi="宋体" w:cs="宋体"/>
                <w:color w:val="000000" w:themeColor="text1"/>
                <w:sz w:val="24"/>
                <w:szCs w:val="24"/>
                <w:highlight w:val="none"/>
                <w14:textFill>
                  <w14:solidFill>
                    <w14:schemeClr w14:val="tx1"/>
                  </w14:solidFill>
                </w14:textFill>
              </w:rPr>
            </w:pPr>
          </w:p>
        </w:tc>
      </w:tr>
      <w:tr w14:paraId="09057E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1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CB80BC3">
            <w:pPr>
              <w:keepNext w:val="0"/>
              <w:keepLines w:val="0"/>
              <w:suppressLineNumbers w:val="0"/>
              <w:spacing w:before="0" w:beforeAutospacing="0" w:after="0" w:afterAutospacing="0"/>
              <w:ind w:left="0" w:right="0"/>
              <w:jc w:val="center"/>
              <w:rPr>
                <w:rFonts w:hint="default" w:ascii="宋体" w:hAnsi="宋体" w:cs="宋体"/>
                <w:color w:val="000000" w:themeColor="text1"/>
                <w:sz w:val="24"/>
                <w:szCs w:val="24"/>
                <w:highlight w:val="none"/>
                <w14:textFill>
                  <w14:solidFill>
                    <w14:schemeClr w14:val="tx1"/>
                  </w14:solidFill>
                </w14:textFill>
              </w:rPr>
            </w:pPr>
          </w:p>
        </w:tc>
        <w:tc>
          <w:tcPr>
            <w:tcW w:w="1735"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8922FA5">
            <w:pPr>
              <w:keepNext w:val="0"/>
              <w:keepLines w:val="0"/>
              <w:suppressLineNumbers w:val="0"/>
              <w:spacing w:before="0" w:beforeAutospacing="0" w:after="0" w:afterAutospacing="0"/>
              <w:ind w:left="0" w:right="0"/>
              <w:rPr>
                <w:rFonts w:hint="default" w:ascii="宋体" w:hAnsi="宋体" w:cs="宋体"/>
                <w:color w:val="000000" w:themeColor="text1"/>
                <w:szCs w:val="21"/>
                <w:highlight w:val="none"/>
                <w14:textFill>
                  <w14:solidFill>
                    <w14:schemeClr w14:val="tx1"/>
                  </w14:solidFill>
                </w14:textFill>
              </w:rPr>
            </w:pPr>
          </w:p>
        </w:tc>
        <w:tc>
          <w:tcPr>
            <w:tcW w:w="1383"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F3B8E50">
            <w:pPr>
              <w:keepNext w:val="0"/>
              <w:keepLines w:val="0"/>
              <w:suppressLineNumbers w:val="0"/>
              <w:spacing w:before="0" w:beforeAutospacing="0" w:after="0" w:afterAutospacing="0"/>
              <w:ind w:left="0" w:right="0"/>
              <w:jc w:val="center"/>
              <w:rPr>
                <w:rFonts w:hint="default" w:ascii="宋体" w:hAnsi="宋体" w:cs="宋体"/>
                <w:color w:val="000000" w:themeColor="text1"/>
                <w:sz w:val="24"/>
                <w:szCs w:val="24"/>
                <w:highlight w:val="none"/>
                <w14:textFill>
                  <w14:solidFill>
                    <w14:schemeClr w14:val="tx1"/>
                  </w14:solidFill>
                </w14:textFill>
              </w:rPr>
            </w:pPr>
          </w:p>
        </w:tc>
        <w:tc>
          <w:tcPr>
            <w:tcW w:w="3113"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BD46917">
            <w:pPr>
              <w:keepNext w:val="0"/>
              <w:keepLines w:val="0"/>
              <w:suppressLineNumbers w:val="0"/>
              <w:spacing w:before="0" w:beforeAutospacing="0" w:after="0" w:afterAutospacing="0"/>
              <w:ind w:left="0" w:right="0"/>
              <w:jc w:val="center"/>
              <w:rPr>
                <w:rFonts w:hint="default" w:ascii="宋体" w:hAnsi="宋体" w:cs="宋体"/>
                <w:color w:val="000000" w:themeColor="text1"/>
                <w:sz w:val="24"/>
                <w:szCs w:val="24"/>
                <w:highlight w:val="none"/>
                <w14:textFill>
                  <w14:solidFill>
                    <w14:schemeClr w14:val="tx1"/>
                  </w14:solidFill>
                </w14:textFill>
              </w:rPr>
            </w:pPr>
          </w:p>
        </w:tc>
        <w:tc>
          <w:tcPr>
            <w:tcW w:w="3124"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978CEC9">
            <w:pPr>
              <w:keepNext w:val="0"/>
              <w:keepLines w:val="0"/>
              <w:suppressLineNumbers w:val="0"/>
              <w:spacing w:before="0" w:beforeAutospacing="0" w:after="0" w:afterAutospacing="0"/>
              <w:ind w:left="0" w:right="0"/>
              <w:jc w:val="center"/>
              <w:rPr>
                <w:rFonts w:hint="default" w:ascii="宋体" w:hAnsi="宋体" w:cs="宋体"/>
                <w:color w:val="000000" w:themeColor="text1"/>
                <w:sz w:val="24"/>
                <w:szCs w:val="24"/>
                <w:highlight w:val="none"/>
                <w14:textFill>
                  <w14:solidFill>
                    <w14:schemeClr w14:val="tx1"/>
                  </w14:solidFill>
                </w14:textFill>
              </w:rPr>
            </w:pPr>
          </w:p>
        </w:tc>
      </w:tr>
      <w:tr w14:paraId="3C03A2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1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635DD55">
            <w:pPr>
              <w:keepNext w:val="0"/>
              <w:keepLines w:val="0"/>
              <w:suppressLineNumbers w:val="0"/>
              <w:spacing w:before="0" w:beforeAutospacing="0" w:after="0" w:afterAutospacing="0"/>
              <w:ind w:left="0" w:right="0"/>
              <w:jc w:val="center"/>
              <w:rPr>
                <w:rFonts w:hint="default" w:ascii="宋体" w:hAnsi="宋体" w:cs="宋体"/>
                <w:color w:val="000000" w:themeColor="text1"/>
                <w:sz w:val="24"/>
                <w:szCs w:val="24"/>
                <w:highlight w:val="none"/>
                <w14:textFill>
                  <w14:solidFill>
                    <w14:schemeClr w14:val="tx1"/>
                  </w14:solidFill>
                </w14:textFill>
              </w:rPr>
            </w:pPr>
          </w:p>
        </w:tc>
        <w:tc>
          <w:tcPr>
            <w:tcW w:w="1735"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523B7C9">
            <w:pPr>
              <w:keepNext w:val="0"/>
              <w:keepLines w:val="0"/>
              <w:suppressLineNumbers w:val="0"/>
              <w:spacing w:before="0" w:beforeAutospacing="0" w:after="0" w:afterAutospacing="0"/>
              <w:ind w:left="0" w:right="0"/>
              <w:rPr>
                <w:rFonts w:hint="default" w:ascii="宋体" w:hAnsi="宋体" w:cs="宋体"/>
                <w:color w:val="000000" w:themeColor="text1"/>
                <w:szCs w:val="21"/>
                <w:highlight w:val="none"/>
                <w14:textFill>
                  <w14:solidFill>
                    <w14:schemeClr w14:val="tx1"/>
                  </w14:solidFill>
                </w14:textFill>
              </w:rPr>
            </w:pPr>
          </w:p>
        </w:tc>
        <w:tc>
          <w:tcPr>
            <w:tcW w:w="1383"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1A63876">
            <w:pPr>
              <w:keepNext w:val="0"/>
              <w:keepLines w:val="0"/>
              <w:suppressLineNumbers w:val="0"/>
              <w:spacing w:before="0" w:beforeAutospacing="0" w:after="0" w:afterAutospacing="0"/>
              <w:ind w:left="0" w:right="0"/>
              <w:jc w:val="center"/>
              <w:rPr>
                <w:rFonts w:hint="default" w:ascii="宋体" w:hAnsi="宋体" w:cs="宋体"/>
                <w:color w:val="000000" w:themeColor="text1"/>
                <w:sz w:val="24"/>
                <w:szCs w:val="24"/>
                <w:highlight w:val="none"/>
                <w14:textFill>
                  <w14:solidFill>
                    <w14:schemeClr w14:val="tx1"/>
                  </w14:solidFill>
                </w14:textFill>
              </w:rPr>
            </w:pPr>
          </w:p>
        </w:tc>
        <w:tc>
          <w:tcPr>
            <w:tcW w:w="3113"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8929D2B">
            <w:pPr>
              <w:keepNext w:val="0"/>
              <w:keepLines w:val="0"/>
              <w:suppressLineNumbers w:val="0"/>
              <w:spacing w:before="0" w:beforeAutospacing="0" w:after="0" w:afterAutospacing="0"/>
              <w:ind w:left="0" w:right="0"/>
              <w:jc w:val="center"/>
              <w:rPr>
                <w:rFonts w:hint="default" w:ascii="宋体" w:hAnsi="宋体" w:cs="宋体"/>
                <w:color w:val="000000" w:themeColor="text1"/>
                <w:sz w:val="24"/>
                <w:szCs w:val="24"/>
                <w:highlight w:val="none"/>
                <w14:textFill>
                  <w14:solidFill>
                    <w14:schemeClr w14:val="tx1"/>
                  </w14:solidFill>
                </w14:textFill>
              </w:rPr>
            </w:pPr>
          </w:p>
        </w:tc>
        <w:tc>
          <w:tcPr>
            <w:tcW w:w="3124"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6E06E37">
            <w:pPr>
              <w:keepNext w:val="0"/>
              <w:keepLines w:val="0"/>
              <w:suppressLineNumbers w:val="0"/>
              <w:spacing w:before="0" w:beforeAutospacing="0" w:after="0" w:afterAutospacing="0"/>
              <w:ind w:left="0" w:right="0"/>
              <w:jc w:val="center"/>
              <w:rPr>
                <w:rFonts w:hint="default" w:ascii="宋体" w:hAnsi="宋体" w:cs="宋体"/>
                <w:color w:val="000000" w:themeColor="text1"/>
                <w:sz w:val="24"/>
                <w:szCs w:val="24"/>
                <w:highlight w:val="none"/>
                <w14:textFill>
                  <w14:solidFill>
                    <w14:schemeClr w14:val="tx1"/>
                  </w14:solidFill>
                </w14:textFill>
              </w:rPr>
            </w:pPr>
          </w:p>
        </w:tc>
      </w:tr>
    </w:tbl>
    <w:p w14:paraId="43F5A19C">
      <w:pPr>
        <w:spacing w:line="440" w:lineRule="exact"/>
        <w:rPr>
          <w:rFonts w:hint="eastAsia" w:ascii="新宋体" w:hAnsi="新宋体" w:eastAsia="新宋体" w:cs="新宋体"/>
          <w:b/>
          <w:bCs/>
          <w:color w:val="000000" w:themeColor="text1"/>
          <w:sz w:val="24"/>
          <w:szCs w:val="24"/>
          <w:highlight w:val="none"/>
          <w:lang w:bidi="ar"/>
          <w14:textFill>
            <w14:solidFill>
              <w14:schemeClr w14:val="tx1"/>
            </w14:solidFill>
          </w14:textFill>
        </w:rPr>
      </w:pPr>
      <w:r>
        <w:rPr>
          <w:rFonts w:hint="eastAsia" w:ascii="新宋体" w:hAnsi="新宋体" w:eastAsia="新宋体" w:cs="新宋体"/>
          <w:b/>
          <w:bCs/>
          <w:color w:val="000000" w:themeColor="text1"/>
          <w:sz w:val="24"/>
          <w:szCs w:val="24"/>
          <w:highlight w:val="none"/>
          <w:lang w:bidi="ar"/>
          <w14:textFill>
            <w14:solidFill>
              <w14:schemeClr w14:val="tx1"/>
            </w14:solidFill>
          </w14:textFill>
        </w:rPr>
        <w:t>注：1、投标文件中</w:t>
      </w:r>
      <w:r>
        <w:rPr>
          <w:rFonts w:hint="eastAsia" w:ascii="新宋体" w:hAnsi="新宋体" w:eastAsia="新宋体" w:cs="新宋体"/>
          <w:b/>
          <w:bCs/>
          <w:color w:val="000000" w:themeColor="text1"/>
          <w:sz w:val="24"/>
          <w:szCs w:val="24"/>
          <w:highlight w:val="none"/>
          <w:lang w:val="en-US" w:eastAsia="zh-CN" w:bidi="ar"/>
          <w14:textFill>
            <w14:solidFill>
              <w14:schemeClr w14:val="tx1"/>
            </w14:solidFill>
          </w14:textFill>
        </w:rPr>
        <w:t>需根据“第五章  评标方法与评标标准”要求提供相关证明材料</w:t>
      </w:r>
      <w:r>
        <w:rPr>
          <w:rFonts w:hint="eastAsia" w:ascii="新宋体" w:hAnsi="新宋体" w:eastAsia="新宋体" w:cs="新宋体"/>
          <w:b/>
          <w:bCs/>
          <w:color w:val="000000" w:themeColor="text1"/>
          <w:sz w:val="24"/>
          <w:szCs w:val="24"/>
          <w:highlight w:val="none"/>
          <w:lang w:bidi="ar"/>
          <w14:textFill>
            <w14:solidFill>
              <w14:schemeClr w14:val="tx1"/>
            </w14:solidFill>
          </w14:textFill>
        </w:rPr>
        <w:t>，因表述含糊导致的评标风险将由投标人承担。</w:t>
      </w:r>
    </w:p>
    <w:p w14:paraId="6C6FFADA">
      <w:pPr>
        <w:spacing w:line="440" w:lineRule="exact"/>
        <w:ind w:firstLine="482"/>
        <w:rPr>
          <w:rFonts w:hint="eastAsia" w:ascii="新宋体" w:hAnsi="新宋体" w:eastAsia="新宋体" w:cs="新宋体"/>
          <w:b/>
          <w:bCs/>
          <w:color w:val="000000" w:themeColor="text1"/>
          <w:sz w:val="24"/>
          <w:szCs w:val="24"/>
          <w:highlight w:val="none"/>
          <w:lang w:bidi="ar"/>
          <w14:textFill>
            <w14:solidFill>
              <w14:schemeClr w14:val="tx1"/>
            </w14:solidFill>
          </w14:textFill>
        </w:rPr>
      </w:pPr>
      <w:r>
        <w:rPr>
          <w:rFonts w:hint="eastAsia" w:ascii="新宋体" w:hAnsi="新宋体" w:eastAsia="新宋体" w:cs="新宋体"/>
          <w:b/>
          <w:bCs/>
          <w:color w:val="000000" w:themeColor="text1"/>
          <w:sz w:val="24"/>
          <w:szCs w:val="24"/>
          <w:highlight w:val="none"/>
          <w:lang w:bidi="ar"/>
          <w14:textFill>
            <w14:solidFill>
              <w14:schemeClr w14:val="tx1"/>
            </w14:solidFill>
          </w14:textFill>
        </w:rPr>
        <w:t>2、如有需要说明的事项，请在备注中列明。</w:t>
      </w:r>
    </w:p>
    <w:p w14:paraId="1E73C90B">
      <w:pPr>
        <w:spacing w:line="440" w:lineRule="exact"/>
        <w:ind w:firstLine="482"/>
        <w:rPr>
          <w:rFonts w:ascii="新宋体" w:hAnsi="新宋体" w:eastAsia="新宋体" w:cs="新宋体"/>
          <w:b/>
          <w:bCs/>
          <w:color w:val="000000" w:themeColor="text1"/>
          <w:sz w:val="24"/>
          <w:szCs w:val="24"/>
          <w:highlight w:val="none"/>
          <w14:textFill>
            <w14:solidFill>
              <w14:schemeClr w14:val="tx1"/>
            </w14:solidFill>
          </w14:textFill>
        </w:rPr>
      </w:pPr>
      <w:r>
        <w:rPr>
          <w:rFonts w:hint="eastAsia" w:ascii="新宋体" w:hAnsi="新宋体" w:eastAsia="新宋体" w:cs="新宋体"/>
          <w:b/>
          <w:bCs/>
          <w:color w:val="000000" w:themeColor="text1"/>
          <w:sz w:val="24"/>
          <w:szCs w:val="24"/>
          <w:highlight w:val="none"/>
          <w:lang w:bidi="ar"/>
          <w14:textFill>
            <w14:solidFill>
              <w14:schemeClr w14:val="tx1"/>
            </w14:solidFill>
          </w14:textFill>
        </w:rPr>
        <w:t>3、表格不够可另接。</w:t>
      </w:r>
    </w:p>
    <w:p w14:paraId="63AC74C2">
      <w:pPr>
        <w:rPr>
          <w:rFonts w:hint="eastAsia" w:ascii="Times New Roman" w:hAnsi="Times New Roman" w:eastAsia="宋体" w:cs="Times New Roman"/>
          <w:b/>
          <w:bCs/>
          <w:color w:val="000000" w:themeColor="text1"/>
          <w:sz w:val="28"/>
          <w:szCs w:val="28"/>
          <w:highlight w:val="none"/>
          <w14:textFill>
            <w14:solidFill>
              <w14:schemeClr w14:val="tx1"/>
            </w14:solidFill>
          </w14:textFill>
        </w:rPr>
      </w:pPr>
      <w:r>
        <w:rPr>
          <w:rFonts w:hint="eastAsia" w:ascii="Times New Roman" w:hAnsi="Times New Roman" w:eastAsia="宋体" w:cs="Times New Roman"/>
          <w:b/>
          <w:bCs/>
          <w:color w:val="000000" w:themeColor="text1"/>
          <w:sz w:val="28"/>
          <w:szCs w:val="28"/>
          <w:highlight w:val="none"/>
          <w14:textFill>
            <w14:solidFill>
              <w14:schemeClr w14:val="tx1"/>
            </w14:solidFill>
          </w14:textFill>
        </w:rPr>
        <w:br w:type="page" w:clear="all"/>
      </w:r>
    </w:p>
    <w:p w14:paraId="3759BA67">
      <w:pPr>
        <w:pStyle w:val="3"/>
        <w:spacing w:line="440" w:lineRule="exact"/>
        <w:jc w:val="center"/>
        <w:rPr>
          <w:rFonts w:ascii="Times New Roman" w:hAnsi="Times New Roman" w:eastAsia="宋体" w:cs="Times New Roman"/>
          <w:b/>
          <w:bCs/>
          <w:color w:val="000000" w:themeColor="text1"/>
          <w:sz w:val="28"/>
          <w:szCs w:val="28"/>
          <w:highlight w:val="none"/>
          <w14:textFill>
            <w14:solidFill>
              <w14:schemeClr w14:val="tx1"/>
            </w14:solidFill>
          </w14:textFill>
        </w:rPr>
      </w:pPr>
      <w:bookmarkStart w:id="244" w:name="_Toc17511"/>
      <w:r>
        <w:rPr>
          <w:rFonts w:hint="eastAsia" w:ascii="Times New Roman" w:hAnsi="Times New Roman" w:eastAsia="宋体" w:cs="Times New Roman"/>
          <w:b/>
          <w:bCs/>
          <w:color w:val="000000" w:themeColor="text1"/>
          <w:sz w:val="28"/>
          <w:szCs w:val="28"/>
          <w:highlight w:val="none"/>
          <w14:textFill>
            <w14:solidFill>
              <w14:schemeClr w14:val="tx1"/>
            </w14:solidFill>
          </w14:textFill>
        </w:rPr>
        <w:t>附件</w:t>
      </w:r>
      <w:r>
        <w:rPr>
          <w:rFonts w:hint="eastAsia" w:ascii="Times New Roman" w:hAnsi="Times New Roman" w:eastAsia="宋体" w:cs="Times New Roman"/>
          <w:b/>
          <w:bCs/>
          <w:color w:val="000000" w:themeColor="text1"/>
          <w:sz w:val="28"/>
          <w:szCs w:val="28"/>
          <w:highlight w:val="none"/>
          <w:lang w:val="en-US" w:eastAsia="zh-CN"/>
          <w14:textFill>
            <w14:solidFill>
              <w14:schemeClr w14:val="tx1"/>
            </w14:solidFill>
          </w14:textFill>
        </w:rPr>
        <w:t>6</w:t>
      </w:r>
      <w:r>
        <w:rPr>
          <w:rFonts w:hint="eastAsia" w:ascii="Times New Roman" w:hAnsi="Times New Roman" w:eastAsia="宋体" w:cs="Times New Roman"/>
          <w:b/>
          <w:bCs/>
          <w:color w:val="000000" w:themeColor="text1"/>
          <w:sz w:val="28"/>
          <w:szCs w:val="28"/>
          <w:highlight w:val="none"/>
          <w14:textFill>
            <w14:solidFill>
              <w14:schemeClr w14:val="tx1"/>
            </w14:solidFill>
          </w14:textFill>
        </w:rPr>
        <w:t xml:space="preserve"> 业绩一览表</w:t>
      </w:r>
      <w:bookmarkEnd w:id="244"/>
    </w:p>
    <w:tbl>
      <w:tblPr>
        <w:tblStyle w:val="39"/>
        <w:tblW w:w="93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8"/>
        <w:gridCol w:w="2131"/>
        <w:gridCol w:w="1847"/>
        <w:gridCol w:w="2814"/>
        <w:gridCol w:w="1460"/>
      </w:tblGrid>
      <w:tr w14:paraId="454345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jc w:val="center"/>
        </w:trPr>
        <w:tc>
          <w:tcPr>
            <w:tcW w:w="110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CF6BAC6">
            <w:pPr>
              <w:keepNext w:val="0"/>
              <w:keepLines w:val="0"/>
              <w:suppressLineNumbers w:val="0"/>
              <w:spacing w:before="0" w:beforeAutospacing="0" w:after="0" w:afterAutospacing="0"/>
              <w:ind w:left="0" w:right="0"/>
              <w:jc w:val="center"/>
              <w:rPr>
                <w:rFonts w:hint="default" w:ascii="Times New Roman" w:hAnsi="Times New Roman"/>
                <w:b/>
                <w:bCs/>
                <w:color w:val="000000" w:themeColor="text1"/>
                <w:sz w:val="24"/>
                <w:szCs w:val="24"/>
                <w:highlight w:val="none"/>
                <w14:textFill>
                  <w14:solidFill>
                    <w14:schemeClr w14:val="tx1"/>
                  </w14:solidFill>
                </w14:textFill>
              </w:rPr>
            </w:pPr>
            <w:r>
              <w:rPr>
                <w:rFonts w:hint="eastAsia" w:ascii="Times New Roman" w:hAnsi="Times New Roman" w:cs="宋体"/>
                <w:b/>
                <w:bCs/>
                <w:color w:val="000000" w:themeColor="text1"/>
                <w:sz w:val="24"/>
                <w:szCs w:val="24"/>
                <w:highlight w:val="none"/>
                <w:lang w:bidi="ar"/>
                <w14:textFill>
                  <w14:solidFill>
                    <w14:schemeClr w14:val="tx1"/>
                  </w14:solidFill>
                </w14:textFill>
              </w:rPr>
              <w:t>序号</w:t>
            </w:r>
          </w:p>
        </w:tc>
        <w:tc>
          <w:tcPr>
            <w:tcW w:w="213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1834B1A">
            <w:pPr>
              <w:keepNext w:val="0"/>
              <w:keepLines w:val="0"/>
              <w:suppressLineNumbers w:val="0"/>
              <w:spacing w:before="0" w:beforeAutospacing="0" w:after="0" w:afterAutospacing="0"/>
              <w:ind w:left="0" w:right="0"/>
              <w:jc w:val="center"/>
              <w:rPr>
                <w:rFonts w:hint="default" w:ascii="Times New Roman" w:hAnsi="Times New Roman"/>
                <w:b/>
                <w:bCs/>
                <w:color w:val="000000" w:themeColor="text1"/>
                <w:sz w:val="24"/>
                <w:szCs w:val="24"/>
                <w:highlight w:val="none"/>
                <w14:textFill>
                  <w14:solidFill>
                    <w14:schemeClr w14:val="tx1"/>
                  </w14:solidFill>
                </w14:textFill>
              </w:rPr>
            </w:pPr>
            <w:r>
              <w:rPr>
                <w:rFonts w:hint="eastAsia" w:ascii="Times New Roman" w:hAnsi="Times New Roman" w:cs="宋体"/>
                <w:b/>
                <w:bCs/>
                <w:color w:val="000000" w:themeColor="text1"/>
                <w:sz w:val="24"/>
                <w:szCs w:val="24"/>
                <w:highlight w:val="none"/>
                <w:lang w:bidi="ar"/>
                <w14:textFill>
                  <w14:solidFill>
                    <w14:schemeClr w14:val="tx1"/>
                  </w14:solidFill>
                </w14:textFill>
              </w:rPr>
              <w:t>项目名称</w:t>
            </w:r>
          </w:p>
        </w:tc>
        <w:tc>
          <w:tcPr>
            <w:tcW w:w="184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E274AC6">
            <w:pPr>
              <w:keepNext w:val="0"/>
              <w:keepLines w:val="0"/>
              <w:suppressLineNumbers w:val="0"/>
              <w:spacing w:before="0" w:beforeAutospacing="0" w:after="0" w:afterAutospacing="0"/>
              <w:ind w:left="0" w:right="0"/>
              <w:jc w:val="center"/>
              <w:rPr>
                <w:rFonts w:hint="default" w:ascii="Times New Roman" w:hAnsi="Times New Roman"/>
                <w:b/>
                <w:bCs/>
                <w:color w:val="000000" w:themeColor="text1"/>
                <w:sz w:val="24"/>
                <w:szCs w:val="24"/>
                <w:highlight w:val="none"/>
                <w14:textFill>
                  <w14:solidFill>
                    <w14:schemeClr w14:val="tx1"/>
                  </w14:solidFill>
                </w14:textFill>
              </w:rPr>
            </w:pPr>
            <w:r>
              <w:rPr>
                <w:rFonts w:hint="eastAsia" w:ascii="Times New Roman" w:hAnsi="Times New Roman" w:cs="宋体"/>
                <w:b/>
                <w:bCs/>
                <w:color w:val="000000" w:themeColor="text1"/>
                <w:sz w:val="24"/>
                <w:szCs w:val="24"/>
                <w:highlight w:val="none"/>
                <w:lang w:bidi="ar"/>
                <w14:textFill>
                  <w14:solidFill>
                    <w14:schemeClr w14:val="tx1"/>
                  </w14:solidFill>
                </w14:textFill>
              </w:rPr>
              <w:t>业主</w:t>
            </w:r>
          </w:p>
        </w:tc>
        <w:tc>
          <w:tcPr>
            <w:tcW w:w="2814"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E106741">
            <w:pPr>
              <w:keepNext w:val="0"/>
              <w:keepLines w:val="0"/>
              <w:suppressLineNumbers w:val="0"/>
              <w:spacing w:before="0" w:beforeAutospacing="0" w:after="0" w:afterAutospacing="0"/>
              <w:ind w:left="0" w:right="0"/>
              <w:jc w:val="center"/>
              <w:rPr>
                <w:rFonts w:hint="default" w:ascii="Times New Roman" w:hAnsi="Times New Roman"/>
                <w:b/>
                <w:bCs/>
                <w:color w:val="000000" w:themeColor="text1"/>
                <w:sz w:val="24"/>
                <w:szCs w:val="24"/>
                <w:highlight w:val="none"/>
                <w14:textFill>
                  <w14:solidFill>
                    <w14:schemeClr w14:val="tx1"/>
                  </w14:solidFill>
                </w14:textFill>
              </w:rPr>
            </w:pPr>
            <w:r>
              <w:rPr>
                <w:rFonts w:hint="eastAsia" w:ascii="Times New Roman" w:hAnsi="Times New Roman" w:cs="宋体"/>
                <w:b/>
                <w:bCs/>
                <w:color w:val="000000" w:themeColor="text1"/>
                <w:sz w:val="24"/>
                <w:szCs w:val="24"/>
                <w:highlight w:val="none"/>
                <w:lang w:bidi="ar"/>
                <w14:textFill>
                  <w14:solidFill>
                    <w14:schemeClr w14:val="tx1"/>
                  </w14:solidFill>
                </w14:textFill>
              </w:rPr>
              <w:t>合同签订日期</w:t>
            </w:r>
          </w:p>
        </w:tc>
        <w:tc>
          <w:tcPr>
            <w:tcW w:w="146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E03F1D2">
            <w:pPr>
              <w:keepNext w:val="0"/>
              <w:keepLines w:val="0"/>
              <w:suppressLineNumbers w:val="0"/>
              <w:spacing w:before="0" w:beforeAutospacing="0" w:after="0" w:afterAutospacing="0"/>
              <w:ind w:left="0" w:right="0"/>
              <w:jc w:val="center"/>
              <w:rPr>
                <w:rFonts w:hint="default" w:ascii="Times New Roman" w:hAnsi="Times New Roman"/>
                <w:b/>
                <w:bCs/>
                <w:color w:val="000000" w:themeColor="text1"/>
                <w:sz w:val="24"/>
                <w:szCs w:val="24"/>
                <w:highlight w:val="none"/>
                <w14:textFill>
                  <w14:solidFill>
                    <w14:schemeClr w14:val="tx1"/>
                  </w14:solidFill>
                </w14:textFill>
              </w:rPr>
            </w:pPr>
            <w:r>
              <w:rPr>
                <w:rFonts w:hint="eastAsia" w:ascii="Times New Roman" w:hAnsi="Times New Roman" w:cs="宋体"/>
                <w:b/>
                <w:bCs/>
                <w:color w:val="000000" w:themeColor="text1"/>
                <w:sz w:val="24"/>
                <w:szCs w:val="24"/>
                <w:highlight w:val="none"/>
                <w:lang w:bidi="ar"/>
                <w14:textFill>
                  <w14:solidFill>
                    <w14:schemeClr w14:val="tx1"/>
                  </w14:solidFill>
                </w14:textFill>
              </w:rPr>
              <w:t>备注</w:t>
            </w:r>
          </w:p>
        </w:tc>
      </w:tr>
      <w:tr w14:paraId="65D38E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110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0540B51">
            <w:pPr>
              <w:keepNext w:val="0"/>
              <w:keepLines w:val="0"/>
              <w:suppressLineNumbers w:val="0"/>
              <w:spacing w:before="0" w:beforeAutospacing="0" w:after="0" w:afterAutospacing="0"/>
              <w:ind w:left="0" w:right="0"/>
              <w:jc w:val="center"/>
              <w:rPr>
                <w:rFonts w:hint="default" w:ascii="Times New Roman" w:hAnsi="Times New Roman"/>
                <w:color w:val="000000" w:themeColor="text1"/>
                <w:sz w:val="24"/>
                <w:szCs w:val="24"/>
                <w:highlight w:val="none"/>
                <w14:textFill>
                  <w14:solidFill>
                    <w14:schemeClr w14:val="tx1"/>
                  </w14:solidFill>
                </w14:textFill>
              </w:rPr>
            </w:pPr>
            <w:r>
              <w:rPr>
                <w:rFonts w:hint="default" w:ascii="Times New Roman" w:hAnsi="Times New Roman"/>
                <w:color w:val="000000" w:themeColor="text1"/>
                <w:sz w:val="24"/>
                <w:szCs w:val="24"/>
                <w:highlight w:val="none"/>
                <w:lang w:bidi="ar"/>
                <w14:textFill>
                  <w14:solidFill>
                    <w14:schemeClr w14:val="tx1"/>
                  </w14:solidFill>
                </w14:textFill>
              </w:rPr>
              <w:t>1</w:t>
            </w:r>
          </w:p>
        </w:tc>
        <w:tc>
          <w:tcPr>
            <w:tcW w:w="213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C430DC9">
            <w:pPr>
              <w:keepNext w:val="0"/>
              <w:keepLines w:val="0"/>
              <w:suppressLineNumbers w:val="0"/>
              <w:spacing w:before="0" w:beforeAutospacing="0" w:after="0" w:afterAutospacing="0"/>
              <w:ind w:left="0" w:right="0"/>
              <w:jc w:val="center"/>
              <w:rPr>
                <w:rFonts w:hint="default" w:ascii="Times New Roman" w:hAnsi="Times New Roman"/>
                <w:color w:val="000000" w:themeColor="text1"/>
                <w:sz w:val="24"/>
                <w:szCs w:val="24"/>
                <w:highlight w:val="none"/>
                <w14:textFill>
                  <w14:solidFill>
                    <w14:schemeClr w14:val="tx1"/>
                  </w14:solidFill>
                </w14:textFill>
              </w:rPr>
            </w:pPr>
          </w:p>
        </w:tc>
        <w:tc>
          <w:tcPr>
            <w:tcW w:w="184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9ED0328">
            <w:pPr>
              <w:keepNext w:val="0"/>
              <w:keepLines w:val="0"/>
              <w:suppressLineNumbers w:val="0"/>
              <w:spacing w:before="0" w:beforeAutospacing="0" w:after="0" w:afterAutospacing="0"/>
              <w:ind w:left="0" w:right="0"/>
              <w:jc w:val="center"/>
              <w:rPr>
                <w:rFonts w:hint="default" w:ascii="Times New Roman" w:hAnsi="Times New Roman"/>
                <w:color w:val="000000" w:themeColor="text1"/>
                <w:sz w:val="24"/>
                <w:szCs w:val="24"/>
                <w:highlight w:val="none"/>
                <w14:textFill>
                  <w14:solidFill>
                    <w14:schemeClr w14:val="tx1"/>
                  </w14:solidFill>
                </w14:textFill>
              </w:rPr>
            </w:pPr>
          </w:p>
        </w:tc>
        <w:tc>
          <w:tcPr>
            <w:tcW w:w="2814"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31FBAD0">
            <w:pPr>
              <w:keepNext w:val="0"/>
              <w:keepLines w:val="0"/>
              <w:suppressLineNumbers w:val="0"/>
              <w:spacing w:before="0" w:beforeAutospacing="0" w:after="0" w:afterAutospacing="0"/>
              <w:ind w:left="0" w:right="0"/>
              <w:jc w:val="center"/>
              <w:rPr>
                <w:rFonts w:hint="default" w:ascii="Times New Roman" w:hAnsi="Times New Roman"/>
                <w:color w:val="000000" w:themeColor="text1"/>
                <w:sz w:val="24"/>
                <w:szCs w:val="24"/>
                <w:highlight w:val="none"/>
                <w14:textFill>
                  <w14:solidFill>
                    <w14:schemeClr w14:val="tx1"/>
                  </w14:solidFill>
                </w14:textFill>
              </w:rPr>
            </w:pPr>
          </w:p>
        </w:tc>
        <w:tc>
          <w:tcPr>
            <w:tcW w:w="146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12D4CA5">
            <w:pPr>
              <w:keepNext w:val="0"/>
              <w:keepLines w:val="0"/>
              <w:suppressLineNumbers w:val="0"/>
              <w:spacing w:before="0" w:beforeAutospacing="0" w:after="0" w:afterAutospacing="0"/>
              <w:ind w:left="0" w:right="0"/>
              <w:jc w:val="center"/>
              <w:rPr>
                <w:rFonts w:hint="default" w:ascii="Times New Roman" w:hAnsi="Times New Roman"/>
                <w:color w:val="000000" w:themeColor="text1"/>
                <w:sz w:val="24"/>
                <w:szCs w:val="24"/>
                <w:highlight w:val="none"/>
                <w14:textFill>
                  <w14:solidFill>
                    <w14:schemeClr w14:val="tx1"/>
                  </w14:solidFill>
                </w14:textFill>
              </w:rPr>
            </w:pPr>
          </w:p>
        </w:tc>
      </w:tr>
      <w:tr w14:paraId="03ECAC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110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9691F4E">
            <w:pPr>
              <w:keepNext w:val="0"/>
              <w:keepLines w:val="0"/>
              <w:suppressLineNumbers w:val="0"/>
              <w:spacing w:before="0" w:beforeAutospacing="0" w:after="0" w:afterAutospacing="0"/>
              <w:ind w:left="0" w:right="0"/>
              <w:jc w:val="center"/>
              <w:rPr>
                <w:rFonts w:hint="default" w:ascii="Times New Roman" w:hAnsi="Times New Roman"/>
                <w:color w:val="000000" w:themeColor="text1"/>
                <w:sz w:val="24"/>
                <w:szCs w:val="24"/>
                <w:highlight w:val="none"/>
                <w14:textFill>
                  <w14:solidFill>
                    <w14:schemeClr w14:val="tx1"/>
                  </w14:solidFill>
                </w14:textFill>
              </w:rPr>
            </w:pPr>
            <w:r>
              <w:rPr>
                <w:rFonts w:hint="default" w:ascii="Times New Roman" w:hAnsi="Times New Roman"/>
                <w:color w:val="000000" w:themeColor="text1"/>
                <w:sz w:val="24"/>
                <w:szCs w:val="24"/>
                <w:highlight w:val="none"/>
                <w:lang w:bidi="ar"/>
                <w14:textFill>
                  <w14:solidFill>
                    <w14:schemeClr w14:val="tx1"/>
                  </w14:solidFill>
                </w14:textFill>
              </w:rPr>
              <w:t>2</w:t>
            </w:r>
          </w:p>
        </w:tc>
        <w:tc>
          <w:tcPr>
            <w:tcW w:w="213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A64120B">
            <w:pPr>
              <w:keepNext w:val="0"/>
              <w:keepLines w:val="0"/>
              <w:suppressLineNumbers w:val="0"/>
              <w:spacing w:before="0" w:beforeAutospacing="0" w:after="0" w:afterAutospacing="0"/>
              <w:ind w:left="0" w:right="0"/>
              <w:jc w:val="center"/>
              <w:rPr>
                <w:rFonts w:hint="default" w:ascii="Times New Roman" w:hAnsi="Times New Roman"/>
                <w:color w:val="000000" w:themeColor="text1"/>
                <w:sz w:val="24"/>
                <w:szCs w:val="24"/>
                <w:highlight w:val="none"/>
                <w14:textFill>
                  <w14:solidFill>
                    <w14:schemeClr w14:val="tx1"/>
                  </w14:solidFill>
                </w14:textFill>
              </w:rPr>
            </w:pPr>
          </w:p>
        </w:tc>
        <w:tc>
          <w:tcPr>
            <w:tcW w:w="184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B710FB5">
            <w:pPr>
              <w:keepNext w:val="0"/>
              <w:keepLines w:val="0"/>
              <w:suppressLineNumbers w:val="0"/>
              <w:spacing w:before="0" w:beforeAutospacing="0" w:after="0" w:afterAutospacing="0"/>
              <w:ind w:left="0" w:right="0"/>
              <w:jc w:val="center"/>
              <w:rPr>
                <w:rFonts w:hint="default" w:ascii="Times New Roman" w:hAnsi="Times New Roman"/>
                <w:color w:val="000000" w:themeColor="text1"/>
                <w:sz w:val="24"/>
                <w:szCs w:val="24"/>
                <w:highlight w:val="none"/>
                <w14:textFill>
                  <w14:solidFill>
                    <w14:schemeClr w14:val="tx1"/>
                  </w14:solidFill>
                </w14:textFill>
              </w:rPr>
            </w:pPr>
          </w:p>
        </w:tc>
        <w:tc>
          <w:tcPr>
            <w:tcW w:w="2814"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37E5EF6">
            <w:pPr>
              <w:keepNext w:val="0"/>
              <w:keepLines w:val="0"/>
              <w:suppressLineNumbers w:val="0"/>
              <w:spacing w:before="0" w:beforeAutospacing="0" w:after="0" w:afterAutospacing="0"/>
              <w:ind w:left="0" w:right="0"/>
              <w:jc w:val="center"/>
              <w:rPr>
                <w:rFonts w:hint="default" w:ascii="Times New Roman" w:hAnsi="Times New Roman"/>
                <w:color w:val="000000" w:themeColor="text1"/>
                <w:sz w:val="24"/>
                <w:szCs w:val="24"/>
                <w:highlight w:val="none"/>
                <w14:textFill>
                  <w14:solidFill>
                    <w14:schemeClr w14:val="tx1"/>
                  </w14:solidFill>
                </w14:textFill>
              </w:rPr>
            </w:pPr>
          </w:p>
        </w:tc>
        <w:tc>
          <w:tcPr>
            <w:tcW w:w="146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078F103">
            <w:pPr>
              <w:keepNext w:val="0"/>
              <w:keepLines w:val="0"/>
              <w:suppressLineNumbers w:val="0"/>
              <w:spacing w:before="0" w:beforeAutospacing="0" w:after="0" w:afterAutospacing="0"/>
              <w:ind w:left="0" w:right="0"/>
              <w:jc w:val="center"/>
              <w:rPr>
                <w:rFonts w:hint="default" w:ascii="Times New Roman" w:hAnsi="Times New Roman"/>
                <w:color w:val="000000" w:themeColor="text1"/>
                <w:sz w:val="24"/>
                <w:szCs w:val="24"/>
                <w:highlight w:val="none"/>
                <w14:textFill>
                  <w14:solidFill>
                    <w14:schemeClr w14:val="tx1"/>
                  </w14:solidFill>
                </w14:textFill>
              </w:rPr>
            </w:pPr>
          </w:p>
        </w:tc>
      </w:tr>
      <w:tr w14:paraId="4DEC03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110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CB5AC63">
            <w:pPr>
              <w:keepNext w:val="0"/>
              <w:keepLines w:val="0"/>
              <w:suppressLineNumbers w:val="0"/>
              <w:spacing w:before="0" w:beforeAutospacing="0" w:after="0" w:afterAutospacing="0"/>
              <w:ind w:left="0" w:right="0"/>
              <w:jc w:val="center"/>
              <w:rPr>
                <w:rFonts w:hint="default" w:ascii="Times New Roman" w:hAnsi="Times New Roman"/>
                <w:color w:val="000000" w:themeColor="text1"/>
                <w:sz w:val="24"/>
                <w:szCs w:val="24"/>
                <w:highlight w:val="none"/>
                <w14:textFill>
                  <w14:solidFill>
                    <w14:schemeClr w14:val="tx1"/>
                  </w14:solidFill>
                </w14:textFill>
              </w:rPr>
            </w:pPr>
            <w:r>
              <w:rPr>
                <w:rFonts w:hint="default" w:ascii="Times New Roman" w:hAnsi="Times New Roman"/>
                <w:color w:val="000000" w:themeColor="text1"/>
                <w:sz w:val="24"/>
                <w:szCs w:val="24"/>
                <w:highlight w:val="none"/>
                <w:lang w:bidi="ar"/>
                <w14:textFill>
                  <w14:solidFill>
                    <w14:schemeClr w14:val="tx1"/>
                  </w14:solidFill>
                </w14:textFill>
              </w:rPr>
              <w:t>3</w:t>
            </w:r>
          </w:p>
        </w:tc>
        <w:tc>
          <w:tcPr>
            <w:tcW w:w="213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DC437C5">
            <w:pPr>
              <w:keepNext w:val="0"/>
              <w:keepLines w:val="0"/>
              <w:suppressLineNumbers w:val="0"/>
              <w:spacing w:before="0" w:beforeAutospacing="0" w:after="0" w:afterAutospacing="0"/>
              <w:ind w:left="0" w:right="0"/>
              <w:jc w:val="center"/>
              <w:rPr>
                <w:rFonts w:hint="default" w:ascii="Times New Roman" w:hAnsi="Times New Roman"/>
                <w:color w:val="000000" w:themeColor="text1"/>
                <w:sz w:val="24"/>
                <w:szCs w:val="24"/>
                <w:highlight w:val="none"/>
                <w14:textFill>
                  <w14:solidFill>
                    <w14:schemeClr w14:val="tx1"/>
                  </w14:solidFill>
                </w14:textFill>
              </w:rPr>
            </w:pPr>
          </w:p>
        </w:tc>
        <w:tc>
          <w:tcPr>
            <w:tcW w:w="184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9D6E5DE">
            <w:pPr>
              <w:keepNext w:val="0"/>
              <w:keepLines w:val="0"/>
              <w:suppressLineNumbers w:val="0"/>
              <w:spacing w:before="0" w:beforeAutospacing="0" w:after="0" w:afterAutospacing="0"/>
              <w:ind w:left="0" w:right="0"/>
              <w:jc w:val="center"/>
              <w:rPr>
                <w:rFonts w:hint="default" w:ascii="Times New Roman" w:hAnsi="Times New Roman"/>
                <w:color w:val="000000" w:themeColor="text1"/>
                <w:sz w:val="24"/>
                <w:szCs w:val="24"/>
                <w:highlight w:val="none"/>
                <w14:textFill>
                  <w14:solidFill>
                    <w14:schemeClr w14:val="tx1"/>
                  </w14:solidFill>
                </w14:textFill>
              </w:rPr>
            </w:pPr>
          </w:p>
        </w:tc>
        <w:tc>
          <w:tcPr>
            <w:tcW w:w="2814"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7971EFE">
            <w:pPr>
              <w:keepNext w:val="0"/>
              <w:keepLines w:val="0"/>
              <w:suppressLineNumbers w:val="0"/>
              <w:spacing w:before="0" w:beforeAutospacing="0" w:after="0" w:afterAutospacing="0"/>
              <w:ind w:left="0" w:right="0"/>
              <w:jc w:val="center"/>
              <w:rPr>
                <w:rFonts w:hint="default" w:ascii="Times New Roman" w:hAnsi="Times New Roman"/>
                <w:color w:val="000000" w:themeColor="text1"/>
                <w:sz w:val="24"/>
                <w:szCs w:val="24"/>
                <w:highlight w:val="none"/>
                <w14:textFill>
                  <w14:solidFill>
                    <w14:schemeClr w14:val="tx1"/>
                  </w14:solidFill>
                </w14:textFill>
              </w:rPr>
            </w:pPr>
          </w:p>
        </w:tc>
        <w:tc>
          <w:tcPr>
            <w:tcW w:w="146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2E920CC">
            <w:pPr>
              <w:keepNext w:val="0"/>
              <w:keepLines w:val="0"/>
              <w:suppressLineNumbers w:val="0"/>
              <w:spacing w:before="0" w:beforeAutospacing="0" w:after="0" w:afterAutospacing="0"/>
              <w:ind w:left="0" w:right="0"/>
              <w:jc w:val="center"/>
              <w:rPr>
                <w:rFonts w:hint="default" w:ascii="Times New Roman" w:hAnsi="Times New Roman"/>
                <w:color w:val="000000" w:themeColor="text1"/>
                <w:sz w:val="24"/>
                <w:szCs w:val="24"/>
                <w:highlight w:val="none"/>
                <w14:textFill>
                  <w14:solidFill>
                    <w14:schemeClr w14:val="tx1"/>
                  </w14:solidFill>
                </w14:textFill>
              </w:rPr>
            </w:pPr>
          </w:p>
        </w:tc>
      </w:tr>
      <w:tr w14:paraId="4D5923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110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4C783BB">
            <w:pPr>
              <w:keepNext w:val="0"/>
              <w:keepLines w:val="0"/>
              <w:suppressLineNumbers w:val="0"/>
              <w:spacing w:before="0" w:beforeAutospacing="0" w:after="0" w:afterAutospacing="0"/>
              <w:ind w:left="0" w:right="0"/>
              <w:jc w:val="center"/>
              <w:rPr>
                <w:rFonts w:hint="default" w:ascii="Times New Roman" w:hAnsi="Times New Roman"/>
                <w:color w:val="000000" w:themeColor="text1"/>
                <w:sz w:val="24"/>
                <w:szCs w:val="24"/>
                <w:highlight w:val="none"/>
                <w14:textFill>
                  <w14:solidFill>
                    <w14:schemeClr w14:val="tx1"/>
                  </w14:solidFill>
                </w14:textFill>
              </w:rPr>
            </w:pPr>
            <w:r>
              <w:rPr>
                <w:rFonts w:hint="default" w:ascii="Times New Roman" w:hAnsi="Times New Roman"/>
                <w:color w:val="000000" w:themeColor="text1"/>
                <w:sz w:val="24"/>
                <w:szCs w:val="24"/>
                <w:highlight w:val="none"/>
                <w:lang w:bidi="ar"/>
                <w14:textFill>
                  <w14:solidFill>
                    <w14:schemeClr w14:val="tx1"/>
                  </w14:solidFill>
                </w14:textFill>
              </w:rPr>
              <w:t>……</w:t>
            </w:r>
          </w:p>
        </w:tc>
        <w:tc>
          <w:tcPr>
            <w:tcW w:w="213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3E01C40">
            <w:pPr>
              <w:keepNext w:val="0"/>
              <w:keepLines w:val="0"/>
              <w:suppressLineNumbers w:val="0"/>
              <w:spacing w:before="0" w:beforeAutospacing="0" w:after="0" w:afterAutospacing="0"/>
              <w:ind w:left="0" w:right="0"/>
              <w:jc w:val="center"/>
              <w:rPr>
                <w:rFonts w:hint="default" w:ascii="Times New Roman" w:hAnsi="Times New Roman"/>
                <w:color w:val="000000" w:themeColor="text1"/>
                <w:sz w:val="24"/>
                <w:szCs w:val="24"/>
                <w:highlight w:val="none"/>
                <w14:textFill>
                  <w14:solidFill>
                    <w14:schemeClr w14:val="tx1"/>
                  </w14:solidFill>
                </w14:textFill>
              </w:rPr>
            </w:pPr>
          </w:p>
        </w:tc>
        <w:tc>
          <w:tcPr>
            <w:tcW w:w="184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33A61C9">
            <w:pPr>
              <w:keepNext w:val="0"/>
              <w:keepLines w:val="0"/>
              <w:suppressLineNumbers w:val="0"/>
              <w:spacing w:before="0" w:beforeAutospacing="0" w:after="0" w:afterAutospacing="0"/>
              <w:ind w:left="0" w:right="0"/>
              <w:jc w:val="center"/>
              <w:rPr>
                <w:rFonts w:hint="default" w:ascii="Times New Roman" w:hAnsi="Times New Roman"/>
                <w:color w:val="000000" w:themeColor="text1"/>
                <w:sz w:val="24"/>
                <w:szCs w:val="24"/>
                <w:highlight w:val="none"/>
                <w14:textFill>
                  <w14:solidFill>
                    <w14:schemeClr w14:val="tx1"/>
                  </w14:solidFill>
                </w14:textFill>
              </w:rPr>
            </w:pPr>
          </w:p>
        </w:tc>
        <w:tc>
          <w:tcPr>
            <w:tcW w:w="2814"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6FB3C43">
            <w:pPr>
              <w:keepNext w:val="0"/>
              <w:keepLines w:val="0"/>
              <w:suppressLineNumbers w:val="0"/>
              <w:spacing w:before="0" w:beforeAutospacing="0" w:after="0" w:afterAutospacing="0"/>
              <w:ind w:left="0" w:right="0"/>
              <w:jc w:val="center"/>
              <w:rPr>
                <w:rFonts w:hint="default" w:ascii="Times New Roman" w:hAnsi="Times New Roman"/>
                <w:color w:val="000000" w:themeColor="text1"/>
                <w:sz w:val="24"/>
                <w:szCs w:val="24"/>
                <w:highlight w:val="none"/>
                <w14:textFill>
                  <w14:solidFill>
                    <w14:schemeClr w14:val="tx1"/>
                  </w14:solidFill>
                </w14:textFill>
              </w:rPr>
            </w:pPr>
          </w:p>
        </w:tc>
        <w:tc>
          <w:tcPr>
            <w:tcW w:w="146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6BF28A0">
            <w:pPr>
              <w:keepNext w:val="0"/>
              <w:keepLines w:val="0"/>
              <w:suppressLineNumbers w:val="0"/>
              <w:spacing w:before="0" w:beforeAutospacing="0" w:after="0" w:afterAutospacing="0"/>
              <w:ind w:left="0" w:right="0"/>
              <w:jc w:val="center"/>
              <w:rPr>
                <w:rFonts w:hint="default" w:ascii="Times New Roman" w:hAnsi="Times New Roman"/>
                <w:color w:val="000000" w:themeColor="text1"/>
                <w:sz w:val="24"/>
                <w:szCs w:val="24"/>
                <w:highlight w:val="none"/>
                <w14:textFill>
                  <w14:solidFill>
                    <w14:schemeClr w14:val="tx1"/>
                  </w14:solidFill>
                </w14:textFill>
              </w:rPr>
            </w:pPr>
          </w:p>
        </w:tc>
      </w:tr>
      <w:tr w14:paraId="5467B4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110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C780CAE">
            <w:pPr>
              <w:keepNext w:val="0"/>
              <w:keepLines w:val="0"/>
              <w:suppressLineNumbers w:val="0"/>
              <w:spacing w:before="0" w:beforeAutospacing="0" w:after="0" w:afterAutospacing="0"/>
              <w:ind w:left="0" w:right="0"/>
              <w:jc w:val="center"/>
              <w:rPr>
                <w:rFonts w:hint="default" w:ascii="Times New Roman" w:hAnsi="Times New Roman"/>
                <w:color w:val="000000" w:themeColor="text1"/>
                <w:sz w:val="24"/>
                <w:szCs w:val="24"/>
                <w:highlight w:val="none"/>
                <w14:textFill>
                  <w14:solidFill>
                    <w14:schemeClr w14:val="tx1"/>
                  </w14:solidFill>
                </w14:textFill>
              </w:rPr>
            </w:pPr>
          </w:p>
        </w:tc>
        <w:tc>
          <w:tcPr>
            <w:tcW w:w="213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B1E4A12">
            <w:pPr>
              <w:keepNext w:val="0"/>
              <w:keepLines w:val="0"/>
              <w:suppressLineNumbers w:val="0"/>
              <w:spacing w:before="0" w:beforeAutospacing="0" w:after="0" w:afterAutospacing="0"/>
              <w:ind w:left="0" w:right="0"/>
              <w:jc w:val="center"/>
              <w:rPr>
                <w:rFonts w:hint="default" w:ascii="Times New Roman" w:hAnsi="Times New Roman"/>
                <w:color w:val="000000" w:themeColor="text1"/>
                <w:sz w:val="24"/>
                <w:szCs w:val="24"/>
                <w:highlight w:val="none"/>
                <w14:textFill>
                  <w14:solidFill>
                    <w14:schemeClr w14:val="tx1"/>
                  </w14:solidFill>
                </w14:textFill>
              </w:rPr>
            </w:pPr>
          </w:p>
        </w:tc>
        <w:tc>
          <w:tcPr>
            <w:tcW w:w="184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6577919">
            <w:pPr>
              <w:keepNext w:val="0"/>
              <w:keepLines w:val="0"/>
              <w:suppressLineNumbers w:val="0"/>
              <w:spacing w:before="0" w:beforeAutospacing="0" w:after="0" w:afterAutospacing="0"/>
              <w:ind w:left="0" w:right="0"/>
              <w:jc w:val="center"/>
              <w:rPr>
                <w:rFonts w:hint="default" w:ascii="Times New Roman" w:hAnsi="Times New Roman"/>
                <w:color w:val="000000" w:themeColor="text1"/>
                <w:sz w:val="24"/>
                <w:szCs w:val="24"/>
                <w:highlight w:val="none"/>
                <w14:textFill>
                  <w14:solidFill>
                    <w14:schemeClr w14:val="tx1"/>
                  </w14:solidFill>
                </w14:textFill>
              </w:rPr>
            </w:pPr>
          </w:p>
        </w:tc>
        <w:tc>
          <w:tcPr>
            <w:tcW w:w="2814"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229ABBC">
            <w:pPr>
              <w:keepNext w:val="0"/>
              <w:keepLines w:val="0"/>
              <w:suppressLineNumbers w:val="0"/>
              <w:spacing w:before="0" w:beforeAutospacing="0" w:after="0" w:afterAutospacing="0"/>
              <w:ind w:left="0" w:right="0"/>
              <w:jc w:val="center"/>
              <w:rPr>
                <w:rFonts w:hint="default" w:ascii="Times New Roman" w:hAnsi="Times New Roman"/>
                <w:color w:val="000000" w:themeColor="text1"/>
                <w:sz w:val="24"/>
                <w:szCs w:val="24"/>
                <w:highlight w:val="none"/>
                <w14:textFill>
                  <w14:solidFill>
                    <w14:schemeClr w14:val="tx1"/>
                  </w14:solidFill>
                </w14:textFill>
              </w:rPr>
            </w:pPr>
          </w:p>
        </w:tc>
        <w:tc>
          <w:tcPr>
            <w:tcW w:w="146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0737FF1">
            <w:pPr>
              <w:keepNext w:val="0"/>
              <w:keepLines w:val="0"/>
              <w:suppressLineNumbers w:val="0"/>
              <w:spacing w:before="0" w:beforeAutospacing="0" w:after="0" w:afterAutospacing="0"/>
              <w:ind w:left="0" w:right="0"/>
              <w:jc w:val="center"/>
              <w:rPr>
                <w:rFonts w:hint="default" w:ascii="Times New Roman" w:hAnsi="Times New Roman"/>
                <w:color w:val="000000" w:themeColor="text1"/>
                <w:sz w:val="24"/>
                <w:szCs w:val="24"/>
                <w:highlight w:val="none"/>
                <w14:textFill>
                  <w14:solidFill>
                    <w14:schemeClr w14:val="tx1"/>
                  </w14:solidFill>
                </w14:textFill>
              </w:rPr>
            </w:pPr>
          </w:p>
        </w:tc>
      </w:tr>
      <w:tr w14:paraId="6B6AE5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110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B513A2C">
            <w:pPr>
              <w:keepNext w:val="0"/>
              <w:keepLines w:val="0"/>
              <w:suppressLineNumbers w:val="0"/>
              <w:spacing w:before="0" w:beforeAutospacing="0" w:after="0" w:afterAutospacing="0"/>
              <w:ind w:left="0" w:right="0"/>
              <w:jc w:val="center"/>
              <w:rPr>
                <w:rFonts w:hint="default" w:ascii="Times New Roman" w:hAnsi="Times New Roman"/>
                <w:color w:val="000000" w:themeColor="text1"/>
                <w:sz w:val="24"/>
                <w:szCs w:val="24"/>
                <w:highlight w:val="none"/>
                <w14:textFill>
                  <w14:solidFill>
                    <w14:schemeClr w14:val="tx1"/>
                  </w14:solidFill>
                </w14:textFill>
              </w:rPr>
            </w:pPr>
          </w:p>
        </w:tc>
        <w:tc>
          <w:tcPr>
            <w:tcW w:w="213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518A61C">
            <w:pPr>
              <w:keepNext w:val="0"/>
              <w:keepLines w:val="0"/>
              <w:suppressLineNumbers w:val="0"/>
              <w:spacing w:before="0" w:beforeAutospacing="0" w:after="0" w:afterAutospacing="0"/>
              <w:ind w:left="0" w:right="0"/>
              <w:jc w:val="center"/>
              <w:rPr>
                <w:rFonts w:hint="default" w:ascii="Times New Roman" w:hAnsi="Times New Roman"/>
                <w:color w:val="000000" w:themeColor="text1"/>
                <w:sz w:val="24"/>
                <w:szCs w:val="24"/>
                <w:highlight w:val="none"/>
                <w14:textFill>
                  <w14:solidFill>
                    <w14:schemeClr w14:val="tx1"/>
                  </w14:solidFill>
                </w14:textFill>
              </w:rPr>
            </w:pPr>
          </w:p>
        </w:tc>
        <w:tc>
          <w:tcPr>
            <w:tcW w:w="184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B909559">
            <w:pPr>
              <w:keepNext w:val="0"/>
              <w:keepLines w:val="0"/>
              <w:suppressLineNumbers w:val="0"/>
              <w:spacing w:before="0" w:beforeAutospacing="0" w:after="0" w:afterAutospacing="0"/>
              <w:ind w:left="0" w:right="0"/>
              <w:jc w:val="center"/>
              <w:rPr>
                <w:rFonts w:hint="default" w:ascii="Times New Roman" w:hAnsi="Times New Roman"/>
                <w:color w:val="000000" w:themeColor="text1"/>
                <w:sz w:val="24"/>
                <w:szCs w:val="24"/>
                <w:highlight w:val="none"/>
                <w14:textFill>
                  <w14:solidFill>
                    <w14:schemeClr w14:val="tx1"/>
                  </w14:solidFill>
                </w14:textFill>
              </w:rPr>
            </w:pPr>
          </w:p>
        </w:tc>
        <w:tc>
          <w:tcPr>
            <w:tcW w:w="2814"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CC8BA2B">
            <w:pPr>
              <w:keepNext w:val="0"/>
              <w:keepLines w:val="0"/>
              <w:suppressLineNumbers w:val="0"/>
              <w:spacing w:before="0" w:beforeAutospacing="0" w:after="0" w:afterAutospacing="0"/>
              <w:ind w:left="0" w:right="0"/>
              <w:jc w:val="center"/>
              <w:rPr>
                <w:rFonts w:hint="default" w:ascii="Times New Roman" w:hAnsi="Times New Roman"/>
                <w:color w:val="000000" w:themeColor="text1"/>
                <w:sz w:val="24"/>
                <w:szCs w:val="24"/>
                <w:highlight w:val="none"/>
                <w14:textFill>
                  <w14:solidFill>
                    <w14:schemeClr w14:val="tx1"/>
                  </w14:solidFill>
                </w14:textFill>
              </w:rPr>
            </w:pPr>
          </w:p>
        </w:tc>
        <w:tc>
          <w:tcPr>
            <w:tcW w:w="146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CDEB95C">
            <w:pPr>
              <w:keepNext w:val="0"/>
              <w:keepLines w:val="0"/>
              <w:suppressLineNumbers w:val="0"/>
              <w:spacing w:before="0" w:beforeAutospacing="0" w:after="0" w:afterAutospacing="0"/>
              <w:ind w:left="0" w:right="0"/>
              <w:jc w:val="center"/>
              <w:rPr>
                <w:rFonts w:hint="default" w:ascii="Times New Roman" w:hAnsi="Times New Roman"/>
                <w:color w:val="000000" w:themeColor="text1"/>
                <w:sz w:val="24"/>
                <w:szCs w:val="24"/>
                <w:highlight w:val="none"/>
                <w14:textFill>
                  <w14:solidFill>
                    <w14:schemeClr w14:val="tx1"/>
                  </w14:solidFill>
                </w14:textFill>
              </w:rPr>
            </w:pPr>
          </w:p>
        </w:tc>
      </w:tr>
    </w:tbl>
    <w:p w14:paraId="4FA34A9B">
      <w:pPr>
        <w:spacing w:line="440" w:lineRule="exact"/>
        <w:rPr>
          <w:rFonts w:hint="eastAsia" w:ascii="宋体" w:hAnsi="宋体" w:cs="宋体"/>
          <w:bCs/>
          <w:color w:val="000000" w:themeColor="text1"/>
          <w:sz w:val="24"/>
          <w:szCs w:val="20"/>
          <w:highlight w:val="none"/>
          <w:lang w:bidi="ar"/>
          <w14:textFill>
            <w14:solidFill>
              <w14:schemeClr w14:val="tx1"/>
            </w14:solidFill>
          </w14:textFill>
        </w:rPr>
      </w:pPr>
      <w:r>
        <w:rPr>
          <w:rFonts w:hint="eastAsia" w:ascii="宋体" w:hAnsi="宋体" w:cs="宋体"/>
          <w:bCs/>
          <w:color w:val="000000" w:themeColor="text1"/>
          <w:sz w:val="24"/>
          <w:szCs w:val="20"/>
          <w:highlight w:val="none"/>
          <w:lang w:bidi="ar"/>
          <w14:textFill>
            <w14:solidFill>
              <w14:schemeClr w14:val="tx1"/>
            </w14:solidFill>
          </w14:textFill>
        </w:rPr>
        <w:t>注：1、上述表格内容为投标人</w:t>
      </w:r>
      <w:r>
        <w:rPr>
          <w:rFonts w:hint="eastAsia" w:ascii="宋体" w:hAnsi="宋体" w:cs="宋体"/>
          <w:bCs/>
          <w:color w:val="000000" w:themeColor="text1"/>
          <w:sz w:val="24"/>
          <w:szCs w:val="20"/>
          <w:highlight w:val="none"/>
          <w:lang w:val="en-US" w:eastAsia="zh-CN" w:bidi="ar"/>
          <w14:textFill>
            <w14:solidFill>
              <w14:schemeClr w14:val="tx1"/>
            </w14:solidFill>
          </w14:textFill>
        </w:rPr>
        <w:t>2021</w:t>
      </w:r>
      <w:r>
        <w:rPr>
          <w:rFonts w:hint="eastAsia" w:ascii="宋体" w:hAnsi="宋体" w:cs="宋体"/>
          <w:bCs/>
          <w:color w:val="000000" w:themeColor="text1"/>
          <w:sz w:val="24"/>
          <w:szCs w:val="20"/>
          <w:highlight w:val="none"/>
          <w:lang w:bidi="ar"/>
          <w14:textFill>
            <w14:solidFill>
              <w14:schemeClr w14:val="tx1"/>
            </w14:solidFill>
          </w14:textFill>
        </w:rPr>
        <w:t>年1月1日（以合同签订时间为准）至今</w:t>
      </w:r>
      <w:r>
        <w:rPr>
          <w:rFonts w:hint="eastAsia" w:ascii="宋体" w:hAnsi="宋体" w:cs="宋体"/>
          <w:bCs/>
          <w:color w:val="000000" w:themeColor="text1"/>
          <w:sz w:val="24"/>
          <w:szCs w:val="20"/>
          <w:highlight w:val="none"/>
          <w:lang w:val="en-US" w:eastAsia="zh-CN" w:bidi="ar"/>
          <w14:textFill>
            <w14:solidFill>
              <w14:schemeClr w14:val="tx1"/>
            </w14:solidFill>
          </w14:textFill>
        </w:rPr>
        <w:t>具有的符合“第五章  评标方法与评标标准”的业绩</w:t>
      </w:r>
      <w:r>
        <w:rPr>
          <w:rFonts w:hint="eastAsia" w:ascii="宋体" w:hAnsi="宋体" w:cs="宋体"/>
          <w:bCs/>
          <w:color w:val="000000" w:themeColor="text1"/>
          <w:sz w:val="24"/>
          <w:szCs w:val="20"/>
          <w:highlight w:val="none"/>
          <w:lang w:bidi="ar"/>
          <w14:textFill>
            <w14:solidFill>
              <w14:schemeClr w14:val="tx1"/>
            </w14:solidFill>
          </w14:textFill>
        </w:rPr>
        <w:t>。</w:t>
      </w:r>
    </w:p>
    <w:p w14:paraId="22F5E0BF">
      <w:pPr>
        <w:spacing w:line="440" w:lineRule="exact"/>
        <w:ind w:firstLine="480"/>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0"/>
          <w:highlight w:val="none"/>
          <w:lang w:bidi="ar"/>
          <w14:textFill>
            <w14:solidFill>
              <w14:schemeClr w14:val="tx1"/>
            </w14:solidFill>
          </w14:textFill>
        </w:rPr>
        <w:t>2、请投标人提供上述表格中合同协议（包含项目内容、签字盖章页）</w:t>
      </w:r>
      <w:r>
        <w:rPr>
          <w:rFonts w:hint="eastAsia" w:ascii="宋体" w:hAnsi="宋体" w:cs="宋体"/>
          <w:color w:val="000000" w:themeColor="text1"/>
          <w:sz w:val="24"/>
          <w:szCs w:val="24"/>
          <w:highlight w:val="none"/>
          <w:lang w:bidi="ar"/>
          <w14:textFill>
            <w14:solidFill>
              <w14:schemeClr w14:val="tx1"/>
            </w14:solidFill>
          </w14:textFill>
        </w:rPr>
        <w:t>。</w:t>
      </w:r>
    </w:p>
    <w:p w14:paraId="375B5B1E">
      <w:pPr>
        <w:spacing w:line="440" w:lineRule="exact"/>
        <w:ind w:firstLine="480"/>
        <w:rPr>
          <w:rFonts w:ascii="宋体" w:hAnsi="宋体" w:cs="宋体"/>
          <w:bCs/>
          <w:color w:val="000000" w:themeColor="text1"/>
          <w:sz w:val="24"/>
          <w:szCs w:val="20"/>
          <w:highlight w:val="none"/>
          <w14:textFill>
            <w14:solidFill>
              <w14:schemeClr w14:val="tx1"/>
            </w14:solidFill>
          </w14:textFill>
        </w:rPr>
      </w:pPr>
      <w:r>
        <w:rPr>
          <w:rFonts w:hint="eastAsia" w:ascii="宋体" w:hAnsi="宋体" w:cs="宋体"/>
          <w:bCs/>
          <w:color w:val="000000" w:themeColor="text1"/>
          <w:sz w:val="24"/>
          <w:szCs w:val="20"/>
          <w:highlight w:val="none"/>
          <w:lang w:bidi="ar"/>
          <w14:textFill>
            <w14:solidFill>
              <w14:schemeClr w14:val="tx1"/>
            </w14:solidFill>
          </w14:textFill>
        </w:rPr>
        <w:t>3、如有需要说明的事项，请在备注中列明。</w:t>
      </w:r>
    </w:p>
    <w:p w14:paraId="261ECE08">
      <w:pPr>
        <w:spacing w:line="440" w:lineRule="exact"/>
        <w:ind w:firstLine="482"/>
        <w:jc w:val="center"/>
        <w:outlineLvl w:val="1"/>
        <w:rPr>
          <w:rFonts w:ascii="Times New Roman" w:hAnsi="Times New Roman"/>
          <w:b/>
          <w:bCs/>
          <w:color w:val="000000" w:themeColor="text1"/>
          <w:sz w:val="28"/>
          <w:szCs w:val="28"/>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br w:type="page" w:clear="all"/>
      </w:r>
      <w:bookmarkStart w:id="245" w:name="_Toc28152"/>
      <w:r>
        <w:rPr>
          <w:rFonts w:hint="eastAsia" w:ascii="Times New Roman" w:hAnsi="Times New Roman"/>
          <w:b/>
          <w:bCs/>
          <w:color w:val="000000" w:themeColor="text1"/>
          <w:sz w:val="28"/>
          <w:szCs w:val="28"/>
          <w:highlight w:val="none"/>
          <w14:textFill>
            <w14:solidFill>
              <w14:schemeClr w14:val="tx1"/>
            </w14:solidFill>
          </w14:textFill>
        </w:rPr>
        <w:t>附件</w:t>
      </w:r>
      <w:r>
        <w:rPr>
          <w:rFonts w:hint="eastAsia" w:ascii="Times New Roman" w:hAnsi="Times New Roman"/>
          <w:b/>
          <w:bCs/>
          <w:color w:val="000000" w:themeColor="text1"/>
          <w:sz w:val="28"/>
          <w:szCs w:val="28"/>
          <w:highlight w:val="none"/>
          <w:lang w:val="en-US" w:eastAsia="zh-CN"/>
          <w14:textFill>
            <w14:solidFill>
              <w14:schemeClr w14:val="tx1"/>
            </w14:solidFill>
          </w14:textFill>
        </w:rPr>
        <w:t>7</w:t>
      </w:r>
      <w:r>
        <w:rPr>
          <w:rFonts w:hint="eastAsia" w:ascii="Times New Roman" w:hAnsi="Times New Roman"/>
          <w:b/>
          <w:bCs/>
          <w:color w:val="000000" w:themeColor="text1"/>
          <w:sz w:val="28"/>
          <w:szCs w:val="28"/>
          <w:highlight w:val="none"/>
          <w14:textFill>
            <w14:solidFill>
              <w14:schemeClr w14:val="tx1"/>
            </w14:solidFill>
          </w14:textFill>
        </w:rPr>
        <w:t xml:space="preserve"> 商务要求响应及偏离表</w:t>
      </w:r>
      <w:bookmarkEnd w:id="245"/>
    </w:p>
    <w:tbl>
      <w:tblPr>
        <w:tblStyle w:val="39"/>
        <w:tblW w:w="947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844"/>
        <w:gridCol w:w="2349"/>
        <w:gridCol w:w="3286"/>
      </w:tblGrid>
      <w:tr w14:paraId="56AC20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3" w:hRule="atLeast"/>
          <w:jc w:val="center"/>
        </w:trPr>
        <w:tc>
          <w:tcPr>
            <w:tcW w:w="3844" w:type="dxa"/>
            <w:tcBorders>
              <w:top w:val="single" w:color="000000" w:sz="4" w:space="0"/>
              <w:left w:val="single" w:color="000000" w:sz="4" w:space="0"/>
              <w:bottom w:val="single" w:color="000000" w:sz="4" w:space="0"/>
              <w:right w:val="single" w:color="000000" w:sz="4" w:space="0"/>
            </w:tcBorders>
            <w:noWrap w:val="0"/>
            <w:vAlign w:val="center"/>
          </w:tcPr>
          <w:p w14:paraId="1F63D67C">
            <w:pPr>
              <w:keepNext w:val="0"/>
              <w:keepLines w:val="0"/>
              <w:suppressLineNumbers w:val="0"/>
              <w:spacing w:before="0" w:beforeAutospacing="0" w:after="0" w:afterAutospacing="0"/>
              <w:ind w:left="0" w:right="0"/>
              <w:jc w:val="center"/>
              <w:rPr>
                <w:rFonts w:hint="default"/>
                <w:color w:val="000000" w:themeColor="text1"/>
                <w:sz w:val="24"/>
                <w:szCs w:val="24"/>
                <w:highlight w:val="none"/>
                <w14:textFill>
                  <w14:solidFill>
                    <w14:schemeClr w14:val="tx1"/>
                  </w14:solidFill>
                </w14:textFill>
              </w:rPr>
            </w:pPr>
            <w:r>
              <w:rPr>
                <w:rFonts w:hint="default" w:ascii="宋体" w:hAnsi="宋体"/>
                <w:color w:val="000000" w:themeColor="text1"/>
                <w:sz w:val="24"/>
                <w:szCs w:val="24"/>
                <w:highlight w:val="none"/>
                <w14:textFill>
                  <w14:solidFill>
                    <w14:schemeClr w14:val="tx1"/>
                  </w14:solidFill>
                </w14:textFill>
              </w:rPr>
              <w:t>合同条款</w:t>
            </w:r>
          </w:p>
        </w:tc>
        <w:tc>
          <w:tcPr>
            <w:tcW w:w="2349" w:type="dxa"/>
            <w:tcBorders>
              <w:top w:val="single" w:color="000000" w:sz="4" w:space="0"/>
              <w:left w:val="single" w:color="000000" w:sz="4" w:space="0"/>
              <w:bottom w:val="single" w:color="000000" w:sz="4" w:space="0"/>
              <w:right w:val="single" w:color="000000" w:sz="4" w:space="0"/>
            </w:tcBorders>
            <w:noWrap w:val="0"/>
            <w:vAlign w:val="center"/>
          </w:tcPr>
          <w:p w14:paraId="48BA6C32">
            <w:pPr>
              <w:keepNext w:val="0"/>
              <w:keepLines w:val="0"/>
              <w:suppressLineNumbers w:val="0"/>
              <w:spacing w:before="0" w:beforeAutospacing="0" w:after="0" w:afterAutospacing="0"/>
              <w:ind w:left="0" w:right="0"/>
              <w:jc w:val="center"/>
              <w:rPr>
                <w:rFonts w:hint="default"/>
                <w:color w:val="000000" w:themeColor="text1"/>
                <w:sz w:val="24"/>
                <w:szCs w:val="24"/>
                <w:highlight w:val="none"/>
                <w14:textFill>
                  <w14:solidFill>
                    <w14:schemeClr w14:val="tx1"/>
                  </w14:solidFill>
                </w14:textFill>
              </w:rPr>
            </w:pPr>
            <w:r>
              <w:rPr>
                <w:rFonts w:hint="default" w:ascii="宋体" w:hAnsi="宋体"/>
                <w:color w:val="000000" w:themeColor="text1"/>
                <w:sz w:val="24"/>
                <w:szCs w:val="24"/>
                <w:highlight w:val="none"/>
                <w14:textFill>
                  <w14:solidFill>
                    <w14:schemeClr w14:val="tx1"/>
                  </w14:solidFill>
                </w14:textFill>
              </w:rPr>
              <w:t>有无偏离</w:t>
            </w:r>
          </w:p>
        </w:tc>
        <w:tc>
          <w:tcPr>
            <w:tcW w:w="3286" w:type="dxa"/>
            <w:tcBorders>
              <w:top w:val="single" w:color="000000" w:sz="4" w:space="0"/>
              <w:left w:val="single" w:color="000000" w:sz="4" w:space="0"/>
              <w:bottom w:val="single" w:color="000000" w:sz="4" w:space="0"/>
              <w:right w:val="single" w:color="000000" w:sz="4" w:space="0"/>
            </w:tcBorders>
            <w:noWrap w:val="0"/>
            <w:vAlign w:val="center"/>
          </w:tcPr>
          <w:p w14:paraId="7DD7DEB0">
            <w:pPr>
              <w:keepNext w:val="0"/>
              <w:keepLines w:val="0"/>
              <w:suppressLineNumbers w:val="0"/>
              <w:spacing w:before="0" w:beforeAutospacing="0" w:after="0" w:afterAutospacing="0"/>
              <w:ind w:left="0" w:right="0"/>
              <w:jc w:val="center"/>
              <w:rPr>
                <w:rFonts w:hint="default"/>
                <w:color w:val="000000" w:themeColor="text1"/>
                <w:sz w:val="24"/>
                <w:szCs w:val="24"/>
                <w:highlight w:val="none"/>
                <w14:textFill>
                  <w14:solidFill>
                    <w14:schemeClr w14:val="tx1"/>
                  </w14:solidFill>
                </w14:textFill>
              </w:rPr>
            </w:pPr>
            <w:r>
              <w:rPr>
                <w:rFonts w:hint="default" w:ascii="宋体" w:hAnsi="宋体"/>
                <w:color w:val="000000" w:themeColor="text1"/>
                <w:sz w:val="24"/>
                <w:szCs w:val="24"/>
                <w:highlight w:val="none"/>
                <w14:textFill>
                  <w14:solidFill>
                    <w14:schemeClr w14:val="tx1"/>
                  </w14:solidFill>
                </w14:textFill>
              </w:rPr>
              <w:t>偏离内容及原因</w:t>
            </w:r>
          </w:p>
        </w:tc>
      </w:tr>
      <w:tr w14:paraId="2493FB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2" w:hRule="atLeast"/>
          <w:jc w:val="center"/>
        </w:trPr>
        <w:tc>
          <w:tcPr>
            <w:tcW w:w="3844" w:type="dxa"/>
            <w:tcBorders>
              <w:top w:val="single" w:color="000000" w:sz="4" w:space="0"/>
              <w:left w:val="single" w:color="000000" w:sz="4" w:space="0"/>
              <w:bottom w:val="single" w:color="000000" w:sz="4" w:space="0"/>
              <w:right w:val="single" w:color="000000" w:sz="4" w:space="0"/>
            </w:tcBorders>
            <w:noWrap w:val="0"/>
            <w:vAlign w:val="center"/>
          </w:tcPr>
          <w:p w14:paraId="0B5BD1E9">
            <w:pPr>
              <w:keepNext w:val="0"/>
              <w:keepLines w:val="0"/>
              <w:suppressLineNumbers w:val="0"/>
              <w:spacing w:before="0" w:beforeAutospacing="0" w:after="0" w:afterAutospacing="0"/>
              <w:ind w:left="0" w:right="0"/>
              <w:rPr>
                <w:rFonts w:hint="default"/>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第三条</w:t>
            </w:r>
            <w:r>
              <w:rPr>
                <w:rFonts w:hint="eastAsia"/>
                <w:color w:val="000000" w:themeColor="text1"/>
                <w:sz w:val="24"/>
                <w:szCs w:val="24"/>
                <w:highlight w:val="non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合同内容</w:t>
            </w:r>
          </w:p>
        </w:tc>
        <w:tc>
          <w:tcPr>
            <w:tcW w:w="2349" w:type="dxa"/>
            <w:tcBorders>
              <w:top w:val="single" w:color="000000" w:sz="4" w:space="0"/>
              <w:left w:val="single" w:color="000000" w:sz="4" w:space="0"/>
              <w:bottom w:val="single" w:color="000000" w:sz="4" w:space="0"/>
              <w:right w:val="single" w:color="000000" w:sz="4" w:space="0"/>
            </w:tcBorders>
            <w:noWrap w:val="0"/>
            <w:vAlign w:val="center"/>
          </w:tcPr>
          <w:p w14:paraId="6A94C036">
            <w:pPr>
              <w:keepNext w:val="0"/>
              <w:keepLines w:val="0"/>
              <w:suppressLineNumbers w:val="0"/>
              <w:spacing w:before="0" w:beforeAutospacing="0" w:after="0" w:afterAutospacing="0"/>
              <w:ind w:left="0" w:right="0"/>
              <w:rPr>
                <w:rFonts w:hint="default"/>
                <w:color w:val="000000" w:themeColor="text1"/>
                <w:sz w:val="24"/>
                <w:szCs w:val="24"/>
                <w:highlight w:val="none"/>
                <w14:textFill>
                  <w14:solidFill>
                    <w14:schemeClr w14:val="tx1"/>
                  </w14:solidFill>
                </w14:textFill>
              </w:rPr>
            </w:pPr>
          </w:p>
        </w:tc>
        <w:tc>
          <w:tcPr>
            <w:tcW w:w="3286" w:type="dxa"/>
            <w:tcBorders>
              <w:top w:val="single" w:color="000000" w:sz="4" w:space="0"/>
              <w:left w:val="single" w:color="000000" w:sz="4" w:space="0"/>
              <w:bottom w:val="single" w:color="000000" w:sz="4" w:space="0"/>
              <w:right w:val="single" w:color="000000" w:sz="4" w:space="0"/>
            </w:tcBorders>
            <w:noWrap w:val="0"/>
            <w:vAlign w:val="center"/>
          </w:tcPr>
          <w:p w14:paraId="5EC01989">
            <w:pPr>
              <w:keepNext w:val="0"/>
              <w:keepLines w:val="0"/>
              <w:suppressLineNumbers w:val="0"/>
              <w:spacing w:before="0" w:beforeAutospacing="0" w:after="0" w:afterAutospacing="0"/>
              <w:ind w:left="0" w:right="0"/>
              <w:rPr>
                <w:rFonts w:hint="default"/>
                <w:color w:val="000000" w:themeColor="text1"/>
                <w:sz w:val="24"/>
                <w:szCs w:val="24"/>
                <w:highlight w:val="none"/>
                <w14:textFill>
                  <w14:solidFill>
                    <w14:schemeClr w14:val="tx1"/>
                  </w14:solidFill>
                </w14:textFill>
              </w:rPr>
            </w:pPr>
          </w:p>
        </w:tc>
      </w:tr>
      <w:tr w14:paraId="1DC934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2" w:hRule="atLeast"/>
          <w:jc w:val="center"/>
        </w:trPr>
        <w:tc>
          <w:tcPr>
            <w:tcW w:w="3844" w:type="dxa"/>
            <w:tcBorders>
              <w:top w:val="single" w:color="000000" w:sz="4" w:space="0"/>
              <w:left w:val="single" w:color="000000" w:sz="4" w:space="0"/>
              <w:bottom w:val="single" w:color="000000" w:sz="4" w:space="0"/>
              <w:right w:val="single" w:color="000000" w:sz="4" w:space="0"/>
            </w:tcBorders>
            <w:noWrap w:val="0"/>
            <w:vAlign w:val="center"/>
          </w:tcPr>
          <w:p w14:paraId="0FCAD432">
            <w:pPr>
              <w:keepNext w:val="0"/>
              <w:keepLines w:val="0"/>
              <w:suppressLineNumbers w:val="0"/>
              <w:spacing w:before="0" w:beforeAutospacing="0" w:after="0" w:afterAutospacing="0"/>
              <w:ind w:left="0" w:right="0"/>
              <w:rPr>
                <w:rFonts w:hint="default"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第六条 验收办法</w:t>
            </w:r>
          </w:p>
        </w:tc>
        <w:tc>
          <w:tcPr>
            <w:tcW w:w="2349" w:type="dxa"/>
            <w:tcBorders>
              <w:top w:val="single" w:color="000000" w:sz="4" w:space="0"/>
              <w:left w:val="single" w:color="000000" w:sz="4" w:space="0"/>
              <w:bottom w:val="single" w:color="000000" w:sz="4" w:space="0"/>
              <w:right w:val="single" w:color="000000" w:sz="4" w:space="0"/>
            </w:tcBorders>
            <w:noWrap w:val="0"/>
            <w:vAlign w:val="center"/>
          </w:tcPr>
          <w:p w14:paraId="558DC66F">
            <w:pPr>
              <w:keepNext w:val="0"/>
              <w:keepLines w:val="0"/>
              <w:suppressLineNumbers w:val="0"/>
              <w:spacing w:before="0" w:beforeAutospacing="0" w:after="0" w:afterAutospacing="0"/>
              <w:ind w:left="0" w:right="0"/>
              <w:rPr>
                <w:rFonts w:hint="default"/>
                <w:color w:val="000000" w:themeColor="text1"/>
                <w:sz w:val="24"/>
                <w:szCs w:val="24"/>
                <w:highlight w:val="none"/>
                <w14:textFill>
                  <w14:solidFill>
                    <w14:schemeClr w14:val="tx1"/>
                  </w14:solidFill>
                </w14:textFill>
              </w:rPr>
            </w:pPr>
          </w:p>
        </w:tc>
        <w:tc>
          <w:tcPr>
            <w:tcW w:w="3286" w:type="dxa"/>
            <w:tcBorders>
              <w:top w:val="single" w:color="000000" w:sz="4" w:space="0"/>
              <w:left w:val="single" w:color="000000" w:sz="4" w:space="0"/>
              <w:bottom w:val="single" w:color="000000" w:sz="4" w:space="0"/>
              <w:right w:val="single" w:color="000000" w:sz="4" w:space="0"/>
            </w:tcBorders>
            <w:noWrap w:val="0"/>
            <w:vAlign w:val="center"/>
          </w:tcPr>
          <w:p w14:paraId="711AB919">
            <w:pPr>
              <w:keepNext w:val="0"/>
              <w:keepLines w:val="0"/>
              <w:suppressLineNumbers w:val="0"/>
              <w:spacing w:before="0" w:beforeAutospacing="0" w:after="0" w:afterAutospacing="0"/>
              <w:ind w:left="0" w:right="0"/>
              <w:rPr>
                <w:rFonts w:hint="default"/>
                <w:color w:val="000000" w:themeColor="text1"/>
                <w:sz w:val="24"/>
                <w:szCs w:val="24"/>
                <w:highlight w:val="none"/>
                <w14:textFill>
                  <w14:solidFill>
                    <w14:schemeClr w14:val="tx1"/>
                  </w14:solidFill>
                </w14:textFill>
              </w:rPr>
            </w:pPr>
          </w:p>
        </w:tc>
      </w:tr>
      <w:tr w14:paraId="220B45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2" w:hRule="atLeast"/>
          <w:jc w:val="center"/>
        </w:trPr>
        <w:tc>
          <w:tcPr>
            <w:tcW w:w="3844" w:type="dxa"/>
            <w:tcBorders>
              <w:top w:val="single" w:color="000000" w:sz="4" w:space="0"/>
              <w:left w:val="single" w:color="000000" w:sz="4" w:space="0"/>
              <w:bottom w:val="single" w:color="000000" w:sz="4" w:space="0"/>
              <w:right w:val="single" w:color="000000" w:sz="4" w:space="0"/>
            </w:tcBorders>
            <w:noWrap w:val="0"/>
            <w:vAlign w:val="center"/>
          </w:tcPr>
          <w:p w14:paraId="53BB7E17">
            <w:pPr>
              <w:keepNext w:val="0"/>
              <w:keepLines w:val="0"/>
              <w:suppressLineNumbers w:val="0"/>
              <w:spacing w:before="0" w:beforeAutospacing="0" w:after="0" w:afterAutospacing="0"/>
              <w:ind w:left="0" w:right="0"/>
              <w:rPr>
                <w:rFonts w:hint="default"/>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第七条</w:t>
            </w:r>
            <w:r>
              <w:rPr>
                <w:rFonts w:hint="eastAsia"/>
                <w:color w:val="000000" w:themeColor="text1"/>
                <w:sz w:val="24"/>
                <w:szCs w:val="24"/>
                <w:highlight w:val="non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双方的其他权利义务</w:t>
            </w:r>
          </w:p>
        </w:tc>
        <w:tc>
          <w:tcPr>
            <w:tcW w:w="2349" w:type="dxa"/>
            <w:tcBorders>
              <w:top w:val="single" w:color="000000" w:sz="4" w:space="0"/>
              <w:left w:val="single" w:color="000000" w:sz="4" w:space="0"/>
              <w:bottom w:val="single" w:color="000000" w:sz="4" w:space="0"/>
              <w:right w:val="single" w:color="000000" w:sz="4" w:space="0"/>
            </w:tcBorders>
            <w:noWrap w:val="0"/>
            <w:vAlign w:val="center"/>
          </w:tcPr>
          <w:p w14:paraId="18890A6D">
            <w:pPr>
              <w:keepNext w:val="0"/>
              <w:keepLines w:val="0"/>
              <w:suppressLineNumbers w:val="0"/>
              <w:spacing w:before="0" w:beforeAutospacing="0" w:after="0" w:afterAutospacing="0"/>
              <w:ind w:left="0" w:right="0"/>
              <w:rPr>
                <w:rFonts w:hint="default"/>
                <w:color w:val="000000" w:themeColor="text1"/>
                <w:sz w:val="24"/>
                <w:szCs w:val="24"/>
                <w:highlight w:val="none"/>
                <w14:textFill>
                  <w14:solidFill>
                    <w14:schemeClr w14:val="tx1"/>
                  </w14:solidFill>
                </w14:textFill>
              </w:rPr>
            </w:pPr>
          </w:p>
        </w:tc>
        <w:tc>
          <w:tcPr>
            <w:tcW w:w="3286" w:type="dxa"/>
            <w:tcBorders>
              <w:top w:val="single" w:color="000000" w:sz="4" w:space="0"/>
              <w:left w:val="single" w:color="000000" w:sz="4" w:space="0"/>
              <w:bottom w:val="single" w:color="000000" w:sz="4" w:space="0"/>
              <w:right w:val="single" w:color="000000" w:sz="4" w:space="0"/>
            </w:tcBorders>
            <w:noWrap w:val="0"/>
            <w:vAlign w:val="center"/>
          </w:tcPr>
          <w:p w14:paraId="74334BC2">
            <w:pPr>
              <w:keepNext w:val="0"/>
              <w:keepLines w:val="0"/>
              <w:suppressLineNumbers w:val="0"/>
              <w:spacing w:before="0" w:beforeAutospacing="0" w:after="0" w:afterAutospacing="0"/>
              <w:ind w:left="0" w:right="0"/>
              <w:rPr>
                <w:rFonts w:hint="default"/>
                <w:color w:val="000000" w:themeColor="text1"/>
                <w:sz w:val="24"/>
                <w:szCs w:val="24"/>
                <w:highlight w:val="none"/>
                <w14:textFill>
                  <w14:solidFill>
                    <w14:schemeClr w14:val="tx1"/>
                  </w14:solidFill>
                </w14:textFill>
              </w:rPr>
            </w:pPr>
          </w:p>
        </w:tc>
      </w:tr>
      <w:tr w14:paraId="445BDF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2" w:hRule="atLeast"/>
          <w:jc w:val="center"/>
        </w:trPr>
        <w:tc>
          <w:tcPr>
            <w:tcW w:w="3844" w:type="dxa"/>
            <w:tcBorders>
              <w:top w:val="single" w:color="000000" w:sz="4" w:space="0"/>
              <w:left w:val="single" w:color="000000" w:sz="4" w:space="0"/>
              <w:bottom w:val="single" w:color="000000" w:sz="4" w:space="0"/>
              <w:right w:val="single" w:color="000000" w:sz="4" w:space="0"/>
            </w:tcBorders>
            <w:noWrap w:val="0"/>
            <w:vAlign w:val="center"/>
          </w:tcPr>
          <w:p w14:paraId="78EF7CCD">
            <w:pPr>
              <w:keepNext w:val="0"/>
              <w:keepLines w:val="0"/>
              <w:suppressLineNumbers w:val="0"/>
              <w:spacing w:before="0" w:beforeAutospacing="0" w:after="0" w:afterAutospacing="0"/>
              <w:ind w:left="0" w:right="0"/>
              <w:rPr>
                <w:rFonts w:hint="default"/>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第八条</w:t>
            </w:r>
            <w:r>
              <w:rPr>
                <w:rFonts w:hint="eastAsia"/>
                <w:color w:val="000000" w:themeColor="text1"/>
                <w:sz w:val="24"/>
                <w:szCs w:val="24"/>
                <w:highlight w:val="non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质量保证</w:t>
            </w:r>
          </w:p>
        </w:tc>
        <w:tc>
          <w:tcPr>
            <w:tcW w:w="2349" w:type="dxa"/>
            <w:tcBorders>
              <w:top w:val="single" w:color="000000" w:sz="4" w:space="0"/>
              <w:left w:val="single" w:color="000000" w:sz="4" w:space="0"/>
              <w:bottom w:val="single" w:color="000000" w:sz="4" w:space="0"/>
              <w:right w:val="single" w:color="000000" w:sz="4" w:space="0"/>
            </w:tcBorders>
            <w:noWrap w:val="0"/>
            <w:vAlign w:val="center"/>
          </w:tcPr>
          <w:p w14:paraId="5D34AE0B">
            <w:pPr>
              <w:keepNext w:val="0"/>
              <w:keepLines w:val="0"/>
              <w:suppressLineNumbers w:val="0"/>
              <w:spacing w:before="0" w:beforeAutospacing="0" w:after="0" w:afterAutospacing="0"/>
              <w:ind w:left="0" w:right="0"/>
              <w:rPr>
                <w:rFonts w:hint="default"/>
                <w:color w:val="000000" w:themeColor="text1"/>
                <w:sz w:val="24"/>
                <w:szCs w:val="24"/>
                <w:highlight w:val="none"/>
                <w14:textFill>
                  <w14:solidFill>
                    <w14:schemeClr w14:val="tx1"/>
                  </w14:solidFill>
                </w14:textFill>
              </w:rPr>
            </w:pPr>
          </w:p>
        </w:tc>
        <w:tc>
          <w:tcPr>
            <w:tcW w:w="3286" w:type="dxa"/>
            <w:tcBorders>
              <w:top w:val="single" w:color="000000" w:sz="4" w:space="0"/>
              <w:left w:val="single" w:color="000000" w:sz="4" w:space="0"/>
              <w:bottom w:val="single" w:color="000000" w:sz="4" w:space="0"/>
              <w:right w:val="single" w:color="000000" w:sz="4" w:space="0"/>
            </w:tcBorders>
            <w:noWrap w:val="0"/>
            <w:vAlign w:val="center"/>
          </w:tcPr>
          <w:p w14:paraId="3D146FA7">
            <w:pPr>
              <w:keepNext w:val="0"/>
              <w:keepLines w:val="0"/>
              <w:suppressLineNumbers w:val="0"/>
              <w:spacing w:before="0" w:beforeAutospacing="0" w:after="0" w:afterAutospacing="0"/>
              <w:ind w:left="0" w:right="0"/>
              <w:rPr>
                <w:rFonts w:hint="default"/>
                <w:color w:val="000000" w:themeColor="text1"/>
                <w:sz w:val="24"/>
                <w:szCs w:val="24"/>
                <w:highlight w:val="none"/>
                <w14:textFill>
                  <w14:solidFill>
                    <w14:schemeClr w14:val="tx1"/>
                  </w14:solidFill>
                </w14:textFill>
              </w:rPr>
            </w:pPr>
          </w:p>
        </w:tc>
      </w:tr>
      <w:tr w14:paraId="2FBEC1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2" w:hRule="atLeast"/>
          <w:jc w:val="center"/>
        </w:trPr>
        <w:tc>
          <w:tcPr>
            <w:tcW w:w="3844" w:type="dxa"/>
            <w:tcBorders>
              <w:top w:val="single" w:color="000000" w:sz="4" w:space="0"/>
              <w:left w:val="single" w:color="000000" w:sz="4" w:space="0"/>
              <w:bottom w:val="single" w:color="000000" w:sz="4" w:space="0"/>
              <w:right w:val="single" w:color="000000" w:sz="4" w:space="0"/>
            </w:tcBorders>
            <w:noWrap w:val="0"/>
            <w:vAlign w:val="center"/>
          </w:tcPr>
          <w:p w14:paraId="28D0F346">
            <w:pPr>
              <w:keepNext w:val="0"/>
              <w:keepLines w:val="0"/>
              <w:suppressLineNumbers w:val="0"/>
              <w:spacing w:before="0" w:beforeAutospacing="0" w:after="0" w:afterAutospacing="0"/>
              <w:ind w:left="0" w:right="0"/>
              <w:rPr>
                <w:rFonts w:hint="default"/>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第九条</w:t>
            </w:r>
            <w:r>
              <w:rPr>
                <w:rFonts w:hint="eastAsia"/>
                <w:color w:val="000000" w:themeColor="text1"/>
                <w:sz w:val="24"/>
                <w:szCs w:val="24"/>
                <w:highlight w:val="non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违约责任</w:t>
            </w:r>
          </w:p>
        </w:tc>
        <w:tc>
          <w:tcPr>
            <w:tcW w:w="2349" w:type="dxa"/>
            <w:tcBorders>
              <w:top w:val="single" w:color="000000" w:sz="4" w:space="0"/>
              <w:left w:val="single" w:color="000000" w:sz="4" w:space="0"/>
              <w:bottom w:val="single" w:color="000000" w:sz="4" w:space="0"/>
              <w:right w:val="single" w:color="000000" w:sz="4" w:space="0"/>
            </w:tcBorders>
            <w:noWrap w:val="0"/>
            <w:vAlign w:val="center"/>
          </w:tcPr>
          <w:p w14:paraId="13D95689">
            <w:pPr>
              <w:keepNext w:val="0"/>
              <w:keepLines w:val="0"/>
              <w:suppressLineNumbers w:val="0"/>
              <w:spacing w:before="0" w:beforeAutospacing="0" w:after="0" w:afterAutospacing="0"/>
              <w:ind w:left="0" w:right="0"/>
              <w:rPr>
                <w:rFonts w:hint="default"/>
                <w:color w:val="000000" w:themeColor="text1"/>
                <w:sz w:val="24"/>
                <w:szCs w:val="24"/>
                <w:highlight w:val="none"/>
                <w14:textFill>
                  <w14:solidFill>
                    <w14:schemeClr w14:val="tx1"/>
                  </w14:solidFill>
                </w14:textFill>
              </w:rPr>
            </w:pPr>
          </w:p>
        </w:tc>
        <w:tc>
          <w:tcPr>
            <w:tcW w:w="3286" w:type="dxa"/>
            <w:tcBorders>
              <w:top w:val="single" w:color="000000" w:sz="4" w:space="0"/>
              <w:left w:val="single" w:color="000000" w:sz="4" w:space="0"/>
              <w:bottom w:val="single" w:color="000000" w:sz="4" w:space="0"/>
              <w:right w:val="single" w:color="000000" w:sz="4" w:space="0"/>
            </w:tcBorders>
            <w:noWrap w:val="0"/>
            <w:vAlign w:val="center"/>
          </w:tcPr>
          <w:p w14:paraId="0A32B191">
            <w:pPr>
              <w:keepNext w:val="0"/>
              <w:keepLines w:val="0"/>
              <w:suppressLineNumbers w:val="0"/>
              <w:spacing w:before="0" w:beforeAutospacing="0" w:after="0" w:afterAutospacing="0"/>
              <w:ind w:left="0" w:right="0"/>
              <w:rPr>
                <w:rFonts w:hint="default"/>
                <w:color w:val="000000" w:themeColor="text1"/>
                <w:sz w:val="24"/>
                <w:szCs w:val="24"/>
                <w:highlight w:val="none"/>
                <w14:textFill>
                  <w14:solidFill>
                    <w14:schemeClr w14:val="tx1"/>
                  </w14:solidFill>
                </w14:textFill>
              </w:rPr>
            </w:pPr>
          </w:p>
        </w:tc>
      </w:tr>
      <w:tr w14:paraId="5A681A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2" w:hRule="atLeast"/>
          <w:jc w:val="center"/>
        </w:trPr>
        <w:tc>
          <w:tcPr>
            <w:tcW w:w="3844" w:type="dxa"/>
            <w:tcBorders>
              <w:top w:val="single" w:color="000000" w:sz="4" w:space="0"/>
              <w:left w:val="single" w:color="000000" w:sz="4" w:space="0"/>
              <w:bottom w:val="single" w:color="000000" w:sz="4" w:space="0"/>
              <w:right w:val="single" w:color="000000" w:sz="4" w:space="0"/>
            </w:tcBorders>
            <w:noWrap w:val="0"/>
            <w:vAlign w:val="center"/>
          </w:tcPr>
          <w:p w14:paraId="229BB6E8">
            <w:pPr>
              <w:keepNext w:val="0"/>
              <w:keepLines w:val="0"/>
              <w:suppressLineNumbers w:val="0"/>
              <w:spacing w:before="0" w:beforeAutospacing="0" w:after="0" w:afterAutospacing="0"/>
              <w:ind w:left="0" w:right="0"/>
              <w:rPr>
                <w:rFonts w:hint="default"/>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第十条</w:t>
            </w:r>
            <w:r>
              <w:rPr>
                <w:rFonts w:hint="eastAsia"/>
                <w:color w:val="000000" w:themeColor="text1"/>
                <w:sz w:val="24"/>
                <w:szCs w:val="24"/>
                <w:highlight w:val="non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合同的解除</w:t>
            </w:r>
          </w:p>
        </w:tc>
        <w:tc>
          <w:tcPr>
            <w:tcW w:w="2349" w:type="dxa"/>
            <w:tcBorders>
              <w:top w:val="single" w:color="000000" w:sz="4" w:space="0"/>
              <w:left w:val="single" w:color="000000" w:sz="4" w:space="0"/>
              <w:bottom w:val="single" w:color="000000" w:sz="4" w:space="0"/>
              <w:right w:val="single" w:color="000000" w:sz="4" w:space="0"/>
            </w:tcBorders>
            <w:noWrap w:val="0"/>
            <w:vAlign w:val="center"/>
          </w:tcPr>
          <w:p w14:paraId="64CFC010">
            <w:pPr>
              <w:keepNext w:val="0"/>
              <w:keepLines w:val="0"/>
              <w:suppressLineNumbers w:val="0"/>
              <w:spacing w:before="0" w:beforeAutospacing="0" w:after="0" w:afterAutospacing="0"/>
              <w:ind w:left="0" w:right="0"/>
              <w:rPr>
                <w:rFonts w:hint="default"/>
                <w:color w:val="000000" w:themeColor="text1"/>
                <w:sz w:val="24"/>
                <w:szCs w:val="24"/>
                <w:highlight w:val="none"/>
                <w14:textFill>
                  <w14:solidFill>
                    <w14:schemeClr w14:val="tx1"/>
                  </w14:solidFill>
                </w14:textFill>
              </w:rPr>
            </w:pPr>
          </w:p>
        </w:tc>
        <w:tc>
          <w:tcPr>
            <w:tcW w:w="3286" w:type="dxa"/>
            <w:tcBorders>
              <w:top w:val="single" w:color="000000" w:sz="4" w:space="0"/>
              <w:left w:val="single" w:color="000000" w:sz="4" w:space="0"/>
              <w:bottom w:val="single" w:color="000000" w:sz="4" w:space="0"/>
              <w:right w:val="single" w:color="000000" w:sz="4" w:space="0"/>
            </w:tcBorders>
            <w:noWrap w:val="0"/>
            <w:vAlign w:val="center"/>
          </w:tcPr>
          <w:p w14:paraId="4FAF1BF4">
            <w:pPr>
              <w:keepNext w:val="0"/>
              <w:keepLines w:val="0"/>
              <w:suppressLineNumbers w:val="0"/>
              <w:spacing w:before="0" w:beforeAutospacing="0" w:after="0" w:afterAutospacing="0"/>
              <w:ind w:left="0" w:right="0"/>
              <w:rPr>
                <w:rFonts w:hint="default"/>
                <w:color w:val="000000" w:themeColor="text1"/>
                <w:sz w:val="24"/>
                <w:szCs w:val="24"/>
                <w:highlight w:val="none"/>
                <w14:textFill>
                  <w14:solidFill>
                    <w14:schemeClr w14:val="tx1"/>
                  </w14:solidFill>
                </w14:textFill>
              </w:rPr>
            </w:pPr>
          </w:p>
        </w:tc>
      </w:tr>
      <w:tr w14:paraId="470A8B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2" w:hRule="atLeast"/>
          <w:jc w:val="center"/>
        </w:trPr>
        <w:tc>
          <w:tcPr>
            <w:tcW w:w="3844" w:type="dxa"/>
            <w:tcBorders>
              <w:top w:val="single" w:color="000000" w:sz="4" w:space="0"/>
              <w:left w:val="single" w:color="000000" w:sz="4" w:space="0"/>
              <w:bottom w:val="single" w:color="000000" w:sz="4" w:space="0"/>
              <w:right w:val="single" w:color="000000" w:sz="4" w:space="0"/>
            </w:tcBorders>
            <w:noWrap w:val="0"/>
            <w:vAlign w:val="center"/>
          </w:tcPr>
          <w:p w14:paraId="4F2B3FD0">
            <w:pPr>
              <w:keepNext w:val="0"/>
              <w:keepLines w:val="0"/>
              <w:suppressLineNumbers w:val="0"/>
              <w:spacing w:before="0" w:beforeAutospacing="0" w:after="0" w:afterAutospacing="0"/>
              <w:ind w:left="0" w:right="0"/>
              <w:rPr>
                <w:rFonts w:hint="default"/>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第十一条</w:t>
            </w:r>
            <w:r>
              <w:rPr>
                <w:rFonts w:hint="eastAsia"/>
                <w:color w:val="000000" w:themeColor="text1"/>
                <w:sz w:val="24"/>
                <w:szCs w:val="24"/>
                <w:highlight w:val="non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不可抗力</w:t>
            </w:r>
          </w:p>
        </w:tc>
        <w:tc>
          <w:tcPr>
            <w:tcW w:w="2349" w:type="dxa"/>
            <w:tcBorders>
              <w:top w:val="single" w:color="000000" w:sz="4" w:space="0"/>
              <w:left w:val="single" w:color="000000" w:sz="4" w:space="0"/>
              <w:bottom w:val="single" w:color="000000" w:sz="4" w:space="0"/>
              <w:right w:val="single" w:color="000000" w:sz="4" w:space="0"/>
            </w:tcBorders>
            <w:noWrap w:val="0"/>
            <w:vAlign w:val="center"/>
          </w:tcPr>
          <w:p w14:paraId="02EC9C34">
            <w:pPr>
              <w:keepNext w:val="0"/>
              <w:keepLines w:val="0"/>
              <w:suppressLineNumbers w:val="0"/>
              <w:spacing w:before="0" w:beforeAutospacing="0" w:after="0" w:afterAutospacing="0"/>
              <w:ind w:left="0" w:right="0"/>
              <w:rPr>
                <w:rFonts w:hint="default"/>
                <w:color w:val="000000" w:themeColor="text1"/>
                <w:sz w:val="24"/>
                <w:szCs w:val="24"/>
                <w:highlight w:val="none"/>
                <w14:textFill>
                  <w14:solidFill>
                    <w14:schemeClr w14:val="tx1"/>
                  </w14:solidFill>
                </w14:textFill>
              </w:rPr>
            </w:pPr>
          </w:p>
        </w:tc>
        <w:tc>
          <w:tcPr>
            <w:tcW w:w="3286" w:type="dxa"/>
            <w:tcBorders>
              <w:top w:val="single" w:color="000000" w:sz="4" w:space="0"/>
              <w:left w:val="single" w:color="000000" w:sz="4" w:space="0"/>
              <w:bottom w:val="single" w:color="000000" w:sz="4" w:space="0"/>
              <w:right w:val="single" w:color="000000" w:sz="4" w:space="0"/>
            </w:tcBorders>
            <w:noWrap w:val="0"/>
            <w:vAlign w:val="center"/>
          </w:tcPr>
          <w:p w14:paraId="1179FE45">
            <w:pPr>
              <w:keepNext w:val="0"/>
              <w:keepLines w:val="0"/>
              <w:suppressLineNumbers w:val="0"/>
              <w:spacing w:before="0" w:beforeAutospacing="0" w:after="0" w:afterAutospacing="0"/>
              <w:ind w:left="0" w:right="0"/>
              <w:rPr>
                <w:rFonts w:hint="default"/>
                <w:color w:val="000000" w:themeColor="text1"/>
                <w:sz w:val="24"/>
                <w:szCs w:val="24"/>
                <w:highlight w:val="none"/>
                <w14:textFill>
                  <w14:solidFill>
                    <w14:schemeClr w14:val="tx1"/>
                  </w14:solidFill>
                </w14:textFill>
              </w:rPr>
            </w:pPr>
          </w:p>
        </w:tc>
      </w:tr>
      <w:tr w14:paraId="1EAA93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2" w:hRule="atLeast"/>
          <w:jc w:val="center"/>
        </w:trPr>
        <w:tc>
          <w:tcPr>
            <w:tcW w:w="3844" w:type="dxa"/>
            <w:tcBorders>
              <w:top w:val="single" w:color="000000" w:sz="4" w:space="0"/>
              <w:left w:val="single" w:color="000000" w:sz="4" w:space="0"/>
              <w:bottom w:val="single" w:color="000000" w:sz="4" w:space="0"/>
              <w:right w:val="single" w:color="000000" w:sz="4" w:space="0"/>
            </w:tcBorders>
            <w:noWrap w:val="0"/>
            <w:vAlign w:val="center"/>
          </w:tcPr>
          <w:p w14:paraId="37F4907E">
            <w:pPr>
              <w:keepNext w:val="0"/>
              <w:keepLines w:val="0"/>
              <w:suppressLineNumbers w:val="0"/>
              <w:spacing w:before="0" w:beforeAutospacing="0" w:after="0" w:afterAutospacing="0"/>
              <w:ind w:left="0" w:right="0"/>
              <w:rPr>
                <w:rFonts w:hint="default"/>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第十二条</w:t>
            </w:r>
            <w:r>
              <w:rPr>
                <w:rFonts w:hint="eastAsia"/>
                <w:color w:val="000000" w:themeColor="text1"/>
                <w:sz w:val="24"/>
                <w:szCs w:val="24"/>
                <w:highlight w:val="non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合同的变更、中止</w:t>
            </w:r>
          </w:p>
        </w:tc>
        <w:tc>
          <w:tcPr>
            <w:tcW w:w="2349" w:type="dxa"/>
            <w:tcBorders>
              <w:top w:val="single" w:color="000000" w:sz="4" w:space="0"/>
              <w:left w:val="single" w:color="000000" w:sz="4" w:space="0"/>
              <w:bottom w:val="single" w:color="000000" w:sz="4" w:space="0"/>
              <w:right w:val="single" w:color="000000" w:sz="4" w:space="0"/>
            </w:tcBorders>
            <w:noWrap w:val="0"/>
            <w:vAlign w:val="center"/>
          </w:tcPr>
          <w:p w14:paraId="135A11C9">
            <w:pPr>
              <w:keepNext w:val="0"/>
              <w:keepLines w:val="0"/>
              <w:suppressLineNumbers w:val="0"/>
              <w:spacing w:before="0" w:beforeAutospacing="0" w:after="0" w:afterAutospacing="0"/>
              <w:ind w:left="0" w:right="0"/>
              <w:rPr>
                <w:rFonts w:hint="default"/>
                <w:color w:val="000000" w:themeColor="text1"/>
                <w:sz w:val="24"/>
                <w:szCs w:val="24"/>
                <w:highlight w:val="none"/>
                <w14:textFill>
                  <w14:solidFill>
                    <w14:schemeClr w14:val="tx1"/>
                  </w14:solidFill>
                </w14:textFill>
              </w:rPr>
            </w:pPr>
          </w:p>
        </w:tc>
        <w:tc>
          <w:tcPr>
            <w:tcW w:w="3286" w:type="dxa"/>
            <w:tcBorders>
              <w:top w:val="single" w:color="000000" w:sz="4" w:space="0"/>
              <w:left w:val="single" w:color="000000" w:sz="4" w:space="0"/>
              <w:bottom w:val="single" w:color="000000" w:sz="4" w:space="0"/>
              <w:right w:val="single" w:color="000000" w:sz="4" w:space="0"/>
            </w:tcBorders>
            <w:noWrap w:val="0"/>
            <w:vAlign w:val="center"/>
          </w:tcPr>
          <w:p w14:paraId="32E961C0">
            <w:pPr>
              <w:keepNext w:val="0"/>
              <w:keepLines w:val="0"/>
              <w:suppressLineNumbers w:val="0"/>
              <w:spacing w:before="0" w:beforeAutospacing="0" w:after="0" w:afterAutospacing="0"/>
              <w:ind w:left="0" w:right="0"/>
              <w:rPr>
                <w:rFonts w:hint="default"/>
                <w:color w:val="000000" w:themeColor="text1"/>
                <w:sz w:val="24"/>
                <w:szCs w:val="24"/>
                <w:highlight w:val="none"/>
                <w14:textFill>
                  <w14:solidFill>
                    <w14:schemeClr w14:val="tx1"/>
                  </w14:solidFill>
                </w14:textFill>
              </w:rPr>
            </w:pPr>
          </w:p>
        </w:tc>
      </w:tr>
      <w:tr w14:paraId="371661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2" w:hRule="atLeast"/>
          <w:jc w:val="center"/>
        </w:trPr>
        <w:tc>
          <w:tcPr>
            <w:tcW w:w="3844" w:type="dxa"/>
            <w:tcBorders>
              <w:top w:val="single" w:color="000000" w:sz="4" w:space="0"/>
              <w:left w:val="single" w:color="000000" w:sz="4" w:space="0"/>
              <w:bottom w:val="single" w:color="000000" w:sz="4" w:space="0"/>
              <w:right w:val="single" w:color="000000" w:sz="4" w:space="0"/>
            </w:tcBorders>
            <w:noWrap w:val="0"/>
            <w:vAlign w:val="center"/>
          </w:tcPr>
          <w:p w14:paraId="696EB194">
            <w:pPr>
              <w:keepNext w:val="0"/>
              <w:keepLines w:val="0"/>
              <w:suppressLineNumbers w:val="0"/>
              <w:spacing w:before="0" w:beforeAutospacing="0" w:after="0" w:afterAutospacing="0"/>
              <w:ind w:left="0" w:right="0"/>
              <w:rPr>
                <w:rFonts w:hint="default"/>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第十三条</w:t>
            </w:r>
            <w:r>
              <w:rPr>
                <w:rFonts w:hint="eastAsia"/>
                <w:color w:val="000000" w:themeColor="text1"/>
                <w:sz w:val="24"/>
                <w:szCs w:val="24"/>
                <w:highlight w:val="non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合同的终止</w:t>
            </w:r>
          </w:p>
        </w:tc>
        <w:tc>
          <w:tcPr>
            <w:tcW w:w="2349" w:type="dxa"/>
            <w:tcBorders>
              <w:top w:val="single" w:color="000000" w:sz="4" w:space="0"/>
              <w:left w:val="single" w:color="000000" w:sz="4" w:space="0"/>
              <w:bottom w:val="single" w:color="000000" w:sz="4" w:space="0"/>
              <w:right w:val="single" w:color="000000" w:sz="4" w:space="0"/>
            </w:tcBorders>
            <w:noWrap w:val="0"/>
            <w:vAlign w:val="center"/>
          </w:tcPr>
          <w:p w14:paraId="6F799982">
            <w:pPr>
              <w:keepNext w:val="0"/>
              <w:keepLines w:val="0"/>
              <w:suppressLineNumbers w:val="0"/>
              <w:spacing w:before="0" w:beforeAutospacing="0" w:after="0" w:afterAutospacing="0"/>
              <w:ind w:left="0" w:right="0"/>
              <w:rPr>
                <w:rFonts w:hint="default"/>
                <w:color w:val="000000" w:themeColor="text1"/>
                <w:sz w:val="24"/>
                <w:szCs w:val="24"/>
                <w:highlight w:val="none"/>
                <w14:textFill>
                  <w14:solidFill>
                    <w14:schemeClr w14:val="tx1"/>
                  </w14:solidFill>
                </w14:textFill>
              </w:rPr>
            </w:pPr>
          </w:p>
        </w:tc>
        <w:tc>
          <w:tcPr>
            <w:tcW w:w="3286" w:type="dxa"/>
            <w:tcBorders>
              <w:top w:val="single" w:color="000000" w:sz="4" w:space="0"/>
              <w:left w:val="single" w:color="000000" w:sz="4" w:space="0"/>
              <w:bottom w:val="single" w:color="000000" w:sz="4" w:space="0"/>
              <w:right w:val="single" w:color="000000" w:sz="4" w:space="0"/>
            </w:tcBorders>
            <w:noWrap w:val="0"/>
            <w:vAlign w:val="center"/>
          </w:tcPr>
          <w:p w14:paraId="4CAAB99B">
            <w:pPr>
              <w:keepNext w:val="0"/>
              <w:keepLines w:val="0"/>
              <w:suppressLineNumbers w:val="0"/>
              <w:spacing w:before="0" w:beforeAutospacing="0" w:after="0" w:afterAutospacing="0"/>
              <w:ind w:left="0" w:right="0"/>
              <w:rPr>
                <w:rFonts w:hint="default"/>
                <w:color w:val="000000" w:themeColor="text1"/>
                <w:sz w:val="24"/>
                <w:szCs w:val="24"/>
                <w:highlight w:val="none"/>
                <w14:textFill>
                  <w14:solidFill>
                    <w14:schemeClr w14:val="tx1"/>
                  </w14:solidFill>
                </w14:textFill>
              </w:rPr>
            </w:pPr>
          </w:p>
        </w:tc>
      </w:tr>
      <w:tr w14:paraId="142FA4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2" w:hRule="atLeast"/>
          <w:jc w:val="center"/>
        </w:trPr>
        <w:tc>
          <w:tcPr>
            <w:tcW w:w="3844" w:type="dxa"/>
            <w:tcBorders>
              <w:top w:val="single" w:color="000000" w:sz="4" w:space="0"/>
              <w:left w:val="single" w:color="000000" w:sz="4" w:space="0"/>
              <w:bottom w:val="single" w:color="000000" w:sz="4" w:space="0"/>
              <w:right w:val="single" w:color="000000" w:sz="4" w:space="0"/>
            </w:tcBorders>
            <w:noWrap w:val="0"/>
            <w:vAlign w:val="center"/>
          </w:tcPr>
          <w:p w14:paraId="674808A6">
            <w:pPr>
              <w:keepNext w:val="0"/>
              <w:keepLines w:val="0"/>
              <w:suppressLineNumbers w:val="0"/>
              <w:spacing w:before="0" w:beforeAutospacing="0" w:after="0" w:afterAutospacing="0"/>
              <w:ind w:left="0" w:right="0"/>
              <w:rPr>
                <w:rFonts w:hint="default"/>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第十四条</w:t>
            </w:r>
            <w:r>
              <w:rPr>
                <w:rFonts w:hint="eastAsia"/>
                <w:color w:val="000000" w:themeColor="text1"/>
                <w:sz w:val="24"/>
                <w:szCs w:val="24"/>
                <w:highlight w:val="non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合同的转让</w:t>
            </w:r>
          </w:p>
        </w:tc>
        <w:tc>
          <w:tcPr>
            <w:tcW w:w="2349" w:type="dxa"/>
            <w:tcBorders>
              <w:top w:val="single" w:color="000000" w:sz="4" w:space="0"/>
              <w:left w:val="single" w:color="000000" w:sz="4" w:space="0"/>
              <w:bottom w:val="single" w:color="000000" w:sz="4" w:space="0"/>
              <w:right w:val="single" w:color="000000" w:sz="4" w:space="0"/>
            </w:tcBorders>
            <w:noWrap w:val="0"/>
            <w:vAlign w:val="center"/>
          </w:tcPr>
          <w:p w14:paraId="3FACD187">
            <w:pPr>
              <w:keepNext w:val="0"/>
              <w:keepLines w:val="0"/>
              <w:suppressLineNumbers w:val="0"/>
              <w:spacing w:before="0" w:beforeAutospacing="0" w:after="0" w:afterAutospacing="0"/>
              <w:ind w:left="0" w:right="0"/>
              <w:rPr>
                <w:rFonts w:hint="default"/>
                <w:color w:val="000000" w:themeColor="text1"/>
                <w:sz w:val="24"/>
                <w:szCs w:val="24"/>
                <w:highlight w:val="none"/>
                <w14:textFill>
                  <w14:solidFill>
                    <w14:schemeClr w14:val="tx1"/>
                  </w14:solidFill>
                </w14:textFill>
              </w:rPr>
            </w:pPr>
          </w:p>
        </w:tc>
        <w:tc>
          <w:tcPr>
            <w:tcW w:w="3286" w:type="dxa"/>
            <w:tcBorders>
              <w:top w:val="single" w:color="000000" w:sz="4" w:space="0"/>
              <w:left w:val="single" w:color="000000" w:sz="4" w:space="0"/>
              <w:bottom w:val="single" w:color="000000" w:sz="4" w:space="0"/>
              <w:right w:val="single" w:color="000000" w:sz="4" w:space="0"/>
            </w:tcBorders>
            <w:noWrap w:val="0"/>
            <w:vAlign w:val="center"/>
          </w:tcPr>
          <w:p w14:paraId="2C005462">
            <w:pPr>
              <w:keepNext w:val="0"/>
              <w:keepLines w:val="0"/>
              <w:suppressLineNumbers w:val="0"/>
              <w:spacing w:before="0" w:beforeAutospacing="0" w:after="0" w:afterAutospacing="0"/>
              <w:ind w:left="0" w:right="0"/>
              <w:rPr>
                <w:rFonts w:hint="default"/>
                <w:color w:val="000000" w:themeColor="text1"/>
                <w:sz w:val="24"/>
                <w:szCs w:val="24"/>
                <w:highlight w:val="none"/>
                <w14:textFill>
                  <w14:solidFill>
                    <w14:schemeClr w14:val="tx1"/>
                  </w14:solidFill>
                </w14:textFill>
              </w:rPr>
            </w:pPr>
          </w:p>
        </w:tc>
      </w:tr>
    </w:tbl>
    <w:p w14:paraId="2ADE8386">
      <w:pPr>
        <w:spacing w:line="440" w:lineRule="exact"/>
        <w:ind w:firstLine="24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注：1、投标人应据实、详细填写上述表格，因表述含糊导致的评标风险将由投标人承担。</w:t>
      </w:r>
    </w:p>
    <w:p w14:paraId="579800F4">
      <w:pPr>
        <w:spacing w:line="440" w:lineRule="exact"/>
        <w:ind w:firstLine="72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2、若无偏离，在“有无偏离”栏中填写“无”；若有偏离在“有无偏离”栏中填写“有”并在“偏离内容及原因”栏中作出说明。</w:t>
      </w:r>
    </w:p>
    <w:p w14:paraId="281DEA25">
      <w:pPr>
        <w:ind w:firstLine="482"/>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br w:type="page" w:clear="all"/>
      </w:r>
    </w:p>
    <w:p w14:paraId="4329C9EF">
      <w:pPr>
        <w:spacing w:line="440" w:lineRule="exact"/>
        <w:ind w:firstLine="562"/>
        <w:jc w:val="center"/>
        <w:outlineLvl w:val="1"/>
        <w:rPr>
          <w:rFonts w:ascii="Times New Roman" w:hAnsi="Times New Roman"/>
          <w:b/>
          <w:bCs/>
          <w:color w:val="000000" w:themeColor="text1"/>
          <w:sz w:val="28"/>
          <w:szCs w:val="28"/>
          <w:highlight w:val="none"/>
          <w14:textFill>
            <w14:solidFill>
              <w14:schemeClr w14:val="tx1"/>
            </w14:solidFill>
          </w14:textFill>
        </w:rPr>
      </w:pPr>
      <w:bookmarkStart w:id="246" w:name="_Toc32709"/>
      <w:r>
        <w:rPr>
          <w:rFonts w:hint="eastAsia" w:ascii="Times New Roman" w:hAnsi="Times New Roman"/>
          <w:b/>
          <w:bCs/>
          <w:color w:val="000000" w:themeColor="text1"/>
          <w:sz w:val="28"/>
          <w:szCs w:val="28"/>
          <w:highlight w:val="none"/>
          <w14:textFill>
            <w14:solidFill>
              <w14:schemeClr w14:val="tx1"/>
            </w14:solidFill>
          </w14:textFill>
        </w:rPr>
        <w:t>附件</w:t>
      </w:r>
      <w:r>
        <w:rPr>
          <w:rFonts w:hint="eastAsia" w:ascii="Times New Roman" w:hAnsi="Times New Roman"/>
          <w:b/>
          <w:bCs/>
          <w:color w:val="000000" w:themeColor="text1"/>
          <w:sz w:val="28"/>
          <w:szCs w:val="28"/>
          <w:highlight w:val="none"/>
          <w:lang w:val="en-US" w:eastAsia="zh-CN"/>
          <w14:textFill>
            <w14:solidFill>
              <w14:schemeClr w14:val="tx1"/>
            </w14:solidFill>
          </w14:textFill>
        </w:rPr>
        <w:t>8</w:t>
      </w:r>
      <w:r>
        <w:rPr>
          <w:rFonts w:hint="eastAsia" w:ascii="Times New Roman" w:hAnsi="Times New Roman"/>
          <w:b/>
          <w:bCs/>
          <w:color w:val="000000" w:themeColor="text1"/>
          <w:sz w:val="28"/>
          <w:szCs w:val="28"/>
          <w:highlight w:val="none"/>
          <w14:textFill>
            <w14:solidFill>
              <w14:schemeClr w14:val="tx1"/>
            </w14:solidFill>
          </w14:textFill>
        </w:rPr>
        <w:t xml:space="preserve"> 其他</w:t>
      </w:r>
      <w:bookmarkEnd w:id="246"/>
    </w:p>
    <w:p w14:paraId="08A44F10">
      <w:pPr>
        <w:spacing w:line="400" w:lineRule="exact"/>
        <w:ind w:firstLine="480"/>
        <w:jc w:val="center"/>
        <w:rPr>
          <w:rFonts w:ascii="Times New Roman" w:hAnsi="Times New Roman"/>
          <w:color w:val="000000" w:themeColor="text1"/>
          <w:sz w:val="24"/>
          <w:szCs w:val="20"/>
          <w:highlight w:val="none"/>
          <w14:textFill>
            <w14:solidFill>
              <w14:schemeClr w14:val="tx1"/>
            </w14:solidFill>
          </w14:textFill>
        </w:rPr>
      </w:pPr>
      <w:r>
        <w:rPr>
          <w:rFonts w:hint="eastAsia" w:ascii="Times New Roman" w:hAnsi="Times New Roman"/>
          <w:color w:val="000000" w:themeColor="text1"/>
          <w:sz w:val="24"/>
          <w:szCs w:val="20"/>
          <w:highlight w:val="none"/>
          <w14:textFill>
            <w14:solidFill>
              <w14:schemeClr w14:val="tx1"/>
            </w14:solidFill>
          </w14:textFill>
        </w:rPr>
        <w:t>投标人根据 “第五章 ”提供相关其他证明材料。</w:t>
      </w:r>
    </w:p>
    <w:p w14:paraId="71314F82">
      <w:pPr>
        <w:spacing w:line="440" w:lineRule="exact"/>
        <w:ind w:firstLine="482"/>
        <w:jc w:val="center"/>
        <w:outlineLvl w:val="1"/>
        <w:rPr>
          <w:rFonts w:ascii="Times New Roman" w:hAnsi="Times New Roman"/>
          <w:b/>
          <w:bCs/>
          <w:color w:val="000000" w:themeColor="text1"/>
          <w:sz w:val="28"/>
          <w:szCs w:val="28"/>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br w:type="page" w:clear="all"/>
      </w:r>
      <w:bookmarkStart w:id="247" w:name="_Toc22608"/>
      <w:r>
        <w:rPr>
          <w:rFonts w:hint="eastAsia" w:ascii="Times New Roman" w:hAnsi="Times New Roman"/>
          <w:b/>
          <w:bCs/>
          <w:color w:val="000000" w:themeColor="text1"/>
          <w:sz w:val="28"/>
          <w:szCs w:val="28"/>
          <w:highlight w:val="none"/>
          <w14:textFill>
            <w14:solidFill>
              <w14:schemeClr w14:val="tx1"/>
            </w14:solidFill>
          </w14:textFill>
        </w:rPr>
        <w:t>附件</w:t>
      </w:r>
      <w:r>
        <w:rPr>
          <w:rFonts w:hint="eastAsia" w:ascii="Times New Roman" w:hAnsi="Times New Roman"/>
          <w:b/>
          <w:bCs/>
          <w:color w:val="000000" w:themeColor="text1"/>
          <w:sz w:val="28"/>
          <w:szCs w:val="28"/>
          <w:highlight w:val="none"/>
          <w:lang w:val="en-US" w:eastAsia="zh-CN"/>
          <w14:textFill>
            <w14:solidFill>
              <w14:schemeClr w14:val="tx1"/>
            </w14:solidFill>
          </w14:textFill>
        </w:rPr>
        <w:t>9</w:t>
      </w:r>
      <w:r>
        <w:rPr>
          <w:rFonts w:hint="eastAsia" w:ascii="Times New Roman" w:hAnsi="Times New Roman"/>
          <w:b/>
          <w:bCs/>
          <w:color w:val="000000" w:themeColor="text1"/>
          <w:sz w:val="28"/>
          <w:szCs w:val="28"/>
          <w:highlight w:val="none"/>
          <w14:textFill>
            <w14:solidFill>
              <w14:schemeClr w14:val="tx1"/>
            </w14:solidFill>
          </w14:textFill>
        </w:rPr>
        <w:t xml:space="preserve"> 具备履行合同所必需的设备和专业技术能力的书面声明</w:t>
      </w:r>
      <w:bookmarkEnd w:id="247"/>
    </w:p>
    <w:p w14:paraId="14C9F21F">
      <w:pPr>
        <w:spacing w:line="460" w:lineRule="exact"/>
        <w:ind w:firstLine="480"/>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我单位郑重声明：我单位具备履行本项采购合同所必需的设备和专业技术能力，为履行本项采购合同我公司具备如下主要人员和主要专业技术能力：</w:t>
      </w:r>
    </w:p>
    <w:p w14:paraId="52A76A9F">
      <w:pPr>
        <w:spacing w:line="460" w:lineRule="exact"/>
        <w:ind w:firstLine="480"/>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主要设备有：</w:t>
      </w:r>
      <w:r>
        <w:rPr>
          <w:rFonts w:hint="eastAsia" w:ascii="宋体" w:hAnsi="宋体"/>
          <w:bCs/>
          <w:color w:val="000000" w:themeColor="text1"/>
          <w:sz w:val="24"/>
          <w:highlight w:val="none"/>
          <w:u w:val="single"/>
          <w14:textFill>
            <w14:solidFill>
              <w14:schemeClr w14:val="tx1"/>
            </w14:solidFill>
          </w14:textFill>
        </w:rPr>
        <w:t xml:space="preserve">  </w:t>
      </w:r>
      <w:r>
        <w:rPr>
          <w:rFonts w:ascii="宋体" w:hAnsi="宋体"/>
          <w:bCs/>
          <w:color w:val="000000" w:themeColor="text1"/>
          <w:sz w:val="24"/>
          <w:highlight w:val="none"/>
          <w:u w:val="singl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w:t>
      </w:r>
    </w:p>
    <w:p w14:paraId="69A08A9A">
      <w:pPr>
        <w:spacing w:line="460" w:lineRule="exact"/>
        <w:ind w:firstLine="480"/>
        <w:rPr>
          <w:rFonts w:ascii="宋体" w:hAnsi="宋体"/>
          <w:b/>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主要专业技术能力有：</w:t>
      </w:r>
      <w:r>
        <w:rPr>
          <w:rFonts w:hint="eastAsia" w:ascii="宋体" w:hAnsi="宋体"/>
          <w:bCs/>
          <w:color w:val="000000" w:themeColor="text1"/>
          <w:sz w:val="24"/>
          <w:highlight w:val="none"/>
          <w:u w:val="single"/>
          <w14:textFill>
            <w14:solidFill>
              <w14:schemeClr w14:val="tx1"/>
            </w14:solidFill>
          </w14:textFill>
        </w:rPr>
        <w:t xml:space="preserve">   </w:t>
      </w:r>
      <w:r>
        <w:rPr>
          <w:rFonts w:ascii="宋体" w:hAnsi="宋体"/>
          <w:bCs/>
          <w:color w:val="000000" w:themeColor="text1"/>
          <w:sz w:val="24"/>
          <w:highlight w:val="none"/>
          <w:u w:val="singl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w:t>
      </w:r>
    </w:p>
    <w:p w14:paraId="620C7CE7">
      <w:pPr>
        <w:spacing w:line="440" w:lineRule="exact"/>
        <w:ind w:firstLine="482"/>
        <w:jc w:val="center"/>
        <w:outlineLvl w:val="1"/>
        <w:rPr>
          <w:rFonts w:ascii="Times New Roman" w:hAnsi="Times New Roman"/>
          <w:b/>
          <w:bCs/>
          <w:color w:val="000000" w:themeColor="text1"/>
          <w:sz w:val="28"/>
          <w:szCs w:val="28"/>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br w:type="page" w:clear="all"/>
      </w:r>
      <w:bookmarkStart w:id="248" w:name="_Toc14474"/>
      <w:r>
        <w:rPr>
          <w:rFonts w:hint="eastAsia" w:ascii="Times New Roman" w:hAnsi="Times New Roman"/>
          <w:b/>
          <w:bCs/>
          <w:color w:val="000000" w:themeColor="text1"/>
          <w:sz w:val="28"/>
          <w:szCs w:val="28"/>
          <w:highlight w:val="none"/>
          <w14:textFill>
            <w14:solidFill>
              <w14:schemeClr w14:val="tx1"/>
            </w14:solidFill>
          </w14:textFill>
        </w:rPr>
        <w:t>附件</w:t>
      </w:r>
      <w:r>
        <w:rPr>
          <w:rFonts w:hint="eastAsia" w:ascii="Times New Roman" w:hAnsi="Times New Roman"/>
          <w:b/>
          <w:bCs/>
          <w:color w:val="000000" w:themeColor="text1"/>
          <w:sz w:val="28"/>
          <w:szCs w:val="28"/>
          <w:highlight w:val="none"/>
          <w:lang w:val="en-US" w:eastAsia="zh-CN"/>
          <w14:textFill>
            <w14:solidFill>
              <w14:schemeClr w14:val="tx1"/>
            </w14:solidFill>
          </w14:textFill>
        </w:rPr>
        <w:t>10</w:t>
      </w:r>
      <w:r>
        <w:rPr>
          <w:rFonts w:ascii="Times New Roman" w:hAnsi="Times New Roman"/>
          <w:b/>
          <w:bCs/>
          <w:color w:val="000000" w:themeColor="text1"/>
          <w:sz w:val="28"/>
          <w:szCs w:val="28"/>
          <w:highlight w:val="none"/>
          <w14:textFill>
            <w14:solidFill>
              <w14:schemeClr w14:val="tx1"/>
            </w14:solidFill>
          </w14:textFill>
        </w:rPr>
        <w:t xml:space="preserve"> </w:t>
      </w:r>
      <w:r>
        <w:rPr>
          <w:rFonts w:hint="eastAsia" w:ascii="Times New Roman" w:hAnsi="Times New Roman"/>
          <w:b/>
          <w:bCs/>
          <w:color w:val="000000" w:themeColor="text1"/>
          <w:sz w:val="28"/>
          <w:szCs w:val="28"/>
          <w:highlight w:val="none"/>
          <w14:textFill>
            <w14:solidFill>
              <w14:schemeClr w14:val="tx1"/>
            </w14:solidFill>
          </w14:textFill>
        </w:rPr>
        <w:t>参加政府采购活动前 3 年内在经营活动中没有重大违法记录的书面声明</w:t>
      </w:r>
      <w:bookmarkEnd w:id="248"/>
    </w:p>
    <w:p w14:paraId="3C6222E8">
      <w:pPr>
        <w:spacing w:line="460" w:lineRule="exact"/>
        <w:ind w:firstLine="482"/>
        <w:jc w:val="center"/>
        <w:rPr>
          <w:rFonts w:ascii="宋体" w:hAnsi="宋体"/>
          <w:b/>
          <w:bCs/>
          <w:color w:val="000000" w:themeColor="text1"/>
          <w:sz w:val="24"/>
          <w:highlight w:val="none"/>
          <w14:textFill>
            <w14:solidFill>
              <w14:schemeClr w14:val="tx1"/>
            </w14:solidFill>
          </w14:textFill>
        </w:rPr>
      </w:pPr>
    </w:p>
    <w:p w14:paraId="3900B236">
      <w:pPr>
        <w:spacing w:line="460" w:lineRule="exact"/>
        <w:ind w:firstLine="482"/>
        <w:jc w:val="center"/>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声  明</w:t>
      </w:r>
    </w:p>
    <w:p w14:paraId="5D343590">
      <w:pPr>
        <w:spacing w:line="460" w:lineRule="exact"/>
        <w:ind w:firstLine="480"/>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我单位郑重声明：参加本次政府采购活动前 3 年内，我单位在经营活动中没有因违法经营受到刑事处罚或者责令停产停业、吊销许可证或者执照、较大数额罚款等行政处罚。</w:t>
      </w:r>
    </w:p>
    <w:p w14:paraId="3AFF0BC1">
      <w:pPr>
        <w:ind w:left="480" w:firstLine="482"/>
        <w:jc w:val="center"/>
        <w:rPr>
          <w:rFonts w:ascii="宋体" w:hAnsi="宋体"/>
          <w:b/>
          <w:color w:val="000000" w:themeColor="text1"/>
          <w:sz w:val="24"/>
          <w:highlight w:val="none"/>
          <w14:textFill>
            <w14:solidFill>
              <w14:schemeClr w14:val="tx1"/>
            </w14:solidFill>
          </w14:textFill>
        </w:rPr>
      </w:pPr>
    </w:p>
    <w:p w14:paraId="3E730114">
      <w:pPr>
        <w:spacing w:line="460" w:lineRule="exact"/>
        <w:ind w:firstLine="482"/>
        <w:rPr>
          <w:rFonts w:ascii="宋体" w:hAnsi="宋体"/>
          <w:bCs/>
          <w:color w:val="000000" w:themeColor="text1"/>
          <w:sz w:val="24"/>
          <w:szCs w:val="21"/>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br w:type="page" w:clear="all"/>
      </w:r>
    </w:p>
    <w:p w14:paraId="419CCB05">
      <w:pPr>
        <w:spacing w:line="440" w:lineRule="exact"/>
        <w:ind w:firstLine="562"/>
        <w:jc w:val="center"/>
        <w:outlineLvl w:val="1"/>
        <w:rPr>
          <w:rFonts w:ascii="Times New Roman" w:hAnsi="Times New Roman"/>
          <w:b/>
          <w:bCs/>
          <w:color w:val="000000" w:themeColor="text1"/>
          <w:sz w:val="28"/>
          <w:szCs w:val="28"/>
          <w:highlight w:val="none"/>
          <w14:textFill>
            <w14:solidFill>
              <w14:schemeClr w14:val="tx1"/>
            </w14:solidFill>
          </w14:textFill>
        </w:rPr>
      </w:pPr>
      <w:bookmarkStart w:id="249" w:name="_Toc24375"/>
      <w:r>
        <w:rPr>
          <w:rFonts w:hint="eastAsia" w:ascii="Times New Roman" w:hAnsi="Times New Roman"/>
          <w:b/>
          <w:bCs/>
          <w:color w:val="000000" w:themeColor="text1"/>
          <w:sz w:val="28"/>
          <w:szCs w:val="28"/>
          <w:highlight w:val="none"/>
          <w14:textFill>
            <w14:solidFill>
              <w14:schemeClr w14:val="tx1"/>
            </w14:solidFill>
          </w14:textFill>
        </w:rPr>
        <w:t>附件</w:t>
      </w:r>
      <w:r>
        <w:rPr>
          <w:rFonts w:hint="eastAsia" w:ascii="Times New Roman" w:hAnsi="Times New Roman"/>
          <w:b/>
          <w:bCs/>
          <w:color w:val="000000" w:themeColor="text1"/>
          <w:sz w:val="28"/>
          <w:szCs w:val="28"/>
          <w:highlight w:val="none"/>
          <w:lang w:val="en-US" w:eastAsia="zh-CN"/>
          <w14:textFill>
            <w14:solidFill>
              <w14:schemeClr w14:val="tx1"/>
            </w14:solidFill>
          </w14:textFill>
        </w:rPr>
        <w:t>11</w:t>
      </w:r>
      <w:r>
        <w:rPr>
          <w:rFonts w:ascii="Times New Roman" w:hAnsi="Times New Roman"/>
          <w:b/>
          <w:bCs/>
          <w:color w:val="000000" w:themeColor="text1"/>
          <w:sz w:val="28"/>
          <w:szCs w:val="28"/>
          <w:highlight w:val="none"/>
          <w14:textFill>
            <w14:solidFill>
              <w14:schemeClr w14:val="tx1"/>
            </w14:solidFill>
          </w14:textFill>
        </w:rPr>
        <w:t xml:space="preserve"> </w:t>
      </w:r>
      <w:r>
        <w:rPr>
          <w:rFonts w:hint="eastAsia" w:ascii="Times New Roman" w:hAnsi="Times New Roman"/>
          <w:b/>
          <w:bCs/>
          <w:color w:val="000000" w:themeColor="text1"/>
          <w:sz w:val="28"/>
          <w:szCs w:val="28"/>
          <w:highlight w:val="none"/>
          <w14:textFill>
            <w14:solidFill>
              <w14:schemeClr w14:val="tx1"/>
            </w14:solidFill>
          </w14:textFill>
        </w:rPr>
        <w:t>法人授权书</w:t>
      </w:r>
      <w:bookmarkEnd w:id="249"/>
    </w:p>
    <w:p w14:paraId="342FD428">
      <w:pPr>
        <w:tabs>
          <w:tab w:val="left" w:pos="360"/>
        </w:tabs>
        <w:spacing w:line="440" w:lineRule="exact"/>
        <w:ind w:firstLine="480"/>
        <w:rPr>
          <w:rFonts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本授权书声明：____________（投标人名称）授权________________（被授权人的姓名）为我方就</w:t>
      </w:r>
      <w:r>
        <w:rPr>
          <w:rFonts w:hint="eastAsia" w:ascii="Times New Roman" w:hAnsi="Times New Roman"/>
          <w:color w:val="000000" w:themeColor="text1"/>
          <w:sz w:val="24"/>
          <w:szCs w:val="24"/>
          <w:highlight w:val="none"/>
          <w:lang w:eastAsia="zh-CN"/>
          <w14:textFill>
            <w14:solidFill>
              <w14:schemeClr w14:val="tx1"/>
            </w14:solidFill>
          </w14:textFill>
        </w:rPr>
        <w:t>JSZC-320581-SZXY-G2025-0002</w:t>
      </w:r>
      <w:r>
        <w:rPr>
          <w:rFonts w:ascii="Times New Roman" w:hAnsi="Times New Roman"/>
          <w:color w:val="000000" w:themeColor="text1"/>
          <w:sz w:val="24"/>
          <w:szCs w:val="24"/>
          <w:highlight w:val="none"/>
          <w14:textFill>
            <w14:solidFill>
              <w14:schemeClr w14:val="tx1"/>
            </w14:solidFill>
          </w14:textFill>
        </w:rPr>
        <w:t>号项目采购活动的合法代理人，以本单位名义全权处理一切与该项目采购有关的事务。</w:t>
      </w:r>
    </w:p>
    <w:p w14:paraId="6CF339A6">
      <w:pPr>
        <w:tabs>
          <w:tab w:val="left" w:pos="360"/>
        </w:tabs>
        <w:spacing w:line="440" w:lineRule="exact"/>
        <w:ind w:firstLine="480"/>
        <w:rPr>
          <w:rFonts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本授权书于</w:t>
      </w:r>
      <w:r>
        <w:rPr>
          <w:rFonts w:hint="eastAsia" w:ascii="Times New Roman" w:hAnsi="Times New Roman"/>
          <w:color w:val="000000" w:themeColor="text1"/>
          <w:sz w:val="24"/>
          <w:szCs w:val="24"/>
          <w:highlight w:val="none"/>
          <w:u w:val="single"/>
          <w:lang w:val="en-US" w:eastAsia="zh-CN"/>
          <w14:textFill>
            <w14:solidFill>
              <w14:schemeClr w14:val="tx1"/>
            </w14:solidFill>
          </w14:textFill>
        </w:rPr>
        <w:t xml:space="preserve">   </w:t>
      </w:r>
      <w:r>
        <w:rPr>
          <w:rFonts w:ascii="Times New Roman" w:hAnsi="Times New Roman"/>
          <w:color w:val="000000" w:themeColor="text1"/>
          <w:sz w:val="24"/>
          <w:szCs w:val="24"/>
          <w:highlight w:val="none"/>
          <w:u w:val="single"/>
          <w14:textFill>
            <w14:solidFill>
              <w14:schemeClr w14:val="tx1"/>
            </w14:solidFill>
          </w14:textFill>
        </w:rPr>
        <w:t xml:space="preserve"> </w:t>
      </w:r>
      <w:r>
        <w:rPr>
          <w:rFonts w:ascii="Times New Roman" w:hAnsi="Times New Roman"/>
          <w:color w:val="000000" w:themeColor="text1"/>
          <w:sz w:val="24"/>
          <w:szCs w:val="24"/>
          <w:highlight w:val="none"/>
          <w14:textFill>
            <w14:solidFill>
              <w14:schemeClr w14:val="tx1"/>
            </w14:solidFill>
          </w14:textFill>
        </w:rPr>
        <w:t>年____月____日起生效，特此声明。</w:t>
      </w:r>
    </w:p>
    <w:p w14:paraId="4100141C">
      <w:pPr>
        <w:tabs>
          <w:tab w:val="left" w:pos="360"/>
        </w:tabs>
        <w:spacing w:line="440" w:lineRule="exact"/>
        <w:ind w:firstLine="480"/>
        <w:rPr>
          <w:rFonts w:ascii="Times New Roman" w:hAnsi="Times New Roman"/>
          <w:color w:val="000000" w:themeColor="text1"/>
          <w:sz w:val="24"/>
          <w:szCs w:val="24"/>
          <w:highlight w:val="none"/>
          <w14:textFill>
            <w14:solidFill>
              <w14:schemeClr w14:val="tx1"/>
            </w14:solidFill>
          </w14:textFill>
        </w:rPr>
      </w:pPr>
    </w:p>
    <w:p w14:paraId="1BD3DA5B">
      <w:pPr>
        <w:tabs>
          <w:tab w:val="left" w:pos="360"/>
        </w:tabs>
        <w:spacing w:line="440" w:lineRule="exact"/>
        <w:ind w:firstLine="480"/>
        <w:rPr>
          <w:rFonts w:ascii="Times New Roman" w:hAnsi="Times New Roman"/>
          <w:color w:val="000000" w:themeColor="text1"/>
          <w:sz w:val="24"/>
          <w:szCs w:val="24"/>
          <w:highlight w:val="none"/>
          <w14:textFill>
            <w14:solidFill>
              <w14:schemeClr w14:val="tx1"/>
            </w14:solidFill>
          </w14:textFill>
        </w:rPr>
      </w:pPr>
    </w:p>
    <w:p w14:paraId="49D206C0">
      <w:pPr>
        <w:tabs>
          <w:tab w:val="left" w:pos="360"/>
        </w:tabs>
        <w:spacing w:line="440" w:lineRule="exact"/>
        <w:ind w:firstLine="480"/>
        <w:rPr>
          <w:rFonts w:ascii="Times New Roman" w:hAnsi="Times New Roman"/>
          <w:color w:val="000000" w:themeColor="text1"/>
          <w:sz w:val="24"/>
          <w:szCs w:val="24"/>
          <w:highlight w:val="none"/>
          <w:u w:val="singl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被授权人身份证号码：</w:t>
      </w:r>
      <w:r>
        <w:rPr>
          <w:rFonts w:ascii="Times New Roman" w:hAnsi="Times New Roman"/>
          <w:color w:val="000000" w:themeColor="text1"/>
          <w:sz w:val="24"/>
          <w:szCs w:val="24"/>
          <w:highlight w:val="none"/>
          <w:u w:val="single"/>
          <w14:textFill>
            <w14:solidFill>
              <w14:schemeClr w14:val="tx1"/>
            </w14:solidFill>
          </w14:textFill>
        </w:rPr>
        <w:t xml:space="preserve">                              </w:t>
      </w:r>
    </w:p>
    <w:p w14:paraId="5DAE2C0F">
      <w:pPr>
        <w:tabs>
          <w:tab w:val="left" w:pos="360"/>
        </w:tabs>
        <w:spacing w:line="440" w:lineRule="exact"/>
        <w:ind w:firstLine="480"/>
        <w:rPr>
          <w:rFonts w:ascii="Times New Roman" w:hAnsi="Times New Roman"/>
          <w:color w:val="000000" w:themeColor="text1"/>
          <w:sz w:val="24"/>
          <w:szCs w:val="24"/>
          <w:highlight w:val="none"/>
          <w:u w:val="singl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被授权人联系电话：（手机）</w:t>
      </w:r>
      <w:r>
        <w:rPr>
          <w:rFonts w:ascii="Times New Roman" w:hAnsi="Times New Roman"/>
          <w:color w:val="000000" w:themeColor="text1"/>
          <w:sz w:val="24"/>
          <w:szCs w:val="24"/>
          <w:highlight w:val="none"/>
          <w:u w:val="single"/>
          <w14:textFill>
            <w14:solidFill>
              <w14:schemeClr w14:val="tx1"/>
            </w14:solidFill>
          </w14:textFill>
        </w:rPr>
        <w:t xml:space="preserve">                          </w:t>
      </w:r>
    </w:p>
    <w:p w14:paraId="61EC7972">
      <w:pPr>
        <w:tabs>
          <w:tab w:val="left" w:pos="360"/>
        </w:tabs>
        <w:spacing w:line="440" w:lineRule="exact"/>
        <w:ind w:firstLine="480"/>
        <w:rPr>
          <w:rFonts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授权单位名称：</w:t>
      </w:r>
      <w:r>
        <w:rPr>
          <w:rFonts w:ascii="Times New Roman" w:hAnsi="Times New Roman"/>
          <w:color w:val="000000" w:themeColor="text1"/>
          <w:sz w:val="24"/>
          <w:szCs w:val="24"/>
          <w:highlight w:val="none"/>
          <w:u w:val="single"/>
          <w14:textFill>
            <w14:solidFill>
              <w14:schemeClr w14:val="tx1"/>
            </w14:solidFill>
          </w14:textFill>
        </w:rPr>
        <w:t>（加盖CA电子公章）</w:t>
      </w:r>
    </w:p>
    <w:p w14:paraId="22E39702">
      <w:pPr>
        <w:tabs>
          <w:tab w:val="left" w:pos="360"/>
        </w:tabs>
        <w:spacing w:line="440" w:lineRule="exact"/>
        <w:ind w:firstLine="480"/>
        <w:rPr>
          <w:rFonts w:ascii="Times New Roman" w:hAnsi="Times New Roman"/>
          <w:color w:val="000000" w:themeColor="text1"/>
          <w:sz w:val="24"/>
          <w:szCs w:val="24"/>
          <w:highlight w:val="none"/>
          <w:u w:val="singl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单位地址：</w:t>
      </w:r>
      <w:r>
        <w:rPr>
          <w:rFonts w:ascii="Times New Roman" w:hAnsi="Times New Roman"/>
          <w:color w:val="000000" w:themeColor="text1"/>
          <w:sz w:val="24"/>
          <w:szCs w:val="24"/>
          <w:highlight w:val="none"/>
          <w:u w:val="single"/>
          <w14:textFill>
            <w14:solidFill>
              <w14:schemeClr w14:val="tx1"/>
            </w14:solidFill>
          </w14:textFill>
        </w:rPr>
        <w:t xml:space="preserve">                                         </w:t>
      </w:r>
    </w:p>
    <w:p w14:paraId="0185C92B">
      <w:pPr>
        <w:tabs>
          <w:tab w:val="left" w:pos="360"/>
        </w:tabs>
        <w:spacing w:line="440" w:lineRule="exact"/>
        <w:ind w:firstLine="480"/>
        <w:rPr>
          <w:rFonts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日期：</w:t>
      </w:r>
      <w:r>
        <w:rPr>
          <w:rFonts w:ascii="Times New Roman" w:hAnsi="Times New Roman"/>
          <w:color w:val="000000" w:themeColor="text1"/>
          <w:sz w:val="24"/>
          <w:szCs w:val="24"/>
          <w:highlight w:val="none"/>
          <w:u w:val="single"/>
          <w14:textFill>
            <w14:solidFill>
              <w14:schemeClr w14:val="tx1"/>
            </w14:solidFill>
          </w14:textFill>
        </w:rPr>
        <w:t xml:space="preserve">                                         </w:t>
      </w:r>
    </w:p>
    <w:p w14:paraId="7AA9E53D">
      <w:pPr>
        <w:spacing w:line="400" w:lineRule="exact"/>
        <w:ind w:firstLine="480"/>
        <w:rPr>
          <w:rFonts w:ascii="楷体" w:hAnsi="楷体" w:eastAsia="楷体"/>
          <w:color w:val="000000" w:themeColor="text1"/>
          <w:sz w:val="24"/>
          <w:szCs w:val="24"/>
          <w:highlight w:val="none"/>
          <w14:textFill>
            <w14:solidFill>
              <w14:schemeClr w14:val="tx1"/>
            </w14:solidFill>
          </w14:textFill>
        </w:rPr>
      </w:pPr>
    </w:p>
    <w:p w14:paraId="593C999F">
      <w:pPr>
        <w:spacing w:line="400" w:lineRule="exact"/>
        <w:ind w:firstLine="480"/>
        <w:rPr>
          <w:rFonts w:ascii="Times New Roman" w:hAnsi="Times New Roman"/>
          <w:b/>
          <w:bCs/>
          <w:color w:val="000000" w:themeColor="text1"/>
          <w:sz w:val="24"/>
          <w:szCs w:val="24"/>
          <w:highlight w:val="none"/>
          <w14:textFill>
            <w14:solidFill>
              <w14:schemeClr w14:val="tx1"/>
            </w14:solidFill>
          </w14:textFill>
        </w:rPr>
      </w:pPr>
      <w:r>
        <w:rPr>
          <w:rFonts w:hint="eastAsia" w:ascii="Times New Roman" w:hAnsi="Times New Roman"/>
          <w:b/>
          <w:bCs/>
          <w:color w:val="000000" w:themeColor="text1"/>
          <w:sz w:val="24"/>
          <w:szCs w:val="24"/>
          <w:highlight w:val="none"/>
          <w14:textFill>
            <w14:solidFill>
              <w14:schemeClr w14:val="tx1"/>
            </w14:solidFill>
          </w14:textFill>
        </w:rPr>
        <w:t>注：附授权代表居民身份证、法定代表人居民身份证正反面扫描件；如法定代表人参加投标，“法人授权书”可不提供，但需提供法人代表人身份证正反面扫描件。</w:t>
      </w:r>
    </w:p>
    <w:p w14:paraId="2572582F">
      <w:pPr>
        <w:spacing w:line="440" w:lineRule="exact"/>
        <w:ind w:firstLine="482"/>
        <w:jc w:val="center"/>
        <w:outlineLvl w:val="1"/>
        <w:rPr>
          <w:rFonts w:ascii="Times New Roman" w:hAnsi="Times New Roman"/>
          <w:b/>
          <w:bCs/>
          <w:color w:val="000000" w:themeColor="text1"/>
          <w:sz w:val="28"/>
          <w:szCs w:val="28"/>
          <w:highlight w:val="none"/>
          <w14:textFill>
            <w14:solidFill>
              <w14:schemeClr w14:val="tx1"/>
            </w14:solidFill>
          </w14:textFill>
        </w:rPr>
      </w:pPr>
      <w:r>
        <w:rPr>
          <w:rFonts w:ascii="宋体" w:hAnsi="宋体" w:eastAsia="幼圆" w:cs="Arial"/>
          <w:b/>
          <w:color w:val="000000" w:themeColor="text1"/>
          <w:sz w:val="24"/>
          <w:szCs w:val="44"/>
          <w:highlight w:val="none"/>
          <w14:textFill>
            <w14:solidFill>
              <w14:schemeClr w14:val="tx1"/>
            </w14:solidFill>
          </w14:textFill>
        </w:rPr>
        <w:br w:type="page" w:clear="all"/>
      </w:r>
      <w:bookmarkStart w:id="250" w:name="_Toc18002"/>
      <w:r>
        <w:rPr>
          <w:rFonts w:hint="eastAsia" w:ascii="Times New Roman" w:hAnsi="Times New Roman"/>
          <w:b/>
          <w:bCs/>
          <w:color w:val="000000" w:themeColor="text1"/>
          <w:sz w:val="28"/>
          <w:szCs w:val="28"/>
          <w:highlight w:val="none"/>
          <w14:textFill>
            <w14:solidFill>
              <w14:schemeClr w14:val="tx1"/>
            </w14:solidFill>
          </w14:textFill>
        </w:rPr>
        <w:t>附件</w:t>
      </w:r>
      <w:r>
        <w:rPr>
          <w:rFonts w:hint="eastAsia" w:ascii="Times New Roman" w:hAnsi="Times New Roman"/>
          <w:b/>
          <w:bCs/>
          <w:color w:val="000000" w:themeColor="text1"/>
          <w:sz w:val="28"/>
          <w:szCs w:val="28"/>
          <w:highlight w:val="none"/>
          <w:lang w:val="en-US" w:eastAsia="zh-CN"/>
          <w14:textFill>
            <w14:solidFill>
              <w14:schemeClr w14:val="tx1"/>
            </w14:solidFill>
          </w14:textFill>
        </w:rPr>
        <w:t>12</w:t>
      </w:r>
      <w:r>
        <w:rPr>
          <w:rFonts w:hint="eastAsia" w:ascii="Times New Roman" w:hAnsi="Times New Roman"/>
          <w:b/>
          <w:bCs/>
          <w:color w:val="000000" w:themeColor="text1"/>
          <w:sz w:val="28"/>
          <w:szCs w:val="28"/>
          <w:highlight w:val="none"/>
          <w14:textFill>
            <w14:solidFill>
              <w14:schemeClr w14:val="tx1"/>
            </w14:solidFill>
          </w14:textFill>
        </w:rPr>
        <w:t xml:space="preserve"> 中小企业声明函</w:t>
      </w:r>
      <w:bookmarkEnd w:id="250"/>
    </w:p>
    <w:p w14:paraId="6576BB71">
      <w:pPr>
        <w:spacing w:line="440" w:lineRule="exact"/>
        <w:ind w:firstLine="480"/>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本公司（联合体）郑重声明，根据《政府采购促进中小企业发展管理办法》（财库</w:t>
      </w:r>
      <w:r>
        <w:rPr>
          <w:rFonts w:hint="eastAsia" w:ascii="宋体" w:hAnsi="宋体" w:cs="宋体"/>
          <w:color w:val="000000" w:themeColor="text1"/>
          <w:sz w:val="24"/>
          <w:szCs w:val="24"/>
          <w:highlight w:val="none"/>
          <w14:textFill>
            <w14:solidFill>
              <w14:schemeClr w14:val="tx1"/>
            </w14:solidFill>
          </w14:textFill>
        </w:rPr>
        <w:t>﹝</w:t>
      </w:r>
      <w:r>
        <w:rPr>
          <w:rFonts w:ascii="宋体" w:hAnsi="宋体" w:cs="仿宋"/>
          <w:color w:val="000000" w:themeColor="text1"/>
          <w:sz w:val="24"/>
          <w:szCs w:val="24"/>
          <w:highlight w:val="none"/>
          <w14:textFill>
            <w14:solidFill>
              <w14:schemeClr w14:val="tx1"/>
            </w14:solidFill>
          </w14:textFill>
        </w:rPr>
        <w:t>2020</w:t>
      </w:r>
      <w:r>
        <w:rPr>
          <w:rFonts w:hint="eastAsia" w:ascii="宋体" w:hAnsi="宋体" w:cs="宋体"/>
          <w:color w:val="000000" w:themeColor="text1"/>
          <w:sz w:val="24"/>
          <w:szCs w:val="24"/>
          <w:highlight w:val="none"/>
          <w14:textFill>
            <w14:solidFill>
              <w14:schemeClr w14:val="tx1"/>
            </w14:solidFill>
          </w14:textFill>
        </w:rPr>
        <w:t>﹞</w:t>
      </w:r>
      <w:r>
        <w:rPr>
          <w:rFonts w:ascii="宋体" w:hAnsi="宋体" w:cs="仿宋"/>
          <w:color w:val="000000" w:themeColor="text1"/>
          <w:sz w:val="24"/>
          <w:szCs w:val="24"/>
          <w:highlight w:val="none"/>
          <w14:textFill>
            <w14:solidFill>
              <w14:schemeClr w14:val="tx1"/>
            </w14:solidFill>
          </w14:textFill>
        </w:rPr>
        <w:t xml:space="preserve">46 </w:t>
      </w:r>
      <w:r>
        <w:rPr>
          <w:rFonts w:hint="eastAsia" w:ascii="宋体" w:hAnsi="宋体" w:cs="仿宋"/>
          <w:color w:val="000000" w:themeColor="text1"/>
          <w:sz w:val="24"/>
          <w:szCs w:val="24"/>
          <w:highlight w:val="none"/>
          <w14:textFill>
            <w14:solidFill>
              <w14:schemeClr w14:val="tx1"/>
            </w14:solidFill>
          </w14:textFill>
        </w:rPr>
        <w:t>号）的规定，本公司（联合体）参加</w:t>
      </w:r>
      <w:r>
        <w:rPr>
          <w:rFonts w:hint="eastAsia" w:ascii="宋体" w:hAnsi="宋体" w:cs="仿宋"/>
          <w:color w:val="000000" w:themeColor="text1"/>
          <w:sz w:val="24"/>
          <w:szCs w:val="24"/>
          <w:highlight w:val="none"/>
          <w:u w:val="single"/>
          <w:lang w:eastAsia="zh-CN"/>
          <w14:textFill>
            <w14:solidFill>
              <w14:schemeClr w14:val="tx1"/>
            </w14:solidFill>
          </w14:textFill>
        </w:rPr>
        <w:t>常熟市人民政府琴川街道办事处</w:t>
      </w:r>
      <w:r>
        <w:rPr>
          <w:rFonts w:hint="eastAsia" w:ascii="宋体" w:hAnsi="宋体" w:cs="仿宋"/>
          <w:color w:val="000000" w:themeColor="text1"/>
          <w:sz w:val="24"/>
          <w:szCs w:val="24"/>
          <w:highlight w:val="none"/>
          <w14:textFill>
            <w14:solidFill>
              <w14:schemeClr w14:val="tx1"/>
            </w14:solidFill>
          </w14:textFill>
        </w:rPr>
        <w:t>的</w:t>
      </w:r>
      <w:r>
        <w:rPr>
          <w:rFonts w:hint="eastAsia" w:ascii="宋体" w:hAnsi="宋体" w:cs="仿宋"/>
          <w:color w:val="000000" w:themeColor="text1"/>
          <w:sz w:val="24"/>
          <w:szCs w:val="24"/>
          <w:highlight w:val="none"/>
          <w:u w:val="single"/>
          <w:lang w:eastAsia="zh-CN"/>
          <w14:textFill>
            <w14:solidFill>
              <w14:schemeClr w14:val="tx1"/>
            </w14:solidFill>
          </w14:textFill>
        </w:rPr>
        <w:t>琴川街道2025年度雨污水管网设施养护</w:t>
      </w:r>
      <w:r>
        <w:rPr>
          <w:rFonts w:hint="eastAsia" w:ascii="宋体" w:hAnsi="宋体" w:cs="仿宋"/>
          <w:color w:val="000000" w:themeColor="text1"/>
          <w:sz w:val="24"/>
          <w:szCs w:val="24"/>
          <w:highlight w:val="none"/>
          <w14:textFill>
            <w14:solidFill>
              <w14:schemeClr w14:val="tx1"/>
            </w14:solidFill>
          </w14:textFill>
        </w:rPr>
        <w:t>采购活动，工程的施工单位全部为符合政策要求的中小企业（或者：服务全部由符合政策要求的中小企业承接）。相关企业（含联合体中的中小企业、签订分包意向协议的中小企业）的具体情况如下：</w:t>
      </w:r>
    </w:p>
    <w:p w14:paraId="27C7BCBE">
      <w:pPr>
        <w:widowControl/>
        <w:shd w:val="clear" w:color="auto" w:fill="FFFFFF"/>
        <w:spacing w:line="440" w:lineRule="exact"/>
        <w:ind w:firstLine="480"/>
        <w:jc w:val="left"/>
        <w:rPr>
          <w:rFonts w:ascii="宋体" w:hAnsi="宋体" w:cs="仿宋"/>
          <w:color w:val="000000" w:themeColor="text1"/>
          <w:sz w:val="24"/>
          <w:szCs w:val="24"/>
          <w:highlight w:val="none"/>
          <w14:textFill>
            <w14:solidFill>
              <w14:schemeClr w14:val="tx1"/>
            </w14:solidFill>
          </w14:textFill>
        </w:rPr>
      </w:pPr>
      <w:r>
        <w:rPr>
          <w:rFonts w:ascii="宋体" w:hAnsi="宋体" w:cs="仿宋"/>
          <w:color w:val="000000" w:themeColor="text1"/>
          <w:sz w:val="24"/>
          <w:szCs w:val="24"/>
          <w:highlight w:val="none"/>
          <w14:textFill>
            <w14:solidFill>
              <w14:schemeClr w14:val="tx1"/>
            </w14:solidFill>
          </w14:textFill>
        </w:rPr>
        <w:t>1.</w:t>
      </w:r>
      <w:r>
        <w:rPr>
          <w:rFonts w:hint="eastAsia" w:ascii="Times New Roman" w:hAnsi="Times New Roman"/>
          <w:color w:val="000000" w:themeColor="text1"/>
          <w:szCs w:val="20"/>
          <w:highlight w:val="none"/>
          <w14:textFill>
            <w14:solidFill>
              <w14:schemeClr w14:val="tx1"/>
            </w14:solidFill>
          </w14:textFill>
        </w:rPr>
        <w:t xml:space="preserve"> </w:t>
      </w:r>
      <w:r>
        <w:rPr>
          <w:rFonts w:hint="eastAsia" w:ascii="宋体" w:hAnsi="宋体" w:cs="仿宋"/>
          <w:color w:val="000000" w:themeColor="text1"/>
          <w:sz w:val="24"/>
          <w:szCs w:val="24"/>
          <w:highlight w:val="none"/>
          <w:u w:val="single"/>
          <w:lang w:eastAsia="zh-CN"/>
          <w14:textFill>
            <w14:solidFill>
              <w14:schemeClr w14:val="tx1"/>
            </w14:solidFill>
          </w14:textFill>
        </w:rPr>
        <w:t>琴川街道2025年度雨污水管网设施养护</w:t>
      </w:r>
      <w:r>
        <w:rPr>
          <w:rFonts w:hint="eastAsia" w:ascii="宋体" w:hAnsi="宋体" w:cs="仿宋"/>
          <w:color w:val="000000" w:themeColor="text1"/>
          <w:sz w:val="24"/>
          <w:szCs w:val="24"/>
          <w:highlight w:val="none"/>
          <w14:textFill>
            <w14:solidFill>
              <w14:schemeClr w14:val="tx1"/>
            </w14:solidFill>
          </w14:textFill>
        </w:rPr>
        <w:t>，属于</w:t>
      </w:r>
      <w:r>
        <w:rPr>
          <w:rFonts w:hint="eastAsia" w:ascii="宋体" w:hAnsi="宋体" w:cs="仿宋"/>
          <w:color w:val="000000" w:themeColor="text1"/>
          <w:sz w:val="24"/>
          <w:szCs w:val="24"/>
          <w:highlight w:val="none"/>
          <w:u w:val="single"/>
          <w:lang w:val="en-US" w:eastAsia="zh-CN"/>
          <w14:textFill>
            <w14:solidFill>
              <w14:schemeClr w14:val="tx1"/>
            </w14:solidFill>
          </w14:textFill>
        </w:rPr>
        <w:t>其他未列明行业</w:t>
      </w:r>
      <w:r>
        <w:rPr>
          <w:rFonts w:hint="eastAsia" w:ascii="宋体" w:hAnsi="宋体" w:cs="仿宋"/>
          <w:color w:val="000000" w:themeColor="text1"/>
          <w:sz w:val="24"/>
          <w:szCs w:val="24"/>
          <w:highlight w:val="none"/>
          <w14:textFill>
            <w14:solidFill>
              <w14:schemeClr w14:val="tx1"/>
            </w14:solidFill>
          </w14:textFill>
        </w:rPr>
        <w:t>；承建（承接）企业为</w:t>
      </w:r>
      <w:r>
        <w:rPr>
          <w:rFonts w:hint="eastAsia" w:ascii="宋体" w:hAnsi="宋体" w:cs="仿宋"/>
          <w:color w:val="000000" w:themeColor="text1"/>
          <w:sz w:val="24"/>
          <w:szCs w:val="24"/>
          <w:highlight w:val="none"/>
          <w:u w:val="single"/>
          <w14:textFill>
            <w14:solidFill>
              <w14:schemeClr w14:val="tx1"/>
            </w14:solidFill>
          </w14:textFill>
        </w:rPr>
        <w:t>（企业名称）</w:t>
      </w:r>
      <w:r>
        <w:rPr>
          <w:rFonts w:hint="eastAsia" w:ascii="宋体" w:hAnsi="宋体" w:cs="仿宋"/>
          <w:color w:val="000000" w:themeColor="text1"/>
          <w:sz w:val="24"/>
          <w:szCs w:val="24"/>
          <w:highlight w:val="none"/>
          <w14:textFill>
            <w14:solidFill>
              <w14:schemeClr w14:val="tx1"/>
            </w14:solidFill>
          </w14:textFill>
        </w:rPr>
        <w:t>，从业人员</w:t>
      </w:r>
      <w:r>
        <w:rPr>
          <w:rFonts w:hint="eastAsia" w:ascii="宋体" w:hAnsi="宋体" w:cs="仿宋"/>
          <w:color w:val="000000" w:themeColor="text1"/>
          <w:sz w:val="24"/>
          <w:szCs w:val="24"/>
          <w:highlight w:val="none"/>
          <w:u w:val="single"/>
          <w14:textFill>
            <w14:solidFill>
              <w14:schemeClr w14:val="tx1"/>
            </w14:solidFill>
          </w14:textFill>
        </w:rPr>
        <w:t xml:space="preserve">        </w:t>
      </w:r>
      <w:r>
        <w:rPr>
          <w:rFonts w:hint="eastAsia" w:ascii="宋体" w:hAnsi="宋体" w:cs="仿宋"/>
          <w:color w:val="000000" w:themeColor="text1"/>
          <w:sz w:val="24"/>
          <w:szCs w:val="24"/>
          <w:highlight w:val="none"/>
          <w14:textFill>
            <w14:solidFill>
              <w14:schemeClr w14:val="tx1"/>
            </w14:solidFill>
          </w14:textFill>
        </w:rPr>
        <w:t>人，营业收入为</w:t>
      </w:r>
      <w:r>
        <w:rPr>
          <w:rFonts w:hint="eastAsia" w:ascii="宋体" w:hAnsi="宋体" w:cs="仿宋"/>
          <w:color w:val="000000" w:themeColor="text1"/>
          <w:sz w:val="24"/>
          <w:szCs w:val="24"/>
          <w:highlight w:val="none"/>
          <w:u w:val="single"/>
          <w14:textFill>
            <w14:solidFill>
              <w14:schemeClr w14:val="tx1"/>
            </w14:solidFill>
          </w14:textFill>
        </w:rPr>
        <w:t xml:space="preserve">       </w:t>
      </w:r>
      <w:r>
        <w:rPr>
          <w:rFonts w:hint="eastAsia" w:ascii="宋体" w:hAnsi="宋体" w:cs="仿宋"/>
          <w:color w:val="000000" w:themeColor="text1"/>
          <w:sz w:val="24"/>
          <w:szCs w:val="24"/>
          <w:highlight w:val="none"/>
          <w14:textFill>
            <w14:solidFill>
              <w14:schemeClr w14:val="tx1"/>
            </w14:solidFill>
          </w14:textFill>
        </w:rPr>
        <w:t>万元，资产总额为</w:t>
      </w:r>
      <w:r>
        <w:rPr>
          <w:rFonts w:hint="eastAsia" w:ascii="宋体" w:hAnsi="宋体" w:cs="仿宋"/>
          <w:color w:val="000000" w:themeColor="text1"/>
          <w:sz w:val="24"/>
          <w:szCs w:val="24"/>
          <w:highlight w:val="none"/>
          <w:u w:val="single"/>
          <w14:textFill>
            <w14:solidFill>
              <w14:schemeClr w14:val="tx1"/>
            </w14:solidFill>
          </w14:textFill>
        </w:rPr>
        <w:t xml:space="preserve">        </w:t>
      </w:r>
      <w:r>
        <w:rPr>
          <w:rFonts w:hint="eastAsia" w:ascii="宋体" w:hAnsi="宋体" w:cs="仿宋"/>
          <w:color w:val="000000" w:themeColor="text1"/>
          <w:sz w:val="24"/>
          <w:szCs w:val="24"/>
          <w:highlight w:val="none"/>
          <w14:textFill>
            <w14:solidFill>
              <w14:schemeClr w14:val="tx1"/>
            </w14:solidFill>
          </w14:textFill>
        </w:rPr>
        <w:t>万元，属于</w:t>
      </w:r>
      <w:r>
        <w:rPr>
          <w:rFonts w:hint="eastAsia" w:ascii="宋体" w:hAnsi="宋体" w:cs="仿宋"/>
          <w:color w:val="000000" w:themeColor="text1"/>
          <w:sz w:val="24"/>
          <w:szCs w:val="24"/>
          <w:highlight w:val="none"/>
          <w:u w:val="single"/>
          <w14:textFill>
            <w14:solidFill>
              <w14:schemeClr w14:val="tx1"/>
            </w14:solidFill>
          </w14:textFill>
        </w:rPr>
        <w:t>（中型企业、小型企业、微型企业）</w:t>
      </w:r>
      <w:r>
        <w:rPr>
          <w:rFonts w:hint="eastAsia" w:ascii="宋体" w:hAnsi="宋体" w:cs="仿宋"/>
          <w:color w:val="000000" w:themeColor="text1"/>
          <w:sz w:val="24"/>
          <w:szCs w:val="24"/>
          <w:highlight w:val="none"/>
          <w14:textFill>
            <w14:solidFill>
              <w14:schemeClr w14:val="tx1"/>
            </w14:solidFill>
          </w14:textFill>
        </w:rPr>
        <w:t>；</w:t>
      </w:r>
    </w:p>
    <w:p w14:paraId="75D7CC2E">
      <w:pPr>
        <w:spacing w:line="440" w:lineRule="exact"/>
        <w:ind w:firstLine="480"/>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以上企业，不属于大企业的分支机构，不存在控股股东为大企业的情形，也不存在与大企业的负责人为同一人的情形。</w:t>
      </w:r>
    </w:p>
    <w:p w14:paraId="08683D84">
      <w:pPr>
        <w:spacing w:line="440" w:lineRule="exact"/>
        <w:ind w:firstLine="480"/>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本企业对上述声明内容的真实性负责。如有虚假，将依法承担相应责任。</w:t>
      </w:r>
    </w:p>
    <w:p w14:paraId="68A9B8CE">
      <w:pPr>
        <w:spacing w:line="560" w:lineRule="exact"/>
        <w:ind w:right="2640" w:firstLine="480"/>
        <w:jc w:val="right"/>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投标人名称</w:t>
      </w:r>
      <w:r>
        <w:rPr>
          <w:rFonts w:hint="eastAsia" w:ascii="宋体" w:hAnsi="宋体"/>
          <w:color w:val="000000" w:themeColor="text1"/>
          <w:sz w:val="24"/>
          <w:szCs w:val="24"/>
          <w:highlight w:val="none"/>
          <w14:textFill>
            <w14:solidFill>
              <w14:schemeClr w14:val="tx1"/>
            </w14:solidFill>
          </w14:textFill>
        </w:rPr>
        <w:t>（加盖CA电子公章）</w:t>
      </w:r>
      <w:r>
        <w:rPr>
          <w:rFonts w:hint="eastAsia" w:ascii="宋体" w:hAnsi="宋体"/>
          <w:color w:val="000000" w:themeColor="text1"/>
          <w:sz w:val="24"/>
          <w:szCs w:val="21"/>
          <w:highlight w:val="none"/>
          <w14:textFill>
            <w14:solidFill>
              <w14:schemeClr w14:val="tx1"/>
            </w14:solidFill>
          </w14:textFill>
        </w:rPr>
        <w:t>：</w:t>
      </w:r>
    </w:p>
    <w:p w14:paraId="5C603050">
      <w:pPr>
        <w:spacing w:line="560" w:lineRule="exact"/>
        <w:ind w:right="2640" w:firstLine="480"/>
        <w:jc w:val="right"/>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日 </w:t>
      </w:r>
      <w:r>
        <w:rPr>
          <w:rFonts w:ascii="宋体" w:hAnsi="宋体"/>
          <w:color w:val="000000" w:themeColor="text1"/>
          <w:sz w:val="24"/>
          <w:szCs w:val="21"/>
          <w:highlight w:val="none"/>
          <w14:textFill>
            <w14:solidFill>
              <w14:schemeClr w14:val="tx1"/>
            </w14:solidFill>
          </w14:textFill>
        </w:rPr>
        <w:t xml:space="preserve"> </w:t>
      </w:r>
      <w:r>
        <w:rPr>
          <w:rFonts w:hint="eastAsia" w:ascii="宋体" w:hAnsi="宋体"/>
          <w:color w:val="000000" w:themeColor="text1"/>
          <w:sz w:val="24"/>
          <w:szCs w:val="21"/>
          <w:highlight w:val="none"/>
          <w14:textFill>
            <w14:solidFill>
              <w14:schemeClr w14:val="tx1"/>
            </w14:solidFill>
          </w14:textFill>
        </w:rPr>
        <w:t>期：</w:t>
      </w:r>
    </w:p>
    <w:p w14:paraId="68626504">
      <w:pPr>
        <w:spacing w:line="44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注：（1）从业人员、营业收入、资产总额填报上一年度数据，无上一年度数据的新成立企业可不填报。</w:t>
      </w:r>
    </w:p>
    <w:p w14:paraId="01504B02">
      <w:pPr>
        <w:spacing w:line="440" w:lineRule="exact"/>
        <w:ind w:firstLine="482"/>
        <w:jc w:val="left"/>
        <w:rPr>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w:t>
      </w:r>
      <w:r>
        <w:rPr>
          <w:b/>
          <w:bCs/>
          <w:color w:val="000000" w:themeColor="text1"/>
          <w:sz w:val="24"/>
          <w:szCs w:val="24"/>
          <w:highlight w:val="none"/>
          <w14:textFill>
            <w14:solidFill>
              <w14:schemeClr w14:val="tx1"/>
            </w14:solidFill>
          </w14:textFill>
        </w:rPr>
        <w:t>2</w:t>
      </w:r>
      <w:r>
        <w:rPr>
          <w:rFonts w:hint="eastAsia"/>
          <w:b/>
          <w:bCs/>
          <w:color w:val="000000" w:themeColor="text1"/>
          <w:sz w:val="24"/>
          <w:szCs w:val="24"/>
          <w:highlight w:val="none"/>
          <w14:textFill>
            <w14:solidFill>
              <w14:schemeClr w14:val="tx1"/>
            </w14:solidFill>
          </w14:textFill>
        </w:rPr>
        <w:t>）本项目所属行业为：</w:t>
      </w:r>
      <w:r>
        <w:rPr>
          <w:rFonts w:hint="eastAsia"/>
          <w:b/>
          <w:bCs/>
          <w:color w:val="000000" w:themeColor="text1"/>
          <w:sz w:val="24"/>
          <w:szCs w:val="24"/>
          <w:highlight w:val="none"/>
          <w:lang w:val="en-US" w:eastAsia="zh-CN"/>
          <w14:textFill>
            <w14:solidFill>
              <w14:schemeClr w14:val="tx1"/>
            </w14:solidFill>
          </w14:textFill>
        </w:rPr>
        <w:t>其他未列明行业</w:t>
      </w:r>
      <w:r>
        <w:rPr>
          <w:rFonts w:hint="eastAsia"/>
          <w:b/>
          <w:bCs/>
          <w:color w:val="000000" w:themeColor="text1"/>
          <w:sz w:val="24"/>
          <w:szCs w:val="24"/>
          <w:highlight w:val="none"/>
          <w14:textFill>
            <w14:solidFill>
              <w14:schemeClr w14:val="tx1"/>
            </w14:solidFill>
          </w14:textFill>
        </w:rPr>
        <w:t>。</w:t>
      </w:r>
    </w:p>
    <w:p w14:paraId="5C0CCCB9">
      <w:pPr>
        <w:spacing w:line="440" w:lineRule="exact"/>
        <w:ind w:firstLine="482"/>
        <w:rPr>
          <w:b/>
          <w:bCs/>
          <w:color w:val="000000" w:themeColor="text1"/>
          <w:sz w:val="24"/>
          <w:szCs w:val="24"/>
          <w:highlight w:val="none"/>
          <w14:textFill>
            <w14:solidFill>
              <w14:schemeClr w14:val="tx1"/>
            </w14:solidFill>
          </w14:textFill>
        </w:rPr>
      </w:pPr>
      <w:r>
        <w:rPr>
          <w:b/>
          <w:bCs/>
          <w:color w:val="000000" w:themeColor="text1"/>
          <w:sz w:val="24"/>
          <w:szCs w:val="24"/>
          <w:highlight w:val="none"/>
          <w14:textFill>
            <w14:solidFill>
              <w14:schemeClr w14:val="tx1"/>
            </w14:solidFill>
          </w14:textFill>
        </w:rPr>
        <w:t>（3）上述</w:t>
      </w:r>
      <w:r>
        <w:rPr>
          <w:rFonts w:hint="eastAsia"/>
          <w:b/>
          <w:bCs/>
          <w:color w:val="000000" w:themeColor="text1"/>
          <w:sz w:val="24"/>
          <w:szCs w:val="24"/>
          <w:highlight w:val="none"/>
          <w14:textFill>
            <w14:solidFill>
              <w14:schemeClr w14:val="tx1"/>
            </w14:solidFill>
          </w14:textFill>
        </w:rPr>
        <w:t>“</w:t>
      </w:r>
      <w:r>
        <w:rPr>
          <w:b/>
          <w:bCs/>
          <w:color w:val="000000" w:themeColor="text1"/>
          <w:sz w:val="24"/>
          <w:szCs w:val="24"/>
          <w:highlight w:val="none"/>
          <w14:textFill>
            <w14:solidFill>
              <w14:schemeClr w14:val="tx1"/>
            </w14:solidFill>
          </w14:textFill>
        </w:rPr>
        <w:t>中小企业声明函</w:t>
      </w:r>
      <w:r>
        <w:rPr>
          <w:rFonts w:hint="eastAsia"/>
          <w:b/>
          <w:bCs/>
          <w:color w:val="000000" w:themeColor="text1"/>
          <w:sz w:val="24"/>
          <w:szCs w:val="24"/>
          <w:highlight w:val="none"/>
          <w14:textFill>
            <w14:solidFill>
              <w14:schemeClr w14:val="tx1"/>
            </w14:solidFill>
          </w14:textFill>
        </w:rPr>
        <w:t>”</w:t>
      </w:r>
      <w:r>
        <w:rPr>
          <w:b/>
          <w:bCs/>
          <w:color w:val="000000" w:themeColor="text1"/>
          <w:sz w:val="24"/>
          <w:szCs w:val="24"/>
          <w:highlight w:val="none"/>
          <w14:textFill>
            <w14:solidFill>
              <w14:schemeClr w14:val="tx1"/>
            </w14:solidFill>
          </w14:textFill>
        </w:rPr>
        <w:t>格式原则上不得改动，因擅自改动引起的评审风险由</w:t>
      </w:r>
      <w:r>
        <w:rPr>
          <w:rFonts w:hint="eastAsia"/>
          <w:b/>
          <w:bCs/>
          <w:color w:val="000000" w:themeColor="text1"/>
          <w:sz w:val="24"/>
          <w:szCs w:val="24"/>
          <w:highlight w:val="none"/>
          <w14:textFill>
            <w14:solidFill>
              <w14:schemeClr w14:val="tx1"/>
            </w14:solidFill>
          </w14:textFill>
        </w:rPr>
        <w:t>投标人</w:t>
      </w:r>
      <w:r>
        <w:rPr>
          <w:b/>
          <w:bCs/>
          <w:color w:val="000000" w:themeColor="text1"/>
          <w:sz w:val="24"/>
          <w:szCs w:val="24"/>
          <w:highlight w:val="none"/>
          <w14:textFill>
            <w14:solidFill>
              <w14:schemeClr w14:val="tx1"/>
            </w14:solidFill>
          </w14:textFill>
        </w:rPr>
        <w:t>自行承担。</w:t>
      </w:r>
    </w:p>
    <w:p w14:paraId="4870D4F7">
      <w:pPr>
        <w:spacing w:line="440" w:lineRule="exact"/>
        <w:ind w:firstLine="482"/>
        <w:rPr>
          <w:color w:val="000000" w:themeColor="text1"/>
          <w:sz w:val="24"/>
          <w:szCs w:val="24"/>
          <w:highlight w:val="none"/>
          <w14:textFill>
            <w14:solidFill>
              <w14:schemeClr w14:val="tx1"/>
            </w14:solidFill>
          </w14:textFill>
        </w:rPr>
      </w:pPr>
      <w:bookmarkStart w:id="251" w:name="_Hlk100143292"/>
      <w:r>
        <w:rPr>
          <w:rFonts w:hint="eastAsia"/>
          <w:b/>
          <w:bCs/>
          <w:color w:val="000000" w:themeColor="text1"/>
          <w:sz w:val="24"/>
          <w:szCs w:val="24"/>
          <w:highlight w:val="none"/>
          <w14:textFill>
            <w14:solidFill>
              <w14:schemeClr w14:val="tx1"/>
            </w14:solidFill>
          </w14:textFill>
        </w:rPr>
        <w:t>（</w:t>
      </w:r>
      <w:r>
        <w:rPr>
          <w:b/>
          <w:bCs/>
          <w:color w:val="000000" w:themeColor="text1"/>
          <w:sz w:val="24"/>
          <w:szCs w:val="24"/>
          <w:highlight w:val="none"/>
          <w14:textFill>
            <w14:solidFill>
              <w14:schemeClr w14:val="tx1"/>
            </w14:solidFill>
          </w14:textFill>
        </w:rPr>
        <w:t>4</w:t>
      </w:r>
      <w:r>
        <w:rPr>
          <w:rFonts w:hint="eastAsia"/>
          <w:b/>
          <w:bCs/>
          <w:color w:val="000000" w:themeColor="text1"/>
          <w:sz w:val="24"/>
          <w:szCs w:val="24"/>
          <w:highlight w:val="none"/>
          <w14:textFill>
            <w14:solidFill>
              <w14:schemeClr w14:val="tx1"/>
            </w14:solidFill>
          </w14:textFill>
        </w:rPr>
        <w:t>）如未对上述声明函内（中型企业、小型企业、微型企业）进行勾选或明确，</w:t>
      </w:r>
      <w:r>
        <w:rPr>
          <w:b/>
          <w:bCs/>
          <w:color w:val="000000" w:themeColor="text1"/>
          <w:sz w:val="24"/>
          <w:szCs w:val="24"/>
          <w:highlight w:val="none"/>
          <w14:textFill>
            <w14:solidFill>
              <w14:schemeClr w14:val="tx1"/>
            </w14:solidFill>
          </w14:textFill>
        </w:rPr>
        <w:t>引起的评审风险由</w:t>
      </w:r>
      <w:r>
        <w:rPr>
          <w:rFonts w:hint="eastAsia"/>
          <w:b/>
          <w:bCs/>
          <w:color w:val="000000" w:themeColor="text1"/>
          <w:sz w:val="24"/>
          <w:szCs w:val="24"/>
          <w:highlight w:val="none"/>
          <w14:textFill>
            <w14:solidFill>
              <w14:schemeClr w14:val="tx1"/>
            </w14:solidFill>
          </w14:textFill>
        </w:rPr>
        <w:t>投标人</w:t>
      </w:r>
      <w:r>
        <w:rPr>
          <w:b/>
          <w:bCs/>
          <w:color w:val="000000" w:themeColor="text1"/>
          <w:sz w:val="24"/>
          <w:szCs w:val="24"/>
          <w:highlight w:val="none"/>
          <w14:textFill>
            <w14:solidFill>
              <w14:schemeClr w14:val="tx1"/>
            </w14:solidFill>
          </w14:textFill>
        </w:rPr>
        <w:t>自行承担。</w:t>
      </w:r>
      <w:bookmarkEnd w:id="251"/>
    </w:p>
    <w:p w14:paraId="5FEDB287">
      <w:pPr>
        <w:spacing w:line="440" w:lineRule="exact"/>
        <w:ind w:firstLine="643"/>
        <w:jc w:val="center"/>
        <w:outlineLvl w:val="1"/>
        <w:rPr>
          <w:rFonts w:ascii="Times New Roman" w:hAnsi="Times New Roman"/>
          <w:b/>
          <w:bCs/>
          <w:color w:val="000000" w:themeColor="text1"/>
          <w:sz w:val="28"/>
          <w:szCs w:val="28"/>
          <w:highlight w:val="none"/>
          <w14:textFill>
            <w14:solidFill>
              <w14:schemeClr w14:val="tx1"/>
            </w14:solidFill>
          </w14:textFill>
        </w:rPr>
      </w:pPr>
      <w:r>
        <w:rPr>
          <w:rFonts w:ascii="黑体" w:hAnsi="黑体" w:eastAsia="黑体"/>
          <w:b/>
          <w:color w:val="000000" w:themeColor="text1"/>
          <w:sz w:val="32"/>
          <w:szCs w:val="32"/>
          <w:highlight w:val="none"/>
          <w14:textFill>
            <w14:solidFill>
              <w14:schemeClr w14:val="tx1"/>
            </w14:solidFill>
          </w14:textFill>
        </w:rPr>
        <w:br w:type="page" w:clear="all"/>
      </w:r>
      <w:bookmarkStart w:id="252" w:name="_Toc11278"/>
      <w:r>
        <w:rPr>
          <w:rFonts w:hint="eastAsia" w:ascii="Times New Roman" w:hAnsi="Times New Roman"/>
          <w:b/>
          <w:bCs/>
          <w:color w:val="000000" w:themeColor="text1"/>
          <w:sz w:val="28"/>
          <w:szCs w:val="28"/>
          <w:highlight w:val="none"/>
          <w14:textFill>
            <w14:solidFill>
              <w14:schemeClr w14:val="tx1"/>
            </w14:solidFill>
          </w14:textFill>
        </w:rPr>
        <w:t>附件</w:t>
      </w:r>
      <w:r>
        <w:rPr>
          <w:rFonts w:hint="eastAsia" w:ascii="Times New Roman" w:hAnsi="Times New Roman"/>
          <w:b/>
          <w:bCs/>
          <w:color w:val="000000" w:themeColor="text1"/>
          <w:sz w:val="28"/>
          <w:szCs w:val="28"/>
          <w:highlight w:val="none"/>
          <w:lang w:val="en-US" w:eastAsia="zh-CN"/>
          <w14:textFill>
            <w14:solidFill>
              <w14:schemeClr w14:val="tx1"/>
            </w14:solidFill>
          </w14:textFill>
        </w:rPr>
        <w:t>13</w:t>
      </w:r>
      <w:r>
        <w:rPr>
          <w:rFonts w:hint="eastAsia" w:ascii="Times New Roman" w:hAnsi="Times New Roman"/>
          <w:b/>
          <w:bCs/>
          <w:color w:val="000000" w:themeColor="text1"/>
          <w:sz w:val="28"/>
          <w:szCs w:val="28"/>
          <w:highlight w:val="none"/>
          <w14:textFill>
            <w14:solidFill>
              <w14:schemeClr w14:val="tx1"/>
            </w14:solidFill>
          </w14:textFill>
        </w:rPr>
        <w:t xml:space="preserve"> 残疾人福利性单位声明函</w:t>
      </w:r>
      <w:bookmarkEnd w:id="252"/>
    </w:p>
    <w:p w14:paraId="725C40F8">
      <w:pPr>
        <w:spacing w:line="588" w:lineRule="exact"/>
        <w:ind w:firstLine="480"/>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themeColor="text1"/>
          <w:sz w:val="24"/>
          <w:szCs w:val="21"/>
          <w:highlight w:val="none"/>
          <w:u w:val="single"/>
          <w14:textFill>
            <w14:solidFill>
              <w14:schemeClr w14:val="tx1"/>
            </w14:solidFill>
          </w14:textFill>
        </w:rPr>
        <w:t xml:space="preserve">       </w:t>
      </w:r>
      <w:r>
        <w:rPr>
          <w:rFonts w:hint="eastAsia" w:ascii="宋体" w:hAnsi="宋体"/>
          <w:color w:val="000000" w:themeColor="text1"/>
          <w:sz w:val="24"/>
          <w:szCs w:val="21"/>
          <w:highlight w:val="none"/>
          <w14:textFill>
            <w14:solidFill>
              <w14:schemeClr w14:val="tx1"/>
            </w14:solidFill>
          </w14:textFill>
        </w:rPr>
        <w:t>项目（分包号：**）采购活动提供本单位制造的货物，或者提供其他残疾人福利性单位制造的货物（不包括使用非残疾人福利性单位注册商标的货物）。</w:t>
      </w:r>
    </w:p>
    <w:p w14:paraId="2C7E4FDC">
      <w:pPr>
        <w:spacing w:line="588" w:lineRule="exact"/>
        <w:ind w:firstLine="480"/>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本单位对上述声明的真实性负责。如有虚假，将依法承担相应责任。</w:t>
      </w:r>
    </w:p>
    <w:p w14:paraId="0A141E86">
      <w:pPr>
        <w:spacing w:line="588" w:lineRule="exact"/>
        <w:ind w:firstLine="480"/>
        <w:rPr>
          <w:rFonts w:ascii="宋体" w:hAnsi="宋体"/>
          <w:color w:val="000000" w:themeColor="text1"/>
          <w:sz w:val="24"/>
          <w:szCs w:val="21"/>
          <w:highlight w:val="none"/>
          <w14:textFill>
            <w14:solidFill>
              <w14:schemeClr w14:val="tx1"/>
            </w14:solidFill>
          </w14:textFill>
        </w:rPr>
      </w:pPr>
    </w:p>
    <w:p w14:paraId="369EFA46">
      <w:pPr>
        <w:spacing w:line="588" w:lineRule="exact"/>
        <w:ind w:firstLine="480"/>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（备注：1、投标人如不提供此声明函，价格将不做相应扣除。2、中标人为残疾人福利单位的，此声明函将随中标结果同时公告，接受社会监督）</w:t>
      </w:r>
    </w:p>
    <w:p w14:paraId="4BA84959">
      <w:pPr>
        <w:spacing w:line="588" w:lineRule="exact"/>
        <w:ind w:firstLine="624"/>
        <w:rPr>
          <w:rFonts w:ascii="仿宋_GB2312" w:hAnsi="Times New Roman" w:eastAsia="仿宋_GB2312"/>
          <w:color w:val="000000" w:themeColor="text1"/>
          <w:spacing w:val="6"/>
          <w:sz w:val="30"/>
          <w:szCs w:val="30"/>
          <w:highlight w:val="none"/>
          <w14:textFill>
            <w14:solidFill>
              <w14:schemeClr w14:val="tx1"/>
            </w14:solidFill>
          </w14:textFill>
        </w:rPr>
      </w:pPr>
    </w:p>
    <w:p w14:paraId="50EB75B9">
      <w:pPr>
        <w:tabs>
          <w:tab w:val="left" w:pos="4860"/>
        </w:tabs>
        <w:spacing w:line="588" w:lineRule="exact"/>
        <w:ind w:right="1560" w:firstLine="624"/>
        <w:jc w:val="center"/>
        <w:rPr>
          <w:rFonts w:ascii="宋体" w:hAnsi="宋体"/>
          <w:color w:val="000000" w:themeColor="text1"/>
          <w:sz w:val="24"/>
          <w:szCs w:val="21"/>
          <w:highlight w:val="none"/>
          <w14:textFill>
            <w14:solidFill>
              <w14:schemeClr w14:val="tx1"/>
            </w14:solidFill>
          </w14:textFill>
        </w:rPr>
      </w:pPr>
      <w:r>
        <w:rPr>
          <w:rFonts w:hint="eastAsia" w:ascii="仿宋_GB2312" w:hAnsi="Times New Roman" w:eastAsia="仿宋_GB2312"/>
          <w:color w:val="000000" w:themeColor="text1"/>
          <w:spacing w:val="6"/>
          <w:sz w:val="30"/>
          <w:szCs w:val="30"/>
          <w:highlight w:val="none"/>
          <w14:textFill>
            <w14:solidFill>
              <w14:schemeClr w14:val="tx1"/>
            </w14:solidFill>
          </w14:textFill>
        </w:rPr>
        <w:t xml:space="preserve">             </w:t>
      </w:r>
      <w:r>
        <w:rPr>
          <w:rFonts w:hint="eastAsia" w:ascii="宋体" w:hAnsi="宋体"/>
          <w:color w:val="000000" w:themeColor="text1"/>
          <w:sz w:val="24"/>
          <w:szCs w:val="21"/>
          <w:highlight w:val="none"/>
          <w14:textFill>
            <w14:solidFill>
              <w14:schemeClr w14:val="tx1"/>
            </w14:solidFill>
          </w14:textFill>
        </w:rPr>
        <w:t xml:space="preserve">          投标人全称（加盖CA电子公章）：</w:t>
      </w:r>
    </w:p>
    <w:p w14:paraId="5118253B">
      <w:pPr>
        <w:tabs>
          <w:tab w:val="left" w:pos="4860"/>
        </w:tabs>
        <w:spacing w:line="588" w:lineRule="exact"/>
        <w:ind w:right="1560" w:firstLine="480"/>
        <w:jc w:val="center"/>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        日  期：</w:t>
      </w:r>
    </w:p>
    <w:p w14:paraId="6D039E3D">
      <w:pP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br w:type="page" w:clear="all"/>
      </w:r>
    </w:p>
    <w:p w14:paraId="44BC0966">
      <w:pPr>
        <w:spacing w:line="440" w:lineRule="exact"/>
        <w:ind w:firstLine="562"/>
        <w:jc w:val="center"/>
        <w:outlineLvl w:val="1"/>
        <w:rPr>
          <w:rFonts w:ascii="Times New Roman" w:hAnsi="Times New Roman"/>
          <w:b/>
          <w:bCs/>
          <w:color w:val="000000" w:themeColor="text1"/>
          <w:sz w:val="28"/>
          <w:szCs w:val="28"/>
          <w:highlight w:val="none"/>
          <w14:textFill>
            <w14:solidFill>
              <w14:schemeClr w14:val="tx1"/>
            </w14:solidFill>
          </w14:textFill>
        </w:rPr>
      </w:pPr>
      <w:bookmarkStart w:id="253" w:name="_Toc155086474"/>
      <w:bookmarkStart w:id="254" w:name="_Toc155086574"/>
      <w:bookmarkStart w:id="255" w:name="_Toc25694"/>
      <w:bookmarkStart w:id="256" w:name="_Toc17235"/>
      <w:r>
        <w:rPr>
          <w:rFonts w:hint="eastAsia" w:ascii="Times New Roman" w:hAnsi="Times New Roman"/>
          <w:b/>
          <w:bCs/>
          <w:color w:val="000000" w:themeColor="text1"/>
          <w:sz w:val="28"/>
          <w:szCs w:val="28"/>
          <w:highlight w:val="none"/>
          <w14:textFill>
            <w14:solidFill>
              <w14:schemeClr w14:val="tx1"/>
            </w14:solidFill>
          </w14:textFill>
        </w:rPr>
        <w:t>附件</w:t>
      </w:r>
      <w:r>
        <w:rPr>
          <w:rFonts w:hint="eastAsia" w:ascii="Times New Roman" w:hAnsi="Times New Roman"/>
          <w:b/>
          <w:bCs/>
          <w:color w:val="000000" w:themeColor="text1"/>
          <w:sz w:val="28"/>
          <w:szCs w:val="28"/>
          <w:highlight w:val="none"/>
          <w:lang w:val="en-US" w:eastAsia="zh-CN"/>
          <w14:textFill>
            <w14:solidFill>
              <w14:schemeClr w14:val="tx1"/>
            </w14:solidFill>
          </w14:textFill>
        </w:rPr>
        <w:t>14</w:t>
      </w:r>
      <w:r>
        <w:rPr>
          <w:rFonts w:hint="eastAsia" w:ascii="Times New Roman" w:hAnsi="Times New Roman"/>
          <w:b/>
          <w:bCs/>
          <w:color w:val="000000" w:themeColor="text1"/>
          <w:sz w:val="28"/>
          <w:szCs w:val="28"/>
          <w:highlight w:val="none"/>
          <w14:textFill>
            <w14:solidFill>
              <w14:schemeClr w14:val="tx1"/>
            </w14:solidFill>
          </w14:textFill>
        </w:rPr>
        <w:t>投标函</w:t>
      </w:r>
      <w:bookmarkEnd w:id="253"/>
      <w:bookmarkEnd w:id="254"/>
      <w:bookmarkEnd w:id="255"/>
      <w:bookmarkEnd w:id="256"/>
    </w:p>
    <w:p w14:paraId="42255AB6">
      <w:pPr>
        <w:spacing w:line="420" w:lineRule="exact"/>
        <w:jc w:val="left"/>
        <w:rPr>
          <w:rFonts w:ascii="宋体" w:hAnsi="宋体"/>
          <w:color w:val="000000" w:themeColor="text1"/>
          <w:sz w:val="24"/>
          <w:szCs w:val="21"/>
          <w:highlight w:val="none"/>
          <w14:textFill>
            <w14:solidFill>
              <w14:schemeClr w14:val="tx1"/>
            </w14:solidFill>
          </w14:textFill>
        </w:rPr>
      </w:pPr>
    </w:p>
    <w:p w14:paraId="29795668">
      <w:pPr>
        <w:spacing w:line="440" w:lineRule="exact"/>
        <w:rPr>
          <w:rFonts w:ascii="宋体" w:hAnsi="宋体"/>
          <w:color w:val="000000" w:themeColor="text1"/>
          <w:sz w:val="24"/>
          <w:szCs w:val="24"/>
          <w:highlight w:val="none"/>
          <w:lang w:val="zh-CN"/>
          <w14:textFill>
            <w14:solidFill>
              <w14:schemeClr w14:val="tx1"/>
            </w14:solidFill>
          </w14:textFill>
        </w:rPr>
      </w:pPr>
      <w:r>
        <w:rPr>
          <w:rFonts w:hint="eastAsia" w:ascii="宋体" w:hAnsi="宋体"/>
          <w:color w:val="000000" w:themeColor="text1"/>
          <w:sz w:val="24"/>
          <w:szCs w:val="24"/>
          <w:highlight w:val="none"/>
          <w:lang w:val="zh-CN"/>
          <w14:textFill>
            <w14:solidFill>
              <w14:schemeClr w14:val="tx1"/>
            </w14:solidFill>
          </w14:textFill>
        </w:rPr>
        <w:t>致：</w:t>
      </w:r>
      <w:r>
        <w:rPr>
          <w:rFonts w:hint="eastAsia" w:ascii="宋体" w:hAnsi="宋体"/>
          <w:color w:val="000000" w:themeColor="text1"/>
          <w:sz w:val="24"/>
          <w:szCs w:val="24"/>
          <w:highlight w:val="none"/>
          <w:u w:val="single"/>
          <w:lang w:val="zh-CN"/>
          <w14:textFill>
            <w14:solidFill>
              <w14:schemeClr w14:val="tx1"/>
            </w14:solidFill>
          </w14:textFill>
        </w:rPr>
        <w:t>苏州新一造价师价格事务所有限公司</w:t>
      </w:r>
    </w:p>
    <w:p w14:paraId="48126E46">
      <w:pPr>
        <w:pStyle w:val="280"/>
        <w:spacing w:before="0" w:after="0" w:line="42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根据贵方的</w:t>
      </w:r>
      <w:r>
        <w:rPr>
          <w:rFonts w:hint="eastAsia" w:ascii="宋体" w:hAnsi="宋体"/>
          <w:color w:val="000000" w:themeColor="text1"/>
          <w:szCs w:val="21"/>
          <w:highlight w:val="none"/>
          <w:lang w:eastAsia="zh-CN"/>
          <w14:textFill>
            <w14:solidFill>
              <w14:schemeClr w14:val="tx1"/>
            </w14:solidFill>
          </w14:textFill>
        </w:rPr>
        <w:t>JSZC-320581-SZXY-G2025-0002</w:t>
      </w:r>
      <w:r>
        <w:rPr>
          <w:rFonts w:hint="eastAsia" w:ascii="宋体" w:hAnsi="宋体"/>
          <w:color w:val="000000" w:themeColor="text1"/>
          <w:szCs w:val="21"/>
          <w:highlight w:val="none"/>
          <w14:textFill>
            <w14:solidFill>
              <w14:schemeClr w14:val="tx1"/>
            </w14:solidFill>
          </w14:textFill>
        </w:rPr>
        <w:t>号招标文件，正式授权下述______(姓名)代表我方______________（投标人的名称），全权处理本次项目投标的有关事宜。</w:t>
      </w:r>
    </w:p>
    <w:p w14:paraId="14E66B46">
      <w:pPr>
        <w:pStyle w:val="280"/>
        <w:spacing w:before="0" w:after="0" w:line="42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据此函，__________（姓名）代表兹宣布同意如下：</w:t>
      </w:r>
    </w:p>
    <w:p w14:paraId="75F6E60B">
      <w:pPr>
        <w:pStyle w:val="280"/>
        <w:spacing w:before="0" w:after="0" w:line="42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1.按招标文件规定的各项要求，向买方提供所需服务（包含与服务相关的货物）。</w:t>
      </w:r>
    </w:p>
    <w:p w14:paraId="2AD9DA67">
      <w:pPr>
        <w:pStyle w:val="280"/>
        <w:spacing w:before="0" w:after="0" w:line="42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2.我们完全理解贵方不一定将合同授予最低报价的投标人。</w:t>
      </w:r>
    </w:p>
    <w:p w14:paraId="36D42622">
      <w:pPr>
        <w:pStyle w:val="280"/>
        <w:spacing w:before="0" w:after="0" w:line="42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3.我们已详细审核全部招标文件及其有效补充文件，我们知道必须放弃提出含糊不清或误解问题的权利。</w:t>
      </w:r>
    </w:p>
    <w:p w14:paraId="5355A31C">
      <w:pPr>
        <w:pStyle w:val="280"/>
        <w:spacing w:before="0" w:after="0" w:line="42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4.我们同意从规定的开标日期起遵循本投标文件，并在规定的投标有效期期满之前均具有约束力。</w:t>
      </w:r>
    </w:p>
    <w:p w14:paraId="1C7EBBF8">
      <w:pPr>
        <w:pStyle w:val="280"/>
        <w:spacing w:before="0" w:after="0" w:line="42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5</w:t>
      </w:r>
      <w:r>
        <w:rPr>
          <w:rFonts w:hint="eastAsia" w:ascii="宋体" w:hAnsi="宋体"/>
          <w:color w:val="000000" w:themeColor="text1"/>
          <w:szCs w:val="21"/>
          <w:highlight w:val="none"/>
          <w14:textFill>
            <w14:solidFill>
              <w14:schemeClr w14:val="tx1"/>
            </w14:solidFill>
          </w14:textFill>
        </w:rPr>
        <w:t>.同意向贵方提供贵方可能另外要求的与投标有关的任何证据或资料，并保证我方已提供和将要提供的文件是真实的、准确的。</w:t>
      </w:r>
    </w:p>
    <w:p w14:paraId="6E1D8BC4">
      <w:pPr>
        <w:pStyle w:val="280"/>
        <w:spacing w:before="0" w:after="0" w:line="42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6</w:t>
      </w:r>
      <w:r>
        <w:rPr>
          <w:rFonts w:hint="eastAsia" w:ascii="宋体" w:hAnsi="宋体"/>
          <w:color w:val="000000" w:themeColor="text1"/>
          <w:szCs w:val="21"/>
          <w:highlight w:val="none"/>
          <w14:textFill>
            <w14:solidFill>
              <w14:schemeClr w14:val="tx1"/>
            </w14:solidFill>
          </w14:textFill>
        </w:rPr>
        <w:t>.一旦我方中标,我方将根据招标文件的规定，严格履行合同的责任和义务,并保证在招标文件规定的时间完成项目，交付买方验收、使用。</w:t>
      </w:r>
    </w:p>
    <w:p w14:paraId="66CBAE4B">
      <w:pPr>
        <w:pStyle w:val="280"/>
        <w:spacing w:before="0" w:after="0" w:line="42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7</w:t>
      </w:r>
      <w:r>
        <w:rPr>
          <w:rFonts w:hint="eastAsia" w:ascii="宋体" w:hAnsi="宋体"/>
          <w:color w:val="000000" w:themeColor="text1"/>
          <w:szCs w:val="21"/>
          <w:highlight w:val="none"/>
          <w14:textFill>
            <w14:solidFill>
              <w14:schemeClr w14:val="tx1"/>
            </w14:solidFill>
          </w14:textFill>
        </w:rPr>
        <w:t>.与本投标有关的正式通讯地址为：</w:t>
      </w:r>
    </w:p>
    <w:p w14:paraId="729D3711">
      <w:pPr>
        <w:pStyle w:val="280"/>
        <w:spacing w:before="0" w:after="0" w:line="420" w:lineRule="exact"/>
        <w:ind w:left="42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地          址：</w:t>
      </w:r>
    </w:p>
    <w:p w14:paraId="7C70B31B">
      <w:pPr>
        <w:pStyle w:val="280"/>
        <w:spacing w:before="0" w:after="0" w:line="420" w:lineRule="exact"/>
        <w:ind w:left="42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邮          编：</w:t>
      </w:r>
    </w:p>
    <w:p w14:paraId="6590D809">
      <w:pPr>
        <w:pStyle w:val="280"/>
        <w:spacing w:before="0" w:after="0" w:line="420" w:lineRule="exact"/>
        <w:ind w:left="42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电          话：</w:t>
      </w:r>
    </w:p>
    <w:p w14:paraId="62D51BD3">
      <w:pPr>
        <w:pStyle w:val="280"/>
        <w:spacing w:before="0" w:after="0" w:line="420" w:lineRule="exact"/>
        <w:ind w:left="42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传          真：</w:t>
      </w:r>
    </w:p>
    <w:p w14:paraId="7907A04F">
      <w:pPr>
        <w:pStyle w:val="280"/>
        <w:spacing w:before="0" w:after="0" w:line="420" w:lineRule="exact"/>
        <w:ind w:left="42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投 标 人开户行：</w:t>
      </w:r>
    </w:p>
    <w:p w14:paraId="66593CFB">
      <w:pPr>
        <w:pStyle w:val="280"/>
        <w:spacing w:before="0" w:after="0" w:line="420" w:lineRule="exact"/>
        <w:ind w:left="42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账          号： </w:t>
      </w:r>
    </w:p>
    <w:p w14:paraId="01489E38">
      <w:pPr>
        <w:pStyle w:val="280"/>
        <w:spacing w:before="0" w:after="0" w:line="420" w:lineRule="exact"/>
        <w:ind w:left="42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日          期：________年____月____日</w:t>
      </w:r>
    </w:p>
    <w:p w14:paraId="76DC5C0F">
      <w:pPr>
        <w:ind w:firstLine="480"/>
        <w:rPr>
          <w:rFonts w:ascii="Times New Roman" w:hAnsi="Times New Roman"/>
          <w:i/>
          <w:color w:val="000000" w:themeColor="text1"/>
          <w:sz w:val="24"/>
          <w:szCs w:val="24"/>
          <w:highlight w:val="none"/>
          <w:u w:val="single"/>
          <w14:textFill>
            <w14:solidFill>
              <w14:schemeClr w14:val="tx1"/>
            </w14:solidFill>
          </w14:textFill>
        </w:rPr>
      </w:pPr>
    </w:p>
    <w:p w14:paraId="6C6E10B3">
      <w:pPr>
        <w:pStyle w:val="14"/>
        <w:ind w:firstLine="482"/>
        <w:rPr>
          <w:color w:val="000000" w:themeColor="text1"/>
          <w:highlight w:val="none"/>
          <w14:textFill>
            <w14:solidFill>
              <w14:schemeClr w14:val="tx1"/>
            </w14:solidFill>
          </w14:textFill>
        </w:rPr>
      </w:pPr>
      <w:r>
        <w:rPr>
          <w:rFonts w:ascii="宋体" w:hAnsi="宋体" w:eastAsia="幼圆" w:cs="Arial"/>
          <w:b/>
          <w:color w:val="000000" w:themeColor="text1"/>
          <w:sz w:val="24"/>
          <w:szCs w:val="44"/>
          <w:highlight w:val="none"/>
          <w14:textFill>
            <w14:solidFill>
              <w14:schemeClr w14:val="tx1"/>
            </w14:solidFill>
          </w14:textFill>
        </w:rPr>
        <w:br w:type="page" w:clear="all"/>
      </w:r>
    </w:p>
    <w:p w14:paraId="558EA527">
      <w:pPr>
        <w:spacing w:line="440" w:lineRule="exact"/>
        <w:ind w:firstLine="562"/>
        <w:jc w:val="center"/>
        <w:outlineLvl w:val="1"/>
        <w:rPr>
          <w:rFonts w:ascii="Times New Roman" w:hAnsi="Times New Roman"/>
          <w:b/>
          <w:bCs/>
          <w:color w:val="000000" w:themeColor="text1"/>
          <w:sz w:val="28"/>
          <w:szCs w:val="28"/>
          <w:highlight w:val="none"/>
          <w14:textFill>
            <w14:solidFill>
              <w14:schemeClr w14:val="tx1"/>
            </w14:solidFill>
          </w14:textFill>
        </w:rPr>
      </w:pPr>
      <w:bookmarkStart w:id="257" w:name="_Toc3796"/>
      <w:r>
        <w:rPr>
          <w:rFonts w:hint="eastAsia" w:ascii="Times New Roman" w:hAnsi="Times New Roman"/>
          <w:b/>
          <w:bCs/>
          <w:color w:val="000000" w:themeColor="text1"/>
          <w:sz w:val="28"/>
          <w:szCs w:val="28"/>
          <w:highlight w:val="none"/>
          <w14:textFill>
            <w14:solidFill>
              <w14:schemeClr w14:val="tx1"/>
            </w14:solidFill>
          </w14:textFill>
        </w:rPr>
        <w:t>附件</w:t>
      </w:r>
      <w:r>
        <w:rPr>
          <w:rFonts w:hint="eastAsia" w:ascii="Times New Roman" w:hAnsi="Times New Roman"/>
          <w:b/>
          <w:bCs/>
          <w:color w:val="000000" w:themeColor="text1"/>
          <w:sz w:val="28"/>
          <w:szCs w:val="28"/>
          <w:highlight w:val="none"/>
          <w:lang w:val="en-US" w:eastAsia="zh-CN"/>
          <w14:textFill>
            <w14:solidFill>
              <w14:schemeClr w14:val="tx1"/>
            </w14:solidFill>
          </w14:textFill>
        </w:rPr>
        <w:t>15</w:t>
      </w:r>
      <w:r>
        <w:rPr>
          <w:rFonts w:hint="eastAsia" w:ascii="Times New Roman" w:hAnsi="Times New Roman"/>
          <w:b/>
          <w:bCs/>
          <w:color w:val="000000" w:themeColor="text1"/>
          <w:sz w:val="28"/>
          <w:szCs w:val="28"/>
          <w:highlight w:val="none"/>
          <w14:textFill>
            <w14:solidFill>
              <w14:schemeClr w14:val="tx1"/>
            </w14:solidFill>
          </w14:textFill>
        </w:rPr>
        <w:t>实质性要求响应及偏离表</w:t>
      </w:r>
      <w:bookmarkEnd w:id="257"/>
    </w:p>
    <w:tbl>
      <w:tblPr>
        <w:tblStyle w:val="39"/>
        <w:tblW w:w="989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88"/>
        <w:gridCol w:w="5474"/>
        <w:gridCol w:w="1910"/>
        <w:gridCol w:w="1626"/>
      </w:tblGrid>
      <w:tr w14:paraId="1FD210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67" w:hRule="atLeast"/>
          <w:jc w:val="center"/>
        </w:trPr>
        <w:tc>
          <w:tcPr>
            <w:tcW w:w="888" w:type="dxa"/>
            <w:noWrap w:val="0"/>
            <w:vAlign w:val="center"/>
          </w:tcPr>
          <w:p w14:paraId="66C581C6">
            <w:pPr>
              <w:keepNext w:val="0"/>
              <w:keepLines w:val="0"/>
              <w:suppressLineNumbers w:val="0"/>
              <w:spacing w:before="0" w:beforeAutospacing="0" w:after="0" w:afterAutospacing="0" w:line="400" w:lineRule="exact"/>
              <w:ind w:left="0" w:right="0"/>
              <w:jc w:val="center"/>
              <w:rPr>
                <w:rFonts w:hint="default"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序号</w:t>
            </w:r>
          </w:p>
        </w:tc>
        <w:tc>
          <w:tcPr>
            <w:tcW w:w="5474" w:type="dxa"/>
            <w:noWrap w:val="0"/>
            <w:vAlign w:val="center"/>
          </w:tcPr>
          <w:p w14:paraId="334C6EDC">
            <w:pPr>
              <w:keepNext w:val="0"/>
              <w:keepLines w:val="0"/>
              <w:suppressLineNumbers w:val="0"/>
              <w:spacing w:before="0" w:beforeAutospacing="0" w:after="0" w:afterAutospacing="0" w:line="400" w:lineRule="exact"/>
              <w:ind w:left="0" w:right="0"/>
              <w:jc w:val="center"/>
              <w:rPr>
                <w:rFonts w:hint="default"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服务</w:t>
            </w:r>
            <w:r>
              <w:rPr>
                <w:rFonts w:hint="default" w:ascii="宋体" w:hAnsi="宋体"/>
                <w:color w:val="000000" w:themeColor="text1"/>
                <w:sz w:val="24"/>
                <w:szCs w:val="24"/>
                <w:highlight w:val="none"/>
                <w14:textFill>
                  <w14:solidFill>
                    <w14:schemeClr w14:val="tx1"/>
                  </w14:solidFill>
                </w14:textFill>
              </w:rPr>
              <w:t>要求和商务要求中的实质性要求</w:t>
            </w:r>
          </w:p>
        </w:tc>
        <w:tc>
          <w:tcPr>
            <w:tcW w:w="1910" w:type="dxa"/>
            <w:noWrap w:val="0"/>
            <w:vAlign w:val="center"/>
          </w:tcPr>
          <w:p w14:paraId="4BC61AAB">
            <w:pPr>
              <w:keepNext w:val="0"/>
              <w:keepLines w:val="0"/>
              <w:suppressLineNumbers w:val="0"/>
              <w:spacing w:before="0" w:beforeAutospacing="0" w:after="0" w:afterAutospacing="0" w:line="400" w:lineRule="exact"/>
              <w:ind w:left="0" w:right="0"/>
              <w:jc w:val="center"/>
              <w:rPr>
                <w:rFonts w:hint="default"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投标响应情况</w:t>
            </w:r>
          </w:p>
        </w:tc>
        <w:tc>
          <w:tcPr>
            <w:tcW w:w="1626" w:type="dxa"/>
            <w:noWrap w:val="0"/>
            <w:vAlign w:val="center"/>
          </w:tcPr>
          <w:p w14:paraId="12CB4EFC">
            <w:pPr>
              <w:keepNext w:val="0"/>
              <w:keepLines w:val="0"/>
              <w:suppressLineNumbers w:val="0"/>
              <w:spacing w:before="0" w:beforeAutospacing="0" w:after="0" w:afterAutospacing="0" w:line="400" w:lineRule="exact"/>
              <w:ind w:left="0" w:right="0"/>
              <w:jc w:val="center"/>
              <w:rPr>
                <w:rFonts w:hint="default"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超出、符合或偏离</w:t>
            </w:r>
          </w:p>
        </w:tc>
      </w:tr>
      <w:tr w14:paraId="0CE800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05" w:hRule="atLeast"/>
          <w:jc w:val="center"/>
        </w:trPr>
        <w:tc>
          <w:tcPr>
            <w:tcW w:w="888" w:type="dxa"/>
            <w:noWrap w:val="0"/>
            <w:vAlign w:val="center"/>
          </w:tcPr>
          <w:p w14:paraId="259E8B0E">
            <w:pPr>
              <w:keepNext w:val="0"/>
              <w:keepLines w:val="0"/>
              <w:suppressLineNumbers w:val="0"/>
              <w:spacing w:before="0" w:beforeAutospacing="0" w:after="0" w:afterAutospacing="0" w:line="400" w:lineRule="exact"/>
              <w:ind w:left="0" w:right="0"/>
              <w:jc w:val="center"/>
              <w:rPr>
                <w:rFonts w:hint="default"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w:t>
            </w:r>
          </w:p>
        </w:tc>
        <w:tc>
          <w:tcPr>
            <w:tcW w:w="5474" w:type="dxa"/>
            <w:shd w:val="clear" w:color="auto" w:fill="auto"/>
            <w:noWrap w:val="0"/>
            <w:vAlign w:val="center"/>
          </w:tcPr>
          <w:p w14:paraId="3719A0C6">
            <w:pPr>
              <w:keepNext w:val="0"/>
              <w:keepLines w:val="0"/>
              <w:pageBreakBefore w:val="0"/>
              <w:widowControl w:val="0"/>
              <w:numPr>
                <w:ilvl w:val="0"/>
                <w:numId w:val="0"/>
              </w:numPr>
              <w:suppressLineNumbers w:val="0"/>
              <w:spacing w:before="0" w:beforeAutospacing="0" w:after="0" w:afterAutospacing="0" w:line="400" w:lineRule="exact"/>
              <w:ind w:left="0" w:right="50"/>
              <w:rPr>
                <w:rFonts w:hint="default" w:ascii="Calibri" w:hAnsi="Calibri" w:eastAsia="宋体" w:cs="Times New Roman"/>
                <w:i w:val="0"/>
                <w:iCs w:val="0"/>
                <w:color w:val="000000" w:themeColor="text1"/>
                <w:sz w:val="24"/>
                <w:szCs w:val="24"/>
                <w:highlight w:val="none"/>
                <w:u w:val="none"/>
                <w:lang w:val="en-US" w:eastAsia="zh-CN" w:bidi="ar-SA"/>
                <w14:textFill>
                  <w14:solidFill>
                    <w14:schemeClr w14:val="tx1"/>
                  </w14:solidFill>
                </w14:textFill>
              </w:rPr>
            </w:pPr>
            <w:r>
              <w:rPr>
                <w:rFonts w:hint="eastAsia"/>
                <w:i w:val="0"/>
                <w:iCs w:val="0"/>
                <w:color w:val="000000" w:themeColor="text1"/>
                <w:sz w:val="24"/>
                <w:szCs w:val="24"/>
                <w:highlight w:val="none"/>
                <w:u w:val="none"/>
                <w14:textFill>
                  <w14:solidFill>
                    <w14:schemeClr w14:val="tx1"/>
                  </w14:solidFill>
                </w14:textFill>
              </w:rPr>
              <w:t>服务期限：一年，2025年</w:t>
            </w:r>
            <w:r>
              <w:rPr>
                <w:rFonts w:hint="eastAsia"/>
                <w:i w:val="0"/>
                <w:iCs w:val="0"/>
                <w:color w:val="000000" w:themeColor="text1"/>
                <w:sz w:val="24"/>
                <w:szCs w:val="24"/>
                <w:highlight w:val="none"/>
                <w:u w:val="none"/>
                <w:lang w:val="en-US" w:eastAsia="zh-CN"/>
                <w14:textFill>
                  <w14:solidFill>
                    <w14:schemeClr w14:val="tx1"/>
                  </w14:solidFill>
                </w14:textFill>
              </w:rPr>
              <w:t>3</w:t>
            </w:r>
            <w:r>
              <w:rPr>
                <w:rFonts w:hint="eastAsia"/>
                <w:i w:val="0"/>
                <w:iCs w:val="0"/>
                <w:color w:val="000000" w:themeColor="text1"/>
                <w:sz w:val="24"/>
                <w:szCs w:val="24"/>
                <w:highlight w:val="none"/>
                <w:u w:val="none"/>
                <w14:textFill>
                  <w14:solidFill>
                    <w14:schemeClr w14:val="tx1"/>
                  </w14:solidFill>
                </w14:textFill>
              </w:rPr>
              <w:t>月</w:t>
            </w:r>
            <w:r>
              <w:rPr>
                <w:rFonts w:hint="eastAsia"/>
                <w:i w:val="0"/>
                <w:iCs w:val="0"/>
                <w:color w:val="000000" w:themeColor="text1"/>
                <w:sz w:val="24"/>
                <w:szCs w:val="24"/>
                <w:highlight w:val="none"/>
                <w:u w:val="none"/>
                <w:lang w:val="en-US" w:eastAsia="zh-CN"/>
                <w14:textFill>
                  <w14:solidFill>
                    <w14:schemeClr w14:val="tx1"/>
                  </w14:solidFill>
                </w14:textFill>
              </w:rPr>
              <w:t>1</w:t>
            </w:r>
            <w:r>
              <w:rPr>
                <w:rFonts w:hint="eastAsia"/>
                <w:i w:val="0"/>
                <w:iCs w:val="0"/>
                <w:color w:val="000000" w:themeColor="text1"/>
                <w:sz w:val="24"/>
                <w:szCs w:val="24"/>
                <w:highlight w:val="none"/>
                <w:u w:val="none"/>
                <w14:textFill>
                  <w14:solidFill>
                    <w14:schemeClr w14:val="tx1"/>
                  </w14:solidFill>
                </w14:textFill>
              </w:rPr>
              <w:t>日至</w:t>
            </w:r>
            <w:r>
              <w:rPr>
                <w:rFonts w:hint="eastAsia"/>
                <w:i w:val="0"/>
                <w:iCs w:val="0"/>
                <w:color w:val="000000" w:themeColor="text1"/>
                <w:sz w:val="24"/>
                <w:szCs w:val="24"/>
                <w:highlight w:val="none"/>
                <w:u w:val="none"/>
                <w:lang w:val="en-US" w:eastAsia="zh-CN"/>
                <w14:textFill>
                  <w14:solidFill>
                    <w14:schemeClr w14:val="tx1"/>
                  </w14:solidFill>
                </w14:textFill>
              </w:rPr>
              <w:t>2026</w:t>
            </w:r>
            <w:r>
              <w:rPr>
                <w:rFonts w:hint="eastAsia"/>
                <w:i w:val="0"/>
                <w:iCs w:val="0"/>
                <w:color w:val="000000" w:themeColor="text1"/>
                <w:sz w:val="24"/>
                <w:szCs w:val="24"/>
                <w:highlight w:val="none"/>
                <w:u w:val="none"/>
                <w14:textFill>
                  <w14:solidFill>
                    <w14:schemeClr w14:val="tx1"/>
                  </w14:solidFill>
                </w14:textFill>
              </w:rPr>
              <w:t>年</w:t>
            </w:r>
            <w:r>
              <w:rPr>
                <w:rFonts w:hint="eastAsia"/>
                <w:i w:val="0"/>
                <w:iCs w:val="0"/>
                <w:color w:val="000000" w:themeColor="text1"/>
                <w:sz w:val="24"/>
                <w:szCs w:val="24"/>
                <w:highlight w:val="none"/>
                <w:u w:val="none"/>
                <w:lang w:val="en-US" w:eastAsia="zh-CN"/>
                <w14:textFill>
                  <w14:solidFill>
                    <w14:schemeClr w14:val="tx1"/>
                  </w14:solidFill>
                </w14:textFill>
              </w:rPr>
              <w:t>2</w:t>
            </w:r>
            <w:r>
              <w:rPr>
                <w:rFonts w:hint="eastAsia"/>
                <w:i w:val="0"/>
                <w:iCs w:val="0"/>
                <w:color w:val="000000" w:themeColor="text1"/>
                <w:sz w:val="24"/>
                <w:szCs w:val="24"/>
                <w:highlight w:val="none"/>
                <w:u w:val="none"/>
                <w14:textFill>
                  <w14:solidFill>
                    <w14:schemeClr w14:val="tx1"/>
                  </w14:solidFill>
                </w14:textFill>
              </w:rPr>
              <w:t>月</w:t>
            </w:r>
            <w:r>
              <w:rPr>
                <w:rFonts w:hint="eastAsia"/>
                <w:i w:val="0"/>
                <w:iCs w:val="0"/>
                <w:color w:val="000000" w:themeColor="text1"/>
                <w:sz w:val="24"/>
                <w:szCs w:val="24"/>
                <w:highlight w:val="none"/>
                <w:u w:val="none"/>
                <w:lang w:val="en-US" w:eastAsia="zh-CN"/>
                <w14:textFill>
                  <w14:solidFill>
                    <w14:schemeClr w14:val="tx1"/>
                  </w14:solidFill>
                </w14:textFill>
              </w:rPr>
              <w:t>28</w:t>
            </w:r>
            <w:r>
              <w:rPr>
                <w:rFonts w:hint="eastAsia"/>
                <w:i w:val="0"/>
                <w:iCs w:val="0"/>
                <w:color w:val="000000" w:themeColor="text1"/>
                <w:sz w:val="24"/>
                <w:szCs w:val="24"/>
                <w:highlight w:val="none"/>
                <w:u w:val="none"/>
                <w14:textFill>
                  <w14:solidFill>
                    <w14:schemeClr w14:val="tx1"/>
                  </w14:solidFill>
                </w14:textFill>
              </w:rPr>
              <w:t>日。</w:t>
            </w:r>
          </w:p>
        </w:tc>
        <w:tc>
          <w:tcPr>
            <w:tcW w:w="1910" w:type="dxa"/>
            <w:noWrap w:val="0"/>
            <w:vAlign w:val="center"/>
          </w:tcPr>
          <w:p w14:paraId="235D0F07">
            <w:pPr>
              <w:keepNext w:val="0"/>
              <w:keepLines w:val="0"/>
              <w:suppressLineNumbers w:val="0"/>
              <w:spacing w:before="0" w:beforeAutospacing="0" w:after="0" w:afterAutospacing="0" w:line="400" w:lineRule="exact"/>
              <w:ind w:left="0" w:right="0"/>
              <w:jc w:val="center"/>
              <w:rPr>
                <w:rFonts w:hint="default" w:ascii="宋体" w:hAnsi="宋体"/>
                <w:color w:val="000000" w:themeColor="text1"/>
                <w:sz w:val="24"/>
                <w:szCs w:val="24"/>
                <w:highlight w:val="none"/>
                <w14:textFill>
                  <w14:solidFill>
                    <w14:schemeClr w14:val="tx1"/>
                  </w14:solidFill>
                </w14:textFill>
              </w:rPr>
            </w:pPr>
          </w:p>
        </w:tc>
        <w:tc>
          <w:tcPr>
            <w:tcW w:w="1626" w:type="dxa"/>
            <w:noWrap w:val="0"/>
            <w:vAlign w:val="center"/>
          </w:tcPr>
          <w:p w14:paraId="10A2D75A">
            <w:pPr>
              <w:keepNext w:val="0"/>
              <w:keepLines w:val="0"/>
              <w:suppressLineNumbers w:val="0"/>
              <w:spacing w:before="0" w:beforeAutospacing="0" w:after="0" w:afterAutospacing="0" w:line="400" w:lineRule="exact"/>
              <w:ind w:left="0" w:right="0"/>
              <w:jc w:val="center"/>
              <w:rPr>
                <w:rFonts w:hint="default" w:ascii="宋体" w:hAnsi="宋体"/>
                <w:color w:val="000000" w:themeColor="text1"/>
                <w:sz w:val="24"/>
                <w:szCs w:val="24"/>
                <w:highlight w:val="none"/>
                <w14:textFill>
                  <w14:solidFill>
                    <w14:schemeClr w14:val="tx1"/>
                  </w14:solidFill>
                </w14:textFill>
              </w:rPr>
            </w:pPr>
          </w:p>
        </w:tc>
      </w:tr>
      <w:tr w14:paraId="72A94A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01" w:hRule="atLeast"/>
          <w:jc w:val="center"/>
        </w:trPr>
        <w:tc>
          <w:tcPr>
            <w:tcW w:w="888" w:type="dxa"/>
            <w:noWrap w:val="0"/>
            <w:vAlign w:val="center"/>
          </w:tcPr>
          <w:p w14:paraId="3CFECF9E">
            <w:pPr>
              <w:keepNext w:val="0"/>
              <w:keepLines w:val="0"/>
              <w:suppressLineNumbers w:val="0"/>
              <w:spacing w:before="0" w:beforeAutospacing="0" w:after="0" w:afterAutospacing="0" w:line="400" w:lineRule="exact"/>
              <w:ind w:left="0" w:right="0"/>
              <w:jc w:val="center"/>
              <w:rPr>
                <w:rFonts w:hint="default"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w:t>
            </w:r>
          </w:p>
        </w:tc>
        <w:tc>
          <w:tcPr>
            <w:tcW w:w="5474" w:type="dxa"/>
            <w:shd w:val="clear" w:color="auto" w:fill="auto"/>
            <w:noWrap w:val="0"/>
            <w:vAlign w:val="center"/>
          </w:tcPr>
          <w:p w14:paraId="7B129183">
            <w:pPr>
              <w:keepNext w:val="0"/>
              <w:keepLines w:val="0"/>
              <w:pageBreakBefore w:val="0"/>
              <w:widowControl w:val="0"/>
              <w:suppressLineNumbers w:val="0"/>
              <w:tabs>
                <w:tab w:val="left" w:pos="0"/>
              </w:tabs>
              <w:spacing w:before="0" w:beforeAutospacing="0" w:after="0" w:afterAutospacing="0" w:line="400" w:lineRule="exact"/>
              <w:ind w:left="0" w:right="-27"/>
              <w:rPr>
                <w:rFonts w:hint="eastAsia"/>
                <w:i w:val="0"/>
                <w:iCs w:val="0"/>
                <w:color w:val="000000" w:themeColor="text1"/>
                <w:sz w:val="24"/>
                <w:szCs w:val="24"/>
                <w:highlight w:val="none"/>
                <w:u w:val="none"/>
                <w:lang w:val="en-US" w:eastAsia="zh-CN"/>
                <w14:textFill>
                  <w14:solidFill>
                    <w14:schemeClr w14:val="tx1"/>
                  </w14:solidFill>
                </w14:textFill>
              </w:rPr>
            </w:pPr>
            <w:r>
              <w:rPr>
                <w:rFonts w:hint="eastAsia" w:ascii="宋体" w:hAnsi="宋体"/>
                <w:i w:val="0"/>
                <w:iCs w:val="0"/>
                <w:color w:val="000000" w:themeColor="text1"/>
                <w:sz w:val="24"/>
                <w:szCs w:val="24"/>
                <w:highlight w:val="none"/>
                <w:u w:val="none"/>
                <w:lang w:val="en-US" w:eastAsia="zh-CN"/>
                <w14:textFill>
                  <w14:solidFill>
                    <w14:schemeClr w14:val="tx1"/>
                  </w14:solidFill>
                </w14:textFill>
              </w:rPr>
              <w:t>①、</w:t>
            </w:r>
            <w:r>
              <w:rPr>
                <w:rFonts w:hint="eastAsia"/>
                <w:i w:val="0"/>
                <w:iCs w:val="0"/>
                <w:color w:val="000000" w:themeColor="text1"/>
                <w:sz w:val="24"/>
                <w:szCs w:val="24"/>
                <w:highlight w:val="none"/>
                <w:u w:val="none"/>
                <w:lang w:val="en-US" w:eastAsia="zh-CN"/>
                <w14:textFill>
                  <w14:solidFill>
                    <w14:schemeClr w14:val="tx1"/>
                  </w14:solidFill>
                </w14:textFill>
              </w:rPr>
              <w:t>水利水务设施养护管理费：</w:t>
            </w:r>
            <w:r>
              <w:rPr>
                <w:rFonts w:hint="eastAsia" w:ascii="宋体" w:hAnsi="宋体"/>
                <w:i w:val="0"/>
                <w:iCs w:val="0"/>
                <w:color w:val="000000" w:themeColor="text1"/>
                <w:sz w:val="24"/>
                <w:szCs w:val="24"/>
                <w:highlight w:val="none"/>
                <w:u w:val="none"/>
                <w:lang w:val="en-US" w:eastAsia="zh-CN"/>
                <w14:textFill>
                  <w14:solidFill>
                    <w14:schemeClr w14:val="tx1"/>
                  </w14:solidFill>
                </w14:textFill>
              </w:rPr>
              <w:t>合同签订后的30日历天内，支付</w:t>
            </w:r>
            <w:r>
              <w:rPr>
                <w:rFonts w:hint="eastAsia"/>
                <w:i w:val="0"/>
                <w:iCs w:val="0"/>
                <w:color w:val="000000" w:themeColor="text1"/>
                <w:sz w:val="24"/>
                <w:szCs w:val="24"/>
                <w:highlight w:val="none"/>
                <w:u w:val="none"/>
                <w:lang w:val="en-US" w:eastAsia="zh-CN"/>
                <w14:textFill>
                  <w14:solidFill>
                    <w14:schemeClr w14:val="tx1"/>
                  </w14:solidFill>
                </w14:textFill>
              </w:rPr>
              <w:t>该部分合同金额的10%作为预付款，</w:t>
            </w:r>
            <w:r>
              <w:rPr>
                <w:rFonts w:hint="eastAsia" w:ascii="宋体" w:hAnsi="宋体"/>
                <w:i w:val="0"/>
                <w:iCs w:val="0"/>
                <w:color w:val="000000" w:themeColor="text1"/>
                <w:sz w:val="24"/>
                <w:szCs w:val="24"/>
                <w:highlight w:val="none"/>
                <w:u w:val="none"/>
                <w14:textFill>
                  <w14:solidFill>
                    <w14:schemeClr w14:val="tx1"/>
                  </w14:solidFill>
                </w14:textFill>
              </w:rPr>
              <w:t>项目结束后当年度付至</w:t>
            </w:r>
            <w:r>
              <w:rPr>
                <w:rFonts w:hint="eastAsia" w:ascii="宋体" w:hAnsi="宋体"/>
                <w:i w:val="0"/>
                <w:iCs w:val="0"/>
                <w:color w:val="000000" w:themeColor="text1"/>
                <w:sz w:val="24"/>
                <w:szCs w:val="24"/>
                <w:highlight w:val="none"/>
                <w:u w:val="none"/>
                <w:lang w:val="en-US" w:eastAsia="zh-CN"/>
                <w14:textFill>
                  <w14:solidFill>
                    <w14:schemeClr w14:val="tx1"/>
                  </w14:solidFill>
                </w14:textFill>
              </w:rPr>
              <w:t>该部分费用的</w:t>
            </w:r>
            <w:r>
              <w:rPr>
                <w:rFonts w:hint="eastAsia" w:ascii="宋体" w:hAnsi="宋体"/>
                <w:i w:val="0"/>
                <w:iCs w:val="0"/>
                <w:color w:val="000000" w:themeColor="text1"/>
                <w:sz w:val="24"/>
                <w:szCs w:val="24"/>
                <w:highlight w:val="none"/>
                <w:u w:val="none"/>
                <w14:textFill>
                  <w14:solidFill>
                    <w14:schemeClr w14:val="tx1"/>
                  </w14:solidFill>
                </w14:textFill>
              </w:rPr>
              <w:t>50%，满一周年后付至</w:t>
            </w:r>
            <w:r>
              <w:rPr>
                <w:rFonts w:hint="eastAsia" w:ascii="宋体" w:hAnsi="宋体"/>
                <w:i w:val="0"/>
                <w:iCs w:val="0"/>
                <w:color w:val="000000" w:themeColor="text1"/>
                <w:sz w:val="24"/>
                <w:szCs w:val="24"/>
                <w:highlight w:val="none"/>
                <w:u w:val="none"/>
                <w:lang w:val="en-US" w:eastAsia="zh-CN"/>
                <w14:textFill>
                  <w14:solidFill>
                    <w14:schemeClr w14:val="tx1"/>
                  </w14:solidFill>
                </w14:textFill>
              </w:rPr>
              <w:t>该部分费用</w:t>
            </w:r>
            <w:r>
              <w:rPr>
                <w:rFonts w:hint="eastAsia" w:ascii="宋体" w:hAnsi="宋体"/>
                <w:i w:val="0"/>
                <w:iCs w:val="0"/>
                <w:color w:val="000000" w:themeColor="text1"/>
                <w:sz w:val="24"/>
                <w:szCs w:val="24"/>
                <w:highlight w:val="none"/>
                <w:u w:val="none"/>
                <w14:textFill>
                  <w14:solidFill>
                    <w14:schemeClr w14:val="tx1"/>
                  </w14:solidFill>
                </w14:textFill>
              </w:rPr>
              <w:t>的70%，满二周年后付至</w:t>
            </w:r>
            <w:r>
              <w:rPr>
                <w:rFonts w:hint="eastAsia" w:ascii="宋体" w:hAnsi="宋体"/>
                <w:i w:val="0"/>
                <w:iCs w:val="0"/>
                <w:color w:val="000000" w:themeColor="text1"/>
                <w:sz w:val="24"/>
                <w:szCs w:val="24"/>
                <w:highlight w:val="none"/>
                <w:u w:val="none"/>
                <w:lang w:val="en-US" w:eastAsia="zh-CN"/>
                <w14:textFill>
                  <w14:solidFill>
                    <w14:schemeClr w14:val="tx1"/>
                  </w14:solidFill>
                </w14:textFill>
              </w:rPr>
              <w:t>该部分费用的</w:t>
            </w:r>
            <w:r>
              <w:rPr>
                <w:rFonts w:hint="eastAsia" w:ascii="宋体" w:hAnsi="宋体"/>
                <w:i w:val="0"/>
                <w:iCs w:val="0"/>
                <w:color w:val="000000" w:themeColor="text1"/>
                <w:sz w:val="24"/>
                <w:szCs w:val="24"/>
                <w:highlight w:val="none"/>
                <w:u w:val="none"/>
                <w14:textFill>
                  <w14:solidFill>
                    <w14:schemeClr w14:val="tx1"/>
                  </w14:solidFill>
                </w14:textFill>
              </w:rPr>
              <w:t>90%，满三周年后付清</w:t>
            </w:r>
            <w:r>
              <w:rPr>
                <w:rFonts w:hint="eastAsia" w:ascii="宋体" w:hAnsi="宋体"/>
                <w:i w:val="0"/>
                <w:iCs w:val="0"/>
                <w:color w:val="000000" w:themeColor="text1"/>
                <w:sz w:val="24"/>
                <w:szCs w:val="24"/>
                <w:highlight w:val="none"/>
                <w:u w:val="none"/>
                <w:lang w:eastAsia="zh-CN"/>
                <w14:textFill>
                  <w14:solidFill>
                    <w14:schemeClr w14:val="tx1"/>
                  </w14:solidFill>
                </w14:textFill>
              </w:rPr>
              <w:t>。</w:t>
            </w:r>
          </w:p>
          <w:p w14:paraId="0106A253">
            <w:pPr>
              <w:keepNext w:val="0"/>
              <w:keepLines w:val="0"/>
              <w:pageBreakBefore w:val="0"/>
              <w:widowControl w:val="0"/>
              <w:suppressLineNumbers w:val="0"/>
              <w:tabs>
                <w:tab w:val="left" w:pos="0"/>
              </w:tabs>
              <w:spacing w:before="0" w:beforeAutospacing="0" w:after="0" w:afterAutospacing="0" w:line="400" w:lineRule="exact"/>
              <w:ind w:left="0" w:right="-27"/>
              <w:rPr>
                <w:rFonts w:hint="eastAsia" w:ascii="宋体" w:hAnsi="宋体"/>
                <w:i w:val="0"/>
                <w:iCs w:val="0"/>
                <w:color w:val="000000" w:themeColor="text1"/>
                <w:sz w:val="24"/>
                <w:szCs w:val="24"/>
                <w:highlight w:val="none"/>
                <w:u w:val="none"/>
                <w:lang w:eastAsia="zh-CN"/>
                <w14:textFill>
                  <w14:solidFill>
                    <w14:schemeClr w14:val="tx1"/>
                  </w14:solidFill>
                </w14:textFill>
              </w:rPr>
            </w:pPr>
            <w:r>
              <w:rPr>
                <w:rFonts w:hint="eastAsia" w:ascii="宋体" w:hAnsi="宋体"/>
                <w:i w:val="0"/>
                <w:iCs w:val="0"/>
                <w:color w:val="000000" w:themeColor="text1"/>
                <w:sz w:val="24"/>
                <w:szCs w:val="24"/>
                <w:highlight w:val="none"/>
                <w:u w:val="none"/>
                <w:lang w:val="en-US" w:eastAsia="zh-CN"/>
                <w14:textFill>
                  <w14:solidFill>
                    <w14:schemeClr w14:val="tx1"/>
                  </w14:solidFill>
                </w14:textFill>
              </w:rPr>
              <w:t>②水生植物养护管理</w:t>
            </w:r>
            <w:r>
              <w:rPr>
                <w:rFonts w:hint="eastAsia"/>
                <w:i w:val="0"/>
                <w:iCs w:val="0"/>
                <w:color w:val="000000" w:themeColor="text1"/>
                <w:sz w:val="24"/>
                <w:szCs w:val="24"/>
                <w:highlight w:val="none"/>
                <w:u w:val="none"/>
                <w:lang w:val="en-US" w:eastAsia="zh-CN"/>
                <w14:textFill>
                  <w14:solidFill>
                    <w14:schemeClr w14:val="tx1"/>
                  </w14:solidFill>
                </w14:textFill>
              </w:rPr>
              <w:t>费：</w:t>
            </w:r>
            <w:r>
              <w:rPr>
                <w:rFonts w:hint="eastAsia" w:ascii="宋体" w:hAnsi="宋体"/>
                <w:i w:val="0"/>
                <w:iCs w:val="0"/>
                <w:color w:val="000000" w:themeColor="text1"/>
                <w:sz w:val="24"/>
                <w:szCs w:val="24"/>
                <w:highlight w:val="none"/>
                <w:u w:val="none"/>
                <w:lang w:val="en-US" w:eastAsia="zh-CN"/>
                <w14:textFill>
                  <w14:solidFill>
                    <w14:schemeClr w14:val="tx1"/>
                  </w14:solidFill>
                </w14:textFill>
              </w:rPr>
              <w:t>合同签订后的30日历天内，支付</w:t>
            </w:r>
            <w:r>
              <w:rPr>
                <w:rFonts w:hint="eastAsia"/>
                <w:i w:val="0"/>
                <w:iCs w:val="0"/>
                <w:color w:val="000000" w:themeColor="text1"/>
                <w:sz w:val="24"/>
                <w:szCs w:val="24"/>
                <w:highlight w:val="none"/>
                <w:u w:val="none"/>
                <w:lang w:val="en-US" w:eastAsia="zh-CN"/>
                <w14:textFill>
                  <w14:solidFill>
                    <w14:schemeClr w14:val="tx1"/>
                  </w14:solidFill>
                </w14:textFill>
              </w:rPr>
              <w:t>该部分合同金额的10%作为预付款，</w:t>
            </w:r>
            <w:r>
              <w:rPr>
                <w:rFonts w:hint="eastAsia" w:ascii="宋体" w:hAnsi="宋体"/>
                <w:i w:val="0"/>
                <w:iCs w:val="0"/>
                <w:color w:val="000000" w:themeColor="text1"/>
                <w:sz w:val="24"/>
                <w:szCs w:val="24"/>
                <w:highlight w:val="none"/>
                <w:u w:val="none"/>
                <w14:textFill>
                  <w14:solidFill>
                    <w14:schemeClr w14:val="tx1"/>
                  </w14:solidFill>
                </w14:textFill>
              </w:rPr>
              <w:t>项目结束后当年度付至</w:t>
            </w:r>
            <w:r>
              <w:rPr>
                <w:rFonts w:hint="eastAsia" w:ascii="宋体" w:hAnsi="宋体"/>
                <w:i w:val="0"/>
                <w:iCs w:val="0"/>
                <w:color w:val="000000" w:themeColor="text1"/>
                <w:sz w:val="24"/>
                <w:szCs w:val="24"/>
                <w:highlight w:val="none"/>
                <w:u w:val="none"/>
                <w:lang w:val="en-US" w:eastAsia="zh-CN"/>
                <w14:textFill>
                  <w14:solidFill>
                    <w14:schemeClr w14:val="tx1"/>
                  </w14:solidFill>
                </w14:textFill>
              </w:rPr>
              <w:t>该部分费用的</w:t>
            </w:r>
            <w:r>
              <w:rPr>
                <w:rFonts w:hint="eastAsia" w:ascii="宋体" w:hAnsi="宋体"/>
                <w:i w:val="0"/>
                <w:iCs w:val="0"/>
                <w:color w:val="000000" w:themeColor="text1"/>
                <w:sz w:val="24"/>
                <w:szCs w:val="24"/>
                <w:highlight w:val="none"/>
                <w:u w:val="none"/>
                <w14:textFill>
                  <w14:solidFill>
                    <w14:schemeClr w14:val="tx1"/>
                  </w14:solidFill>
                </w14:textFill>
              </w:rPr>
              <w:t>50%，满一周年后付至</w:t>
            </w:r>
            <w:r>
              <w:rPr>
                <w:rFonts w:hint="eastAsia" w:ascii="宋体" w:hAnsi="宋体"/>
                <w:i w:val="0"/>
                <w:iCs w:val="0"/>
                <w:color w:val="000000" w:themeColor="text1"/>
                <w:sz w:val="24"/>
                <w:szCs w:val="24"/>
                <w:highlight w:val="none"/>
                <w:u w:val="none"/>
                <w:lang w:val="en-US" w:eastAsia="zh-CN"/>
                <w14:textFill>
                  <w14:solidFill>
                    <w14:schemeClr w14:val="tx1"/>
                  </w14:solidFill>
                </w14:textFill>
              </w:rPr>
              <w:t>该部分费用</w:t>
            </w:r>
            <w:r>
              <w:rPr>
                <w:rFonts w:hint="eastAsia" w:ascii="宋体" w:hAnsi="宋体"/>
                <w:i w:val="0"/>
                <w:iCs w:val="0"/>
                <w:color w:val="000000" w:themeColor="text1"/>
                <w:sz w:val="24"/>
                <w:szCs w:val="24"/>
                <w:highlight w:val="none"/>
                <w:u w:val="none"/>
                <w14:textFill>
                  <w14:solidFill>
                    <w14:schemeClr w14:val="tx1"/>
                  </w14:solidFill>
                </w14:textFill>
              </w:rPr>
              <w:t>的70%，满二周年后付至</w:t>
            </w:r>
            <w:r>
              <w:rPr>
                <w:rFonts w:hint="eastAsia" w:ascii="宋体" w:hAnsi="宋体"/>
                <w:i w:val="0"/>
                <w:iCs w:val="0"/>
                <w:color w:val="000000" w:themeColor="text1"/>
                <w:sz w:val="24"/>
                <w:szCs w:val="24"/>
                <w:highlight w:val="none"/>
                <w:u w:val="none"/>
                <w:lang w:val="en-US" w:eastAsia="zh-CN"/>
                <w14:textFill>
                  <w14:solidFill>
                    <w14:schemeClr w14:val="tx1"/>
                  </w14:solidFill>
                </w14:textFill>
              </w:rPr>
              <w:t>该部分费用的</w:t>
            </w:r>
            <w:r>
              <w:rPr>
                <w:rFonts w:hint="eastAsia" w:ascii="宋体" w:hAnsi="宋体"/>
                <w:i w:val="0"/>
                <w:iCs w:val="0"/>
                <w:color w:val="000000" w:themeColor="text1"/>
                <w:sz w:val="24"/>
                <w:szCs w:val="24"/>
                <w:highlight w:val="none"/>
                <w:u w:val="none"/>
                <w14:textFill>
                  <w14:solidFill>
                    <w14:schemeClr w14:val="tx1"/>
                  </w14:solidFill>
                </w14:textFill>
              </w:rPr>
              <w:t>90%，满三周年后付清</w:t>
            </w:r>
            <w:r>
              <w:rPr>
                <w:rFonts w:hint="eastAsia" w:ascii="宋体" w:hAnsi="宋体"/>
                <w:i w:val="0"/>
                <w:iCs w:val="0"/>
                <w:color w:val="000000" w:themeColor="text1"/>
                <w:sz w:val="24"/>
                <w:szCs w:val="24"/>
                <w:highlight w:val="none"/>
                <w:u w:val="none"/>
                <w:lang w:eastAsia="zh-CN"/>
                <w14:textFill>
                  <w14:solidFill>
                    <w14:schemeClr w14:val="tx1"/>
                  </w14:solidFill>
                </w14:textFill>
              </w:rPr>
              <w:t>。（</w:t>
            </w:r>
            <w:r>
              <w:rPr>
                <w:rFonts w:hint="eastAsia" w:ascii="宋体" w:hAnsi="宋体"/>
                <w:i w:val="0"/>
                <w:iCs w:val="0"/>
                <w:color w:val="000000" w:themeColor="text1"/>
                <w:sz w:val="24"/>
                <w:szCs w:val="24"/>
                <w:highlight w:val="none"/>
                <w:u w:val="none"/>
                <w:lang w:val="en-US" w:eastAsia="zh-CN"/>
                <w14:textFill>
                  <w14:solidFill>
                    <w14:schemeClr w14:val="tx1"/>
                  </w14:solidFill>
                </w14:textFill>
              </w:rPr>
              <w:t>因区域调整或变动导致养护面积增减的，则按</w:t>
            </w:r>
            <w:r>
              <w:rPr>
                <w:rFonts w:hint="eastAsia" w:ascii="宋体" w:hAnsi="宋体"/>
                <w:i w:val="0"/>
                <w:iCs w:val="0"/>
                <w:color w:val="000000" w:themeColor="text1"/>
                <w:sz w:val="24"/>
                <w:szCs w:val="24"/>
                <w:highlight w:val="none"/>
                <w:u w:val="none"/>
                <w14:textFill>
                  <w14:solidFill>
                    <w14:schemeClr w14:val="tx1"/>
                  </w14:solidFill>
                </w14:textFill>
              </w:rPr>
              <w:t>中标绿化养护单价（</w:t>
            </w:r>
            <w:r>
              <w:rPr>
                <w:rFonts w:hint="eastAsia" w:ascii="宋体" w:hAnsi="宋体"/>
                <w:i w:val="0"/>
                <w:iCs w:val="0"/>
                <w:color w:val="000000" w:themeColor="text1"/>
                <w:sz w:val="24"/>
                <w:szCs w:val="24"/>
                <w:highlight w:val="none"/>
                <w:u w:val="none"/>
                <w:lang w:val="en-US" w:eastAsia="zh-CN"/>
                <w14:textFill>
                  <w14:solidFill>
                    <w14:schemeClr w14:val="tx1"/>
                  </w14:solidFill>
                </w14:textFill>
              </w:rPr>
              <w:t>该部分服务费总价/</w:t>
            </w:r>
            <w:r>
              <w:rPr>
                <w:rFonts w:hint="eastAsia" w:ascii="宋体" w:hAnsi="宋体"/>
                <w:i w:val="0"/>
                <w:iCs w:val="0"/>
                <w:color w:val="000000" w:themeColor="text1"/>
                <w:sz w:val="24"/>
                <w:szCs w:val="24"/>
                <w:highlight w:val="none"/>
                <w:u w:val="none"/>
                <w14:textFill>
                  <w14:solidFill>
                    <w14:schemeClr w14:val="tx1"/>
                  </w14:solidFill>
                </w14:textFill>
              </w:rPr>
              <w:t>总面积计算）来调整养护服务费用</w:t>
            </w:r>
            <w:r>
              <w:rPr>
                <w:rFonts w:hint="eastAsia" w:ascii="宋体" w:hAnsi="宋体"/>
                <w:i w:val="0"/>
                <w:iCs w:val="0"/>
                <w:color w:val="000000" w:themeColor="text1"/>
                <w:sz w:val="24"/>
                <w:szCs w:val="24"/>
                <w:highlight w:val="none"/>
                <w:u w:val="none"/>
                <w:lang w:eastAsia="zh-CN"/>
                <w14:textFill>
                  <w14:solidFill>
                    <w14:schemeClr w14:val="tx1"/>
                  </w14:solidFill>
                </w14:textFill>
              </w:rPr>
              <w:t>）</w:t>
            </w:r>
          </w:p>
          <w:p w14:paraId="25A1A39C">
            <w:pPr>
              <w:keepNext w:val="0"/>
              <w:keepLines w:val="0"/>
              <w:pageBreakBefore w:val="0"/>
              <w:widowControl w:val="0"/>
              <w:suppressLineNumbers w:val="0"/>
              <w:spacing w:before="0" w:beforeAutospacing="0" w:after="0" w:afterAutospacing="0" w:line="400" w:lineRule="exact"/>
              <w:ind w:left="0" w:right="0"/>
              <w:jc w:val="both"/>
              <w:rPr>
                <w:rFonts w:hint="eastAsia" w:ascii="宋体" w:hAnsi="宋体" w:eastAsia="宋体" w:cs="Times New Roman"/>
                <w:bCs/>
                <w:i w:val="0"/>
                <w:iCs w:val="0"/>
                <w:color w:val="000000" w:themeColor="text1"/>
                <w:sz w:val="24"/>
                <w:szCs w:val="24"/>
                <w:highlight w:val="none"/>
                <w:u w:val="none"/>
                <w:lang w:val="en-US" w:eastAsia="zh-CN" w:bidi="ar-SA"/>
                <w14:textFill>
                  <w14:solidFill>
                    <w14:schemeClr w14:val="tx1"/>
                  </w14:solidFill>
                </w14:textFill>
              </w:rPr>
            </w:pPr>
            <w:r>
              <w:rPr>
                <w:rFonts w:hint="eastAsia" w:ascii="宋体" w:hAnsi="宋体"/>
                <w:i w:val="0"/>
                <w:iCs w:val="0"/>
                <w:color w:val="000000" w:themeColor="text1"/>
                <w:sz w:val="24"/>
                <w:szCs w:val="24"/>
                <w:highlight w:val="none"/>
                <w:u w:val="none"/>
                <w:lang w:val="en-US" w:eastAsia="zh-CN"/>
                <w14:textFill>
                  <w14:solidFill>
                    <w14:schemeClr w14:val="tx1"/>
                  </w14:solidFill>
                </w14:textFill>
              </w:rPr>
              <w:t>③雨污管网养护、维修管理费</w:t>
            </w:r>
            <w:r>
              <w:rPr>
                <w:rFonts w:hint="eastAsia"/>
                <w:i w:val="0"/>
                <w:iCs w:val="0"/>
                <w:color w:val="000000" w:themeColor="text1"/>
                <w:sz w:val="24"/>
                <w:szCs w:val="24"/>
                <w:highlight w:val="none"/>
                <w:u w:val="none"/>
                <w:lang w:val="en-US" w:eastAsia="zh-CN"/>
                <w14:textFill>
                  <w14:solidFill>
                    <w14:schemeClr w14:val="tx1"/>
                  </w14:solidFill>
                </w14:textFill>
              </w:rPr>
              <w:t>：</w:t>
            </w:r>
            <w:r>
              <w:rPr>
                <w:rFonts w:hint="eastAsia" w:ascii="宋体" w:hAnsi="宋体"/>
                <w:i w:val="0"/>
                <w:iCs w:val="0"/>
                <w:color w:val="000000" w:themeColor="text1"/>
                <w:sz w:val="24"/>
                <w:szCs w:val="24"/>
                <w:highlight w:val="none"/>
                <w:u w:val="none"/>
                <w14:textFill>
                  <w14:solidFill>
                    <w14:schemeClr w14:val="tx1"/>
                  </w14:solidFill>
                </w14:textFill>
              </w:rPr>
              <w:t>中标人根据实际完成的工作量汇总制作结算报告，由采购人送第三方中介机构审核。结算方式为项目结束后当年度</w:t>
            </w:r>
            <w:r>
              <w:rPr>
                <w:rFonts w:hint="eastAsia" w:ascii="宋体" w:hAnsi="宋体"/>
                <w:i w:val="0"/>
                <w:iCs w:val="0"/>
                <w:color w:val="000000" w:themeColor="text1"/>
                <w:sz w:val="24"/>
                <w:szCs w:val="24"/>
                <w:highlight w:val="none"/>
                <w:u w:val="none"/>
                <w:lang w:val="en-US" w:eastAsia="zh-CN"/>
                <w14:textFill>
                  <w14:solidFill>
                    <w14:schemeClr w14:val="tx1"/>
                  </w14:solidFill>
                </w14:textFill>
              </w:rPr>
              <w:t>支付</w:t>
            </w:r>
            <w:r>
              <w:rPr>
                <w:rFonts w:hint="eastAsia" w:ascii="宋体" w:hAnsi="宋体"/>
                <w:i w:val="0"/>
                <w:iCs w:val="0"/>
                <w:color w:val="000000" w:themeColor="text1"/>
                <w:sz w:val="24"/>
                <w:szCs w:val="24"/>
                <w:highlight w:val="none"/>
                <w:u w:val="none"/>
                <w14:textFill>
                  <w14:solidFill>
                    <w14:schemeClr w14:val="tx1"/>
                  </w14:solidFill>
                </w14:textFill>
              </w:rPr>
              <w:t>竣工结算价的50%，</w:t>
            </w:r>
            <w:r>
              <w:rPr>
                <w:rFonts w:hint="eastAsia" w:ascii="宋体" w:hAnsi="宋体"/>
                <w:i w:val="0"/>
                <w:iCs w:val="0"/>
                <w:color w:val="000000" w:themeColor="text1"/>
                <w:sz w:val="24"/>
                <w:szCs w:val="24"/>
                <w:highlight w:val="none"/>
                <w:u w:val="none"/>
                <w:lang w:val="en-US" w:eastAsia="zh-CN"/>
                <w14:textFill>
                  <w14:solidFill>
                    <w14:schemeClr w14:val="tx1"/>
                  </w14:solidFill>
                </w14:textFill>
              </w:rPr>
              <w:t>项目结束</w:t>
            </w:r>
            <w:r>
              <w:rPr>
                <w:rFonts w:hint="eastAsia" w:ascii="宋体" w:hAnsi="宋体"/>
                <w:i w:val="0"/>
                <w:iCs w:val="0"/>
                <w:color w:val="000000" w:themeColor="text1"/>
                <w:sz w:val="24"/>
                <w:szCs w:val="24"/>
                <w:highlight w:val="none"/>
                <w:u w:val="none"/>
                <w14:textFill>
                  <w14:solidFill>
                    <w14:schemeClr w14:val="tx1"/>
                  </w14:solidFill>
                </w14:textFill>
              </w:rPr>
              <w:t>一周年后付至</w:t>
            </w:r>
            <w:r>
              <w:rPr>
                <w:rFonts w:hint="eastAsia" w:ascii="宋体" w:hAnsi="宋体"/>
                <w:i w:val="0"/>
                <w:iCs w:val="0"/>
                <w:color w:val="000000" w:themeColor="text1"/>
                <w:sz w:val="24"/>
                <w:szCs w:val="24"/>
                <w:highlight w:val="none"/>
                <w:u w:val="none"/>
                <w:lang w:val="en-US" w:eastAsia="zh-CN"/>
                <w14:textFill>
                  <w14:solidFill>
                    <w14:schemeClr w14:val="tx1"/>
                  </w14:solidFill>
                </w14:textFill>
              </w:rPr>
              <w:t>竣工结算价</w:t>
            </w:r>
            <w:r>
              <w:rPr>
                <w:rFonts w:hint="eastAsia" w:ascii="宋体" w:hAnsi="宋体"/>
                <w:i w:val="0"/>
                <w:iCs w:val="0"/>
                <w:color w:val="000000" w:themeColor="text1"/>
                <w:sz w:val="24"/>
                <w:szCs w:val="24"/>
                <w:highlight w:val="none"/>
                <w:u w:val="none"/>
                <w14:textFill>
                  <w14:solidFill>
                    <w14:schemeClr w14:val="tx1"/>
                  </w14:solidFill>
                </w14:textFill>
              </w:rPr>
              <w:t>的70%，</w:t>
            </w:r>
            <w:r>
              <w:rPr>
                <w:rFonts w:hint="eastAsia" w:ascii="宋体" w:hAnsi="宋体"/>
                <w:i w:val="0"/>
                <w:iCs w:val="0"/>
                <w:color w:val="000000" w:themeColor="text1"/>
                <w:sz w:val="24"/>
                <w:szCs w:val="24"/>
                <w:highlight w:val="none"/>
                <w:u w:val="none"/>
                <w:lang w:val="en-US" w:eastAsia="zh-CN"/>
                <w14:textFill>
                  <w14:solidFill>
                    <w14:schemeClr w14:val="tx1"/>
                  </w14:solidFill>
                </w14:textFill>
              </w:rPr>
              <w:t>项目结束</w:t>
            </w:r>
            <w:r>
              <w:rPr>
                <w:rFonts w:hint="eastAsia" w:ascii="宋体" w:hAnsi="宋体"/>
                <w:i w:val="0"/>
                <w:iCs w:val="0"/>
                <w:color w:val="000000" w:themeColor="text1"/>
                <w:sz w:val="24"/>
                <w:szCs w:val="24"/>
                <w:highlight w:val="none"/>
                <w:u w:val="none"/>
                <w14:textFill>
                  <w14:solidFill>
                    <w14:schemeClr w14:val="tx1"/>
                  </w14:solidFill>
                </w14:textFill>
              </w:rPr>
              <w:t>满二周年</w:t>
            </w:r>
            <w:r>
              <w:rPr>
                <w:rFonts w:hint="eastAsia" w:ascii="宋体" w:hAnsi="宋体"/>
                <w:i w:val="0"/>
                <w:iCs w:val="0"/>
                <w:color w:val="000000" w:themeColor="text1"/>
                <w:sz w:val="24"/>
                <w:szCs w:val="24"/>
                <w:highlight w:val="none"/>
                <w:u w:val="none"/>
                <w:lang w:val="en-US" w:eastAsia="zh-CN"/>
                <w14:textFill>
                  <w14:solidFill>
                    <w14:schemeClr w14:val="tx1"/>
                  </w14:solidFill>
                </w14:textFill>
              </w:rPr>
              <w:t>并经审计</w:t>
            </w:r>
            <w:r>
              <w:rPr>
                <w:rFonts w:hint="eastAsia" w:ascii="宋体" w:hAnsi="宋体"/>
                <w:i w:val="0"/>
                <w:iCs w:val="0"/>
                <w:color w:val="000000" w:themeColor="text1"/>
                <w:sz w:val="24"/>
                <w:szCs w:val="24"/>
                <w:highlight w:val="none"/>
                <w:u w:val="none"/>
                <w14:textFill>
                  <w14:solidFill>
                    <w14:schemeClr w14:val="tx1"/>
                  </w14:solidFill>
                </w14:textFill>
              </w:rPr>
              <w:t>后付至</w:t>
            </w:r>
            <w:r>
              <w:rPr>
                <w:rFonts w:hint="eastAsia" w:ascii="宋体" w:hAnsi="宋体"/>
                <w:i w:val="0"/>
                <w:iCs w:val="0"/>
                <w:color w:val="000000" w:themeColor="text1"/>
                <w:sz w:val="24"/>
                <w:szCs w:val="24"/>
                <w:highlight w:val="none"/>
                <w:u w:val="none"/>
                <w:lang w:val="en-US" w:eastAsia="zh-CN"/>
                <w14:textFill>
                  <w14:solidFill>
                    <w14:schemeClr w14:val="tx1"/>
                  </w14:solidFill>
                </w14:textFill>
              </w:rPr>
              <w:t>审定金额的</w:t>
            </w:r>
            <w:r>
              <w:rPr>
                <w:rFonts w:hint="eastAsia" w:ascii="宋体" w:hAnsi="宋体"/>
                <w:i w:val="0"/>
                <w:iCs w:val="0"/>
                <w:color w:val="000000" w:themeColor="text1"/>
                <w:sz w:val="24"/>
                <w:szCs w:val="24"/>
                <w:highlight w:val="none"/>
                <w:u w:val="none"/>
                <w14:textFill>
                  <w14:solidFill>
                    <w14:schemeClr w14:val="tx1"/>
                  </w14:solidFill>
                </w14:textFill>
              </w:rPr>
              <w:t>90%，</w:t>
            </w:r>
            <w:r>
              <w:rPr>
                <w:rFonts w:hint="eastAsia" w:ascii="宋体" w:hAnsi="宋体"/>
                <w:i w:val="0"/>
                <w:iCs w:val="0"/>
                <w:color w:val="000000" w:themeColor="text1"/>
                <w:sz w:val="24"/>
                <w:szCs w:val="24"/>
                <w:highlight w:val="none"/>
                <w:u w:val="none"/>
                <w:lang w:val="en-US" w:eastAsia="zh-CN"/>
                <w14:textFill>
                  <w14:solidFill>
                    <w14:schemeClr w14:val="tx1"/>
                  </w14:solidFill>
                </w14:textFill>
              </w:rPr>
              <w:t>项目结束</w:t>
            </w:r>
            <w:r>
              <w:rPr>
                <w:rFonts w:hint="eastAsia" w:ascii="宋体" w:hAnsi="宋体"/>
                <w:i w:val="0"/>
                <w:iCs w:val="0"/>
                <w:color w:val="000000" w:themeColor="text1"/>
                <w:sz w:val="24"/>
                <w:szCs w:val="24"/>
                <w:highlight w:val="none"/>
                <w:u w:val="none"/>
                <w14:textFill>
                  <w14:solidFill>
                    <w14:schemeClr w14:val="tx1"/>
                  </w14:solidFill>
                </w14:textFill>
              </w:rPr>
              <w:t>满</w:t>
            </w:r>
            <w:r>
              <w:rPr>
                <w:rFonts w:hint="eastAsia" w:ascii="宋体" w:hAnsi="宋体"/>
                <w:i w:val="0"/>
                <w:iCs w:val="0"/>
                <w:color w:val="000000" w:themeColor="text1"/>
                <w:sz w:val="24"/>
                <w:szCs w:val="24"/>
                <w:highlight w:val="none"/>
                <w:u w:val="none"/>
                <w:lang w:val="en-US" w:eastAsia="zh-CN"/>
                <w14:textFill>
                  <w14:solidFill>
                    <w14:schemeClr w14:val="tx1"/>
                  </w14:solidFill>
                </w14:textFill>
              </w:rPr>
              <w:t>三</w:t>
            </w:r>
            <w:r>
              <w:rPr>
                <w:rFonts w:hint="eastAsia" w:ascii="宋体" w:hAnsi="宋体"/>
                <w:i w:val="0"/>
                <w:iCs w:val="0"/>
                <w:color w:val="000000" w:themeColor="text1"/>
                <w:sz w:val="24"/>
                <w:szCs w:val="24"/>
                <w:highlight w:val="none"/>
                <w:u w:val="none"/>
                <w14:textFill>
                  <w14:solidFill>
                    <w14:schemeClr w14:val="tx1"/>
                  </w14:solidFill>
                </w14:textFill>
              </w:rPr>
              <w:t>周年</w:t>
            </w:r>
            <w:r>
              <w:rPr>
                <w:rFonts w:hint="eastAsia" w:ascii="宋体" w:hAnsi="宋体"/>
                <w:i w:val="0"/>
                <w:iCs w:val="0"/>
                <w:color w:val="000000" w:themeColor="text1"/>
                <w:sz w:val="24"/>
                <w:szCs w:val="24"/>
                <w:highlight w:val="none"/>
                <w:u w:val="none"/>
                <w:lang w:val="en-US" w:eastAsia="zh-CN"/>
                <w14:textFill>
                  <w14:solidFill>
                    <w14:schemeClr w14:val="tx1"/>
                  </w14:solidFill>
                </w14:textFill>
              </w:rPr>
              <w:t>并经审计</w:t>
            </w:r>
            <w:r>
              <w:rPr>
                <w:rFonts w:hint="eastAsia" w:ascii="宋体" w:hAnsi="宋体"/>
                <w:i w:val="0"/>
                <w:iCs w:val="0"/>
                <w:color w:val="000000" w:themeColor="text1"/>
                <w:sz w:val="24"/>
                <w:szCs w:val="24"/>
                <w:highlight w:val="none"/>
                <w:u w:val="none"/>
                <w14:textFill>
                  <w14:solidFill>
                    <w14:schemeClr w14:val="tx1"/>
                  </w14:solidFill>
                </w14:textFill>
              </w:rPr>
              <w:t>后付至</w:t>
            </w:r>
            <w:r>
              <w:rPr>
                <w:rFonts w:hint="eastAsia" w:ascii="宋体" w:hAnsi="宋体"/>
                <w:i w:val="0"/>
                <w:iCs w:val="0"/>
                <w:color w:val="000000" w:themeColor="text1"/>
                <w:sz w:val="24"/>
                <w:szCs w:val="24"/>
                <w:highlight w:val="none"/>
                <w:u w:val="none"/>
                <w:lang w:val="en-US" w:eastAsia="zh-CN"/>
                <w14:textFill>
                  <w14:solidFill>
                    <w14:schemeClr w14:val="tx1"/>
                  </w14:solidFill>
                </w14:textFill>
              </w:rPr>
              <w:t>审定金额的100</w:t>
            </w:r>
            <w:r>
              <w:rPr>
                <w:rFonts w:hint="eastAsia" w:ascii="宋体" w:hAnsi="宋体"/>
                <w:i w:val="0"/>
                <w:iCs w:val="0"/>
                <w:color w:val="000000" w:themeColor="text1"/>
                <w:sz w:val="24"/>
                <w:szCs w:val="24"/>
                <w:highlight w:val="none"/>
                <w:u w:val="none"/>
                <w14:textFill>
                  <w14:solidFill>
                    <w14:schemeClr w14:val="tx1"/>
                  </w14:solidFill>
                </w14:textFill>
              </w:rPr>
              <w:t>%</w:t>
            </w:r>
            <w:r>
              <w:rPr>
                <w:rFonts w:hint="eastAsia" w:ascii="宋体" w:hAnsi="宋体"/>
                <w:i w:val="0"/>
                <w:iCs w:val="0"/>
                <w:color w:val="000000" w:themeColor="text1"/>
                <w:sz w:val="24"/>
                <w:szCs w:val="24"/>
                <w:highlight w:val="none"/>
                <w:u w:val="none"/>
                <w:lang w:eastAsia="zh-CN"/>
                <w14:textFill>
                  <w14:solidFill>
                    <w14:schemeClr w14:val="tx1"/>
                  </w14:solidFill>
                </w14:textFill>
              </w:rPr>
              <w:t>。</w:t>
            </w:r>
          </w:p>
        </w:tc>
        <w:tc>
          <w:tcPr>
            <w:tcW w:w="1910" w:type="dxa"/>
            <w:noWrap w:val="0"/>
            <w:vAlign w:val="center"/>
          </w:tcPr>
          <w:p w14:paraId="5F9E63C4">
            <w:pPr>
              <w:keepNext w:val="0"/>
              <w:keepLines w:val="0"/>
              <w:suppressLineNumbers w:val="0"/>
              <w:spacing w:before="0" w:beforeAutospacing="0" w:after="0" w:afterAutospacing="0" w:line="400" w:lineRule="exact"/>
              <w:ind w:left="0" w:right="0"/>
              <w:jc w:val="center"/>
              <w:rPr>
                <w:rFonts w:hint="default" w:ascii="宋体" w:hAnsi="宋体"/>
                <w:color w:val="000000" w:themeColor="text1"/>
                <w:sz w:val="24"/>
                <w:szCs w:val="24"/>
                <w:highlight w:val="none"/>
                <w14:textFill>
                  <w14:solidFill>
                    <w14:schemeClr w14:val="tx1"/>
                  </w14:solidFill>
                </w14:textFill>
              </w:rPr>
            </w:pPr>
          </w:p>
        </w:tc>
        <w:tc>
          <w:tcPr>
            <w:tcW w:w="1626" w:type="dxa"/>
            <w:noWrap w:val="0"/>
            <w:vAlign w:val="center"/>
          </w:tcPr>
          <w:p w14:paraId="37CB8E63">
            <w:pPr>
              <w:keepNext w:val="0"/>
              <w:keepLines w:val="0"/>
              <w:suppressLineNumbers w:val="0"/>
              <w:spacing w:before="0" w:beforeAutospacing="0" w:after="0" w:afterAutospacing="0" w:line="400" w:lineRule="exact"/>
              <w:ind w:left="0" w:right="0"/>
              <w:jc w:val="center"/>
              <w:rPr>
                <w:rFonts w:hint="default" w:ascii="宋体" w:hAnsi="宋体"/>
                <w:color w:val="000000" w:themeColor="text1"/>
                <w:sz w:val="24"/>
                <w:szCs w:val="24"/>
                <w:highlight w:val="none"/>
                <w14:textFill>
                  <w14:solidFill>
                    <w14:schemeClr w14:val="tx1"/>
                  </w14:solidFill>
                </w14:textFill>
              </w:rPr>
            </w:pPr>
          </w:p>
        </w:tc>
      </w:tr>
    </w:tbl>
    <w:p w14:paraId="65C39EF5">
      <w:pPr>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备注</w:t>
      </w:r>
      <w:r>
        <w:rPr>
          <w:rFonts w:ascii="宋体" w:hAnsi="宋体"/>
          <w:color w:val="000000" w:themeColor="text1"/>
          <w:sz w:val="24"/>
          <w:szCs w:val="24"/>
          <w:highlight w:val="none"/>
          <w14:textFill>
            <w14:solidFill>
              <w14:schemeClr w14:val="tx1"/>
            </w14:solidFill>
          </w14:textFill>
        </w:rPr>
        <w:t>：</w:t>
      </w:r>
    </w:p>
    <w:p w14:paraId="216A88A8">
      <w:pPr>
        <w:spacing w:line="400" w:lineRule="exact"/>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1.投标人必须</w:t>
      </w:r>
      <w:r>
        <w:rPr>
          <w:rFonts w:ascii="宋体" w:hAnsi="宋体"/>
          <w:color w:val="000000" w:themeColor="text1"/>
          <w:sz w:val="24"/>
          <w:szCs w:val="24"/>
          <w:highlight w:val="none"/>
          <w14:textFill>
            <w14:solidFill>
              <w14:schemeClr w14:val="tx1"/>
            </w14:solidFill>
          </w14:textFill>
        </w:rPr>
        <w:t>对技术</w:t>
      </w:r>
      <w:r>
        <w:rPr>
          <w:rFonts w:hint="eastAsia" w:ascii="宋体" w:hAnsi="宋体"/>
          <w:color w:val="000000" w:themeColor="text1"/>
          <w:sz w:val="24"/>
          <w:szCs w:val="24"/>
          <w:highlight w:val="none"/>
          <w14:textFill>
            <w14:solidFill>
              <w14:schemeClr w14:val="tx1"/>
            </w14:solidFill>
          </w14:textFill>
        </w:rPr>
        <w:t>要求</w:t>
      </w:r>
      <w:r>
        <w:rPr>
          <w:rFonts w:ascii="宋体" w:hAnsi="宋体"/>
          <w:color w:val="000000" w:themeColor="text1"/>
          <w:sz w:val="24"/>
          <w:szCs w:val="24"/>
          <w:highlight w:val="none"/>
          <w14:textFill>
            <w14:solidFill>
              <w14:schemeClr w14:val="tx1"/>
            </w14:solidFill>
          </w14:textFill>
        </w:rPr>
        <w:t>和商务要求中的实质性要求逐条做出明确响应</w:t>
      </w:r>
      <w:r>
        <w:rPr>
          <w:rFonts w:hint="eastAsia" w:ascii="宋体" w:hAnsi="宋体"/>
          <w:color w:val="000000" w:themeColor="text1"/>
          <w:sz w:val="24"/>
          <w:szCs w:val="24"/>
          <w:highlight w:val="none"/>
          <w14:textFill>
            <w14:solidFill>
              <w14:schemeClr w14:val="tx1"/>
            </w14:solidFill>
          </w14:textFill>
        </w:rPr>
        <w:t>，</w:t>
      </w:r>
      <w:r>
        <w:rPr>
          <w:rFonts w:hint="eastAsia" w:ascii="宋体" w:hAnsi="宋体"/>
          <w:color w:val="000000" w:themeColor="text1"/>
          <w:sz w:val="24"/>
          <w:highlight w:val="none"/>
          <w14:textFill>
            <w14:solidFill>
              <w14:schemeClr w14:val="tx1"/>
            </w14:solidFill>
          </w14:textFill>
        </w:rPr>
        <w:t>否则作无效投标处理</w:t>
      </w:r>
      <w:r>
        <w:rPr>
          <w:rFonts w:ascii="宋体" w:hAnsi="宋体"/>
          <w:color w:val="000000" w:themeColor="text1"/>
          <w:sz w:val="24"/>
          <w:highlight w:val="none"/>
          <w14:textFill>
            <w14:solidFill>
              <w14:schemeClr w14:val="tx1"/>
            </w14:solidFill>
          </w14:textFill>
        </w:rPr>
        <w:t>。</w:t>
      </w:r>
    </w:p>
    <w:p w14:paraId="365457DC">
      <w:pPr>
        <w:spacing w:line="400" w:lineRule="exact"/>
        <w:ind w:firstLine="480"/>
        <w:rPr>
          <w:color w:val="000000" w:themeColor="text1"/>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2</w:t>
      </w:r>
      <w:r>
        <w:rPr>
          <w:rFonts w:hint="eastAsia" w:ascii="宋体" w:hAnsi="宋体"/>
          <w:color w:val="000000" w:themeColor="text1"/>
          <w:sz w:val="24"/>
          <w:szCs w:val="24"/>
          <w:highlight w:val="none"/>
          <w14:textFill>
            <w14:solidFill>
              <w14:schemeClr w14:val="tx1"/>
            </w14:solidFill>
          </w14:textFill>
        </w:rPr>
        <w:t>.投标人未对实质性要求逐条作出明确响应的，或未按招标文件要求提供证明材料（如有）的，该项目作无效投标处理。</w:t>
      </w:r>
    </w:p>
    <w:sectPr>
      <w:headerReference r:id="rId3" w:type="default"/>
      <w:footerReference r:id="rId4" w:type="default"/>
      <w:footerReference r:id="rId5" w:type="even"/>
      <w:pgSz w:w="11906" w:h="16838"/>
      <w:pgMar w:top="771" w:right="720" w:bottom="993" w:left="720" w:header="231" w:footer="452" w:gutter="0"/>
      <w:cols w:space="72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幼圆">
    <w:panose1 w:val="02010509060101010101"/>
    <w:charset w:val="86"/>
    <w:family w:val="auto"/>
    <w:pitch w:val="default"/>
    <w:sig w:usb0="00000001" w:usb1="080E0000" w:usb2="00000000" w:usb3="00000000" w:csb0="00040000" w:csb1="00000000"/>
  </w:font>
  <w:font w:name="Tahoma">
    <w:panose1 w:val="020B0604030504040204"/>
    <w:charset w:val="00"/>
    <w:family w:val="auto"/>
    <w:pitch w:val="default"/>
    <w:sig w:usb0="E1002EFF" w:usb1="C000605B" w:usb2="00000029" w:usb3="00000000" w:csb0="200101FF" w:csb1="20280000"/>
  </w:font>
  <w:font w:name="Arial Unicode MS">
    <w:altName w:val="Arial"/>
    <w:panose1 w:val="020B0604020202020204"/>
    <w:charset w:val="00"/>
    <w:family w:val="auto"/>
    <w:pitch w:val="default"/>
    <w:sig w:usb0="00000000" w:usb1="00000000" w:usb2="00000000" w:usb3="00000000" w:csb0="00000000" w:csb1="00000000"/>
  </w:font>
  <w:font w:name="方正黑体_GBK">
    <w:altName w:val="微软雅黑"/>
    <w:panose1 w:val="020B0503020202020204"/>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Verdana">
    <w:panose1 w:val="020B0604030504040204"/>
    <w:charset w:val="00"/>
    <w:family w:val="auto"/>
    <w:pitch w:val="default"/>
    <w:sig w:usb0="A00006FF" w:usb1="4000205B" w:usb2="00000010" w:usb3="00000000" w:csb0="2000019F" w:csb1="00000000"/>
  </w:font>
  <w:font w:name="方正小标宋_GBK">
    <w:altName w:val="微软雅黑"/>
    <w:panose1 w:val="020B0503020202020204"/>
    <w:charset w:val="00"/>
    <w:family w:val="auto"/>
    <w:pitch w:val="default"/>
    <w:sig w:usb0="00000000" w:usb1="00000000" w:usb2="00000000" w:usb3="00000000" w:csb0="00000000" w:csb1="00000000"/>
  </w:font>
  <w:font w:name="Calibri Light">
    <w:panose1 w:val="020F0302020204030204"/>
    <w:charset w:val="00"/>
    <w:family w:val="auto"/>
    <w:pitch w:val="default"/>
    <w:sig w:usb0="E4002EFF" w:usb1="C000247B" w:usb2="00000009" w:usb3="00000000" w:csb0="200001FF" w:csb1="00000000"/>
  </w:font>
  <w:font w:name="Berlin Sans FB Demi">
    <w:panose1 w:val="020E0802020502020306"/>
    <w:charset w:val="00"/>
    <w:family w:val="auto"/>
    <w:pitch w:val="default"/>
    <w:sig w:usb0="00000003" w:usb1="00000000" w:usb2="00000000" w:usb3="00000000" w:csb0="20000001" w:csb1="00000000"/>
  </w:font>
  <w:font w:name="Microsoft YaHei UI">
    <w:panose1 w:val="020B0503020204020204"/>
    <w:charset w:val="86"/>
    <w:family w:val="auto"/>
    <w:pitch w:val="default"/>
    <w:sig w:usb0="80000287" w:usb1="2ACF3C50" w:usb2="00000016" w:usb3="00000000" w:csb0="0004001F" w:csb1="00000000"/>
  </w:font>
  <w:font w:name="等线 Light">
    <w:panose1 w:val="02010600030101010101"/>
    <w:charset w:val="86"/>
    <w:family w:val="auto"/>
    <w:pitch w:val="default"/>
    <w:sig w:usb0="A00002BF" w:usb1="38CF7CFA" w:usb2="00000016" w:usb3="00000000" w:csb0="0004000F" w:csb1="00000000"/>
  </w:font>
  <w:font w:name="新宋体">
    <w:panose1 w:val="02010609030101010101"/>
    <w:charset w:val="86"/>
    <w:family w:val="auto"/>
    <w:pitch w:val="default"/>
    <w:sig w:usb0="00000203" w:usb1="288F0000" w:usb2="00000006" w:usb3="00000000" w:csb0="00040001"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A23BEF">
    <w:pPr>
      <w:pStyle w:val="330"/>
      <w:framePr w:wrap="around" w:vAnchor="text" w:hAnchor="margin" w:xAlign="center" w:y="1"/>
      <w:ind w:firstLine="360"/>
      <w:rPr>
        <w:rStyle w:val="258"/>
        <w:rFonts w:ascii="宋体" w:hAnsi="宋体"/>
      </w:rPr>
    </w:pPr>
    <w:r>
      <w:rPr>
        <w:rFonts w:ascii="宋体" w:hAnsi="宋体"/>
      </w:rPr>
      <w:fldChar w:fldCharType="begin"/>
    </w:r>
    <w:r>
      <w:rPr>
        <w:rStyle w:val="258"/>
        <w:rFonts w:ascii="宋体" w:hAnsi="宋体"/>
      </w:rPr>
      <w:instrText xml:space="preserve">PAGE  </w:instrText>
    </w:r>
    <w:r>
      <w:rPr>
        <w:rFonts w:ascii="宋体" w:hAnsi="宋体"/>
      </w:rPr>
      <w:fldChar w:fldCharType="separate"/>
    </w:r>
    <w:r>
      <w:rPr>
        <w:rStyle w:val="258"/>
        <w:rFonts w:ascii="宋体" w:hAnsi="宋体"/>
      </w:rPr>
      <w:t>2</w:t>
    </w:r>
    <w:r>
      <w:rPr>
        <w:rFonts w:ascii="宋体" w:hAnsi="宋体"/>
      </w:rPr>
      <w:fldChar w:fldCharType="end"/>
    </w:r>
  </w:p>
  <w:p w14:paraId="34007DF3"/>
  <w:p w14:paraId="5048E7DE"/>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ECD1A8">
    <w:pPr>
      <w:pStyle w:val="330"/>
      <w:framePr w:wrap="around" w:vAnchor="text" w:hAnchor="margin" w:xAlign="center" w:y="1"/>
      <w:ind w:firstLine="360"/>
      <w:rPr>
        <w:rStyle w:val="258"/>
      </w:rPr>
    </w:pPr>
    <w:r>
      <w:fldChar w:fldCharType="begin"/>
    </w:r>
    <w:r>
      <w:rPr>
        <w:rStyle w:val="258"/>
      </w:rPr>
      <w:instrText xml:space="preserve">PAGE  </w:instrText>
    </w:r>
    <w:r>
      <w:fldChar w:fldCharType="separate"/>
    </w:r>
    <w:r>
      <w:rPr>
        <w:rStyle w:val="258"/>
      </w:rPr>
      <w:t>1</w:t>
    </w:r>
    <w:r>
      <w:fldChar w:fldCharType="end"/>
    </w:r>
  </w:p>
  <w:p w14:paraId="67B1DF0B">
    <w:pPr>
      <w:pStyle w:val="330"/>
      <w:ind w:firstLine="360"/>
    </w:pPr>
  </w:p>
  <w:p w14:paraId="21C94447"/>
  <w:p w14:paraId="2144C7BE"/>
  <w:p w14:paraId="73324E0B"/>
  <w:p w14:paraId="785B72EC"/>
  <w:p w14:paraId="512EF8E0"/>
  <w:p w14:paraId="545D59CC"/>
  <w:p w14:paraId="6FBC6173"/>
  <w:p w14:paraId="06A07AF1"/>
  <w:p w14:paraId="44E2EB64"/>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CEE369">
    <w:pPr>
      <w:pStyle w:val="328"/>
      <w:ind w:firstLine="360"/>
    </w:pPr>
  </w:p>
  <w:p w14:paraId="0D96E44C"/>
  <w:p w14:paraId="05A20260"/>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BF205925"/>
    <w:multiLevelType w:val="multilevel"/>
    <w:tmpl w:val="BF205925"/>
    <w:lvl w:ilvl="0" w:tentative="0">
      <w:start w:val="1"/>
      <w:numFmt w:val="decimal"/>
      <w:pStyle w:val="374"/>
      <w:lvlText w:val="%1、"/>
      <w:lvlJc w:val="left"/>
      <w:pPr>
        <w:tabs>
          <w:tab w:val="left" w:pos="375"/>
        </w:tabs>
        <w:ind w:left="375" w:hanging="375"/>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CF092B84"/>
    <w:multiLevelType w:val="multilevel"/>
    <w:tmpl w:val="CF092B84"/>
    <w:lvl w:ilvl="0" w:tentative="0">
      <w:start w:val="1"/>
      <w:numFmt w:val="upperLetter"/>
      <w:pStyle w:val="282"/>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0053208E"/>
    <w:multiLevelType w:val="multilevel"/>
    <w:tmpl w:val="0053208E"/>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decimal"/>
      <w:pStyle w:val="237"/>
      <w:suff w:val="nothing"/>
      <w:lvlText w:val=""/>
      <w:lvlJc w:val="left"/>
      <w:pPr>
        <w:ind w:left="0" w:firstLine="0"/>
      </w:pPr>
      <w:rPr>
        <w:rFonts w:hint="eastAsia"/>
      </w:rPr>
    </w:lvl>
    <w:lvl w:ilvl="6" w:tentative="0">
      <w:start w:val="1"/>
      <w:numFmt w:val="decimal"/>
      <w:pStyle w:val="238"/>
      <w:suff w:val="nothing"/>
      <w:lvlText w:val=""/>
      <w:lvlJc w:val="left"/>
      <w:pPr>
        <w:ind w:left="0" w:firstLine="0"/>
      </w:pPr>
      <w:rPr>
        <w:rFonts w:hint="eastAsia"/>
      </w:rPr>
    </w:lvl>
    <w:lvl w:ilvl="7" w:tentative="0">
      <w:start w:val="1"/>
      <w:numFmt w:val="decimal"/>
      <w:pStyle w:val="239"/>
      <w:suff w:val="nothing"/>
      <w:lvlText w:val=""/>
      <w:lvlJc w:val="left"/>
      <w:pPr>
        <w:ind w:left="0" w:firstLine="0"/>
      </w:pPr>
      <w:rPr>
        <w:rFonts w:hint="eastAsia"/>
      </w:rPr>
    </w:lvl>
    <w:lvl w:ilvl="8" w:tentative="0">
      <w:start w:val="1"/>
      <w:numFmt w:val="decimal"/>
      <w:pStyle w:val="240"/>
      <w:suff w:val="nothing"/>
      <w:lvlText w:val=""/>
      <w:lvlJc w:val="left"/>
      <w:pPr>
        <w:ind w:left="0" w:firstLine="0"/>
      </w:pPr>
      <w:rPr>
        <w:rFonts w:hint="eastAsia"/>
      </w:rPr>
    </w:lvl>
  </w:abstractNum>
  <w:abstractNum w:abstractNumId="4">
    <w:nsid w:val="03D62ECE"/>
    <w:multiLevelType w:val="multilevel"/>
    <w:tmpl w:val="03D62ECE"/>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25B654F3"/>
    <w:multiLevelType w:val="multilevel"/>
    <w:tmpl w:val="25B654F3"/>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59ADCABA"/>
    <w:multiLevelType w:val="multilevel"/>
    <w:tmpl w:val="59ADCABA"/>
    <w:lvl w:ilvl="0" w:tentative="0">
      <w:start w:val="1"/>
      <w:numFmt w:val="decimal"/>
      <w:pStyle w:val="305"/>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7"/>
  <w:documentProtection w:enforcement="0"/>
  <w:defaultTabStop w:val="420"/>
  <w:characterSpacingControl w:val="doNotCompress"/>
  <w:compat>
    <w:balanceSingleByteDoubleByteWidth/>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49E3D7B"/>
    <w:rsid w:val="789B51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qFormat="1"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qFormat="1"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iPriority="99"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Calibri" w:hAnsi="Calibri" w:eastAsia="宋体" w:cs="Times New Roman"/>
      <w:sz w:val="21"/>
      <w:szCs w:val="22"/>
      <w:lang w:val="en-US" w:eastAsia="zh-CN" w:bidi="ar-SA"/>
    </w:rPr>
  </w:style>
  <w:style w:type="paragraph" w:styleId="2">
    <w:name w:val="heading 1"/>
    <w:basedOn w:val="1"/>
    <w:next w:val="1"/>
    <w:link w:val="83"/>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84"/>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85"/>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86"/>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87"/>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88"/>
    <w:unhideWhenUsed/>
    <w:qFormat/>
    <w:uiPriority w:val="9"/>
    <w:pPr>
      <w:keepNext/>
      <w:keepLines/>
      <w:spacing w:before="320" w:after="200"/>
      <w:outlineLvl w:val="5"/>
    </w:pPr>
    <w:rPr>
      <w:rFonts w:ascii="Arial" w:hAnsi="Arial" w:eastAsia="Arial" w:cs="Arial"/>
      <w:b/>
      <w:bCs/>
      <w:sz w:val="22"/>
    </w:rPr>
  </w:style>
  <w:style w:type="paragraph" w:styleId="8">
    <w:name w:val="heading 7"/>
    <w:basedOn w:val="1"/>
    <w:next w:val="1"/>
    <w:link w:val="89"/>
    <w:unhideWhenUsed/>
    <w:qFormat/>
    <w:uiPriority w:val="9"/>
    <w:pPr>
      <w:keepNext/>
      <w:keepLines/>
      <w:spacing w:before="320" w:after="200"/>
      <w:outlineLvl w:val="6"/>
    </w:pPr>
    <w:rPr>
      <w:rFonts w:ascii="Arial" w:hAnsi="Arial" w:eastAsia="Arial" w:cs="Arial"/>
      <w:b/>
      <w:bCs/>
      <w:i/>
      <w:iCs/>
      <w:sz w:val="22"/>
    </w:rPr>
  </w:style>
  <w:style w:type="paragraph" w:styleId="9">
    <w:name w:val="heading 8"/>
    <w:basedOn w:val="1"/>
    <w:next w:val="1"/>
    <w:link w:val="90"/>
    <w:unhideWhenUsed/>
    <w:qFormat/>
    <w:uiPriority w:val="9"/>
    <w:pPr>
      <w:keepNext/>
      <w:keepLines/>
      <w:spacing w:before="320" w:after="200"/>
      <w:outlineLvl w:val="7"/>
    </w:pPr>
    <w:rPr>
      <w:rFonts w:ascii="Arial" w:hAnsi="Arial" w:eastAsia="Arial" w:cs="Arial"/>
      <w:i/>
      <w:iCs/>
      <w:sz w:val="22"/>
    </w:rPr>
  </w:style>
  <w:style w:type="paragraph" w:styleId="10">
    <w:name w:val="heading 9"/>
    <w:basedOn w:val="1"/>
    <w:next w:val="1"/>
    <w:link w:val="91"/>
    <w:unhideWhenUsed/>
    <w:qFormat/>
    <w:uiPriority w:val="9"/>
    <w:pPr>
      <w:keepNext/>
      <w:keepLines/>
      <w:spacing w:before="320" w:after="200"/>
      <w:outlineLvl w:val="8"/>
    </w:pPr>
    <w:rPr>
      <w:rFonts w:ascii="Arial" w:hAnsi="Arial" w:eastAsia="Arial" w:cs="Arial"/>
      <w:i/>
      <w:iCs/>
      <w:szCs w:val="21"/>
    </w:rPr>
  </w:style>
  <w:style w:type="character" w:default="1" w:styleId="41">
    <w:name w:val="Default Paragraph Font"/>
    <w:semiHidden/>
    <w:unhideWhenUsed/>
    <w:qFormat/>
    <w:uiPriority w:val="1"/>
  </w:style>
  <w:style w:type="table" w:default="1" w:styleId="39">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annotation text"/>
    <w:basedOn w:val="1"/>
    <w:link w:val="398"/>
    <w:semiHidden/>
    <w:unhideWhenUsed/>
    <w:qFormat/>
    <w:uiPriority w:val="99"/>
    <w:pPr>
      <w:jc w:val="left"/>
    </w:pPr>
  </w:style>
  <w:style w:type="paragraph" w:styleId="14">
    <w:name w:val="Body Text"/>
    <w:basedOn w:val="1"/>
    <w:next w:val="15"/>
    <w:qFormat/>
    <w:uiPriority w:val="0"/>
    <w:rPr>
      <w:rFonts w:ascii="楷体_GB2312" w:hAnsi="Arial" w:eastAsia="楷体_GB2312"/>
      <w:sz w:val="28"/>
    </w:rPr>
  </w:style>
  <w:style w:type="paragraph" w:styleId="15">
    <w:name w:val="Body Text First Indent"/>
    <w:basedOn w:val="14"/>
    <w:unhideWhenUsed/>
    <w:qFormat/>
    <w:uiPriority w:val="99"/>
    <w:pPr>
      <w:ind w:firstLine="420"/>
    </w:pPr>
  </w:style>
  <w:style w:type="paragraph" w:styleId="16">
    <w:name w:val="Body Text Indent"/>
    <w:basedOn w:val="1"/>
    <w:next w:val="17"/>
    <w:qFormat/>
    <w:uiPriority w:val="0"/>
    <w:pPr>
      <w:spacing w:line="312" w:lineRule="atLeast"/>
      <w:ind w:firstLine="574"/>
    </w:pPr>
    <w:rPr>
      <w:rFonts w:ascii="宋体"/>
      <w:sz w:val="28"/>
    </w:rPr>
  </w:style>
  <w:style w:type="paragraph" w:styleId="17">
    <w:name w:val="envelope return"/>
    <w:basedOn w:val="1"/>
    <w:qFormat/>
    <w:uiPriority w:val="0"/>
    <w:rPr>
      <w:rFonts w:ascii="Arial" w:hAnsi="Arial"/>
    </w:rPr>
  </w:style>
  <w:style w:type="paragraph" w:styleId="18">
    <w:name w:val="toc 5"/>
    <w:basedOn w:val="1"/>
    <w:next w:val="1"/>
    <w:unhideWhenUsed/>
    <w:qFormat/>
    <w:uiPriority w:val="39"/>
    <w:pPr>
      <w:spacing w:after="57"/>
      <w:ind w:left="1134"/>
    </w:pPr>
  </w:style>
  <w:style w:type="paragraph" w:styleId="19">
    <w:name w:val="toc 3"/>
    <w:basedOn w:val="1"/>
    <w:next w:val="1"/>
    <w:unhideWhenUsed/>
    <w:qFormat/>
    <w:uiPriority w:val="39"/>
    <w:pPr>
      <w:spacing w:after="57"/>
      <w:ind w:left="567"/>
    </w:pPr>
  </w:style>
  <w:style w:type="paragraph" w:styleId="20">
    <w:name w:val="toc 8"/>
    <w:basedOn w:val="1"/>
    <w:next w:val="1"/>
    <w:unhideWhenUsed/>
    <w:qFormat/>
    <w:uiPriority w:val="39"/>
    <w:pPr>
      <w:spacing w:after="57"/>
      <w:ind w:left="1984"/>
    </w:pPr>
  </w:style>
  <w:style w:type="paragraph" w:styleId="21">
    <w:name w:val="Date"/>
    <w:basedOn w:val="1"/>
    <w:next w:val="1"/>
    <w:qFormat/>
    <w:uiPriority w:val="0"/>
    <w:pPr>
      <w:spacing w:line="312" w:lineRule="atLeast"/>
    </w:pPr>
    <w:rPr>
      <w:rFonts w:ascii="宋体"/>
      <w:sz w:val="28"/>
    </w:rPr>
  </w:style>
  <w:style w:type="paragraph" w:styleId="22">
    <w:name w:val="endnote text"/>
    <w:basedOn w:val="1"/>
    <w:link w:val="229"/>
    <w:semiHidden/>
    <w:unhideWhenUsed/>
    <w:qFormat/>
    <w:uiPriority w:val="99"/>
    <w:rPr>
      <w:sz w:val="20"/>
    </w:rPr>
  </w:style>
  <w:style w:type="paragraph" w:styleId="23">
    <w:name w:val="Balloon Text"/>
    <w:basedOn w:val="1"/>
    <w:link w:val="400"/>
    <w:semiHidden/>
    <w:unhideWhenUsed/>
    <w:qFormat/>
    <w:uiPriority w:val="99"/>
    <w:rPr>
      <w:sz w:val="18"/>
      <w:szCs w:val="18"/>
    </w:rPr>
  </w:style>
  <w:style w:type="paragraph" w:styleId="24">
    <w:name w:val="footer"/>
    <w:basedOn w:val="1"/>
    <w:link w:val="102"/>
    <w:unhideWhenUsed/>
    <w:qFormat/>
    <w:uiPriority w:val="99"/>
    <w:pPr>
      <w:tabs>
        <w:tab w:val="center" w:pos="7143"/>
        <w:tab w:val="right" w:pos="14287"/>
      </w:tabs>
    </w:pPr>
  </w:style>
  <w:style w:type="paragraph" w:styleId="25">
    <w:name w:val="header"/>
    <w:basedOn w:val="1"/>
    <w:link w:val="100"/>
    <w:unhideWhenUsed/>
    <w:qFormat/>
    <w:uiPriority w:val="99"/>
    <w:pPr>
      <w:tabs>
        <w:tab w:val="center" w:pos="7143"/>
        <w:tab w:val="right" w:pos="14287"/>
      </w:tabs>
    </w:pPr>
  </w:style>
  <w:style w:type="paragraph" w:styleId="26">
    <w:name w:val="Signature"/>
    <w:basedOn w:val="1"/>
    <w:qFormat/>
    <w:uiPriority w:val="0"/>
    <w:pPr>
      <w:spacing w:after="600" w:line="312" w:lineRule="atLeast"/>
      <w:jc w:val="center"/>
    </w:pPr>
    <w:rPr>
      <w:rFonts w:eastAsia="仿宋_GB2312"/>
      <w:sz w:val="24"/>
    </w:rPr>
  </w:style>
  <w:style w:type="paragraph" w:styleId="27">
    <w:name w:val="toc 1"/>
    <w:basedOn w:val="1"/>
    <w:next w:val="1"/>
    <w:unhideWhenUsed/>
    <w:qFormat/>
    <w:uiPriority w:val="39"/>
    <w:pPr>
      <w:spacing w:after="57"/>
    </w:pPr>
  </w:style>
  <w:style w:type="paragraph" w:styleId="28">
    <w:name w:val="toc 4"/>
    <w:basedOn w:val="1"/>
    <w:next w:val="1"/>
    <w:unhideWhenUsed/>
    <w:qFormat/>
    <w:uiPriority w:val="39"/>
    <w:pPr>
      <w:spacing w:after="57"/>
      <w:ind w:left="850"/>
    </w:pPr>
  </w:style>
  <w:style w:type="paragraph" w:styleId="29">
    <w:name w:val="Subtitle"/>
    <w:basedOn w:val="1"/>
    <w:next w:val="1"/>
    <w:link w:val="95"/>
    <w:qFormat/>
    <w:uiPriority w:val="11"/>
    <w:pPr>
      <w:spacing w:before="200" w:after="200"/>
    </w:pPr>
    <w:rPr>
      <w:sz w:val="24"/>
      <w:szCs w:val="24"/>
    </w:rPr>
  </w:style>
  <w:style w:type="paragraph" w:styleId="30">
    <w:name w:val="footnote text"/>
    <w:basedOn w:val="1"/>
    <w:link w:val="228"/>
    <w:semiHidden/>
    <w:unhideWhenUsed/>
    <w:qFormat/>
    <w:uiPriority w:val="99"/>
    <w:pPr>
      <w:spacing w:after="40"/>
    </w:pPr>
    <w:rPr>
      <w:sz w:val="18"/>
    </w:rPr>
  </w:style>
  <w:style w:type="paragraph" w:styleId="31">
    <w:name w:val="toc 6"/>
    <w:basedOn w:val="1"/>
    <w:next w:val="1"/>
    <w:unhideWhenUsed/>
    <w:qFormat/>
    <w:uiPriority w:val="39"/>
    <w:pPr>
      <w:spacing w:after="57"/>
      <w:ind w:left="1417"/>
    </w:pPr>
  </w:style>
  <w:style w:type="paragraph" w:styleId="32">
    <w:name w:val="table of figures"/>
    <w:basedOn w:val="1"/>
    <w:next w:val="1"/>
    <w:unhideWhenUsed/>
    <w:qFormat/>
    <w:uiPriority w:val="99"/>
  </w:style>
  <w:style w:type="paragraph" w:styleId="33">
    <w:name w:val="toc 2"/>
    <w:basedOn w:val="1"/>
    <w:next w:val="1"/>
    <w:unhideWhenUsed/>
    <w:qFormat/>
    <w:uiPriority w:val="39"/>
    <w:pPr>
      <w:spacing w:after="57"/>
      <w:ind w:left="283"/>
    </w:pPr>
  </w:style>
  <w:style w:type="paragraph" w:styleId="34">
    <w:name w:val="toc 9"/>
    <w:basedOn w:val="1"/>
    <w:next w:val="1"/>
    <w:unhideWhenUsed/>
    <w:qFormat/>
    <w:uiPriority w:val="39"/>
    <w:pPr>
      <w:spacing w:after="57"/>
      <w:ind w:left="2268"/>
    </w:pPr>
  </w:style>
  <w:style w:type="paragraph" w:styleId="35">
    <w:name w:val="Normal (Web)"/>
    <w:basedOn w:val="1"/>
    <w:semiHidden/>
    <w:unhideWhenUsed/>
    <w:qFormat/>
    <w:uiPriority w:val="99"/>
    <w:pPr>
      <w:widowControl/>
      <w:spacing w:before="100" w:beforeAutospacing="1" w:after="100" w:afterAutospacing="1"/>
      <w:jc w:val="left"/>
    </w:pPr>
    <w:rPr>
      <w:rFonts w:ascii="宋体" w:hAnsi="宋体" w:cs="宋体"/>
      <w:sz w:val="24"/>
      <w:szCs w:val="24"/>
    </w:rPr>
  </w:style>
  <w:style w:type="paragraph" w:styleId="36">
    <w:name w:val="Title"/>
    <w:basedOn w:val="1"/>
    <w:next w:val="1"/>
    <w:link w:val="94"/>
    <w:qFormat/>
    <w:uiPriority w:val="10"/>
    <w:pPr>
      <w:spacing w:before="300" w:after="200"/>
      <w:contextualSpacing/>
    </w:pPr>
    <w:rPr>
      <w:sz w:val="48"/>
      <w:szCs w:val="48"/>
    </w:rPr>
  </w:style>
  <w:style w:type="paragraph" w:styleId="37">
    <w:name w:val="annotation subject"/>
    <w:basedOn w:val="13"/>
    <w:next w:val="13"/>
    <w:link w:val="399"/>
    <w:semiHidden/>
    <w:unhideWhenUsed/>
    <w:qFormat/>
    <w:uiPriority w:val="99"/>
    <w:rPr>
      <w:b/>
      <w:bCs/>
    </w:rPr>
  </w:style>
  <w:style w:type="paragraph" w:styleId="38">
    <w:name w:val="Body Text First Indent 2"/>
    <w:basedOn w:val="16"/>
    <w:next w:val="15"/>
    <w:qFormat/>
    <w:uiPriority w:val="0"/>
    <w:pPr>
      <w:ind w:firstLine="420"/>
    </w:pPr>
  </w:style>
  <w:style w:type="table" w:styleId="40">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2">
    <w:name w:val="endnote reference"/>
    <w:semiHidden/>
    <w:unhideWhenUsed/>
    <w:qFormat/>
    <w:uiPriority w:val="99"/>
    <w:rPr>
      <w:vertAlign w:val="superscript"/>
    </w:rPr>
  </w:style>
  <w:style w:type="character" w:styleId="43">
    <w:name w:val="Hyperlink"/>
    <w:unhideWhenUsed/>
    <w:qFormat/>
    <w:uiPriority w:val="99"/>
    <w:rPr>
      <w:color w:val="0000FF" w:themeColor="hyperlink"/>
      <w:u w:val="single"/>
      <w14:textFill>
        <w14:solidFill>
          <w14:schemeClr w14:val="hlink"/>
        </w14:solidFill>
      </w14:textFill>
    </w:rPr>
  </w:style>
  <w:style w:type="character" w:styleId="44">
    <w:name w:val="annotation reference"/>
    <w:basedOn w:val="41"/>
    <w:semiHidden/>
    <w:unhideWhenUsed/>
    <w:qFormat/>
    <w:uiPriority w:val="99"/>
    <w:rPr>
      <w:sz w:val="21"/>
      <w:szCs w:val="21"/>
    </w:rPr>
  </w:style>
  <w:style w:type="character" w:styleId="45">
    <w:name w:val="footnote reference"/>
    <w:unhideWhenUsed/>
    <w:qFormat/>
    <w:uiPriority w:val="99"/>
    <w:rPr>
      <w:vertAlign w:val="superscript"/>
    </w:rPr>
  </w:style>
  <w:style w:type="character" w:customStyle="1" w:styleId="46">
    <w:name w:val="Heading 1 Char"/>
    <w:basedOn w:val="41"/>
    <w:uiPriority w:val="9"/>
    <w:rPr>
      <w:rFonts w:ascii="Arial" w:hAnsi="Arial" w:eastAsia="Arial" w:cs="Arial"/>
      <w:sz w:val="40"/>
      <w:szCs w:val="40"/>
    </w:rPr>
  </w:style>
  <w:style w:type="character" w:customStyle="1" w:styleId="47">
    <w:name w:val="Heading 2 Char"/>
    <w:basedOn w:val="41"/>
    <w:qFormat/>
    <w:uiPriority w:val="9"/>
    <w:rPr>
      <w:rFonts w:ascii="Arial" w:hAnsi="Arial" w:eastAsia="Arial" w:cs="Arial"/>
      <w:sz w:val="34"/>
    </w:rPr>
  </w:style>
  <w:style w:type="character" w:customStyle="1" w:styleId="48">
    <w:name w:val="Heading 3 Char"/>
    <w:basedOn w:val="41"/>
    <w:qFormat/>
    <w:uiPriority w:val="9"/>
    <w:rPr>
      <w:rFonts w:ascii="Arial" w:hAnsi="Arial" w:eastAsia="Arial" w:cs="Arial"/>
      <w:sz w:val="30"/>
      <w:szCs w:val="30"/>
    </w:rPr>
  </w:style>
  <w:style w:type="character" w:customStyle="1" w:styleId="49">
    <w:name w:val="Heading 4 Char"/>
    <w:basedOn w:val="41"/>
    <w:uiPriority w:val="9"/>
    <w:rPr>
      <w:rFonts w:ascii="Arial" w:hAnsi="Arial" w:eastAsia="Arial" w:cs="Arial"/>
      <w:b/>
      <w:bCs/>
      <w:sz w:val="26"/>
      <w:szCs w:val="26"/>
    </w:rPr>
  </w:style>
  <w:style w:type="character" w:customStyle="1" w:styleId="50">
    <w:name w:val="Heading 5 Char"/>
    <w:basedOn w:val="41"/>
    <w:uiPriority w:val="9"/>
    <w:rPr>
      <w:rFonts w:ascii="Arial" w:hAnsi="Arial" w:eastAsia="Arial" w:cs="Arial"/>
      <w:b/>
      <w:bCs/>
      <w:sz w:val="24"/>
      <w:szCs w:val="24"/>
    </w:rPr>
  </w:style>
  <w:style w:type="character" w:customStyle="1" w:styleId="51">
    <w:name w:val="Heading 6 Char"/>
    <w:basedOn w:val="41"/>
    <w:uiPriority w:val="9"/>
    <w:rPr>
      <w:rFonts w:ascii="Arial" w:hAnsi="Arial" w:eastAsia="Arial" w:cs="Arial"/>
      <w:b/>
      <w:bCs/>
      <w:sz w:val="22"/>
      <w:szCs w:val="22"/>
    </w:rPr>
  </w:style>
  <w:style w:type="character" w:customStyle="1" w:styleId="52">
    <w:name w:val="Heading 7 Char"/>
    <w:basedOn w:val="41"/>
    <w:qFormat/>
    <w:uiPriority w:val="9"/>
    <w:rPr>
      <w:rFonts w:ascii="Arial" w:hAnsi="Arial" w:eastAsia="Arial" w:cs="Arial"/>
      <w:b/>
      <w:bCs/>
      <w:i/>
      <w:iCs/>
      <w:sz w:val="22"/>
      <w:szCs w:val="22"/>
    </w:rPr>
  </w:style>
  <w:style w:type="character" w:customStyle="1" w:styleId="53">
    <w:name w:val="Heading 8 Char"/>
    <w:basedOn w:val="41"/>
    <w:qFormat/>
    <w:uiPriority w:val="9"/>
    <w:rPr>
      <w:rFonts w:ascii="Arial" w:hAnsi="Arial" w:eastAsia="Arial" w:cs="Arial"/>
      <w:i/>
      <w:iCs/>
      <w:sz w:val="22"/>
      <w:szCs w:val="22"/>
    </w:rPr>
  </w:style>
  <w:style w:type="character" w:customStyle="1" w:styleId="54">
    <w:name w:val="Heading 9 Char"/>
    <w:basedOn w:val="41"/>
    <w:qFormat/>
    <w:uiPriority w:val="9"/>
    <w:rPr>
      <w:rFonts w:ascii="Arial" w:hAnsi="Arial" w:eastAsia="Arial" w:cs="Arial"/>
      <w:i/>
      <w:iCs/>
      <w:sz w:val="21"/>
      <w:szCs w:val="21"/>
    </w:rPr>
  </w:style>
  <w:style w:type="character" w:customStyle="1" w:styleId="55">
    <w:name w:val="Title Char"/>
    <w:basedOn w:val="41"/>
    <w:uiPriority w:val="10"/>
    <w:rPr>
      <w:sz w:val="48"/>
      <w:szCs w:val="48"/>
    </w:rPr>
  </w:style>
  <w:style w:type="character" w:customStyle="1" w:styleId="56">
    <w:name w:val="Subtitle Char"/>
    <w:basedOn w:val="41"/>
    <w:uiPriority w:val="11"/>
    <w:rPr>
      <w:sz w:val="24"/>
      <w:szCs w:val="24"/>
    </w:rPr>
  </w:style>
  <w:style w:type="character" w:customStyle="1" w:styleId="57">
    <w:name w:val="Quote Char"/>
    <w:uiPriority w:val="29"/>
    <w:rPr>
      <w:i/>
    </w:rPr>
  </w:style>
  <w:style w:type="character" w:customStyle="1" w:styleId="58">
    <w:name w:val="Intense Quote Char"/>
    <w:uiPriority w:val="30"/>
    <w:rPr>
      <w:i/>
    </w:rPr>
  </w:style>
  <w:style w:type="character" w:customStyle="1" w:styleId="59">
    <w:name w:val="Header Char"/>
    <w:basedOn w:val="41"/>
    <w:qFormat/>
    <w:uiPriority w:val="99"/>
  </w:style>
  <w:style w:type="character" w:customStyle="1" w:styleId="60">
    <w:name w:val="Caption Char"/>
    <w:uiPriority w:val="99"/>
  </w:style>
  <w:style w:type="table" w:customStyle="1" w:styleId="61">
    <w:name w:val="Plain Table 1"/>
    <w:basedOn w:val="39"/>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2">
    <w:name w:val="Plain Table 2"/>
    <w:basedOn w:val="39"/>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3">
    <w:name w:val="Plain Table 3"/>
    <w:basedOn w:val="39"/>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4">
    <w:name w:val="Plain Table 4"/>
    <w:basedOn w:val="39"/>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5">
    <w:name w:val="Plain Table 5"/>
    <w:basedOn w:val="39"/>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6">
    <w:name w:val="Grid Table 1 Light"/>
    <w:basedOn w:val="39"/>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7">
    <w:name w:val="Grid Table 2"/>
    <w:basedOn w:val="39"/>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8">
    <w:name w:val="Grid Table 3"/>
    <w:basedOn w:val="39"/>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9">
    <w:name w:val="Grid Table 4"/>
    <w:basedOn w:val="39"/>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0">
    <w:name w:val="Grid Table 5 Dark"/>
    <w:basedOn w:val="39"/>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71">
    <w:name w:val="Grid Table 6 Colorful"/>
    <w:basedOn w:val="39"/>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72">
    <w:name w:val="Grid Table 7 Colorful"/>
    <w:basedOn w:val="39"/>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73">
    <w:name w:val="List Table 1 Light"/>
    <w:basedOn w:val="39"/>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74">
    <w:name w:val="List Table 2"/>
    <w:basedOn w:val="39"/>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5">
    <w:name w:val="List Table 3"/>
    <w:basedOn w:val="39"/>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76">
    <w:name w:val="List Table 4"/>
    <w:basedOn w:val="39"/>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7">
    <w:name w:val="List Table 5 Dark"/>
    <w:basedOn w:val="39"/>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78">
    <w:name w:val="List Table 6 Colorful"/>
    <w:basedOn w:val="39"/>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79">
    <w:name w:val="List Table 7 Colorful"/>
    <w:basedOn w:val="39"/>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character" w:customStyle="1" w:styleId="80">
    <w:name w:val="Footnote Text Char"/>
    <w:uiPriority w:val="99"/>
    <w:rPr>
      <w:sz w:val="18"/>
    </w:rPr>
  </w:style>
  <w:style w:type="character" w:customStyle="1" w:styleId="81">
    <w:name w:val="Endnote Text Char"/>
    <w:uiPriority w:val="99"/>
    <w:rPr>
      <w:sz w:val="20"/>
    </w:rPr>
  </w:style>
  <w:style w:type="paragraph" w:customStyle="1" w:styleId="82">
    <w:name w:val="TOC Heading"/>
    <w:unhideWhenUsed/>
    <w:uiPriority w:val="39"/>
    <w:rPr>
      <w:rFonts w:hint="default" w:ascii="Times New Roman" w:hAnsi="Times New Roman" w:eastAsia="宋体" w:cs="Times New Roman"/>
    </w:rPr>
  </w:style>
  <w:style w:type="character" w:customStyle="1" w:styleId="83">
    <w:name w:val="标题 1 字符1"/>
    <w:link w:val="2"/>
    <w:qFormat/>
    <w:uiPriority w:val="9"/>
    <w:rPr>
      <w:rFonts w:ascii="Arial" w:hAnsi="Arial" w:eastAsia="Arial" w:cs="Arial"/>
      <w:sz w:val="40"/>
      <w:szCs w:val="40"/>
    </w:rPr>
  </w:style>
  <w:style w:type="character" w:customStyle="1" w:styleId="84">
    <w:name w:val="标题 2 字符3"/>
    <w:link w:val="3"/>
    <w:qFormat/>
    <w:uiPriority w:val="9"/>
    <w:rPr>
      <w:rFonts w:ascii="Arial" w:hAnsi="Arial" w:eastAsia="Arial" w:cs="Arial"/>
      <w:sz w:val="34"/>
    </w:rPr>
  </w:style>
  <w:style w:type="character" w:customStyle="1" w:styleId="85">
    <w:name w:val="标题 3 字符"/>
    <w:link w:val="4"/>
    <w:qFormat/>
    <w:uiPriority w:val="9"/>
    <w:rPr>
      <w:rFonts w:ascii="Arial" w:hAnsi="Arial" w:eastAsia="Arial" w:cs="Arial"/>
      <w:sz w:val="30"/>
      <w:szCs w:val="30"/>
    </w:rPr>
  </w:style>
  <w:style w:type="character" w:customStyle="1" w:styleId="86">
    <w:name w:val="标题 4 字符"/>
    <w:link w:val="5"/>
    <w:qFormat/>
    <w:uiPriority w:val="9"/>
    <w:rPr>
      <w:rFonts w:ascii="Arial" w:hAnsi="Arial" w:eastAsia="Arial" w:cs="Arial"/>
      <w:b/>
      <w:bCs/>
      <w:sz w:val="26"/>
      <w:szCs w:val="26"/>
    </w:rPr>
  </w:style>
  <w:style w:type="character" w:customStyle="1" w:styleId="87">
    <w:name w:val="标题 5 字符"/>
    <w:link w:val="6"/>
    <w:qFormat/>
    <w:uiPriority w:val="9"/>
    <w:rPr>
      <w:rFonts w:ascii="Arial" w:hAnsi="Arial" w:eastAsia="Arial" w:cs="Arial"/>
      <w:b/>
      <w:bCs/>
      <w:sz w:val="24"/>
      <w:szCs w:val="24"/>
    </w:rPr>
  </w:style>
  <w:style w:type="character" w:customStyle="1" w:styleId="88">
    <w:name w:val="标题 6 字符"/>
    <w:link w:val="7"/>
    <w:qFormat/>
    <w:uiPriority w:val="9"/>
    <w:rPr>
      <w:rFonts w:ascii="Arial" w:hAnsi="Arial" w:eastAsia="Arial" w:cs="Arial"/>
      <w:b/>
      <w:bCs/>
      <w:sz w:val="22"/>
      <w:szCs w:val="22"/>
    </w:rPr>
  </w:style>
  <w:style w:type="character" w:customStyle="1" w:styleId="89">
    <w:name w:val="标题 7 字符"/>
    <w:link w:val="8"/>
    <w:qFormat/>
    <w:uiPriority w:val="9"/>
    <w:rPr>
      <w:rFonts w:ascii="Arial" w:hAnsi="Arial" w:eastAsia="Arial" w:cs="Arial"/>
      <w:b/>
      <w:bCs/>
      <w:i/>
      <w:iCs/>
      <w:sz w:val="22"/>
      <w:szCs w:val="22"/>
    </w:rPr>
  </w:style>
  <w:style w:type="character" w:customStyle="1" w:styleId="90">
    <w:name w:val="标题 8 字符"/>
    <w:link w:val="9"/>
    <w:qFormat/>
    <w:uiPriority w:val="9"/>
    <w:rPr>
      <w:rFonts w:ascii="Arial" w:hAnsi="Arial" w:eastAsia="Arial" w:cs="Arial"/>
      <w:i/>
      <w:iCs/>
      <w:sz w:val="22"/>
      <w:szCs w:val="22"/>
    </w:rPr>
  </w:style>
  <w:style w:type="character" w:customStyle="1" w:styleId="91">
    <w:name w:val="标题 9 字符"/>
    <w:link w:val="10"/>
    <w:qFormat/>
    <w:uiPriority w:val="9"/>
    <w:rPr>
      <w:rFonts w:ascii="Arial" w:hAnsi="Arial" w:eastAsia="Arial" w:cs="Arial"/>
      <w:i/>
      <w:iCs/>
      <w:sz w:val="21"/>
      <w:szCs w:val="21"/>
    </w:rPr>
  </w:style>
  <w:style w:type="paragraph" w:styleId="92">
    <w:name w:val="List Paragraph"/>
    <w:basedOn w:val="1"/>
    <w:qFormat/>
    <w:uiPriority w:val="34"/>
    <w:pPr>
      <w:ind w:left="720"/>
      <w:contextualSpacing/>
    </w:pPr>
  </w:style>
  <w:style w:type="paragraph" w:styleId="93">
    <w:name w:val="No Spacing"/>
    <w:qFormat/>
    <w:uiPriority w:val="1"/>
    <w:rPr>
      <w:rFonts w:hint="default" w:ascii="Calibri" w:hAnsi="Calibri" w:eastAsia="宋体" w:cs="Times New Roman"/>
      <w:lang w:val="en-US" w:eastAsia="zh-CN" w:bidi="ar-SA"/>
    </w:rPr>
  </w:style>
  <w:style w:type="character" w:customStyle="1" w:styleId="94">
    <w:name w:val="标题 字符"/>
    <w:link w:val="36"/>
    <w:qFormat/>
    <w:uiPriority w:val="10"/>
    <w:rPr>
      <w:sz w:val="48"/>
      <w:szCs w:val="48"/>
    </w:rPr>
  </w:style>
  <w:style w:type="character" w:customStyle="1" w:styleId="95">
    <w:name w:val="副标题 字符"/>
    <w:link w:val="29"/>
    <w:qFormat/>
    <w:uiPriority w:val="11"/>
    <w:rPr>
      <w:sz w:val="24"/>
      <w:szCs w:val="24"/>
    </w:rPr>
  </w:style>
  <w:style w:type="paragraph" w:styleId="96">
    <w:name w:val="Quote"/>
    <w:basedOn w:val="1"/>
    <w:next w:val="1"/>
    <w:link w:val="97"/>
    <w:qFormat/>
    <w:uiPriority w:val="29"/>
    <w:pPr>
      <w:ind w:left="720" w:right="720"/>
    </w:pPr>
    <w:rPr>
      <w:i/>
    </w:rPr>
  </w:style>
  <w:style w:type="character" w:customStyle="1" w:styleId="97">
    <w:name w:val="引用 字符"/>
    <w:link w:val="96"/>
    <w:qFormat/>
    <w:uiPriority w:val="29"/>
    <w:rPr>
      <w:i/>
    </w:rPr>
  </w:style>
  <w:style w:type="paragraph" w:styleId="98">
    <w:name w:val="Intense Quote"/>
    <w:basedOn w:val="1"/>
    <w:next w:val="1"/>
    <w:link w:val="99"/>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99">
    <w:name w:val="明显引用 字符"/>
    <w:link w:val="98"/>
    <w:qFormat/>
    <w:uiPriority w:val="30"/>
    <w:rPr>
      <w:i/>
    </w:rPr>
  </w:style>
  <w:style w:type="character" w:customStyle="1" w:styleId="100">
    <w:name w:val="页眉 字符"/>
    <w:link w:val="25"/>
    <w:qFormat/>
    <w:uiPriority w:val="99"/>
  </w:style>
  <w:style w:type="character" w:customStyle="1" w:styleId="101">
    <w:name w:val="Footer Char"/>
    <w:qFormat/>
    <w:uiPriority w:val="99"/>
  </w:style>
  <w:style w:type="character" w:customStyle="1" w:styleId="102">
    <w:name w:val="页脚 字符"/>
    <w:link w:val="24"/>
    <w:qFormat/>
    <w:uiPriority w:val="99"/>
  </w:style>
  <w:style w:type="table" w:customStyle="1" w:styleId="103">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104">
    <w:name w:val="无格式表格 1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105">
    <w:name w:val="无格式表格 21"/>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106">
    <w:name w:val="无格式表格 31"/>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7">
    <w:name w:val="无格式表格 41"/>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8">
    <w:name w:val="无格式表格 51"/>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9">
    <w:name w:val="网格表 1 浅色1"/>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110">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11">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12">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13">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14">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15">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16">
    <w:name w:val="网格表 2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7">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18">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9">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0">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1">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22">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3">
    <w:name w:val="网格表 3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4">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25">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26">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7">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8">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29">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30">
    <w:name w:val="网格表 41"/>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31">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32">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33">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34">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35">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36">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37">
    <w:name w:val="网格表 5 深色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38">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39">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40">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41">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42">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43">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44">
    <w:name w:val="网格表 6 彩色1"/>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45">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46">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7">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48">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49">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50">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51">
    <w:name w:val="网格表 7 彩色1"/>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2">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53">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4">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55">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6">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57">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58">
    <w:name w:val="清单表 1 浅色1"/>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59">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60">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61">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62">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63">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64">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65">
    <w:name w:val="清单表 21"/>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66">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67">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68">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69">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70">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71">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72">
    <w:name w:val="清单表 3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73">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74">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75">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76">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77">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78">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79">
    <w:name w:val="清单表 4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80">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81">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82">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83">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84">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85">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86">
    <w:name w:val="清单表 5 深色1"/>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87">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88">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89">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90">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91">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92">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93">
    <w:name w:val="清单表 6 彩色1"/>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94">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95">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96">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97">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98">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99">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00">
    <w:name w:val="清单表 7 彩色1"/>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201">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202">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203">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204">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05">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06">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07">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08">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09">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10">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11">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12">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13">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14">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15">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16">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17">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18">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19">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20">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21">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22">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23">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24">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25">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26">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27">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28">
    <w:name w:val="脚注文本 字符1"/>
    <w:link w:val="30"/>
    <w:qFormat/>
    <w:uiPriority w:val="99"/>
    <w:rPr>
      <w:sz w:val="18"/>
    </w:rPr>
  </w:style>
  <w:style w:type="character" w:customStyle="1" w:styleId="229">
    <w:name w:val="尾注文本 字符"/>
    <w:link w:val="22"/>
    <w:qFormat/>
    <w:uiPriority w:val="99"/>
    <w:rPr>
      <w:sz w:val="20"/>
    </w:rPr>
  </w:style>
  <w:style w:type="paragraph" w:customStyle="1" w:styleId="230">
    <w:name w:val="TOC 标题1"/>
    <w:unhideWhenUsed/>
    <w:qFormat/>
    <w:uiPriority w:val="39"/>
    <w:rPr>
      <w:rFonts w:hint="default" w:ascii="Calibri" w:hAnsi="Calibri" w:eastAsia="宋体" w:cs="Times New Roman"/>
      <w:lang w:val="en-US" w:eastAsia="zh-CN" w:bidi="ar-SA"/>
    </w:rPr>
  </w:style>
  <w:style w:type="paragraph" w:customStyle="1" w:styleId="231">
    <w:name w:val="标题 11"/>
    <w:basedOn w:val="1"/>
    <w:next w:val="1"/>
    <w:link w:val="243"/>
    <w:qFormat/>
    <w:uiPriority w:val="9"/>
    <w:pPr>
      <w:keepNext/>
      <w:jc w:val="center"/>
      <w:outlineLvl w:val="0"/>
    </w:pPr>
    <w:rPr>
      <w:rFonts w:ascii="楷体_GB2312" w:hAnsi="Times New Roman" w:eastAsia="楷体_GB2312"/>
      <w:sz w:val="28"/>
      <w:szCs w:val="28"/>
    </w:rPr>
  </w:style>
  <w:style w:type="paragraph" w:customStyle="1" w:styleId="232">
    <w:name w:val="标题 21"/>
    <w:basedOn w:val="1"/>
    <w:next w:val="1"/>
    <w:link w:val="244"/>
    <w:qFormat/>
    <w:uiPriority w:val="0"/>
    <w:pPr>
      <w:keepNext/>
      <w:keepLines/>
      <w:spacing w:before="260" w:after="260" w:line="416" w:lineRule="auto"/>
      <w:jc w:val="center"/>
      <w:outlineLvl w:val="1"/>
    </w:pPr>
    <w:rPr>
      <w:rFonts w:ascii="Arial" w:hAnsi="Arial" w:eastAsia="幼圆" w:cs="Arial"/>
      <w:b/>
      <w:bCs/>
      <w:sz w:val="44"/>
      <w:szCs w:val="44"/>
    </w:rPr>
  </w:style>
  <w:style w:type="paragraph" w:customStyle="1" w:styleId="233">
    <w:name w:val="正文缩进1"/>
    <w:basedOn w:val="1"/>
    <w:link w:val="254"/>
    <w:qFormat/>
    <w:uiPriority w:val="0"/>
    <w:pPr>
      <w:ind w:firstLine="420"/>
    </w:pPr>
    <w:rPr>
      <w:szCs w:val="21"/>
    </w:rPr>
  </w:style>
  <w:style w:type="paragraph" w:customStyle="1" w:styleId="234">
    <w:name w:val="标题 31"/>
    <w:basedOn w:val="1"/>
    <w:next w:val="233"/>
    <w:link w:val="245"/>
    <w:qFormat/>
    <w:uiPriority w:val="0"/>
    <w:pPr>
      <w:keepNext/>
      <w:keepLines/>
      <w:spacing w:before="260" w:after="260" w:line="416" w:lineRule="auto"/>
      <w:outlineLvl w:val="2"/>
    </w:pPr>
    <w:rPr>
      <w:rFonts w:ascii="Times New Roman" w:hAnsi="Times New Roman"/>
      <w:b/>
      <w:bCs/>
      <w:sz w:val="32"/>
      <w:szCs w:val="32"/>
    </w:rPr>
  </w:style>
  <w:style w:type="paragraph" w:customStyle="1" w:styleId="235">
    <w:name w:val="标题 41"/>
    <w:basedOn w:val="1"/>
    <w:next w:val="233"/>
    <w:link w:val="246"/>
    <w:qFormat/>
    <w:uiPriority w:val="0"/>
    <w:pPr>
      <w:keepNext/>
      <w:keepLines/>
      <w:spacing w:before="280" w:after="290" w:line="376" w:lineRule="auto"/>
      <w:outlineLvl w:val="3"/>
    </w:pPr>
    <w:rPr>
      <w:rFonts w:ascii="Arial" w:hAnsi="Arial" w:eastAsia="黑体" w:cs="Arial"/>
      <w:b/>
      <w:bCs/>
      <w:sz w:val="28"/>
      <w:szCs w:val="28"/>
    </w:rPr>
  </w:style>
  <w:style w:type="paragraph" w:customStyle="1" w:styleId="236">
    <w:name w:val="标题 51"/>
    <w:basedOn w:val="1"/>
    <w:next w:val="233"/>
    <w:link w:val="247"/>
    <w:qFormat/>
    <w:uiPriority w:val="0"/>
    <w:pPr>
      <w:keepNext/>
      <w:outlineLvl w:val="4"/>
    </w:pPr>
    <w:rPr>
      <w:rFonts w:ascii="宋体" w:hAnsi="Times New Roman"/>
      <w:color w:val="000000"/>
      <w:sz w:val="28"/>
      <w:szCs w:val="28"/>
    </w:rPr>
  </w:style>
  <w:style w:type="paragraph" w:customStyle="1" w:styleId="237">
    <w:name w:val="标题 61"/>
    <w:basedOn w:val="1"/>
    <w:next w:val="1"/>
    <w:link w:val="248"/>
    <w:qFormat/>
    <w:uiPriority w:val="0"/>
    <w:pPr>
      <w:keepNext/>
      <w:keepLines/>
      <w:numPr>
        <w:ilvl w:val="5"/>
        <w:numId w:val="1"/>
      </w:numPr>
      <w:spacing w:before="240" w:after="64" w:line="320" w:lineRule="auto"/>
      <w:outlineLvl w:val="5"/>
    </w:pPr>
    <w:rPr>
      <w:rFonts w:ascii="Arial" w:hAnsi="Arial" w:eastAsia="黑体"/>
      <w:b/>
      <w:bCs/>
      <w:sz w:val="24"/>
      <w:szCs w:val="24"/>
    </w:rPr>
  </w:style>
  <w:style w:type="paragraph" w:customStyle="1" w:styleId="238">
    <w:name w:val="标题 71"/>
    <w:basedOn w:val="1"/>
    <w:next w:val="1"/>
    <w:link w:val="249"/>
    <w:qFormat/>
    <w:uiPriority w:val="0"/>
    <w:pPr>
      <w:keepNext/>
      <w:keepLines/>
      <w:numPr>
        <w:ilvl w:val="6"/>
        <w:numId w:val="1"/>
      </w:numPr>
      <w:spacing w:before="240" w:after="64" w:line="320" w:lineRule="auto"/>
      <w:outlineLvl w:val="6"/>
    </w:pPr>
    <w:rPr>
      <w:rFonts w:ascii="Times New Roman" w:hAnsi="Times New Roman"/>
      <w:b/>
      <w:bCs/>
      <w:sz w:val="24"/>
      <w:szCs w:val="24"/>
    </w:rPr>
  </w:style>
  <w:style w:type="paragraph" w:customStyle="1" w:styleId="239">
    <w:name w:val="标题 81"/>
    <w:basedOn w:val="1"/>
    <w:next w:val="1"/>
    <w:link w:val="250"/>
    <w:qFormat/>
    <w:uiPriority w:val="0"/>
    <w:pPr>
      <w:keepNext/>
      <w:keepLines/>
      <w:numPr>
        <w:ilvl w:val="7"/>
        <w:numId w:val="1"/>
      </w:numPr>
      <w:spacing w:before="240" w:after="64" w:line="320" w:lineRule="auto"/>
      <w:outlineLvl w:val="7"/>
    </w:pPr>
    <w:rPr>
      <w:rFonts w:ascii="Arial" w:hAnsi="Arial" w:eastAsia="黑体"/>
      <w:sz w:val="24"/>
      <w:szCs w:val="24"/>
    </w:rPr>
  </w:style>
  <w:style w:type="paragraph" w:customStyle="1" w:styleId="240">
    <w:name w:val="标题 91"/>
    <w:basedOn w:val="1"/>
    <w:next w:val="1"/>
    <w:link w:val="251"/>
    <w:qFormat/>
    <w:uiPriority w:val="0"/>
    <w:pPr>
      <w:keepNext/>
      <w:keepLines/>
      <w:numPr>
        <w:ilvl w:val="8"/>
        <w:numId w:val="1"/>
      </w:numPr>
      <w:spacing w:before="240" w:after="64" w:line="320" w:lineRule="auto"/>
      <w:outlineLvl w:val="8"/>
    </w:pPr>
    <w:rPr>
      <w:rFonts w:ascii="Arial" w:hAnsi="Arial" w:eastAsia="黑体"/>
      <w:szCs w:val="21"/>
    </w:rPr>
  </w:style>
  <w:style w:type="character" w:customStyle="1" w:styleId="241">
    <w:name w:val="默认段落字体1"/>
    <w:semiHidden/>
    <w:unhideWhenUsed/>
    <w:qFormat/>
    <w:uiPriority w:val="1"/>
  </w:style>
  <w:style w:type="table" w:customStyle="1" w:styleId="242">
    <w:name w:val="普通表格1"/>
    <w:semiHidden/>
    <w:unhideWhenUsed/>
    <w:qFormat/>
    <w:uiPriority w:val="99"/>
    <w:tblPr>
      <w:tblCellMar>
        <w:top w:w="0" w:type="dxa"/>
        <w:left w:w="0" w:type="dxa"/>
        <w:bottom w:w="0" w:type="dxa"/>
        <w:right w:w="0" w:type="dxa"/>
      </w:tblCellMar>
    </w:tblPr>
  </w:style>
  <w:style w:type="character" w:customStyle="1" w:styleId="243">
    <w:name w:val="标题 1 Char"/>
    <w:link w:val="231"/>
    <w:qFormat/>
    <w:uiPriority w:val="0"/>
    <w:rPr>
      <w:rFonts w:ascii="楷体_GB2312" w:hAnsi="Times New Roman" w:eastAsia="楷体_GB2312" w:cs="Times New Roman"/>
      <w:sz w:val="28"/>
      <w:szCs w:val="28"/>
    </w:rPr>
  </w:style>
  <w:style w:type="character" w:customStyle="1" w:styleId="244">
    <w:name w:val="标题 2 Char"/>
    <w:link w:val="232"/>
    <w:qFormat/>
    <w:uiPriority w:val="0"/>
    <w:rPr>
      <w:rFonts w:ascii="Arial" w:hAnsi="Arial" w:eastAsia="幼圆" w:cs="Arial"/>
      <w:b/>
      <w:bCs/>
      <w:sz w:val="44"/>
      <w:szCs w:val="44"/>
    </w:rPr>
  </w:style>
  <w:style w:type="character" w:customStyle="1" w:styleId="245">
    <w:name w:val="标题 3 Char"/>
    <w:link w:val="234"/>
    <w:qFormat/>
    <w:uiPriority w:val="0"/>
    <w:rPr>
      <w:rFonts w:ascii="Times New Roman" w:hAnsi="Times New Roman" w:eastAsia="宋体" w:cs="Times New Roman"/>
      <w:b/>
      <w:bCs/>
      <w:sz w:val="32"/>
      <w:szCs w:val="32"/>
    </w:rPr>
  </w:style>
  <w:style w:type="character" w:customStyle="1" w:styleId="246">
    <w:name w:val="标题 4 Char"/>
    <w:link w:val="235"/>
    <w:qFormat/>
    <w:uiPriority w:val="0"/>
    <w:rPr>
      <w:rFonts w:ascii="Arial" w:hAnsi="Arial" w:eastAsia="黑体" w:cs="Arial"/>
      <w:b/>
      <w:bCs/>
      <w:sz w:val="28"/>
      <w:szCs w:val="28"/>
    </w:rPr>
  </w:style>
  <w:style w:type="character" w:customStyle="1" w:styleId="247">
    <w:name w:val="标题 5 Char"/>
    <w:link w:val="236"/>
    <w:qFormat/>
    <w:uiPriority w:val="0"/>
    <w:rPr>
      <w:rFonts w:ascii="宋体" w:hAnsi="Times New Roman" w:eastAsia="宋体" w:cs="Times New Roman"/>
      <w:color w:val="000000"/>
      <w:sz w:val="28"/>
      <w:szCs w:val="28"/>
    </w:rPr>
  </w:style>
  <w:style w:type="character" w:customStyle="1" w:styleId="248">
    <w:name w:val="标题 6 Char"/>
    <w:link w:val="237"/>
    <w:qFormat/>
    <w:uiPriority w:val="0"/>
    <w:rPr>
      <w:rFonts w:ascii="Arial" w:hAnsi="Arial" w:eastAsia="黑体" w:cs="Times New Roman"/>
      <w:b/>
      <w:bCs/>
      <w:sz w:val="24"/>
      <w:szCs w:val="24"/>
    </w:rPr>
  </w:style>
  <w:style w:type="character" w:customStyle="1" w:styleId="249">
    <w:name w:val="标题 7 Char"/>
    <w:link w:val="238"/>
    <w:qFormat/>
    <w:uiPriority w:val="0"/>
    <w:rPr>
      <w:rFonts w:ascii="Times New Roman" w:hAnsi="Times New Roman" w:eastAsia="宋体" w:cs="Times New Roman"/>
      <w:b/>
      <w:bCs/>
      <w:sz w:val="24"/>
      <w:szCs w:val="24"/>
    </w:rPr>
  </w:style>
  <w:style w:type="character" w:customStyle="1" w:styleId="250">
    <w:name w:val="标题 8 Char"/>
    <w:link w:val="239"/>
    <w:qFormat/>
    <w:uiPriority w:val="0"/>
    <w:rPr>
      <w:rFonts w:ascii="Arial" w:hAnsi="Arial" w:eastAsia="黑体" w:cs="Times New Roman"/>
      <w:sz w:val="24"/>
      <w:szCs w:val="24"/>
    </w:rPr>
  </w:style>
  <w:style w:type="character" w:customStyle="1" w:styleId="251">
    <w:name w:val="标题 9 Char"/>
    <w:link w:val="240"/>
    <w:qFormat/>
    <w:uiPriority w:val="0"/>
    <w:rPr>
      <w:rFonts w:ascii="Arial" w:hAnsi="Arial" w:eastAsia="黑体" w:cs="Times New Roman"/>
      <w:szCs w:val="21"/>
    </w:rPr>
  </w:style>
  <w:style w:type="character" w:customStyle="1" w:styleId="252">
    <w:name w:val="访问过的超链接1"/>
    <w:qFormat/>
    <w:uiPriority w:val="0"/>
    <w:rPr>
      <w:color w:val="800080"/>
      <w:u w:val="single"/>
    </w:rPr>
  </w:style>
  <w:style w:type="character" w:customStyle="1" w:styleId="253">
    <w:name w:val="font5 Char"/>
    <w:qFormat/>
    <w:uiPriority w:val="0"/>
    <w:rPr>
      <w:rFonts w:ascii="宋体" w:hAnsi="宋体" w:eastAsia="宋体"/>
      <w:sz w:val="28"/>
      <w:szCs w:val="28"/>
      <w:lang w:val="en-US" w:eastAsia="zh-CN" w:bidi="ar-SA"/>
    </w:rPr>
  </w:style>
  <w:style w:type="character" w:customStyle="1" w:styleId="254">
    <w:name w:val="正文缩进 Char"/>
    <w:link w:val="233"/>
    <w:qFormat/>
    <w:uiPriority w:val="0"/>
    <w:rPr>
      <w:szCs w:val="21"/>
    </w:rPr>
  </w:style>
  <w:style w:type="character" w:customStyle="1" w:styleId="255">
    <w:name w:val="批注引用1"/>
    <w:qFormat/>
    <w:uiPriority w:val="0"/>
    <w:rPr>
      <w:sz w:val="21"/>
      <w:szCs w:val="21"/>
    </w:rPr>
  </w:style>
  <w:style w:type="character" w:customStyle="1" w:styleId="256">
    <w:name w:val="要点1"/>
    <w:qFormat/>
    <w:uiPriority w:val="22"/>
    <w:rPr>
      <w:b/>
      <w:bCs/>
    </w:rPr>
  </w:style>
  <w:style w:type="character" w:customStyle="1" w:styleId="257">
    <w:name w:val="超链接1"/>
    <w:qFormat/>
    <w:uiPriority w:val="99"/>
    <w:rPr>
      <w:color w:val="0000FF"/>
      <w:u w:val="single"/>
    </w:rPr>
  </w:style>
  <w:style w:type="character" w:customStyle="1" w:styleId="258">
    <w:name w:val="页码1"/>
    <w:qFormat/>
    <w:uiPriority w:val="0"/>
  </w:style>
  <w:style w:type="character" w:customStyle="1" w:styleId="259">
    <w:name w:val="二级目录 Char"/>
    <w:link w:val="260"/>
    <w:qFormat/>
    <w:uiPriority w:val="0"/>
    <w:rPr>
      <w:b/>
      <w:sz w:val="30"/>
      <w:szCs w:val="28"/>
    </w:rPr>
  </w:style>
  <w:style w:type="paragraph" w:customStyle="1" w:styleId="260">
    <w:name w:val="二级目录"/>
    <w:next w:val="1"/>
    <w:link w:val="259"/>
    <w:qFormat/>
    <w:uiPriority w:val="0"/>
    <w:pPr>
      <w:tabs>
        <w:tab w:val="left" w:pos="907"/>
        <w:tab w:val="left" w:pos="1145"/>
      </w:tabs>
      <w:ind w:left="907" w:hanging="907"/>
      <w:outlineLvl w:val="1"/>
    </w:pPr>
    <w:rPr>
      <w:rFonts w:hint="default" w:ascii="Calibri" w:hAnsi="Calibri" w:eastAsia="宋体" w:cs="Times New Roman"/>
      <w:b/>
      <w:sz w:val="30"/>
      <w:szCs w:val="28"/>
      <w:lang w:val="en-US" w:eastAsia="zh-CN" w:bidi="ar-SA"/>
    </w:rPr>
  </w:style>
  <w:style w:type="character" w:customStyle="1" w:styleId="261">
    <w:name w:val="列出段落 Char"/>
    <w:link w:val="262"/>
    <w:qFormat/>
    <w:uiPriority w:val="0"/>
    <w:rPr>
      <w:rFonts w:ascii="Calibri" w:hAnsi="Calibri"/>
      <w:sz w:val="24"/>
      <w:szCs w:val="24"/>
      <w:lang w:eastAsia="en-US" w:bidi="en-US"/>
    </w:rPr>
  </w:style>
  <w:style w:type="paragraph" w:customStyle="1" w:styleId="262">
    <w:name w:val="列出段落1"/>
    <w:basedOn w:val="1"/>
    <w:link w:val="261"/>
    <w:qFormat/>
    <w:uiPriority w:val="0"/>
    <w:pPr>
      <w:widowControl/>
      <w:ind w:left="720"/>
      <w:contextualSpacing/>
      <w:jc w:val="left"/>
    </w:pPr>
    <w:rPr>
      <w:sz w:val="24"/>
      <w:szCs w:val="24"/>
      <w:lang w:eastAsia="en-US" w:bidi="en-US"/>
    </w:rPr>
  </w:style>
  <w:style w:type="paragraph" w:customStyle="1" w:styleId="263">
    <w:name w:val="Body Text(ch)"/>
    <w:basedOn w:val="1"/>
    <w:next w:val="264"/>
    <w:qFormat/>
    <w:uiPriority w:val="0"/>
    <w:pPr>
      <w:spacing w:after="120"/>
    </w:pPr>
    <w:rPr>
      <w:rFonts w:ascii="宋体" w:hAnsi="Arial"/>
      <w:bCs/>
      <w:iCs/>
      <w:szCs w:val="24"/>
    </w:rPr>
  </w:style>
  <w:style w:type="paragraph" w:customStyle="1" w:styleId="264">
    <w:name w:val="正文文本1"/>
    <w:basedOn w:val="1"/>
    <w:link w:val="269"/>
    <w:qFormat/>
    <w:uiPriority w:val="0"/>
    <w:rPr>
      <w:rFonts w:ascii="楷体_GB2312" w:hAnsi="Arial" w:eastAsia="楷体_GB2312"/>
      <w:sz w:val="28"/>
      <w:szCs w:val="28"/>
    </w:rPr>
  </w:style>
  <w:style w:type="paragraph" w:customStyle="1" w:styleId="265">
    <w:name w:val="目录 91"/>
    <w:basedOn w:val="1"/>
    <w:next w:val="1"/>
    <w:semiHidden/>
    <w:qFormat/>
    <w:uiPriority w:val="0"/>
    <w:pPr>
      <w:ind w:left="1680"/>
      <w:jc w:val="left"/>
    </w:pPr>
    <w:rPr>
      <w:rFonts w:ascii="Times New Roman" w:hAnsi="Times New Roman"/>
      <w:szCs w:val="21"/>
    </w:rPr>
  </w:style>
  <w:style w:type="paragraph" w:customStyle="1" w:styleId="266">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67">
    <w:name w:val="正文文本缩进 21"/>
    <w:basedOn w:val="1"/>
    <w:link w:val="268"/>
    <w:qFormat/>
    <w:uiPriority w:val="0"/>
    <w:pPr>
      <w:ind w:left="630" w:firstLine="645"/>
    </w:pPr>
    <w:rPr>
      <w:rFonts w:ascii="Arial" w:hAnsi="Arial" w:eastAsia="仿宋_GB2312" w:cs="Arial"/>
      <w:sz w:val="32"/>
      <w:szCs w:val="32"/>
    </w:rPr>
  </w:style>
  <w:style w:type="character" w:customStyle="1" w:styleId="268">
    <w:name w:val="正文文本缩进 2 Char"/>
    <w:link w:val="267"/>
    <w:qFormat/>
    <w:uiPriority w:val="0"/>
    <w:rPr>
      <w:rFonts w:ascii="Arial" w:hAnsi="Arial" w:eastAsia="仿宋_GB2312" w:cs="Arial"/>
      <w:sz w:val="32"/>
      <w:szCs w:val="32"/>
    </w:rPr>
  </w:style>
  <w:style w:type="character" w:customStyle="1" w:styleId="269">
    <w:name w:val="正文文本 Char"/>
    <w:link w:val="264"/>
    <w:qFormat/>
    <w:uiPriority w:val="0"/>
    <w:rPr>
      <w:rFonts w:ascii="楷体_GB2312" w:hAnsi="Arial" w:eastAsia="楷体_GB2312" w:cs="Times New Roman"/>
      <w:sz w:val="28"/>
      <w:szCs w:val="28"/>
    </w:rPr>
  </w:style>
  <w:style w:type="paragraph" w:customStyle="1" w:styleId="270">
    <w:name w:val="图表目录1"/>
    <w:basedOn w:val="1"/>
    <w:next w:val="1"/>
    <w:semiHidden/>
    <w:qFormat/>
    <w:uiPriority w:val="0"/>
    <w:pPr>
      <w:ind w:left="840" w:hanging="420"/>
    </w:pPr>
    <w:rPr>
      <w:rFonts w:ascii="Times New Roman" w:hAnsi="Times New Roman"/>
      <w:szCs w:val="21"/>
    </w:rPr>
  </w:style>
  <w:style w:type="paragraph" w:customStyle="1" w:styleId="271">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4"/>
      <w:szCs w:val="24"/>
    </w:rPr>
  </w:style>
  <w:style w:type="paragraph" w:customStyle="1" w:styleId="272">
    <w:name w:val="Char"/>
    <w:basedOn w:val="1"/>
    <w:qFormat/>
    <w:uiPriority w:val="0"/>
    <w:pPr>
      <w:tabs>
        <w:tab w:val="left" w:pos="360"/>
      </w:tabs>
      <w:ind w:firstLine="200"/>
    </w:pPr>
    <w:rPr>
      <w:rFonts w:ascii="Times New Roman" w:hAnsi="Times New Roman"/>
      <w:sz w:val="28"/>
      <w:szCs w:val="30"/>
    </w:rPr>
  </w:style>
  <w:style w:type="paragraph" w:customStyle="1" w:styleId="273">
    <w:name w:val="Char1"/>
    <w:basedOn w:val="274"/>
    <w:qFormat/>
    <w:uiPriority w:val="0"/>
    <w:rPr>
      <w:rFonts w:ascii="Tahoma" w:hAnsi="Tahoma"/>
      <w:sz w:val="24"/>
      <w:szCs w:val="24"/>
    </w:rPr>
  </w:style>
  <w:style w:type="paragraph" w:customStyle="1" w:styleId="274">
    <w:name w:val="文档结构图1"/>
    <w:basedOn w:val="1"/>
    <w:link w:val="298"/>
    <w:semiHidden/>
    <w:qFormat/>
    <w:uiPriority w:val="0"/>
    <w:pPr>
      <w:shd w:val="clear" w:color="auto" w:fill="000080"/>
    </w:pPr>
    <w:rPr>
      <w:rFonts w:ascii="Times New Roman" w:hAnsi="Times New Roman"/>
      <w:szCs w:val="21"/>
    </w:rPr>
  </w:style>
  <w:style w:type="paragraph" w:customStyle="1" w:styleId="275">
    <w:name w:val="批注文字1"/>
    <w:basedOn w:val="1"/>
    <w:link w:val="276"/>
    <w:unhideWhenUsed/>
    <w:qFormat/>
    <w:uiPriority w:val="0"/>
    <w:pPr>
      <w:jc w:val="left"/>
    </w:pPr>
  </w:style>
  <w:style w:type="character" w:customStyle="1" w:styleId="276">
    <w:name w:val="批注文字 Char"/>
    <w:basedOn w:val="241"/>
    <w:link w:val="275"/>
    <w:qFormat/>
    <w:uiPriority w:val="0"/>
  </w:style>
  <w:style w:type="paragraph" w:customStyle="1" w:styleId="277">
    <w:name w:val="批注主题1"/>
    <w:basedOn w:val="275"/>
    <w:next w:val="275"/>
    <w:link w:val="278"/>
    <w:qFormat/>
    <w:uiPriority w:val="0"/>
    <w:rPr>
      <w:rFonts w:ascii="Times New Roman" w:hAnsi="Times New Roman"/>
      <w:b/>
      <w:bCs/>
      <w:szCs w:val="21"/>
    </w:rPr>
  </w:style>
  <w:style w:type="character" w:customStyle="1" w:styleId="278">
    <w:name w:val="批注主题 Char"/>
    <w:link w:val="277"/>
    <w:semiHidden/>
    <w:qFormat/>
    <w:uiPriority w:val="0"/>
    <w:rPr>
      <w:rFonts w:ascii="Times New Roman" w:hAnsi="Times New Roman" w:eastAsia="宋体" w:cs="Times New Roman"/>
      <w:b/>
      <w:bCs/>
      <w:szCs w:val="21"/>
    </w:rPr>
  </w:style>
  <w:style w:type="paragraph" w:customStyle="1" w:styleId="279">
    <w:name w:val="索引 11"/>
    <w:basedOn w:val="1"/>
    <w:next w:val="1"/>
    <w:semiHidden/>
    <w:qFormat/>
    <w:uiPriority w:val="0"/>
    <w:pPr>
      <w:spacing w:line="240" w:lineRule="atLeast"/>
    </w:pPr>
    <w:rPr>
      <w:rFonts w:ascii="Times New Roman" w:hAnsi="Times New Roman"/>
      <w:b/>
      <w:bCs/>
      <w:szCs w:val="21"/>
    </w:rPr>
  </w:style>
  <w:style w:type="paragraph" w:customStyle="1" w:styleId="280">
    <w:name w:val="普通正文"/>
    <w:basedOn w:val="1"/>
    <w:link w:val="397"/>
    <w:qFormat/>
    <w:uiPriority w:val="0"/>
    <w:pPr>
      <w:spacing w:before="120" w:after="120" w:line="360" w:lineRule="auto"/>
      <w:ind w:firstLine="480"/>
      <w:jc w:val="left"/>
    </w:pPr>
    <w:rPr>
      <w:rFonts w:ascii="Arial" w:hAnsi="Arial"/>
      <w:sz w:val="24"/>
      <w:szCs w:val="24"/>
    </w:rPr>
  </w:style>
  <w:style w:type="paragraph" w:customStyle="1" w:styleId="281">
    <w:name w:val="table_lines"/>
    <w:basedOn w:val="1"/>
    <w:qFormat/>
    <w:uiPriority w:val="0"/>
    <w:pPr>
      <w:widowControl/>
      <w:jc w:val="left"/>
    </w:pPr>
    <w:rPr>
      <w:rFonts w:ascii="Times New Roman" w:hAnsi="Times New Roman"/>
      <w:sz w:val="20"/>
      <w:szCs w:val="20"/>
      <w:lang w:val="de-DE" w:eastAsia="de-DE"/>
    </w:rPr>
  </w:style>
  <w:style w:type="paragraph" w:customStyle="1" w:styleId="282">
    <w:name w:val="附录1"/>
    <w:qFormat/>
    <w:uiPriority w:val="0"/>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customStyle="1" w:styleId="283">
    <w:name w:val="目录 31"/>
    <w:basedOn w:val="1"/>
    <w:next w:val="1"/>
    <w:qFormat/>
    <w:uiPriority w:val="39"/>
    <w:pPr>
      <w:ind w:left="420"/>
      <w:jc w:val="left"/>
    </w:pPr>
    <w:rPr>
      <w:rFonts w:ascii="Times New Roman" w:hAnsi="Times New Roman"/>
      <w:i/>
      <w:iCs/>
      <w:szCs w:val="24"/>
    </w:rPr>
  </w:style>
  <w:style w:type="paragraph" w:customStyle="1" w:styleId="284">
    <w:name w:val="正文文本缩进1"/>
    <w:basedOn w:val="1"/>
    <w:link w:val="285"/>
    <w:unhideWhenUsed/>
    <w:qFormat/>
    <w:uiPriority w:val="0"/>
    <w:pPr>
      <w:spacing w:after="120"/>
      <w:ind w:left="420"/>
    </w:pPr>
  </w:style>
  <w:style w:type="character" w:customStyle="1" w:styleId="285">
    <w:name w:val="正文文本缩进 Char"/>
    <w:basedOn w:val="241"/>
    <w:link w:val="284"/>
    <w:semiHidden/>
    <w:qFormat/>
    <w:uiPriority w:val="99"/>
  </w:style>
  <w:style w:type="paragraph" w:customStyle="1" w:styleId="286">
    <w:name w:val="正文首行缩进 21"/>
    <w:basedOn w:val="284"/>
    <w:link w:val="287"/>
    <w:qFormat/>
    <w:uiPriority w:val="0"/>
    <w:pPr>
      <w:spacing w:after="0" w:line="360" w:lineRule="auto"/>
      <w:ind w:left="0" w:firstLine="420"/>
    </w:pPr>
    <w:rPr>
      <w:rFonts w:ascii="宋体" w:hAnsi="宋体"/>
      <w:szCs w:val="20"/>
    </w:rPr>
  </w:style>
  <w:style w:type="character" w:customStyle="1" w:styleId="287">
    <w:name w:val="正文首行缩进 2 Char"/>
    <w:link w:val="286"/>
    <w:qFormat/>
    <w:uiPriority w:val="0"/>
    <w:rPr>
      <w:rFonts w:ascii="宋体" w:hAnsi="宋体" w:eastAsia="宋体" w:cs="Times New Roman"/>
      <w:szCs w:val="20"/>
    </w:rPr>
  </w:style>
  <w:style w:type="paragraph" w:customStyle="1" w:styleId="288">
    <w:name w:val="正文文本缩进 31"/>
    <w:basedOn w:val="1"/>
    <w:link w:val="289"/>
    <w:qFormat/>
    <w:uiPriority w:val="0"/>
    <w:pPr>
      <w:ind w:left="645" w:firstLine="645"/>
    </w:pPr>
    <w:rPr>
      <w:rFonts w:ascii="Arial" w:hAnsi="Arial" w:eastAsia="仿宋_GB2312" w:cs="Arial"/>
      <w:color w:val="FFFF00"/>
      <w:sz w:val="32"/>
      <w:szCs w:val="32"/>
    </w:rPr>
  </w:style>
  <w:style w:type="character" w:customStyle="1" w:styleId="289">
    <w:name w:val="正文文本缩进 3 Char"/>
    <w:link w:val="288"/>
    <w:qFormat/>
    <w:uiPriority w:val="0"/>
    <w:rPr>
      <w:rFonts w:ascii="Arial" w:hAnsi="Arial" w:eastAsia="仿宋_GB2312" w:cs="Arial"/>
      <w:color w:val="FFFF00"/>
      <w:sz w:val="32"/>
      <w:szCs w:val="32"/>
    </w:rPr>
  </w:style>
  <w:style w:type="paragraph" w:customStyle="1" w:styleId="290">
    <w:name w:val="目录 61"/>
    <w:basedOn w:val="1"/>
    <w:next w:val="1"/>
    <w:semiHidden/>
    <w:qFormat/>
    <w:uiPriority w:val="0"/>
    <w:pPr>
      <w:ind w:left="1050"/>
      <w:jc w:val="left"/>
    </w:pPr>
    <w:rPr>
      <w:rFonts w:ascii="Times New Roman" w:hAnsi="Times New Roman"/>
      <w:szCs w:val="21"/>
    </w:rPr>
  </w:style>
  <w:style w:type="paragraph" w:customStyle="1" w:styleId="291">
    <w:name w:val="font7"/>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292">
    <w:name w:val="Char Char Char Char"/>
    <w:basedOn w:val="274"/>
    <w:qFormat/>
    <w:uiPriority w:val="0"/>
    <w:pPr>
      <w:spacing w:line="360" w:lineRule="auto"/>
    </w:pPr>
    <w:rPr>
      <w:rFonts w:ascii="Tahoma" w:hAnsi="Tahoma"/>
      <w:sz w:val="24"/>
      <w:szCs w:val="24"/>
    </w:rPr>
  </w:style>
  <w:style w:type="paragraph" w:customStyle="1" w:styleId="293">
    <w:name w:val="正文文本 31"/>
    <w:basedOn w:val="1"/>
    <w:link w:val="294"/>
    <w:qFormat/>
    <w:uiPriority w:val="0"/>
    <w:rPr>
      <w:rFonts w:ascii="仿宋_GB2312" w:hAnsi="Arial" w:eastAsia="仿宋_GB2312"/>
      <w:sz w:val="32"/>
      <w:szCs w:val="32"/>
    </w:rPr>
  </w:style>
  <w:style w:type="character" w:customStyle="1" w:styleId="294">
    <w:name w:val="正文文本 3 Char"/>
    <w:link w:val="293"/>
    <w:qFormat/>
    <w:uiPriority w:val="0"/>
    <w:rPr>
      <w:rFonts w:ascii="仿宋_GB2312" w:hAnsi="Arial" w:eastAsia="仿宋_GB2312" w:cs="Times New Roman"/>
      <w:sz w:val="32"/>
      <w:szCs w:val="32"/>
    </w:rPr>
  </w:style>
  <w:style w:type="paragraph" w:customStyle="1" w:styleId="295">
    <w:name w:val="普通(网站)1"/>
    <w:basedOn w:val="1"/>
    <w:qFormat/>
    <w:uiPriority w:val="99"/>
    <w:pPr>
      <w:widowControl/>
      <w:spacing w:before="100" w:beforeAutospacing="1" w:after="100" w:afterAutospacing="1"/>
      <w:jc w:val="left"/>
    </w:pPr>
    <w:rPr>
      <w:rFonts w:ascii="宋体" w:hAnsi="宋体" w:cs="宋体"/>
      <w:sz w:val="24"/>
      <w:szCs w:val="24"/>
    </w:rPr>
  </w:style>
  <w:style w:type="paragraph" w:customStyle="1" w:styleId="296">
    <w:name w:val="目录 41"/>
    <w:basedOn w:val="1"/>
    <w:next w:val="1"/>
    <w:semiHidden/>
    <w:qFormat/>
    <w:uiPriority w:val="0"/>
    <w:pPr>
      <w:ind w:left="630"/>
      <w:jc w:val="left"/>
    </w:pPr>
    <w:rPr>
      <w:rFonts w:ascii="Times New Roman" w:hAnsi="Times New Roman"/>
      <w:szCs w:val="21"/>
    </w:rPr>
  </w:style>
  <w:style w:type="paragraph" w:customStyle="1" w:styleId="297">
    <w:name w:val="列出段落2"/>
    <w:basedOn w:val="1"/>
    <w:link w:val="373"/>
    <w:qFormat/>
    <w:uiPriority w:val="34"/>
    <w:pPr>
      <w:widowControl/>
      <w:ind w:left="720"/>
      <w:contextualSpacing/>
      <w:jc w:val="left"/>
    </w:pPr>
    <w:rPr>
      <w:sz w:val="24"/>
      <w:szCs w:val="24"/>
      <w:lang w:eastAsia="en-US" w:bidi="en-US"/>
    </w:rPr>
  </w:style>
  <w:style w:type="character" w:customStyle="1" w:styleId="298">
    <w:name w:val="文档结构图 Char"/>
    <w:link w:val="274"/>
    <w:semiHidden/>
    <w:qFormat/>
    <w:uiPriority w:val="0"/>
    <w:rPr>
      <w:rFonts w:ascii="Times New Roman" w:hAnsi="Times New Roman" w:eastAsia="宋体" w:cs="Times New Roman"/>
      <w:szCs w:val="21"/>
      <w:shd w:val="clear" w:color="auto" w:fill="000080"/>
    </w:rPr>
  </w:style>
  <w:style w:type="paragraph" w:customStyle="1" w:styleId="299">
    <w:name w:val="4"/>
    <w:basedOn w:val="1"/>
    <w:next w:val="288"/>
    <w:qFormat/>
    <w:uiPriority w:val="0"/>
    <w:pPr>
      <w:spacing w:line="360" w:lineRule="auto"/>
      <w:ind w:firstLine="420"/>
    </w:pPr>
    <w:rPr>
      <w:rFonts w:ascii="Times New Roman" w:hAnsi="Times New Roman"/>
      <w:color w:val="FF0000"/>
      <w:sz w:val="24"/>
      <w:szCs w:val="24"/>
    </w:rPr>
  </w:style>
  <w:style w:type="paragraph" w:customStyle="1" w:styleId="300">
    <w:name w:val="普通 (Web)"/>
    <w:basedOn w:val="1"/>
    <w:qFormat/>
    <w:uiPriority w:val="0"/>
    <w:pPr>
      <w:widowControl/>
      <w:spacing w:before="100" w:beforeAutospacing="1" w:after="100" w:afterAutospacing="1"/>
      <w:jc w:val="left"/>
    </w:pPr>
    <w:rPr>
      <w:rFonts w:ascii="宋体" w:hAnsi="宋体"/>
      <w:sz w:val="24"/>
      <w:szCs w:val="24"/>
    </w:rPr>
  </w:style>
  <w:style w:type="paragraph" w:customStyle="1" w:styleId="301">
    <w:name w:val="Char Char Char Char Char Char Char Char Char Char"/>
    <w:basedOn w:val="1"/>
    <w:qFormat/>
    <w:uiPriority w:val="0"/>
    <w:pPr>
      <w:spacing w:line="360" w:lineRule="auto"/>
    </w:pPr>
    <w:rPr>
      <w:rFonts w:ascii="Times New Roman" w:hAnsi="Times New Roman"/>
      <w:sz w:val="24"/>
      <w:szCs w:val="20"/>
    </w:rPr>
  </w:style>
  <w:style w:type="paragraph" w:customStyle="1" w:styleId="302">
    <w:name w:val="列表 21"/>
    <w:basedOn w:val="1"/>
    <w:qFormat/>
    <w:uiPriority w:val="0"/>
    <w:pPr>
      <w:ind w:left="100" w:hanging="200"/>
    </w:pPr>
    <w:rPr>
      <w:rFonts w:ascii="Times New Roman" w:hAnsi="Times New Roman"/>
      <w:szCs w:val="21"/>
    </w:rPr>
  </w:style>
  <w:style w:type="paragraph" w:customStyle="1" w:styleId="303">
    <w:name w:val="正文首行缩进1"/>
    <w:basedOn w:val="1"/>
    <w:link w:val="304"/>
    <w:qFormat/>
    <w:uiPriority w:val="0"/>
    <w:pPr>
      <w:spacing w:line="360" w:lineRule="auto"/>
      <w:ind w:firstLine="200"/>
    </w:pPr>
    <w:rPr>
      <w:rFonts w:ascii="仿宋_GB2312" w:hAnsi="Times New Roman" w:eastAsia="仿宋_GB2312"/>
      <w:sz w:val="30"/>
      <w:szCs w:val="30"/>
    </w:rPr>
  </w:style>
  <w:style w:type="character" w:customStyle="1" w:styleId="304">
    <w:name w:val="正文首行缩进 Char"/>
    <w:link w:val="303"/>
    <w:qFormat/>
    <w:uiPriority w:val="0"/>
    <w:rPr>
      <w:rFonts w:ascii="仿宋_GB2312" w:hAnsi="Times New Roman" w:eastAsia="仿宋_GB2312" w:cs="Times New Roman"/>
      <w:sz w:val="30"/>
      <w:szCs w:val="30"/>
    </w:rPr>
  </w:style>
  <w:style w:type="paragraph" w:customStyle="1" w:styleId="305">
    <w:name w:val="样式1"/>
    <w:basedOn w:val="1"/>
    <w:qFormat/>
    <w:uiPriority w:val="0"/>
    <w:pPr>
      <w:numPr>
        <w:ilvl w:val="0"/>
        <w:numId w:val="3"/>
      </w:numPr>
    </w:pPr>
    <w:rPr>
      <w:rFonts w:ascii="宋体" w:hAnsi="宋体"/>
      <w:szCs w:val="21"/>
    </w:rPr>
  </w:style>
  <w:style w:type="paragraph" w:customStyle="1" w:styleId="306">
    <w:name w:val="font6"/>
    <w:basedOn w:val="1"/>
    <w:qFormat/>
    <w:uiPriority w:val="0"/>
    <w:pPr>
      <w:widowControl/>
      <w:spacing w:before="100" w:beforeAutospacing="1" w:after="100" w:afterAutospacing="1"/>
      <w:jc w:val="left"/>
    </w:pPr>
    <w:rPr>
      <w:rFonts w:hint="eastAsia" w:ascii="宋体" w:hAnsi="宋体"/>
      <w:sz w:val="28"/>
      <w:szCs w:val="28"/>
      <w:u w:val="single"/>
    </w:rPr>
  </w:style>
  <w:style w:type="paragraph" w:customStyle="1" w:styleId="307">
    <w:name w:val="目录 51"/>
    <w:basedOn w:val="1"/>
    <w:next w:val="1"/>
    <w:semiHidden/>
    <w:qFormat/>
    <w:uiPriority w:val="0"/>
    <w:pPr>
      <w:ind w:left="840"/>
      <w:jc w:val="left"/>
    </w:pPr>
    <w:rPr>
      <w:rFonts w:ascii="Times New Roman" w:hAnsi="Times New Roman"/>
      <w:szCs w:val="21"/>
    </w:rPr>
  </w:style>
  <w:style w:type="paragraph" w:customStyle="1" w:styleId="308">
    <w:name w:val="目录 11"/>
    <w:basedOn w:val="1"/>
    <w:next w:val="1"/>
    <w:qFormat/>
    <w:uiPriority w:val="39"/>
    <w:pPr>
      <w:tabs>
        <w:tab w:val="right" w:leader="dot" w:pos="8720"/>
      </w:tabs>
      <w:spacing w:before="120" w:after="120" w:line="400" w:lineRule="exact"/>
      <w:jc w:val="left"/>
    </w:pPr>
    <w:rPr>
      <w:rFonts w:ascii="宋体" w:hAnsi="宋体"/>
      <w:caps/>
      <w:sz w:val="24"/>
      <w:szCs w:val="24"/>
    </w:rPr>
  </w:style>
  <w:style w:type="paragraph" w:customStyle="1" w:styleId="309">
    <w:name w:val="纯文本1"/>
    <w:basedOn w:val="1"/>
    <w:link w:val="310"/>
    <w:qFormat/>
    <w:uiPriority w:val="0"/>
    <w:rPr>
      <w:rFonts w:ascii="宋体" w:hAnsi="Courier New" w:cs="Courier New"/>
      <w:szCs w:val="21"/>
    </w:rPr>
  </w:style>
  <w:style w:type="character" w:customStyle="1" w:styleId="310">
    <w:name w:val="纯文本 Char"/>
    <w:link w:val="309"/>
    <w:qFormat/>
    <w:uiPriority w:val="0"/>
    <w:rPr>
      <w:rFonts w:ascii="宋体" w:hAnsi="Courier New" w:eastAsia="宋体" w:cs="Courier New"/>
      <w:szCs w:val="21"/>
    </w:rPr>
  </w:style>
  <w:style w:type="paragraph" w:customStyle="1" w:styleId="311">
    <w:name w:val="批注框文本1"/>
    <w:basedOn w:val="1"/>
    <w:link w:val="312"/>
    <w:qFormat/>
    <w:uiPriority w:val="0"/>
    <w:rPr>
      <w:rFonts w:ascii="Times New Roman" w:hAnsi="Times New Roman"/>
      <w:sz w:val="18"/>
      <w:szCs w:val="18"/>
    </w:rPr>
  </w:style>
  <w:style w:type="character" w:customStyle="1" w:styleId="312">
    <w:name w:val="批注框文本 Char"/>
    <w:link w:val="311"/>
    <w:semiHidden/>
    <w:qFormat/>
    <w:uiPriority w:val="0"/>
    <w:rPr>
      <w:rFonts w:ascii="Times New Roman" w:hAnsi="Times New Roman" w:eastAsia="宋体" w:cs="Times New Roman"/>
      <w:sz w:val="18"/>
      <w:szCs w:val="18"/>
    </w:rPr>
  </w:style>
  <w:style w:type="paragraph" w:customStyle="1" w:styleId="313">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314">
    <w:name w:val="列表1"/>
    <w:basedOn w:val="1"/>
    <w:qFormat/>
    <w:uiPriority w:val="0"/>
    <w:pPr>
      <w:ind w:left="200" w:hanging="200"/>
    </w:pPr>
    <w:rPr>
      <w:rFonts w:ascii="Times New Roman" w:hAnsi="Times New Roman"/>
      <w:szCs w:val="21"/>
    </w:rPr>
  </w:style>
  <w:style w:type="paragraph" w:customStyle="1" w:styleId="315">
    <w:name w:val="图标"/>
    <w:basedOn w:val="1"/>
    <w:next w:val="1"/>
    <w:qFormat/>
    <w:uiPriority w:val="0"/>
    <w:pPr>
      <w:tabs>
        <w:tab w:val="left" w:pos="567"/>
        <w:tab w:val="left" w:pos="840"/>
      </w:tabs>
      <w:spacing w:before="120" w:after="120" w:line="320" w:lineRule="atLeast"/>
      <w:ind w:left="840" w:hanging="420"/>
      <w:jc w:val="center"/>
    </w:pPr>
    <w:rPr>
      <w:rFonts w:ascii="Times New Roman" w:hAnsi="Times New Roman" w:eastAsia="仿宋_GB2312"/>
      <w:sz w:val="24"/>
      <w:szCs w:val="20"/>
    </w:rPr>
  </w:style>
  <w:style w:type="paragraph" w:customStyle="1" w:styleId="316">
    <w:name w:val="日期1"/>
    <w:basedOn w:val="1"/>
    <w:next w:val="1"/>
    <w:link w:val="317"/>
    <w:qFormat/>
    <w:uiPriority w:val="0"/>
    <w:rPr>
      <w:rFonts w:ascii="Times New Roman" w:hAnsi="Times New Roman"/>
      <w:sz w:val="24"/>
      <w:szCs w:val="24"/>
    </w:rPr>
  </w:style>
  <w:style w:type="character" w:customStyle="1" w:styleId="317">
    <w:name w:val="日期 Char"/>
    <w:link w:val="316"/>
    <w:qFormat/>
    <w:uiPriority w:val="0"/>
    <w:rPr>
      <w:rFonts w:ascii="Times New Roman" w:hAnsi="Times New Roman" w:eastAsia="宋体" w:cs="Times New Roman"/>
      <w:sz w:val="24"/>
      <w:szCs w:val="24"/>
    </w:rPr>
  </w:style>
  <w:style w:type="paragraph" w:customStyle="1" w:styleId="318">
    <w:name w:val="标题3"/>
    <w:basedOn w:val="1"/>
    <w:next w:val="1"/>
    <w:qFormat/>
    <w:uiPriority w:val="0"/>
    <w:pPr>
      <w:spacing w:line="590" w:lineRule="atLeast"/>
      <w:ind w:firstLine="624"/>
    </w:pPr>
    <w:rPr>
      <w:rFonts w:ascii="方正黑体_GBK" w:hAnsi="Times New Roman" w:eastAsia="方正黑体_GBK"/>
      <w:sz w:val="32"/>
      <w:szCs w:val="32"/>
    </w:rPr>
  </w:style>
  <w:style w:type="paragraph" w:customStyle="1" w:styleId="319">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320">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321">
    <w:name w:val="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322">
    <w:name w:val="正文文本 21"/>
    <w:basedOn w:val="1"/>
    <w:link w:val="323"/>
    <w:qFormat/>
    <w:uiPriority w:val="0"/>
    <w:pPr>
      <w:widowControl/>
      <w:jc w:val="center"/>
    </w:pPr>
    <w:rPr>
      <w:rFonts w:ascii="楷体_GB2312" w:hAnsi="Times New Roman" w:eastAsia="楷体_GB2312"/>
      <w:sz w:val="28"/>
      <w:szCs w:val="28"/>
    </w:rPr>
  </w:style>
  <w:style w:type="character" w:customStyle="1" w:styleId="323">
    <w:name w:val="正文文本 2 Char"/>
    <w:link w:val="322"/>
    <w:qFormat/>
    <w:uiPriority w:val="0"/>
    <w:rPr>
      <w:rFonts w:ascii="楷体_GB2312" w:hAnsi="Times New Roman" w:eastAsia="楷体_GB2312" w:cs="Times New Roman"/>
      <w:sz w:val="28"/>
      <w:szCs w:val="28"/>
    </w:rPr>
  </w:style>
  <w:style w:type="paragraph" w:customStyle="1" w:styleId="324">
    <w:name w:val="列表 31"/>
    <w:basedOn w:val="1"/>
    <w:qFormat/>
    <w:uiPriority w:val="0"/>
    <w:pPr>
      <w:ind w:left="100" w:hanging="200"/>
    </w:pPr>
    <w:rPr>
      <w:rFonts w:ascii="Times New Roman" w:hAnsi="Times New Roman"/>
      <w:szCs w:val="21"/>
    </w:rPr>
  </w:style>
  <w:style w:type="paragraph" w:customStyle="1" w:styleId="325">
    <w:name w:val="目录 71"/>
    <w:basedOn w:val="1"/>
    <w:next w:val="1"/>
    <w:semiHidden/>
    <w:qFormat/>
    <w:uiPriority w:val="0"/>
    <w:pPr>
      <w:ind w:left="1260"/>
      <w:jc w:val="left"/>
    </w:pPr>
    <w:rPr>
      <w:rFonts w:ascii="Times New Roman" w:hAnsi="Times New Roman"/>
      <w:szCs w:val="21"/>
    </w:rPr>
  </w:style>
  <w:style w:type="paragraph" w:customStyle="1" w:styleId="326">
    <w:name w:val="目录 21"/>
    <w:basedOn w:val="1"/>
    <w:next w:val="1"/>
    <w:qFormat/>
    <w:uiPriority w:val="39"/>
    <w:pPr>
      <w:tabs>
        <w:tab w:val="right" w:pos="8719"/>
      </w:tabs>
      <w:ind w:left="210"/>
      <w:jc w:val="left"/>
    </w:pPr>
    <w:rPr>
      <w:rFonts w:ascii="Times New Roman" w:hAnsi="Times New Roman"/>
      <w:smallCaps/>
      <w:szCs w:val="24"/>
    </w:rPr>
  </w:style>
  <w:style w:type="paragraph" w:customStyle="1" w:styleId="327">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328">
    <w:name w:val="页眉1"/>
    <w:basedOn w:val="1"/>
    <w:link w:val="329"/>
    <w:qFormat/>
    <w:uiPriority w:val="0"/>
    <w:pPr>
      <w:pBdr>
        <w:bottom w:val="none" w:color="000000" w:sz="0" w:space="0"/>
      </w:pBdr>
      <w:tabs>
        <w:tab w:val="center" w:pos="4153"/>
        <w:tab w:val="right" w:pos="8306"/>
      </w:tabs>
      <w:ind w:firstLine="361"/>
      <w:jc w:val="right"/>
    </w:pPr>
    <w:rPr>
      <w:rFonts w:ascii="Times New Roman" w:hAnsi="Times New Roman"/>
      <w:sz w:val="18"/>
      <w:szCs w:val="18"/>
    </w:rPr>
  </w:style>
  <w:style w:type="character" w:customStyle="1" w:styleId="329">
    <w:name w:val="页眉 Char"/>
    <w:link w:val="328"/>
    <w:qFormat/>
    <w:uiPriority w:val="0"/>
    <w:rPr>
      <w:rFonts w:ascii="Times New Roman" w:hAnsi="Times New Roman"/>
      <w:sz w:val="18"/>
      <w:szCs w:val="18"/>
    </w:rPr>
  </w:style>
  <w:style w:type="paragraph" w:customStyle="1" w:styleId="330">
    <w:name w:val="页脚1"/>
    <w:basedOn w:val="1"/>
    <w:link w:val="331"/>
    <w:qFormat/>
    <w:uiPriority w:val="0"/>
    <w:pPr>
      <w:tabs>
        <w:tab w:val="center" w:pos="4153"/>
        <w:tab w:val="right" w:pos="8306"/>
      </w:tabs>
      <w:jc w:val="left"/>
    </w:pPr>
    <w:rPr>
      <w:rFonts w:ascii="Times New Roman" w:hAnsi="Times New Roman"/>
      <w:sz w:val="18"/>
      <w:szCs w:val="18"/>
    </w:rPr>
  </w:style>
  <w:style w:type="character" w:customStyle="1" w:styleId="331">
    <w:name w:val="页脚 Char"/>
    <w:link w:val="330"/>
    <w:qFormat/>
    <w:uiPriority w:val="0"/>
    <w:rPr>
      <w:rFonts w:ascii="Times New Roman" w:hAnsi="Times New Roman" w:eastAsia="宋体" w:cs="Times New Roman"/>
      <w:sz w:val="18"/>
      <w:szCs w:val="18"/>
    </w:rPr>
  </w:style>
  <w:style w:type="paragraph" w:customStyle="1" w:styleId="332">
    <w:name w:val="Char Char Char Char Char Char Char Char1"/>
    <w:basedOn w:val="1"/>
    <w:qFormat/>
    <w:uiPriority w:val="0"/>
    <w:pPr>
      <w:widowControl/>
      <w:spacing w:after="160" w:line="240" w:lineRule="exact"/>
      <w:jc w:val="left"/>
    </w:pPr>
    <w:rPr>
      <w:rFonts w:ascii="Verdana" w:hAnsi="Verdana"/>
      <w:sz w:val="20"/>
      <w:szCs w:val="20"/>
      <w:lang w:eastAsia="en-US"/>
    </w:rPr>
  </w:style>
  <w:style w:type="paragraph" w:customStyle="1" w:styleId="333">
    <w:name w:val="目录 81"/>
    <w:basedOn w:val="1"/>
    <w:next w:val="1"/>
    <w:semiHidden/>
    <w:qFormat/>
    <w:uiPriority w:val="0"/>
    <w:pPr>
      <w:ind w:left="1470"/>
      <w:jc w:val="left"/>
    </w:pPr>
    <w:rPr>
      <w:rFonts w:ascii="Times New Roman" w:hAnsi="Times New Roman"/>
      <w:szCs w:val="21"/>
    </w:rPr>
  </w:style>
  <w:style w:type="paragraph" w:customStyle="1" w:styleId="334">
    <w:name w:val="xl30"/>
    <w:basedOn w:val="1"/>
    <w:qFormat/>
    <w:uiPriority w:val="0"/>
    <w:pPr>
      <w:widowControl/>
      <w:spacing w:before="100" w:beforeAutospacing="1" w:after="100" w:afterAutospacing="1"/>
      <w:jc w:val="center"/>
    </w:pPr>
    <w:rPr>
      <w:rFonts w:ascii="宋体" w:hAnsi="宋体"/>
      <w:b/>
      <w:bCs/>
      <w:sz w:val="36"/>
      <w:szCs w:val="36"/>
    </w:rPr>
  </w:style>
  <w:style w:type="paragraph" w:customStyle="1" w:styleId="335">
    <w:name w:val="Char Char Char Char1"/>
    <w:basedOn w:val="274"/>
    <w:qFormat/>
    <w:uiPriority w:val="0"/>
    <w:pPr>
      <w:spacing w:line="360" w:lineRule="auto"/>
    </w:pPr>
    <w:rPr>
      <w:rFonts w:ascii="Tahoma" w:hAnsi="Tahoma"/>
      <w:sz w:val="24"/>
      <w:szCs w:val="24"/>
    </w:rPr>
  </w:style>
  <w:style w:type="paragraph" w:customStyle="1" w:styleId="336">
    <w:name w:val="table_1stline"/>
    <w:basedOn w:val="1"/>
    <w:qFormat/>
    <w:uiPriority w:val="0"/>
    <w:pPr>
      <w:widowControl/>
      <w:spacing w:before="120"/>
      <w:jc w:val="left"/>
    </w:pPr>
    <w:rPr>
      <w:rFonts w:ascii="Times New Roman" w:hAnsi="Times New Roman"/>
      <w:bCs/>
      <w:sz w:val="20"/>
      <w:szCs w:val="20"/>
      <w:lang w:val="de-DE" w:eastAsia="de-DE"/>
    </w:rPr>
  </w:style>
  <w:style w:type="paragraph" w:customStyle="1" w:styleId="337">
    <w:name w:val="font5"/>
    <w:basedOn w:val="1"/>
    <w:qFormat/>
    <w:uiPriority w:val="0"/>
    <w:pPr>
      <w:widowControl/>
      <w:spacing w:before="100" w:beforeAutospacing="1" w:after="100" w:afterAutospacing="1"/>
      <w:jc w:val="left"/>
    </w:pPr>
    <w:rPr>
      <w:rFonts w:hint="eastAsia" w:ascii="宋体" w:hAnsi="宋体"/>
      <w:sz w:val="28"/>
      <w:szCs w:val="28"/>
    </w:rPr>
  </w:style>
  <w:style w:type="paragraph" w:customStyle="1" w:styleId="338">
    <w:name w:val="标题1"/>
    <w:basedOn w:val="1"/>
    <w:next w:val="1"/>
    <w:qFormat/>
    <w:uiPriority w:val="0"/>
    <w:pPr>
      <w:tabs>
        <w:tab w:val="left" w:pos="9193"/>
        <w:tab w:val="left" w:pos="9827"/>
      </w:tabs>
      <w:spacing w:line="700" w:lineRule="atLeast"/>
      <w:jc w:val="center"/>
    </w:pPr>
    <w:rPr>
      <w:rFonts w:ascii="方正小标宋_GBK" w:hAnsi="Times New Roman" w:eastAsia="方正小标宋_GBK"/>
      <w:sz w:val="44"/>
      <w:szCs w:val="20"/>
    </w:rPr>
  </w:style>
  <w:style w:type="paragraph" w:customStyle="1" w:styleId="339">
    <w:name w:val="修订1"/>
    <w:semiHidden/>
    <w:qFormat/>
    <w:uiPriority w:val="99"/>
    <w:rPr>
      <w:rFonts w:hint="default" w:ascii="Times New Roman" w:hAnsi="Times New Roman" w:eastAsia="宋体" w:cs="Times New Roman"/>
      <w:sz w:val="21"/>
      <w:szCs w:val="21"/>
      <w:lang w:val="en-US" w:eastAsia="zh-CN" w:bidi="ar-SA"/>
    </w:rPr>
  </w:style>
  <w:style w:type="table" w:customStyle="1" w:styleId="340">
    <w:name w:val="网格型1"/>
    <w:basedOn w:val="242"/>
    <w:qFormat/>
    <w:uiPriority w:val="0"/>
    <w:pPr>
      <w:widowControl w:val="0"/>
      <w:jc w:val="both"/>
    </w:pPr>
  </w:style>
  <w:style w:type="paragraph" w:customStyle="1" w:styleId="341">
    <w:name w:val="无间隔1"/>
    <w:qFormat/>
    <w:uiPriority w:val="99"/>
    <w:pPr>
      <w:widowControl w:val="0"/>
      <w:jc w:val="both"/>
    </w:pPr>
    <w:rPr>
      <w:rFonts w:hint="default" w:ascii="Times New Roman" w:hAnsi="Times New Roman" w:eastAsia="宋体" w:cs="Times New Roman"/>
      <w:sz w:val="21"/>
      <w:szCs w:val="21"/>
      <w:lang w:val="en-US" w:eastAsia="zh-CN" w:bidi="ar-SA"/>
    </w:rPr>
  </w:style>
  <w:style w:type="paragraph" w:customStyle="1" w:styleId="342">
    <w:name w:val="索引 81"/>
    <w:basedOn w:val="1"/>
    <w:next w:val="1"/>
    <w:semiHidden/>
    <w:qFormat/>
    <w:uiPriority w:val="0"/>
    <w:pPr>
      <w:ind w:left="1400"/>
    </w:pPr>
    <w:rPr>
      <w:rFonts w:ascii="Times New Roman" w:hAnsi="Times New Roman"/>
      <w:szCs w:val="20"/>
    </w:rPr>
  </w:style>
  <w:style w:type="paragraph" w:customStyle="1" w:styleId="343">
    <w:name w:val="索引 51"/>
    <w:basedOn w:val="1"/>
    <w:next w:val="1"/>
    <w:semiHidden/>
    <w:qFormat/>
    <w:uiPriority w:val="0"/>
    <w:pPr>
      <w:ind w:left="800"/>
    </w:pPr>
    <w:rPr>
      <w:rFonts w:ascii="Times New Roman" w:hAnsi="Times New Roman"/>
      <w:szCs w:val="20"/>
    </w:rPr>
  </w:style>
  <w:style w:type="paragraph" w:customStyle="1" w:styleId="344">
    <w:name w:val="索引 61"/>
    <w:basedOn w:val="1"/>
    <w:next w:val="1"/>
    <w:semiHidden/>
    <w:qFormat/>
    <w:uiPriority w:val="0"/>
    <w:pPr>
      <w:ind w:left="1000"/>
    </w:pPr>
    <w:rPr>
      <w:rFonts w:ascii="Times New Roman" w:hAnsi="Times New Roman"/>
      <w:szCs w:val="20"/>
    </w:rPr>
  </w:style>
  <w:style w:type="paragraph" w:customStyle="1" w:styleId="345">
    <w:name w:val="寄信人地址1"/>
    <w:basedOn w:val="1"/>
    <w:qFormat/>
    <w:uiPriority w:val="0"/>
    <w:rPr>
      <w:rFonts w:ascii="Arial" w:hAnsi="Arial"/>
      <w:szCs w:val="20"/>
    </w:rPr>
  </w:style>
  <w:style w:type="paragraph" w:customStyle="1" w:styleId="346">
    <w:name w:val="文本块1"/>
    <w:basedOn w:val="1"/>
    <w:qFormat/>
    <w:uiPriority w:val="0"/>
    <w:pPr>
      <w:tabs>
        <w:tab w:val="left" w:pos="822"/>
        <w:tab w:val="left" w:pos="2205"/>
        <w:tab w:val="left" w:pos="9000"/>
      </w:tabs>
      <w:spacing w:before="89"/>
      <w:ind w:left="1890" w:right="11" w:hanging="1409"/>
    </w:pPr>
    <w:rPr>
      <w:rFonts w:ascii="Times New Roman" w:hAnsi="Times New Roman"/>
      <w:sz w:val="24"/>
      <w:szCs w:val="20"/>
    </w:rPr>
  </w:style>
  <w:style w:type="paragraph" w:customStyle="1" w:styleId="347">
    <w:name w:val="索引 41"/>
    <w:basedOn w:val="1"/>
    <w:next w:val="1"/>
    <w:semiHidden/>
    <w:qFormat/>
    <w:uiPriority w:val="0"/>
    <w:pPr>
      <w:ind w:left="600"/>
    </w:pPr>
    <w:rPr>
      <w:rFonts w:ascii="Times New Roman" w:hAnsi="Times New Roman"/>
      <w:szCs w:val="20"/>
    </w:rPr>
  </w:style>
  <w:style w:type="paragraph" w:customStyle="1" w:styleId="348">
    <w:name w:val="索引 31"/>
    <w:basedOn w:val="1"/>
    <w:next w:val="1"/>
    <w:semiHidden/>
    <w:qFormat/>
    <w:uiPriority w:val="0"/>
    <w:pPr>
      <w:ind w:left="400"/>
    </w:pPr>
    <w:rPr>
      <w:rFonts w:ascii="Times New Roman" w:hAnsi="Times New Roman"/>
      <w:szCs w:val="20"/>
    </w:rPr>
  </w:style>
  <w:style w:type="paragraph" w:customStyle="1" w:styleId="349">
    <w:name w:val="签名1"/>
    <w:basedOn w:val="1"/>
    <w:link w:val="370"/>
    <w:qFormat/>
    <w:uiPriority w:val="0"/>
    <w:pPr>
      <w:spacing w:after="600" w:line="312" w:lineRule="atLeast"/>
      <w:jc w:val="center"/>
    </w:pPr>
    <w:rPr>
      <w:rFonts w:ascii="Times New Roman" w:hAnsi="Times New Roman" w:eastAsia="仿宋_GB2312"/>
      <w:sz w:val="24"/>
      <w:szCs w:val="20"/>
    </w:rPr>
  </w:style>
  <w:style w:type="character" w:customStyle="1" w:styleId="350">
    <w:name w:val="签名 字符"/>
    <w:qFormat/>
    <w:uiPriority w:val="0"/>
    <w:rPr>
      <w:sz w:val="21"/>
      <w:szCs w:val="22"/>
    </w:rPr>
  </w:style>
  <w:style w:type="paragraph" w:customStyle="1" w:styleId="351">
    <w:name w:val="索引标题1"/>
    <w:basedOn w:val="1"/>
    <w:next w:val="279"/>
    <w:semiHidden/>
    <w:qFormat/>
    <w:uiPriority w:val="0"/>
    <w:rPr>
      <w:rFonts w:ascii="Times New Roman" w:hAnsi="Times New Roman"/>
      <w:szCs w:val="20"/>
    </w:rPr>
  </w:style>
  <w:style w:type="paragraph" w:customStyle="1" w:styleId="352">
    <w:name w:val="脚注文本1"/>
    <w:basedOn w:val="1"/>
    <w:link w:val="353"/>
    <w:qFormat/>
    <w:uiPriority w:val="0"/>
    <w:pPr>
      <w:jc w:val="left"/>
    </w:pPr>
    <w:rPr>
      <w:rFonts w:ascii="Times New Roman" w:hAnsi="Times New Roman"/>
      <w:sz w:val="18"/>
      <w:szCs w:val="18"/>
    </w:rPr>
  </w:style>
  <w:style w:type="character" w:customStyle="1" w:styleId="353">
    <w:name w:val="脚注文本 字符"/>
    <w:link w:val="352"/>
    <w:qFormat/>
    <w:uiPriority w:val="0"/>
    <w:rPr>
      <w:rFonts w:ascii="Times New Roman" w:hAnsi="Times New Roman"/>
      <w:sz w:val="18"/>
      <w:szCs w:val="18"/>
    </w:rPr>
  </w:style>
  <w:style w:type="paragraph" w:customStyle="1" w:styleId="354">
    <w:name w:val="索引 71"/>
    <w:basedOn w:val="1"/>
    <w:next w:val="1"/>
    <w:semiHidden/>
    <w:qFormat/>
    <w:uiPriority w:val="0"/>
    <w:pPr>
      <w:ind w:left="1200"/>
    </w:pPr>
    <w:rPr>
      <w:rFonts w:ascii="Times New Roman" w:hAnsi="Times New Roman"/>
      <w:szCs w:val="20"/>
    </w:rPr>
  </w:style>
  <w:style w:type="paragraph" w:customStyle="1" w:styleId="355">
    <w:name w:val="索引 91"/>
    <w:basedOn w:val="1"/>
    <w:next w:val="1"/>
    <w:semiHidden/>
    <w:qFormat/>
    <w:uiPriority w:val="0"/>
    <w:pPr>
      <w:ind w:left="1600"/>
    </w:pPr>
    <w:rPr>
      <w:rFonts w:ascii="Times New Roman" w:hAnsi="Times New Roman"/>
      <w:szCs w:val="20"/>
    </w:rPr>
  </w:style>
  <w:style w:type="paragraph" w:customStyle="1" w:styleId="356">
    <w:name w:val="HTML 预设格式1"/>
    <w:basedOn w:val="1"/>
    <w:link w:val="357"/>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sz w:val="24"/>
      <w:szCs w:val="24"/>
    </w:rPr>
  </w:style>
  <w:style w:type="character" w:customStyle="1" w:styleId="357">
    <w:name w:val="HTML 预设格式 字符"/>
    <w:link w:val="356"/>
    <w:qFormat/>
    <w:uiPriority w:val="0"/>
    <w:rPr>
      <w:rFonts w:ascii="Arial" w:hAnsi="Arial"/>
      <w:sz w:val="24"/>
      <w:szCs w:val="24"/>
    </w:rPr>
  </w:style>
  <w:style w:type="paragraph" w:customStyle="1" w:styleId="358">
    <w:name w:val="索引 21"/>
    <w:basedOn w:val="1"/>
    <w:next w:val="1"/>
    <w:semiHidden/>
    <w:qFormat/>
    <w:uiPriority w:val="0"/>
    <w:pPr>
      <w:ind w:left="200"/>
    </w:pPr>
    <w:rPr>
      <w:rFonts w:ascii="Times New Roman" w:hAnsi="Times New Roman"/>
      <w:szCs w:val="20"/>
    </w:rPr>
  </w:style>
  <w:style w:type="character" w:customStyle="1" w:styleId="359">
    <w:name w:val="强调1"/>
    <w:qFormat/>
    <w:uiPriority w:val="20"/>
    <w:rPr>
      <w:i/>
      <w:iCs/>
    </w:rPr>
  </w:style>
  <w:style w:type="character" w:customStyle="1" w:styleId="360">
    <w:name w:val="脚注引用1"/>
    <w:unhideWhenUsed/>
    <w:qFormat/>
    <w:uiPriority w:val="0"/>
    <w:rPr>
      <w:vertAlign w:val="superscript"/>
    </w:rPr>
  </w:style>
  <w:style w:type="character" w:customStyle="1" w:styleId="361">
    <w:name w:val="标题 1 字符"/>
    <w:qFormat/>
    <w:uiPriority w:val="9"/>
    <w:rPr>
      <w:rFonts w:ascii="宋体" w:hAnsi="宋体"/>
      <w:b/>
      <w:sz w:val="36"/>
    </w:rPr>
  </w:style>
  <w:style w:type="character" w:customStyle="1" w:styleId="362">
    <w:name w:val="标题 2 字符2"/>
    <w:qFormat/>
    <w:uiPriority w:val="0"/>
    <w:rPr>
      <w:rFonts w:eastAsia="楷体_GB2312"/>
      <w:b/>
      <w:bCs/>
      <w:sz w:val="28"/>
      <w:szCs w:val="28"/>
    </w:rPr>
  </w:style>
  <w:style w:type="character" w:customStyle="1" w:styleId="363">
    <w:name w:val="正文缩进 字符"/>
    <w:qFormat/>
    <w:uiPriority w:val="0"/>
    <w:rPr>
      <w:sz w:val="21"/>
    </w:rPr>
  </w:style>
  <w:style w:type="character" w:customStyle="1" w:styleId="364">
    <w:name w:val="批注文字 字符1"/>
    <w:qFormat/>
    <w:uiPriority w:val="0"/>
    <w:rPr>
      <w:sz w:val="21"/>
    </w:rPr>
  </w:style>
  <w:style w:type="character" w:customStyle="1" w:styleId="365">
    <w:name w:val="正文文本 字符2"/>
    <w:qFormat/>
    <w:uiPriority w:val="0"/>
    <w:rPr>
      <w:rFonts w:ascii="楷体_GB2312" w:hAnsi="Arial" w:eastAsia="楷体_GB2312"/>
      <w:sz w:val="28"/>
    </w:rPr>
  </w:style>
  <w:style w:type="character" w:customStyle="1" w:styleId="366">
    <w:name w:val="正文文本缩进 字符"/>
    <w:qFormat/>
    <w:uiPriority w:val="0"/>
    <w:rPr>
      <w:rFonts w:ascii="宋体"/>
      <w:sz w:val="28"/>
    </w:rPr>
  </w:style>
  <w:style w:type="character" w:customStyle="1" w:styleId="367">
    <w:name w:val="纯文本 字符"/>
    <w:qFormat/>
    <w:uiPriority w:val="0"/>
    <w:rPr>
      <w:rFonts w:ascii="宋体" w:hAnsi="Courier New"/>
      <w:sz w:val="21"/>
    </w:rPr>
  </w:style>
  <w:style w:type="character" w:customStyle="1" w:styleId="368">
    <w:name w:val="日期 字符1"/>
    <w:qFormat/>
    <w:uiPriority w:val="0"/>
    <w:rPr>
      <w:rFonts w:ascii="宋体"/>
      <w:sz w:val="28"/>
    </w:rPr>
  </w:style>
  <w:style w:type="character" w:customStyle="1" w:styleId="369">
    <w:name w:val="批注框文本 字符"/>
    <w:qFormat/>
    <w:uiPriority w:val="0"/>
    <w:rPr>
      <w:sz w:val="18"/>
      <w:szCs w:val="18"/>
    </w:rPr>
  </w:style>
  <w:style w:type="character" w:customStyle="1" w:styleId="370">
    <w:name w:val="签名 字符1"/>
    <w:link w:val="349"/>
    <w:qFormat/>
    <w:uiPriority w:val="0"/>
    <w:rPr>
      <w:rFonts w:ascii="Times New Roman" w:hAnsi="Times New Roman" w:eastAsia="仿宋_GB2312"/>
      <w:sz w:val="24"/>
    </w:rPr>
  </w:style>
  <w:style w:type="character" w:customStyle="1" w:styleId="371">
    <w:name w:val="批注主题 字符"/>
    <w:qFormat/>
    <w:uiPriority w:val="0"/>
    <w:rPr>
      <w:b/>
      <w:bCs/>
      <w:sz w:val="21"/>
    </w:rPr>
  </w:style>
  <w:style w:type="character" w:customStyle="1" w:styleId="372">
    <w:name w:val="正文文本 字符"/>
    <w:qFormat/>
    <w:uiPriority w:val="0"/>
    <w:rPr>
      <w:rFonts w:ascii="楷体_GB2312" w:hAnsi="Arial" w:eastAsia="楷体_GB2312"/>
      <w:sz w:val="28"/>
    </w:rPr>
  </w:style>
  <w:style w:type="character" w:customStyle="1" w:styleId="373">
    <w:name w:val="列表段落 字符"/>
    <w:link w:val="297"/>
    <w:qFormat/>
    <w:uiPriority w:val="34"/>
    <w:rPr>
      <w:sz w:val="24"/>
      <w:szCs w:val="24"/>
      <w:lang w:eastAsia="en-US" w:bidi="en-US"/>
    </w:rPr>
  </w:style>
  <w:style w:type="paragraph" w:customStyle="1" w:styleId="374">
    <w:name w:val="Char Char Char"/>
    <w:basedOn w:val="1"/>
    <w:qFormat/>
    <w:uiPriority w:val="0"/>
    <w:pPr>
      <w:numPr>
        <w:ilvl w:val="0"/>
        <w:numId w:val="4"/>
      </w:numPr>
      <w:tabs>
        <w:tab w:val="left" w:pos="1545"/>
      </w:tabs>
    </w:pPr>
    <w:rPr>
      <w:rFonts w:ascii="Times New Roman" w:hAnsi="Times New Roman"/>
      <w:szCs w:val="20"/>
    </w:rPr>
  </w:style>
  <w:style w:type="paragraph" w:customStyle="1" w:styleId="375">
    <w:name w:val="Plain Text1"/>
    <w:basedOn w:val="1"/>
    <w:qFormat/>
    <w:uiPriority w:val="0"/>
    <w:rPr>
      <w:rFonts w:ascii="宋体" w:hAnsi="Courier New" w:eastAsia="楷体_GB2312"/>
      <w:sz w:val="28"/>
      <w:szCs w:val="20"/>
    </w:rPr>
  </w:style>
  <w:style w:type="paragraph" w:customStyle="1" w:styleId="376">
    <w:name w:val="Default"/>
    <w:qFormat/>
    <w:uiPriority w:val="0"/>
    <w:pPr>
      <w:widowControl w:val="0"/>
    </w:pPr>
    <w:rPr>
      <w:rFonts w:hint="default" w:ascii="Times New Roman" w:hAnsi="Times New Roman" w:eastAsia="宋体" w:cs="Times New Roman"/>
      <w:color w:val="000000"/>
      <w:sz w:val="24"/>
      <w:szCs w:val="24"/>
      <w:lang w:val="en-US" w:eastAsia="zh-CN" w:bidi="ar-SA"/>
    </w:rPr>
  </w:style>
  <w:style w:type="paragraph" w:customStyle="1" w:styleId="377">
    <w:name w:val="Char1 Char Char Char"/>
    <w:basedOn w:val="1"/>
    <w:qFormat/>
    <w:uiPriority w:val="0"/>
    <w:rPr>
      <w:rFonts w:ascii="Tahoma" w:hAnsi="Tahoma"/>
      <w:sz w:val="24"/>
      <w:szCs w:val="20"/>
    </w:rPr>
  </w:style>
  <w:style w:type="paragraph" w:customStyle="1" w:styleId="378">
    <w:name w:val="Char Char1 Char Char Char Char Char Char Char"/>
    <w:basedOn w:val="1"/>
    <w:qFormat/>
    <w:uiPriority w:val="0"/>
    <w:rPr>
      <w:rFonts w:ascii="Calibri Light" w:hAnsi="Calibri Light" w:cs="Berlin Sans FB Demi"/>
      <w:sz w:val="24"/>
      <w:szCs w:val="20"/>
    </w:rPr>
  </w:style>
  <w:style w:type="paragraph" w:customStyle="1" w:styleId="379">
    <w:name w:val="Char Char"/>
    <w:basedOn w:val="1"/>
    <w:qFormat/>
    <w:uiPriority w:val="0"/>
    <w:rPr>
      <w:rFonts w:ascii="Times New Roman" w:hAnsi="Times New Roman"/>
      <w:szCs w:val="21"/>
    </w:rPr>
  </w:style>
  <w:style w:type="paragraph" w:customStyle="1" w:styleId="380">
    <w:name w:val="_Style 12"/>
    <w:basedOn w:val="274"/>
    <w:qFormat/>
    <w:uiPriority w:val="0"/>
    <w:pPr>
      <w:widowControl/>
      <w:spacing w:line="360" w:lineRule="auto"/>
      <w:jc w:val="left"/>
    </w:pPr>
    <w:rPr>
      <w:sz w:val="24"/>
      <w:szCs w:val="24"/>
    </w:rPr>
  </w:style>
  <w:style w:type="character" w:customStyle="1" w:styleId="381">
    <w:name w:val="正文缩进 Char1"/>
    <w:qFormat/>
    <w:uiPriority w:val="0"/>
    <w:rPr>
      <w:rFonts w:eastAsia="楷体_GB2312"/>
      <w:sz w:val="24"/>
    </w:rPr>
  </w:style>
  <w:style w:type="character" w:customStyle="1" w:styleId="382">
    <w:name w:val="纯文本 字符1"/>
    <w:qFormat/>
    <w:uiPriority w:val="0"/>
    <w:rPr>
      <w:rFonts w:ascii="宋体" w:hAnsi="Courier New"/>
    </w:rPr>
  </w:style>
  <w:style w:type="character" w:customStyle="1" w:styleId="383">
    <w:name w:val="未处理的提及1"/>
    <w:unhideWhenUsed/>
    <w:qFormat/>
    <w:uiPriority w:val="99"/>
    <w:rPr>
      <w:color w:val="605E5C"/>
      <w:shd w:val="clear" w:color="auto" w:fill="E1DFDD"/>
    </w:rPr>
  </w:style>
  <w:style w:type="character" w:customStyle="1" w:styleId="384">
    <w:name w:val="批注文字 字符"/>
    <w:qFormat/>
    <w:uiPriority w:val="0"/>
    <w:rPr>
      <w:sz w:val="21"/>
    </w:rPr>
  </w:style>
  <w:style w:type="character" w:customStyle="1" w:styleId="385">
    <w:name w:val="标题 2 字符"/>
    <w:qFormat/>
    <w:uiPriority w:val="0"/>
    <w:rPr>
      <w:rFonts w:eastAsia="楷体_GB2312"/>
      <w:b/>
      <w:bCs/>
      <w:sz w:val="28"/>
      <w:szCs w:val="28"/>
    </w:rPr>
  </w:style>
  <w:style w:type="character" w:customStyle="1" w:styleId="386">
    <w:name w:val="日期 字符"/>
    <w:qFormat/>
    <w:uiPriority w:val="0"/>
    <w:rPr>
      <w:rFonts w:ascii="宋体"/>
      <w:sz w:val="28"/>
    </w:rPr>
  </w:style>
  <w:style w:type="character" w:customStyle="1" w:styleId="387">
    <w:name w:val="正文文本 字符1"/>
    <w:qFormat/>
    <w:uiPriority w:val="0"/>
    <w:rPr>
      <w:rFonts w:ascii="楷体_GB2312" w:hAnsi="Arial" w:eastAsia="楷体_GB2312"/>
      <w:sz w:val="28"/>
    </w:rPr>
  </w:style>
  <w:style w:type="paragraph" w:customStyle="1" w:styleId="388">
    <w:name w:val="正文1"/>
    <w:next w:val="1"/>
    <w:qFormat/>
    <w:uiPriority w:val="0"/>
    <w:pPr>
      <w:widowControl w:val="0"/>
      <w:jc w:val="both"/>
    </w:pPr>
    <w:rPr>
      <w:rFonts w:hint="default" w:ascii="Times New Roman" w:hAnsi="Times New Roman" w:eastAsia="Times New Roman" w:cs="Times New Roman"/>
      <w:color w:val="000000"/>
      <w:sz w:val="21"/>
      <w:szCs w:val="21"/>
      <w:lang w:val="en-US" w:eastAsia="zh-CN" w:bidi="ar-SA"/>
    </w:rPr>
  </w:style>
  <w:style w:type="paragraph" w:customStyle="1" w:styleId="389">
    <w:name w:val="_正文段落"/>
    <w:basedOn w:val="1"/>
    <w:link w:val="390"/>
    <w:qFormat/>
    <w:uiPriority w:val="0"/>
    <w:pPr>
      <w:spacing w:line="360" w:lineRule="auto"/>
      <w:ind w:firstLine="480"/>
    </w:pPr>
    <w:rPr>
      <w:rFonts w:ascii="宋体" w:hAnsi="宋体"/>
      <w:sz w:val="24"/>
      <w:szCs w:val="24"/>
    </w:rPr>
  </w:style>
  <w:style w:type="character" w:customStyle="1" w:styleId="390">
    <w:name w:val="_正文段落 Char"/>
    <w:link w:val="389"/>
    <w:qFormat/>
    <w:uiPriority w:val="0"/>
    <w:rPr>
      <w:rFonts w:ascii="宋体" w:hAnsi="宋体"/>
      <w:sz w:val="24"/>
      <w:szCs w:val="24"/>
    </w:rPr>
  </w:style>
  <w:style w:type="character" w:customStyle="1" w:styleId="391">
    <w:name w:val="cf01"/>
    <w:qFormat/>
    <w:uiPriority w:val="0"/>
    <w:rPr>
      <w:rFonts w:hint="eastAsia" w:ascii="Microsoft YaHei UI" w:hAnsi="Microsoft YaHei UI" w:eastAsia="Microsoft YaHei UI"/>
      <w:b/>
      <w:bCs/>
      <w:sz w:val="18"/>
      <w:szCs w:val="18"/>
    </w:rPr>
  </w:style>
  <w:style w:type="character" w:customStyle="1" w:styleId="392">
    <w:name w:val="标题 2 字符1"/>
    <w:qFormat/>
    <w:uiPriority w:val="0"/>
    <w:rPr>
      <w:rFonts w:eastAsia="楷体_GB2312"/>
      <w:b/>
      <w:bCs/>
      <w:sz w:val="28"/>
      <w:szCs w:val="28"/>
    </w:rPr>
  </w:style>
  <w:style w:type="paragraph" w:customStyle="1" w:styleId="393">
    <w:name w:val="pf0"/>
    <w:basedOn w:val="1"/>
    <w:qFormat/>
    <w:uiPriority w:val="0"/>
    <w:pPr>
      <w:widowControl/>
      <w:spacing w:before="100" w:beforeAutospacing="1" w:after="100" w:afterAutospacing="1"/>
      <w:jc w:val="left"/>
    </w:pPr>
    <w:rPr>
      <w:rFonts w:ascii="宋体" w:hAnsi="宋体" w:cs="宋体"/>
      <w:sz w:val="24"/>
      <w:szCs w:val="24"/>
    </w:rPr>
  </w:style>
  <w:style w:type="character" w:customStyle="1" w:styleId="394">
    <w:name w:val="cf11"/>
    <w:qFormat/>
    <w:uiPriority w:val="0"/>
    <w:rPr>
      <w:rFonts w:hint="eastAsia" w:ascii="Microsoft YaHei UI" w:hAnsi="Microsoft YaHei UI" w:eastAsia="Microsoft YaHei UI"/>
      <w:sz w:val="18"/>
      <w:szCs w:val="18"/>
    </w:rPr>
  </w:style>
  <w:style w:type="character" w:customStyle="1" w:styleId="395">
    <w:name w:val="cf21"/>
    <w:qFormat/>
    <w:uiPriority w:val="0"/>
    <w:rPr>
      <w:rFonts w:hint="eastAsia" w:ascii="Microsoft YaHei UI" w:hAnsi="Microsoft YaHei UI" w:eastAsia="Microsoft YaHei UI"/>
      <w:b/>
      <w:bCs/>
      <w:sz w:val="18"/>
      <w:szCs w:val="18"/>
    </w:rPr>
  </w:style>
  <w:style w:type="paragraph" w:customStyle="1" w:styleId="396">
    <w:name w:val="TOC 标题11"/>
    <w:basedOn w:val="231"/>
    <w:next w:val="1"/>
    <w:unhideWhenUsed/>
    <w:qFormat/>
    <w:uiPriority w:val="39"/>
    <w:pPr>
      <w:keepLines/>
      <w:widowControl/>
      <w:spacing w:before="240" w:line="259" w:lineRule="auto"/>
      <w:jc w:val="left"/>
      <w:outlineLvl w:val="9"/>
    </w:pPr>
    <w:rPr>
      <w:rFonts w:ascii="等线 Light" w:hAnsi="等线 Light" w:eastAsia="黑体"/>
      <w:color w:val="2F5496"/>
      <w:sz w:val="32"/>
      <w:szCs w:val="32"/>
    </w:rPr>
  </w:style>
  <w:style w:type="character" w:customStyle="1" w:styleId="397">
    <w:name w:val="普通正文 Char"/>
    <w:link w:val="280"/>
    <w:qFormat/>
    <w:uiPriority w:val="0"/>
    <w:rPr>
      <w:rFonts w:ascii="Arial" w:hAnsi="Arial"/>
      <w:sz w:val="24"/>
      <w:szCs w:val="24"/>
    </w:rPr>
  </w:style>
  <w:style w:type="character" w:customStyle="1" w:styleId="398">
    <w:name w:val="批注文字 字符2"/>
    <w:basedOn w:val="41"/>
    <w:link w:val="13"/>
    <w:semiHidden/>
    <w:qFormat/>
    <w:uiPriority w:val="99"/>
    <w:rPr>
      <w:sz w:val="21"/>
      <w:szCs w:val="22"/>
    </w:rPr>
  </w:style>
  <w:style w:type="character" w:customStyle="1" w:styleId="399">
    <w:name w:val="批注主题 字符1"/>
    <w:basedOn w:val="398"/>
    <w:link w:val="37"/>
    <w:semiHidden/>
    <w:qFormat/>
    <w:uiPriority w:val="99"/>
    <w:rPr>
      <w:b/>
      <w:bCs/>
      <w:sz w:val="21"/>
      <w:szCs w:val="22"/>
    </w:rPr>
  </w:style>
  <w:style w:type="character" w:customStyle="1" w:styleId="400">
    <w:name w:val="批注框文本 字符1"/>
    <w:basedOn w:val="41"/>
    <w:link w:val="23"/>
    <w:semiHidden/>
    <w:qFormat/>
    <w:uiPriority w:val="99"/>
    <w:rPr>
      <w:sz w:val="18"/>
      <w:szCs w:val="18"/>
    </w:rPr>
  </w:style>
  <w:style w:type="character" w:customStyle="1" w:styleId="401">
    <w:name w:val="1、 字符"/>
    <w:link w:val="402"/>
    <w:qFormat/>
    <w:uiPriority w:val="0"/>
    <w:rPr>
      <w:sz w:val="24"/>
      <w:szCs w:val="24"/>
    </w:rPr>
  </w:style>
  <w:style w:type="paragraph" w:customStyle="1" w:styleId="402">
    <w:name w:val="1、"/>
    <w:basedOn w:val="1"/>
    <w:link w:val="401"/>
    <w:qFormat/>
    <w:uiPriority w:val="0"/>
    <w:pPr>
      <w:spacing w:line="440" w:lineRule="exact"/>
      <w:ind w:firstLine="200"/>
    </w:pPr>
    <w:rPr>
      <w:sz w:val="24"/>
      <w:szCs w:val="24"/>
    </w:rPr>
  </w:style>
  <w:style w:type="paragraph" w:customStyle="1" w:styleId="403">
    <w:name w:val="段"/>
    <w:next w:val="1"/>
    <w:qFormat/>
    <w:uiPriority w:val="0"/>
    <w:pPr>
      <w:spacing w:line="360" w:lineRule="auto"/>
      <w:ind w:firstLine="200"/>
      <w:jc w:val="both"/>
    </w:pPr>
    <w:rPr>
      <w:rFonts w:hint="default" w:ascii="宋体" w:hAnsi="Calibri" w:eastAsia="宋体" w:cs="Times New Roman"/>
      <w:sz w:val="24"/>
      <w:szCs w:val="22"/>
      <w:lang w:val="en-US" w:eastAsia="zh-CN" w:bidi="ar-SA"/>
    </w:rPr>
  </w:style>
  <w:style w:type="character" w:customStyle="1" w:styleId="404">
    <w:name w:val="15"/>
    <w:basedOn w:val="41"/>
    <w:qFormat/>
    <w:uiPriority w:val="0"/>
    <w:rPr>
      <w:rFonts w:hint="default" w:ascii="Calibri" w:hAnsi="Calibri" w:cs="Calibri"/>
    </w:rPr>
  </w:style>
  <w:style w:type="paragraph" w:customStyle="1" w:styleId="405">
    <w:name w:val="Char Char1 Char Char Char Char Char Char Char2"/>
    <w:basedOn w:val="1"/>
    <w:qFormat/>
    <w:uiPriority w:val="0"/>
    <w:rPr>
      <w:rFonts w:ascii="Tahoma" w:hAnsi="Tahoma"/>
      <w:sz w:val="24"/>
    </w:rPr>
  </w:style>
  <w:style w:type="character" w:customStyle="1" w:styleId="406">
    <w:name w:val="font41"/>
    <w:basedOn w:val="41"/>
    <w:qFormat/>
    <w:uiPriority w:val="0"/>
    <w:rPr>
      <w:rFonts w:hint="eastAsia" w:ascii="宋体" w:hAnsi="宋体" w:eastAsia="宋体" w:cs="宋体"/>
      <w:color w:val="FF0000"/>
      <w:sz w:val="24"/>
      <w:szCs w:val="24"/>
      <w:u w:val="none"/>
    </w:rPr>
  </w:style>
  <w:style w:type="character" w:customStyle="1" w:styleId="407">
    <w:name w:val="font01"/>
    <w:basedOn w:val="41"/>
    <w:qFormat/>
    <w:uiPriority w:val="0"/>
    <w:rPr>
      <w:rFonts w:hint="eastAsia" w:ascii="宋体" w:hAnsi="宋体" w:eastAsia="宋体" w:cs="宋体"/>
      <w:color w:val="000000"/>
      <w:sz w:val="24"/>
      <w:szCs w:val="24"/>
      <w:u w:val="none"/>
    </w:rPr>
  </w:style>
  <w:style w:type="character" w:customStyle="1" w:styleId="408">
    <w:name w:val="font51"/>
    <w:basedOn w:val="41"/>
    <w:qFormat/>
    <w:uiPriority w:val="0"/>
    <w:rPr>
      <w:rFonts w:hint="eastAsia" w:ascii="宋体" w:hAnsi="宋体" w:eastAsia="宋体" w:cs="宋体"/>
      <w:color w:val="000000"/>
      <w:sz w:val="24"/>
      <w:szCs w:val="24"/>
      <w:u w:val="none"/>
    </w:rPr>
  </w:style>
  <w:style w:type="paragraph" w:customStyle="1" w:styleId="409">
    <w:name w:val="表格内容"/>
    <w:basedOn w:val="1"/>
    <w:qFormat/>
    <w:uiPriority w:val="0"/>
    <w:pPr>
      <w:jc w:val="center"/>
    </w:pPr>
    <w:rPr>
      <w:rFonts w:ascii="Calibri" w:hAnsi="Calibri" w:cs="宋体"/>
      <w:sz w:val="18"/>
      <w:szCs w:val="28"/>
      <w:lang w:val="zh-CN"/>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56</Pages>
  <Words>18415</Words>
  <Characters>20139</Characters>
  <TotalTime>3</TotalTime>
  <ScaleCrop>false</ScaleCrop>
  <LinksUpToDate>false</LinksUpToDate>
  <CharactersWithSpaces>21034</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2024-11-13T09:00:00Z</dcterms:created>
  <dc:creator>赵国文</dc:creator>
  <cp:lastModifiedBy>代理机构</cp:lastModifiedBy>
  <dcterms:modified xsi:type="dcterms:W3CDTF">2025-02-06T05:07:40Z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FEFF70186627484AA95A0E2B39DCDD18_13</vt:lpwstr>
  </property>
  <property fmtid="{D5CDD505-2E9C-101B-9397-08002B2CF9AE}" pid="4" name="KSOTemplateDocerSaveRecord">
    <vt:lpwstr>eyJoZGlkIjoiOTk3MTdjNThmYmFiMzk4YzUzYmQxMjY2N2VlNjk0MTYiLCJ1c2VySWQiOiI0NzA0Njk1MDUifQ==</vt:lpwstr>
  </property>
</Properties>
</file>