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35"/>
        <w:spacing w:before="120" w:beforeAutospacing="0" w:after="120" w:afterAutospacing="0" w:line="360" w:lineRule="auto"/>
        <w:rPr>
          <w:highlight w:val="none"/>
        </w:rPr>
      </w:pPr>
      <w:r>
        <w:rPr>
          <w:highlight w:val="none"/>
        </w:rPr>
        <w:t xml:space="preserve"> </w:t>
      </w:r>
      <w:r/>
    </w:p>
    <w:p>
      <w:pPr>
        <w:pStyle w:val="635"/>
        <w:jc w:val="center"/>
        <w:keepLines w:val="0"/>
        <w:keepNext w:val="0"/>
        <w:pageBreakBefore w:val="0"/>
        <w:spacing w:before="1801" w:beforeAutospacing="0" w:afterAutospacing="0" w:line="360" w:lineRule="auto"/>
        <w:widowControl w:val="off"/>
        <w:rPr>
          <w:highlight w:val="none"/>
        </w:rPr>
      </w:pPr>
      <w:r>
        <w:rPr>
          <w:rFonts w:ascii="Arial" w:hAnsi="Arial" w:cs="Arial"/>
          <w:b/>
          <w:color w:val="000000"/>
          <w:sz w:val="84"/>
          <w:szCs w:val="84"/>
          <w:highlight w:val="none"/>
        </w:rPr>
        <w:t xml:space="preserve">招 标 文 件</w:t>
      </w:r>
      <w:r/>
    </w:p>
    <w:p>
      <w:pPr>
        <w:pStyle w:val="635"/>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635"/>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635"/>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635"/>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635"/>
        <w:jc w:val="center"/>
        <w:keepLines w:val="0"/>
        <w:keepNext w:val="0"/>
        <w:pageBreakBefore w:val="0"/>
        <w:spacing w:beforeAutospacing="0" w:afterAutospacing="0" w:line="360" w:lineRule="auto"/>
        <w:widowControl w:val="off"/>
        <w:rPr>
          <w:rFonts w:hint="eastAsia" w:eastAsiaTheme="minorEastAsia"/>
          <w:highlight w:val="none"/>
          <w:lang w:eastAsia="zh-CN"/>
        </w:rPr>
      </w:pPr>
      <w:r>
        <w:rPr>
          <w:rFonts w:ascii="Arial" w:hAnsi="Arial" w:cs="Arial"/>
          <w:b/>
          <w:color w:val="000000"/>
          <w:sz w:val="32"/>
          <w:szCs w:val="32"/>
          <w:highlight w:val="none"/>
        </w:rPr>
        <w:t xml:space="preserve">项目名称：</w:t>
      </w:r>
      <w:r>
        <w:rPr>
          <w:rFonts w:hint="eastAsia" w:ascii="Arial" w:hAnsi="Arial" w:cs="Arial"/>
          <w:b/>
          <w:color w:val="000000"/>
          <w:sz w:val="32"/>
          <w:szCs w:val="32"/>
          <w:highlight w:val="none"/>
          <w:lang w:eastAsia="zh-CN"/>
        </w:rPr>
        <w:t xml:space="preserve">江苏省东台中学音乐美术课程基地</w:t>
      </w:r>
      <w:r/>
    </w:p>
    <w:p>
      <w:pPr>
        <w:pStyle w:val="635"/>
        <w:jc w:val="center"/>
        <w:keepLines w:val="0"/>
        <w:keepNext w:val="0"/>
        <w:pageBreakBefore w:val="0"/>
        <w:spacing w:beforeAutospacing="0" w:afterAutospacing="0" w:line="360" w:lineRule="auto"/>
        <w:widowControl w:val="off"/>
        <w:rPr>
          <w:rFonts w:hint="default" w:eastAsiaTheme="minorEastAsia"/>
          <w:highlight w:val="none"/>
          <w:lang w:val="en-US" w:eastAsia="zh-CN"/>
        </w:rPr>
      </w:pPr>
      <w:r>
        <w:rPr>
          <w:rFonts w:ascii="Arial" w:hAnsi="Arial" w:cs="Arial"/>
          <w:b/>
          <w:color w:val="000000"/>
          <w:sz w:val="32"/>
          <w:szCs w:val="32"/>
          <w:highlight w:val="none"/>
        </w:rPr>
        <w:t xml:space="preserve">项目编号：</w:t>
      </w:r>
      <w:r>
        <w:rPr>
          <w:rFonts w:hint="eastAsia" w:ascii="Arial" w:hAnsi="Arial" w:cs="Arial"/>
          <w:b/>
          <w:color w:val="000000"/>
          <w:sz w:val="32"/>
          <w:szCs w:val="32"/>
          <w:highlight w:val="none"/>
        </w:rPr>
        <w:t xml:space="preserve">JSZC-320981-YCCZ-G2025-00</w:t>
      </w:r>
      <w:r>
        <w:rPr>
          <w:rFonts w:hint="eastAsia" w:ascii="Arial" w:hAnsi="Arial" w:cs="Arial"/>
          <w:b/>
          <w:color w:val="000000"/>
          <w:sz w:val="32"/>
          <w:szCs w:val="32"/>
          <w:highlight w:val="none"/>
          <w:lang w:val="en-US" w:eastAsia="zh-CN"/>
        </w:rPr>
        <w:t xml:space="preserve">12</w:t>
      </w:r>
      <w:r/>
    </w:p>
    <w:p>
      <w:pPr>
        <w:pStyle w:val="635"/>
        <w:spacing w:beforeAutospacing="0" w:afterAutospacing="0" w:line="360" w:lineRule="auto"/>
        <w:rPr>
          <w:highlight w:val="none"/>
        </w:rPr>
      </w:pPr>
      <w:r>
        <w:rPr>
          <w:highlight w:val="none"/>
        </w:rPr>
        <w:t xml:space="preserve"> </w:t>
      </w:r>
      <w:r/>
    </w:p>
    <w:p>
      <w:pPr>
        <w:pStyle w:val="635"/>
        <w:spacing w:beforeAutospacing="0" w:afterAutospacing="0" w:line="360" w:lineRule="auto"/>
        <w:rPr>
          <w:highlight w:val="none"/>
        </w:rPr>
      </w:pPr>
      <w:r>
        <w:rPr>
          <w:highlight w:val="none"/>
        </w:rPr>
        <w:t xml:space="preserve"> </w:t>
      </w:r>
      <w:r/>
    </w:p>
    <w:p>
      <w:pPr>
        <w:pStyle w:val="635"/>
        <w:spacing w:beforeAutospacing="0" w:afterAutospacing="0" w:line="360" w:lineRule="auto"/>
        <w:rPr>
          <w:highlight w:val="none"/>
        </w:rPr>
      </w:pPr>
      <w:r>
        <w:rPr>
          <w:highlight w:val="none"/>
        </w:rPr>
        <w:t xml:space="preserve"> </w:t>
      </w:r>
      <w:r/>
    </w:p>
    <w:p>
      <w:pPr>
        <w:pStyle w:val="635"/>
        <w:spacing w:beforeAutospacing="0" w:afterAutospacing="0" w:line="360" w:lineRule="auto"/>
        <w:rPr>
          <w:highlight w:val="none"/>
        </w:rPr>
      </w:pPr>
      <w:r>
        <w:rPr>
          <w:highlight w:val="none"/>
        </w:rPr>
        <w:t xml:space="preserve"> </w:t>
      </w:r>
      <w:r/>
    </w:p>
    <w:p>
      <w:pPr>
        <w:pStyle w:val="635"/>
        <w:spacing w:beforeAutospacing="0" w:afterAutospacing="0" w:line="360" w:lineRule="auto"/>
        <w:rPr>
          <w:highlight w:val="none"/>
        </w:rPr>
      </w:pPr>
      <w:r>
        <w:rPr>
          <w:highlight w:val="none"/>
        </w:rPr>
      </w:r>
      <w:r/>
    </w:p>
    <w:p>
      <w:pPr>
        <w:pStyle w:val="635"/>
        <w:spacing w:beforeAutospacing="0" w:afterAutospacing="0" w:line="360" w:lineRule="auto"/>
        <w:rPr>
          <w:highlight w:val="none"/>
        </w:rPr>
      </w:pPr>
      <w:r>
        <w:rPr>
          <w:highlight w:val="none"/>
        </w:rPr>
        <w:t xml:space="preserve"> </w:t>
      </w:r>
      <w:r/>
    </w:p>
    <w:p>
      <w:pPr>
        <w:pStyle w:val="635"/>
        <w:spacing w:beforeAutospacing="0" w:afterAutospacing="0" w:line="360" w:lineRule="auto"/>
        <w:rPr>
          <w:highlight w:val="none"/>
        </w:rPr>
      </w:pPr>
      <w:r>
        <w:rPr>
          <w:highlight w:val="none"/>
        </w:rPr>
        <w:t xml:space="preserve"> </w:t>
      </w:r>
      <w:r/>
    </w:p>
    <w:p>
      <w:pPr>
        <w:pStyle w:val="635"/>
        <w:spacing w:beforeAutospacing="0" w:afterAutospacing="0" w:line="360" w:lineRule="auto"/>
        <w:rPr>
          <w:highlight w:val="none"/>
        </w:rPr>
      </w:pPr>
      <w:r>
        <w:rPr>
          <w:highlight w:val="none"/>
        </w:rPr>
        <w:t xml:space="preserve"> </w:t>
      </w:r>
      <w:r/>
    </w:p>
    <w:p>
      <w:pPr>
        <w:pStyle w:val="635"/>
        <w:jc w:val="center"/>
        <w:spacing w:before="120" w:beforeAutospacing="0" w:after="120" w:afterAutospacing="0" w:line="360" w:lineRule="auto"/>
        <w:rPr>
          <w:rFonts w:hint="default" w:ascii="Arial" w:hAnsi="Arial" w:cs="Arial" w:eastAsiaTheme="minorEastAsia"/>
          <w:b/>
          <w:color w:val="000000"/>
          <w:sz w:val="32"/>
          <w:szCs w:val="32"/>
          <w:highlight w:val="none"/>
          <w:lang w:val="en-US" w:eastAsia="zh-CN"/>
        </w:rPr>
      </w:pPr>
      <w:r>
        <w:rPr>
          <w:rFonts w:hint="eastAsia" w:ascii="Arial" w:hAnsi="Arial" w:cs="Arial"/>
          <w:b/>
          <w:color w:val="000000"/>
          <w:sz w:val="32"/>
          <w:szCs w:val="32"/>
          <w:highlight w:val="none"/>
        </w:rPr>
        <w:t xml:space="preserve">采购单位</w:t>
      </w:r>
      <w:r>
        <w:rPr>
          <w:rFonts w:hint="eastAsia" w:ascii="Arial" w:hAnsi="Arial" w:cs="Arial"/>
          <w:b/>
          <w:color w:val="000000"/>
          <w:sz w:val="32"/>
          <w:szCs w:val="32"/>
          <w:highlight w:val="none"/>
          <w:lang w:eastAsia="zh-CN"/>
        </w:rPr>
        <w:t xml:space="preserve">：</w:t>
      </w:r>
      <w:r>
        <w:rPr>
          <w:rFonts w:hint="eastAsia" w:ascii="Arial" w:hAnsi="Arial" w:cs="Arial"/>
          <w:b/>
          <w:color w:val="000000"/>
          <w:sz w:val="32"/>
          <w:szCs w:val="32"/>
          <w:highlight w:val="none"/>
          <w:lang w:val="en-US" w:eastAsia="zh-CN"/>
        </w:rPr>
        <w:t xml:space="preserve">江苏省东台中学</w:t>
      </w:r>
      <w:r/>
    </w:p>
    <w:p>
      <w:pPr>
        <w:pStyle w:val="635"/>
        <w:jc w:val="center"/>
        <w:spacing w:before="120" w:beforeAutospacing="0" w:after="120" w:afterAutospacing="0" w:line="360" w:lineRule="auto"/>
        <w:rPr>
          <w:rFonts w:hint="default" w:eastAsiaTheme="minorEastAsia"/>
          <w:highlight w:val="none"/>
          <w:lang w:val="en-US" w:eastAsia="zh-CN"/>
        </w:rPr>
      </w:pPr>
      <w:r>
        <w:rPr>
          <w:rFonts w:hint="eastAsia" w:ascii="Arial" w:hAnsi="Arial" w:cs="Arial"/>
          <w:b/>
          <w:color w:val="000000"/>
          <w:sz w:val="32"/>
          <w:szCs w:val="32"/>
          <w:highlight w:val="none"/>
          <w:lang w:val="en-US" w:eastAsia="zh-CN"/>
        </w:rPr>
        <w:t xml:space="preserve">2025</w:t>
      </w:r>
      <w:r>
        <w:rPr>
          <w:rFonts w:ascii="Arial" w:hAnsi="Arial" w:cs="Arial"/>
          <w:b/>
          <w:color w:val="000000"/>
          <w:sz w:val="32"/>
          <w:szCs w:val="32"/>
          <w:highlight w:val="none"/>
        </w:rPr>
        <w:t xml:space="preserve">年</w:t>
      </w:r>
      <w:r>
        <w:rPr>
          <w:rFonts w:hint="eastAsia" w:ascii="Arial" w:hAnsi="Arial" w:cs="Arial"/>
          <w:b/>
          <w:color w:val="000000"/>
          <w:sz w:val="32"/>
          <w:szCs w:val="32"/>
          <w:highlight w:val="none"/>
          <w:lang w:val="en-US" w:eastAsia="zh-CN"/>
        </w:rPr>
        <w:t xml:space="preserve">7</w:t>
      </w:r>
      <w:r>
        <w:rPr>
          <w:rFonts w:ascii="Arial" w:hAnsi="Arial" w:cs="Arial"/>
          <w:b/>
          <w:color w:val="000000"/>
          <w:sz w:val="32"/>
          <w:szCs w:val="32"/>
          <w:highlight w:val="none"/>
        </w:rPr>
        <w:t xml:space="preserve">月</w:t>
      </w:r>
      <w:r>
        <w:rPr>
          <w:rFonts w:hint="eastAsia" w:ascii="Arial" w:hAnsi="Arial" w:cs="Arial"/>
          <w:b/>
          <w:color w:val="000000"/>
          <w:sz w:val="32"/>
          <w:szCs w:val="32"/>
          <w:highlight w:val="none"/>
          <w:lang w:val="en-US" w:eastAsia="zh-CN"/>
        </w:rPr>
        <w:t xml:space="preserve">17日</w:t>
      </w:r>
      <w:r/>
    </w:p>
    <w:p>
      <w:pPr>
        <w:pStyle w:val="635"/>
        <w:spacing w:before="120" w:beforeAutospacing="0" w:after="120" w:afterAutospacing="0" w:line="360" w:lineRule="auto"/>
        <w:rPr>
          <w:highlight w:val="none"/>
        </w:rPr>
      </w:pPr>
      <w:r>
        <w:rPr>
          <w:rFonts w:ascii="Arial" w:hAnsi="Arial" w:cs="Arial"/>
          <w:color w:val="000000"/>
          <w:highlight w:val="none"/>
        </w:rPr>
        <w:t xml:space="preserve">                        </w:t>
      </w:r>
      <w:r/>
    </w:p>
    <w:p>
      <w:pPr>
        <w:pStyle w:val="635"/>
        <w:jc w:val="center"/>
        <w:spacing w:before="120" w:beforeAutospacing="0" w:after="120" w:afterAutospacing="0" w:line="360" w:lineRule="auto"/>
        <w:rPr>
          <w:highlight w:val="none"/>
        </w:rPr>
      </w:pPr>
      <w:r>
        <w:rPr>
          <w:highlight w:val="none"/>
        </w:rPr>
        <w:t xml:space="preserve"> </w:t>
      </w:r>
      <w:r/>
    </w:p>
    <w:p>
      <w:pPr>
        <w:pStyle w:val="635"/>
        <w:jc w:val="center"/>
        <w:spacing w:beforeAutospacing="0" w:afterAutospacing="0" w:line="480" w:lineRule="auto"/>
        <w:rPr>
          <w:highlight w:val="none"/>
        </w:rPr>
      </w:pPr>
      <w:r>
        <w:rPr>
          <w:rFonts w:ascii="Times New Roman" w:hAnsi="Times New Roman"/>
          <w:color w:val="000000"/>
          <w:sz w:val="21"/>
          <w:szCs w:val="21"/>
          <w:highlight w:val="none"/>
        </w:rPr>
        <w:br w:type="page" w:clear="all"/>
      </w:r>
      <w:r>
        <w:rPr>
          <w:rFonts w:ascii="Times New Roman" w:hAnsi="Times New Roman"/>
          <w:color w:val="000000"/>
          <w:sz w:val="21"/>
          <w:szCs w:val="21"/>
          <w:highlight w:val="none"/>
        </w:rPr>
        <w:t xml:space="preserve"> </w:t>
      </w:r>
      <w:bookmarkStart w:id="0" w:name="_Toc479757206"/>
      <w:r/>
      <w:bookmarkStart w:id="1" w:name="_Toc513029200"/>
      <w:r/>
      <w:bookmarkStart w:id="2" w:name="_Toc16938516"/>
      <w:r/>
      <w:bookmarkStart w:id="3" w:name="_Toc20823272"/>
      <w:r/>
      <w:bookmarkStart w:id="4" w:name="_Toc120614210"/>
      <w:r/>
      <w:bookmarkStart w:id="5" w:name="_Toc523127445"/>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635"/>
        <w:jc w:val="both"/>
        <w:spacing w:beforeAutospacing="0" w:afterAutospacing="0" w:line="480" w:lineRule="auto"/>
        <w:rPr>
          <w:highlight w:val="none"/>
        </w:rPr>
      </w:pPr>
      <w:r>
        <w:rPr>
          <w:highlight w:val="none"/>
        </w:rPr>
        <w:t xml:space="preserve"> </w:t>
      </w:r>
      <w:r/>
    </w:p>
    <w:p>
      <w:pPr>
        <w:pStyle w:val="635"/>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招标公告</w:t>
      </w:r>
      <w:r>
        <w:rPr>
          <w:rFonts w:hint="eastAsia" w:ascii="黑体" w:hAnsi="宋体" w:eastAsia="黑体" w:cs="黑体"/>
          <w:color w:val="000000"/>
          <w:sz w:val="36"/>
          <w:szCs w:val="36"/>
          <w:highlight w:val="none"/>
        </w:rPr>
        <w:t xml:space="preserve">…………………………………… </w:t>
      </w:r>
      <w:r/>
    </w:p>
    <w:p>
      <w:pPr>
        <w:pStyle w:val="635"/>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投标人须知…………………………………  </w:t>
      </w:r>
      <w:r/>
    </w:p>
    <w:p>
      <w:pPr>
        <w:pStyle w:val="635"/>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合同</w:t>
      </w:r>
      <w:r>
        <w:rPr>
          <w:rFonts w:hint="eastAsia" w:ascii="黑体" w:hAnsi="宋体" w:eastAsia="黑体" w:cs="黑体"/>
          <w:color w:val="000000"/>
          <w:sz w:val="36"/>
          <w:szCs w:val="36"/>
          <w:highlight w:val="none"/>
          <w:lang w:eastAsia="zh-CN"/>
        </w:rPr>
        <w:t xml:space="preserve">条款</w:t>
      </w:r>
      <w:r>
        <w:rPr>
          <w:rFonts w:hint="eastAsia" w:ascii="黑体" w:hAnsi="宋体" w:eastAsia="黑体" w:cs="黑体"/>
          <w:color w:val="000000"/>
          <w:sz w:val="36"/>
          <w:szCs w:val="36"/>
          <w:highlight w:val="none"/>
        </w:rPr>
        <w:t xml:space="preserve">……………………………………</w:t>
      </w:r>
      <w:r/>
    </w:p>
    <w:p>
      <w:pPr>
        <w:pStyle w:val="635"/>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采购需求……………………………………</w:t>
      </w:r>
      <w:r/>
    </w:p>
    <w:p>
      <w:pPr>
        <w:pStyle w:val="635"/>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评标方法与评标标准………………………</w:t>
      </w:r>
      <w:r/>
    </w:p>
    <w:p>
      <w:pPr>
        <w:pStyle w:val="635"/>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投标文件格式………………………………</w:t>
      </w:r>
      <w:r/>
    </w:p>
    <w:p>
      <w:pPr>
        <w:pStyle w:val="635"/>
        <w:jc w:val="both"/>
        <w:spacing w:beforeAutospacing="0" w:afterAutospacing="0"/>
        <w:rPr>
          <w:highlight w:val="none"/>
        </w:rPr>
      </w:pPr>
      <w:r>
        <w:rPr>
          <w:highlight w:val="none"/>
        </w:rPr>
        <w:t xml:space="preserve"> </w:t>
      </w:r>
      <w:r/>
    </w:p>
    <w:p>
      <w:pPr>
        <w:pStyle w:val="635"/>
        <w:jc w:val="both"/>
        <w:spacing w:beforeAutospacing="0" w:afterAutospacing="0"/>
        <w:rPr>
          <w:highlight w:val="none"/>
        </w:rPr>
      </w:pPr>
      <w:r>
        <w:rPr>
          <w:highlight w:val="none"/>
        </w:rPr>
        <w:t xml:space="preserve"> </w:t>
      </w:r>
      <w:r/>
    </w:p>
    <w:p>
      <w:pPr>
        <w:pStyle w:val="635"/>
        <w:jc w:val="both"/>
        <w:spacing w:beforeAutospacing="0" w:afterAutospacing="0"/>
        <w:rPr>
          <w:highlight w:val="none"/>
        </w:rPr>
      </w:pPr>
      <w:r>
        <w:rPr>
          <w:highlight w:val="none"/>
        </w:rPr>
        <w:t xml:space="preserve"> </w:t>
      </w:r>
      <w:r/>
    </w:p>
    <w:p>
      <w:pPr>
        <w:pStyle w:val="635"/>
        <w:jc w:val="both"/>
        <w:spacing w:beforeAutospacing="0" w:afterAutospacing="0"/>
        <w:rPr>
          <w:highlight w:val="none"/>
        </w:rPr>
      </w:pPr>
      <w:r>
        <w:rPr>
          <w:highlight w:val="none"/>
        </w:rPr>
        <w:t xml:space="preserve"> </w:t>
      </w:r>
      <w:r/>
    </w:p>
    <w:p>
      <w:pPr>
        <w:pStyle w:val="635"/>
        <w:jc w:val="both"/>
        <w:spacing w:beforeAutospacing="0" w:afterAutospacing="0"/>
        <w:rPr>
          <w:highlight w:val="none"/>
        </w:rPr>
      </w:pPr>
      <w:r>
        <w:rPr>
          <w:highlight w:val="none"/>
        </w:rPr>
        <w:t xml:space="preserve"> </w:t>
      </w:r>
      <w:r/>
    </w:p>
    <w:p>
      <w:pPr>
        <w:pStyle w:val="635"/>
        <w:jc w:val="both"/>
        <w:spacing w:beforeAutospacing="0" w:afterAutospacing="0"/>
        <w:rPr>
          <w:highlight w:val="none"/>
        </w:rPr>
      </w:pPr>
      <w:r>
        <w:rPr>
          <w:highlight w:val="none"/>
        </w:rPr>
        <w:t xml:space="preserve"> </w:t>
      </w:r>
      <w:r/>
    </w:p>
    <w:p>
      <w:pPr>
        <w:pStyle w:val="635"/>
        <w:jc w:val="both"/>
        <w:spacing w:beforeAutospacing="0" w:afterAutospacing="0"/>
        <w:rPr>
          <w:highlight w:val="none"/>
        </w:rPr>
      </w:pPr>
      <w:r>
        <w:rPr>
          <w:highlight w:val="none"/>
        </w:rPr>
        <w:t xml:space="preserve"> </w:t>
      </w:r>
      <w:r/>
    </w:p>
    <w:p>
      <w:pPr>
        <w:pStyle w:val="635"/>
        <w:jc w:val="both"/>
        <w:spacing w:beforeAutospacing="0" w:afterAutospacing="0"/>
        <w:rPr>
          <w:highlight w:val="none"/>
        </w:rPr>
      </w:pPr>
      <w:r>
        <w:rPr>
          <w:highlight w:val="none"/>
        </w:rPr>
        <w:t xml:space="preserve"> </w:t>
      </w:r>
      <w:r/>
    </w:p>
    <w:p>
      <w:pPr>
        <w:pStyle w:val="635"/>
        <w:jc w:val="both"/>
        <w:spacing w:beforeAutospacing="0" w:afterAutospacing="0"/>
        <w:rPr>
          <w:highlight w:val="none"/>
        </w:rPr>
      </w:pPr>
      <w:r>
        <w:rPr>
          <w:highlight w:val="none"/>
        </w:rPr>
        <w:t xml:space="preserve"> </w:t>
      </w:r>
      <w:r/>
    </w:p>
    <w:p>
      <w:pPr>
        <w:pStyle w:val="635"/>
        <w:jc w:val="both"/>
        <w:spacing w:beforeAutospacing="0" w:afterAutospacing="0"/>
        <w:rPr>
          <w:highlight w:val="none"/>
        </w:rPr>
      </w:pPr>
      <w:r>
        <w:rPr>
          <w:highlight w:val="none"/>
        </w:rPr>
        <w:t xml:space="preserve"> </w:t>
      </w:r>
      <w:r/>
    </w:p>
    <w:p>
      <w:pPr>
        <w:pStyle w:val="635"/>
        <w:jc w:val="both"/>
        <w:spacing w:beforeAutospacing="0" w:afterAutospacing="0"/>
        <w:rPr>
          <w:highlight w:val="none"/>
        </w:rPr>
      </w:pPr>
      <w:r>
        <w:rPr>
          <w:highlight w:val="none"/>
        </w:rPr>
        <w:t xml:space="preserve"> </w:t>
      </w:r>
      <w:r/>
    </w:p>
    <w:p>
      <w:pPr>
        <w:pStyle w:val="635"/>
        <w:jc w:val="both"/>
        <w:spacing w:beforeAutospacing="0" w:afterAutospacing="0"/>
        <w:rPr>
          <w:highlight w:val="none"/>
        </w:rPr>
      </w:pPr>
      <w:r>
        <w:rPr>
          <w:highlight w:val="none"/>
        </w:rPr>
        <w:t xml:space="preserve"> </w:t>
      </w:r>
      <w:r/>
    </w:p>
    <w:p>
      <w:pPr>
        <w:pStyle w:val="635"/>
        <w:jc w:val="both"/>
        <w:spacing w:beforeAutospacing="0" w:afterAutospacing="0"/>
        <w:rPr>
          <w:highlight w:val="none"/>
        </w:rPr>
      </w:pPr>
      <w:r>
        <w:rPr>
          <w:highlight w:val="none"/>
        </w:rPr>
        <w:t xml:space="preserve"> </w:t>
      </w:r>
      <w:r/>
    </w:p>
    <w:p>
      <w:pPr>
        <w:pStyle w:val="635"/>
        <w:jc w:val="both"/>
        <w:spacing w:beforeAutospacing="0" w:afterAutospacing="0"/>
        <w:rPr>
          <w:highlight w:val="none"/>
        </w:rPr>
      </w:pPr>
      <w:r>
        <w:rPr>
          <w:highlight w:val="none"/>
        </w:rPr>
        <w:t xml:space="preserve"> </w:t>
      </w:r>
      <w:r/>
    </w:p>
    <w:p>
      <w:pPr>
        <w:pStyle w:val="635"/>
        <w:jc w:val="both"/>
        <w:spacing w:beforeAutospacing="0" w:afterAutospacing="0"/>
        <w:rPr>
          <w:highlight w:val="none"/>
        </w:rPr>
      </w:pPr>
      <w:r>
        <w:rPr>
          <w:highlight w:val="none"/>
        </w:rPr>
        <w:t xml:space="preserve"> </w:t>
      </w:r>
      <w:r/>
    </w:p>
    <w:p>
      <w:pPr>
        <w:pStyle w:val="635"/>
        <w:jc w:val="both"/>
        <w:spacing w:beforeAutospacing="0" w:afterAutospacing="0"/>
        <w:rPr>
          <w:highlight w:val="none"/>
        </w:rPr>
      </w:pPr>
      <w:r>
        <w:rPr>
          <w:highlight w:val="none"/>
        </w:rPr>
        <w:t xml:space="preserve"> </w:t>
      </w:r>
      <w:r/>
    </w:p>
    <w:p>
      <w:pPr>
        <w:pStyle w:val="635"/>
        <w:jc w:val="both"/>
        <w:spacing w:beforeAutospacing="0" w:afterAutospacing="0"/>
        <w:rPr>
          <w:highlight w:val="none"/>
        </w:rPr>
      </w:pPr>
      <w:r>
        <w:rPr>
          <w:highlight w:val="none"/>
        </w:rPr>
        <w:t xml:space="preserve"> </w:t>
      </w:r>
      <w:r/>
    </w:p>
    <w:p>
      <w:pPr>
        <w:pStyle w:val="635"/>
        <w:jc w:val="both"/>
        <w:spacing w:beforeAutospacing="0" w:afterAutospacing="0"/>
        <w:rPr>
          <w:highlight w:val="none"/>
        </w:rPr>
      </w:pPr>
      <w:r>
        <w:rPr>
          <w:highlight w:val="none"/>
        </w:rPr>
        <w:t xml:space="preserve"> </w:t>
      </w:r>
      <w:r/>
    </w:p>
    <w:p>
      <w:pPr>
        <w:pStyle w:val="635"/>
        <w:jc w:val="both"/>
        <w:spacing w:beforeAutospacing="0" w:afterAutospacing="0"/>
        <w:rPr>
          <w:highlight w:val="none"/>
        </w:rPr>
      </w:pPr>
      <w:r>
        <w:rPr>
          <w:highlight w:val="none"/>
        </w:rPr>
        <w:t xml:space="preserve"> </w:t>
      </w:r>
      <w:r/>
    </w:p>
    <w:p>
      <w:pPr>
        <w:pStyle w:val="635"/>
        <w:jc w:val="both"/>
        <w:spacing w:beforeAutospacing="0" w:afterAutospacing="0"/>
        <w:rPr>
          <w:highlight w:val="none"/>
        </w:rPr>
      </w:pPr>
      <w:r>
        <w:rPr>
          <w:highlight w:val="none"/>
        </w:rPr>
        <w:t xml:space="preserve"> </w:t>
      </w:r>
      <w:r/>
    </w:p>
    <w:p>
      <w:pPr>
        <w:pStyle w:val="635"/>
        <w:jc w:val="both"/>
        <w:spacing w:beforeAutospacing="0" w:afterAutospacing="0"/>
        <w:rPr>
          <w:highlight w:val="none"/>
        </w:rPr>
      </w:pPr>
      <w:r>
        <w:rPr>
          <w:highlight w:val="none"/>
        </w:rPr>
        <w:t xml:space="preserve"> </w:t>
      </w:r>
      <w:r/>
    </w:p>
    <w:p>
      <w:pPr>
        <w:pStyle w:val="635"/>
        <w:jc w:val="both"/>
        <w:spacing w:beforeAutospacing="0" w:afterAutospacing="0"/>
        <w:rPr>
          <w:highlight w:val="none"/>
        </w:rPr>
      </w:pPr>
      <w:r>
        <w:rPr>
          <w:highlight w:val="none"/>
        </w:rPr>
        <w:t xml:space="preserve"> </w:t>
      </w:r>
      <w:r/>
    </w:p>
    <w:p>
      <w:pPr>
        <w:pStyle w:val="635"/>
        <w:jc w:val="center"/>
        <w:keepLines w:val="0"/>
        <w:keepNext w:val="0"/>
        <w:pageBreakBefore w:val="0"/>
        <w:spacing w:beforeAutospacing="0" w:after="181" w:afterAutospacing="0"/>
        <w:widowControl w:val="off"/>
        <w:rPr>
          <w:rFonts w:hint="default" w:eastAsia="黑体"/>
          <w:highlight w:val="none"/>
          <w:lang w:val="en-US" w:eastAsia="zh-CN"/>
        </w:rPr>
      </w:pPr>
      <w:r/>
      <w:bookmarkStart w:id="6" w:name="_Toc28359086"/>
      <w:r>
        <w:rPr>
          <w:rFonts w:hint="eastAsia" w:ascii="黑体" w:hAnsi="宋体" w:eastAsia="黑体" w:cs="黑体"/>
          <w:color w:val="000000"/>
          <w:sz w:val="44"/>
          <w:szCs w:val="44"/>
          <w:highlight w:val="none"/>
        </w:rPr>
        <w:t xml:space="preserve">第一章 </w:t>
      </w:r>
      <w:r>
        <w:rPr>
          <w:rFonts w:hint="eastAsia" w:ascii="黑体" w:hAnsi="宋体" w:eastAsia="黑体" w:cs="黑体"/>
          <w:color w:val="000000"/>
          <w:sz w:val="44"/>
          <w:szCs w:val="44"/>
          <w:highlight w:val="none"/>
          <w:lang w:val="en-US" w:eastAsia="zh-CN"/>
        </w:rPr>
        <w:t xml:space="preserve">招标公告</w:t>
      </w:r>
      <w:r/>
    </w:p>
    <w:p>
      <w:pPr>
        <w:pStyle w:val="635"/>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p>
    <w:p>
      <w:pPr>
        <w:pStyle w:val="635"/>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u w:val="single"/>
          <w:lang w:eastAsia="zh-CN"/>
        </w:rPr>
        <w:t xml:space="preserve">江苏省东台中学音乐美术课程基地</w:t>
      </w:r>
      <w:r>
        <w:rPr>
          <w:rFonts w:hint="eastAsia" w:ascii="宋体" w:hAnsi="宋体" w:eastAsia="宋体" w:cs="宋体"/>
          <w:color w:val="000000"/>
          <w:sz w:val="24"/>
          <w:szCs w:val="24"/>
          <w:highlight w:val="none"/>
        </w:rPr>
        <w:t xml:space="preserve">招标项目的潜在投标人可在</w:t>
      </w:r>
      <w:r>
        <w:rPr>
          <w:rFonts w:hint="eastAsia" w:ascii="宋体" w:hAnsi="宋体" w:eastAsia="宋体" w:cs="宋体"/>
          <w:i w:val="0"/>
          <w:iCs w:val="0"/>
          <w:caps w:val="0"/>
          <w:color w:val="333333"/>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sz w:val="24"/>
          <w:szCs w:val="24"/>
          <w:highlight w:val="none"/>
        </w:rPr>
        <w:t xml:space="preserve">，并于</w:t>
      </w:r>
      <w:r>
        <w:rPr>
          <w:rFonts w:hint="eastAsia" w:ascii="宋体" w:hAnsi="宋体" w:eastAsia="宋体" w:cs="宋体"/>
          <w:color w:val="000000"/>
          <w:sz w:val="24"/>
          <w:szCs w:val="24"/>
          <w:highlight w:val="none"/>
          <w:u w:val="single"/>
          <w:lang w:val="en-US" w:eastAsia="zh-CN"/>
        </w:rPr>
        <w:t xml:space="preserve">2025</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u w:val="single"/>
          <w:lang w:val="en-US" w:eastAsia="zh-CN"/>
        </w:rPr>
        <w:t xml:space="preserve">8</w:t>
      </w:r>
      <w:r>
        <w:rPr>
          <w:rFonts w:hint="eastAsia" w:ascii="宋体" w:hAnsi="宋体" w:eastAsia="宋体" w:cs="宋体"/>
          <w:color w:val="000000"/>
          <w:sz w:val="24"/>
          <w:szCs w:val="24"/>
          <w:highlight w:val="none"/>
          <w:u w:val="single"/>
        </w:rPr>
        <w:t xml:space="preserve">月</w:t>
      </w:r>
      <w:r>
        <w:rPr>
          <w:rFonts w:hint="eastAsia" w:ascii="宋体" w:hAnsi="宋体" w:eastAsia="宋体" w:cs="宋体"/>
          <w:color w:val="000000"/>
          <w:sz w:val="24"/>
          <w:szCs w:val="24"/>
          <w:highlight w:val="none"/>
          <w:u w:val="single"/>
          <w:lang w:val="en-US" w:eastAsia="zh-CN"/>
        </w:rPr>
        <w:t xml:space="preserve">8</w:t>
      </w:r>
      <w:r>
        <w:rPr>
          <w:rFonts w:hint="eastAsia" w:ascii="宋体" w:hAnsi="宋体" w:eastAsia="宋体" w:cs="宋体"/>
          <w:color w:val="000000"/>
          <w:sz w:val="24"/>
          <w:szCs w:val="24"/>
          <w:highlight w:val="none"/>
          <w:u w:val="single"/>
        </w:rPr>
        <w:t xml:space="preserve">日</w:t>
      </w:r>
      <w:r>
        <w:rPr>
          <w:rFonts w:hint="eastAsia" w:ascii="宋体" w:hAnsi="宋体" w:eastAsia="宋体" w:cs="宋体"/>
          <w:color w:val="000000"/>
          <w:sz w:val="24"/>
          <w:szCs w:val="24"/>
          <w:highlight w:val="none"/>
          <w:u w:val="single"/>
          <w:lang w:val="en-US" w:eastAsia="zh-CN"/>
        </w:rPr>
        <w:t xml:space="preserve">14</w:t>
      </w:r>
      <w:r>
        <w:rPr>
          <w:rFonts w:hint="eastAsia" w:ascii="宋体" w:hAnsi="宋体" w:eastAsia="宋体" w:cs="宋体"/>
          <w:color w:val="000000"/>
          <w:sz w:val="24"/>
          <w:szCs w:val="24"/>
          <w:highlight w:val="none"/>
          <w:u w:val="single"/>
        </w:rPr>
        <w:t xml:space="preserve">点</w:t>
      </w:r>
      <w:r>
        <w:rPr>
          <w:rFonts w:hint="eastAsia" w:ascii="宋体" w:hAnsi="宋体" w:eastAsia="宋体" w:cs="宋体"/>
          <w:color w:val="000000"/>
          <w:sz w:val="24"/>
          <w:szCs w:val="24"/>
          <w:highlight w:val="none"/>
          <w:u w:val="single"/>
          <w:lang w:val="en-US" w:eastAsia="zh-CN"/>
        </w:rPr>
        <w:t xml:space="preserve">30</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color w:val="000000"/>
          <w:sz w:val="24"/>
          <w:szCs w:val="24"/>
          <w:highlight w:val="none"/>
        </w:rPr>
        <w:t xml:space="preserve">北京时间）前递交投标文件。</w:t>
      </w:r>
      <w:r/>
    </w:p>
    <w:p>
      <w:pPr>
        <w:pStyle w:val="635"/>
        <w:ind w:firstLine="482"/>
        <w:jc w:val="both"/>
        <w:keepLines/>
        <w:keepNext/>
        <w:pageBreakBefore w:val="0"/>
        <w:spacing w:beforeAutospacing="0" w:afterAutospacing="0" w:line="336" w:lineRule="auto"/>
        <w:widowControl w:val="off"/>
        <w:rPr>
          <w:rFonts w:hint="eastAsia" w:ascii="宋体" w:hAnsi="宋体" w:eastAsia="宋体" w:cs="宋体"/>
          <w:sz w:val="24"/>
          <w:szCs w:val="24"/>
          <w:highlight w:val="none"/>
        </w:rPr>
      </w:pPr>
      <w:r/>
      <w:bookmarkStart w:id="7" w:name="_Toc38985263"/>
      <w:r/>
      <w:bookmarkStart w:id="8" w:name="_Toc35393790"/>
      <w:r/>
      <w:bookmarkStart w:id="9" w:name="_Hlk24379207"/>
      <w:r/>
      <w:bookmarkStart w:id="10" w:name="_Toc35393621"/>
      <w:r/>
      <w:bookmarkStart w:id="11" w:name="_Toc28359002"/>
      <w:r/>
      <w:bookmarkStart w:id="12" w:name="_Toc28359079"/>
      <w:r>
        <w:rPr>
          <w:rFonts w:hint="eastAsia" w:ascii="宋体" w:hAnsi="宋体" w:eastAsia="宋体" w:cs="宋体"/>
          <w:b/>
          <w:color w:val="000000"/>
          <w:sz w:val="24"/>
          <w:szCs w:val="24"/>
          <w:highlight w:val="none"/>
        </w:rPr>
        <w:t xml:space="preserve">一、项目基本情况</w:t>
      </w:r>
      <w:bookmarkEnd w:id="7"/>
      <w:r/>
      <w:bookmarkEnd w:id="8"/>
      <w:r/>
      <w:bookmarkEnd w:id="9"/>
      <w:r/>
      <w:bookmarkEnd w:id="10"/>
      <w:r/>
      <w:bookmarkEnd w:id="11"/>
      <w:r/>
      <w:bookmarkEnd w:id="12"/>
      <w:r/>
      <w:r/>
    </w:p>
    <w:p>
      <w:pPr>
        <w:pStyle w:val="635"/>
        <w:ind w:firstLine="480"/>
        <w:jc w:val="both"/>
        <w:pageBreakBefore w:val="0"/>
        <w:spacing w:beforeAutospacing="0" w:afterAutospacing="0" w:line="336" w:lineRule="auto"/>
        <w:rPr>
          <w:rFonts w:hint="eastAsia" w:ascii="宋体" w:hAnsi="宋体" w:cs="宋体"/>
          <w:i w:val="0"/>
          <w:iCs w:val="0"/>
          <w:caps w:val="0"/>
          <w:color w:val="333333"/>
          <w:spacing w:val="0"/>
          <w:sz w:val="24"/>
          <w:szCs w:val="24"/>
          <w:highlight w:val="none"/>
          <w:shd w:val="clear" w:color="auto" w:fill="ffffff"/>
        </w:rPr>
      </w:pPr>
      <w:r>
        <w:rPr>
          <w:rFonts w:hint="eastAsia" w:ascii="宋体" w:hAnsi="宋体" w:eastAsia="宋体" w:cs="宋体"/>
          <w:i w:val="0"/>
          <w:iCs w:val="0"/>
          <w:caps w:val="0"/>
          <w:color w:val="333333"/>
          <w:spacing w:val="0"/>
          <w:sz w:val="24"/>
          <w:szCs w:val="24"/>
          <w:highlight w:val="none"/>
          <w:shd w:val="clear" w:color="auto" w:fill="ffffff"/>
        </w:rPr>
        <w:t xml:space="preserve">1.项目编号：</w:t>
      </w:r>
      <w:r>
        <w:rPr>
          <w:rFonts w:ascii="宋体" w:hAnsi="宋体" w:eastAsia="Arial" w:cs="宋体"/>
          <w:color w:val="000000"/>
          <w:sz w:val="21"/>
          <w:highlight w:val="white"/>
        </w:rPr>
        <w:t xml:space="preserve">JSZC-320981-YCCZ-G2025-0012</w:t>
      </w:r>
      <w:r>
        <w:rPr>
          <w:rFonts w:hint="eastAsia" w:ascii="宋体" w:hAnsi="宋体" w:eastAsia="宋体" w:cs="宋体"/>
          <w:i w:val="0"/>
          <w:iCs w:val="0"/>
          <w:caps w:val="0"/>
          <w:color w:val="333333"/>
          <w:spacing w:val="0"/>
          <w:sz w:val="24"/>
          <w:szCs w:val="24"/>
          <w:highlight w:val="none"/>
          <w:shd w:val="clear" w:color="auto" w:fill="ffffff"/>
        </w:rPr>
      </w:r>
      <w:r>
        <w:rPr>
          <w:rFonts w:ascii="宋体" w:hAnsi="宋体" w:cs="宋体"/>
        </w:rPr>
      </w:r>
    </w:p>
    <w:p>
      <w:pPr>
        <w:pStyle w:val="635"/>
        <w:ind w:firstLine="480"/>
        <w:jc w:val="both"/>
        <w:pageBreakBefore w:val="0"/>
        <w:spacing w:beforeAutospacing="0" w:afterAutospacing="0" w:line="336" w:lineRule="auto"/>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rPr>
        <w:t xml:space="preserve">2.项</w:t>
      </w:r>
      <w:r>
        <w:rPr>
          <w:rFonts w:hint="eastAsia" w:ascii="宋体" w:hAnsi="宋体" w:eastAsia="宋体" w:cs="宋体"/>
          <w:color w:val="000000"/>
          <w:sz w:val="24"/>
          <w:szCs w:val="24"/>
          <w:highlight w:val="none"/>
          <w:shd w:val="clear" w:color="auto" w:fill="auto"/>
        </w:rPr>
        <w:t xml:space="preserve">目名称：</w:t>
      </w:r>
      <w:r>
        <w:rPr>
          <w:rFonts w:hint="eastAsia" w:ascii="宋体" w:hAnsi="宋体" w:eastAsia="宋体" w:cs="宋体"/>
          <w:color w:val="000000"/>
          <w:sz w:val="24"/>
          <w:szCs w:val="24"/>
          <w:highlight w:val="none"/>
          <w:shd w:val="clear" w:color="auto" w:fill="auto"/>
          <w:lang w:eastAsia="zh-CN"/>
        </w:rPr>
        <w:t xml:space="preserve">江苏省东台中学音乐美术课程基地</w:t>
      </w:r>
      <w:r/>
    </w:p>
    <w:p>
      <w:pPr>
        <w:pStyle w:val="635"/>
        <w:ind w:firstLine="480"/>
        <w:jc w:val="both"/>
        <w:pageBreakBefore w:val="0"/>
        <w:spacing w:beforeAutospacing="0" w:afterAutospacing="0" w:line="336" w:lineRule="auto"/>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333333"/>
          <w:spacing w:val="0"/>
          <w:sz w:val="24"/>
          <w:szCs w:val="24"/>
          <w:highlight w:val="none"/>
          <w:shd w:val="clear" w:color="auto" w:fill="ffffff"/>
        </w:rPr>
        <w:t xml:space="preserve">采购方式：</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公开招标</w:t>
      </w:r>
      <w:r/>
    </w:p>
    <w:p>
      <w:pPr>
        <w:pStyle w:val="635"/>
        <w:ind w:firstLine="480"/>
        <w:jc w:val="both"/>
        <w:pageBreakBefore w:val="0"/>
        <w:spacing w:beforeAutospacing="0" w:afterAutospacing="0" w:line="336" w:lineRule="auto"/>
        <w:rPr>
          <w:rFonts w:hint="default"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180.00万元</w:t>
      </w:r>
      <w:r/>
    </w:p>
    <w:p>
      <w:pPr>
        <w:pStyle w:val="635"/>
        <w:ind w:firstLine="480"/>
        <w:jc w:val="both"/>
        <w:pageBreakBefore w:val="0"/>
        <w:spacing w:beforeAutospacing="0" w:afterAutospacing="0" w:line="336" w:lineRule="auto"/>
        <w:rPr>
          <w:rFonts w:hint="default" w:ascii="宋体" w:hAnsi="宋体" w:eastAsia="宋体" w:cs="宋体"/>
          <w:color w:val="auto"/>
          <w:sz w:val="24"/>
          <w:szCs w:val="24"/>
          <w:highlight w:val="none"/>
          <w:shd w:val="clear" w:color="ffffff" w:fill="d9d9d9"/>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最高限价：</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172.80万元</w:t>
      </w:r>
      <w:r/>
    </w:p>
    <w:p>
      <w:pPr>
        <w:pStyle w:val="635"/>
        <w:ind w:firstLine="480"/>
        <w:jc w:val="both"/>
        <w:pageBreakBefore w:val="0"/>
        <w:spacing w:beforeAutospacing="0" w:afterAutospacing="0" w:line="336" w:lineRule="auto"/>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shd w:val="clear" w:color="auto" w:fill="auto"/>
          <w:lang w:val="en-US" w:eastAsia="zh-CN"/>
        </w:rPr>
        <w:t xml:space="preserve">6</w:t>
      </w:r>
      <w:r>
        <w:rPr>
          <w:rFonts w:hint="eastAsia" w:ascii="宋体" w:hAnsi="宋体" w:eastAsia="宋体" w:cs="宋体"/>
          <w:color w:val="000000"/>
          <w:sz w:val="24"/>
          <w:szCs w:val="24"/>
          <w:highlight w:val="none"/>
          <w:shd w:val="clear" w:color="auto" w:fill="auto"/>
        </w:rPr>
        <w:t xml:space="preserve">.采购需求（简介）：</w:t>
      </w:r>
      <w:r>
        <w:rPr>
          <w:rFonts w:hint="eastAsia" w:ascii="宋体" w:hAnsi="宋体" w:eastAsia="宋体" w:cs="宋体"/>
          <w:color w:val="000000"/>
          <w:sz w:val="24"/>
          <w:szCs w:val="24"/>
          <w:highlight w:val="none"/>
          <w:shd w:val="clear" w:color="auto" w:fill="auto"/>
          <w:lang w:eastAsia="zh-CN"/>
        </w:rPr>
        <w:t xml:space="preserve">江苏省东台中学音乐美术课程基地，</w:t>
      </w:r>
      <w:r>
        <w:rPr>
          <w:rFonts w:hint="eastAsia" w:ascii="宋体" w:hAnsi="宋体" w:eastAsia="宋体" w:cs="宋体"/>
          <w:color w:val="000000"/>
          <w:sz w:val="24"/>
          <w:szCs w:val="24"/>
          <w:highlight w:val="none"/>
          <w:shd w:val="clear" w:color="auto" w:fill="auto"/>
        </w:rPr>
        <w:t xml:space="preserve">详</w:t>
      </w:r>
      <w:r>
        <w:rPr>
          <w:rFonts w:hint="eastAsia" w:ascii="宋体" w:hAnsi="宋体" w:eastAsia="宋体" w:cs="宋体"/>
          <w:color w:val="000000"/>
          <w:sz w:val="24"/>
          <w:szCs w:val="24"/>
          <w:highlight w:val="none"/>
        </w:rPr>
        <w:t xml:space="preserve">细内容见本</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文件第四章</w:t>
      </w:r>
      <w:r>
        <w:rPr>
          <w:rFonts w:hint="eastAsia" w:ascii="宋体" w:hAnsi="宋体" w:eastAsia="宋体" w:cs="宋体"/>
          <w:color w:val="000000"/>
          <w:sz w:val="24"/>
          <w:szCs w:val="24"/>
          <w:highlight w:val="none"/>
          <w:lang w:eastAsia="zh-CN"/>
        </w:rPr>
        <w:t xml:space="preserve">。</w:t>
      </w:r>
      <w:r/>
    </w:p>
    <w:p>
      <w:pPr>
        <w:pStyle w:val="635"/>
        <w:ind w:firstLine="480"/>
        <w:jc w:val="both"/>
        <w:pageBreakBefore w:val="0"/>
        <w:spacing w:beforeAutospacing="0" w:afterAutospacing="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auto"/>
          <w:sz w:val="24"/>
          <w:szCs w:val="24"/>
          <w:highlight w:val="none"/>
          <w:lang w:val="en-US" w:eastAsia="zh-CN"/>
        </w:rPr>
        <w:t xml:space="preserve">合同签订后30日历天内完成</w:t>
      </w:r>
      <w:r>
        <w:rPr>
          <w:rFonts w:hint="eastAsia" w:ascii="宋体" w:hAnsi="宋体" w:eastAsia="宋体" w:cs="宋体"/>
          <w:color w:val="000000"/>
          <w:sz w:val="24"/>
          <w:szCs w:val="24"/>
          <w:highlight w:val="none"/>
          <w:lang w:val="en-US" w:eastAsia="zh-CN"/>
        </w:rPr>
        <w:t xml:space="preserve">全部设备的供货到场，安装、调试、验收合格后交付采购人使用。</w:t>
      </w:r>
      <w:r/>
    </w:p>
    <w:p>
      <w:pPr>
        <w:pStyle w:val="635"/>
        <w:ind w:firstLine="480"/>
        <w:jc w:val="both"/>
        <w:pageBreakBefore w:val="0"/>
        <w:spacing w:beforeAutospacing="0" w:afterAutospacing="0" w:line="336" w:lineRule="auto"/>
        <w:rPr>
          <w:rFonts w:hint="eastAsia" w:ascii="宋体" w:hAnsi="宋体" w:eastAsia="宋体" w:cs="宋体"/>
          <w:color w:val="000000"/>
          <w:sz w:val="24"/>
          <w:szCs w:val="24"/>
          <w:highlight w:val="none"/>
          <w:shd w:val="clear" w:color="auto" w:fill="ffff00"/>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8.</w:t>
      </w:r>
      <w:r>
        <w:rPr>
          <w:rFonts w:hint="eastAsia" w:ascii="宋体" w:hAnsi="宋体" w:eastAsia="宋体" w:cs="宋体"/>
          <w:i w:val="0"/>
          <w:iCs w:val="0"/>
          <w:caps w:val="0"/>
          <w:color w:val="333333"/>
          <w:spacing w:val="0"/>
          <w:sz w:val="24"/>
          <w:szCs w:val="24"/>
          <w:highlight w:val="none"/>
          <w:shd w:val="clear" w:color="auto" w:fill="ffffff"/>
        </w:rPr>
        <w:t xml:space="preserve">本项目</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不</w:t>
      </w:r>
      <w:r>
        <w:rPr>
          <w:rFonts w:hint="eastAsia" w:ascii="宋体" w:hAnsi="宋体" w:eastAsia="宋体" w:cs="宋体"/>
          <w:i w:val="0"/>
          <w:iCs w:val="0"/>
          <w:caps w:val="0"/>
          <w:color w:val="333333"/>
          <w:spacing w:val="0"/>
          <w:sz w:val="24"/>
          <w:szCs w:val="24"/>
          <w:highlight w:val="none"/>
          <w:shd w:val="clear" w:color="auto" w:fill="ffffff"/>
        </w:rPr>
        <w:t xml:space="preserve">接受联合体</w:t>
      </w:r>
      <w:r>
        <w:rPr>
          <w:rFonts w:hint="eastAsia" w:ascii="宋体" w:hAnsi="宋体" w:eastAsia="宋体" w:cs="宋体"/>
          <w:color w:val="000000"/>
          <w:sz w:val="24"/>
          <w:szCs w:val="24"/>
          <w:highlight w:val="none"/>
        </w:rPr>
        <w:t xml:space="preserve">参与</w:t>
      </w:r>
      <w:r>
        <w:rPr>
          <w:rFonts w:hint="eastAsia" w:ascii="宋体" w:hAnsi="宋体" w:eastAsia="宋体" w:cs="宋体"/>
          <w:color w:val="000000"/>
          <w:sz w:val="24"/>
          <w:szCs w:val="24"/>
          <w:highlight w:val="none"/>
          <w:lang w:val="en-US" w:eastAsia="zh-CN"/>
        </w:rPr>
        <w:t xml:space="preserve">招标。</w:t>
      </w:r>
      <w:r/>
    </w:p>
    <w:p>
      <w:pPr>
        <w:pStyle w:val="635"/>
        <w:ind w:firstLine="482"/>
        <w:jc w:val="both"/>
        <w:keepLines/>
        <w:keepNext/>
        <w:pageBreakBefore w:val="0"/>
        <w:spacing w:beforeAutospacing="0" w:afterAutospacing="0" w:line="336" w:lineRule="auto"/>
        <w:rPr>
          <w:rFonts w:hint="eastAsia" w:ascii="宋体" w:hAnsi="宋体" w:eastAsia="宋体" w:cs="宋体"/>
          <w:sz w:val="24"/>
          <w:szCs w:val="24"/>
          <w:highlight w:val="none"/>
        </w:rPr>
      </w:pPr>
      <w:r/>
      <w:bookmarkStart w:id="13" w:name="_Toc28359003"/>
      <w:r/>
      <w:bookmarkStart w:id="14" w:name="_Toc28359080"/>
      <w:r/>
      <w:bookmarkStart w:id="15" w:name="_Toc38985264"/>
      <w:r/>
      <w:bookmarkStart w:id="16" w:name="_Toc35393791"/>
      <w:r/>
      <w:bookmarkStart w:id="17" w:name="_Toc35393622"/>
      <w:r>
        <w:rPr>
          <w:rFonts w:hint="eastAsia" w:ascii="宋体" w:hAnsi="宋体" w:eastAsia="宋体" w:cs="宋体"/>
          <w:b/>
          <w:color w:val="000000"/>
          <w:sz w:val="24"/>
          <w:szCs w:val="24"/>
          <w:highlight w:val="none"/>
        </w:rPr>
        <w:t xml:space="preserve">二、申请人的资格要求：</w:t>
      </w:r>
      <w:bookmarkEnd w:id="13"/>
      <w:r/>
      <w:bookmarkEnd w:id="14"/>
      <w:r/>
      <w:bookmarkEnd w:id="15"/>
      <w:r/>
      <w:bookmarkEnd w:id="16"/>
      <w:r/>
      <w:bookmarkEnd w:id="17"/>
      <w:r/>
      <w:r/>
    </w:p>
    <w:p>
      <w:pPr>
        <w:pStyle w:val="635"/>
        <w:ind w:firstLine="480"/>
        <w:jc w:val="both"/>
        <w:pageBreakBefore w:val="0"/>
        <w:spacing w:beforeAutospacing="0" w:afterAutospacing="0" w:line="336"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1.满足《中华人民共和国政府采购法》第二十二条规定，并提供下列材料：</w:t>
      </w:r>
      <w:r/>
    </w:p>
    <w:p>
      <w:pPr>
        <w:pStyle w:val="635"/>
        <w:ind w:firstLine="480"/>
        <w:jc w:val="both"/>
        <w:pageBreakBefore w:val="0"/>
        <w:spacing w:beforeAutospacing="0" w:afterAutospacing="0" w:line="336"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法人或者其他组织的营业执照等证明文件，自然人的身份证明；</w:t>
      </w:r>
      <w:r/>
    </w:p>
    <w:p>
      <w:pPr>
        <w:pStyle w:val="635"/>
        <w:ind w:firstLine="480"/>
        <w:jc w:val="both"/>
        <w:pageBreakBefore w:val="0"/>
        <w:spacing w:beforeAutospacing="0" w:afterAutospacing="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1.2上一年度的财务状况报</w:t>
      </w:r>
      <w:r>
        <w:rPr>
          <w:rFonts w:hint="eastAsia" w:ascii="宋体" w:hAnsi="宋体" w:eastAsia="宋体" w:cs="宋体"/>
          <w:color w:val="000000"/>
          <w:sz w:val="24"/>
          <w:szCs w:val="24"/>
          <w:highlight w:val="none"/>
          <w:lang w:val="en-US" w:eastAsia="zh-CN"/>
        </w:rPr>
        <w:t xml:space="preserve">告</w:t>
      </w:r>
      <w:r>
        <w:rPr>
          <w:rFonts w:hint="eastAsia" w:ascii="宋体" w:hAnsi="宋体" w:eastAsia="宋体" w:cs="宋体"/>
          <w:color w:val="000000"/>
          <w:sz w:val="24"/>
          <w:szCs w:val="24"/>
          <w:highlight w:val="none"/>
        </w:rPr>
        <w:t xml:space="preserve">（成立不满一年无需提供）；</w:t>
      </w:r>
      <w:r/>
    </w:p>
    <w:p>
      <w:pPr>
        <w:pStyle w:val="635"/>
        <w:ind w:firstLine="480"/>
        <w:jc w:val="both"/>
        <w:pageBreakBefore w:val="0"/>
        <w:spacing w:beforeAutospacing="0" w:afterAutospacing="0" w:line="336"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具备履行合同所必需的设备和专业技术能力的书面声明；</w:t>
      </w:r>
      <w:r/>
    </w:p>
    <w:p>
      <w:pPr>
        <w:pStyle w:val="635"/>
        <w:ind w:firstLine="480"/>
        <w:jc w:val="both"/>
        <w:pageBreakBefore w:val="0"/>
        <w:spacing w:beforeAutospacing="0" w:afterAutospacing="0" w:line="336"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35"/>
        <w:ind w:firstLine="480"/>
        <w:jc w:val="both"/>
        <w:pageBreakBefore w:val="0"/>
        <w:spacing w:beforeAutospacing="0" w:afterAutospacing="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.5参加政府采购活动前3年内在经营活动中没有重大违法记录的书面声明。</w:t>
      </w:r>
      <w:r/>
    </w:p>
    <w:p>
      <w:pPr>
        <w:pStyle w:val="635"/>
        <w:ind w:firstLine="480"/>
        <w:jc w:val="both"/>
        <w:pageBreakBefore w:val="0"/>
        <w:spacing w:beforeAutospacing="0" w:afterAutospacing="0" w:line="336"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1.6法律、行政法规规定的其他条件。</w:t>
      </w:r>
      <w:r/>
    </w:p>
    <w:p>
      <w:pPr>
        <w:pStyle w:val="635"/>
        <w:ind w:firstLine="480"/>
        <w:jc w:val="both"/>
        <w:pageBreakBefore w:val="0"/>
        <w:spacing w:beforeAutospacing="0" w:afterAutospacing="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35"/>
        <w:ind w:firstLine="480"/>
        <w:jc w:val="both"/>
        <w:pageBreakBefore w:val="0"/>
        <w:spacing w:beforeAutospacing="0" w:afterAutospacing="0" w:line="336"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单位负责人为同一人或者存在直接控股、管理关系的不同供应</w:t>
      </w:r>
      <w:r>
        <w:rPr>
          <w:rFonts w:hint="eastAsia" w:ascii="宋体" w:hAnsi="宋体" w:eastAsia="宋体" w:cs="宋体"/>
          <w:color w:val="000000"/>
          <w:sz w:val="24"/>
          <w:szCs w:val="24"/>
          <w:highlight w:val="none"/>
          <w:shd w:val="clear" w:color="auto" w:fill="auto"/>
        </w:rPr>
        <w:t xml:space="preserve">商，不得参加同一合同项下的政府采购活动。</w:t>
      </w:r>
      <w:r/>
    </w:p>
    <w:p>
      <w:pPr>
        <w:pStyle w:val="635"/>
        <w:ind w:firstLine="480"/>
        <w:jc w:val="both"/>
        <w:pageBreakBefore w:val="0"/>
        <w:spacing w:beforeAutospacing="0" w:afterAutospacing="0" w:line="336" w:lineRule="auto"/>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w:t>
      </w:r>
      <w:r>
        <w:rPr>
          <w:rFonts w:hint="eastAsia" w:ascii="宋体" w:hAnsi="宋体" w:eastAsia="宋体" w:cs="宋体"/>
          <w:color w:val="00000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rPr>
        <w:t xml:space="preserve">落实政府采购政策需满足的资格要求：无。</w:t>
      </w:r>
      <w:r/>
    </w:p>
    <w:p>
      <w:pPr>
        <w:pStyle w:val="635"/>
        <w:ind w:left="0" w:right="0" w:firstLine="480"/>
        <w:jc w:val="both"/>
        <w:keepLines w:val="0"/>
        <w:keepNext w:val="0"/>
        <w:pageBreakBefore w:val="0"/>
        <w:spacing w:beforeAutospacing="0" w:afterAutospacing="0" w:line="336" w:lineRule="auto"/>
        <w:shd w:val="clear" w:color="auto" w:fill="ffffff"/>
        <w:widowControl/>
        <w:rPr>
          <w:rFonts w:hint="default" w:ascii="宋体" w:hAnsi="宋体" w:eastAsia="宋体" w:cs="宋体"/>
          <w:i w:val="0"/>
          <w:iCs w:val="0"/>
          <w:caps w:val="0"/>
          <w:color w:val="333333"/>
          <w:spacing w:val="0"/>
          <w:sz w:val="24"/>
          <w:szCs w:val="24"/>
          <w:highlight w:val="none"/>
          <w:shd w:val="clear" w:color="auto" w:fill="auto"/>
          <w:lang w:val="en-US"/>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本项目的特定资格要求</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val="en-US" w:eastAsia="zh-CN"/>
        </w:rPr>
        <w:t xml:space="preserve">无。</w:t>
      </w:r>
      <w:r/>
    </w:p>
    <w:p>
      <w:pPr>
        <w:pStyle w:val="635"/>
        <w:ind w:firstLine="482"/>
        <w:jc w:val="both"/>
        <w:keepLines/>
        <w:keepNext/>
        <w:pageBreakBefore w:val="0"/>
        <w:spacing w:beforeAutospacing="0" w:afterAutospacing="0" w:line="336" w:lineRule="auto"/>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三、获取招标文件</w:t>
      </w:r>
      <w:r/>
    </w:p>
    <w:p>
      <w:pPr>
        <w:pStyle w:val="63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color w:val="000000"/>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bookmarkStart w:id="18" w:name="_Toc28359082"/>
      <w:r/>
      <w:bookmarkStart w:id="19" w:name="_Toc35393624"/>
      <w:r/>
      <w:bookmarkStart w:id="20" w:name="_Toc38985266"/>
      <w:r/>
      <w:bookmarkStart w:id="21" w:name="_Toc28359005"/>
      <w:r/>
      <w:bookmarkStart w:id="22" w:name="_Toc35393793"/>
      <w:r>
        <w:rPr>
          <w:rFonts w:hint="eastAsia" w:ascii="宋体" w:hAnsi="宋体" w:eastAsia="宋体" w:cs="宋体"/>
          <w:color w:val="000000"/>
          <w:sz w:val="24"/>
          <w:szCs w:val="24"/>
          <w:highlight w:val="none"/>
          <w:shd w:val="clear" w:color="auto" w:fill="auto"/>
        </w:rPr>
        <w:t xml:space="preserve">1.时间：</w:t>
      </w:r>
      <w:bookmarkEnd w:id="18"/>
      <w:r/>
      <w:bookmarkEnd w:id="19"/>
      <w:r/>
      <w:bookmarkEnd w:id="20"/>
      <w:r/>
      <w:bookmarkEnd w:id="21"/>
      <w:r/>
      <w:bookmarkEnd w:id="22"/>
      <w:r>
        <w:rPr>
          <w:rFonts w:hint="eastAsia" w:ascii="宋体" w:hAnsi="宋体" w:eastAsia="宋体" w:cs="宋体"/>
          <w:color w:val="000000"/>
          <w:sz w:val="24"/>
          <w:szCs w:val="24"/>
          <w:highlight w:val="none"/>
          <w:shd w:val="clear" w:color="auto" w:fill="auto"/>
        </w:rPr>
        <w:t xml:space="preserve">自招标文件公告发布之日起5个工作日 。</w:t>
      </w:r>
      <w:r/>
    </w:p>
    <w:p>
      <w:pPr>
        <w:ind w:firstLine="480"/>
        <w:jc w:val="left"/>
        <w:keepLines w:val="0"/>
        <w:keepNext w:val="0"/>
        <w:pageBreakBefore w:val="0"/>
        <w:spacing w:line="336" w:lineRule="auto"/>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2.地点：“苏采云”系统内免费下载（投标人必须在苏采云系统中获取采购文件，方能参与政府采购项目）；</w:t>
      </w:r>
      <w:r/>
    </w:p>
    <w:p>
      <w:pPr>
        <w:pStyle w:val="63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color w:val="00000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3.方式：本项目采用网上注册登记方式。 </w:t>
      </w:r>
      <w:r/>
    </w:p>
    <w:p>
      <w:pPr>
        <w:ind w:firstLine="480"/>
        <w:jc w:val="left"/>
        <w:pageBreakBefore w:val="0"/>
        <w:spacing w:line="336" w:lineRule="auto"/>
        <w:widowControl/>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4.售价：0元</w:t>
      </w:r>
      <w:r/>
    </w:p>
    <w:p>
      <w:pPr>
        <w:pStyle w:val="635"/>
        <w:ind w:firstLine="482"/>
        <w:jc w:val="both"/>
        <w:keepLines/>
        <w:keepNext/>
        <w:pageBreakBefore w:val="0"/>
        <w:spacing w:beforeAutospacing="0" w:afterAutospacing="0" w:line="336" w:lineRule="auto"/>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四、提交投标文件截止时间、开标时间和地点</w:t>
      </w:r>
      <w:r/>
    </w:p>
    <w:p>
      <w:pPr>
        <w:pStyle w:val="63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rPr>
        <w:t xml:space="preserve">1.时间：</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2025</w:t>
      </w:r>
      <w:r>
        <w:rPr>
          <w:rFonts w:hint="eastAsia" w:ascii="宋体" w:hAnsi="宋体" w:eastAsia="宋体" w:cs="宋体"/>
          <w:i w:val="0"/>
          <w:iCs w:val="0"/>
          <w:caps w:val="0"/>
          <w:color w:val="333333"/>
          <w:spacing w:val="0"/>
          <w:sz w:val="24"/>
          <w:szCs w:val="24"/>
          <w:highlight w:val="none"/>
          <w:u w:val="single"/>
          <w:shd w:val="clear" w:color="auto" w:fill="auto"/>
        </w:rPr>
        <w:t xml:space="preserve">年</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8</w:t>
      </w:r>
      <w:r>
        <w:rPr>
          <w:rFonts w:hint="eastAsia" w:ascii="宋体" w:hAnsi="宋体" w:eastAsia="宋体" w:cs="宋体"/>
          <w:i w:val="0"/>
          <w:iCs w:val="0"/>
          <w:caps w:val="0"/>
          <w:color w:val="333333"/>
          <w:spacing w:val="0"/>
          <w:sz w:val="24"/>
          <w:szCs w:val="24"/>
          <w:highlight w:val="none"/>
          <w:u w:val="single"/>
          <w:shd w:val="clear" w:color="auto" w:fill="auto"/>
        </w:rPr>
        <w:t xml:space="preserve">月</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8</w:t>
      </w:r>
      <w:r>
        <w:rPr>
          <w:rFonts w:hint="eastAsia" w:ascii="宋体" w:hAnsi="宋体" w:eastAsia="宋体" w:cs="宋体"/>
          <w:i w:val="0"/>
          <w:iCs w:val="0"/>
          <w:caps w:val="0"/>
          <w:color w:val="333333"/>
          <w:spacing w:val="0"/>
          <w:sz w:val="24"/>
          <w:szCs w:val="24"/>
          <w:highlight w:val="none"/>
          <w:u w:val="single"/>
          <w:shd w:val="clear" w:color="auto" w:fill="auto"/>
        </w:rPr>
        <w:t xml:space="preserve">日</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14时30分</w:t>
      </w:r>
      <w:r>
        <w:rPr>
          <w:rFonts w:hint="eastAsia" w:ascii="宋体" w:hAnsi="宋体" w:eastAsia="宋体" w:cs="宋体"/>
          <w:color w:val="000000"/>
          <w:sz w:val="24"/>
          <w:szCs w:val="24"/>
          <w:highlight w:val="none"/>
          <w:shd w:val="clear" w:color="auto" w:fill="auto"/>
        </w:rPr>
        <w:t xml:space="preserve">（北京时间）</w:t>
      </w:r>
      <w:r/>
    </w:p>
    <w:p>
      <w:pPr>
        <w:pStyle w:val="635"/>
        <w:ind w:firstLine="480"/>
        <w:jc w:val="both"/>
        <w:pageBreakBefore w:val="0"/>
        <w:spacing w:beforeAutospacing="0" w:afterAutospacing="0" w:line="336" w:lineRule="auto"/>
        <w:rPr>
          <w:rFonts w:hint="eastAsia" w:ascii="宋体" w:hAnsi="宋体" w:eastAsia="宋体" w:cs="宋体"/>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 xml:space="preserve">2.地点：苏采云“不见面”开标大厅 </w:t>
      </w:r>
      <w:r>
        <w:rPr>
          <w:rFonts w:hint="eastAsia" w:ascii="宋体" w:hAnsi="宋体" w:eastAsia="宋体" w:cs="宋体"/>
          <w:color w:val="000000"/>
          <w:sz w:val="24"/>
          <w:szCs w:val="24"/>
          <w:highlight w:val="none"/>
          <w:shd w:val="clear" w:color="auto" w:fill="auto"/>
          <w:lang w:eastAsia="zh-CN"/>
        </w:rPr>
        <w:t xml:space="preserve">。</w:t>
      </w:r>
      <w:bookmarkStart w:id="196" w:name="_GoBack"/>
      <w:r/>
      <w:bookmarkEnd w:id="196"/>
      <w:r/>
      <w:r/>
    </w:p>
    <w:p>
      <w:pPr>
        <w:pStyle w:val="635"/>
        <w:ind w:firstLine="482"/>
        <w:jc w:val="both"/>
        <w:keepLines/>
        <w:keepNext/>
        <w:pageBreakBefore w:val="0"/>
        <w:spacing w:beforeAutospacing="0" w:afterAutospacing="0" w:line="336" w:lineRule="auto"/>
        <w:rPr>
          <w:rFonts w:hint="eastAsia" w:ascii="宋体" w:hAnsi="宋体" w:eastAsia="宋体" w:cs="宋体"/>
          <w:sz w:val="24"/>
          <w:szCs w:val="24"/>
          <w:highlight w:val="none"/>
        </w:rPr>
      </w:pPr>
      <w:r/>
      <w:bookmarkStart w:id="23" w:name="_Toc38985267"/>
      <w:r/>
      <w:bookmarkStart w:id="24" w:name="_Toc28359007"/>
      <w:r/>
      <w:bookmarkStart w:id="25" w:name="_Toc28359084"/>
      <w:r/>
      <w:bookmarkStart w:id="26" w:name="_Toc35393794"/>
      <w:r/>
      <w:bookmarkStart w:id="27" w:name="_Toc35393625"/>
      <w:r>
        <w:rPr>
          <w:rFonts w:hint="eastAsia" w:ascii="宋体" w:hAnsi="宋体" w:eastAsia="宋体" w:cs="宋体"/>
          <w:b/>
          <w:color w:val="000000"/>
          <w:sz w:val="24"/>
          <w:szCs w:val="24"/>
          <w:highlight w:val="none"/>
        </w:rPr>
        <w:t xml:space="preserve">五、公告期限</w:t>
      </w:r>
      <w:bookmarkEnd w:id="23"/>
      <w:r/>
      <w:bookmarkEnd w:id="24"/>
      <w:r/>
      <w:bookmarkEnd w:id="25"/>
      <w:r/>
      <w:bookmarkEnd w:id="26"/>
      <w:r/>
      <w:bookmarkEnd w:id="27"/>
      <w:r/>
      <w:r/>
    </w:p>
    <w:p>
      <w:pPr>
        <w:pStyle w:val="63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8" w:name="_Toc38985268"/>
      <w:r/>
      <w:bookmarkStart w:id="29" w:name="_Toc35393626"/>
      <w:r/>
      <w:bookmarkStart w:id="30" w:name="_Toc35393795"/>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自本公告发布之日起5个工作日。</w:t>
      </w:r>
      <w:bookmarkEnd w:id="28"/>
      <w:r/>
      <w:bookmarkEnd w:id="29"/>
      <w:r/>
      <w:bookmarkEnd w:id="30"/>
      <w:r/>
      <w:r/>
    </w:p>
    <w:p>
      <w:pPr>
        <w:pStyle w:val="635"/>
        <w:ind w:firstLine="482"/>
        <w:jc w:val="both"/>
        <w:keepLines/>
        <w:keepNext/>
        <w:pageBreakBefore w:val="0"/>
        <w:spacing w:beforeAutospacing="0" w:afterAutospacing="0" w:line="336"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六、其他补充事宜</w:t>
      </w:r>
      <w:r/>
    </w:p>
    <w:p>
      <w:pPr>
        <w:pStyle w:val="63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1" w:name="_Toc28359018"/>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3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63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2.潜在供应商访问电子招标响应交易平台的网络地址和方法： </w:t>
      </w:r>
      <w:r/>
    </w:p>
    <w:p>
      <w:pPr>
        <w:pStyle w:val="63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63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2.2 潜在投标人访问“苏采云”系统方法：江苏省政府采购网首页-“苏采云”链接。 </w:t>
      </w:r>
      <w:r/>
    </w:p>
    <w:p>
      <w:pPr>
        <w:pStyle w:val="63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2.3 采购文件（后缀名为“.kedt”）、供应商操作手册及政府采购客户端 工具可通过“苏采云”系统相应链接进行下载。 </w:t>
      </w:r>
      <w:r/>
    </w:p>
    <w:p>
      <w:pPr>
        <w:pStyle w:val="63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2.4 采购代理机构将数据电文形式的采购文件加载至“苏采云”系统，供潜在供应商下载或者查阅。 </w:t>
      </w:r>
      <w:r/>
    </w:p>
    <w:p>
      <w:pPr>
        <w:pStyle w:val="63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336"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如潜在投标人未按上述要求操作，将自行承担所产生的风险。</w:t>
      </w:r>
      <w:r/>
    </w:p>
    <w:p>
      <w:pPr>
        <w:pStyle w:val="63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63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3.有关本次招标的事项若存在变动或修改，敬请及时关注在“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江苏政府采购网”“盐城市政府采购网”发布的更正公告。</w:t>
      </w:r>
      <w:r/>
    </w:p>
    <w:p>
      <w:pPr>
        <w:pStyle w:val="63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4.本次招标不收取投标保证金，不收取质量保证金。</w:t>
      </w:r>
      <w:r/>
    </w:p>
    <w:p>
      <w:pPr>
        <w:pStyle w:val="626"/>
        <w:ind w:left="0" w:right="0" w:firstLine="480"/>
        <w:jc w:val="both"/>
        <w:keepLines w:val="0"/>
        <w:keepNext w:val="0"/>
        <w:pageBreakBefore w:val="0"/>
        <w:spacing w:before="0" w:beforeAutospacing="0" w:after="0" w:afterAutospacing="0" w:line="336" w:lineRule="auto"/>
        <w:shd w:val="clear" w:color="auto" w:fill="ffffff"/>
        <w:widowControl/>
        <w:rPr>
          <w:rFonts w:hint="eastAsia" w:ascii="宋体" w:hAnsi="宋体" w:eastAsia="宋体" w:cs="宋体"/>
          <w:b w:val="0"/>
          <w:bCs w:val="0"/>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提出询问，请按以下方式联系。</w:t>
      </w:r>
      <w:bookmarkEnd w:id="31"/>
      <w:r/>
      <w:r/>
    </w:p>
    <w:p>
      <w:pPr>
        <w:pStyle w:val="63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1.采购人信息</w:t>
      </w:r>
      <w:r/>
    </w:p>
    <w:p>
      <w:pPr>
        <w:pStyle w:val="63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名 称：江苏省东台中学  </w:t>
      </w:r>
      <w:r/>
    </w:p>
    <w:p>
      <w:pPr>
        <w:pStyle w:val="63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地 址：江苏省盐城市东台市城东新区东城大道1号  </w:t>
      </w:r>
      <w:r/>
    </w:p>
    <w:p>
      <w:pPr>
        <w:pStyle w:val="63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联系人：顾先生              </w:t>
      </w:r>
      <w:r/>
    </w:p>
    <w:p>
      <w:pPr>
        <w:pStyle w:val="63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联系方式：18205017362            </w:t>
      </w:r>
      <w:r/>
    </w:p>
    <w:p>
      <w:pPr>
        <w:pStyle w:val="63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2.采购代理机构信息</w:t>
      </w:r>
      <w:r/>
    </w:p>
    <w:p>
      <w:pPr>
        <w:pStyle w:val="635"/>
        <w:ind w:left="0" w:right="0" w:firstLine="480"/>
        <w:jc w:val="both"/>
        <w:keepLines w:val="0"/>
        <w:keepNext w:val="0"/>
        <w:pageBreakBefore w:val="0"/>
        <w:spacing w:beforeAutospacing="0" w:afterAutospacing="0" w:line="336" w:lineRule="auto"/>
        <w:shd w:val="clear" w:color="auto" w:fill="ffffff"/>
        <w:widowControl/>
        <w:rPr>
          <w:rFonts w:hint="default"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名 称：盐城超卓工程咨询有限公司</w:t>
      </w:r>
      <w:r/>
    </w:p>
    <w:p>
      <w:pPr>
        <w:pStyle w:val="63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地 址：东台市北海西路3号聚龙双苑7幢106室</w:t>
      </w:r>
      <w:r/>
    </w:p>
    <w:p>
      <w:pPr>
        <w:pStyle w:val="63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联系人：邓女士                     </w:t>
      </w:r>
      <w:r/>
    </w:p>
    <w:p>
      <w:pPr>
        <w:pStyle w:val="63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w:t>
      </w:r>
      <w:bookmarkStart w:id="32" w:name="_Toc28359010"/>
      <w:r/>
      <w:bookmarkStart w:id="33" w:name="_Toc28359087"/>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18051703498       </w:t>
      </w:r>
      <w:bookmarkEnd w:id="32"/>
      <w:r/>
      <w:bookmarkEnd w:id="33"/>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63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4" w:name="_Toc28359021"/>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bookmarkEnd w:id="34"/>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项目联系方式</w:t>
      </w:r>
      <w:r/>
    </w:p>
    <w:p>
      <w:pPr>
        <w:pStyle w:val="63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项目联系人：顾先生</w:t>
      </w:r>
      <w:r/>
    </w:p>
    <w:p>
      <w:pPr>
        <w:pStyle w:val="63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电　　 话：18205017362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br w:type="page" w:clear="all"/>
      </w:r>
      <w:bookmarkStart w:id="35" w:name="_Toc120614211"/>
      <w:r/>
      <w:r/>
    </w:p>
    <w:p>
      <w:pPr>
        <w:pStyle w:val="635"/>
        <w:jc w:val="center"/>
        <w:keepLines/>
        <w:keepNext/>
        <w:spacing w:before="260" w:beforeAutospacing="0" w:after="260" w:afterAutospacing="0" w:line="415" w:lineRule="auto"/>
        <w:rPr>
          <w:highlight w:val="none"/>
        </w:rPr>
      </w:pPr>
      <w:r>
        <w:rPr>
          <w:rFonts w:hint="eastAsia" w:ascii="黑体" w:hAnsi="宋体" w:eastAsia="黑体" w:cs="黑体"/>
          <w:b/>
          <w:color w:val="000000"/>
          <w:sz w:val="44"/>
          <w:szCs w:val="44"/>
          <w:highlight w:val="none"/>
        </w:rPr>
        <w:t xml:space="preserve">第二章  </w:t>
      </w:r>
      <w:bookmarkEnd w:id="35"/>
      <w:r/>
      <w:bookmarkStart w:id="36" w:name="_Toc120614213"/>
      <w:r/>
      <w:bookmarkStart w:id="37" w:name="_Toc20823274"/>
      <w:r/>
      <w:bookmarkStart w:id="38" w:name="_Toc513029202"/>
      <w:r/>
      <w:bookmarkStart w:id="39" w:name="_Toc16938518"/>
      <w:r>
        <w:rPr>
          <w:rFonts w:hint="eastAsia" w:ascii="黑体" w:hAnsi="宋体" w:eastAsia="黑体" w:cs="黑体"/>
          <w:b/>
          <w:color w:val="000000"/>
          <w:sz w:val="44"/>
          <w:szCs w:val="44"/>
          <w:highlight w:val="none"/>
        </w:rPr>
        <w:t xml:space="preserve">投标人须知</w:t>
      </w:r>
      <w:bookmarkEnd w:id="36"/>
      <w:r/>
      <w:bookmarkEnd w:id="37"/>
      <w:r/>
      <w:bookmarkEnd w:id="38"/>
      <w:r/>
      <w:bookmarkEnd w:id="39"/>
      <w:r/>
      <w:r/>
    </w:p>
    <w:p>
      <w:pPr>
        <w:pStyle w:val="635"/>
        <w:ind w:firstLine="498"/>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40" w:name="_Toc513029203"/>
      <w:r/>
      <w:bookmarkStart w:id="41" w:name="_Toc20823275"/>
      <w:r/>
      <w:bookmarkStart w:id="42" w:name="_Toc16938519"/>
      <w:r/>
      <w:bookmarkStart w:id="43" w:name="_Toc120614214"/>
      <w:r>
        <w:rPr>
          <w:rFonts w:hint="eastAsia" w:ascii="宋体" w:hAnsi="宋体" w:eastAsia="宋体" w:cs="宋体"/>
          <w:b/>
          <w:color w:val="000000"/>
          <w:sz w:val="24"/>
          <w:szCs w:val="24"/>
          <w:highlight w:val="none"/>
        </w:rPr>
        <w:t xml:space="preserve">一、总则</w:t>
      </w:r>
      <w:bookmarkEnd w:id="40"/>
      <w:r/>
      <w:bookmarkEnd w:id="41"/>
      <w:r/>
      <w:bookmarkEnd w:id="42"/>
      <w:r/>
      <w:bookmarkEnd w:id="43"/>
      <w:r/>
      <w:r/>
    </w:p>
    <w:p>
      <w:pPr>
        <w:pStyle w:val="635"/>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44" w:name="_Toc20823276"/>
      <w:r/>
      <w:bookmarkStart w:id="45" w:name="_Toc458694821"/>
      <w:r/>
      <w:bookmarkStart w:id="46" w:name="_Toc513029204"/>
      <w:r/>
      <w:bookmarkStart w:id="47" w:name="_Toc16938520"/>
      <w:r/>
      <w:bookmarkStart w:id="48" w:name="_Hlt16619475"/>
      <w:r>
        <w:rPr>
          <w:rFonts w:hint="eastAsia" w:ascii="宋体" w:hAnsi="宋体" w:eastAsia="宋体" w:cs="宋体"/>
          <w:color w:val="000000"/>
          <w:sz w:val="24"/>
          <w:szCs w:val="24"/>
          <w:highlight w:val="none"/>
        </w:rPr>
        <w:t xml:space="preserve">1</w:t>
      </w:r>
      <w:bookmarkEnd w:id="44"/>
      <w:r>
        <w:rPr>
          <w:rFonts w:hint="eastAsia" w:ascii="宋体" w:hAnsi="宋体" w:eastAsia="宋体" w:cs="宋体"/>
          <w:color w:val="000000"/>
          <w:sz w:val="24"/>
          <w:szCs w:val="24"/>
          <w:highlight w:val="none"/>
        </w:rPr>
        <w:t xml:space="preserve">、招标方式</w:t>
      </w:r>
      <w:bookmarkEnd w:id="45"/>
      <w:r/>
      <w:bookmarkEnd w:id="46"/>
      <w:r/>
      <w:bookmarkEnd w:id="47"/>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本次招标采取公开招标方式，本招标文件仅适用于招标公告中所述项目。</w:t>
      </w:r>
      <w:r/>
    </w:p>
    <w:p>
      <w:pPr>
        <w:pStyle w:val="635"/>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49" w:name="_Toc513029205"/>
      <w:r/>
      <w:bookmarkStart w:id="50" w:name="_Toc20823277"/>
      <w:r/>
      <w:bookmarkStart w:id="51" w:name="_Toc16938521"/>
      <w:r>
        <w:rPr>
          <w:rFonts w:hint="eastAsia" w:ascii="宋体" w:hAnsi="宋体" w:eastAsia="宋体" w:cs="宋体"/>
          <w:color w:val="000000"/>
          <w:sz w:val="24"/>
          <w:szCs w:val="24"/>
          <w:highlight w:val="none"/>
        </w:rPr>
        <w:t xml:space="preserve">2、合格的投标人</w:t>
      </w:r>
      <w:bookmarkEnd w:id="49"/>
      <w:r/>
      <w:bookmarkEnd w:id="50"/>
      <w:r/>
      <w:bookmarkEnd w:id="51"/>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 满足本文件实质性要求和条件的规定。</w:t>
      </w:r>
      <w:r/>
    </w:p>
    <w:p>
      <w:pPr>
        <w:pStyle w:val="635"/>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52" w:name="_Toc513029206"/>
      <w:r/>
      <w:bookmarkStart w:id="53" w:name="_Toc20823278"/>
      <w:r/>
      <w:bookmarkStart w:id="54" w:name="_Toc16938522"/>
      <w:r>
        <w:rPr>
          <w:rFonts w:hint="eastAsia" w:ascii="宋体" w:hAnsi="宋体" w:eastAsia="宋体" w:cs="宋体"/>
          <w:color w:val="000000"/>
          <w:sz w:val="24"/>
          <w:szCs w:val="24"/>
          <w:highlight w:val="none"/>
        </w:rPr>
        <w:t xml:space="preserve">3、适用法律</w:t>
      </w:r>
      <w:bookmarkEnd w:id="52"/>
      <w:r/>
      <w:bookmarkEnd w:id="53"/>
      <w:r/>
      <w:bookmarkEnd w:id="54"/>
      <w:r/>
      <w:r/>
    </w:p>
    <w:p>
      <w:pPr>
        <w:pStyle w:val="635"/>
        <w:ind w:firstLine="42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 本次招标及由此产生的合同受中华人民共和国有关的法律法规制约和保护。</w:t>
      </w:r>
      <w:r/>
    </w:p>
    <w:p>
      <w:pPr>
        <w:pStyle w:val="635"/>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55" w:name="_Toc513029207"/>
      <w:r/>
      <w:bookmarkStart w:id="56" w:name="_Toc16938523"/>
      <w:r/>
      <w:bookmarkStart w:id="57" w:name="_Toc462564067"/>
      <w:r/>
      <w:bookmarkStart w:id="58" w:name="_Toc20823279"/>
      <w:r>
        <w:rPr>
          <w:rFonts w:hint="eastAsia" w:ascii="宋体" w:hAnsi="宋体" w:eastAsia="宋体" w:cs="宋体"/>
          <w:color w:val="000000"/>
          <w:sz w:val="24"/>
          <w:szCs w:val="24"/>
          <w:highlight w:val="none"/>
        </w:rPr>
        <w:t xml:space="preserve">4、投标费用</w:t>
      </w:r>
      <w:bookmarkEnd w:id="55"/>
      <w:r/>
      <w:bookmarkEnd w:id="56"/>
      <w:r/>
      <w:bookmarkEnd w:id="57"/>
      <w:r/>
      <w:bookmarkEnd w:id="58"/>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 投标人应自行承担所有与参加投标有关的费用，无论投标过程中的做法和结果如何，</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在任何情况下均无义务和责任承担这些费用。</w:t>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4.2本次招标采购人不收取标书工本费与中标服务费。</w:t>
      </w:r>
      <w:r/>
    </w:p>
    <w:p>
      <w:pPr>
        <w:pStyle w:val="635"/>
        <w:ind w:firstLine="602"/>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5、</w:t>
      </w:r>
      <w:r>
        <w:rPr>
          <w:rFonts w:hint="eastAsia" w:ascii="宋体" w:hAnsi="宋体" w:eastAsia="宋体" w:cs="宋体"/>
          <w:color w:val="000000"/>
          <w:sz w:val="24"/>
          <w:szCs w:val="24"/>
          <w:highlight w:val="none"/>
        </w:rPr>
        <w:t xml:space="preserve">招标文件的约束力</w:t>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 投标人一旦参加本项目采购活动，即被认为接受了本招标文件的规定和约束。</w:t>
      </w:r>
      <w:r/>
    </w:p>
    <w:p>
      <w:pPr>
        <w:pStyle w:val="635"/>
        <w:ind w:firstLine="321"/>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59" w:name="_Toc513029209"/>
      <w:r/>
      <w:bookmarkStart w:id="60" w:name="_Toc16938525"/>
      <w:r/>
      <w:bookmarkStart w:id="61" w:name="_Toc120614215"/>
      <w:r/>
      <w:bookmarkStart w:id="62" w:name="_Toc20823281"/>
      <w:r>
        <w:rPr>
          <w:rFonts w:hint="eastAsia" w:ascii="宋体" w:hAnsi="宋体" w:eastAsia="宋体" w:cs="宋体"/>
          <w:b/>
          <w:color w:val="000000"/>
          <w:sz w:val="24"/>
          <w:szCs w:val="24"/>
          <w:highlight w:val="none"/>
        </w:rPr>
        <w:t xml:space="preserve">二、招标文件</w:t>
      </w:r>
      <w:bookmarkEnd w:id="59"/>
      <w:r/>
      <w:bookmarkEnd w:id="60"/>
      <w:r/>
      <w:bookmarkEnd w:id="61"/>
      <w:r/>
      <w:bookmarkEnd w:id="62"/>
      <w:r/>
      <w:r/>
    </w:p>
    <w:p>
      <w:pPr>
        <w:pStyle w:val="635"/>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63" w:name="_Toc513029210"/>
      <w:r/>
      <w:bookmarkStart w:id="64" w:name="_Toc16938526"/>
      <w:r/>
      <w:bookmarkStart w:id="65" w:name="_Toc20823282"/>
      <w:r>
        <w:rPr>
          <w:rFonts w:hint="eastAsia" w:ascii="宋体" w:hAnsi="宋体" w:eastAsia="宋体" w:cs="宋体"/>
          <w:color w:val="000000"/>
          <w:sz w:val="24"/>
          <w:szCs w:val="24"/>
          <w:highlight w:val="none"/>
        </w:rPr>
        <w:t xml:space="preserve">6、招标文件构成</w:t>
      </w:r>
      <w:bookmarkEnd w:id="63"/>
      <w:r/>
      <w:bookmarkEnd w:id="64"/>
      <w:r/>
      <w:bookmarkEnd w:id="65"/>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 招标文件由以下部分组成：</w:t>
      </w:r>
      <w:r/>
    </w:p>
    <w:p>
      <w:pPr>
        <w:pStyle w:val="635"/>
        <w:ind w:firstLine="360"/>
        <w:jc w:val="both"/>
        <w:pageBreakBefore w:val="0"/>
        <w:spacing w:beforeAutospacing="0" w:afterAutospacing="0" w:line="288"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p>
    <w:p>
      <w:pPr>
        <w:pStyle w:val="635"/>
        <w:ind w:firstLine="36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（2）投标人须知</w:t>
      </w:r>
      <w:r/>
    </w:p>
    <w:p>
      <w:pPr>
        <w:pStyle w:val="635"/>
        <w:ind w:firstLine="36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p>
    <w:p>
      <w:pPr>
        <w:pStyle w:val="635"/>
        <w:ind w:firstLine="36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p>
    <w:p>
      <w:pPr>
        <w:pStyle w:val="635"/>
        <w:ind w:firstLine="36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p>
    <w:p>
      <w:pPr>
        <w:pStyle w:val="635"/>
        <w:ind w:firstLine="36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联系解决。</w:t>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35"/>
        <w:ind w:firstLine="56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66" w:name="_Toc513029211"/>
      <w:r/>
      <w:bookmarkStart w:id="67" w:name="_Toc16938527"/>
      <w:r/>
      <w:bookmarkStart w:id="68" w:name="_Toc462564070"/>
      <w:r/>
      <w:bookmarkStart w:id="69" w:name="_Toc20823283"/>
      <w:r>
        <w:rPr>
          <w:rFonts w:hint="eastAsia" w:ascii="宋体" w:hAnsi="宋体" w:eastAsia="宋体" w:cs="宋体"/>
          <w:color w:val="000000"/>
          <w:sz w:val="24"/>
          <w:szCs w:val="24"/>
          <w:highlight w:val="none"/>
        </w:rPr>
        <w:t xml:space="preserve">7、招标文件的澄清</w:t>
      </w:r>
      <w:bookmarkEnd w:id="66"/>
      <w:r/>
      <w:bookmarkEnd w:id="67"/>
      <w:r/>
      <w:bookmarkEnd w:id="68"/>
      <w:r/>
      <w:bookmarkEnd w:id="69"/>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 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w:t>
      </w:r>
      <w:r/>
    </w:p>
    <w:p>
      <w:pPr>
        <w:pStyle w:val="635"/>
        <w:ind w:firstLine="56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70" w:name="_Toc20823284"/>
      <w:r/>
      <w:bookmarkStart w:id="71" w:name="_Toc462564071"/>
      <w:r/>
      <w:bookmarkStart w:id="72" w:name="_Toc16938528"/>
      <w:r/>
      <w:bookmarkStart w:id="73" w:name="_Toc513029212"/>
      <w:r>
        <w:rPr>
          <w:rFonts w:hint="eastAsia" w:ascii="宋体" w:hAnsi="宋体" w:eastAsia="宋体" w:cs="宋体"/>
          <w:color w:val="000000"/>
          <w:sz w:val="24"/>
          <w:szCs w:val="24"/>
          <w:highlight w:val="none"/>
        </w:rPr>
        <w:t xml:space="preserve">8、招标文件的修改</w:t>
      </w:r>
      <w:bookmarkEnd w:id="70"/>
      <w:r/>
      <w:bookmarkEnd w:id="71"/>
      <w:r/>
      <w:bookmarkEnd w:id="72"/>
      <w:r/>
      <w:bookmarkEnd w:id="73"/>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 在投标截止时间前，</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可以对招标文件进行修改。</w:t>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有权按照法定的要求推迟投标截止日期和开标日期。</w:t>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8.3 招标文件的修改将在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color w:val="000000"/>
          <w:sz w:val="24"/>
          <w:szCs w:val="24"/>
          <w:highlight w:val="none"/>
        </w:rPr>
        <w:t xml:space="preserve">公布，补充文件将作为招标文件的组成部分，并对投标人具有约束力。</w:t>
      </w:r>
      <w:r/>
    </w:p>
    <w:p>
      <w:pPr>
        <w:pStyle w:val="635"/>
        <w:ind w:firstLine="482"/>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74" w:name="_Toc16938529"/>
      <w:r/>
      <w:bookmarkStart w:id="75" w:name="_Toc120614216"/>
      <w:r/>
      <w:bookmarkStart w:id="76" w:name="_Toc20823285"/>
      <w:r/>
      <w:bookmarkStart w:id="77" w:name="_Toc462564072"/>
      <w:r/>
      <w:bookmarkStart w:id="78" w:name="_Toc513029213"/>
      <w:r>
        <w:rPr>
          <w:rFonts w:hint="eastAsia" w:ascii="宋体" w:hAnsi="宋体" w:eastAsia="宋体" w:cs="宋体"/>
          <w:b/>
          <w:color w:val="000000"/>
          <w:sz w:val="24"/>
          <w:szCs w:val="24"/>
          <w:highlight w:val="none"/>
        </w:rPr>
        <w:t xml:space="preserve">三、投标文件的编制</w:t>
      </w:r>
      <w:bookmarkEnd w:id="74"/>
      <w:r/>
      <w:bookmarkEnd w:id="75"/>
      <w:r/>
      <w:bookmarkEnd w:id="76"/>
      <w:r/>
      <w:bookmarkEnd w:id="77"/>
      <w:r/>
      <w:bookmarkEnd w:id="78"/>
      <w:r/>
      <w:r/>
    </w:p>
    <w:p>
      <w:pPr>
        <w:pStyle w:val="635"/>
        <w:ind w:firstLine="56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79" w:name="_Toc20823286"/>
      <w:r/>
      <w:bookmarkStart w:id="80" w:name="_Toc16938530"/>
      <w:r/>
      <w:bookmarkStart w:id="81" w:name="_Toc462564073"/>
      <w:r/>
      <w:bookmarkStart w:id="82" w:name="_Toc513029214"/>
      <w:r>
        <w:rPr>
          <w:rFonts w:hint="eastAsia" w:ascii="宋体" w:hAnsi="宋体" w:eastAsia="宋体" w:cs="宋体"/>
          <w:color w:val="000000"/>
          <w:sz w:val="24"/>
          <w:szCs w:val="24"/>
          <w:highlight w:val="none"/>
        </w:rPr>
        <w:t xml:space="preserve">9、投标文件的语言及度量衡单位</w:t>
      </w:r>
      <w:bookmarkEnd w:id="79"/>
      <w:r/>
      <w:bookmarkEnd w:id="80"/>
      <w:r/>
      <w:bookmarkEnd w:id="81"/>
      <w:r/>
      <w:bookmarkEnd w:id="82"/>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 投标人提交的投标文件以及投标人与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 除技术性能另有规定外，投标文件所使用的度量衡单位，均须采用国家法定计量单位。</w:t>
      </w:r>
      <w:r/>
    </w:p>
    <w:p>
      <w:pPr>
        <w:pStyle w:val="635"/>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83" w:name="_Toc16938531"/>
      <w:r/>
      <w:bookmarkStart w:id="84" w:name="_Toc513029215"/>
      <w:r/>
      <w:bookmarkStart w:id="85" w:name="_Toc462564074"/>
      <w:r/>
      <w:bookmarkStart w:id="86" w:name="_Toc20823287"/>
      <w:r>
        <w:rPr>
          <w:rFonts w:hint="eastAsia" w:ascii="宋体" w:hAnsi="宋体" w:eastAsia="宋体" w:cs="宋体"/>
          <w:color w:val="000000"/>
          <w:sz w:val="24"/>
          <w:szCs w:val="24"/>
          <w:highlight w:val="none"/>
        </w:rPr>
        <w:t xml:space="preserve">10、投标文件构成</w:t>
      </w:r>
      <w:bookmarkEnd w:id="83"/>
      <w:r/>
      <w:bookmarkEnd w:id="84"/>
      <w:r/>
      <w:bookmarkEnd w:id="85"/>
      <w:r/>
      <w:bookmarkEnd w:id="86"/>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 如标书制作工具中格式和内容与</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发布的招标文件不一致，请以</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发布的招标文件为准。</w:t>
      </w:r>
      <w:r/>
    </w:p>
    <w:p>
      <w:pPr>
        <w:pStyle w:val="635"/>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87" w:name="_Toc49090509"/>
      <w:r/>
      <w:bookmarkStart w:id="88" w:name="_Toc513029219"/>
      <w:r/>
      <w:bookmarkStart w:id="89" w:name="_Toc49090508"/>
      <w:r/>
      <w:bookmarkStart w:id="90" w:name="_Toc14577357"/>
      <w:r/>
      <w:bookmarkStart w:id="91" w:name="_Toc513029216"/>
      <w:r/>
      <w:bookmarkStart w:id="92" w:name="_Toc14577355"/>
      <w:r/>
      <w:bookmarkStart w:id="93" w:name="_Toc49090507"/>
      <w:r/>
      <w:bookmarkStart w:id="94" w:name="_Toc14577354"/>
      <w:r/>
      <w:bookmarkStart w:id="95" w:name="_Hlt26670360"/>
      <w:r/>
      <w:bookmarkStart w:id="96" w:name="_Hlt26668975"/>
      <w:r/>
      <w:bookmarkStart w:id="97" w:name="_Hlt26954838"/>
      <w:r>
        <w:rPr>
          <w:rFonts w:hint="eastAsia" w:ascii="宋体" w:hAnsi="宋体" w:eastAsia="宋体" w:cs="宋体"/>
          <w:color w:val="000000"/>
          <w:sz w:val="24"/>
          <w:szCs w:val="24"/>
          <w:highlight w:val="none"/>
        </w:rPr>
        <w:t xml:space="preserve">11、证明投标人及投标标的符合招标文件规定的文件</w:t>
      </w:r>
      <w:bookmarkEnd w:id="87"/>
      <w:r/>
      <w:bookmarkEnd w:id="88"/>
      <w:r/>
      <w:bookmarkEnd w:id="89"/>
      <w:r/>
      <w:bookmarkEnd w:id="90"/>
      <w:r/>
      <w:bookmarkEnd w:id="91"/>
      <w:r/>
      <w:bookmarkEnd w:id="92"/>
      <w:r/>
      <w:bookmarkEnd w:id="93"/>
      <w:r/>
      <w:bookmarkEnd w:id="94"/>
      <w:r/>
      <w:r/>
    </w:p>
    <w:p>
      <w:pPr>
        <w:pStyle w:val="635"/>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11.1 投标人应按照招标文件要求提交证明文件，证明其及投标标的符合招标文件规定。</w:t>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p>
    <w:p>
      <w:pPr>
        <w:pStyle w:val="635"/>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12、投标分项报价表</w:t>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 投标人应按照招标文件规定格式填报投标分项报价表。</w:t>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p>
    <w:p>
      <w:pPr>
        <w:pStyle w:val="635"/>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98" w:name="_Hlt26954846"/>
      <w:r/>
      <w:bookmarkStart w:id="99" w:name="_Hlt26954731"/>
      <w:r/>
      <w:bookmarkStart w:id="100" w:name="_Hlt26670482"/>
      <w:r/>
      <w:bookmarkStart w:id="101" w:name="_Hlt26954848"/>
      <w:r/>
      <w:bookmarkStart w:id="102" w:name="_Hlt26670486"/>
      <w:r>
        <w:rPr>
          <w:rFonts w:hint="eastAsia" w:ascii="宋体" w:hAnsi="宋体" w:eastAsia="宋体" w:cs="宋体"/>
          <w:color w:val="000000"/>
          <w:sz w:val="24"/>
          <w:szCs w:val="24"/>
          <w:highlight w:val="none"/>
        </w:rPr>
        <w:t xml:space="preserve">13、技术要求响应及偏离表、商务要求响应及偏离表</w:t>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 投标人需对招标文件中的技术要求与商务要求逐项作出响应或偏离，并说明原因。</w:t>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 投标人可在投标文件中提供认为需要的其他技术文件或说明。</w:t>
      </w:r>
      <w:r/>
    </w:p>
    <w:p>
      <w:pPr>
        <w:pStyle w:val="635"/>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14、服务承诺、培训计划、人员安排及其他</w:t>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 投标人需根据招标文件要求提供有关售后服务的管理制度，售后服务机构的分布情况，售后服务人员的数量、素质、技术水平及售后服务的反应能力等。</w:t>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 投标人需根据招标文件要求提供培训计划。</w:t>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14.3</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投标人需根据招标文件要求提供所投标的的主要组成部分、功能设计、实现思路及关键技术等。</w:t>
      </w:r>
      <w:r/>
    </w:p>
    <w:p>
      <w:pPr>
        <w:pStyle w:val="635"/>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103" w:name="_Toc49090510"/>
      <w:r/>
      <w:bookmarkStart w:id="104" w:name="_Toc14577359"/>
      <w:r>
        <w:rPr>
          <w:rFonts w:hint="eastAsia" w:ascii="宋体" w:hAnsi="宋体" w:eastAsia="宋体" w:cs="宋体"/>
          <w:color w:val="000000"/>
          <w:sz w:val="24"/>
          <w:szCs w:val="24"/>
          <w:highlight w:val="none"/>
        </w:rPr>
        <w:t xml:space="preserve">15、投标函和开标一览表</w:t>
      </w:r>
      <w:bookmarkEnd w:id="103"/>
      <w:r/>
      <w:bookmarkEnd w:id="104"/>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15.1 投标人应按照招标文件中提供的格式完整、正确填写投标函、开标一览表。</w:t>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r/>
    </w:p>
    <w:p>
      <w:pPr>
        <w:pStyle w:val="635"/>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105" w:name="_Toc49090511"/>
      <w:r/>
      <w:bookmarkStart w:id="106" w:name="_Toc14577360"/>
      <w:r>
        <w:rPr>
          <w:rFonts w:hint="eastAsia" w:ascii="宋体" w:hAnsi="宋体" w:eastAsia="宋体" w:cs="宋体"/>
          <w:color w:val="000000"/>
          <w:sz w:val="24"/>
          <w:szCs w:val="24"/>
          <w:highlight w:val="none"/>
        </w:rPr>
        <w:t xml:space="preserve">16、投标有效期</w:t>
      </w:r>
      <w:bookmarkEnd w:id="105"/>
      <w:r/>
      <w:bookmarkEnd w:id="106"/>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16.1投标有效期为</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p>
    <w:p>
      <w:pPr>
        <w:pStyle w:val="635"/>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17、投标有效期的延长</w:t>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17.1在特殊情况下，</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pStyle w:val="635"/>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107" w:name="_Toc513029224"/>
      <w:r/>
      <w:bookmarkStart w:id="108" w:name="_Toc20823296"/>
      <w:r/>
      <w:bookmarkStart w:id="109" w:name="_Toc16938540"/>
      <w:r/>
      <w:bookmarkStart w:id="110" w:name="_Toc120614217"/>
      <w:r/>
      <w:bookmarkStart w:id="111" w:name="_Hlt26954852"/>
      <w:r/>
      <w:bookmarkStart w:id="112" w:name="_Hlt26954739"/>
      <w:r>
        <w:rPr>
          <w:rFonts w:hint="eastAsia" w:ascii="宋体" w:hAnsi="宋体" w:eastAsia="宋体" w:cs="宋体"/>
          <w:b/>
          <w:color w:val="000000"/>
          <w:sz w:val="24"/>
          <w:szCs w:val="24"/>
          <w:highlight w:val="none"/>
        </w:rPr>
        <w:t xml:space="preserve">四、投标文件的递交</w:t>
      </w:r>
      <w:bookmarkEnd w:id="107"/>
      <w:r/>
      <w:bookmarkEnd w:id="108"/>
      <w:r/>
      <w:bookmarkEnd w:id="109"/>
      <w:r/>
      <w:bookmarkEnd w:id="110"/>
      <w:r/>
      <w:r/>
    </w:p>
    <w:p>
      <w:pPr>
        <w:pStyle w:val="635"/>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113" w:name="_Toc462564084"/>
      <w:r/>
      <w:bookmarkStart w:id="114" w:name="_Toc16938541"/>
      <w:r/>
      <w:bookmarkStart w:id="115" w:name="_Toc513029225"/>
      <w:r/>
      <w:bookmarkStart w:id="116" w:name="_Toc20823297"/>
      <w:r>
        <w:rPr>
          <w:rFonts w:hint="eastAsia" w:ascii="宋体" w:hAnsi="宋体" w:eastAsia="宋体" w:cs="宋体"/>
          <w:color w:val="000000"/>
          <w:sz w:val="24"/>
          <w:szCs w:val="24"/>
          <w:highlight w:val="none"/>
        </w:rPr>
        <w:t xml:space="preserve">18、电子投标文件</w:t>
      </w:r>
      <w:bookmarkEnd w:id="113"/>
      <w:r/>
      <w:bookmarkEnd w:id="114"/>
      <w:r/>
      <w:bookmarkEnd w:id="115"/>
      <w:r/>
      <w:bookmarkEnd w:id="116"/>
      <w:r>
        <w:rPr>
          <w:rFonts w:hint="eastAsia" w:ascii="宋体" w:hAnsi="宋体" w:eastAsia="宋体" w:cs="宋体"/>
          <w:color w:val="000000"/>
          <w:sz w:val="24"/>
          <w:szCs w:val="24"/>
          <w:highlight w:val="none"/>
        </w:rPr>
        <w:t xml:space="preserve">的递交</w:t>
      </w:r>
      <w:r/>
    </w:p>
    <w:p>
      <w:pPr>
        <w:pStyle w:val="635"/>
        <w:ind w:left="525"/>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18.1投标人应当按照《操作手册》规定，在投标截止时间前制作并上传电子投标</w:t>
      </w:r>
      <w:r/>
    </w:p>
    <w:p>
      <w:pPr>
        <w:pStyle w:val="635"/>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文件。</w:t>
      </w:r>
      <w:bookmarkStart w:id="117" w:name="_Toc20823298"/>
      <w:r/>
      <w:bookmarkEnd w:id="117"/>
      <w:r/>
      <w:bookmarkStart w:id="118" w:name="_Toc16938542"/>
      <w:r/>
      <w:bookmarkEnd w:id="118"/>
      <w:r/>
      <w:bookmarkStart w:id="119" w:name="_Toc513029226"/>
      <w:r/>
      <w:r/>
    </w:p>
    <w:p>
      <w:pPr>
        <w:pStyle w:val="635"/>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19、投标截止日期</w:t>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19.1 投标人上传电子投标文件的时间不得迟于招标公告中规定的投标截止时间。</w:t>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19.2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可以按照规定，通过修改招标文件酌情延长投标截止日期，在此情况下，投标人的所有权利和义务以及投标人受制的截止日期均应以延长后新的截止日期为准。</w:t>
      </w:r>
      <w:r/>
    </w:p>
    <w:p>
      <w:pPr>
        <w:pStyle w:val="635"/>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120" w:name="_Toc16938543"/>
      <w:r/>
      <w:bookmarkStart w:id="121" w:name="_Toc513029227"/>
      <w:r/>
      <w:bookmarkStart w:id="122" w:name="_Toc20823299"/>
      <w:r>
        <w:rPr>
          <w:rFonts w:hint="eastAsia" w:ascii="宋体" w:hAnsi="宋体" w:eastAsia="宋体" w:cs="宋体"/>
          <w:color w:val="000000"/>
          <w:sz w:val="24"/>
          <w:szCs w:val="24"/>
          <w:highlight w:val="none"/>
        </w:rPr>
        <w:t xml:space="preserve">20、投标文件</w:t>
      </w:r>
      <w:bookmarkEnd w:id="120"/>
      <w:r/>
      <w:bookmarkEnd w:id="121"/>
      <w:r/>
      <w:bookmarkEnd w:id="122"/>
      <w:r>
        <w:rPr>
          <w:rFonts w:hint="eastAsia" w:ascii="宋体" w:hAnsi="宋体" w:eastAsia="宋体" w:cs="宋体"/>
          <w:color w:val="000000"/>
          <w:sz w:val="24"/>
          <w:szCs w:val="24"/>
          <w:highlight w:val="none"/>
        </w:rPr>
        <w:t xml:space="preserve">的拒收</w:t>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拒绝接收在其规定的投标截止时间后上传的任何投标文件。</w:t>
      </w:r>
      <w:r/>
    </w:p>
    <w:p>
      <w:pPr>
        <w:pStyle w:val="635"/>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123" w:name="_Toc20823300"/>
      <w:r/>
      <w:bookmarkStart w:id="124" w:name="_Toc16938544"/>
      <w:r/>
      <w:bookmarkStart w:id="125" w:name="_Toc513029228"/>
      <w:r>
        <w:rPr>
          <w:rFonts w:hint="eastAsia" w:ascii="宋体" w:hAnsi="宋体" w:eastAsia="宋体" w:cs="宋体"/>
          <w:color w:val="000000"/>
          <w:sz w:val="24"/>
          <w:szCs w:val="24"/>
          <w:highlight w:val="none"/>
        </w:rPr>
        <w:t xml:space="preserve">21、投标文件的撤回和修改</w:t>
      </w:r>
      <w:bookmarkEnd w:id="123"/>
      <w:r/>
      <w:bookmarkEnd w:id="124"/>
      <w:r/>
      <w:bookmarkEnd w:id="125"/>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 投标文件的撤回</w:t>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21.1.1 电子投标文件的撤回</w:t>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21.1.2 投标人撤回电子投标文件，则认为其不再参与本项目投标活动。</w:t>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 投标文件的修改</w:t>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21.2.1投标人可在投标截止时间前，对其电子投标文件进行修改，具体操作方法见《操作手册》。</w:t>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21.2.2 在投标截止时间之后，投标人不得对其电子投标文件作任何修改。</w:t>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21.3 在投标截止时间至招标文件中规定的投标有效期满之间的这段时间内，投标人不得撤回其投标。</w:t>
      </w:r>
      <w:r/>
    </w:p>
    <w:p>
      <w:pPr>
        <w:pStyle w:val="635"/>
        <w:ind w:firstLine="482"/>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126" w:name="_Toc120614218"/>
      <w:r/>
      <w:bookmarkStart w:id="127" w:name="_Toc20823301"/>
      <w:r/>
      <w:bookmarkStart w:id="128" w:name="_Toc16938545"/>
      <w:r/>
      <w:bookmarkStart w:id="129" w:name="_Toc513029229"/>
      <w:r>
        <w:rPr>
          <w:rFonts w:hint="eastAsia" w:ascii="宋体" w:hAnsi="宋体" w:eastAsia="宋体" w:cs="宋体"/>
          <w:b/>
          <w:color w:val="000000"/>
          <w:sz w:val="24"/>
          <w:szCs w:val="24"/>
          <w:highlight w:val="none"/>
        </w:rPr>
        <w:t xml:space="preserve">五、开标与评标</w:t>
      </w:r>
      <w:bookmarkEnd w:id="126"/>
      <w:r/>
      <w:bookmarkEnd w:id="127"/>
      <w:r/>
      <w:bookmarkEnd w:id="128"/>
      <w:r/>
      <w:bookmarkEnd w:id="129"/>
      <w:r/>
      <w:r/>
    </w:p>
    <w:p>
      <w:pPr>
        <w:pStyle w:val="635"/>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130" w:name="_Toc513029230"/>
      <w:r/>
      <w:bookmarkStart w:id="131" w:name="_Toc16938546"/>
      <w:r/>
      <w:bookmarkStart w:id="132" w:name="_Toc20823302"/>
      <w:r>
        <w:rPr>
          <w:rFonts w:hint="eastAsia" w:ascii="宋体" w:hAnsi="宋体" w:eastAsia="宋体" w:cs="宋体"/>
          <w:color w:val="000000"/>
          <w:sz w:val="24"/>
          <w:szCs w:val="24"/>
          <w:highlight w:val="none"/>
        </w:rPr>
        <w:t xml:space="preserve">22、开标</w:t>
      </w:r>
      <w:bookmarkEnd w:id="130"/>
      <w:r/>
      <w:bookmarkEnd w:id="131"/>
      <w:r/>
      <w:bookmarkEnd w:id="132"/>
      <w:r/>
      <w:r/>
    </w:p>
    <w:p>
      <w:pPr>
        <w:pStyle w:val="635"/>
        <w:ind w:firstLine="36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22.1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将在招标公告中规定的时间和地点组织公开开标。投标人应当按照《操作手册》规定，参加开标活动</w:t>
      </w:r>
      <w:r>
        <w:rPr>
          <w:rFonts w:hint="eastAsia" w:ascii="宋体" w:hAnsi="宋体" w:eastAsia="宋体" w:cs="宋体"/>
          <w:color w:val="auto"/>
          <w:sz w:val="24"/>
          <w:szCs w:val="24"/>
          <w:highlight w:val="none"/>
        </w:rPr>
        <w:t xml:space="preserve">和在苏采云系统规定的时间内对投标文件进行解密。</w:t>
      </w:r>
      <w:r/>
    </w:p>
    <w:p>
      <w:pPr>
        <w:pStyle w:val="63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22.2开标仪式由</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63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22.3投标人在开标过程中涉及到的投标文件解密、开标结果确认等工作，应按照《操作手册》规定执行。</w:t>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22.4投标人如果对开标过程和开标记录有疑义，应当根据《操作手册》规定提出，如 苏采云系统中《开标记录表》宣布后5分钟内未提出的</w:t>
      </w:r>
      <w:r>
        <w:rPr>
          <w:rFonts w:hint="eastAsia" w:ascii="宋体" w:hAnsi="宋体" w:eastAsia="宋体" w:cs="宋体"/>
          <w:color w:val="000000"/>
          <w:sz w:val="24"/>
          <w:szCs w:val="24"/>
          <w:highlight w:val="none"/>
        </w:rPr>
        <w:t xml:space="preserve">，视同认可开标结果。</w:t>
      </w:r>
      <w:r/>
    </w:p>
    <w:p>
      <w:pPr>
        <w:pStyle w:val="635"/>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133" w:name="_Toc513029231"/>
      <w:r/>
      <w:bookmarkStart w:id="134" w:name="_Toc16938547"/>
      <w:r/>
      <w:bookmarkStart w:id="135" w:name="_Toc20823303"/>
      <w:r>
        <w:rPr>
          <w:rFonts w:hint="eastAsia" w:ascii="宋体" w:hAnsi="宋体" w:eastAsia="宋体" w:cs="宋体"/>
          <w:color w:val="000000"/>
          <w:sz w:val="24"/>
          <w:szCs w:val="24"/>
          <w:highlight w:val="none"/>
        </w:rPr>
        <w:t xml:space="preserve">23、评标委员会</w:t>
      </w:r>
      <w:bookmarkEnd w:id="133"/>
      <w:r/>
      <w:bookmarkEnd w:id="134"/>
      <w:r/>
      <w:bookmarkEnd w:id="135"/>
      <w:r/>
      <w:r/>
    </w:p>
    <w:p>
      <w:pPr>
        <w:pStyle w:val="635"/>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23.1</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开标后，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将立即组织评标委员会（以下简称评委会）进行评标。</w:t>
      </w:r>
      <w:r/>
    </w:p>
    <w:p>
      <w:pPr>
        <w:pStyle w:val="635"/>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23.2 评委会由采购人代表和有关技术、经济等方面的专家组成，且人员构成符合政府采购有关规定。</w:t>
      </w:r>
      <w:r/>
    </w:p>
    <w:p>
      <w:pPr>
        <w:pStyle w:val="635"/>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23.3评委会独立工作，负责评审所有投标文件并确定中标</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p>
    <w:p>
      <w:pPr>
        <w:pStyle w:val="635"/>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24．评标过程的保密与公正</w:t>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24.1凡是与审查、澄清、评价和比较投标的有关资料以及授标建议等，采购人、评委、</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均不得向投标人或与评标无关的其他人员透露。</w:t>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24.2在评标过程中，投标人不得以任何行为影响评标过程，否则其投标文件将被作为无效投标文件。</w:t>
      </w:r>
      <w:r/>
    </w:p>
    <w:p>
      <w:pPr>
        <w:pStyle w:val="63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24.3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和评标委员会不向未中标的投标人解释未中标原因，也不公布评标过程中的相关</w:t>
      </w:r>
      <w:r>
        <w:rPr>
          <w:rFonts w:hint="eastAsia" w:ascii="宋体" w:hAnsi="宋体" w:eastAsia="宋体" w:cs="宋体"/>
          <w:color w:val="auto"/>
          <w:sz w:val="24"/>
          <w:szCs w:val="24"/>
          <w:highlight w:val="none"/>
        </w:rPr>
        <w:t xml:space="preserve">细节。</w:t>
      </w:r>
      <w:r/>
    </w:p>
    <w:p>
      <w:pPr>
        <w:pStyle w:val="63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采用综合评分法的项目，未中标的投标人可于中标结果公告期限届满之日起通过苏采云系统查看自己的评审得分及</w:t>
      </w:r>
      <w:r>
        <w:rPr>
          <w:rFonts w:hint="eastAsia" w:ascii="宋体" w:hAnsi="宋体" w:eastAsia="宋体" w:cs="宋体"/>
          <w:color w:val="000000"/>
          <w:sz w:val="24"/>
          <w:szCs w:val="24"/>
          <w:highlight w:val="none"/>
        </w:rPr>
        <w:t xml:space="preserve">排序情况。</w:t>
      </w:r>
      <w:r>
        <w:rPr>
          <w:rFonts w:hint="eastAsia" w:ascii="宋体" w:hAnsi="宋体" w:eastAsia="宋体" w:cs="宋体"/>
          <w:color w:val="000000"/>
          <w:sz w:val="24"/>
          <w:szCs w:val="24"/>
          <w:highlight w:val="none"/>
          <w:shd w:val="clear" w:color="auto" w:fill="auto"/>
        </w:rPr>
        <w:t xml:space="preserve">（提醒：经</w:t>
      </w:r>
      <w:r>
        <w:rPr>
          <w:rFonts w:hint="eastAsia" w:ascii="宋体" w:hAnsi="宋体" w:eastAsia="宋体" w:cs="宋体"/>
          <w:color w:val="auto"/>
          <w:sz w:val="24"/>
          <w:szCs w:val="24"/>
          <w:highlight w:val="none"/>
          <w:shd w:val="clear" w:color="auto" w:fill="auto"/>
        </w:rPr>
        <w:t xml:space="preserve">办人在苏采云系统查询到中标结果公告后，再点击推送。招标文件定稿后该提醒删除）</w:t>
      </w:r>
      <w:r/>
    </w:p>
    <w:p>
      <w:pPr>
        <w:pStyle w:val="635"/>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136" w:name="_Toc513029232"/>
      <w:r/>
      <w:bookmarkStart w:id="137" w:name="_Toc16938548"/>
      <w:r/>
      <w:bookmarkStart w:id="138" w:name="_Toc20823304"/>
      <w:r>
        <w:rPr>
          <w:rFonts w:hint="eastAsia" w:ascii="宋体" w:hAnsi="宋体" w:eastAsia="宋体" w:cs="宋体"/>
          <w:color w:val="000000"/>
          <w:sz w:val="24"/>
          <w:szCs w:val="24"/>
          <w:highlight w:val="none"/>
        </w:rPr>
        <w:t xml:space="preserve">25．投标文件的澄清</w:t>
      </w:r>
      <w:bookmarkEnd w:id="136"/>
      <w:r/>
      <w:bookmarkEnd w:id="137"/>
      <w:r/>
      <w:bookmarkEnd w:id="138"/>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bookmarkStart w:id="139" w:name="_Toc16938549"/>
      <w:r/>
      <w:bookmarkStart w:id="140" w:name="_Toc20823305"/>
      <w:r/>
      <w:bookmarkStart w:id="141" w:name="_Toc513029233"/>
      <w:r>
        <w:rPr>
          <w:rFonts w:hint="eastAsia" w:ascii="宋体" w:hAnsi="宋体" w:eastAsia="宋体" w:cs="宋体"/>
          <w:color w:val="000000"/>
          <w:sz w:val="24"/>
          <w:szCs w:val="24"/>
          <w:highlight w:val="none"/>
        </w:rPr>
        <w:t xml:space="preserve">25.1评标期间，评委会对投标文件中含义不明确、同类问题表述不一致或者有明显文字和计算错误的内容 ，有权要求投标人作出必要的澄清、说明或者补正。</w:t>
      </w:r>
      <w:bookmarkEnd w:id="139"/>
      <w:r/>
      <w:bookmarkEnd w:id="140"/>
      <w:r/>
      <w:bookmarkEnd w:id="141"/>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pStyle w:val="63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评标委员会并非对每个投标人都做澄清要求。</w:t>
      </w:r>
      <w:r/>
    </w:p>
    <w:p>
      <w:pPr>
        <w:pStyle w:val="63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25.3 接到评委会澄清、说明和补正要求的投标人如未按规定</w:t>
      </w:r>
      <w:r>
        <w:rPr>
          <w:rFonts w:hint="eastAsia" w:ascii="宋体" w:hAnsi="宋体" w:eastAsia="宋体" w:cs="宋体"/>
          <w:color w:val="auto"/>
          <w:sz w:val="24"/>
          <w:szCs w:val="24"/>
          <w:highlight w:val="none"/>
          <w:lang w:val="en-US" w:eastAsia="zh-CN"/>
        </w:rPr>
        <w:t xml:space="preserve">作</w:t>
      </w:r>
      <w:r>
        <w:rPr>
          <w:rFonts w:hint="eastAsia" w:ascii="宋体" w:hAnsi="宋体" w:eastAsia="宋体" w:cs="宋体"/>
          <w:color w:val="auto"/>
          <w:sz w:val="24"/>
          <w:szCs w:val="24"/>
          <w:highlight w:val="none"/>
        </w:rPr>
        <w:t xml:space="preserve">出澄清、</w:t>
      </w:r>
      <w:r>
        <w:rPr>
          <w:rFonts w:hint="eastAsia" w:ascii="宋体" w:hAnsi="宋体" w:eastAsia="宋体" w:cs="宋体"/>
          <w:color w:val="000000"/>
          <w:sz w:val="24"/>
          <w:szCs w:val="24"/>
          <w:highlight w:val="none"/>
        </w:rPr>
        <w:t xml:space="preserve">说明和补正，其风险由投标人自行承担。</w:t>
      </w:r>
      <w:r/>
    </w:p>
    <w:p>
      <w:pPr>
        <w:pStyle w:val="635"/>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26、对投标文件的初审</w:t>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26.1投标文件初审分为资格审查和符合性审查。</w:t>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26.1.1 资格审查：依据法律法规和招标文件的规定，由采购人对投标文件中的资格证明文件进行审查。资格审查的结论，采购人以书面形式向评委会进行反馈。</w:t>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26.1.2 符合性审查：依据招标文件的规定，由评委会从投标文件的有效性、完整性和对招标文件的响应程度进行审查，以确定是否对招标文件的实质性要求作出响应。</w:t>
      </w:r>
      <w:r/>
    </w:p>
    <w:p>
      <w:pPr>
        <w:pStyle w:val="63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26.1.3 未通过资格审查或符合性审查的投标人，</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w:t>
      </w:r>
      <w:r>
        <w:rPr>
          <w:rFonts w:hint="eastAsia" w:ascii="宋体" w:hAnsi="宋体" w:eastAsia="宋体" w:cs="宋体"/>
          <w:color w:val="auto"/>
          <w:sz w:val="24"/>
          <w:szCs w:val="24"/>
          <w:highlight w:val="none"/>
        </w:rPr>
        <w:t xml:space="preserve">在苏采云系统中告知未通过资格审查或符合性审查的原因，评审结束后，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将不再告知未通过资格审查或符合性审查的原因。</w:t>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26.3如果投标文件实质上没有响应招标文件的要求，评委会将予以拒绝，投标人不得通过修改或撤销不</w:t>
      </w:r>
      <w:r>
        <w:rPr>
          <w:rFonts w:hint="eastAsia" w:ascii="宋体" w:hAnsi="宋体" w:eastAsia="宋体" w:cs="宋体"/>
          <w:color w:val="000000"/>
          <w:sz w:val="24"/>
          <w:szCs w:val="24"/>
          <w:highlight w:val="none"/>
          <w:lang w:val="en-US" w:eastAsia="zh-CN"/>
        </w:rPr>
        <w:t xml:space="preserve">符</w:t>
      </w:r>
      <w:r>
        <w:rPr>
          <w:rFonts w:hint="eastAsia" w:ascii="宋体" w:hAnsi="宋体" w:eastAsia="宋体" w:cs="宋体"/>
          <w:color w:val="000000"/>
          <w:sz w:val="24"/>
          <w:szCs w:val="24"/>
          <w:highlight w:val="none"/>
        </w:rPr>
        <w:t xml:space="preserve">合要求的偏离或保留而使其投标成为实质性响应的投标。</w:t>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26.4评委会将对确定为实质性响应的投标进行进一步审核，看其是否有计算上或累加上的算术错误，修正错误的原则如下：</w:t>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同时出现两种以上错误的，按照前款规定的顺序修正。</w:t>
      </w:r>
      <w:r/>
    </w:p>
    <w:p>
      <w:pPr>
        <w:pStyle w:val="63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bookmarkStart w:id="142" w:name="_Toc513029234"/>
      <w:r/>
      <w:bookmarkStart w:id="143" w:name="_Toc20823306"/>
      <w:r/>
      <w:bookmarkStart w:id="144" w:name="_Toc16938550"/>
      <w:r>
        <w:rPr>
          <w:rFonts w:hint="eastAsia" w:ascii="宋体" w:hAnsi="宋体" w:eastAsia="宋体" w:cs="宋体"/>
          <w:color w:val="000000"/>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2"/>
      <w:r/>
      <w:bookmarkEnd w:id="143"/>
      <w:r/>
      <w:bookmarkEnd w:id="144"/>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635"/>
        <w:ind w:firstLine="42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非单一产品采购项目，招标文件中将载明其中的核心产品。多家投标人提供的核心产品品牌相同的，按前两款规定处理。</w:t>
      </w:r>
      <w:r/>
    </w:p>
    <w:p>
      <w:pPr>
        <w:pStyle w:val="635"/>
        <w:ind w:firstLine="42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及评标委员会联系。</w:t>
      </w:r>
      <w:r/>
    </w:p>
    <w:p>
      <w:pPr>
        <w:pStyle w:val="635"/>
        <w:ind w:firstLine="420"/>
        <w:jc w:val="both"/>
        <w:keepLines/>
        <w:keepNext/>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27、无效投标条款和废标条款</w:t>
      </w:r>
      <w:r/>
    </w:p>
    <w:p>
      <w:pPr>
        <w:pStyle w:val="635"/>
        <w:ind w:left="479"/>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bookmarkStart w:id="145" w:name="_Toc513029235"/>
      <w:r/>
      <w:bookmarkStart w:id="146" w:name="_Toc20823307"/>
      <w:r/>
      <w:bookmarkStart w:id="147" w:name="_Toc16938551"/>
      <w:r>
        <w:rPr>
          <w:rFonts w:hint="eastAsia" w:ascii="宋体" w:hAnsi="宋体" w:eastAsia="宋体" w:cs="宋体"/>
          <w:color w:val="auto"/>
          <w:sz w:val="24"/>
          <w:szCs w:val="24"/>
          <w:highlight w:val="none"/>
        </w:rPr>
        <w:t xml:space="preserve">27.1无效投标条款</w:t>
      </w:r>
      <w:bookmarkEnd w:id="145"/>
      <w:r/>
      <w:bookmarkEnd w:id="146"/>
      <w:r/>
      <w:bookmarkEnd w:id="147"/>
      <w:r/>
      <w:r/>
    </w:p>
    <w:p>
      <w:pPr>
        <w:pStyle w:val="63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 投标人在苏采云系统规定的时间内未成功解密电子投标文件的。</w:t>
      </w:r>
      <w:r/>
    </w:p>
    <w:p>
      <w:pPr>
        <w:pStyle w:val="63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 投标人未按照招标文件要求上传电子投标文件的。</w:t>
      </w:r>
      <w:r/>
    </w:p>
    <w:p>
      <w:pPr>
        <w:pStyle w:val="635"/>
        <w:ind w:left="479"/>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27.1.3同一投标人提交两个（含两个）以上不同的投标报价的。</w:t>
      </w:r>
      <w:r/>
    </w:p>
    <w:p>
      <w:pPr>
        <w:pStyle w:val="635"/>
        <w:ind w:left="479"/>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27.1.4投标人不具备招标文件中规定资格要求的。</w:t>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27.1.5投标人的报价超过了采购预算或最高限价的。</w:t>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27.1.6未通过符合性审查的。</w:t>
      </w:r>
      <w:r/>
    </w:p>
    <w:p>
      <w:pPr>
        <w:pStyle w:val="635"/>
        <w:ind w:firstLine="36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27.1.7不符合招标文件中规定的实质性要求和条件的</w:t>
      </w:r>
      <w:r>
        <w:rPr>
          <w:rFonts w:hint="eastAsia" w:ascii="宋体" w:hAnsi="宋体" w:eastAsia="宋体" w:cs="宋体"/>
          <w:color w:val="000000"/>
          <w:sz w:val="24"/>
          <w:szCs w:val="24"/>
          <w:highlight w:val="none"/>
          <w:u w:val="single"/>
        </w:rPr>
        <w:t xml:space="preserve">（</w:t>
      </w:r>
      <w:r>
        <w:rPr>
          <w:rFonts w:hint="eastAsia" w:ascii="宋体" w:hAnsi="宋体" w:eastAsia="宋体" w:cs="宋体"/>
          <w:i/>
          <w:color w:val="000000"/>
          <w:sz w:val="24"/>
          <w:szCs w:val="24"/>
          <w:highlight w:val="none"/>
          <w:u w:val="single"/>
        </w:rPr>
        <w:t xml:space="preserve">本招标文件中斜体且有下划线部分为实质性要求和条件）。</w:t>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27.1.9投标文件含有采购人不能接受的附加条件的。</w:t>
      </w:r>
      <w:r/>
    </w:p>
    <w:p>
      <w:pPr>
        <w:pStyle w:val="63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yellow"/>
        </w:rPr>
      </w:pPr>
      <w:r>
        <w:rPr>
          <w:rFonts w:hint="eastAsia" w:ascii="宋体" w:hAnsi="宋体" w:eastAsia="宋体" w:cs="宋体"/>
          <w:color w:val="000000"/>
          <w:sz w:val="24"/>
          <w:szCs w:val="24"/>
          <w:highlight w:val="yellow"/>
        </w:rPr>
        <w:t xml:space="preserve">2</w:t>
      </w:r>
      <w:r>
        <w:rPr>
          <w:rFonts w:hint="eastAsia" w:ascii="宋体" w:hAnsi="宋体" w:eastAsia="宋体" w:cs="宋体"/>
          <w:color w:val="000000"/>
          <w:sz w:val="24"/>
          <w:szCs w:val="24"/>
          <w:highlight w:val="yellow"/>
          <w:lang w:val="en-US" w:eastAsia="zh-CN"/>
        </w:rPr>
        <w:t xml:space="preserve">7</w:t>
      </w:r>
      <w:r>
        <w:rPr>
          <w:rFonts w:hint="eastAsia" w:ascii="宋体" w:hAnsi="宋体" w:eastAsia="宋体" w:cs="宋体"/>
          <w:color w:val="000000"/>
          <w:sz w:val="24"/>
          <w:szCs w:val="24"/>
          <w:highlight w:val="yellow"/>
        </w:rPr>
        <w:t xml:space="preserve">.1.10</w:t>
      </w:r>
      <w:r>
        <w:rPr>
          <w:rFonts w:hint="eastAsia" w:ascii="宋体" w:hAnsi="宋体" w:eastAsia="宋体" w:cs="宋体"/>
          <w:color w:val="auto"/>
          <w:sz w:val="24"/>
          <w:szCs w:val="24"/>
          <w:highlight w:val="yellow"/>
        </w:rPr>
        <w:t xml:space="preserve">投标人不能证明其报价合理性的，评</w:t>
      </w:r>
      <w:r>
        <w:rPr>
          <w:rFonts w:hint="eastAsia" w:ascii="宋体" w:hAnsi="宋体" w:eastAsia="宋体" w:cs="宋体"/>
          <w:color w:val="auto"/>
          <w:sz w:val="24"/>
          <w:szCs w:val="24"/>
          <w:highlight w:val="yellow"/>
          <w:lang w:val="en-US" w:eastAsia="zh-CN"/>
        </w:rPr>
        <w:t xml:space="preserve">标</w:t>
      </w:r>
      <w:r>
        <w:rPr>
          <w:rFonts w:hint="eastAsia" w:ascii="宋体" w:hAnsi="宋体" w:eastAsia="宋体" w:cs="宋体"/>
          <w:color w:val="auto"/>
          <w:sz w:val="24"/>
          <w:szCs w:val="24"/>
          <w:highlight w:val="yellow"/>
        </w:rPr>
        <w:t xml:space="preserve">委员会应当将其作为无效投标处理。</w:t>
      </w:r>
      <w:r/>
    </w:p>
    <w:p>
      <w:pPr>
        <w:pStyle w:val="635"/>
        <w:ind w:firstLine="480"/>
        <w:jc w:val="both"/>
        <w:pageBreakBefore w:val="0"/>
        <w:spacing w:beforeAutospacing="0" w:afterAutospacing="0" w:line="288" w:lineRule="auto"/>
        <w:widowControl w:val="off"/>
        <w:rPr>
          <w:rFonts w:hint="eastAsia" w:ascii="宋体" w:hAnsi="宋体" w:eastAsia="宋体" w:cs="宋体"/>
          <w:color w:val="000000"/>
          <w:sz w:val="24"/>
          <w:szCs w:val="24"/>
          <w:highlight w:val="yellow"/>
          <w:lang w:val="en-US" w:eastAsia="zh-CN" w:bidi="ar-SA"/>
        </w:rPr>
      </w:pPr>
      <w:r>
        <w:rPr>
          <w:rFonts w:hint="eastAsia" w:ascii="宋体" w:hAnsi="宋体" w:eastAsia="宋体" w:cs="宋体"/>
          <w:color w:val="000000"/>
          <w:sz w:val="24"/>
          <w:szCs w:val="24"/>
          <w:highlight w:val="yellow"/>
          <w:lang w:val="en-US" w:eastAsia="zh-CN" w:bidi="ar-SA"/>
        </w:rPr>
        <w:t xml:space="preserve">（一）评审过程中出现下列情形之一的，评标委员会应当启动异常低价投标审查程序：</w:t>
      </w:r>
      <w:r/>
    </w:p>
    <w:p>
      <w:pPr>
        <w:pStyle w:val="635"/>
        <w:ind w:firstLine="480"/>
        <w:jc w:val="both"/>
        <w:pageBreakBefore w:val="0"/>
        <w:spacing w:beforeAutospacing="0" w:afterAutospacing="0" w:line="288" w:lineRule="auto"/>
        <w:widowControl w:val="off"/>
        <w:rPr>
          <w:rFonts w:hint="eastAsia" w:ascii="宋体" w:hAnsi="宋体" w:eastAsia="宋体" w:cs="宋体"/>
          <w:color w:val="000000"/>
          <w:sz w:val="24"/>
          <w:szCs w:val="24"/>
          <w:highlight w:val="yellow"/>
          <w:lang w:val="en-US" w:eastAsia="zh-CN" w:bidi="ar-SA"/>
        </w:rPr>
      </w:pPr>
      <w:r>
        <w:rPr>
          <w:rFonts w:hint="eastAsia" w:ascii="宋体" w:hAnsi="宋体" w:eastAsia="宋体" w:cs="宋体"/>
          <w:color w:val="000000"/>
          <w:sz w:val="24"/>
          <w:szCs w:val="24"/>
          <w:highlight w:val="yellow"/>
          <w:lang w:val="en-US" w:eastAsia="zh-CN" w:bidi="ar-SA"/>
        </w:rPr>
        <w:t xml:space="preserve">1.投标报价低于采购项目预算50%的，即投标报价&lt;采购项目预算×50%；</w:t>
      </w:r>
      <w:r/>
    </w:p>
    <w:p>
      <w:pPr>
        <w:pStyle w:val="635"/>
        <w:ind w:firstLine="480"/>
        <w:jc w:val="both"/>
        <w:pageBreakBefore w:val="0"/>
        <w:spacing w:beforeAutospacing="0" w:afterAutospacing="0" w:line="288" w:lineRule="auto"/>
        <w:widowControl w:val="off"/>
        <w:rPr>
          <w:rFonts w:hint="eastAsia" w:ascii="宋体" w:hAnsi="宋体" w:eastAsia="宋体" w:cs="宋体"/>
          <w:color w:val="000000"/>
          <w:sz w:val="24"/>
          <w:szCs w:val="24"/>
          <w:highlight w:val="yellow"/>
          <w:lang w:val="en-US" w:eastAsia="zh-CN" w:bidi="ar-SA"/>
        </w:rPr>
      </w:pPr>
      <w:r>
        <w:rPr>
          <w:rFonts w:hint="eastAsia" w:ascii="宋体" w:hAnsi="宋体" w:eastAsia="宋体" w:cs="宋体"/>
          <w:color w:val="000000"/>
          <w:sz w:val="24"/>
          <w:szCs w:val="24"/>
          <w:highlight w:val="yellow"/>
          <w:lang w:val="en-US" w:eastAsia="zh-CN" w:bidi="ar-SA"/>
        </w:rPr>
        <w:t xml:space="preserve">2.投标报价低于采购项目最高限价45%的，即投标报价&lt;采购项目最高限价×45%；</w:t>
      </w:r>
      <w:r/>
    </w:p>
    <w:p>
      <w:pPr>
        <w:pStyle w:val="635"/>
        <w:ind w:firstLine="480"/>
        <w:jc w:val="both"/>
        <w:pageBreakBefore w:val="0"/>
        <w:spacing w:beforeAutospacing="0" w:afterAutospacing="0" w:line="288" w:lineRule="auto"/>
        <w:widowControl w:val="off"/>
        <w:rPr>
          <w:rFonts w:hint="eastAsia" w:ascii="宋体" w:hAnsi="宋体" w:eastAsia="宋体" w:cs="宋体"/>
          <w:color w:val="000000"/>
          <w:sz w:val="24"/>
          <w:szCs w:val="24"/>
          <w:highlight w:val="yellow"/>
          <w:lang w:val="en-US" w:eastAsia="zh-CN" w:bidi="ar-SA"/>
        </w:rPr>
      </w:pPr>
      <w:r>
        <w:rPr>
          <w:rFonts w:hint="eastAsia" w:ascii="宋体" w:hAnsi="宋体" w:eastAsia="宋体" w:cs="宋体"/>
          <w:color w:val="000000"/>
          <w:sz w:val="24"/>
          <w:szCs w:val="24"/>
          <w:highlight w:val="yellow"/>
          <w:lang w:val="en-US" w:eastAsia="zh-CN" w:bidi="ar-SA"/>
        </w:rPr>
        <w:t xml:space="preserve">3.评标委员会认定的供应商报价过低、有可能影响产品质量或者不能诚信履约的其他情形。</w:t>
      </w:r>
      <w:r/>
    </w:p>
    <w:p>
      <w:pPr>
        <w:pStyle w:val="63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yellow"/>
          <w:lang w:val="en-US" w:eastAsia="zh-CN" w:bidi="ar-SA"/>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63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27.1.11 本项目采购产品被财政部、</w:t>
      </w:r>
      <w:r>
        <w:rPr>
          <w:rFonts w:hint="eastAsia" w:ascii="宋体" w:hAnsi="宋体" w:eastAsia="宋体" w:cs="宋体"/>
          <w:color w:val="auto"/>
          <w:sz w:val="24"/>
          <w:szCs w:val="24"/>
          <w:highlight w:val="none"/>
          <w:lang w:eastAsia="zh-CN"/>
        </w:rPr>
        <w:t xml:space="preserve">国家发展改革委</w:t>
      </w:r>
      <w:r>
        <w:rPr>
          <w:rFonts w:hint="eastAsia" w:ascii="宋体" w:hAnsi="宋体" w:eastAsia="宋体" w:cs="宋体"/>
          <w:color w:val="auto"/>
          <w:sz w:val="24"/>
          <w:szCs w:val="24"/>
          <w:highlight w:val="none"/>
        </w:rPr>
        <w:t xml:space="preserve">、生态环境部等列入“节能产品品目清单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63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27.1.12 投标文件未按照招标文件要求加盖CA电子公章的。</w:t>
      </w:r>
      <w:r/>
    </w:p>
    <w:p>
      <w:pPr>
        <w:pStyle w:val="63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27.1.13其他法律、法规及本招标文件规定的属无效投标的情形。</w:t>
      </w:r>
      <w:r/>
    </w:p>
    <w:p>
      <w:pPr>
        <w:pStyle w:val="635"/>
        <w:ind w:left="479"/>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27.2废标条款</w:t>
      </w:r>
      <w:r/>
    </w:p>
    <w:p>
      <w:pPr>
        <w:pStyle w:val="635"/>
        <w:ind w:left="479"/>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27.2.1符合专业条件的供应商或者对招标文件作实质响应的供应商不足三家的。27.2.2出现影响采购公正的违法、违规行为的。</w:t>
      </w:r>
      <w:r/>
    </w:p>
    <w:p>
      <w:pPr>
        <w:pStyle w:val="635"/>
        <w:ind w:left="479"/>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27.2.3因重大变故，采购任务取消的。</w:t>
      </w:r>
      <w:r/>
    </w:p>
    <w:p>
      <w:pPr>
        <w:pStyle w:val="635"/>
        <w:ind w:left="479"/>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27.2.4评标委员会认定招标文件存在歧义、重大缺陷导致评审工作无法进行。</w:t>
      </w:r>
      <w:r/>
    </w:p>
    <w:p>
      <w:pPr>
        <w:pStyle w:val="635"/>
        <w:ind w:left="479"/>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27.2.5 因苏采云</w:t>
      </w:r>
      <w:r>
        <w:rPr>
          <w:rFonts w:hint="eastAsia" w:ascii="宋体" w:hAnsi="宋体" w:eastAsia="宋体" w:cs="宋体"/>
          <w:color w:val="auto"/>
          <w:sz w:val="24"/>
          <w:szCs w:val="24"/>
          <w:highlight w:val="none"/>
          <w:lang w:eastAsia="zh-CN"/>
        </w:rPr>
        <w:t xml:space="preserve">系统故障</w:t>
      </w:r>
      <w:r>
        <w:rPr>
          <w:rFonts w:hint="eastAsia" w:ascii="宋体" w:hAnsi="宋体" w:eastAsia="宋体" w:cs="宋体"/>
          <w:color w:val="auto"/>
          <w:sz w:val="24"/>
          <w:szCs w:val="24"/>
          <w:highlight w:val="none"/>
        </w:rPr>
        <w:t xml:space="preserve">原因造成开标不成功的。</w:t>
      </w:r>
      <w:r/>
    </w:p>
    <w:p>
      <w:pPr>
        <w:pStyle w:val="635"/>
        <w:ind w:left="479"/>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投标截止时间结束后参加投标的供应商不足三家的处理：</w:t>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27.3.1如出现投标截止时间结束后参加投标的供应商或者</w:t>
      </w:r>
      <w:r>
        <w:rPr>
          <w:rFonts w:hint="eastAsia" w:ascii="宋体" w:hAnsi="宋体" w:eastAsia="宋体" w:cs="宋体"/>
          <w:color w:val="000000"/>
          <w:sz w:val="24"/>
          <w:szCs w:val="24"/>
          <w:highlight w:val="none"/>
        </w:rPr>
        <w:t xml:space="preserve">在评标期间对招标文件做出实质响应的供应商不足三家情况，按政府采购相关规定执行。</w:t>
      </w:r>
      <w:r/>
    </w:p>
    <w:p>
      <w:pPr>
        <w:pStyle w:val="635"/>
        <w:ind w:firstLine="482"/>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148" w:name="_Toc120614219"/>
      <w:r>
        <w:rPr>
          <w:rFonts w:hint="eastAsia" w:ascii="宋体" w:hAnsi="宋体" w:eastAsia="宋体" w:cs="宋体"/>
          <w:b/>
          <w:color w:val="000000"/>
          <w:sz w:val="24"/>
          <w:szCs w:val="24"/>
          <w:highlight w:val="none"/>
        </w:rPr>
        <w:t xml:space="preserve">六、定标</w:t>
      </w:r>
      <w:bookmarkEnd w:id="148"/>
      <w:r/>
      <w:r/>
    </w:p>
    <w:p>
      <w:pPr>
        <w:pStyle w:val="635"/>
        <w:ind w:firstLine="60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149" w:name="_Toc20823310"/>
      <w:r/>
      <w:bookmarkStart w:id="150" w:name="_Toc16938554"/>
      <w:r/>
      <w:bookmarkStart w:id="151" w:name="_Toc513029238"/>
      <w:r>
        <w:rPr>
          <w:rFonts w:hint="eastAsia" w:ascii="宋体" w:hAnsi="宋体" w:eastAsia="宋体" w:cs="宋体"/>
          <w:color w:val="000000"/>
          <w:sz w:val="24"/>
          <w:szCs w:val="24"/>
          <w:highlight w:val="none"/>
        </w:rPr>
        <w:t xml:space="preserve">28、</w:t>
      </w:r>
      <w:bookmarkEnd w:id="149"/>
      <w:r>
        <w:rPr>
          <w:rFonts w:hint="eastAsia" w:ascii="宋体" w:hAnsi="宋体" w:eastAsia="宋体" w:cs="宋体"/>
          <w:color w:val="000000"/>
          <w:sz w:val="24"/>
          <w:szCs w:val="24"/>
          <w:highlight w:val="none"/>
        </w:rPr>
        <w:t xml:space="preserve">确定</w:t>
      </w:r>
      <w:bookmarkEnd w:id="150"/>
      <w:r/>
      <w:bookmarkEnd w:id="151"/>
      <w:r>
        <w:rPr>
          <w:rFonts w:hint="eastAsia" w:ascii="宋体" w:hAnsi="宋体" w:eastAsia="宋体" w:cs="宋体"/>
          <w:color w:val="000000"/>
          <w:sz w:val="24"/>
          <w:szCs w:val="24"/>
          <w:highlight w:val="none"/>
        </w:rPr>
        <w:t xml:space="preserve">中标单位</w:t>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28.1中标候选人的选取原则和数量见招标文件第五章规定。 </w:t>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 采购人应根据评委会推荐的中标候选人确定中标人。</w:t>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发布中标公告，公告期限为1个工作日。</w:t>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  若有充分证据证明，中标人出现下列情况之一的，一经查实，将被取消中标资格：</w:t>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28.4.1提供虚假材料谋取中标的。</w:t>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28.4.2向采购人行贿或者提供其他不正当利益的。</w:t>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28.4.3属于本文件规定的无效条件，但在评标过程中又未被评委会发现的。</w:t>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28.4.4与采购人或者其他供应商恶意串通的。</w:t>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28.4.5采取不正当手段诋毁、排挤其他供应商的。</w:t>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bookmarkStart w:id="152" w:name="_Toc200451960"/>
      <w:r>
        <w:rPr>
          <w:rFonts w:hint="eastAsia" w:ascii="宋体" w:hAnsi="宋体" w:eastAsia="宋体" w:cs="宋体"/>
          <w:color w:val="000000"/>
          <w:sz w:val="24"/>
          <w:szCs w:val="24"/>
          <w:highlight w:val="none"/>
        </w:rPr>
        <w:t xml:space="preserve">28.5. 有下列情形之一的，视为投标人串通投标，投标无效：</w:t>
      </w:r>
      <w:bookmarkEnd w:id="152"/>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28.5.1不同投标人的投标文件由同一单位或者个人编制；</w:t>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28.5.2不同投标人委托同一单位或者个人办理投标事宜；</w:t>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 不同投标人的投标文件载明的项目管理成员或者联系人员为同一人；</w:t>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28.5.4不同投标人的投标文件异常一致或者投标报价呈规律性差异；</w:t>
      </w:r>
      <w:r/>
    </w:p>
    <w:p>
      <w:pPr>
        <w:pStyle w:val="635"/>
        <w:ind w:firstLine="60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29、质疑处理</w:t>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29.1 提出质疑的供应商应当是参与所质疑项目采购活动的供应商。潜在供应商依法获取其可质疑的采购文件的，可以对采购文件提出质疑。</w:t>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或采购人提出质疑。上述应知其权益受到损害之日，是指：</w:t>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29.2.1对可以质疑的采购文件提出质疑的，为收到采购文件之日或者采购文件公告期限届满之日；</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rPr>
        <w:t xml:space="preserve">   29.2.2对采购过程提出质疑的，为各采购程序环节结束之日；</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rPr>
        <w:t xml:space="preserve">   29.2.3对中标或者成交结果提出质疑的，为中标或者成交结果公告期限届满之日。</w:t>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63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29.4 供应</w:t>
      </w:r>
      <w:r>
        <w:rPr>
          <w:rFonts w:hint="eastAsia" w:ascii="宋体" w:hAnsi="宋体" w:eastAsia="宋体" w:cs="宋体"/>
          <w:color w:val="auto"/>
          <w:sz w:val="24"/>
          <w:szCs w:val="24"/>
          <w:highlight w:val="none"/>
        </w:rPr>
        <w:t xml:space="preserve">商（含潜在供应商）对采购方式、招标文件中采购需求、供应商资格条件、评标方法和评标标准、合同文本及资格审查结果的询问、质疑请向采购人提出，由采购人负责答复。供应商对其他事项的询问、质疑请向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提出，由采购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负责答复。</w:t>
      </w:r>
      <w:r/>
    </w:p>
    <w:p>
      <w:pPr>
        <w:pStyle w:val="63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采购人只接收以纸质原件形式送达的质疑,采购人不接受未填写快递运单的快件。质疑接收部门</w:t>
      </w:r>
      <w:r>
        <w:rPr>
          <w:rFonts w:hint="eastAsia" w:ascii="宋体" w:hAnsi="宋体" w:eastAsia="宋体" w:cs="宋体"/>
          <w:color w:val="auto"/>
          <w:sz w:val="24"/>
          <w:szCs w:val="24"/>
          <w:highlight w:val="none"/>
          <w:lang w:val="en-US" w:eastAsia="zh-CN"/>
        </w:rPr>
        <w:t xml:space="preserve">详见招标公告采购人信息</w:t>
      </w:r>
      <w:r>
        <w:rPr>
          <w:rFonts w:hint="eastAsia" w:ascii="宋体" w:hAnsi="宋体" w:eastAsia="宋体" w:cs="宋体"/>
          <w:color w:val="auto"/>
          <w:sz w:val="24"/>
          <w:szCs w:val="24"/>
          <w:highlight w:val="none"/>
        </w:rPr>
        <w:t xml:space="preserve">。</w:t>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 以下情形的质疑不予受理</w:t>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29.5.1 内容不符合《政府采购质疑和投诉办法》第十二条规定的质疑。</w:t>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29.5.2 超出政府采购法定期限的质疑。</w:t>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29.5.3 以传真、电子邮件等方式递交的非原件形式的质疑。</w:t>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29.5.4 未参加投标活动的供应商或在投标活动中自身权益未受到损害的供应商所提出的质疑。</w:t>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29.5.5供应商组成联合体参加投标，联合体中任何一方或多方未按要求签字、盖章、加盖公章的质疑。</w:t>
      </w:r>
      <w:r/>
    </w:p>
    <w:p>
      <w:pPr>
        <w:pStyle w:val="635"/>
        <w:ind w:firstLine="468"/>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29.6  供应商提出书面质疑必须有理、有据，不得捏造事实、提供虚假材料进行恶意质疑。否则，一经查实，</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p>
    <w:p>
      <w:pPr>
        <w:pStyle w:val="635"/>
        <w:ind w:firstLine="60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30、中标通知书</w:t>
      </w:r>
      <w:r/>
    </w:p>
    <w:p>
      <w:pPr>
        <w:pStyle w:val="635"/>
        <w:ind w:firstLine="60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中标结果确定后，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将向中标人发出中标通知书。请中标人在中标结果公告届满之日起30日内,使用CA数字证书</w:t>
      </w:r>
      <w:r>
        <w:rPr>
          <w:rFonts w:hint="eastAsia" w:ascii="宋体" w:hAnsi="宋体" w:eastAsia="宋体" w:cs="宋体"/>
          <w:color w:val="auto"/>
          <w:sz w:val="24"/>
          <w:szCs w:val="24"/>
          <w:highlight w:val="none"/>
        </w:rPr>
        <w:t xml:space="preserve">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eastAsia="宋体" w:cs="宋体"/>
          <w:color w:val="000000"/>
          <w:sz w:val="24"/>
          <w:szCs w:val="24"/>
          <w:highlight w:val="none"/>
        </w:rPr>
        <w:t xml:space="preserve">标人自行承担。</w:t>
      </w:r>
      <w:r/>
    </w:p>
    <w:p>
      <w:pPr>
        <w:pStyle w:val="635"/>
        <w:ind w:firstLine="60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635"/>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153" w:name="_Toc513029236"/>
      <w:r/>
      <w:bookmarkStart w:id="154" w:name="_Toc16938552"/>
      <w:r/>
      <w:bookmarkStart w:id="155" w:name="_Toc120614220"/>
      <w:r/>
      <w:bookmarkStart w:id="156" w:name="_Toc20823308"/>
      <w:r>
        <w:rPr>
          <w:rFonts w:hint="eastAsia" w:ascii="宋体" w:hAnsi="宋体" w:eastAsia="宋体" w:cs="宋体"/>
          <w:b/>
          <w:color w:val="000000"/>
          <w:sz w:val="24"/>
          <w:szCs w:val="24"/>
          <w:highlight w:val="none"/>
        </w:rPr>
        <w:t xml:space="preserve">七、授予合同</w:t>
      </w:r>
      <w:bookmarkEnd w:id="153"/>
      <w:r/>
      <w:bookmarkEnd w:id="154"/>
      <w:r/>
      <w:bookmarkEnd w:id="155"/>
      <w:r/>
      <w:bookmarkEnd w:id="156"/>
      <w:r/>
      <w:r/>
    </w:p>
    <w:p>
      <w:pPr>
        <w:pStyle w:val="635"/>
        <w:ind w:firstLine="60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157" w:name="_Toc513029237"/>
      <w:r/>
      <w:bookmarkStart w:id="158" w:name="_Toc20823309"/>
      <w:r/>
      <w:bookmarkStart w:id="159" w:name="_Toc16938553"/>
      <w:r>
        <w:rPr>
          <w:rFonts w:hint="eastAsia" w:ascii="宋体" w:hAnsi="宋体" w:eastAsia="宋体" w:cs="宋体"/>
          <w:color w:val="000000"/>
          <w:sz w:val="24"/>
          <w:szCs w:val="24"/>
          <w:highlight w:val="none"/>
        </w:rPr>
        <w:t xml:space="preserve">31. 签订合同</w:t>
      </w:r>
      <w:bookmarkEnd w:id="157"/>
      <w:r/>
      <w:bookmarkEnd w:id="158"/>
      <w:r/>
      <w:bookmarkEnd w:id="159"/>
      <w:r/>
      <w:r/>
    </w:p>
    <w:p>
      <w:pPr>
        <w:pStyle w:val="635"/>
        <w:ind w:firstLine="60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31.l中标人应当在中标通知书发出之日起三十日内，按照招标文件确定的事项与采购人签订政府采购合同。</w:t>
      </w:r>
      <w:r/>
    </w:p>
    <w:p>
      <w:pPr>
        <w:pStyle w:val="635"/>
        <w:ind w:firstLine="60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31.2招标文件、中标人的投标文件及招标过程中有关澄清、承诺文件均应作为合同附件。</w:t>
      </w:r>
      <w:r/>
    </w:p>
    <w:p>
      <w:pPr>
        <w:pStyle w:val="635"/>
        <w:ind w:firstLine="600"/>
        <w:jc w:val="both"/>
        <w:pageBreakBefore w:val="0"/>
        <w:spacing w:beforeAutospacing="0" w:afterAutospacing="0" w:line="288" w:lineRule="auto"/>
        <w:widowControl w:val="off"/>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rPr>
        <w:t xml:space="preserve">31.3 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w:t>
      </w:r>
      <w:r>
        <w:rPr>
          <w:rFonts w:hint="eastAsia" w:ascii="宋体" w:hAnsi="宋体" w:eastAsia="宋体" w:cs="宋体"/>
          <w:color w:val="000000"/>
          <w:sz w:val="24"/>
          <w:szCs w:val="24"/>
          <w:highlight w:val="none"/>
          <w:shd w:val="clear" w:color="auto" w:fill="auto"/>
        </w:rPr>
        <w:t xml:space="preserve">购人损失的，中标人应承担相应赔偿责任。</w:t>
      </w:r>
      <w:r/>
    </w:p>
    <w:p>
      <w:pPr>
        <w:pStyle w:val="635"/>
        <w:ind w:firstLine="60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32、货物（包含与货物相关的服务）的追加</w:t>
      </w:r>
      <w:r/>
    </w:p>
    <w:p>
      <w:pPr>
        <w:pStyle w:val="63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635"/>
        <w:numPr>
          <w:ilvl w:val="0"/>
          <w:numId w:val="0"/>
        </w:numPr>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33.政府采购政策功能落实</w:t>
      </w:r>
      <w:r/>
    </w:p>
    <w:p>
      <w:pPr>
        <w:pStyle w:val="635"/>
        <w:ind w:firstLine="480"/>
        <w:jc w:val="both"/>
        <w:keepLines/>
        <w:keepNext/>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63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关于深入推进政府采购线上合同信用融资工作的通知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2"/>
        <w:pageBreakBefore w:val="0"/>
        <w:spacing w:line="288"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33.2进口产品</w:t>
      </w:r>
      <w:r/>
    </w:p>
    <w:p>
      <w:pPr>
        <w:pStyle w:val="63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line="288"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33.3中小企业、监狱企业及残疾人福利性单位</w:t>
      </w:r>
      <w:r/>
    </w:p>
    <w:p>
      <w:pPr>
        <w:ind w:firstLine="48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.3.1中小企业定义：</w:t>
      </w:r>
      <w:r/>
    </w:p>
    <w:p>
      <w:pPr>
        <w:pStyle w:val="63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p>
    <w:p>
      <w:pPr>
        <w:pStyle w:val="63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.3.2供应商提供的货物、工程或者服务符合下列情形的，享受中小企业扶持政策：</w:t>
      </w:r>
      <w:r/>
    </w:p>
    <w:p>
      <w:pPr>
        <w:pStyle w:val="63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.3.2.1在货物采购项目中，货物由中小企业制造，即货物由中小企业生产且使用该中小企业商号或者注册商标；</w:t>
      </w:r>
      <w:r/>
    </w:p>
    <w:p>
      <w:pPr>
        <w:pStyle w:val="63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.3.2.2在工程采购项目中，工程由中小企业承建，即工程施工单位为中小企业；</w:t>
      </w:r>
      <w:r/>
    </w:p>
    <w:p>
      <w:pPr>
        <w:pStyle w:val="63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.3.2.3在服务采购项目中，服务由中小企业承接，即提供服务的人员为中小企业依照《中华人民共和国劳动合同法》订立劳动合同的从业人员。</w:t>
      </w:r>
      <w:r/>
    </w:p>
    <w:p>
      <w:pPr>
        <w:pStyle w:val="63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.3.3在货物采购项目中，供应商提供的货物既有中小企业制造货物，也有大型企业制造货物的，不享受中小企业扶持政策。</w:t>
      </w:r>
      <w:r/>
    </w:p>
    <w:p>
      <w:pPr>
        <w:pStyle w:val="63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.3.4以联合体形式参加政府采购活动，联合体各方均为中小企业的，联合体视同中小企业。其中，联合体各方均为小微企业的，联合体视同小微企业。</w:t>
      </w:r>
      <w:r/>
    </w:p>
    <w:p>
      <w:pPr>
        <w:pStyle w:val="63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3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.3.6残疾人福利单位定义：享受政府采购支持政策的残疾人福利性单位应当同时满足以下条件：</w:t>
      </w:r>
      <w:r/>
    </w:p>
    <w:p>
      <w:pPr>
        <w:pStyle w:val="63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.3.6.1安置的残疾人占本单位在职职工人数的比例不低于25%（含25%），并且安置的残疾人人数不少于10 人（含10 人）；</w:t>
      </w:r>
      <w:r/>
    </w:p>
    <w:p>
      <w:pPr>
        <w:pStyle w:val="63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.3.6.2依法与安置的每位残疾人签订了一年以上（含一年）的劳动合同或服务协议；</w:t>
      </w:r>
      <w:r/>
    </w:p>
    <w:p>
      <w:pPr>
        <w:pStyle w:val="63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.3.6.3为安置的每位残疾人按月足额缴纳了基本养老保险、基本医疗保险、失业保险、工伤保险和生育保险等社会保险费；</w:t>
      </w:r>
      <w:r/>
    </w:p>
    <w:p>
      <w:pPr>
        <w:pStyle w:val="63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.3.6.4通过银行等金融机构向安置的每位残疾人，按月支付了不低于单位所在区县适用的经省级人民政府批准的月最低工资标准的工资；</w:t>
      </w:r>
      <w:r/>
    </w:p>
    <w:p>
      <w:pPr>
        <w:pStyle w:val="63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pStyle w:val="63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3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auto"/>
          <w:sz w:val="24"/>
          <w:szCs w:val="24"/>
          <w:highlight w:val="none"/>
        </w:rPr>
        <w:t xml:space="preserve">》。</w:t>
      </w:r>
      <w:r/>
    </w:p>
    <w:p>
      <w:pPr>
        <w:pStyle w:val="63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.3.8采购标的对应的中小企业划分标准所属行业见第四章《采购需求》。</w:t>
      </w:r>
      <w:r/>
    </w:p>
    <w:p>
      <w:pPr>
        <w:pStyle w:val="63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.3.9小微企业价格评审优惠的政策：见第五章《评标方法和评标标准》。</w:t>
      </w:r>
      <w:r/>
    </w:p>
    <w:p>
      <w:pPr>
        <w:ind w:firstLine="482"/>
        <w:pageBreakBefore w:val="0"/>
        <w:spacing w:line="288"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33.4政府采购节能产品、环境标志产品</w:t>
      </w:r>
      <w:r/>
    </w:p>
    <w:p>
      <w:pPr>
        <w:ind w:firstLine="48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.4.1</w:t>
      </w:r>
      <w:r>
        <w:rPr>
          <w:rFonts w:hint="eastAsia" w:ascii="宋体" w:hAnsi="宋体" w:eastAsia="宋体" w:cs="宋体"/>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firstLine="48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.4.2</w:t>
      </w:r>
      <w:r>
        <w:rPr>
          <w:rFonts w:hint="eastAsia" w:ascii="宋体" w:hAnsi="宋体" w:eastAsia="宋体" w:cs="宋体"/>
          <w:color w:val="auto"/>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pageBreakBefore w:val="0"/>
        <w:spacing w:line="288"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33.5绿色包装</w:t>
      </w:r>
      <w:r/>
    </w:p>
    <w:p>
      <w:pPr>
        <w:ind w:firstLine="480"/>
        <w:pageBreakBefore w:val="0"/>
        <w:spacing w:line="28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pageBreakBefore w:val="0"/>
        <w:spacing w:line="288"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33.6政府采购创新产品</w:t>
      </w:r>
      <w:r/>
    </w:p>
    <w:p>
      <w:pPr>
        <w:ind w:left="0" w:right="0" w:firstLine="478"/>
        <w:jc w:val="both"/>
        <w:pageBreakBefore w:val="0"/>
        <w:spacing w:line="288"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rPr>
        <w:t xml:space="preserve">。</w:t>
      </w:r>
      <w:r/>
    </w:p>
    <w:p>
      <w:pPr>
        <w:ind w:firstLine="482"/>
        <w:pageBreakBefore w:val="0"/>
        <w:spacing w:line="288"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33.7绿色数据中心政策 </w:t>
      </w:r>
      <w:r/>
    </w:p>
    <w:p>
      <w:pPr>
        <w:ind w:firstLine="480"/>
        <w:pageBreakBefore w:val="0"/>
        <w:spacing w:line="28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pageBreakBefore w:val="0"/>
        <w:spacing w:line="288"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33.8履约保证金政策</w:t>
      </w:r>
      <w:r/>
    </w:p>
    <w:p>
      <w:pPr>
        <w:pStyle w:val="643"/>
        <w:ind w:left="0" w:firstLine="560"/>
        <w:pageBreakBefore w:val="0"/>
        <w:spacing w:after="0" w:line="28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firstLine="480"/>
        <w:pageBreakBefore w:val="0"/>
        <w:spacing w:line="28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pageBreakBefore w:val="0"/>
        <w:spacing w:line="28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如以履约保函（保险）形式缴纳履约保证金，供应商可通过政府采购电子履约保函（保险）平台（www.jsdzbh.com）在线申请履约保函（保险）。</w:t>
      </w:r>
      <w:r/>
    </w:p>
    <w:p>
      <w:pPr>
        <w:ind w:firstLine="480"/>
        <w:pageBreakBefore w:val="0"/>
        <w:spacing w:line="28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p>
    <w:p>
      <w:pPr>
        <w:ind w:firstLine="482"/>
        <w:pageBreakBefore w:val="0"/>
        <w:spacing w:line="288"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 预付款制度</w:t>
      </w:r>
      <w:r/>
    </w:p>
    <w:p>
      <w:pPr>
        <w:ind w:firstLine="480"/>
        <w:pageBreakBefore w:val="0"/>
        <w:spacing w:line="28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本项目落实预付款制度，预付款比例为</w:t>
      </w:r>
      <w:r>
        <w:rPr>
          <w:rFonts w:hint="eastAsia" w:ascii="宋体" w:hAnsi="宋体" w:eastAsia="宋体" w:cs="宋体"/>
          <w:color w:val="auto"/>
          <w:sz w:val="24"/>
          <w:szCs w:val="24"/>
          <w:highlight w:val="none"/>
          <w:u w:val="single"/>
          <w:lang w:val="en-US" w:eastAsia="zh-CN" w:bidi="ar-SA"/>
        </w:rPr>
        <w:t xml:space="preserve">30</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shd w:val="clear" w:color="auto" w:fill="auto"/>
          <w:lang w:val="en-US" w:eastAsia="zh-CN" w:bidi="ar-SA"/>
        </w:rPr>
        <w:t xml:space="preserve">（原则上不低于合同金额的30%）</w:t>
      </w:r>
      <w:r>
        <w:rPr>
          <w:rFonts w:hint="eastAsia" w:ascii="宋体" w:hAnsi="宋体" w:eastAsia="宋体" w:cs="宋体"/>
          <w:color w:val="auto"/>
          <w:sz w:val="24"/>
          <w:szCs w:val="24"/>
          <w:highlight w:val="none"/>
          <w:lang w:val="en-US" w:eastAsia="zh-CN" w:bidi="ar-SA"/>
        </w:rPr>
        <w:t xml:space="preserve">。在签订合同时，中标、成交供应商明确书面表示无需预付款或者主动要求降低预付款比例的，采购人可就预付款比例作相应调整。</w:t>
      </w:r>
      <w:r/>
    </w:p>
    <w:p>
      <w:pPr>
        <w:pStyle w:val="643"/>
        <w:ind w:left="0" w:firstLine="560"/>
        <w:spacing w:after="0"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635"/>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35"/>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jc w:val="center"/>
        <w:spacing w:line="360" w:lineRule="auto"/>
        <w:widowControl/>
        <w:rPr>
          <w:sz w:val="36"/>
          <w:szCs w:val="44"/>
          <w:highlight w:val="none"/>
        </w:rPr>
      </w:pPr>
      <w:r>
        <w:rPr>
          <w:sz w:val="36"/>
          <w:szCs w:val="44"/>
          <w:highlight w:val="none"/>
        </w:rPr>
      </w:r>
      <w:r/>
    </w:p>
    <w:p>
      <w:pPr>
        <w:jc w:val="center"/>
        <w:spacing w:line="360" w:lineRule="auto"/>
        <w:widowControl/>
        <w:rPr>
          <w:sz w:val="36"/>
          <w:szCs w:val="44"/>
          <w:highlight w:val="none"/>
        </w:rPr>
      </w:pPr>
      <w:r>
        <w:rPr>
          <w:sz w:val="36"/>
          <w:szCs w:val="44"/>
          <w:highlight w:val="none"/>
        </w:rPr>
      </w:r>
      <w:r/>
    </w:p>
    <w:p>
      <w:pPr>
        <w:jc w:val="center"/>
        <w:spacing w:line="360" w:lineRule="auto"/>
        <w:widowControl/>
        <w:rPr>
          <w:sz w:val="36"/>
          <w:szCs w:val="44"/>
          <w:highlight w:val="none"/>
        </w:rPr>
      </w:pPr>
      <w:r>
        <w:rPr>
          <w:sz w:val="36"/>
          <w:szCs w:val="44"/>
          <w:highlight w:val="none"/>
        </w:rPr>
      </w:r>
      <w:r/>
    </w:p>
    <w:p>
      <w:pPr>
        <w:jc w:val="center"/>
        <w:spacing w:line="360" w:lineRule="auto"/>
        <w:widowControl/>
        <w:rPr>
          <w:rFonts w:ascii="宋体" w:hAnsi="宋体" w:cs="宋体"/>
          <w:b/>
          <w:sz w:val="48"/>
          <w:szCs w:val="44"/>
          <w:highlight w:val="none"/>
        </w:rPr>
      </w:pPr>
      <w:r>
        <w:rPr>
          <w:sz w:val="36"/>
          <w:szCs w:val="44"/>
          <w:highlight w:val="none"/>
        </w:rPr>
        <w:t xml:space="preserve"> </w:t>
      </w:r>
      <w:bookmarkStart w:id="160" w:name="_Toc479757211"/>
      <w:r/>
      <w:bookmarkStart w:id="161" w:name="_Toc20823346"/>
      <w:r/>
      <w:bookmarkStart w:id="162" w:name="_Hlt16619350"/>
      <w:r/>
      <w:bookmarkStart w:id="163" w:name="_Toc462564139"/>
      <w:r/>
      <w:bookmarkStart w:id="164" w:name="_Toc120614244"/>
      <w:r/>
      <w:bookmarkStart w:id="165" w:name="_Toc16938590"/>
      <w:r/>
      <w:bookmarkStart w:id="166" w:name="_Hlt16619369"/>
      <w:r>
        <w:rPr>
          <w:rFonts w:hint="eastAsia" w:ascii="宋体" w:hAnsi="宋体" w:cs="宋体"/>
          <w:b/>
          <w:sz w:val="48"/>
          <w:szCs w:val="44"/>
          <w:highlight w:val="none"/>
        </w:rPr>
        <w:t xml:space="preserve">第三</w:t>
      </w:r>
      <w:r>
        <w:rPr>
          <w:rFonts w:hint="eastAsia" w:ascii="宋体" w:hAnsi="宋体" w:cs="宋体"/>
          <w:b/>
          <w:sz w:val="48"/>
          <w:szCs w:val="44"/>
          <w:highlight w:val="none"/>
          <w:lang w:eastAsia="zh-CN"/>
        </w:rPr>
        <w:t xml:space="preserve">章</w:t>
      </w:r>
      <w:r>
        <w:rPr>
          <w:rFonts w:hint="eastAsia" w:ascii="宋体" w:hAnsi="宋体" w:cs="宋体"/>
          <w:b/>
          <w:sz w:val="48"/>
          <w:szCs w:val="44"/>
          <w:highlight w:val="none"/>
        </w:rPr>
        <w:t xml:space="preserve">  合同条款</w:t>
      </w:r>
      <w:r/>
    </w:p>
    <w:p>
      <w:pPr>
        <w:rPr>
          <w:rFonts w:ascii="宋体" w:hAnsi="宋体" w:cs="宋体"/>
          <w:highlight w:val="none"/>
        </w:rPr>
      </w:pPr>
      <w:r/>
      <w:bookmarkStart w:id="167" w:name="EB6d2006462e294de090c16e672cecc3bd"/>
      <w:r/>
      <w:bookmarkEnd w:id="167"/>
      <w:r/>
    </w:p>
    <w:p>
      <w:pPr>
        <w:jc w:val="center"/>
        <w:rPr>
          <w:rFonts w:ascii="宋体" w:hAnsi="宋体" w:cs="宋体"/>
          <w:b/>
          <w:bCs/>
          <w:spacing w:val="-20"/>
          <w:sz w:val="48"/>
          <w:szCs w:val="48"/>
          <w:highlight w:val="none"/>
        </w:rPr>
      </w:pPr>
      <w:r/>
      <w:bookmarkStart w:id="168" w:name="_Toc3995"/>
      <w:r/>
      <w:r/>
    </w:p>
    <w:p>
      <w:pPr>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jc w:val="center"/>
        <w:rPr>
          <w:rFonts w:ascii="宋体" w:hAnsi="宋体" w:cs="宋体"/>
          <w:sz w:val="30"/>
          <w:highlight w:val="none"/>
        </w:rPr>
      </w:pPr>
      <w:r>
        <w:rPr>
          <w:rFonts w:ascii="宋体" w:hAnsi="宋体" w:cs="宋体"/>
          <w:sz w:val="30"/>
          <w:highlight w:val="none"/>
        </w:rPr>
      </w:r>
      <w:r/>
    </w:p>
    <w:p>
      <w:pPr>
        <w:jc w:val="center"/>
        <w:rPr>
          <w:rFonts w:ascii="宋体" w:hAnsi="宋体" w:cs="宋体"/>
          <w:sz w:val="30"/>
          <w:highlight w:val="none"/>
        </w:rPr>
      </w:pPr>
      <w:r>
        <w:rPr>
          <w:rFonts w:hint="eastAsia" w:ascii="宋体" w:hAnsi="宋体" w:cs="宋体"/>
          <w:sz w:val="30"/>
          <w:highlight w:val="none"/>
        </w:rPr>
        <w:t xml:space="preserve">政府采购货物买卖合同</w:t>
      </w:r>
      <w:r/>
    </w:p>
    <w:p>
      <w:pPr>
        <w:jc w:val="cente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ind w:left="420"/>
        <w:spacing w:line="360" w:lineRule="auto"/>
        <w:rPr>
          <w:rFonts w:ascii="宋体" w:hAnsi="宋体" w:cs="宋体"/>
          <w:sz w:val="30"/>
          <w:highlight w:val="none"/>
        </w:rPr>
      </w:pPr>
      <w:r>
        <w:rPr>
          <w:rFonts w:hint="eastAsia" w:ascii="宋体" w:hAnsi="宋体" w:cs="宋体"/>
          <w:sz w:val="30"/>
          <w:highlight w:val="none"/>
        </w:rPr>
        <w:t xml:space="preserve">项目名称：</w:t>
      </w:r>
      <w:r/>
    </w:p>
    <w:p>
      <w:pPr>
        <w:ind w:left="420"/>
        <w:spacing w:line="360" w:lineRule="auto"/>
        <w:rPr>
          <w:rFonts w:ascii="宋体" w:hAnsi="宋体" w:cs="宋体"/>
          <w:sz w:val="30"/>
          <w:highlight w:val="none"/>
        </w:rPr>
      </w:pPr>
      <w:r>
        <w:rPr>
          <w:rFonts w:hint="eastAsia" w:ascii="宋体" w:hAnsi="宋体" w:cs="宋体"/>
          <w:sz w:val="30"/>
          <w:highlight w:val="none"/>
        </w:rPr>
        <w:t xml:space="preserve">合同编号：</w:t>
      </w:r>
      <w:r/>
    </w:p>
    <w:p>
      <w:pPr>
        <w:ind w:left="420"/>
        <w:spacing w:line="360" w:lineRule="auto"/>
        <w:rPr>
          <w:rFonts w:ascii="宋体" w:hAnsi="宋体" w:cs="宋体"/>
          <w:sz w:val="30"/>
          <w:highlight w:val="none"/>
        </w:rPr>
      </w:pPr>
      <w:r>
        <w:rPr>
          <w:rFonts w:hint="eastAsia" w:ascii="宋体" w:hAnsi="宋体" w:cs="宋体"/>
          <w:sz w:val="30"/>
          <w:highlight w:val="none"/>
        </w:rPr>
        <w:t xml:space="preserve">甲    方：</w:t>
      </w:r>
      <w:r/>
    </w:p>
    <w:p>
      <w:pPr>
        <w:ind w:left="420"/>
        <w:spacing w:line="360" w:lineRule="auto"/>
        <w:rPr>
          <w:rFonts w:ascii="宋体" w:hAnsi="宋体" w:cs="宋体"/>
          <w:sz w:val="30"/>
          <w:highlight w:val="none"/>
        </w:rPr>
      </w:pPr>
      <w:r>
        <w:rPr>
          <w:rFonts w:hint="eastAsia" w:ascii="宋体" w:hAnsi="宋体" w:cs="宋体"/>
          <w:sz w:val="30"/>
          <w:highlight w:val="none"/>
        </w:rPr>
        <w:t xml:space="preserve">乙    方：</w:t>
      </w:r>
      <w:r/>
    </w:p>
    <w:p>
      <w:pPr>
        <w:ind w:left="420"/>
        <w:spacing w:line="360" w:lineRule="auto"/>
        <w:rPr>
          <w:rFonts w:ascii="宋体" w:hAnsi="宋体" w:cs="宋体"/>
          <w:sz w:val="30"/>
          <w:highlight w:val="none"/>
        </w:rPr>
      </w:pPr>
      <w:r>
        <w:rPr>
          <w:rFonts w:hint="eastAsia" w:ascii="宋体" w:hAnsi="宋体" w:cs="宋体"/>
          <w:sz w:val="30"/>
          <w:highlight w:val="none"/>
        </w:rPr>
        <w:t xml:space="preserve">签订时间：</w:t>
      </w:r>
      <w:r/>
    </w:p>
    <w:p>
      <w:pPr>
        <w:rPr>
          <w:highlight w:val="none"/>
        </w:rPr>
      </w:pPr>
      <w:r>
        <w:rPr>
          <w:highlight w:val="none"/>
        </w:rPr>
      </w:r>
      <w:r/>
    </w:p>
    <w:p>
      <w:pPr>
        <w:rPr>
          <w:rFonts w:eastAsia="黑体"/>
          <w:sz w:val="44"/>
          <w:szCs w:val="44"/>
          <w:highlight w:val="none"/>
        </w:rPr>
      </w:pPr>
      <w:r>
        <w:rPr>
          <w:rFonts w:eastAsia="黑体"/>
          <w:sz w:val="44"/>
          <w:szCs w:val="44"/>
          <w:highlight w:val="none"/>
        </w:rPr>
        <w:br w:type="page" w:clear="all"/>
      </w:r>
      <w:r/>
    </w:p>
    <w:p>
      <w:pPr>
        <w:ind w:firstLine="880"/>
        <w:rPr>
          <w:rFonts w:eastAsia="黑体"/>
          <w:sz w:val="44"/>
          <w:szCs w:val="44"/>
          <w:highlight w:val="none"/>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eastAsia="黑体"/>
          <w:sz w:val="44"/>
          <w:szCs w:val="44"/>
          <w:highlight w:val="none"/>
        </w:rPr>
      </w:r>
      <w:bookmarkEnd w:id="168"/>
      <w:r/>
    </w:p>
    <w:p>
      <w:pPr>
        <w:ind w:left="0" w:firstLine="482"/>
        <w:jc w:val="center"/>
        <w:keepLines w:val="0"/>
        <w:keepNext w:val="0"/>
        <w:pageBreakBefore w:val="0"/>
        <w:spacing w:after="157" w:line="360" w:lineRule="auto"/>
        <w:widowControl w:val="off"/>
        <w:rPr>
          <w:rFonts w:hint="eastAsia" w:ascii="黑体" w:hAnsi="黑体" w:eastAsia="黑体"/>
          <w:sz w:val="32"/>
          <w:szCs w:val="32"/>
          <w:highlight w:val="none"/>
        </w:rPr>
      </w:pPr>
      <w:r/>
      <w:bookmarkStart w:id="169" w:name="_Toc22209"/>
      <w:r>
        <w:rPr>
          <w:rFonts w:hint="eastAsia" w:ascii="宋体" w:hAnsi="宋体"/>
          <w:b/>
          <w:color w:val="000000"/>
          <w:sz w:val="32"/>
          <w:szCs w:val="28"/>
        </w:rPr>
        <w:t xml:space="preserve">政府采购合同（货物格式）</w:t>
      </w:r>
      <w:r/>
    </w:p>
    <w:p>
      <w:pPr>
        <w:ind w:left="0" w:firstLine="480"/>
        <w:jc w:val="left"/>
        <w:keepLines w:val="0"/>
        <w:keepNext w:val="0"/>
        <w:pageBreakBefore w:val="0"/>
        <w:spacing w:line="360" w:lineRule="auto"/>
        <w:widowControl w:val="off"/>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项</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目</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名</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称：</w:t>
      </w:r>
      <w:r>
        <w:rPr>
          <w:rFonts w:hint="eastAsia" w:ascii="宋体" w:hAnsi="宋体" w:eastAsia="宋体" w:cs="宋体"/>
          <w:color w:val="auto"/>
          <w:sz w:val="24"/>
          <w:szCs w:val="24"/>
          <w:highlight w:val="none"/>
          <w:u w:val="single"/>
          <w:lang w:val="en-US" w:eastAsia="zh-CN"/>
        </w:rPr>
        <w:t xml:space="preserve">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目</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编</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号：</w:t>
      </w:r>
      <w:r>
        <w:rPr>
          <w:rFonts w:hint="eastAsia" w:ascii="宋体" w:hAnsi="宋体" w:eastAsia="宋体" w:cs="宋体"/>
          <w:color w:val="auto"/>
          <w:sz w:val="24"/>
          <w:szCs w:val="24"/>
          <w:highlight w:val="none"/>
          <w:u w:val="single"/>
          <w:lang w:val="en-US" w:eastAsia="zh-CN"/>
        </w:rPr>
        <w:t xml:space="preserve">                           </w:t>
      </w:r>
      <w:r/>
    </w:p>
    <w:p>
      <w:pPr>
        <w:pStyle w:val="635"/>
        <w:ind w:left="0" w:firstLine="480"/>
        <w:jc w:val="left"/>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甲方（买方）：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pStyle w:val="63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乙方（卖方）：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numPr>
          <w:ilvl w:val="0"/>
          <w:numId w:val="0"/>
        </w:numPr>
        <w:ind w:left="479"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甲、</w:t>
      </w:r>
      <w:r>
        <w:rPr>
          <w:rFonts w:hint="eastAsia" w:ascii="宋体" w:hAnsi="宋体" w:eastAsia="宋体" w:cs="宋体"/>
          <w:color w:val="auto"/>
          <w:sz w:val="24"/>
          <w:szCs w:val="24"/>
          <w:highlight w:val="none"/>
        </w:rPr>
        <w:t xml:space="preserve">乙双方根据</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公开招标的结果，签署本合同。</w:t>
      </w:r>
      <w:r/>
    </w:p>
    <w:p>
      <w:pPr>
        <w:numPr>
          <w:ilvl w:val="0"/>
          <w:numId w:val="0"/>
        </w:numPr>
        <w:ind w:left="479" w:firstLine="0"/>
        <w:keepLines w:val="0"/>
        <w:keepNext w:val="0"/>
        <w:pageBreakBefore w:val="0"/>
        <w:spacing w:line="360" w:lineRule="auto"/>
        <w:widowControl w:val="off"/>
        <w:rPr>
          <w:rFonts w:hint="eastAsia" w:ascii="宋体" w:hAnsi="宋体" w:eastAsia="宋体" w:cs="宋体"/>
          <w:b/>
          <w:bCs/>
          <w:color w:val="000000"/>
          <w:sz w:val="24"/>
          <w:szCs w:val="24"/>
        </w:rPr>
      </w:pPr>
      <w:r>
        <w:rPr>
          <w:rFonts w:hint="default" w:ascii="宋体" w:hAnsi="宋体" w:eastAsia="宋体" w:cs="宋体"/>
          <w:b/>
          <w:bCs/>
          <w:color w:val="000000"/>
          <w:sz w:val="24"/>
          <w:szCs w:val="24"/>
          <w:lang w:val="en-US" w:eastAsia="zh-CN" w:bidi="ar-SA"/>
        </w:rPr>
        <w:t xml:space="preserve">一、</w:t>
      </w:r>
      <w:r>
        <w:rPr>
          <w:rFonts w:hint="eastAsia" w:ascii="宋体" w:hAnsi="宋体" w:eastAsia="宋体" w:cs="宋体"/>
          <w:b/>
          <w:bCs/>
          <w:color w:val="000000"/>
          <w:sz w:val="24"/>
          <w:szCs w:val="24"/>
        </w:rPr>
        <w:t xml:space="preserve">合同价款及中标内容清单：</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1.合同总价人民币（大写）：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），该费率包括（但不限于）人工、材料、运输、安装、调试、设计、车旅、驻点人员的食宿、安全、培训、售后服务、税费等全部项目的费用。</w:t>
      </w:r>
      <w:r/>
    </w:p>
    <w:p>
      <w:p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2.中标内容清单及内容</w:t>
      </w:r>
      <w:r/>
    </w:p>
    <w:tbl>
      <w:tblPr>
        <w:tblStyle w:val="6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40"/>
        <w:gridCol w:w="2952"/>
        <w:gridCol w:w="1368"/>
        <w:gridCol w:w="1095"/>
        <w:gridCol w:w="1425"/>
      </w:tblGrid>
      <w:tr>
        <w:trPr>
          <w:jc w:val="center"/>
          <w:trHeight w:val="90"/>
        </w:trPr>
        <w:tc>
          <w:tcPr>
            <w:tcW w:w="144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货物名称</w:t>
            </w:r>
            <w:r/>
          </w:p>
        </w:tc>
        <w:tc>
          <w:tcPr>
            <w:tcW w:w="2952" w:type="dxa"/>
            <w:vAlign w:val="center"/>
            <w:textDirection w:val="lrTb"/>
            <w:noWrap w:val="false"/>
          </w:tcPr>
          <w:p>
            <w:pPr>
              <w:ind w:left="0" w:firstLine="0"/>
              <w:jc w:val="center"/>
              <w:keepLines w:val="0"/>
              <w:keepNext w:val="0"/>
              <w:pageBreakBefore w:val="0"/>
              <w:spacing w:line="24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型号规格参数</w:t>
            </w:r>
            <w:r/>
          </w:p>
        </w:tc>
        <w:tc>
          <w:tcPr>
            <w:tcW w:w="1368"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数  量</w:t>
            </w:r>
            <w:r/>
          </w:p>
        </w:tc>
        <w:tc>
          <w:tcPr>
            <w:tcW w:w="1095"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单  价</w:t>
            </w:r>
            <w:r/>
          </w:p>
        </w:tc>
        <w:tc>
          <w:tcPr>
            <w:tcW w:w="1425"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  价</w:t>
            </w:r>
            <w:r/>
          </w:p>
        </w:tc>
      </w:tr>
      <w:tr>
        <w:trPr>
          <w:jc w:val="center"/>
          <w:trHeight w:val="474"/>
        </w:trPr>
        <w:tc>
          <w:tcPr>
            <w:tcW w:w="1440" w:type="dxa"/>
            <w:vAlign w:val="center"/>
            <w:textDirection w:val="lrTb"/>
            <w:noWrap w:val="false"/>
          </w:tcPr>
          <w:p>
            <w:pPr>
              <w:ind w:left="0" w:firstLine="48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2952" w:type="dxa"/>
            <w:vAlign w:val="center"/>
            <w:textDirection w:val="lrTb"/>
            <w:noWrap w:val="false"/>
          </w:tcPr>
          <w:p>
            <w:pPr>
              <w:ind w:left="0" w:firstLine="48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368" w:type="dxa"/>
            <w:vAlign w:val="center"/>
            <w:textDirection w:val="lrTb"/>
            <w:noWrap w:val="false"/>
          </w:tcPr>
          <w:p>
            <w:pPr>
              <w:ind w:left="0" w:firstLine="48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095" w:type="dxa"/>
            <w:vAlign w:val="center"/>
            <w:textDirection w:val="lrTb"/>
            <w:noWrap w:val="false"/>
          </w:tcPr>
          <w:p>
            <w:pPr>
              <w:ind w:left="0"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25" w:type="dxa"/>
            <w:vAlign w:val="center"/>
            <w:textDirection w:val="lrTb"/>
            <w:noWrap w:val="false"/>
          </w:tcPr>
          <w:p>
            <w:pPr>
              <w:ind w:left="0"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74"/>
        </w:trPr>
        <w:tc>
          <w:tcPr>
            <w:tcW w:w="1440" w:type="dxa"/>
            <w:vAlign w:val="center"/>
            <w:textDirection w:val="lrTb"/>
            <w:noWrap w:val="false"/>
          </w:tcPr>
          <w:p>
            <w:pPr>
              <w:pStyle w:val="634"/>
              <w:ind w:left="0" w:firstLine="480"/>
              <w:keepLines w:val="0"/>
              <w:keepNext w:val="0"/>
              <w:pageBreakBefore w:val="0"/>
              <w:spacing w:line="240" w:lineRule="auto"/>
              <w:widowControl w:val="off"/>
              <w:tabs>
                <w:tab w:val="clear" w:pos="4153" w:leader="none"/>
                <w:tab w:val="clear" w:pos="8306" w:leader="none"/>
              </w:tabs>
              <w:rPr>
                <w:rFonts w:hint="eastAsia" w:ascii="宋体" w:hAnsi="宋体" w:eastAsia="宋体" w:cs="宋体"/>
                <w:sz w:val="24"/>
                <w:szCs w:val="24"/>
              </w:rPr>
              <w:pBdr>
                <w:bottom w:val="none" w:color="auto" w:sz="0" w:space="0"/>
              </w:pBdr>
            </w:pPr>
            <w:r>
              <w:rPr>
                <w:rFonts w:hint="eastAsia" w:ascii="宋体" w:hAnsi="宋体" w:eastAsia="宋体" w:cs="宋体"/>
                <w:sz w:val="24"/>
                <w:szCs w:val="24"/>
              </w:rPr>
            </w:r>
            <w:r/>
          </w:p>
        </w:tc>
        <w:tc>
          <w:tcPr>
            <w:tcW w:w="2952" w:type="dxa"/>
            <w:vAlign w:val="center"/>
            <w:textDirection w:val="lrTb"/>
            <w:noWrap w:val="false"/>
          </w:tcPr>
          <w:p>
            <w:pPr>
              <w:pStyle w:val="634"/>
              <w:ind w:left="0" w:firstLine="480"/>
              <w:keepLines w:val="0"/>
              <w:keepNext w:val="0"/>
              <w:pageBreakBefore w:val="0"/>
              <w:spacing w:line="240" w:lineRule="auto"/>
              <w:widowControl w:val="off"/>
              <w:tabs>
                <w:tab w:val="clear" w:pos="4153" w:leader="none"/>
                <w:tab w:val="clear" w:pos="8306" w:leader="none"/>
              </w:tabs>
              <w:rPr>
                <w:rFonts w:hint="eastAsia" w:ascii="宋体" w:hAnsi="宋体" w:eastAsia="宋体" w:cs="宋体"/>
                <w:sz w:val="24"/>
                <w:szCs w:val="24"/>
              </w:rPr>
              <w:pBdr>
                <w:bottom w:val="none" w:color="auto" w:sz="0" w:space="0"/>
              </w:pBdr>
            </w:pPr>
            <w:r>
              <w:rPr>
                <w:rFonts w:hint="eastAsia" w:ascii="宋体" w:hAnsi="宋体" w:eastAsia="宋体" w:cs="宋体"/>
                <w:sz w:val="24"/>
                <w:szCs w:val="24"/>
              </w:rPr>
            </w:r>
            <w:r/>
          </w:p>
        </w:tc>
        <w:tc>
          <w:tcPr>
            <w:tcW w:w="1368" w:type="dxa"/>
            <w:vAlign w:val="center"/>
            <w:textDirection w:val="lrTb"/>
            <w:noWrap w:val="false"/>
          </w:tcPr>
          <w:p>
            <w:pPr>
              <w:ind w:left="0" w:firstLine="48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095" w:type="dxa"/>
            <w:vAlign w:val="center"/>
            <w:textDirection w:val="lrTb"/>
            <w:noWrap w:val="false"/>
          </w:tcPr>
          <w:p>
            <w:pPr>
              <w:ind w:left="0"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25" w:type="dxa"/>
            <w:vAlign w:val="center"/>
            <w:textDirection w:val="lrTb"/>
            <w:noWrap w:val="false"/>
          </w:tcPr>
          <w:p>
            <w:pPr>
              <w:ind w:left="0"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74"/>
        </w:trPr>
        <w:tc>
          <w:tcPr>
            <w:tcW w:w="1440" w:type="dxa"/>
            <w:vAlign w:val="center"/>
            <w:textDirection w:val="lrTb"/>
            <w:noWrap w:val="false"/>
          </w:tcPr>
          <w:p>
            <w:pPr>
              <w:ind w:left="0" w:firstLine="48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2952" w:type="dxa"/>
            <w:vAlign w:val="center"/>
            <w:textDirection w:val="lrTb"/>
            <w:noWrap w:val="false"/>
          </w:tcPr>
          <w:p>
            <w:pPr>
              <w:ind w:left="0" w:firstLine="48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368" w:type="dxa"/>
            <w:vAlign w:val="center"/>
            <w:textDirection w:val="lrTb"/>
            <w:noWrap w:val="false"/>
          </w:tcPr>
          <w:p>
            <w:pPr>
              <w:ind w:left="0" w:firstLine="48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095" w:type="dxa"/>
            <w:vAlign w:val="center"/>
            <w:textDirection w:val="lrTb"/>
            <w:noWrap w:val="false"/>
          </w:tcPr>
          <w:p>
            <w:pPr>
              <w:ind w:left="0"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25" w:type="dxa"/>
            <w:vAlign w:val="center"/>
            <w:textDirection w:val="lrTb"/>
            <w:noWrap w:val="false"/>
          </w:tcPr>
          <w:p>
            <w:pPr>
              <w:ind w:left="0"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74"/>
        </w:trPr>
        <w:tc>
          <w:tcPr>
            <w:tcW w:w="1440" w:type="dxa"/>
            <w:vAlign w:val="center"/>
            <w:textDirection w:val="lrTb"/>
            <w:noWrap w:val="false"/>
          </w:tcPr>
          <w:p>
            <w:pPr>
              <w:ind w:left="0" w:firstLine="48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2952" w:type="dxa"/>
            <w:vAlign w:val="center"/>
            <w:textDirection w:val="lrTb"/>
            <w:noWrap w:val="false"/>
          </w:tcPr>
          <w:p>
            <w:pPr>
              <w:ind w:left="0" w:firstLine="48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368" w:type="dxa"/>
            <w:vAlign w:val="center"/>
            <w:textDirection w:val="lrTb"/>
            <w:noWrap w:val="false"/>
          </w:tcPr>
          <w:p>
            <w:pPr>
              <w:ind w:left="0" w:firstLine="48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095" w:type="dxa"/>
            <w:vAlign w:val="center"/>
            <w:textDirection w:val="lrTb"/>
            <w:noWrap w:val="false"/>
          </w:tcPr>
          <w:p>
            <w:pPr>
              <w:ind w:left="0"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25" w:type="dxa"/>
            <w:vAlign w:val="center"/>
            <w:textDirection w:val="lrTb"/>
            <w:noWrap w:val="false"/>
          </w:tcPr>
          <w:p>
            <w:pPr>
              <w:ind w:left="0"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84"/>
        </w:trPr>
        <w:tc>
          <w:tcPr>
            <w:gridSpan w:val="5"/>
            <w:tcW w:w="8280" w:type="dxa"/>
            <w:vAlign w:val="center"/>
            <w:textDirection w:val="lrTb"/>
            <w:noWrap w:val="false"/>
          </w:tcPr>
          <w:p>
            <w:pPr>
              <w:ind w:left="0"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总价（大写）：</w:t>
            </w:r>
            <w:r/>
          </w:p>
        </w:tc>
      </w:tr>
    </w:tbl>
    <w:p>
      <w:pPr>
        <w:ind w:left="0" w:firstLine="482"/>
        <w:keepLines w:val="0"/>
        <w:keepNext w:val="0"/>
        <w:pageBreakBefore w:val="0"/>
        <w:spacing w:line="36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二、供货时间、地点及验收方法</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1.供货时间及地点</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合同签订后</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日内全部安装调试完毕，并通过验收。</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2.质量要求：产品为全新未使用过的合格正品，产品及安装质量应符合各项技术标准和国家强制性标准，并满足招标人的实际使用需求。</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 售后服务要求：</w:t>
      </w:r>
      <w:r/>
    </w:p>
    <w:p>
      <w:pPr>
        <w:ind w:left="0" w:firstLine="480"/>
        <w:keepLines w:val="0"/>
        <w:keepNext w:val="0"/>
        <w:pageBreakBefore w:val="0"/>
        <w:spacing w:line="360" w:lineRule="auto"/>
        <w:widowControl w:val="off"/>
        <w:rPr>
          <w:rFonts w:hint="eastAsia" w:ascii="宋体" w:hAnsi="宋体" w:eastAsia="宋体" w:cs="宋体"/>
          <w:color w:val="0070c0"/>
          <w:sz w:val="24"/>
          <w:szCs w:val="24"/>
          <w:u w:val="single"/>
        </w:rPr>
      </w:pPr>
      <w:r>
        <w:rPr>
          <w:rFonts w:hint="eastAsia" w:ascii="宋体" w:hAnsi="宋体" w:eastAsia="宋体" w:cs="宋体"/>
          <w:sz w:val="24"/>
          <w:szCs w:val="24"/>
        </w:rPr>
        <w:t xml:space="preserve">（1）产品的质量保证期及售后服务期为</w:t>
      </w:r>
      <w:r>
        <w:rPr>
          <w:rFonts w:hint="eastAsia" w:ascii="宋体" w:hAnsi="宋体" w:eastAsia="宋体" w:cs="宋体"/>
          <w:sz w:val="24"/>
          <w:szCs w:val="24"/>
          <w:lang w:val="en-US" w:eastAsia="zh-CN"/>
        </w:rPr>
        <w:t xml:space="preserve">五</w:t>
      </w:r>
      <w:r>
        <w:rPr>
          <w:rFonts w:hint="eastAsia" w:ascii="宋体" w:hAnsi="宋体" w:eastAsia="宋体" w:cs="宋体"/>
          <w:sz w:val="24"/>
          <w:szCs w:val="24"/>
          <w:u w:val="none"/>
        </w:rPr>
        <w:t xml:space="preserve">年</w:t>
      </w:r>
      <w:r>
        <w:rPr>
          <w:rFonts w:hint="eastAsia" w:ascii="宋体" w:hAnsi="宋体" w:eastAsia="宋体" w:cs="宋体"/>
          <w:sz w:val="24"/>
          <w:szCs w:val="24"/>
        </w:rPr>
        <w:t xml:space="preserve">。(质保期以项目最终验收之日起算）</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（2）投标产品属于国家规定“三包”范围的，其产品的质量保证期不得低于“三包”规定。供应商的质量保证期承诺优于国家“三包”规定的，按供应商实际承诺执行；</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在质保保证期内，乙方为用户提供7*24小时电话或电子邮件服务，响应时间不超过30分钟，2小时内远程排除故障，若电话或网络中无法排除故障，维修人员须24小时内到达现场解决，到达现场后12小时内免费修复；无法修复时2日内免费更换配件，维修至正常工作，并保证所换配件满足招标文件要求，如72小时内不能到位的，甲方有权自行维修或更换配件，其费用在乙方合同余款中扣除。</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（4）质量保证期满后，供应商和厂家应同样提供免费电话咨询服务，并以优惠价格提供售后服务；</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（5）乙方需根据使用人员岗位的不同制定培训计划，考核内容，对各个部门进行针对性较强的培训工作，确保关键内容及关键岗位全部培训到位，能够独立运营系统,并能进行简单的故障排除。</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（6）项目实施完成后，乙方需指定专门的售后服务工程师负责本项目的售后服务工作,并提供现场服务，及时检查并处理问题，并负责新进人员的培训工作。</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（7）技术资料要求：提供完整的技术资料，包括：产品验收标准（含产品合格证、验收清单等）；维修手册各一套，操作手册两套及合同中要求的其他文件资料</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（8）本项目质量保证期内乙方须每月接到甲方通知后对设备设施进行一次巡查检修，保障正常稳定使用，延迟或检修不到位的按500元/天从合同余款中扣除违约金直至通过验收。</w:t>
      </w:r>
      <w:r/>
    </w:p>
    <w:p>
      <w:pPr>
        <w:ind w:left="0" w:firstLine="482"/>
        <w:keepLines w:val="0"/>
        <w:keepNext w:val="0"/>
        <w:pageBreakBefore w:val="0"/>
        <w:spacing w:line="360" w:lineRule="auto"/>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9</w:t>
      </w:r>
      <w:r>
        <w:rPr>
          <w:rFonts w:hint="eastAsia" w:ascii="宋体" w:hAnsi="宋体" w:eastAsia="宋体" w:cs="宋体"/>
          <w:b/>
          <w:bCs/>
          <w:sz w:val="24"/>
          <w:szCs w:val="24"/>
          <w:lang w:eastAsia="zh-CN"/>
        </w:rPr>
        <w:t xml:space="preserve">）竣工验收之前</w:t>
      </w:r>
      <w:r>
        <w:rPr>
          <w:rFonts w:hint="eastAsia" w:ascii="宋体" w:hAnsi="宋体" w:eastAsia="宋体" w:cs="宋体"/>
          <w:b/>
          <w:bCs/>
          <w:sz w:val="24"/>
          <w:szCs w:val="24"/>
          <w:lang w:val="en-US" w:eastAsia="zh-CN"/>
        </w:rPr>
        <w:t xml:space="preserve">乙方</w:t>
      </w:r>
      <w:r>
        <w:rPr>
          <w:rFonts w:hint="eastAsia" w:ascii="宋体" w:hAnsi="宋体" w:eastAsia="宋体" w:cs="宋体"/>
          <w:b/>
          <w:bCs/>
          <w:sz w:val="24"/>
          <w:szCs w:val="24"/>
          <w:lang w:eastAsia="zh-CN"/>
        </w:rPr>
        <w:t xml:space="preserve">须提供各功能室的环境检测报告。</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4.验收方法</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乙方在交货时，货物的品牌型号必须与投标报价单保持一致，必须保证品牌正宗，原始包装并附有合格证、产品安装使用说明书等相关资料。特殊情况需要调整品牌型号数量的，甲乙双方协商后须报东台市财政局同意后方可调整。</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硬件验收标准具体如下:</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A、产品为全新，未使用过的原装合格正品，安装质量符合各项技术标准和国家强制性标准；</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B、货物到达现场后，乙方必须在使用单位人员在场情况下当面开箱，共同清点、检查外观，作出开箱记录，双方签字确认。</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Ｃ、乙方应保证货物到达甲方所在地完好无损，如有缺漏、损坏，由乙方负责调换、补齐或赔偿。</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Ｄ、乙方应提供完备的技术资料、装箱单和合格证等，验收合格条件（标准）如下：</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①设备技术参数与采购合同一致，性能指标达到规定的标准。</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②货物技术资料、装箱单、合格证等资料齐全。</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③在系统试运行期间所出现的问题得到解决，并运行正常。</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④在规定时间内完成交货并验收，并经甲方确认。</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Ｅ、乙方须完成甲方所有采购的软硬件产品安装调试工作，须符合甲方要求并试运行1个月后，才作为最终验收。</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Ｆ、乙方提供的货物未达到采购文件规定要求，且对甲方造成损失的，由乙方承担一切责任，并赔偿所造成的损失。</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Ｇ、甲方可邀请国家认可的质量检测机构参加验收工作。</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Ｈ、甲方需要制造商对乙方交付的产品（包括质量、技术参数等）进行确认的，乙方须无条件配合，并出具书面确认证明。</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Ｉ、产品包装材料归甲方所有。</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在安装调试完毕后的30日内，甲方对乙方所供货物的技术性能和参数等方面的问题有提出异议的权利。</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验收方法：全部货物安装调试完毕后30日内，由甲方邀请相关专业人员，按照招标文件的要求和现行技术标准、强制性标准对所供货物的技术性能、技术参数、安装质量等进行验收，并形成验收意见。</w:t>
      </w:r>
      <w:r/>
    </w:p>
    <w:p>
      <w:pPr>
        <w:ind w:left="0"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三、合同款项的支付方式及进度安排</w:t>
      </w:r>
      <w:r/>
    </w:p>
    <w:p>
      <w:pPr>
        <w:ind w:left="0" w:firstLine="482"/>
        <w:keepLines w:val="0"/>
        <w:keepNext w:val="0"/>
        <w:pageBreakBefore w:val="0"/>
        <w:spacing w:line="360" w:lineRule="auto"/>
        <w:widowControl w:val="off"/>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1、自合同签订生效之日起，收到乙方发票10个工作日内，甲方向乙方支付合同总价的30%款项作为预付款；</w:t>
      </w:r>
      <w:r/>
    </w:p>
    <w:p>
      <w:pPr>
        <w:ind w:left="0" w:firstLine="482"/>
        <w:keepLines w:val="0"/>
        <w:keepNext w:val="0"/>
        <w:pageBreakBefore w:val="0"/>
        <w:spacing w:line="360" w:lineRule="auto"/>
        <w:widowControl w:val="off"/>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2、所有货物安装完毕，甲方组织初步验收，初步验收合格后收到乙方发票10个工作日内甲方向乙方支付至合同总价的80%款项；</w:t>
      </w:r>
      <w:r/>
    </w:p>
    <w:p>
      <w:pPr>
        <w:ind w:left="0" w:firstLine="482"/>
        <w:keepLines w:val="0"/>
        <w:keepNext w:val="0"/>
        <w:pageBreakBefore w:val="0"/>
        <w:spacing w:line="360" w:lineRule="auto"/>
        <w:widowControl w:val="off"/>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3、初步验收合格且项目运行满12个月后，甲方组织最终验收，最终验收合格后收到乙方发票10个工作日内甲方付清货款。</w:t>
      </w:r>
      <w:r/>
    </w:p>
    <w:p>
      <w:pPr>
        <w:ind w:left="0" w:firstLine="482"/>
        <w:keepLines w:val="0"/>
        <w:keepNext w:val="0"/>
        <w:pageBreakBefore w:val="0"/>
        <w:spacing w:line="360" w:lineRule="auto"/>
        <w:widowControl w:val="off"/>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4、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ind w:left="0" w:firstLine="482"/>
        <w:keepLines w:val="0"/>
        <w:keepNext w:val="0"/>
        <w:pageBreakBefore w:val="0"/>
        <w:spacing w:line="360" w:lineRule="auto"/>
        <w:widowControl w:val="off"/>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(1) 发票；</w:t>
      </w:r>
      <w:r/>
    </w:p>
    <w:p>
      <w:pPr>
        <w:ind w:left="0" w:firstLine="482"/>
        <w:keepLines w:val="0"/>
        <w:keepNext w:val="0"/>
        <w:pageBreakBefore w:val="0"/>
        <w:spacing w:line="360" w:lineRule="auto"/>
        <w:widowControl w:val="off"/>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(2) 制造厂家出具的质量检验证书等；</w:t>
      </w:r>
      <w:r/>
    </w:p>
    <w:p>
      <w:pPr>
        <w:ind w:left="0" w:firstLine="482"/>
        <w:keepLines w:val="0"/>
        <w:keepNext w:val="0"/>
        <w:pageBreakBefore w:val="0"/>
        <w:spacing w:line="360" w:lineRule="auto"/>
        <w:widowControl w:val="off"/>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(3) 装箱单；</w:t>
      </w:r>
      <w:r/>
    </w:p>
    <w:p>
      <w:pPr>
        <w:ind w:left="0" w:firstLine="482"/>
        <w:keepLines w:val="0"/>
        <w:keepNext w:val="0"/>
        <w:pageBreakBefore w:val="0"/>
        <w:spacing w:line="360" w:lineRule="auto"/>
        <w:widowControl w:val="off"/>
        <w:rPr>
          <w:rFonts w:hint="default"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(4) 甲方加盖公章证明交付使用合格的验收单。</w:t>
      </w:r>
      <w:r/>
    </w:p>
    <w:p>
      <w:pPr>
        <w:ind w:left="0" w:firstLine="482"/>
        <w:keepLines w:val="0"/>
        <w:keepNext w:val="0"/>
        <w:pageBreakBefore w:val="0"/>
        <w:spacing w:line="36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四、履约保证金及售后服务承诺</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乙方交纳人民币</w:t>
      </w:r>
      <w:r>
        <w:rPr>
          <w:rFonts w:hint="eastAsia" w:ascii="宋体" w:hAnsi="宋体" w:eastAsia="宋体" w:cs="宋体"/>
          <w:sz w:val="24"/>
          <w:szCs w:val="24"/>
          <w:u w:val="single"/>
          <w:lang w:val="en-US" w:eastAsia="zh-CN"/>
        </w:rPr>
        <w:t xml:space="preserve"> 中标</w:t>
      </w:r>
      <w:r>
        <w:rPr>
          <w:rFonts w:hint="eastAsia" w:ascii="宋体" w:hAnsi="宋体" w:eastAsia="宋体" w:cs="宋体"/>
          <w:sz w:val="24"/>
          <w:szCs w:val="24"/>
          <w:u w:val="single"/>
        </w:rPr>
        <w:t xml:space="preserve">金额的10%</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元作为本合同的履约保证金。</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履约保证金缴纳形式：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如以履约保函（保险）形式缴纳履约保证金，供应商可通过政府采购电子履约保函（保险）平台（www.jsdzbh.com）在线申请履约保函（保险）。</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对第三方信用服务机构依据标准规范评定为AA级及以上的政府采购供应商（需在签订采购合同前提供信用管理部门备案的第三方信用报告，且信用报告通过“信用盐城网”可查实），本项目履约保证金（是/否）</w:t>
      </w:r>
      <w:r>
        <w:rPr>
          <w:rFonts w:hint="eastAsia" w:ascii="宋体" w:hAnsi="宋体" w:eastAsia="宋体" w:cs="宋体"/>
          <w:sz w:val="24"/>
          <w:szCs w:val="24"/>
          <w:u w:val="single"/>
          <w:lang w:val="en-US" w:eastAsia="zh-CN"/>
        </w:rPr>
        <w:t xml:space="preserve"> 否 </w:t>
      </w:r>
      <w:r>
        <w:rPr>
          <w:rFonts w:hint="eastAsia" w:ascii="宋体" w:hAnsi="宋体" w:eastAsia="宋体" w:cs="宋体"/>
          <w:sz w:val="24"/>
          <w:szCs w:val="24"/>
          <w:lang w:val="en-US" w:eastAsia="zh-CN"/>
        </w:rPr>
        <w:t xml:space="preserve">免收 ，降低履约保证金缴纳比例</w:t>
      </w:r>
      <w:r>
        <w:rPr>
          <w:rFonts w:hint="eastAsia" w:ascii="宋体" w:hAnsi="宋体" w:eastAsia="宋体" w:cs="宋体"/>
          <w:sz w:val="24"/>
          <w:szCs w:val="24"/>
          <w:u w:val="single"/>
          <w:lang w:val="en-US" w:eastAsia="zh-CN"/>
        </w:rPr>
        <w:t xml:space="preserve"> 100 </w:t>
      </w:r>
      <w:r>
        <w:rPr>
          <w:rFonts w:hint="eastAsia" w:ascii="宋体" w:hAnsi="宋体" w:eastAsia="宋体" w:cs="宋体"/>
          <w:sz w:val="24"/>
          <w:szCs w:val="24"/>
          <w:lang w:val="en-US" w:eastAsia="zh-CN"/>
        </w:rPr>
        <w:t xml:space="preserve">%。</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合同履行结束后，甲方应及时退还交纳的履约保证金。</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履约保证金的退还：</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.1方式：无息退还至投标人缴纳履约保证金的账户。如为保函，在到期时自行失效。</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2时间：验收合格且采购人收到发票后30日内。</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.3条件：按合同要求全部履约完成并经采购人验收合格，且采购人收到中标人出具的发票。</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.4不予退还情形：</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除不可抗力情况外，投标人出现下列情形之一的，其履约保证金，招标人将视情节决定不予退还或部分不予退还。</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（1）中标人无正当理由拒绝签订合同的，或者在签订合同时向采购人提出附加条件或者更改合同实质性内容要求的；</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（2）中标人不履行与采购人订立的合同的；</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（3）中标人所供货物或服务不符合招标文件规定要求的；</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（4）中标人采取欺骗、弄虚作假方式投标的或与</w:t>
      </w:r>
      <w:r>
        <w:rPr>
          <w:rFonts w:hint="eastAsia" w:ascii="宋体" w:hAnsi="宋体" w:eastAsia="宋体" w:cs="宋体"/>
          <w:sz w:val="24"/>
          <w:szCs w:val="24"/>
          <w:lang w:eastAsia="zh-CN"/>
        </w:rPr>
        <w:t xml:space="preserve">其他</w:t>
      </w:r>
      <w:r>
        <w:rPr>
          <w:rFonts w:hint="eastAsia" w:ascii="宋体" w:hAnsi="宋体" w:eastAsia="宋体" w:cs="宋体"/>
          <w:sz w:val="24"/>
          <w:szCs w:val="24"/>
        </w:rPr>
        <w:t xml:space="preserve">投标人串通投标的；</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（5）中标人将合同内容转包、违法分包的；</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（6）中标人故意捏造事实或伪造证明材料，进行虚假恶意投诉或反映的。</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.5逾期退还的违约责任：采购人逾期无故未退还履约保证金的，按中国人民银行同期贷款基准利率上浮20%后的利率支付超期资金占用费，但因供应商自身原因导致无法及时退还的除外。</w:t>
      </w:r>
      <w:r/>
    </w:p>
    <w:p>
      <w:pPr>
        <w:ind w:left="0"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3.6</w:t>
      </w:r>
      <w:r>
        <w:rPr>
          <w:rFonts w:hint="eastAsia" w:ascii="宋体" w:hAnsi="宋体" w:eastAsia="宋体" w:cs="宋体"/>
          <w:sz w:val="24"/>
          <w:szCs w:val="24"/>
        </w:rPr>
        <w:t xml:space="preserve">在</w:t>
      </w:r>
      <w:r>
        <w:rPr>
          <w:rFonts w:hint="eastAsia" w:ascii="宋体" w:hAnsi="宋体" w:eastAsia="宋体" w:cs="宋体"/>
          <w:sz w:val="24"/>
          <w:szCs w:val="24"/>
          <w:lang w:val="en-US" w:eastAsia="zh-CN"/>
        </w:rPr>
        <w:t xml:space="preserve">五年维保</w:t>
      </w:r>
      <w:r>
        <w:rPr>
          <w:rFonts w:hint="eastAsia" w:ascii="宋体" w:hAnsi="宋体" w:eastAsia="宋体" w:cs="宋体"/>
          <w:sz w:val="24"/>
          <w:szCs w:val="24"/>
        </w:rPr>
        <w:t xml:space="preserve">期内所供货物发生故障时，</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须在</w:t>
      </w:r>
      <w:r>
        <w:rPr>
          <w:rFonts w:hint="eastAsia" w:ascii="宋体" w:hAnsi="宋体" w:eastAsia="宋体" w:cs="宋体"/>
          <w:sz w:val="24"/>
          <w:szCs w:val="24"/>
          <w:lang w:val="en-US" w:eastAsia="zh-CN"/>
        </w:rPr>
        <w:t xml:space="preserve">24</w:t>
      </w:r>
      <w:r>
        <w:rPr>
          <w:rFonts w:hint="eastAsia" w:ascii="宋体" w:hAnsi="宋体" w:eastAsia="宋体" w:cs="宋体"/>
          <w:sz w:val="24"/>
          <w:szCs w:val="24"/>
        </w:rPr>
        <w:t xml:space="preserve">小时内到场维修，无法修复时，须在</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小时内提供备用产品，否则甲方有权自行处理，其</w:t>
      </w:r>
      <w:r>
        <w:rPr>
          <w:rFonts w:hint="eastAsia" w:ascii="宋体" w:hAnsi="宋体" w:eastAsia="宋体" w:cs="宋体"/>
          <w:sz w:val="24"/>
          <w:szCs w:val="24"/>
          <w:lang w:val="en-US" w:eastAsia="zh-CN"/>
        </w:rPr>
        <w:t xml:space="preserve">维保</w:t>
      </w:r>
      <w:r>
        <w:rPr>
          <w:rFonts w:hint="eastAsia" w:ascii="宋体" w:hAnsi="宋体" w:eastAsia="宋体" w:cs="宋体"/>
          <w:sz w:val="24"/>
          <w:szCs w:val="24"/>
        </w:rPr>
        <w:t xml:space="preserve">费用在乙方</w:t>
      </w:r>
      <w:r>
        <w:rPr>
          <w:rFonts w:hint="eastAsia" w:ascii="宋体" w:hAnsi="宋体" w:eastAsia="宋体" w:cs="宋体"/>
          <w:sz w:val="24"/>
          <w:szCs w:val="24"/>
          <w:lang w:val="en-US" w:eastAsia="zh-CN"/>
        </w:rPr>
        <w:t xml:space="preserve">维保费</w:t>
      </w:r>
      <w:r>
        <w:rPr>
          <w:rFonts w:hint="eastAsia" w:ascii="宋体" w:hAnsi="宋体" w:eastAsia="宋体" w:cs="宋体"/>
          <w:sz w:val="24"/>
          <w:szCs w:val="24"/>
        </w:rPr>
        <w:t xml:space="preserve">中扣除。</w:t>
      </w:r>
      <w:r>
        <w:rPr>
          <w:rFonts w:hint="eastAsia" w:ascii="宋体" w:hAnsi="宋体" w:eastAsia="宋体" w:cs="宋体"/>
          <w:sz w:val="24"/>
          <w:szCs w:val="24"/>
          <w:lang w:val="en-US" w:eastAsia="zh-CN"/>
        </w:rPr>
        <w:t xml:space="preserve">维保期内达三次不到场的甲方有权扣除当年维保费用。</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3.7</w:t>
      </w:r>
      <w:r>
        <w:rPr>
          <w:rFonts w:hint="eastAsia" w:ascii="宋体" w:hAnsi="宋体" w:eastAsia="宋体" w:cs="宋体"/>
          <w:sz w:val="24"/>
          <w:szCs w:val="24"/>
        </w:rPr>
        <w:t xml:space="preserve">所有货物免费送达甲方指定地点，货物的托运、安装及预装常用软件（如需要）等，均不需另行付费。</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3.8</w:t>
      </w:r>
      <w:r>
        <w:rPr>
          <w:rFonts w:hint="eastAsia" w:ascii="宋体" w:hAnsi="宋体" w:eastAsia="宋体" w:cs="宋体"/>
          <w:sz w:val="24"/>
          <w:szCs w:val="24"/>
        </w:rPr>
        <w:t xml:space="preserve">根据厂方的规定对所供货物进行保修，在质量保证期内，乙方不得收取任何费用；质量保证期满后，乙方对用户货物的维修，只收成本费，并提供终生技术服务。</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3.9</w:t>
      </w:r>
      <w:r>
        <w:rPr>
          <w:rFonts w:hint="eastAsia" w:ascii="宋体" w:hAnsi="宋体" w:eastAsia="宋体" w:cs="宋体"/>
          <w:sz w:val="24"/>
          <w:szCs w:val="24"/>
        </w:rPr>
        <w:t xml:space="preserve">如</w:t>
      </w:r>
      <w:r>
        <w:rPr>
          <w:rFonts w:hint="eastAsia" w:ascii="宋体" w:hAnsi="宋体" w:eastAsia="宋体" w:cs="宋体"/>
          <w:sz w:val="24"/>
          <w:szCs w:val="24"/>
          <w:lang w:val="en-US" w:eastAsia="zh-CN"/>
        </w:rPr>
        <w:t xml:space="preserve">因</w:t>
      </w:r>
      <w:r>
        <w:rPr>
          <w:rFonts w:hint="eastAsia" w:ascii="宋体" w:hAnsi="宋体" w:eastAsia="宋体" w:cs="宋体"/>
          <w:sz w:val="24"/>
          <w:szCs w:val="24"/>
        </w:rPr>
        <w:t xml:space="preserve">使用不当造成货物的毁损，乙方有义务协助维修。</w:t>
      </w:r>
      <w:r/>
    </w:p>
    <w:p>
      <w:pPr>
        <w:ind w:left="0" w:firstLine="48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五、违约责任</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5.1 甲乙双方必须遵守本合同并执行合同中的各项约定，保证本合同的正常履行。</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5.2 如因甲方未能按合同规定履行经费支付，造成乙方难以正常开展服务活动，由甲方承担责任。</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5.3在服务过程中，因乙方造成重大社会影响、安全事故或合同内容未完成的，由乙方承担责任。</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5.4 发生合同纠纷，双方协商解决，协商不成的，依法向甲方所在地人民法院提起诉讼。</w:t>
      </w:r>
      <w:r/>
    </w:p>
    <w:p>
      <w:pPr>
        <w:ind w:left="0" w:firstLine="48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六、其他条款：</w:t>
      </w:r>
      <w:r/>
    </w:p>
    <w:p>
      <w:pPr>
        <w:ind w:left="0" w:firstLine="480"/>
        <w:keepLines w:val="0"/>
        <w:keepNext w:val="0"/>
        <w:pageBreakBefore w:val="0"/>
        <w:spacing w:line="360" w:lineRule="auto"/>
        <w:widowControl w:val="off"/>
        <w:rPr>
          <w:rFonts w:hint="eastAsia" w:ascii="宋体" w:hAnsi="宋体" w:eastAsia="宋体" w:cs="宋体"/>
          <w:color w:val="000000"/>
          <w:sz w:val="24"/>
          <w:szCs w:val="24"/>
          <w:u w:val="single"/>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本项目不得转包、分包，否则甲方有权单方面解除合同，乙方须无条件撤出</w:t>
      </w:r>
      <w:r>
        <w:rPr>
          <w:rFonts w:hint="eastAsia" w:ascii="宋体" w:hAnsi="宋体" w:eastAsia="宋体" w:cs="宋体"/>
          <w:color w:val="000000"/>
          <w:sz w:val="24"/>
          <w:szCs w:val="24"/>
          <w:u w:val="non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000000"/>
          <w:sz w:val="24"/>
          <w:szCs w:val="24"/>
          <w:u w:val="single"/>
          <w:lang w:eastAsia="zh-CN"/>
        </w:rPr>
      </w:pPr>
      <w:r>
        <w:rPr>
          <w:rFonts w:hint="eastAsia" w:ascii="宋体" w:hAnsi="宋体" w:eastAsia="宋体" w:cs="宋体"/>
          <w:color w:val="000000"/>
          <w:sz w:val="24"/>
          <w:szCs w:val="24"/>
          <w:u w:val="none"/>
          <w:lang w:val="en-US" w:eastAsia="zh-CN"/>
        </w:rPr>
        <w:t xml:space="preserve">2.</w:t>
      </w:r>
      <w:r>
        <w:rPr>
          <w:rFonts w:hint="eastAsia" w:ascii="宋体" w:hAnsi="宋体" w:eastAsia="宋体" w:cs="宋体"/>
          <w:color w:val="000000"/>
          <w:sz w:val="24"/>
          <w:szCs w:val="24"/>
          <w:u w:val="single"/>
        </w:rPr>
        <w:t xml:space="preserve">供应商应按照甲方</w:t>
      </w:r>
      <w:r>
        <w:rPr>
          <w:rFonts w:hint="eastAsia" w:ascii="宋体" w:hAnsi="宋体" w:eastAsia="宋体" w:cs="宋体"/>
          <w:color w:val="000000"/>
          <w:sz w:val="24"/>
          <w:szCs w:val="24"/>
          <w:u w:val="single"/>
          <w:lang w:val="en-US" w:eastAsia="zh-CN"/>
        </w:rPr>
        <w:t xml:space="preserve">要求</w:t>
      </w:r>
      <w:r>
        <w:rPr>
          <w:rFonts w:hint="eastAsia" w:ascii="宋体" w:hAnsi="宋体" w:eastAsia="宋体" w:cs="宋体"/>
          <w:color w:val="000000"/>
          <w:sz w:val="24"/>
          <w:szCs w:val="24"/>
          <w:u w:val="single"/>
        </w:rPr>
        <w:t xml:space="preserve">，对甲方指定的原有</w:t>
      </w:r>
      <w:r>
        <w:rPr>
          <w:rFonts w:hint="eastAsia" w:ascii="宋体" w:hAnsi="宋体" w:eastAsia="宋体" w:cs="宋体"/>
          <w:color w:val="000000"/>
          <w:sz w:val="24"/>
          <w:szCs w:val="24"/>
          <w:u w:val="single"/>
          <w:lang w:val="en-US" w:eastAsia="zh-CN"/>
        </w:rPr>
        <w:t xml:space="preserve">场地</w:t>
      </w:r>
      <w:r>
        <w:rPr>
          <w:rFonts w:hint="eastAsia" w:ascii="宋体" w:hAnsi="宋体" w:eastAsia="宋体" w:cs="宋体"/>
          <w:color w:val="000000"/>
          <w:sz w:val="24"/>
          <w:szCs w:val="24"/>
          <w:u w:val="single"/>
        </w:rPr>
        <w:t xml:space="preserve">货物搬运</w:t>
      </w:r>
      <w:r>
        <w:rPr>
          <w:rFonts w:hint="eastAsia" w:ascii="宋体" w:hAnsi="宋体" w:eastAsia="宋体" w:cs="宋体"/>
          <w:color w:val="000000"/>
          <w:sz w:val="24"/>
          <w:szCs w:val="24"/>
          <w:u w:val="single"/>
          <w:lang w:val="en-US" w:eastAsia="zh-CN"/>
        </w:rPr>
        <w:t xml:space="preserve">至甲方指定地点</w:t>
      </w:r>
      <w:r>
        <w:rPr>
          <w:rFonts w:hint="eastAsia" w:ascii="宋体" w:hAnsi="宋体" w:eastAsia="宋体" w:cs="宋体"/>
          <w:color w:val="000000"/>
          <w:sz w:val="24"/>
          <w:szCs w:val="24"/>
          <w:u w:val="none"/>
          <w:lang w:eastAsia="zh-CN"/>
        </w:rPr>
        <w:t xml:space="preserve">。</w:t>
      </w:r>
      <w:r/>
    </w:p>
    <w:p>
      <w:pPr>
        <w:ind w:left="0" w:firstLine="48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七、</w:t>
      </w:r>
      <w:r>
        <w:rPr>
          <w:rFonts w:hint="eastAsia" w:ascii="宋体" w:hAnsi="宋体" w:eastAsia="宋体" w:cs="宋体"/>
          <w:b/>
          <w:color w:val="000000"/>
          <w:sz w:val="24"/>
          <w:szCs w:val="24"/>
        </w:rPr>
        <w:t xml:space="preserve">本合</w:t>
      </w:r>
      <w:r>
        <w:rPr>
          <w:rFonts w:hint="eastAsia" w:ascii="宋体" w:hAnsi="宋体" w:eastAsia="宋体" w:cs="宋体"/>
          <w:b/>
          <w:sz w:val="24"/>
          <w:szCs w:val="24"/>
        </w:rPr>
        <w:t xml:space="preserve">同由下列文件共同构成：</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1.本合同书；</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2.中标通知书；</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3.采购人的招标文件及其补充（答疑）资料；</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4.中标人的投标文件及其补充（澄清）资料。</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八</w:t>
      </w:r>
      <w:r>
        <w:rPr>
          <w:rFonts w:hint="eastAsia" w:ascii="宋体" w:hAnsi="宋体" w:eastAsia="宋体" w:cs="宋体"/>
          <w:sz w:val="24"/>
          <w:szCs w:val="24"/>
        </w:rPr>
        <w:t xml:space="preserve">、本合同未尽事宜，由甲、乙双方依据招标文件、中标人的投标文件另行协商解决。</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九</w:t>
      </w:r>
      <w:r>
        <w:rPr>
          <w:rFonts w:hint="eastAsia" w:ascii="宋体" w:hAnsi="宋体" w:eastAsia="宋体" w:cs="宋体"/>
          <w:sz w:val="24"/>
          <w:szCs w:val="24"/>
        </w:rPr>
        <w:t xml:space="preserve">、本合同一式</w:t>
      </w:r>
      <w:r>
        <w:rPr>
          <w:rFonts w:hint="eastAsia" w:ascii="宋体" w:hAnsi="宋体" w:eastAsia="宋体" w:cs="宋体"/>
          <w:sz w:val="24"/>
          <w:szCs w:val="24"/>
          <w:u w:val="single"/>
        </w:rPr>
        <w:t xml:space="preserve"> 肆 </w:t>
      </w:r>
      <w:r>
        <w:rPr>
          <w:rFonts w:hint="eastAsia" w:ascii="宋体" w:hAnsi="宋体" w:eastAsia="宋体" w:cs="宋体"/>
          <w:sz w:val="24"/>
          <w:szCs w:val="24"/>
        </w:rPr>
        <w:t xml:space="preserve">份，甲乙双方各执一份，其余用于相关单位存档。</w:t>
      </w:r>
      <w:r/>
    </w:p>
    <w:p>
      <w:pPr>
        <w:ind w:left="0" w:firstLine="480"/>
        <w:keepLines w:val="0"/>
        <w:keepNext w:val="0"/>
        <w:pageBreakBefore w:val="0"/>
        <w:spacing w:line="360" w:lineRule="auto"/>
        <w:widowControl w:val="off"/>
        <w:rPr>
          <w:rFonts w:hint="eastAsia" w:ascii="宋体" w:hAnsi="宋体" w:eastAsia="宋体" w:cs="宋体"/>
          <w:b/>
          <w:bCs/>
          <w:color w:val="ff0000"/>
          <w:sz w:val="24"/>
          <w:szCs w:val="24"/>
        </w:rPr>
      </w:pPr>
      <w:r>
        <w:rPr>
          <w:rFonts w:hint="eastAsia" w:ascii="宋体" w:hAnsi="宋体" w:eastAsia="宋体" w:cs="宋体"/>
          <w:sz w:val="24"/>
          <w:szCs w:val="24"/>
        </w:rPr>
        <w:t xml:space="preserve">十、采购人或其委托的代理机构应当自政府采购合同签订之日起</w:t>
      </w:r>
      <w:r>
        <w:rPr>
          <w:rFonts w:hint="eastAsia" w:ascii="宋体" w:hAnsi="宋体" w:eastAsia="宋体" w:cs="宋体"/>
          <w:sz w:val="24"/>
          <w:szCs w:val="24"/>
          <w:u w:val="single"/>
        </w:rPr>
        <w:t xml:space="preserve">2</w:t>
      </w:r>
      <w:r>
        <w:rPr>
          <w:rFonts w:hint="eastAsia" w:ascii="宋体" w:hAnsi="宋体" w:eastAsia="宋体" w:cs="宋体"/>
          <w:sz w:val="24"/>
          <w:szCs w:val="24"/>
        </w:rPr>
        <w:t xml:space="preserve">个工作日内，将政府采购合同的扫描件（PDF格式）传送政府采购交易执行系统实施网上备案，经东台市财政局审核后，网上公示。</w:t>
      </w:r>
      <w:r/>
    </w:p>
    <w:p>
      <w:pPr>
        <w:spacing w:line="360" w:lineRule="auto"/>
        <w:rPr>
          <w:rFonts w:ascii="楷体_GB2312" w:eastAsia="楷体_GB2312"/>
        </w:rPr>
      </w:pPr>
      <w:r>
        <w:rPr>
          <w:rFonts w:ascii="楷体_GB2312" w:eastAsia="楷体_GB2312"/>
        </w:rPr>
      </w:r>
      <w:r/>
    </w:p>
    <w:p>
      <w:pPr>
        <w:pStyle w:val="63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3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35"/>
        <w:ind w:left="0" w:firstLine="480"/>
        <w:jc w:val="left"/>
        <w:keepLines w:val="0"/>
        <w:keepNext w:val="0"/>
        <w:pageBreakBefore w:val="0"/>
        <w:spacing w:beforeAutospacing="0" w:afterAutospacing="0"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 </w:t>
      </w:r>
      <w:r/>
    </w:p>
    <w:p>
      <w:pPr>
        <w:pStyle w:val="635"/>
        <w:ind w:left="0" w:firstLine="480"/>
        <w:jc w:val="left"/>
        <w:keepLines w:val="0"/>
        <w:keepNext w:val="0"/>
        <w:pageBreakBefore w:val="0"/>
        <w:spacing w:beforeAutospacing="0" w:afterAutospacing="0"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地址： </w:t>
      </w:r>
      <w:r/>
    </w:p>
    <w:p>
      <w:pPr>
        <w:pStyle w:val="635"/>
        <w:ind w:left="0" w:firstLine="480"/>
        <w:jc w:val="left"/>
        <w:keepLines w:val="0"/>
        <w:keepNext w:val="0"/>
        <w:pageBreakBefore w:val="0"/>
        <w:spacing w:beforeAutospacing="0" w:afterAutospacing="0"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       法定代表人或授权代表：</w:t>
      </w:r>
      <w:r/>
    </w:p>
    <w:p>
      <w:pPr>
        <w:pStyle w:val="635"/>
        <w:ind w:left="0" w:firstLine="480"/>
        <w:jc w:val="left"/>
        <w:keepLines w:val="0"/>
        <w:keepNext w:val="0"/>
        <w:pageBreakBefore w:val="0"/>
        <w:spacing w:beforeAutospacing="0" w:afterAutospacing="0"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          </w:t>
      </w:r>
      <w:r/>
    </w:p>
    <w:p>
      <w:pPr>
        <w:spacing w:line="480" w:lineRule="auto"/>
        <w:rPr>
          <w:rFonts w:hint="eastAsia" w:ascii="黑体" w:hAnsi="黑体" w:eastAsia="黑体"/>
          <w:sz w:val="28"/>
          <w:szCs w:val="28"/>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签订日期：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年    月   日</w:t>
      </w:r>
      <w:r/>
    </w:p>
    <w:p>
      <w:pPr>
        <w:spacing w:line="360" w:lineRule="auto"/>
        <w:rPr>
          <w:rFonts w:hint="eastAsia" w:ascii="黑体" w:hAnsi="黑体" w:eastAsia="黑体"/>
          <w:sz w:val="28"/>
          <w:szCs w:val="28"/>
          <w:highlight w:val="none"/>
        </w:rPr>
      </w:pPr>
      <w:r>
        <w:rPr>
          <w:rFonts w:hint="eastAsia" w:ascii="黑体" w:hAnsi="黑体" w:eastAsia="黑体"/>
          <w:sz w:val="28"/>
          <w:szCs w:val="28"/>
          <w:highlight w:val="none"/>
        </w:rPr>
        <w:br w:type="page" w:clear="all"/>
      </w:r>
      <w:bookmarkEnd w:id="169"/>
      <w:r/>
    </w:p>
    <w:p>
      <w:pPr>
        <w:pStyle w:val="635"/>
        <w:jc w:val="center"/>
        <w:spacing w:before="120" w:beforeAutospacing="0" w:after="120" w:afterAutospacing="0" w:line="0" w:lineRule="atLeast"/>
        <w:rPr>
          <w:highlight w:val="none"/>
        </w:rPr>
      </w:pPr>
      <w:r>
        <w:rPr>
          <w:rFonts w:hint="eastAsia" w:ascii="黑体" w:hAnsi="宋体" w:eastAsia="黑体" w:cs="黑体"/>
          <w:color w:val="000000"/>
          <w:sz w:val="44"/>
          <w:szCs w:val="44"/>
          <w:highlight w:val="none"/>
        </w:rPr>
        <w:t xml:space="preserve">第</w:t>
      </w:r>
      <w:bookmarkEnd w:id="160"/>
      <w:r>
        <w:rPr>
          <w:rFonts w:hint="eastAsia" w:ascii="黑体" w:hAnsi="宋体" w:eastAsia="黑体" w:cs="黑体"/>
          <w:color w:val="000000"/>
          <w:sz w:val="44"/>
          <w:szCs w:val="44"/>
          <w:highlight w:val="none"/>
        </w:rPr>
        <w:t xml:space="preserve">四章 采购需求</w:t>
      </w:r>
      <w:bookmarkEnd w:id="161"/>
      <w:r/>
      <w:bookmarkEnd w:id="162"/>
      <w:r/>
      <w:bookmarkEnd w:id="163"/>
      <w:r/>
      <w:bookmarkEnd w:id="164"/>
      <w:r/>
      <w:bookmarkEnd w:id="165"/>
      <w:r/>
      <w:r/>
    </w:p>
    <w:p>
      <w:pPr>
        <w:pStyle w:val="635"/>
        <w:jc w:val="both"/>
        <w:spacing w:beforeAutospacing="0" w:afterAutospacing="0" w:line="0" w:lineRule="atLeast"/>
        <w:rPr>
          <w:rFonts w:hint="eastAsia" w:ascii="宋体" w:hAnsi="宋体" w:eastAsia="宋体" w:cs="宋体"/>
          <w:color w:val="auto"/>
          <w:sz w:val="24"/>
          <w:szCs w:val="24"/>
          <w:highlight w:val="none"/>
          <w:shd w:val="clear" w:color="auto" w:fill="auto"/>
        </w:rPr>
      </w:pPr>
      <w:r/>
      <w:bookmarkStart w:id="170" w:name="_Toc26554093"/>
      <w:r/>
      <w:bookmarkStart w:id="171" w:name="_Toc49090575"/>
      <w:r>
        <w:rPr>
          <w:rFonts w:hint="eastAsia" w:ascii="宋体" w:hAnsi="宋体" w:eastAsia="宋体" w:cs="宋体"/>
          <w:color w:val="auto"/>
          <w:sz w:val="24"/>
          <w:szCs w:val="24"/>
          <w:highlight w:val="none"/>
        </w:rPr>
        <w:t xml:space="preserve">项目属性:货物类项目</w:t>
      </w:r>
      <w:r>
        <w:rPr>
          <w:rFonts w:hint="eastAsia" w:ascii="宋体" w:hAnsi="宋体" w:eastAsia="宋体" w:cs="宋体"/>
          <w:color w:val="auto"/>
          <w:sz w:val="24"/>
          <w:szCs w:val="24"/>
          <w:highlight w:val="none"/>
          <w:shd w:val="clear" w:color="auto" w:fill="auto"/>
        </w:rPr>
        <w:t xml:space="preserve">。</w:t>
      </w:r>
      <w:bookmarkEnd w:id="170"/>
      <w:r/>
      <w:bookmarkEnd w:id="171"/>
      <w:r/>
      <w:r/>
    </w:p>
    <w:p>
      <w:pPr>
        <w:pStyle w:val="635"/>
        <w:jc w:val="both"/>
        <w:spacing w:beforeAutospacing="0" w:afterAutospacing="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核心</w:t>
      </w:r>
      <w:r>
        <w:rPr>
          <w:rFonts w:hint="eastAsia" w:ascii="宋体" w:hAnsi="宋体" w:eastAsia="宋体" w:cs="宋体"/>
          <w:b/>
          <w:bCs/>
          <w:color w:val="auto"/>
          <w:sz w:val="24"/>
          <w:szCs w:val="24"/>
          <w:highlight w:val="none"/>
          <w:lang w:eastAsia="zh-CN"/>
        </w:rPr>
        <w:t xml:space="preserve">产品名称：</w:t>
      </w:r>
      <w:r>
        <w:rPr>
          <w:rFonts w:hint="eastAsia" w:ascii="宋体" w:hAnsi="宋体" w:eastAsia="宋体" w:cs="宋体"/>
          <w:b/>
          <w:bCs/>
          <w:color w:val="auto"/>
          <w:sz w:val="24"/>
          <w:szCs w:val="24"/>
          <w:highlight w:val="none"/>
          <w:lang w:val="en-US" w:eastAsia="zh-CN"/>
        </w:rPr>
        <w:t xml:space="preserve">数字音乐、美术教学软件</w:t>
      </w:r>
      <w:r/>
    </w:p>
    <w:p>
      <w:pPr>
        <w:pStyle w:val="635"/>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采购需求包括拟采购的标的及其需要满足的技术、商务要求。</w:t>
      </w:r>
      <w:r/>
    </w:p>
    <w:p>
      <w:pPr>
        <w:pStyle w:val="635"/>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（一）技术要求是指对采购标的功能和质量要求，包括性能、材料、结构、外观、安全，或者服务内容和标准等。</w:t>
      </w:r>
      <w:r/>
    </w:p>
    <w:p>
      <w:pPr>
        <w:pStyle w:val="635"/>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（二）商务要求是指取得采购标的的时间、地点、财务和服务要求，包括交付（实施）的时间（期限）和地点（范围），付款条件（进度和方法），包装和运输，售后服务，保险等。</w:t>
      </w:r>
      <w:r/>
    </w:p>
    <w:p>
      <w:pPr>
        <w:pStyle w:val="635"/>
        <w:jc w:val="both"/>
        <w:spacing w:beforeAutospacing="0" w:afterAutospacing="0"/>
        <w:rPr>
          <w:rFonts w:hint="eastAsia" w:ascii="宋体" w:hAnsi="宋体" w:eastAsia="宋体" w:cs="宋体"/>
          <w:b/>
          <w:bCs/>
          <w:i/>
          <w:iCs w:val="0"/>
          <w:color w:val="auto"/>
          <w:sz w:val="24"/>
          <w:szCs w:val="24"/>
          <w:highlight w:val="none"/>
          <w:u w:val="none"/>
          <w:shd w:val="clear" w:color="auto" w:fill="auto"/>
          <w:lang w:val="en-US" w:eastAsia="zh-CN"/>
        </w:rPr>
      </w:pPr>
      <w:r>
        <w:rPr>
          <w:rFonts w:hint="eastAsia" w:ascii="宋体" w:hAnsi="宋体" w:eastAsia="宋体" w:cs="宋体"/>
          <w:b/>
          <w:bCs/>
          <w:i/>
          <w:iCs w:val="0"/>
          <w:color w:val="auto"/>
          <w:sz w:val="24"/>
          <w:szCs w:val="24"/>
          <w:highlight w:val="none"/>
          <w:u w:val="none"/>
          <w:shd w:val="clear" w:color="auto" w:fill="auto"/>
          <w:lang w:val="en-US" w:eastAsia="zh-CN"/>
        </w:rPr>
        <w:t xml:space="preserve">（三）招标内容功能要求</w:t>
      </w:r>
      <w:r/>
    </w:p>
    <w:tbl>
      <w:tblPr>
        <w:tblStyle w:val="628"/>
        <w:tblW w:w="87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03"/>
        <w:gridCol w:w="1115"/>
        <w:gridCol w:w="5401"/>
        <w:gridCol w:w="736"/>
        <w:gridCol w:w="804"/>
      </w:tblGrid>
      <w:tr>
        <w:trPr>
          <w:jc w:val="center"/>
          <w:trHeight w:val="702"/>
        </w:trPr>
        <w:tc>
          <w:tcPr>
            <w:shd w:val="clear" w:color="auto" w:fill="ffffff"/>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序号</w:t>
            </w:r>
            <w:r/>
          </w:p>
        </w:tc>
        <w:tc>
          <w:tcPr>
            <w:shd w:val="clear" w:color="auto" w:fill="ffffff"/>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项目名称</w:t>
            </w:r>
            <w:r/>
          </w:p>
        </w:tc>
        <w:tc>
          <w:tcPr>
            <w:shd w:val="clear" w:color="auto" w:fill="ffffff"/>
            <w:tcW w:w="5401"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相关信息及参数说明</w:t>
            </w:r>
            <w:r/>
          </w:p>
        </w:tc>
        <w:tc>
          <w:tcPr>
            <w:shd w:val="clear" w:color="auto" w:fill="ffffff"/>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单位</w:t>
            </w:r>
            <w:r/>
          </w:p>
        </w:tc>
        <w:tc>
          <w:tcPr>
            <w:shd w:val="clear" w:color="auto" w:fill="ffffff"/>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数量</w:t>
            </w:r>
            <w:r/>
          </w:p>
        </w:tc>
      </w:tr>
      <w:tr>
        <w:trPr>
          <w:jc w:val="center"/>
          <w:trHeight w:val="387"/>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剧院钢木舞台</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整体规格14000mm×1200mm×250mm（长×宽×高），误差≤±2mm，承重能力：静态载荷≥200kg/m²，动态载荷≥50kg/m²（含人员走动、设备移动）。连接方式：模块化榫卯拼接，8组M12不锈钢连接件固定（抗拉强度≥50kN）。</w:t>
            </w:r>
            <w:r/>
          </w:p>
          <w:p>
            <w:pPr>
              <w:jc w:val="left"/>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框架结构：冷轧钢框架，壁厚≥1.8mm，表面磷化防锈处理。</w:t>
            </w:r>
            <w:r/>
          </w:p>
          <w:p>
            <w:pPr>
              <w:jc w:val="left"/>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台面材质：面层为18mm厚多层实木复合板，表面覆三聚氰胺饰面，耐磨转数≥4000转，防滑系数≥0.5，边缘加厚至25mm并采用PVC封边条热熔包覆，平整度误差≤0.5mm/m。</w:t>
            </w:r>
            <w:r/>
          </w:p>
          <w:p>
            <w:pPr>
              <w:jc w:val="left"/>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连接配件：配套DTC铰链及两节导轨（耐久性≥5万次），T型铝合金压条（宽度40mm）拼接缝隙≤1mm，自攻螺丝间距≤300mm固定。</w:t>
            </w:r>
            <w:r/>
          </w:p>
          <w:p>
            <w:pPr>
              <w:jc w:val="left"/>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性能参数：防火等级B1级（氧指数≥32%），甲醛释放量≤0.05mg/m³（E0级），台面耐酸碱、耐冲击（落球测试无凹陷），底部可调脚支撑（高度调节范围±30mm）。</w:t>
            </w:r>
            <w:r/>
          </w:p>
          <w:p>
            <w:pPr>
              <w:jc w:val="left"/>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支撑结构：纵向主梁间距≤400mm，横向加强筋间距≤300mm。</w:t>
            </w:r>
            <w:r/>
          </w:p>
          <w:p>
            <w:pPr>
              <w:jc w:val="left"/>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接地保护：整体接地电阻≤4Ω（防静电测试报告）</w:t>
            </w:r>
            <w:r/>
          </w:p>
          <w:p>
            <w:pPr>
              <w:jc w:val="left"/>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稳定性：整体倾斜度≤1/1000，抗倾覆系数≥1.5（依据GB 50017-2017钢结构设计规范）。</w:t>
            </w:r>
            <w:r/>
          </w:p>
          <w:p>
            <w:pPr>
              <w:jc w:val="left"/>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隔声量：空气声隔声≥45dB（符合GB/T 19889.3-2005第二类声环境标准）。</w:t>
            </w:r>
            <w:r/>
          </w:p>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吸声系数：表面平均吸声系数α≥0.3（125-4000Hz频段，按GB/T 20247-2020检测）</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共振控制：基频≥80Hz。冷轧钢板技术要求：检测依据参照:GB/T3325-2017《金属家具通用技术条件》QB/T 3832-1999《轻工产品金属镀层腐蚀试验结果的评价》QB/T 3827-19</w:t>
            </w:r>
            <w:r>
              <w:rPr>
                <w:rFonts w:hint="eastAsia" w:asciiTheme="majorEastAsia" w:hAnsiTheme="majorEastAsia" w:eastAsiaTheme="majorEastAsia" w:cstheme="majorEastAsia"/>
                <w:color w:val="000000"/>
                <w:sz w:val="22"/>
                <w:szCs w:val="22"/>
                <w:u w:val="none"/>
                <w:lang w:val="en-US" w:eastAsia="zh-CN" w:bidi="ar"/>
              </w:rPr>
              <w:t xml:space="preserve">99《轻工产品金属镀层和化学处理层的耐腐蚀试验方法乙酸盐雾试验(ASS)法》GB/T 10125-2021《人造气氛腐蚀试验 盐雾试验》产品外观性能要求检测中金属件喷涂层，涂层应无漏喷、锈蚀和脱色、掉色现象，涂层应光滑均匀，色泽一致，应无流挂、疙瘩、皱皮、飞漆等缺陷。在产品表面涂饰层/覆面材料理化性能，金属喷漆(塑)涂层检测中硬度≥H,冲击强度中，冲击高度400mm，应无剥落、裂纹、皱纹。耐腐蚀100h内，观察在溶液中样板上划道两侧3mm以外，应无鼓泡产生，100h后，检查划道两侧3mm外，应无锈迹、剥落、</w:t>
            </w:r>
            <w:r>
              <w:rPr>
                <w:rFonts w:hint="eastAsia" w:asciiTheme="majorEastAsia" w:hAnsiTheme="majorEastAsia" w:eastAsiaTheme="majorEastAsia" w:cstheme="majorEastAsia"/>
                <w:color w:val="000000"/>
                <w:sz w:val="22"/>
                <w:szCs w:val="22"/>
                <w:u w:val="none"/>
                <w:lang w:val="en-US" w:eastAsia="zh-CN" w:bidi="ar"/>
              </w:rPr>
              <w:t xml:space="preserve">起皱、变色和失光等现象，附着力应不低于2级，金属电镀层抗盐雾检测中18h，直径1.5mm以下锈点≤20点/d㎡，其中直径≧1.0mm锈点不超过5点(距边缘棱角2mm以内的不计)，金属表面耐腐蚀中乙酸盐雾委托方要求连续喷雾 240 小时)，涂层本身的耐腐蚀等级:10级最好，0级最差，涂层对基体的保护等级:10级最好，0级最差 ★投标文件中提供由国家行政管理部门认定的省级及省级以上国家检测机构出具的（具有CMA、CNAS等标识）完整的冷轧钢板检测报告，测试内容需完全符合参数要求，不得缺项、漏项，否则视为负偏离。</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组</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405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剧院内部灯光维修升级</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维修范围：对现有灯光系统中局部损坏的配件（如光源、电器元件、控制模块、线缆及灯具结构件等）进行检测，针对可修复的部件（如灯珠损坏、线缆破皮、支架锈蚀）采用更换零件、焊接修复、清洁氧化层等方式恢复功能。</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2、换新内容：对无法维修或维修成本较高的配件（如灯丝熔断的灯泡、短路的驱动电源、破裂的灯具外壳）进行整体更换，换新配件需匹配原系统参数（功率、电压、接口类型等），确保与原有灯具兼容。</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3、核心工作流程：</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现场勘察：统计损坏配件类型、数量及损坏程度；</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配件选型：根据原灯具参数确定换新配件的规格（如 LED 灯泡色温、镇流器适配功率）；</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实施维修 / 更换：采用专业工具进行拆卸、维修或安装，重点处理防水、绝缘及信号连接等技术细节；</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调试验收：更换后测试灯光系统运行状态，确保亮度、色温、控制信号等参数正常</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项</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剧院内廊顶部艺术装配</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1、信息参数：主体支撑结构：采用镀锌钢制骨架（基材厚度≥1.2mm，横向间距≤1200mm），配套铝合金型材连接件（壁厚≥0.8mm，表面静电粉末喷涂膜厚≥60μm）。</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装饰层基材：9.5mm厚高密度纤维装饰板材（甲醛释放量≤0.05mg/m</w:t>
            </w:r>
            <w:r>
              <w:rPr>
                <w:rFonts w:hint="eastAsia" w:asciiTheme="majorEastAsia" w:hAnsiTheme="majorEastAsia" w:eastAsiaTheme="majorEastAsia" w:cstheme="majorEastAsia"/>
                <w:color w:val="000000"/>
                <w:sz w:val="22"/>
                <w:szCs w:val="22"/>
                <w:u w:val="none"/>
                <w:lang w:val="en-US" w:eastAsia="zh-CN" w:bidi="ar"/>
              </w:rPr>
              <w:t xml:space="preserve">³，依据气候箱法检测），表面覆盖复合纸面基材（内结合强度≥0.40MPa，符合GB/T 17657-2022标准）。局部定制实木配色铝方通饰面。</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连接系统：配置不锈钢自攻螺钉（规格M4×15mm，头部沉入基材深度≥0.3mm），接缝处采用V型槽切割工艺（切割深度≥3mm，嵌填石膏基填缝剂后打磨至2m靠尺检测间隙≤2mm）。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防火性能：整体系统需通过小室燃烧法测试（燃烧性能等级A1级），</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环保指标：挥发性有机物（TVOC）释放量≤0.3mg/m³（密闭空间72小时检测），重金属含量符合GB 18584-2001标准（铅、镉、铬等六项指标均≤90mg/kg）。</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功能性验证：承重测试：静态载荷≥350kg/m²持续24小时，形变率≤0.5%。</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抗震性能：通过GB 50981-2014标准模拟测试（地震加速度0.2g工况下无结构性位移）。</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声学性能：500Hz频段混响时间≤1.2秒（依据GB/T 50076-2013实测）</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配套辅材：吊顶悬挂组件：直径≥8mm镀锌钢索（破断拉力≥15kN）</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防震组件：邵氏硬度60±5的EPDM橡胶垫片（压缩永久变形≤15%）</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密封材料：硅酮耐候胶（拉伸模量≥0.4MPa，符合GB/T 14683-2017标准）                                                            </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石膏板相关技术要求：依据GB/T 9775-2008、GB 65</w:t>
            </w:r>
            <w:r>
              <w:rPr>
                <w:rFonts w:hint="eastAsia" w:asciiTheme="majorEastAsia" w:hAnsiTheme="majorEastAsia" w:eastAsiaTheme="majorEastAsia" w:cstheme="majorEastAsia"/>
                <w:color w:val="000000"/>
                <w:sz w:val="22"/>
                <w:szCs w:val="22"/>
                <w:u w:val="none"/>
                <w:lang w:val="en-US" w:eastAsia="zh-CN" w:bidi="ar"/>
              </w:rPr>
              <w:t xml:space="preserve">66-2010，检测内容中外观质量要求纸面石膏板板面平整，不应有影响使用的波纹、沟槽、亏料、漏料和划伤、破损、污痕等缺陷，尺寸偏差中长度偏差-6到0mm,宽度偏差-5到0mm,厚度偏差±0.5mm,对角线长度差≤5，楔形棱边断面尺寸：楔形棱边宽度30-80mm，楔形棱边深度0.6-1.9mm，面密度≤9.5kg/㎡，断裂荷载纵向平均值≥400N，最小值≥360N,横向平均值≥160N，最小值≥140N，硬度中端头硬度≥70N，棱边硬度≥70N，抗冲击性经冲击后，板材背面应无径向裂纹，护面纸与芯材粘结性中护面</w:t>
            </w:r>
            <w:r>
              <w:rPr>
                <w:rFonts w:hint="eastAsia" w:asciiTheme="majorEastAsia" w:hAnsiTheme="majorEastAsia" w:eastAsiaTheme="majorEastAsia" w:cstheme="majorEastAsia"/>
                <w:color w:val="000000"/>
                <w:sz w:val="22"/>
                <w:szCs w:val="22"/>
                <w:u w:val="none"/>
                <w:lang w:val="en-US" w:eastAsia="zh-CN" w:bidi="ar"/>
              </w:rPr>
              <w:t xml:space="preserve">纸与芯材应不剥离，放射性核素限量中内照射指数IRa≤1.0，Ir≤1.3。★投标文件中提供由国家行政管理部门认定的省级及省级以上国家检测机构出具的（具有CMA、CNAS标识）完整的石膏板检测报告，测试内容需完全符合参数要求，不得缺项、漏项，否则视为负偏离。       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平</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60</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剧院内廊灯光系统</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定制超薄嵌入式光源体8W/㎡，光通量：≥3200lm，色温：4000K（自然光色）。显色指数：Ra≥92，防护等级：IP20。特性：低压24V供电，铝合金散热背板。安装方式：嵌入式。LED嵌入式筒灯6W/㎡，光通量：≥3200lm，色温：4000K（自然光色）。安装方式：嵌入式。</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隐蔽式线管系统：PVC线管：Φ20mm（阻燃级），电线规格：BV-2.5mm</w:t>
            </w:r>
            <w:r>
              <w:rPr>
                <w:rFonts w:hint="eastAsia" w:asciiTheme="majorEastAsia" w:hAnsiTheme="majorEastAsia" w:eastAsiaTheme="majorEastAsia" w:cstheme="majorEastAsia"/>
                <w:color w:val="000000"/>
                <w:sz w:val="22"/>
                <w:szCs w:val="22"/>
                <w:u w:val="none"/>
                <w:lang w:val="en-US" w:eastAsia="zh-CN" w:bidi="ar"/>
              </w:rPr>
              <w:t xml:space="preserve">²（国标），</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接线盒：86型暗装（防水型），固定卡扣：尼龙材质（间距≤800mm。   </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1508"/>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剧院卫生间顶部艺术装配</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1、信息参数：主体结构组件采用AA3003系列铝合金基材，表面经阳极氧化处理形成厚度≥15μm的氧化膜（GB/T 5237.1-2017），配套支撑框架为镀锌钢制龙骨（基材厚度≥1.0mm，镀锌层≥80μm），连接节点配置不锈钢防锈卡扣件（规格M5×20mm）。铝扣板采用3003铝锰合金基材（厚度0.5mm，符合GB/T3880.3-2006标准），表面辊涂哑光纯色涂层（白色或浅灰），涂层附着力达1级，甲醛释放量≤0.05mg/m</w:t>
            </w:r>
            <w:r>
              <w:rPr>
                <w:rFonts w:hint="eastAsia" w:asciiTheme="majorEastAsia" w:hAnsiTheme="majorEastAsia" w:eastAsiaTheme="majorEastAsia" w:cstheme="majorEastAsia"/>
                <w:color w:val="000000"/>
                <w:sz w:val="22"/>
                <w:szCs w:val="22"/>
                <w:u w:val="none"/>
                <w:lang w:val="en-US" w:eastAsia="zh-CN" w:bidi="ar"/>
              </w:rPr>
              <w:t xml:space="preserve">³（E0级环保）；背面无防锈涂层以降低成本，基材含铝量≥95%，密度2.73kg/m³。2.规格与结构：标准300×300mm方形板</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表面处理系统：覆盖层为纳米级陶瓷涂层（膜厚≥60μm，铅笔硬度≥3H），色差ΔE≤1.5（CIE Lab标准）。</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边缘处理采用R3mm圆角工艺，接缝处嵌入EPDM减震条（压缩永久变形≤15%）</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平</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42</w:t>
            </w:r>
            <w:r/>
          </w:p>
        </w:tc>
      </w:tr>
      <w:tr>
        <w:trPr>
          <w:jc w:val="center"/>
          <w:trHeight w:val="9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剧院卫生间两侧更衣柜</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1、信息参数：1600*2000*400mm，基材标准：主体框架：采用E0级橡胶实木拼接板（符合GB/T 3324-2017），含水率8-12%，甲醛释放量≤0.05mg/L。</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面板材质：一级柚木贴皮（厚度≥0.6mm，GB/T 15036.2标准），耐磨转数≥3000转（依据GB/T 17657-2022）。</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防潮处理：真空加压注入ACQ防腐剂（载药量≥6.5kg/m</w:t>
            </w:r>
            <w:r>
              <w:rPr>
                <w:rFonts w:hint="eastAsia" w:asciiTheme="majorEastAsia" w:hAnsiTheme="majorEastAsia" w:eastAsiaTheme="majorEastAsia" w:cstheme="majorEastAsia"/>
                <w:color w:val="000000"/>
                <w:sz w:val="22"/>
                <w:szCs w:val="22"/>
                <w:u w:val="none"/>
                <w:lang w:val="en-US" w:eastAsia="zh-CN" w:bidi="ar"/>
              </w:rPr>
              <w:t xml:space="preserve">³，符合LY/T 1636-2017）</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结构组件：品牌三合一连接件（抗拉强度≥1200N，盐雾测试≥2000小时），液压缓冲铰链（开合寿命≥5万次，噪音≤35dB），隐藏式滑轨（承重≥50kg，抽拉顺滑度≤10N摩擦力）。</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静态承重：单层货架≥80kg（依据QB/T 2530-2011测试方法），抗倾覆系数：≥1.5（满载状态下倾斜角≤10°不倾倒）。</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隔板挠度：≤1.5mm/m（加载50kg持续24小时，依据GB/T 10357.3）</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尺寸公差：长度/宽度误差≤±1.5mm，高度误差≤±2mm（激光定位切割）</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直角度：边角垂直度≤0.8mm/m（水平仪检测）</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封边质量：PVC封边条贴合度≤0.3mm缝隙。</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w:t>
            </w:r>
            <w:r/>
          </w:p>
        </w:tc>
      </w:tr>
      <w:tr>
        <w:trPr>
          <w:jc w:val="center"/>
          <w:trHeight w:val="297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剧院卫生间灯光系统</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超薄铝合金平板灯8W/㎡，光通量：≥3200lm，色温：4000K（自然光色）。显色指数：Ra≥92，防护等级：IP20。特性：低压24V供电，铝合金散热背板。多光谱柔性灯带系统，2835贴片，功率：14.4W/m，色温范围：2700K-6000K（三色调光），显色指数：Ra≥90，防水等级：IP65防护结构：3M背胶+卡扣式固定，特性：支持渐变调色，抗UV老化。</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隐蔽式线管系统：PVC线管：Φ20mm（阻燃级），电线规格：BV-2.5mm</w:t>
            </w:r>
            <w:r>
              <w:rPr>
                <w:rFonts w:hint="eastAsia" w:asciiTheme="majorEastAsia" w:hAnsiTheme="majorEastAsia" w:eastAsiaTheme="majorEastAsia" w:cstheme="majorEastAsia"/>
                <w:color w:val="000000"/>
                <w:sz w:val="22"/>
                <w:szCs w:val="22"/>
                <w:u w:val="none"/>
                <w:lang w:val="en-US" w:eastAsia="zh-CN" w:bidi="ar"/>
              </w:rPr>
              <w:t xml:space="preserve">²（国标），</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接线盒：86型暗装（防水型），固定卡扣：尼龙材质（间距≤800mm）。                                                                </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4628"/>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剧院舞台音响系统维修改造</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一、设备主体保持原有不变</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二、话筒升级（无线话筒*4）</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核心参数：</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频率范围：516-558MHz（UHF），多个可选频点</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动态范围：≥105dB，信噪比 </w:t>
            </w:r>
            <w:r>
              <w:rPr>
                <w:rFonts w:hint="eastAsia" w:asciiTheme="majorEastAsia" w:hAnsiTheme="majorEastAsia" w:eastAsiaTheme="majorEastAsia" w:cstheme="majorEastAsia"/>
                <w:color w:val="000000"/>
                <w:sz w:val="22"/>
                <w:szCs w:val="22"/>
                <w:u w:val="none"/>
                <w:lang w:val="en-US" w:eastAsia="zh-CN" w:bidi="ar"/>
              </w:rPr>
              <w:t xml:space="preserve">​**&gt;110dB**​</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传输距离：无遮挡环境 ​100米​</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话筒头​：EVOLUTION系列E825，灵敏度 ​1.5mV/Pa</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功能​：实时频率扫描，自动匹配最佳信道</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适用场景​：移动式演讲、互动环节</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拾音设备：麦克风（话筒）本体，负责声电转换。</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信号处理设备：前置放大器、混音器、音频处理器（如均衡器、压缩器）等。</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传输链路：有线线缆（如 XLR、TRS）或无线发射 / 接收模块。</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终端设备：功率放大器、音箱、录音设备或音频接口（连接电脑 / 控制台）。</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项</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接待室顶部艺术装配</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1、信息参数：主体支撑结构：采用镀锌钢制骨架（基材厚度≥1.2mm，横向间距≤1200mm），配套铝合金型材连接件（壁厚≥0.8mm，表面静电粉末喷涂膜厚≥60μm）。</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装饰层基材：9.5mm厚高密度纤维装饰板材（甲醛释放量≤0.05mg/m</w:t>
            </w:r>
            <w:r>
              <w:rPr>
                <w:rFonts w:hint="eastAsia" w:asciiTheme="majorEastAsia" w:hAnsiTheme="majorEastAsia" w:eastAsiaTheme="majorEastAsia" w:cstheme="majorEastAsia"/>
                <w:color w:val="000000"/>
                <w:sz w:val="22"/>
                <w:szCs w:val="22"/>
                <w:u w:val="none"/>
                <w:lang w:val="en-US" w:eastAsia="zh-CN" w:bidi="ar"/>
              </w:rPr>
              <w:t xml:space="preserve">³，依据气候箱法检测），表面覆盖复合纸面基材（内结合强度≥0.40MPa，符合GB/T 17657-2022标准）。局部定制实木配色铝方通饰面。</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连接系统：配置不锈钢自攻螺钉（规格M4×15mm，头部沉入基材深度≥0.3mm），接缝处采用V型槽切割工艺（切割深度≥3mm，嵌填石膏基填缝剂后打磨至2m靠尺检测间隙≤2mm）。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平</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50</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接待室灯光系统</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定制超薄嵌入式光源体8W/㎡，光通量：≥3200lm，色温：4000K（自然光色）。显色指数：Ra≥92，防护等级：IP20。特性：低压24V供电，铝合金散热背板。安装方式：嵌入式。LED嵌入式筒灯6W/㎡，光通量：≥3200lm，色温：4000K（自然光色）。安装方式：嵌入式。</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隐蔽式线管系统：PVC线管：Φ20mm（阻燃级），电线规格：BV-2.5mm</w:t>
            </w:r>
            <w:r>
              <w:rPr>
                <w:rFonts w:hint="eastAsia" w:asciiTheme="majorEastAsia" w:hAnsiTheme="majorEastAsia" w:eastAsiaTheme="majorEastAsia" w:cstheme="majorEastAsia"/>
                <w:color w:val="000000"/>
                <w:sz w:val="22"/>
                <w:szCs w:val="22"/>
                <w:u w:val="none"/>
                <w:lang w:val="en-US" w:eastAsia="zh-CN" w:bidi="ar"/>
              </w:rPr>
              <w:t xml:space="preserve">²（国标），</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接线盒：86型暗装（防水型），固定卡扣：尼龙材质（间距≤800mm。   </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1528"/>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11</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接待室空调系统</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1、基础参数：3P变频冷暖机型，制冷量7200W（±5%），制热量8900W（±5%），能效等级三级（APF≥3.5），符合GB21455-2019标准。</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核心部件：单转子压缩机（排量22-24cc），双排冷凝器（铜管外径7mm），无电子膨胀阀以降低成本，使用R32环保冷媒。</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性能指标：制冷功率≤2350W，制热功率≤2950W，循环风量≥1200m</w:t>
            </w:r>
            <w:r>
              <w:rPr>
                <w:rFonts w:hint="eastAsia" w:asciiTheme="majorEastAsia" w:hAnsiTheme="majorEastAsia" w:eastAsiaTheme="majorEastAsia" w:cstheme="majorEastAsia"/>
                <w:color w:val="000000"/>
                <w:sz w:val="22"/>
                <w:szCs w:val="22"/>
                <w:u w:val="none"/>
                <w:lang w:val="en-US" w:eastAsia="zh-CN" w:bidi="ar"/>
              </w:rPr>
              <w:t xml:space="preserve">³/h，内机噪音≤45dB(A)，外机噪音≤56dB(A)，支持上下扫风但无左右自动扫风功能。</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基础LED显示+遥控操作，配备简易滤网，采用ABS面板，内机重量≤18kg，外机重量≤45kg。</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2、包含空调系统电气线路敷设：</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从配电箱（距离50米）引出独立回路，采用BV-3×2.5mm²铜芯线（火线红色、零线蓝色、地线黄绿双色），线管选用PVC阻燃管（直径20mm），暗敷于吊顶内，确保与照明线路分离。配电箱端配置16A双极空开（如ABB S200系列或施耐德Acti9）</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，并建议加装30mA漏电保护器（如正泰NXB-63）。线路走向需避开水源和高温区域，水平布线离地≥1.5m（棚面至墙面需要埋暗线处理，墙体刨沟恢复），垂直布线距墙角≥100mm。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插座与开关参数​：</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16A空调插座选用250V/16A三孔插座，面板材质为阻燃PC，内部铜件厚度≥0.6mm，插拔寿命≥1万次，防护等级IP20，接线端子为螺钉压接式（L/N/E标识清晰），需预埋86型暗盒。</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预留开关配置单极16A墙壁开关，额定电流16A，通断能力≥4000次，触点材质为银合金，面板阻燃等级UL94 V0，安装高度1.3m，与插座水平间距≥200mm。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台</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12</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室内遮光帘</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 类型</w:t>
            </w:r>
            <w:r>
              <w:rPr>
                <w:rFonts w:hint="eastAsia" w:asciiTheme="majorEastAsia" w:hAnsiTheme="majorEastAsia" w:eastAsiaTheme="majorEastAsia" w:cstheme="majorEastAsia"/>
                <w:color w:val="000000"/>
                <w:sz w:val="22"/>
                <w:szCs w:val="22"/>
                <w:u w:val="none"/>
                <w:lang w:val="en-US" w:eastAsia="zh-CN" w:bidi="ar"/>
              </w:rPr>
              <w:t xml:space="preserve">：聚酯纤维涂层遮光卷帘</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尺寸规格：</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标准幅宽：150cm/180cm/200cm（支持定制至300cm）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高度范围：200-300cm（含10cm包边）</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遮光率：50%-80%（根据涂层密度可调）</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颜色：基础款为灰白色、深灰色（可选素色或简单条纹）</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材质面料：100%聚酯纤维，表面覆PVC涂层（厚度0.3-0.5mm）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辅料：铝合金静音轨道（壁厚1.2mm）、POM塑料拉珠、棉质布带</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13</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音乐教室1木制艺术造型展览板</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1、信息参数：2600*1400mm，主体结构组件采用18mm实木多层基材，表面采用环保油漆，喷漆时需保持无尘空间，每道工序需充分干燥(通常24小时，含水率≤8%），（甲醛释放量≤0.025mg/m</w:t>
            </w:r>
            <w:r>
              <w:rPr>
                <w:rFonts w:hint="eastAsia" w:asciiTheme="majorEastAsia" w:hAnsiTheme="majorEastAsia" w:eastAsiaTheme="majorEastAsia" w:cstheme="majorEastAsia"/>
                <w:color w:val="000000"/>
                <w:sz w:val="22"/>
                <w:szCs w:val="22"/>
                <w:u w:val="none"/>
                <w:lang w:val="en-US" w:eastAsia="zh-CN" w:bidi="ar"/>
              </w:rPr>
              <w:t xml:space="preserve">³，气候箱法检测），木质复合面板（基材厚度≥0.5mm，表面涂层铅笔硬度≥3H），高分子装饰层（厚度≥3</w:t>
            </w:r>
            <w:r>
              <w:rPr>
                <w:rFonts w:hint="eastAsia" w:asciiTheme="majorEastAsia" w:hAnsiTheme="majorEastAsia" w:eastAsiaTheme="majorEastAsia" w:cstheme="majorEastAsia"/>
                <w:color w:val="000000"/>
                <w:sz w:val="22"/>
                <w:szCs w:val="22"/>
                <w:u w:val="none"/>
                <w:lang w:val="en-US" w:eastAsia="zh-CN" w:bidi="ar"/>
              </w:rPr>
              <w:t xml:space="preserve">mm，邵氏硬度60±5）。静态承重≥200kg/m²（持续24小时形变率≤0.3%）。抗弯强度≥100MPa（依据GB/T 17657-2022三点弯曲试验）。剥离强度≥120N/cm（纵向，GB/T 2791-1995标准）。异形艺术雕刻。水性面漆相应技术要求，检测依据GB 18581-2020《木器涂料中有害物质限量》、GB/T23991-2009《涂料中可溶性有害元素含量的测定》、GB/T23993-2009《水性涂料中甲醛含量的测定 乙酰丙酮分光光度法》、HJ2537-2014《环境标志产品技术要求</w:t>
            </w:r>
            <w:r>
              <w:rPr>
                <w:rFonts w:hint="eastAsia" w:asciiTheme="majorEastAsia" w:hAnsiTheme="majorEastAsia" w:eastAsiaTheme="majorEastAsia" w:cstheme="majorEastAsia"/>
                <w:color w:val="000000"/>
                <w:sz w:val="22"/>
                <w:szCs w:val="22"/>
                <w:u w:val="none"/>
                <w:lang w:val="en-US" w:eastAsia="zh-CN" w:bidi="ar"/>
              </w:rPr>
              <w:t xml:space="preserve">水性涂料》、GB/T23999-2009《室内装饰装修用水性木器涂料》，VOC 含量/(g/L),甲醛含量/(mg/kg),总铅(Pb)含量/(mgkg)(限色漆、腻子和醇酸清漆),可溶性重金属含量/(mg/kg)(限色漆、腻子和醇酸清漆)中镉(Cd)含量,铬(Cr)含量,汞(Hg)含量，乙二醇醚及醚酯总和含量/(mg/kg)，苯系物总和含量/(mgkg)[限苯、甲苯、二甲苯(含乙苯)]，烷基酚聚氧乙烯醚总和含量/(mg/kg)，挥发性有机化合物(VoC)/(g/L),乙二醇醚及其酯类的总量(乙二醇甲醚、乙</w:t>
            </w:r>
            <w:r>
              <w:rPr>
                <w:rFonts w:hint="eastAsia" w:asciiTheme="majorEastAsia" w:hAnsiTheme="majorEastAsia" w:eastAsiaTheme="majorEastAsia" w:cstheme="majorEastAsia"/>
                <w:color w:val="000000"/>
                <w:sz w:val="22"/>
                <w:szCs w:val="22"/>
                <w:u w:val="none"/>
                <w:lang w:val="en-US" w:eastAsia="zh-CN" w:bidi="ar"/>
              </w:rPr>
              <w:t xml:space="preserve">二醇甲醚醋酸酯、乙二醇乙醚、乙二醇乙醚醋酸酯、二乙二醇丁醚醋酸酯)/(mg/kg),游离甲醛/(mg/kg),苯、甲苯、二甲苯、乙苯的总量/(mg/kg),可溶性重金属含量/(mg/kg)中可溶性铅(mg/kg)，可溶性镉(mg/kg)，可溶性铬(mg/kg),可溶性汞(mg/kg),卤代烃(以二氯甲烷计) 检测结果均未检出。★投标文件中提供由国家行政管理部门认定的省级及省级以上国家检测机构出具的（具有CMA、CNAS标识）完整的水性面漆检测报告，测试内容需完全符合参数要求，不得缺项、漏项，否则视为负偏离。</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组</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14</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音乐教室1木制艺术造型</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1、信息参数：5800*2800mm，主体结构组件采用18mm实木多层基材，表面采用环保油漆，喷漆时需保持无尘空间，每道工序需充分干燥(通常24小时，含水率≤8%），（甲醛释放量≤0.025mg/m</w:t>
            </w:r>
            <w:r>
              <w:rPr>
                <w:rFonts w:hint="eastAsia" w:asciiTheme="majorEastAsia" w:hAnsiTheme="majorEastAsia" w:eastAsiaTheme="majorEastAsia" w:cstheme="majorEastAsia"/>
                <w:color w:val="000000"/>
                <w:sz w:val="22"/>
                <w:szCs w:val="22"/>
                <w:u w:val="none"/>
                <w:lang w:val="en-US" w:eastAsia="zh-CN" w:bidi="ar"/>
              </w:rPr>
              <w:t xml:space="preserve">³，气候箱法检测），定制木质复合饰面板，高分子装饰层。静态承重≥200kg/m²（持续24小时形变率≤0.3%）。抗弯强度≥100MPa（依据GB/T 17657-2022三点弯曲试验）。剥离强度≥120N/cm（纵向，GB/T 2791-1995标准）。聚酯纤维吸音板饰面。定制异形艺术雕刻部件。定制成品浮雕纹油画饰面板。环保木质地脚围板。</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照明及电气线路系统;定制LED光源装饰带，带强电线路敷设，采用聚氯乙烯绝缘护套管（Φ16mm）嵌墙暗敷，火线为低烟无卤辐照交联聚乙烯导体（截面积2.5mm²，色标为深蓝），零线为同材质浅蓝线，线芯绞合节距≤15mm，绝缘层厚度≥0.8mm。光源单元：有机半导体发光模组（OSL-TL03），单模组尺寸300×30mm，色温2850±200K（暖白），显色指数Ra≥97.5（CIE 1931标准），光通量≥2400lm/m。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组</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15</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音乐教室1音响系统</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一、主扩声音箱</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核心参数：</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频响范围：60Hz-20kHz（±3dB），低频延伸至45Hz（-6dB）</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灵敏度：98dB（1W/1m），最大声压级 </w:t>
            </w:r>
            <w:r>
              <w:rPr>
                <w:rFonts w:hint="eastAsia" w:asciiTheme="majorEastAsia" w:hAnsiTheme="majorEastAsia" w:eastAsiaTheme="majorEastAsia" w:cstheme="majorEastAsia"/>
                <w:color w:val="000000"/>
                <w:sz w:val="22"/>
                <w:szCs w:val="22"/>
                <w:u w:val="none"/>
                <w:lang w:val="en-US" w:eastAsia="zh-CN" w:bidi="ar"/>
              </w:rPr>
              <w:t xml:space="preserve">132dB（峰值）</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单元配置：低音：1×15英寸双磁低音单元。中高音：1×6.5英寸聚丙烯中音 + 1×1英寸丝膜高音</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覆盖角度：90°×50°（可调号角）</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功率处理：连续功率1000W（RMS），峰值4000W接口：XLR平衡输入 + NL4MP音箱线连接</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防护等级：IP55防尘防水</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适用场景：大报告厅主扩声，覆盖半径30米，支持多只串联实现立体声场</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二、无线话筒*4</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核心参数：</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频率范围：516-558MHz（UHF），多个可选频点</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动态范围：≥105dB，信噪比 ​**&gt;110dB**​</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传输距离：无遮挡环境 ​100米​</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话筒头​：EVOLUTION系列E825，灵敏度 ​1.5mV/Pa</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功能​：实时频率扫描，自动匹配最佳信道</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适用场景​：移动式演讲、互动环节</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三、调音台（音频处理核心）</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核心参数：</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通道数：10输入+2母线输出，支持立体声混音</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动态范围：≥110dB（A计权）</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均衡调节：每通道15段EQ（高中低频独立调节）</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效果器：内置16种DSP效果（混响、延迟、压缩等）</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接口：XLR/TRS混合输入，USB音频接口</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功能：支持Dante网络音频传输，可连接远程监听</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适用场景：多路信号混合处理，实时调音与效果添加</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四、数字音频处理器</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核心参数：</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输入/输出：12输入+4输出（XLR/TRS可选）</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处理能力：多段EQ、动态压缩、噪声门、反馈抑制</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采样率：24bit/96kHz，低延迟处理</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功能：预设场景存储（会议/演出/音乐模式）</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接口：USB音频直录，支持远程控制APP</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适用场景​：啸叫抑制、声场优化、多设备联动控制</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五、功率放大器</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核心参数：</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输出功率：4×3500W（8Ω），峰值14kW​</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总谐波失真：&lt;0.05%（20Hz-20kHz）</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散热系统：智能温控风扇，支持热插拔模块</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接口：XLR平衡输入 + NL4MP音箱输出</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保护功能：短路/过载/过热/直流偏移保护</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适用场景：驱动主扩声+低音+返听全系统，保障高功率需求</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16</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音乐智慧黑板一体机焕新</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1、屏幕显示尺寸≥75英寸，红外触控技术，图像分辨率≥3840*2160，显示比例16:9，表面采用不低于莫氏7级高透防爆钢化玻璃，具有防眩光效果。</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2、采用零贴合工艺技术，玻璃和显示屏之间没有间隙，有效提升显示效果。</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3、前置非转接接口：双通道USB≥2个，TYPEC≥1个，HDMI in≥1个，USBTOUCH≥1个，USB接口均支持在安卓和Windows双系统下识别，无需区分。</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4、后置接口：VGA ≥1个，VGA Audio ≥1个，Earphone ≥1个，RS232 ≥1个，HDMI In≥1个，USBTOUCH≥1个，USB≥2个，TF卡槽≥1个。</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5、整机内置嵌入式安卓系统，采用不低于12核驱动芯片，系统版本不低于安卓14.0，内存不低于4G RAM，存储不低于32G ROM。</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6、支持全通道批注功能，可在任意通道下实现批注功能。</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7、支持有线和无线连接，支持2.4G&amp;5G双频WIFI和热点功能。</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8、屏幕底部具有磁吸设计，可以吸附触控笔。</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9、安卓系统下具有云盘网盘功能，支持在安卓联网下直接点击客户端应用程序运行打开，直接对接Windows 教学白板的云端课件，云端课件既可以在Windows 下使用又可以在安卓系统下使用。                                                                                                    1、采用标准80针OPS-C模块化电脑方案，非企业自定义接口。</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2、不低于Intel Core I5  CPU，内存不低于8GB DDR4，固态硬盘不低于256GB SSD。具有不少于5个独立非外扩展的电脑USB接口。</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3、具有视频输出接口：至少1路HDMI接口。                                                                                            一、教学白板功能</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软件应用模块的入口均在统一界面上，可整合互动应用软件，集中管理，方便老师在各软件之间的切换和使用，包括备课、授课、录屏、云课件、投屏、网盘、国家云平台、意见反馈等。支持精简显示模式和标准显示模式切换。</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2、支持手机号码注册，无需做任何任务注册即可获取不低于50G个人云空间。支持多种登录方式：账号登录，短信登录，钉钉登录，微信登录、U盘登录。支持离线使用部分功能模块。</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3、录屏功能：</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  1）无需额外安装其他软件即可在白板软件首页一键打开录屏功能。</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2）支持选择和切换全屏录制，区域录制、应用窗口录制方式</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      ① 全屏录制∶可对整个桌面进行一键录制;</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      ② 区域录制∶可使用矩形拉取方式选择任意一部分桌面内容进行录制;</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      ③应用窗口录制∶可选择桌面上任意一个应用程序进行界面录制，录制的画面只显示该应用界面区域∶</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   3）支持选择使用录制倒计时功能，可随意设置录制时间。</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   4）支持查看录制视频的文件名，时间，文件大小。</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5）录制的视频自动生成视频到表，并可在列表内点击播放，查看文件位置。以及删除操作。</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4、支持备课功能，对在线资源进行搜索，预览，打开操作；课件打开后可直接编辑，并可以直接上传保存在老师个人课件中；或者一键进入授课模式，直接进行教学。</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5、支持教师资源分享、支持从备课资源中获取已有资源；支持用户从本地上传资源至云端，教师个人资源云盘存储，同时支持教师将分享的资源、备课资源中的资源收藏至教师个人资源夹中。</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6、分享者可将课件、视频、文档等各类云资源精准推送至指定人员，可设定分享提取码，提取码可随机生成也可自定义；为确保时效性，分享资源可设定有效期。</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7、支持插入数学几何图形，可以对图形样式、颜色填充、边框、阴影、倒影、透明度等进行设计，根据需要可以对图形进行任意推动进行拉伸或压缩；图形排版，设置层级、旋转和对齐；文本动画，提供出现、动作和消失等动画模式，并可对动画开始的时间、顺序进行设计。</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二、投屏互动教学功能</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1、支持多类型设备连接：支持IOS、MAC镜像投屏、安卓移动端（Android6.0及以上）与一体机互投、Windows客户端与一体机端互投。</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2、支持多种方式连接：同一局域网内支持扫码连接和智能搜索设备名称连接。</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3、支持密码管理，首次连接需要输入密码，获得连接权限。</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4、支持鼠标双击、单击功能；支持键盘功能，可远程编辑文字；支持画笔功能可批注内容；支持手势放大缩小画面。</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5、支持课件演示功能：移动端设备可自动识别到一体机端打开的PPT课件，支持缩略图放映功能，可翻页、批注和擦除。也可上传移动端的PPT文件至服务端播放，移动端可控制播放和批注，方便老师操控。</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6、具备实物展台功能：可将手机摄像头画面和麦克风声音直播至PC服务端，或将学生作业、试卷、课本等资料拍照上传至一体机端。</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7、支持一键录屏功能，可直接打开录屏软件，录 Windows 桌面。支持一键打开白板功能，关联自有软件，操作方便快捷。★投标文件中需提供由国家行政管理部门认定的检测机构出具的（带有CMA、CNAS标识）的检测报告，测试内容需完全符合参数要求，不得缺项、漏项，否则视为负偏离。</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8、支持手机内音视频文件直接播放，无需等待上传，方便快捷分享音视频，大文件分享更加快捷（传输文件大小≥2GB）。★投标文件中需提供由国家行政管理部门认定的检测机构出具的（带有CMA、CNAS标识）的检测报告，测试内容需完全符合参数要求，不得缺项、漏项，否则视为负偏离。</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三、集中管控功能</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1、平台采用B/S和C/S混合架构设计，可在Windows、Android、iOS等多种不同的操作系统上通过网页浏览器登陆控制一体机。</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2、支持两种管理员账号，包括学校管理员账号和老师管理员账号，老师管理员账号由学校管理员创建，并支持设置老师管理员的权限，包括可管理的设备列表权限和可管理的功能菜单权限。</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3、支持推送视频、图片、ppt、word等文件到指定一体机,支持单个文件上传和批量上传，支持依据文件的重要性进行状态设定，可设置是否下载后自动打开。</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4、支持开启和关闭倒计日，可设定倒计日期和事项。开启倒计日功能时，一体机系统桌面显示倒计日卡片，倒计日结束后，卡片自动关闭。</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5、支持图文公告推送，支持富文本，可嵌入文字、图片等富文本材料，支持设定公告开始和结束时间。</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6、支持图片展播功能，可向一体机发送不低于10张图片，设备端将进行轮播展示，可设定轮播时长和速度。</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台</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1557"/>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17</w:t>
            </w:r>
            <w:r/>
          </w:p>
        </w:tc>
        <w:tc>
          <w:tcPr>
            <w:shd w:val="clear" w:color="auto" w:fill="auto"/>
            <w:tcW w:w="1115"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数字音乐教学软件</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自开通之日起使用期5年，技术概述:</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1.1 系统架构:整个系统的设计分为C/S、B/S 架构，两套架构是为了满足不同场景下硬件的使用。例如考试系统为了做到足够安全，会考虑使用C/S架构。同时整体服务采用了阿里云，使用了秒级切换服务。如果服务器、数据库、缓存宕机，能做到业务无感知的情况下切换服务。同时通过阿里云强大的防火墙、waf防护服务，避免业务被恶意攻击和勒索。更大程度的保证业务鲁棒性。</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1.2 数据库:使用 MySQL 作为数据库管理平台，MySQL使用主从架构，从业务端做了严格的读写分离。同时后台的图标数据使用了单独的adb分析型数据库，提高了查询效率，同时也不会影响线上业务。使用memcache作为平台数据二级缓存，提升检索速度和效率，同时也更大程度上保证热数据的安全性;使用redis作为一级数据缓存。提升了整个系统的吞吐能力。后端通过服务异步落地MySQL。保证了高峰期业务数据不会丢。</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1.3系统部署:后端各个服务采用 Docker进行部署，为了服务鲁棒性，做了整个业务docker集群的可伸缩性，业务高峰期可以无感扩容业务服务，低峰期可以缩容，降级业务成本。同时也可以防止大流量带来的扩容难的问题。</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1.4数据安全方面，针对用户核心数据，数据做了加密。同时在数据在业务端和服务器端交互也实现了加密传输。避免被恶意盗走数据。</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1.5服务稳定性方面，除了依托于阿里云的防护服务外，做了多层业务级别、数据级别、服务级别的全方位监控、和报警机制（报警机制包含电话、短信、企微、钉钉消息提醒），出现问题工程师能及时响应处理故障。</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功能概述</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一、授课教学</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1.电子教材：满足与当地教学同步的电子教材，整体内容涵盖应不低于7个主流出版社。</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2.曲谱播放：可链接自动演奏钢琴，进行钢琴自动演奏，播放设置可以变调、变速(播放过程中即可)。</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3.教唱模式：谱曲播放教学、男生唱名播放、女生唱名播放、真人唱名、伴奏+旋律、范唱播放、伴唱播放、男声节奏、女声节奏、女声试唱十种播放模式。</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4.音色设置：播放过程中即可改变播放音色，具备钢琴、小提琴、单簧管、古筝、颤音琴五个音色快捷键。</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5.对应课件：对应课件包含教学参考、示例课件且支持编辑模式和教学模式，设有巩固训练，更好的实现课堂互动。</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6.最近使用功能：最近使用功能，切换其他功能模块后，可直接返回当时的教学内容，依然保留板书及各项设置。</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7.一键编辑：支持教学课件一键编辑模式，包含曲谱中谱号、调号、速度、音符、节拍、歌词等二次创编；图片、音频、视频、文字、图形等素材插入。</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8.文件管理：打开文件、插入文件，支持系统格式和MIDI格式；课件可另存为图片及系统格式。</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9.播放功能：可以选择单音播放、范围播放、任意位置双击播放、可选择歌词播放。范围播放：可以跨框选曲谱、歌词范围进行播放，任意位置双击播放，默认播放。</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10.单音播放：可以单击某个音符，该音符高亮显示，并发音。</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11.停止播放：可以点击任意位置或点击停止按钮，可停止音频的播放。</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12.循环播放：可以整曲、圈选范围可以进行循环播放方便教师授课。</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13.节拍器：可以跟随曲谱的节拍、速度进行播放；也可通过节拍机进行自定义节拍设置改变歌曲播放速度和节拍 。</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14.速度播放：可以五线谱、简谱课件的播放速度通过滑动速度条进行速度调节40-208,其中含5种直选键：0.5、0.75、1(还原)、1.25、1.5倍速可调。</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15.音调设置：可以五线谱、简谱课件可以进行移调选择15种调式，其中含5种直选键：降全音、降半音、原调(还原)、升半音、升全音。（★投标文件中需提供该项功能截图并加以证明）</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16.音量设置：可以对于合唱教学、乐队总谱等多声部曲谱，可进行选择性播放，以及对每个声部进行不同音量的比例调节；支持总音量一键重置，各声部一键静音。</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17（曲谱转换）功能按键：包含简线双谱、节奏谱、唱名标注、音名标注、手势图、歌词显隐、歌词标注、竖笛、箫、葫芦丝、陶笛等功能按键。（★投标文件中需提供该项功能截图并加以证明）</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18一键生成唱名、音名：支持五线谱、简谱曲谱一键生成唱名、音名与曲谱音符上下对照排列。</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19（曲谱转换）一键生成：支持五线谱、简谱曲谱一键生成科尔文手势图与曲</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20.科尔文手势：谱音符上下对照排列。</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21.一键生成歌词拼音：支持五线谱、简谱曲谱显隐歌词， 一键生成歌词拼音 。</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22.一键转换：支持五线谱乐谱转成简谱或简谱转成五线谱，转换后的乐谱可直接播放并伴有音符高亮颜色显示播放进度，不单独生成对照谱</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23.（课堂互动）幸运大转盘：工具包-课堂互动中,含有大转盘,可进行编辑、抽奖等功能。</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二、音乐理论</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1.虚拟键盘：具有一组大谱表、88键/61键/实体键/三种可选的虚拟键盘。</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2.高亮显示：弹奏外接设备的同时，虚拟键盘、谱表及简谱窗口同时高亮显示。</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3.三位一体同步功能：具备键盘、谱表和简谱窗口三位一体同步功能。</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4.同步转换：虚拟键盘支持一键在对应琴键上显隐音名、唱名，调式转换后对应键位，音名、唱名会同步转换。</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5.无限延伸漫游功能：该功能可保留音符在谱表上的位置，且谱表具有无限延伸漫游功能，所呈现内容可左右拖动，进行标注笔迹且与谱表同步移动。</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6.讲解功能：支持15种调式、支持15度音程尺讲解功能；支持32组和弦对照讲解功能。</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7.五度调式循环图：外圈调号、中圈大调、内圈小调，点击调号可直接更改谱表调式</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8.显隐组功能：支持88键/61键/实体键/三种虚拟键盘组的显示，包含大字组、小字组、小字一组、小字二组等。分别有不同颜色区分区分键盘组。（★投标文件中需提供该项功能截图并加以证明）</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9.钢琴自动演奏：点击谱表或虚拟键盘，可通过钢琴自动演奏进行发声。</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5、四种谱表模式教学：界面五线谱谱表或简谱谱表与虚拟键盘组成，支持简谱、五线谱、高低音谱表、大谱表四种模式教学。</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6、谱表编辑播放：五线谱谱表或简谱谱表支持四小节到八小节的编辑和输入教学，编辑后可进行播放。</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10. 音符设置：五线谱谱表或简谱谱表输入音符时，音符可通过上下拖动改变音高。点击音符符杆可添加变音记号和符杠。</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11.音符属性：五线谱谱表或简谱谱表输入音符时可选择时值、音符及休止符，谱表小节自动识别时值。</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12.四种拍号：可设置4种拍号，包含：四二拍、四三拍、四四拍、八六拍。</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三、动感乐器</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架子鼓：</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1.具有12个彩色立体按键：按键包含：底鼓、军鼓、军鼓边、踩镲合、踩镲开、吊镲、高、中、低嗵鼓、拍手、沙锤、串铃等，敲击对应按键发出对应音色。</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2.可插入音频配乐，演奏音色和配乐同时发声，配乐可显示时常、播放进度，播放进度可通过进度条拖动。</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3.具有音频录制功能，可将演奏过程以音频方式录制，录制时显示录制时间，音频保存路径可自行选择。</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电子鼓机：</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1.界面具有不同的按键对应不同音色，也可添加音轨。</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2.类型选择：基本节奏、八六拍、流行、切分节奏、巴萨诺瓦、华尔兹、浩室音乐、深箱、现代模拟等可选。</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3.编辑后的节奏可进行另存为，可通过系统文件管理打开为曲谱，支持播放</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4.可选择播放和循环播放，速度40-240可选，四四拍、四三拍、八六拍三种拍号可选。</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吉他：</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1.虚拟吉他和虚拟键盘均可进行弹奏，弹奏虚拟键盘单音与和弦对应吉他弦位、品格同步高亮显示。</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2.具有26个吉他品格图：点击吉他品格图，虚拟键盘、虚拟吉他对应弦位、品格同步高亮显示。</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3.可以通过弹奏键盘显示吉他对应位置。</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竖笛：</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1、弹奏虚拟键盘对应竖笛孔位同步高亮显示。竖笛类型可选择：8孔C调、8孔F调、6孔C调、6孔F调四种可选。</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2.具有竖笛谱曲：演奏时谱表，虚拟键盘、竖笛孔位同步高亮显示。</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3.播放速度可选择：0.5、0.75、1、1.25、1.5倍速调节。五线谱谱表、简谱谱表可一键互转。</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4.可打开指法对照按键，对应谱表自动生成竖笛指法参照，竖笛指法与音符上下排列。</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5.具有竖笛教学视频：内容为曲谱结合演奏示范，视频中曲谱和演奏孔位同步显示。</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6.音调设置：五线谱、简谱曲谱可以进行移调选择15种调式，其中含5种直选键：降全音、降半音、原调（还原）、升半音、升全音。</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口琴：</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1.弹奏虚拟键盘对应口琴孔位同步高亮显示。具有吹奏提示，点开后对应显示吸、吹提示。</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2.具有口琴曲谱，播放时虚拟键盘键位、曲谱、口琴同步高亮显示对应键位。</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3.具有口琴视频教程，视频中曲谱和演奏孔位同步显示。</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4.口琴演奏时谱表、虚拟键盘、口琴孔位同步高亮显示，播放速度可选择：0.5、0.75、1（还原）、1.25、1.5倍速调节。五线谱谱表、简谱谱表可一键互转。</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5.音调设置：五线谱、简谱课件可以进行移调选择15种调式，其中含5种直选键：降全音、降半音、原调（还原）、升半音、升全音。</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葫芦丝：</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1.具有葫芦丝曲谱：演奏时谱表，虚拟键盘、竖笛孔位同步高亮显示，播放速度可选择：0.5、0.75、1、1.25、1.5倍速调节。五线谱谱表、简谱谱表可一键互转。</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2.可打开指法对照按键，对应谱表自动生成葫芦丝指法参照，葫芦丝指法与音符上下排列。</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3.具有葫芦丝教学视频：内容为曲谱结合演奏示范，视频中曲谱和演奏孔位同步显示。</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4.音调设置：五线谱、简谱课件可以进行移调选择15种调式，其中含5种直选键：降全音、降半音、原调（还原）、升半音、升全音。</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四、鉴赏拓展</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1.中国音乐：中国音乐不低于190种拓展知识、包括中国乐器、中国歌唱家、中国作词作曲家、中国舞蹈、中国戏曲、中国话剧、中国戏曲等。</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2.西方音乐：不低于190种拓展知识、包括西洋乐器、西方音乐家、西方歌剧、西方指挥家、西方舞蹈、西方乐团等。</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3.其他音乐：不低于20种拓展知识。</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4.音乐周边：不低于20种拓展知识。</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5.鉴赏拓展：内容支持一键文字播放，可进行音量调节。</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6.白板笔功能：支持使用铅笔、荧光笔书写，可对笔的颜色、粗细进行调节，具有橡皮</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擦除与全部擦除功能。</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7.文件支持：可支持PPT、Word、视频、及系统曲谱等文件进行教学，方便教师直接用PPT进行授课。</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8.白板功能：PPT教学时支持白板书写进行圈画，支持截屏、录屏，节拍机，识谱图，和虚拟键盘配合教师教学使用。</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172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18</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MIDI键盘控制器</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1.88键全尺寸速度敏感、力度感应MIDI键盘</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2.USB、MIDI接口连接控制音乐制作、录音软件等等</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3.控制器功能可以控制你的DAW，代替鼠标移动控制</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4.音高、调制轮，音量/控制推子</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5.即插即用的USB接口、踏板接口、MIDI输出接口触发外部设备</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6.支持iOS设备的连接、兼容Mac OSX和Windows</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7.USB供电或9 VDC电源适配器（另购）</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8.附送Ableton Live Lite音乐制作软件、SONiVOX Eighty-Eight Ensemble钢琴音源</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9.AIR Music Tech Xpand 2一体化音乐工作站</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10.产品尺寸：长1368mm*宽250mm*高92mm</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19</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五线谱电教板</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1、键盘：88键电钢琴键盘，体验真正的电钢琴力度。</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双拉尺演示、包括两组音阶推拉尺。和弦演示尺，具有调名调号七升七降对照演示表。直观的让学生了解调名、调号、键盘、谱表之间的关系。了解调名调号与音程音阶之间的对照关系。了解不同和线之间的关系。能够完成全部乐理知识的对照讲解。</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3、五线谱表：一组可书写的大谱表,采用白色书写面板（采用紫外线光固化生产工艺有效保证板面的书写擦拭）。</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4、音色：128种GM音色+61种打击乐器音色。</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5、节奏：内置节奏100种。</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6、示范曲：内置歌曲608首。</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7、变调：五线谱12种变调。</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8、调号转换：电教鞭上具有升调“#”、降调“b”转换功能键。</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9、和弦方式：可演示任意和旋，两组和弦记忆，进行和弦对照演示。</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10、伴奏：具单指和弦、多指和弦伴奏。</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11、录音：具有录音功能。</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12、节拍速度：可在40－280/每分钟范围可调。</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13、显示：控制面板上采用4.3寸彩色液晶屏显示。</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14、接口：MIDI输入、输出接口，音频输入、输出接口。</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15、音量控制：电子电位器控制、分主音量和伴奏音量控制。</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16、拓展功能：具有USB2.0接口，支持用户U盘，可读取u盘中的MP3文件和MIDI乐曲文件。</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17、外接接口：通用USB2.0输入；线路输入输出。</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18、该示教板以键盘为核心，配合乐理符号丝网印刷，方便乐理知识的教学，将键盘、谱表、调名、调号巧妙的联系到一起，乐理演示简捷直观，乐理解析清晰易懂。</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19、具有键位与五线谱对应的双色LED指示灯，可对照键盘与五线谱相应的位置。</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20、具有7寸超大简谱显示窗口，在电子教鞭演示五线谱过程中可直接显示相对应的简谱、升降号，唱名显示功能。</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20</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音乐教室1空调系统</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1、基础参数：3P变频冷暖机型，制冷量7200W（±5%），制热量8900W（±5%），能效等级三级（APF≥3.5），符合GB21455-2019标准。</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核心部件：单转子压缩机（排量22-24cc），双排冷凝器（铜管外径7mm），无电子膨胀阀以降低成本，使用R32环保冷媒。</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性能指标：制冷功率≤2350W，制热功率≤2950W，循环风量≥1200m</w:t>
            </w:r>
            <w:r>
              <w:rPr>
                <w:rFonts w:hint="eastAsia" w:asciiTheme="majorEastAsia" w:hAnsiTheme="majorEastAsia" w:eastAsiaTheme="majorEastAsia" w:cstheme="majorEastAsia"/>
                <w:color w:val="000000"/>
                <w:sz w:val="22"/>
                <w:szCs w:val="22"/>
                <w:u w:val="none"/>
                <w:lang w:val="en-US" w:eastAsia="zh-CN" w:bidi="ar"/>
              </w:rPr>
              <w:t xml:space="preserve">³/h，内机噪音≤45dB(A)，外机噪音≤56dB(A)，支持上下扫风但无左右自动扫风功能。</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基础LED显示+遥控操作，配备简易滤网，采用ABS面板，内机重量≤18kg，外机重量≤45kg。</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2、包含空调系统电气线路敷设：</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从配电箱（距离50米）引出独立回路，采用BV-3×2.5mm²铜芯线（火线红色、零线蓝色、地线黄绿双色），线管选用PVC阻燃管（直径20mm），暗敷于吊顶内，确保与照明线路分离。配电箱端配置16A双极空开（如ABB S200系列或施耐德Acti9）</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，并建议加装30mA漏电保护器（如正泰NXB-63）。线路走向需避开水源和高温区域，水平布线离地≥1.5m（棚面至墙面需要埋暗线处理，墙体刨沟恢复），垂直布线距墙角≥100mm。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插座与开关参数​：</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16A空调插座选用250V/16A三孔插座，面板材质为阻燃PC，内部铜件厚度≥0.6mm，插拔寿命≥1万次，防护等级IP20，接线端子为螺钉压接式（L/N/E标识清晰），需预埋86型暗盒。</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预留开关配置单极16A墙壁开关，额定电流16A，通断能力≥4000次，触点材质为银合金，面板阻燃等级UL94 V0，安装高度1.3m，与插座水平间距≥200mm。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台</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21</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音乐教室2木制艺术造型展览板</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1、信息参数：1800*1200mm，主体结构组件采用18mm实木多层基材，表面采用环保油漆，喷漆时需保持无尘空间，每道工序需充分干燥(通常24小时，含水率≤8%），（甲醛释放量≤0.025mg/m</w:t>
            </w:r>
            <w:r>
              <w:rPr>
                <w:rFonts w:hint="eastAsia" w:asciiTheme="majorEastAsia" w:hAnsiTheme="majorEastAsia" w:eastAsiaTheme="majorEastAsia" w:cstheme="majorEastAsia"/>
                <w:color w:val="000000"/>
                <w:sz w:val="22"/>
                <w:szCs w:val="22"/>
                <w:u w:val="none"/>
                <w:lang w:val="en-US" w:eastAsia="zh-CN" w:bidi="ar"/>
              </w:rPr>
              <w:t xml:space="preserve">³，气候箱法检测），定制木质复合面板，高分子装饰层。静态承重≥200kg/m²（持续24小时形变率≤0.3%）。抗弯强度≥100MPa（依据GB/T 17657-2022三点弯曲试验）。剥离强度≥120N/cm（纵向，GB/T 2791-1995标准）。异形艺术雕刻装饰。</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组</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w:t>
            </w:r>
            <w:r/>
          </w:p>
        </w:tc>
      </w:tr>
      <w:tr>
        <w:trPr>
          <w:jc w:val="center"/>
          <w:trHeight w:val="432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22</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音乐教室2木制艺术造型</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1、信息参数：5800*2800mm，主体结构组件采用18mm实木多层基材，表面采用环保油漆，喷漆时需保持无尘空间，每道工序需充分干燥(通常24小时，含水率≤8%），（甲醛释放量≤0.025mg/m</w:t>
            </w:r>
            <w:r>
              <w:rPr>
                <w:rFonts w:hint="eastAsia" w:asciiTheme="majorEastAsia" w:hAnsiTheme="majorEastAsia" w:eastAsiaTheme="majorEastAsia" w:cstheme="majorEastAsia"/>
                <w:color w:val="000000"/>
                <w:sz w:val="22"/>
                <w:szCs w:val="22"/>
                <w:u w:val="none"/>
                <w:lang w:val="en-US" w:eastAsia="zh-CN" w:bidi="ar"/>
              </w:rPr>
              <w:t xml:space="preserve">³，气候箱法检测），定制木质复合饰面板，高分子装饰层。静态承重≥200kg/m²（持续24小时形变率≤0.3%）。抗弯强度≥100MPa（依据GB/T 17657-2022三点弯曲试验）。剥离强度≥120N/cm（纵向，GB/T 2791-1995标准）。聚酯纤维吸音板饰面。定制异形艺术雕刻部件。定制成品浮雕纹油画饰面板。环保木质地脚围板。</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照明及电气线路系统;定制LED光源装饰带，带强电线路敷设，采用聚氯乙烯绝缘护套管（Φ16mm）嵌墙暗敷，火线为低烟无卤辐照交联聚乙烯导体（截面积2.5mm²，色标为深蓝），零线为同材质浅蓝线，线芯绞合节距≤15mm，绝缘层厚度≥0.8mm。光源单元：有机半导体发光模组（OSL-TL03），单模组尺寸300×30mm，色温2850±200K（暖白），显色指数Ra≥97.5（CIE 1931标准），光通量≥2400lm/m。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组</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23</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音乐教室2音响系统</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一、主扩声音箱</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核心参数：</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频响范围：60Hz-20kHz（±3dB），低频延伸至45Hz（-6dB）</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灵敏度：98dB（1W/1m），最大声压级</w:t>
            </w:r>
            <w:r>
              <w:rPr>
                <w:rFonts w:hint="eastAsia" w:asciiTheme="majorEastAsia" w:hAnsiTheme="majorEastAsia" w:eastAsiaTheme="majorEastAsia" w:cstheme="majorEastAsia"/>
                <w:color w:val="000000"/>
                <w:sz w:val="22"/>
                <w:szCs w:val="22"/>
                <w:u w:val="none"/>
                <w:lang w:val="en-US" w:eastAsia="zh-CN" w:bidi="ar"/>
              </w:rPr>
              <w:t xml:space="preserve">132dB（峰值）</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单元配置：低音：1×15英寸双磁低音单元。中高音：1×6.5英寸聚丙烯中音 + 1×1英寸丝膜高音</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覆盖角度：90°×50°（可调号角）</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功率处理：连续功率 ​1000W​（RMS），峰值 ​4000W接口：XLR平衡输入 + NL4MP音箱线连接</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防护等级：IP55防尘防水</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适用场景：大报告厅主扩声，覆盖半径30米，支持多只串联实现立体声场</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二、无线话筒*4</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核心参数：</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频率范围：516-558MHz（UHF），多个可选频点</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动态范围：≥105dB，信噪比 ​**&gt;110dB**​</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传输距离：无遮挡环境 ​100米​</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话筒头​：EVOLUTION系列E825，灵敏度 ​1.5mV/Pa功能​：实时频率扫描，自动匹配最佳信道</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适用场景​：移动式演讲、互动环节</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三、调音台（音频处理核心）</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核心参数：</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通道数：10输入+2母线输出，支持立体声混音</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动态范围：≥110dB（A计权）</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均衡调节：每通道15段EQ（高中低频独立调节）</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效果器：内置16种DSP效果（混响、延迟、压缩等）</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接口：XLR/TRS混合输入，USB音频接口</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功能：支持Dante网络音频传输，可连接远程监听</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适用场景：多路信号混合处理，实时调音与效果添加</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四、数字音频处理器</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核心参数：</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输入/输出：12输入+4输出（XLR/TRS可选）</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处理能力：多段EQ、动态压缩、噪声门、反馈抑制</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采样率：24bit/96kHz，低延迟处理</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功能：预设场景存储（会议/演出/音乐模式）</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接口：USB音频直录，支持远程控制APP</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适用场景​：啸叫抑制、声场优化、多设备联动控制</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五、功率放大器</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核心参数：</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输出功率：4×3500W（8Ω），峰值14kW​</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总谐波失真：&lt;0.05%（20Hz-20kHz）</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散热系统：智能温控风扇，支持热插拔模块</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接口：XLR平衡输入 + NL4MP音箱输出</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保护功能：短路/过载/过热/直流偏移保护</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适用场景：驱动主扩声+低音+返听全系统，保障高功率需求</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24</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音乐教室2定制乐谱架</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适合所有乐器配套使用</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材料：铁、铝合金、塑料</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普板尺寸：约485*340mm</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整体高度：约730-1400mm</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外表处理工艺：静电喷粉</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净重：1.85kg</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个</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40</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25</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音乐教室2空调系统</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1、基础参数：3P变频冷暖机型，制冷量7200W（±5%），制热量8900W（±5%），能效等级三级（APF≥3.5），符合GB21455-2019标准。</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核心部件：单转子压缩机（排量22-24cc），双排冷凝器（铜管外径7mm），无电子膨胀阀以降低成本，使用R32环保冷媒。</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性能指标：制冷功率≤2350W，制热功率≤2950W，循环风量≥1200m</w:t>
            </w:r>
            <w:r>
              <w:rPr>
                <w:rFonts w:hint="eastAsia" w:asciiTheme="majorEastAsia" w:hAnsiTheme="majorEastAsia" w:eastAsiaTheme="majorEastAsia" w:cstheme="majorEastAsia"/>
                <w:color w:val="000000"/>
                <w:sz w:val="22"/>
                <w:szCs w:val="22"/>
                <w:u w:val="none"/>
                <w:lang w:val="en-US" w:eastAsia="zh-CN" w:bidi="ar"/>
              </w:rPr>
              <w:t xml:space="preserve">³/h，内机噪音≤45dB(A)，外机噪音≤56dB(A)，支持上下扫风但无左右自动扫风功能。</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基础LED显示+遥控操作，配备简易滤网，采用ABS面板，内机重量≤18kg，外机重量≤45kg。</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2、包含空调系统电气线路敷设：</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从配电箱（距离50米）引出独立回路，采用BV-3×2.5mm²铜芯线（火线红色、零线蓝色、地线黄绿双色），线管选用PVC阻燃管（直径20mm），暗敷于吊顶内，确保与照明线路分离。配电箱端配置16A双极空开（如ABB S200系列或施耐德Acti9）</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，并建议加装30mA漏电保护器（如正泰NXB-63）。线路走向需避开水源和高温区域，水平布线离地≥1.5m（棚面至墙面需要埋暗线处理，墙体刨沟恢复），垂直布线距墙角≥100mm。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插座与开关参数​：</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16A空调插座选用250V/16A三孔插座，面板材质为阻燃PC，内部铜件厚度≥0.6mm，插拔寿命≥1万次，防护等级IP20，接线端子为螺钉压接式（L/N/E标识清晰），需预埋86型暗盒。</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预留开关配置单极16A墙壁开关，额定电流16A，通断能力≥4000次，触点材质为银合金，面板阻燃等级UL94 V0，安装高度1.3m，与插座水平间距≥200mm。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台</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378"/>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26</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音乐教室3顶部装配</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1、信息参数：主体支撑结构：采用镀锌钢制骨架（基材厚度≥1.2mm，横向间距≤1200mm），配套铝合金型材连接件（壁厚≥0.8mm，表面静电粉末喷涂膜厚≥60μm）。</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装饰层基材：9.5mm厚高密度纤维装饰板材（甲醛释放量≤0.05mg/m</w:t>
            </w:r>
            <w:r>
              <w:rPr>
                <w:rFonts w:hint="eastAsia" w:asciiTheme="majorEastAsia" w:hAnsiTheme="majorEastAsia" w:eastAsiaTheme="majorEastAsia" w:cstheme="majorEastAsia"/>
                <w:color w:val="000000"/>
                <w:sz w:val="22"/>
                <w:szCs w:val="22"/>
                <w:u w:val="none"/>
                <w:lang w:val="en-US" w:eastAsia="zh-CN" w:bidi="ar"/>
              </w:rPr>
              <w:t xml:space="preserve">³，依据气候箱法检测），表面覆盖复合纸面基材（内结合强度≥0.40MPa，符合GB/T 17657-2022标准）。局部定制实木及纯白配色铝方通饰面。</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连接系统：配置不锈钢自攻螺钉（规格M4×15mm，头部沉入基材深度≥0.3mm），接缝处采用V型槽切割工艺（切割深度≥3mm，嵌填石膏基填缝剂后打磨至2m靠尺检测间隙≤2mm）。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平</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100</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27</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音乐教室3照明系统</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定制超薄LDE光源体8W/㎡，光通量：≥3200lm，色温：4000K（自然光色）。显色指数：Ra≥92，防护等级：IP20。特性：低压24V供电，铝合金散热背板。LED嵌入式筒灯6W/㎡，光通量：≥3200lm，色温：4000K（自然光色）。安装方式：嵌入式。</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2、隐蔽式线管系统：PVC线管：Φ20mm（阻燃级），电线规格：BV-2.5mm</w:t>
            </w:r>
            <w:r>
              <w:rPr>
                <w:rFonts w:hint="eastAsia" w:asciiTheme="majorEastAsia" w:hAnsiTheme="majorEastAsia" w:eastAsiaTheme="majorEastAsia" w:cstheme="majorEastAsia"/>
                <w:color w:val="000000"/>
                <w:sz w:val="22"/>
                <w:szCs w:val="22"/>
                <w:u w:val="none"/>
                <w:lang w:val="en-US" w:eastAsia="zh-CN" w:bidi="ar"/>
              </w:rPr>
              <w:t xml:space="preserve">²（国标），接线盒：86型暗装（防水型），固定卡扣：尼龙材质（间距≤800mm。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3、动感照明系统驱动电源需为恒流驱动，电源有外壳并可靠固定。 </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4、功率＜45W，色温4300K-5300K，显色指数Ra＞90、R9＞50，满足6000小时光通维持率＞92%，以保证产品质量和灯具使用寿命。      5、动感照明护眼灯至少依据《GB/T 31275》、《GB/T 17743》标准经灯具电源端传导骚扰电压（或电源接口骚扰电压）、辐射骚扰、感应电流密度测试，检测结果皆为合格（或通过或符合或判定为P）。</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★投标文件中需提供由国家行政管理部门认定的检测机构出具的（具有CMA、CNAS标识）完整的护眼灯检测报告，测试内容需完全符合参数3-5项要求，不得缺项、漏项，否则视为负偏离。   </w:t>
            </w:r>
            <w:r>
              <w:rPr>
                <w:rFonts w:hint="eastAsia" w:asciiTheme="majorEastAsia" w:hAnsiTheme="majorEastAsia" w:eastAsiaTheme="majorEastAsia" w:cstheme="majorEastAsia"/>
                <w:color w:val="000000"/>
                <w:sz w:val="22"/>
                <w:szCs w:val="22"/>
                <w:u w:val="none"/>
                <w:lang w:val="en-US" w:eastAsia="zh-CN" w:bidi="ar"/>
              </w:rPr>
              <w:t xml:space="preserve">                                                                                6、动感照明护眼灯经严酷自然环境实地测试，分别在极热环境：大气压力≤100kPa，平均湿度≤50%RH、极值空气温度≥37℃及相对温差≥28℃与在极寒环境：大气压力≥100kPa，平均湿度≥50%RH、极值空气温度≤-20℃及相对温差≥34℃均至少持续运行300小时后，至少依据《GB/T9468》标准均满足光通量的实测值与初始值的偏差不超过-10%。</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7、动感照明护眼灯经严酷自然环境实地测试，分别在极热环境：大气压力≤100kPa，平均湿度≤50%RH、极值空气温度≥37℃及相对温差≥28℃与在极寒环境：大气压力≥100kPa，平均湿度≥50%RH、极值空气温度≤-20℃及相对温差≥34℃均至少持续运行300小时后，至少依据《GB/T36979》标准均满足空间颜色非均匀性△u’v’≤0.007。</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8、LED护眼灯经严酷自然环境实地测试，分别在极热环境：大气压力≤100kPa，平均湿度≤50%RH、极值空气温度≥37℃及相对温差≥28℃与在极寒环境：大气压力≥100kPa，平均湿度≥50%RH、极值空气温度≤-20℃及相对温差≥34℃均至少持续运行300小时后，至少依据《GB/T9468》标准满足光束角C0-C180及C90-C270的实测值与初始值偏差均不超过±10%。</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9、LED护眼灯经严酷自然环境实地测试，分别在极热环境：大气压力≤100kPa，平均湿度≤50%RH、极值空气温度≥37℃及相对温差≥28℃与在极寒环境：大气压力≥100kPa，平均湿度≥50%RH、极值空气温度≤-20℃及相对温差≥34℃均至少持续运行300小时后，至少依据《GB/T 18595》标准均满足浪涌性能达到C或以上等级。</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10、LED护眼灯经严酷自然环境实地测试，分别在极热环境：大气压力≤100kPa，平均湿度≤50%RH、极值空气温度≥37℃及相对温差≥28℃与在极寒环境：大气压力≥100kPa，平均湿度≥50%RH、极值空气温度≤-20℃及相对温差≥34℃</w:t>
            </w:r>
            <w:r>
              <w:rPr>
                <w:rFonts w:hint="eastAsia" w:asciiTheme="majorEastAsia" w:hAnsiTheme="majorEastAsia" w:eastAsiaTheme="majorEastAsia" w:cstheme="majorEastAsia"/>
                <w:color w:val="000000"/>
                <w:sz w:val="22"/>
                <w:szCs w:val="22"/>
                <w:u w:val="none"/>
                <w:lang w:val="en-US" w:eastAsia="zh-CN" w:bidi="ar"/>
              </w:rPr>
              <w:t xml:space="preserve">均至少持续运行300小时后，至少依据《GB/T6882》标准均满足噪声≤25dB（A）。★投标文件中参数中6-10须提供由国家行政管理部门认定的检测机构出具的认证证书及全国认证认可信息公共服务平台证书状态为“有效”查询证明复印件（证书与查询证明文件上均须同时体现产品型号及认证标准；若有要求严酷自然环境实地测试条件的，证书上须体现“实地验证检测方式”）。                                                                               </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11、包含货物生产、运输、安装、调试。                                                                                          12、所有制作参照效果图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28</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音乐教室3木制艺术造型展览板</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1、信息参数：6000*2800mm，主体结构组件采用18mm实木多层基材，表面采用环保油漆，喷漆时需保持无尘空间，每道工序需充分干燥(通常24小时，含水率≤8%），（甲醛释放量≤0.025mg/m</w:t>
            </w:r>
            <w:r>
              <w:rPr>
                <w:rFonts w:hint="eastAsia" w:asciiTheme="majorEastAsia" w:hAnsiTheme="majorEastAsia" w:eastAsiaTheme="majorEastAsia" w:cstheme="majorEastAsia"/>
                <w:color w:val="000000"/>
                <w:sz w:val="22"/>
                <w:szCs w:val="22"/>
                <w:u w:val="none"/>
                <w:lang w:val="en-US" w:eastAsia="zh-CN" w:bidi="ar"/>
              </w:rPr>
              <w:t xml:space="preserve">³，气候箱法检测），定制木质复合面板，高分子装饰层（厚度≥3mm，邵氏硬度60±5）。静态承重≥200kg/m²（持续24小时形变率≤0.3%）。抗弯强度≥100MPa（依据GB/T 17657-2022三点弯曲试验）。剥离强度≥120N/cm（纵向，GB/T 2791-1995标准）定制艺术写真装饰。异形艺术雕刻。</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组</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29</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音乐教室3木制艺术造型A</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1、信息参数：5800*2800mm，主体结构组件采用18mm实木多层基材，表面采用环保油漆，喷漆时需保持无尘空间，每道工序需充分干燥(通常24小时，含水率≤8%），（甲醛释放量≤0.025mg/m</w:t>
            </w:r>
            <w:r>
              <w:rPr>
                <w:rFonts w:hint="eastAsia" w:asciiTheme="majorEastAsia" w:hAnsiTheme="majorEastAsia" w:eastAsiaTheme="majorEastAsia" w:cstheme="majorEastAsia"/>
                <w:color w:val="000000"/>
                <w:sz w:val="22"/>
                <w:szCs w:val="22"/>
                <w:u w:val="none"/>
                <w:lang w:val="en-US" w:eastAsia="zh-CN" w:bidi="ar"/>
              </w:rPr>
              <w:t xml:space="preserve">³，气候箱法检测），定制木质复合饰面板，高分子装饰层。静态承重≥200kg/m²（持续24小时形变率≤0.3%）。抗弯强度≥100MPa（依据GB/T 17657-2022三点弯曲试验）。剥离强度≥120N/cm（纵向，GB/T 2791-1995标准）。聚酯纤维吸音板饰面。定制异形艺术雕刻部件。定制成品浮雕纹油画饰面板。环保木质地脚围板。</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照明及电气线路系统;定制LED造型灯饰，带强电线路敷设，采用聚氯乙烯绝缘护套管（Φ16mm）嵌墙暗敷，火线为低烟无卤辐照交联聚乙烯导体（截面积2.5mm²，色标为深蓝），零线为同材质浅蓝线，线芯绞合节距≤15mm，绝缘层厚度≥0.8mm。光源单元：有机半导体发光模组（OSL-TL03），单模组尺寸300×30mm，色温2850±200K（暖白），显色指数Ra≥97.5（CIE 1931标准），光通量≥2400lm/m。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组</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30</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音乐教室3木制艺术造型B</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1、信息参数：5800*2800mm，主体结构组件采用18mm实木多层基材，表面采用环保油漆，喷漆时需保持无尘空间，每道工序需充分干燥(通常24小时，含水率≤8%），（甲醛释放量≤0.025mg/m</w:t>
            </w:r>
            <w:r>
              <w:rPr>
                <w:rFonts w:hint="eastAsia" w:asciiTheme="majorEastAsia" w:hAnsiTheme="majorEastAsia" w:eastAsiaTheme="majorEastAsia" w:cstheme="majorEastAsia"/>
                <w:color w:val="000000"/>
                <w:sz w:val="22"/>
                <w:szCs w:val="22"/>
                <w:u w:val="none"/>
                <w:lang w:val="en-US" w:eastAsia="zh-CN" w:bidi="ar"/>
              </w:rPr>
              <w:t xml:space="preserve">³，气候箱法检测），定制木质复合饰面板，高分子装饰层。静态承重≥200kg/m²（持续24小时形变率≤0.3%）。抗弯强度≥100MPa（依据GB/T 17657-2022三点弯曲试验）。剥离强度≥120N/cm（纵向，GB/T 2791-1995标准）。定制异形艺术雕刻部件。UV艺术造型。环保木质地脚围板。</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照明及电气线路系统;定制LED光源装饰带，带强电线路敷设，采用聚氯乙烯绝缘护套管（Φ16mm）嵌墙暗敷，火线为低烟无卤辐照交联聚乙烯导体（截面积2.5mm²，色标为深蓝），零线为同材质浅蓝线，线芯绞合节距≤15mm，绝缘层厚度≥0.8mm。光源单元：有机半导体发光模组（OSL-TL03），单模组尺寸300×30mm，色温2850±200K（暖白），显色指数Ra≥97.5（CIE 1931标准），光通量≥2400lm/m。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组</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31</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音乐教室3功放音响设备</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功放：</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基础性能</w:t>
            </w:r>
            <w:r>
              <w:rPr>
                <w:rFonts w:hint="eastAsia" w:asciiTheme="majorEastAsia" w:hAnsiTheme="majorEastAsia" w:eastAsiaTheme="majorEastAsia" w:cstheme="majorEastAsia"/>
                <w:color w:val="000000"/>
                <w:sz w:val="22"/>
                <w:szCs w:val="22"/>
                <w:u w:val="none"/>
                <w:lang w:val="en-US" w:eastAsia="zh-CN" w:bidi="ar"/>
              </w:rPr>
              <w:t xml:space="preserve">​</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输出功率：双通道独立输出，每通道额定功率 ​300W（8Ω连续）​，峰值功率600W（4Ω瞬时）​，支持定压/定阻双模式切换（定压输出范围：70V/100V）。</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频响范围：20Hz-20kHz（±1dB），全频段覆盖人耳听觉范围，满足音乐、语音双重需求。</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信噪比（S/N）：≥92dB（A计权），有效抑制背景噪声，确保纯净音质。</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总谐波失真（THD）：≤0.05%（1kHz，1/3额定功率），失真度低，音色还原精准。</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功能特性​</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输入接口：</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主通道：2路XLR平衡输入（支持高阻/低阻切换）+ 2路RCA非平衡输入。</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辅助通道：1路RCA AUX输入 + 1路OPTICAL光纤输入（支持24bit/96kHz无损传输）。</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输出接口：</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2路XLR平衡输出（带Link输出功能）+ 2路NEUTRIK SpeakON NL4MP音箱接口。</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音效调节​：</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高/低音独立调节（±12dB），支持多频段EQ（100Hz-15kHz可调）。</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内置数字混响/回声效果器，支持啸叫抑制（Auto Feedback Canceller）。</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智能控制​：</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支持蓝牙5.0无线连接，可接收手机/平板音频信号。</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配备LCD显示屏，实时显示输入信号电平、温度状态及保护状态。</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保护与安全​</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多重保护机制​：</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过载保护（OPP）、短路保护（SCP）、过热保护（OTP）、瞬时峰值保护（SPiKe™）。</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直流偏移保护（DC Offset ≤±1V），防止设备损坏。</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散热系统​：</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智能温控风扇，根据温度自动调节转速，确保长时间高负载运行稳定性。</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音响：</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声学性能​</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频响范围​：20Hz-20kHz（±3dB），低频延伸至40Hz（-6dB），适合人声、器乐及背景音乐扩声。</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灵敏度：92dB（1W/1m），高效率设计，降低功放负载需求。</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额定功率：连续功率 ​100W（4Ω）​，峰值功率 ​200W（短时）​。</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最大声压级：≥108dB（1m，粉红噪声），覆盖半径15-20米。</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单元配置​</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低音单元​：8英寸（200mm）复合盆低音，90磁路设计，频响宽广，失真率≤1%。</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高音单元​：1英寸（25mm）丝膜球顶高音，指向性精准，高频延伸至20kHz。</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分频设计​：二阶分频（1.8kHz），相位对齐技术，确保频响平滑过渡。</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箱体与结构​</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箱体材质​：18mm厚高密度桦木板，内部填充吸音棉，减少驻波干扰。</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覆盖角度​：水平90°×垂直60°，梯形箱体设计，优化声场覆盖。</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安装方式​：壁挂式（标配M8不锈钢吊挂件）或支架式（可旋转调节角度）。</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防护等级​：IP54防尘防水，适用于教室、礼堂等复杂环境。</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接口与扩展​</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输入接口：</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1路XLR平衡输入 + 1路RCA非平衡输入。</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支持48V幻象电源供电（用于连接无线话筒接收器）。</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输出接口​：1路XLR平衡输出（Link输出），支持多音箱串联。</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18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32</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音乐教室3桌椅套装</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sz w:val="22"/>
                <w:szCs w:val="22"/>
              </w:rPr>
              <w:suppressLineNumbers w:val="0"/>
            </w:pPr>
            <w:r>
              <w:rPr>
                <w:rFonts w:hint="eastAsia" w:asciiTheme="majorEastAsia" w:hAnsiTheme="majorEastAsia" w:eastAsiaTheme="majorEastAsia" w:cstheme="majorEastAsia"/>
                <w:sz w:val="22"/>
                <w:szCs w:val="22"/>
              </w:rPr>
              <w:t xml:space="preserve">一、桌椅规格：</w:t>
            </w:r>
            <w:r/>
          </w:p>
          <w:p>
            <w:pPr>
              <w:jc w:val="left"/>
              <w:keepLines w:val="0"/>
              <w:keepNext w:val="0"/>
              <w:widowControl/>
              <w:rPr>
                <w:rFonts w:hint="eastAsia" w:asciiTheme="majorEastAsia" w:hAnsiTheme="majorEastAsia" w:eastAsiaTheme="majorEastAsia" w:cstheme="majorEastAsia"/>
                <w:sz w:val="22"/>
                <w:szCs w:val="22"/>
              </w:rPr>
              <w:suppressLineNumbers w:val="0"/>
            </w:pPr>
            <w:r>
              <w:rPr>
                <w:rFonts w:hint="eastAsia" w:asciiTheme="majorEastAsia" w:hAnsiTheme="majorEastAsia" w:eastAsiaTheme="majorEastAsia" w:cstheme="majorEastAsia"/>
                <w:sz w:val="22"/>
                <w:szCs w:val="22"/>
              </w:rPr>
              <w:t xml:space="preserve">桌：长1205mm*宽455mm*厚21mm，高760mm</w:t>
            </w:r>
            <w:r/>
          </w:p>
          <w:p>
            <w:pPr>
              <w:jc w:val="left"/>
              <w:keepLines w:val="0"/>
              <w:keepNext w:val="0"/>
              <w:widowControl/>
              <w:rPr>
                <w:rFonts w:hint="eastAsia" w:asciiTheme="majorEastAsia" w:hAnsiTheme="majorEastAsia" w:eastAsiaTheme="majorEastAsia" w:cstheme="majorEastAsia"/>
                <w:sz w:val="22"/>
                <w:szCs w:val="22"/>
              </w:rPr>
              <w:suppressLineNumbers w:val="0"/>
            </w:pPr>
            <w:r>
              <w:rPr>
                <w:rFonts w:hint="eastAsia" w:asciiTheme="majorEastAsia" w:hAnsiTheme="majorEastAsia" w:eastAsiaTheme="majorEastAsia" w:cstheme="majorEastAsia"/>
                <w:sz w:val="22"/>
                <w:szCs w:val="22"/>
              </w:rPr>
              <w:t xml:space="preserve">椅：坐板：长400mm*宽355mm*厚18mm，靠背：长405mm*宽217*厚18mm，高420mm ，一桌两椅</w:t>
            </w:r>
            <w:r>
              <w:rPr>
                <w:rFonts w:hint="eastAsia" w:asciiTheme="majorEastAsia" w:hAnsiTheme="majorEastAsia" w:eastAsiaTheme="majorEastAsia" w:cstheme="majorEastAsia"/>
                <w:sz w:val="22"/>
                <w:szCs w:val="22"/>
                <w:lang w:val="en-US" w:eastAsia="zh-CN"/>
              </w:rPr>
              <w:t xml:space="preserve">为</w:t>
            </w:r>
            <w:r>
              <w:rPr>
                <w:rFonts w:hint="eastAsia" w:asciiTheme="majorEastAsia" w:hAnsiTheme="majorEastAsia" w:eastAsiaTheme="majorEastAsia" w:cstheme="majorEastAsia"/>
                <w:sz w:val="22"/>
                <w:szCs w:val="22"/>
              </w:rPr>
              <w:t xml:space="preserve">两人位。</w:t>
            </w:r>
            <w:r/>
          </w:p>
          <w:p>
            <w:pPr>
              <w:jc w:val="left"/>
              <w:keepLines w:val="0"/>
              <w:keepNext w:val="0"/>
              <w:widowControl/>
              <w:rPr>
                <w:rFonts w:hint="eastAsia" w:asciiTheme="majorEastAsia" w:hAnsiTheme="majorEastAsia" w:eastAsiaTheme="majorEastAsia" w:cstheme="majorEastAsia"/>
                <w:sz w:val="22"/>
                <w:szCs w:val="22"/>
              </w:rPr>
              <w:suppressLineNumbers w:val="0"/>
            </w:pPr>
            <w:r>
              <w:rPr>
                <w:rFonts w:hint="eastAsia" w:asciiTheme="majorEastAsia" w:hAnsiTheme="majorEastAsia" w:eastAsiaTheme="majorEastAsia" w:cstheme="majorEastAsia"/>
                <w:sz w:val="22"/>
                <w:szCs w:val="22"/>
              </w:rPr>
              <w:t xml:space="preserve">二、升降课桌技术要求：</w:t>
            </w:r>
            <w:r/>
          </w:p>
          <w:p>
            <w:pPr>
              <w:jc w:val="left"/>
              <w:keepLines w:val="0"/>
              <w:keepNext w:val="0"/>
              <w:widowControl/>
              <w:rPr>
                <w:rFonts w:hint="eastAsia" w:asciiTheme="majorEastAsia" w:hAnsiTheme="majorEastAsia" w:eastAsiaTheme="majorEastAsia" w:cstheme="majorEastAsia"/>
                <w:sz w:val="22"/>
                <w:szCs w:val="22"/>
              </w:rPr>
              <w:suppressLineNumbers w:val="0"/>
            </w:pPr>
            <w:r>
              <w:rPr>
                <w:rFonts w:hint="eastAsia" w:asciiTheme="majorEastAsia" w:hAnsiTheme="majorEastAsia" w:eastAsiaTheme="majorEastAsia" w:cstheme="majorEastAsia"/>
                <w:sz w:val="22"/>
                <w:szCs w:val="22"/>
              </w:rPr>
              <w:t xml:space="preserve">1、桌面材质尺寸：长1205mm*宽455mm*厚21mm，采用E1级环保中纤板（表层采用三聚氰胺板贴面）采用优质PP工程塑料一次性注塑封边，无接头，整块桌面四周边沿往里倾斜设计，增加抗压、耐磨、耐冲击，身体正前方封边面带有波浪形设计最大幅度宽15mm，增加美观性，桌面上方带有2个笔槽长278mm*宽13mm，笔槽正下带有刻度标尺数字，笔槽一侧带有凸起隔档，防止掉落（笔槽与封边为一体成型），符合人体工效学及人性化设计，便于学生阅读，保护视力,桌面与书箱之间用自攻螺丝固定。</w:t>
            </w:r>
            <w:r/>
          </w:p>
          <w:p>
            <w:pPr>
              <w:jc w:val="left"/>
              <w:keepLines w:val="0"/>
              <w:keepNext w:val="0"/>
              <w:widowControl/>
              <w:rPr>
                <w:rFonts w:hint="eastAsia" w:asciiTheme="majorEastAsia" w:hAnsiTheme="majorEastAsia" w:eastAsiaTheme="majorEastAsia" w:cstheme="majorEastAsia"/>
                <w:sz w:val="22"/>
                <w:szCs w:val="22"/>
              </w:rPr>
              <w:suppressLineNumbers w:val="0"/>
            </w:pPr>
            <w:r>
              <w:rPr>
                <w:rFonts w:hint="eastAsia" w:asciiTheme="majorEastAsia" w:hAnsiTheme="majorEastAsia" w:eastAsiaTheme="majorEastAsia" w:cstheme="majorEastAsia"/>
                <w:sz w:val="22"/>
                <w:szCs w:val="22"/>
              </w:rPr>
              <w:t xml:space="preserve">2、课桌管材：要求采用20*50（mm）椭圆管，壁厚≥0.9mm（去漆层净厚度）；两腿落地采用20*50（mm）椭圆管，壁厚≥0.9mm（去漆层净厚度）。</w:t>
            </w:r>
            <w:r/>
          </w:p>
          <w:p>
            <w:pPr>
              <w:jc w:val="left"/>
              <w:keepLines w:val="0"/>
              <w:keepNext w:val="0"/>
              <w:widowControl/>
              <w:rPr>
                <w:rFonts w:hint="eastAsia" w:asciiTheme="majorEastAsia" w:hAnsiTheme="majorEastAsia" w:eastAsiaTheme="majorEastAsia" w:cstheme="majorEastAsia"/>
                <w:sz w:val="22"/>
                <w:szCs w:val="22"/>
              </w:rPr>
              <w:suppressLineNumbers w:val="0"/>
            </w:pPr>
            <w:r>
              <w:rPr>
                <w:rFonts w:hint="eastAsia" w:asciiTheme="majorEastAsia" w:hAnsiTheme="majorEastAsia" w:eastAsiaTheme="majorEastAsia" w:cstheme="majorEastAsia"/>
                <w:sz w:val="22"/>
                <w:szCs w:val="22"/>
              </w:rPr>
              <w:t xml:space="preserve">3、桌升降片材质尺寸：升降片采用0.8mm 厚冷轧钢板，斗板0.6mm厚冷轧钢板，单层桌斗板均设臵折边加强筋，总高300mm，上宽360 mm，桌斗开口高200mm，桌斗里高230mm，下宽230mm，升降片必须具有两列调节升降方孔，两列孔间距150mm，不得修补与拼接，无任何焊点，一次冲压成型，敲打无效！升降片开口处需卷边处理，卷边处理以防孩子在玩耍、使用中带来的安全保护作用，并符合人体工效学及人性化设计。</w:t>
            </w:r>
            <w:r/>
          </w:p>
          <w:p>
            <w:pPr>
              <w:jc w:val="left"/>
              <w:keepLines w:val="0"/>
              <w:keepNext w:val="0"/>
              <w:widowControl/>
              <w:rPr>
                <w:rFonts w:hint="eastAsia" w:asciiTheme="majorEastAsia" w:hAnsiTheme="majorEastAsia" w:eastAsiaTheme="majorEastAsia" w:cstheme="majorEastAsia"/>
                <w:sz w:val="22"/>
                <w:szCs w:val="22"/>
              </w:rPr>
              <w:suppressLineNumbers w:val="0"/>
            </w:pPr>
            <w:r>
              <w:rPr>
                <w:rFonts w:hint="eastAsia" w:asciiTheme="majorEastAsia" w:hAnsiTheme="majorEastAsia" w:eastAsiaTheme="majorEastAsia" w:cstheme="majorEastAsia"/>
                <w:sz w:val="22"/>
                <w:szCs w:val="22"/>
              </w:rPr>
              <w:t xml:space="preserve">三、升降椅技术要求：</w:t>
            </w:r>
            <w:r/>
          </w:p>
          <w:p>
            <w:pPr>
              <w:jc w:val="left"/>
              <w:keepLines w:val="0"/>
              <w:keepNext w:val="0"/>
              <w:widowControl/>
              <w:rPr>
                <w:rFonts w:hint="eastAsia" w:asciiTheme="majorEastAsia" w:hAnsiTheme="majorEastAsia" w:eastAsiaTheme="majorEastAsia" w:cstheme="majorEastAsia"/>
                <w:sz w:val="22"/>
                <w:szCs w:val="22"/>
              </w:rPr>
              <w:suppressLineNumbers w:val="0"/>
            </w:pPr>
            <w:r>
              <w:rPr>
                <w:rFonts w:hint="eastAsia" w:asciiTheme="majorEastAsia" w:hAnsiTheme="majorEastAsia" w:eastAsiaTheme="majorEastAsia" w:cstheme="majorEastAsia"/>
                <w:sz w:val="22"/>
                <w:szCs w:val="22"/>
              </w:rPr>
              <w:t xml:space="preserve">1、椅面材质尺寸：采用E1级环保密度板（表层采用三聚氰胺板贴面）经优质PP工程塑料一次性注塑封边，无接头，抗压、耐磨、耐冲击。规格：坐板长400mm*宽355mm*厚18mm，靠背长405mm*宽217mm*厚18mm，靠背带有手提握把设计，符合人体工效学及人性化设计，便于学生阅读，保护视力,</w:t>
            </w:r>
            <w:r/>
          </w:p>
          <w:p>
            <w:pPr>
              <w:jc w:val="left"/>
              <w:keepLines w:val="0"/>
              <w:keepNext w:val="0"/>
              <w:widowControl/>
              <w:rPr>
                <w:rFonts w:hint="eastAsia" w:asciiTheme="majorEastAsia" w:hAnsiTheme="majorEastAsia" w:eastAsiaTheme="majorEastAsia" w:cstheme="majorEastAsia"/>
                <w:sz w:val="22"/>
                <w:szCs w:val="22"/>
              </w:rPr>
              <w:suppressLineNumbers w:val="0"/>
            </w:pPr>
            <w:r>
              <w:rPr>
                <w:rFonts w:hint="eastAsia" w:asciiTheme="majorEastAsia" w:hAnsiTheme="majorEastAsia" w:eastAsiaTheme="majorEastAsia" w:cstheme="majorEastAsia"/>
                <w:sz w:val="22"/>
                <w:szCs w:val="22"/>
              </w:rPr>
              <w:t xml:space="preserve">2、椅管材：采用20*50（mm）椭圆管，壁厚≥0.9mm（去漆层净厚度），两腿落地采用20*50（mm）椭圆管，壁厚≥0.9mm（去漆层净厚度），靠背弯采用20mm方管，壁厚0.9mm。</w:t>
            </w:r>
            <w:r/>
          </w:p>
          <w:p>
            <w:pPr>
              <w:jc w:val="left"/>
              <w:keepLines w:val="0"/>
              <w:keepNext w:val="0"/>
              <w:widowControl/>
              <w:rPr>
                <w:rFonts w:hint="eastAsia" w:asciiTheme="majorEastAsia" w:hAnsiTheme="majorEastAsia" w:eastAsiaTheme="majorEastAsia" w:cstheme="majorEastAsia"/>
                <w:sz w:val="22"/>
                <w:szCs w:val="22"/>
              </w:rPr>
              <w:suppressLineNumbers w:val="0"/>
            </w:pPr>
            <w:r>
              <w:rPr>
                <w:rFonts w:hint="eastAsia" w:asciiTheme="majorEastAsia" w:hAnsiTheme="majorEastAsia" w:eastAsiaTheme="majorEastAsia" w:cstheme="majorEastAsia"/>
                <w:sz w:val="22"/>
                <w:szCs w:val="22"/>
              </w:rPr>
              <w:t xml:space="preserve">3、课椅升降片：采用0.9mm 厚冷轧板，总高180mm，上宽214 mm，下宽185mm，升降片必须具有两列调节升降孔，两列孔间距100mm，不得修补与拼接，无任何焊点，一次冲压成型，敲打无效！升降片开口处需折边处理，使用中带来的安全保护作用，并符合人体工程学及人性化设计。</w:t>
            </w:r>
            <w:r/>
          </w:p>
          <w:p>
            <w:pPr>
              <w:jc w:val="left"/>
              <w:keepLines w:val="0"/>
              <w:keepNext w:val="0"/>
              <w:widowControl/>
              <w:rPr>
                <w:rFonts w:hint="eastAsia" w:asciiTheme="majorEastAsia" w:hAnsiTheme="majorEastAsia" w:eastAsiaTheme="majorEastAsia" w:cstheme="majorEastAsia"/>
                <w:sz w:val="22"/>
                <w:szCs w:val="22"/>
              </w:rPr>
              <w:suppressLineNumbers w:val="0"/>
            </w:pPr>
            <w:r>
              <w:rPr>
                <w:rFonts w:hint="eastAsia" w:asciiTheme="majorEastAsia" w:hAnsiTheme="majorEastAsia" w:eastAsiaTheme="majorEastAsia" w:cstheme="majorEastAsia"/>
                <w:sz w:val="22"/>
                <w:szCs w:val="22"/>
              </w:rPr>
              <w:t xml:space="preserve">四、工艺要求：</w:t>
            </w:r>
            <w:r/>
          </w:p>
          <w:p>
            <w:pPr>
              <w:jc w:val="left"/>
              <w:keepLines w:val="0"/>
              <w:keepNext w:val="0"/>
              <w:widowControl/>
              <w:rPr>
                <w:rFonts w:hint="eastAsia" w:asciiTheme="majorEastAsia" w:hAnsiTheme="majorEastAsia" w:eastAsiaTheme="majorEastAsia" w:cstheme="majorEastAsia"/>
                <w:sz w:val="22"/>
                <w:szCs w:val="22"/>
              </w:rPr>
              <w:suppressLineNumbers w:val="0"/>
            </w:pPr>
            <w:r>
              <w:rPr>
                <w:rFonts w:hint="eastAsia" w:asciiTheme="majorEastAsia" w:hAnsiTheme="majorEastAsia" w:eastAsiaTheme="majorEastAsia" w:cstheme="majorEastAsia"/>
                <w:sz w:val="22"/>
                <w:szCs w:val="22"/>
              </w:rPr>
              <w:t xml:space="preserve">1、采用灰色烤漆，型材表面经除油，去锈，磷化静电喷粉高温固化而成，热固性粉末喷塑。</w:t>
            </w:r>
            <w:r/>
          </w:p>
          <w:p>
            <w:pPr>
              <w:jc w:val="left"/>
              <w:keepLines w:val="0"/>
              <w:keepNext w:val="0"/>
              <w:widowControl/>
              <w:rPr>
                <w:rFonts w:hint="eastAsia" w:asciiTheme="majorEastAsia" w:hAnsiTheme="majorEastAsia" w:eastAsiaTheme="majorEastAsia" w:cstheme="majorEastAsia"/>
                <w:sz w:val="22"/>
                <w:szCs w:val="22"/>
              </w:rPr>
              <w:suppressLineNumbers w:val="0"/>
            </w:pPr>
            <w:r>
              <w:rPr>
                <w:rFonts w:hint="eastAsia" w:asciiTheme="majorEastAsia" w:hAnsiTheme="majorEastAsia" w:eastAsiaTheme="majorEastAsia" w:cstheme="majorEastAsia"/>
                <w:sz w:val="22"/>
                <w:szCs w:val="22"/>
              </w:rPr>
              <w:t xml:space="preserve">2、所有材质（含塑粉、板材等）均需达到环保要求。</w:t>
            </w:r>
            <w:r/>
          </w:p>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sz w:val="22"/>
                <w:szCs w:val="22"/>
              </w:rPr>
              <w:t xml:space="preserve">3、塑料脚套规格材质：采用一次性PP塑料注塑成型，长50mm*宽22mm*高60mm，脚套落地耐磨厚度9mm，开口处带有凹凸波浪设计，增加美观、牢固性，耐用防生锈，PP塑料（原材料为聚丙烯），环保，硬度高，韧性强，表面耐磨、耐划伤、抗污抗老化、抗压抗冲击。</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位</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60</w:t>
            </w:r>
            <w:r/>
          </w:p>
        </w:tc>
      </w:tr>
      <w:tr>
        <w:trPr>
          <w:jc w:val="center"/>
          <w:trHeight w:val="104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33</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音乐教室1、2、3地面艺术处理</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1.信息参数：移除地面所有物品，使用扫帚、吸尘器清除表面灰尘、杂物，地面打磨工序，首先粗磨找平，启动设备，以 5-8m/min 速度匀速打磨，打磨 2-3 遍，直至地面高低差消除，残留胶渍完全去除，边打磨边加水湿润，打磨过程中控制设备匀速移动，为抛光做准备，安装百洁垫到抛光机，先以 1500r/min 低速开蜡，再以 2000r/min 高速上光，采用十字交又法抛光，重叠区域 30%，抛光 2-3 遍。抛光完成后 24 小时内禁止人员通行，地面在干燥环境下养护 3-7天，期间做好防护，避免污染。</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项</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34</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小提琴</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1、声学品质：</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1.1律制：采用十二平均律；</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1.2标准音：小字一组a音为440HZ；</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1.3定弦音高：g、d1、a1、e2；</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1.4音准误差：-15～+10；</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1.5音质：清晰度、柔和度、明亮度、丰满度、圆润度、平衡度、谐和性、穿透力均符合QB/T 2167-2013要求。</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2、主要部位尺寸：</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2.1琴身长度355～360mm；琴身上宽度165～170mm；琴身中宽度107～112mm；琴身下宽度206～213mm；侧板上高度29～30mm；侧板下高度29～30mm；琴颈上厚度19～20mm；琴颈下厚度20～21mm；琴颈长度128.5～129.5mm；有效弦长326～328mm；指板面距面板高度26.5～27.5mm；</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2.2弦轴   轴辊长：34～36mm；大端直径8.0～8.3mm；锥度1:30；</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2.3琴马   上宽48～50mm；下宽41～43mm；高35～37mm；上厚2.0～2.5mm；下厚4.7～5.0mm；</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2.4指板   长度268～272mm；上宽24～26mm；下宽41～43mm；全厚（指板最下端上表面至指板下表面厚度）10～12mm；下厚（指板最下端侧厚）5.0～6.0mm；</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2.5弦     总长度110～115mm；总宽度41～43mm。</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3、外观工艺：</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琴体无裂缝，无磕伤、划伤；胶合部位严密，无开胶；琴体造型优美，比例匀称，线条流畅，琴头、琴颈、指板应平直、不偏斜；</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琴型及音孔位置左右对称，边缘修饰整洁；涂饰着色匀净，色泽自然，漆膜透明；</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弦轴与轴孔配合严密，松紧适宜，转动灵活，弦轴缠弦不与槽底摩擦，弦槽内弦轴不相互挤压；</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琴马处弦距4/4: 34.0~35.0mm（琴马处一至四弦直线距离）；弦枕处弦距4/4: 16.0~17.0mm（弦枕处一至四弦直线距离）；</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琴马脚与面板吻合，四弦间距均等。</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4、主要原材料：</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4.1面板：纹理基本正直，疏密分布合理，无腐朽、虫蛀；</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4.2背板、侧板、琴头：无腐朽、虫蛀和严重的变色；</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材料：面板采用云杉树种或材质相似的其他树种，背板、侧板及琴头使用槭木树种或材质相似的其他树种，木材均宜径切；</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4.3琴配件：使用乌木、黄杨木、枣木、槭木或材质相似的其他硬质木材，琴马用械木树种或材质相似的其他木材，宜径切；</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4.4弦总用械木树种或材质相似的其他木材，也可用符合国家环保要求的塑料或金属材料。</w:t>
            </w:r>
            <w:r/>
          </w:p>
        </w:tc>
        <w:tc>
          <w:tcPr>
            <w:shd w:val="clear" w:color="auto" w:fill="auto"/>
            <w:tcW w:w="73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把</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w:t>
            </w:r>
            <w:r/>
          </w:p>
        </w:tc>
      </w:tr>
      <w:tr>
        <w:trPr>
          <w:jc w:val="center"/>
          <w:trHeight w:val="1556"/>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35</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中提琴</w:t>
            </w:r>
            <w:r/>
          </w:p>
        </w:tc>
        <w:tc>
          <w:tcPr>
            <w:shd w:val="clear" w:color="auto" w:fill="auto"/>
            <w:tcW w:w="5401" w:type="dxa"/>
            <w:vAlign w:val="center"/>
            <w:textDirection w:val="lrTb"/>
            <w:noWrap w:val="false"/>
          </w:tcPr>
          <w:p>
            <w:pPr>
              <w:jc w:val="both"/>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1、材质：实木云杉面板，枫木底板、侧板，枫木琴头，红木染黑指板；</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2、颜色：亮光/哑光；</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3、尺寸：14寸 ；</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4、配件：琴弓，松香</w:t>
            </w:r>
            <w:r/>
          </w:p>
        </w:tc>
        <w:tc>
          <w:tcPr>
            <w:shd w:val="clear" w:color="auto" w:fill="auto"/>
            <w:tcW w:w="73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把</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1152"/>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36</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大提琴</w:t>
            </w:r>
            <w:r/>
          </w:p>
        </w:tc>
        <w:tc>
          <w:tcPr>
            <w:shd w:val="clear" w:color="auto" w:fill="auto"/>
            <w:tcW w:w="5401" w:type="dxa"/>
            <w:vAlign w:val="center"/>
            <w:textDirection w:val="lrTb"/>
            <w:noWrap w:val="false"/>
          </w:tcPr>
          <w:p>
            <w:pPr>
              <w:jc w:val="both"/>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1、材质：面板白松， 背侧板枫木， 指板乌木， 拉板乌木， 弦钮乌木；</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2、颜色：亮光/哑光；</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3、尺寸：弓杆760 ，4/4 ；</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4、配件：包袋、弓杆、松香、微调。</w:t>
            </w:r>
            <w:r/>
          </w:p>
        </w:tc>
        <w:tc>
          <w:tcPr>
            <w:shd w:val="clear" w:color="auto" w:fill="auto"/>
            <w:tcW w:w="73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把</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w:t>
            </w:r>
            <w:r/>
          </w:p>
        </w:tc>
      </w:tr>
      <w:tr>
        <w:trPr>
          <w:jc w:val="center"/>
          <w:trHeight w:val="1323"/>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37</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长笛</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1、声学</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1.1采用十二平均律，标准音440HZ～443.83HZ,C调。</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1.2各音误差：-20～+35音分，最大误差≤40音分。</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1.3音质纯净，高音区音色明亮、穿透力强，中音区音色纯净柔和，低音区音色丰美醇。</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2、演奏性能</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2.1发音灵敏，吹奏通畅，能充分表现强、弱音和富有表现力。</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2.2手感舒适，便于演奏，按键自如，无明显金属撞击声，演奏时无滞留现象和机械噪音。</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2.3符合QB/T1658.2-2012检测标准。</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2.3调音管、附管滑动流畅，操作方便。</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3、装配及工艺 </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3.1吹口与主体管 ≥35mm；主体管与尾部 ≥10mm；</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3.2各节插接不错位，按键安装准确，当外力去除时回复到原位，不粘滞。</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3.3管体气密性：长笛、短笛气压损失量≤0.5KPa，中音长笛、低音长笛气压损失量≤0.75KPa。</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3.4键管与键柱端面最大间隙≤0.15mm，键棍与键柱端面最大间隙 ≤0.20mm；</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3.5按键垫与音孔盖合严密，顶尖螺钉不随按键转动，节箍不松动，主体管内壁光滑平整。</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4、外观</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4.1按键外表面完整，焊接严密整洁，按键垫、软木粘合牢固、整洁，管体表面光滑、光亮，无明显加工痕迹合其它伤痕。</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4.2镀层表面光亮均匀、牢固，色泽一致，没有变色脱落的现象。</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五、材质：白铜，表面工艺：镀镍</w:t>
            </w:r>
            <w:r/>
          </w:p>
        </w:tc>
        <w:tc>
          <w:tcPr>
            <w:shd w:val="clear" w:color="auto" w:fill="auto"/>
            <w:tcW w:w="73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支</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1027"/>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38</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双簧管</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1、调性： C调 ，22键，半自动</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2、管体：胶木，黑色管体，白铜按键镀银，配手套，螺丝刀、清洁布、皮盒，配单肩背包。</w:t>
            </w:r>
            <w:r/>
          </w:p>
        </w:tc>
        <w:tc>
          <w:tcPr>
            <w:shd w:val="clear" w:color="auto" w:fill="auto"/>
            <w:tcW w:w="73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支</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39</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单簧管</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1、声学</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1.1采用十二平均律，标准音440HZ～443.83HZ,降B调。</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1.2各音音准误差：-10～+25音分，最大误差≤30音分，相邻两音误差≤9音分。</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1.3音质纯净，高音区音色高亢、嘹亮，中音区音色优美、壮丽、低音区音色丰厚饱满。符合QB/T1658.3-2012检测标准。</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2、演奏性能</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1发音灵敏，吹奏通畅，能充分表现强、弱音和富有表现力。</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2手感舒适，便于演奏，伸缩管运动灵敏，演奏时无滞留现象和机械噪音</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3调音管、附管滑动流畅，操作方便。</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3、装配及工艺 </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3.1插接长度≥15mm</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3.2按键安装准确，当外力去除时回复到原味，不粘滞。</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3.3管体气密性≤0.75MPa。</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3.4键管与键柱/键棍与键柱端面最大间隙≤0.20mm。</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3.5螺钉/节箍不松动，主体管内壁光滑平整。</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4、外观</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音键外表面完整、焊接严密、整洁，管体表面光滑明亮、无明显加工痕迹和其它伤痕；漆层光亮、均匀、牢固，色泽一致，无变色、脱落现象。</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五、材质：硬质胶木管体。6环键，镀镍，高档垫片。</w:t>
            </w:r>
            <w:r/>
          </w:p>
        </w:tc>
        <w:tc>
          <w:tcPr>
            <w:shd w:val="clear" w:color="auto" w:fill="auto"/>
            <w:tcW w:w="73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支</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40</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小号</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1、声学</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1.1采用十二平均律，标准音440HZ～443.10HZ,降B调。</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1.2最大误差≤13音分，各音误差：+7～+20音分，相邻两音误差≤20音分。</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1.3音质纯净，高音区音色高亢、嘹亮，中音区音色优美、壮丽、低音区音色丰厚、坚实。</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2、演奏性能</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2.1阀键启动负荷/阀键到底负荷 ≥0.9N  ≤2.8N。</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2.2各阀键之间按动到底最低负荷差/阀件耐久性≤0.1N。</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2.3发音灵敏，吹奏通畅，能充分表现强、弱音和富有表现力。</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2.4手感舒适，便于演奏，阀键运动灵敏，快速演奏时无滞留现象和机械噪音，阀件除去外力时，能迅速复位。</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2.5调音管、附管滑动流畅，操作方便。</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2.6符合QB/T1657.2-2012检测标准</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3、装配及工艺 </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3.1阀键轴孔配合间隙 ≤0.055 mm</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3.2管体气密性：气压损失量≥0.04MPa。</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3.3调音管/附管内外配合最大间隙﹤0.07mm。</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4、外观</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4.1号嘴表面无砂眼、气孔、蜂窝；管体表面光滑、光亮，无明显加工痕迹和其它伤痕；镀层光亮、均匀、牢固，色泽一致，无变色、脱落现象。</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4.2表面粗糙度≤0.55μm。</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5、材质：黄铜管体，不锈钢活塞，表面漆金。</w:t>
            </w:r>
            <w:r/>
          </w:p>
        </w:tc>
        <w:tc>
          <w:tcPr>
            <w:shd w:val="clear" w:color="auto" w:fill="auto"/>
            <w:tcW w:w="73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支</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41</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长号</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1、声学</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1.1采用十二平均律，标准音440HZ～443.80H，降B调。</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1.2各音误差：+3～+25音分，最大误差≤21音分，相邻两音误差≤12音分。</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1.3音质纯净，高音区音色高亢、嘹亮，中音区音色优美、壮丽、低音区音色丰厚饱满。</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1.4符合QB/T1657.4-2012检测标准</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2、演奏性能</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2.1发音灵敏，吹奏通畅，能充分表现强、弱音和富有表现力。</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2.2手感舒适，便于演奏，伸缩管运动灵敏，演奏时无滞留现象和机械噪音</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2.3调音管、附管滑动流畅，操作方便。</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3.号口材质：黄铜</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4.号口直径：200mm</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5.内管直径：13.4mm</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6.放水键子皮垫：软木</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7.降E调；主体管用黄铜材质，伸缩管外管黄铜、里管白铜镀铭表面喷漆工艺。</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8.配专用箱包、手套、擦拭布 。</w:t>
            </w:r>
            <w:r/>
          </w:p>
        </w:tc>
        <w:tc>
          <w:tcPr>
            <w:shd w:val="clear" w:color="auto" w:fill="auto"/>
            <w:tcW w:w="73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支</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42</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音乐教室3空调系统</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1、基础参数：3P变频冷暖机型，制冷量7200W（±5%），制热量8900W（±5%），能效等级三级（APF≥3.5），符合GB21455-2019标准。</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核心部件：单转子压缩机（排量22-24cc），双排冷凝器（铜管外径7mm），无电子膨胀阀以降低成本，使用R32环保冷媒。</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性能指标：制冷功率≤2350W，制热功率≤2950W，循环风量≥1200m</w:t>
            </w:r>
            <w:r>
              <w:rPr>
                <w:rFonts w:hint="eastAsia" w:asciiTheme="majorEastAsia" w:hAnsiTheme="majorEastAsia" w:eastAsiaTheme="majorEastAsia" w:cstheme="majorEastAsia"/>
                <w:color w:val="000000"/>
                <w:sz w:val="22"/>
                <w:szCs w:val="22"/>
                <w:u w:val="none"/>
                <w:lang w:val="en-US" w:eastAsia="zh-CN" w:bidi="ar"/>
              </w:rPr>
              <w:t xml:space="preserve">³/h，内机噪音≤45dB(A)，外机噪音≤56dB(A)，支持上下扫风但无左右自动扫风功能。</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基础LED显示+遥控操作，配备简易滤网，采用ABS面板，内机重量≤18kg，外机重量≤45kg。</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2、包含空调系统电气线路敷设：</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从配电箱（距离50米）引出独立回路，采用BV-3×2.5mm²铜芯线（火线红色、零线蓝色、地线黄绿双色），线管选用PVC阻燃管（直径20mm），暗敷于吊顶内，确保与照明线路分离。配电箱端配置16A双极空开（如ABB S200系列或施耐德Acti9）</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，并建议加装30mA漏电保护器（如正泰NXB-63）。线路走向需避开水源和高温区域，水平布线离地≥1.5m（棚面至墙面需要埋暗线处理，墙体刨沟恢复），垂直布线距墙角≥100mm。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插座与开关参数​：</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16A空调插座选用250V/16A三孔插座，面板材质为阻燃PC，内部铜件厚度≥0.6mm，插拔寿命≥1万次，防护等级IP20，接线端子为螺钉压接式（L/N/E标识清晰），需预埋86型暗盒。</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预留开关配置单极16A墙壁开关，额定电流16A，通断能力≥4000次，触点材质为银合金，面板阻燃等级UL94 V0，安装高度1.3m，与插座水平间距≥200mm。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台</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43</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室内遮光帘</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 类型</w:t>
            </w:r>
            <w:r>
              <w:rPr>
                <w:rFonts w:hint="eastAsia" w:asciiTheme="majorEastAsia" w:hAnsiTheme="majorEastAsia" w:eastAsiaTheme="majorEastAsia" w:cstheme="majorEastAsia"/>
                <w:color w:val="000000"/>
                <w:sz w:val="22"/>
                <w:szCs w:val="22"/>
                <w:u w:val="none"/>
                <w:lang w:val="en-US" w:eastAsia="zh-CN" w:bidi="ar"/>
              </w:rPr>
              <w:t xml:space="preserve">：聚酯纤维涂层遮光卷帘</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​尺寸规格：</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​标准幅宽：150cm/180cm/200cm（支持定制至300cm）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​高度范围：200-300cm（含10cm包边）</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​遮光率：50%-80%（根据涂层密度可调）</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​颜色：基础款为灰白色、深灰色（可选素色或简单条纹）</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​材质：</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​面料：100%聚酯纤维，表面覆PVC涂层（厚度0.3-0.5mm）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​辅料：铝合金静音轨道（壁厚1.2mm）、POM塑料拉珠、棉质布带</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44</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音乐教室4木制艺术造型展览板</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1、信息参数：2400*2800mm，主体结构组件采用18mm实木多层基材，表面采用环保油漆，喷漆时需保持无尘空间，每道工序需充分干燥(通常24小时，含水率≤8%），（甲醛释放量≤0.025mg/m</w:t>
            </w:r>
            <w:r>
              <w:rPr>
                <w:rFonts w:hint="eastAsia" w:asciiTheme="majorEastAsia" w:hAnsiTheme="majorEastAsia" w:eastAsiaTheme="majorEastAsia" w:cstheme="majorEastAsia"/>
                <w:color w:val="000000"/>
                <w:sz w:val="22"/>
                <w:szCs w:val="22"/>
                <w:u w:val="none"/>
                <w:lang w:val="en-US" w:eastAsia="zh-CN" w:bidi="ar"/>
              </w:rPr>
              <w:t xml:space="preserve">³，气候箱法检测），定制木质复合面板，高分子装饰层。定制艺术写真装饰。异形艺术雕刻装饰。木质喷漆精工艺术字。</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组</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45</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音乐教室4木制艺术造型</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1、信息参数：5800*2800mm，主体结构组件采用18mm实木多层基材，表面采用环保油漆，喷漆时需保持无尘空间，每道工序需充分干燥(通常24小时，含水率≤8%），（甲醛释放量≤0.025mg/m</w:t>
            </w:r>
            <w:r>
              <w:rPr>
                <w:rFonts w:hint="eastAsia" w:asciiTheme="majorEastAsia" w:hAnsiTheme="majorEastAsia" w:eastAsiaTheme="majorEastAsia" w:cstheme="majorEastAsia"/>
                <w:color w:val="000000"/>
                <w:sz w:val="22"/>
                <w:szCs w:val="22"/>
                <w:u w:val="none"/>
                <w:lang w:val="en-US" w:eastAsia="zh-CN" w:bidi="ar"/>
              </w:rPr>
              <w:t xml:space="preserve">³，气候箱法检测），定制木质复合饰面板，高分子装饰层。静态承重≥200kg/m²（持续24小时形变率≤0.3%）。抗弯强度≥100MPa（依据GB/T 17657-2022三点弯曲试验）。剥离强度≥120N/cm（纵向，GB/T 2791-1995标准）。异形艺术雕刻装饰。环保木质地脚围板。</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照明及电气线路系统;定制LED光源装饰带，带强电线路敷设，采用聚氯乙烯绝缘护套管（Φ16mm）嵌墙暗敷，火线为低烟无卤辐照交联聚乙烯导体（截面积2.5mm²，色标为深蓝），零线为同材质浅蓝线，线芯绞合节距≤15mm，绝缘层厚度≥0.8mm。光源单元：有机半导体发光模组（OSL-TL03），单模组尺寸300×30mm，色温2850±200K（暖白），显色指数Ra≥97.5（CIE 1931标准），光通量≥2400lm/m。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组</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648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46</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音乐教室4顶部装配</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1、信息参数：主体支撑结构：采用镀锌钢制骨架（基材厚度≥1.2mm，横向间距≤1200mm），配套铝合金型材连接件（壁厚≥0.8mm，表面静电粉末喷涂膜厚≥60μm）。</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装饰层基材：9.5mm厚高密度纤维装饰板材（甲醛释放量≤0.05mg/m</w:t>
            </w:r>
            <w:r>
              <w:rPr>
                <w:rFonts w:hint="eastAsia" w:asciiTheme="majorEastAsia" w:hAnsiTheme="majorEastAsia" w:eastAsiaTheme="majorEastAsia" w:cstheme="majorEastAsia"/>
                <w:color w:val="000000"/>
                <w:sz w:val="22"/>
                <w:szCs w:val="22"/>
                <w:u w:val="none"/>
                <w:lang w:val="en-US" w:eastAsia="zh-CN" w:bidi="ar"/>
              </w:rPr>
              <w:t xml:space="preserve">³，依据气候箱法检测）造型，表面覆盖复合纸面基材（内结合强度≥0.40MPa，符合GB/T 17657-2022标准）。大白乳胶漆三遍。</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连接系统：配置不锈钢自攻螺钉（规格M4×15mm，头部沉入基材深度≥0.3mm），接缝处采用V型槽切割工艺（切割深度≥3mm，嵌填石膏基填缝剂后打磨至2m靠尺检测间隙≤2mm）。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防火性能：整体系统需通过小室燃烧法测试（燃烧性能等级A1级）</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环保指标：挥发性有机物（TVOC）释放量≤0.3mg/m³（密闭空间72小时检测），重金属含量符合GB 18584-2001标准（铅、镉、铬等六项指标均≤90mg/kg）。</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功能性验证：承重测试：静态载荷≥350kg/m²持续24小时，形变率≤0.5%。</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抗震性能：通过GB 50981-2014标准模拟测试（地震加速度0.2g工况下无结构性位移）。</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声学性能：500Hz频段混响时间≤1.2秒（依据GB/T 50076-2013实测）</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配套辅材：吊顶悬挂组件：直径≥8mm镀锌钢索（破断拉力≥15kN）</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防震组件：邵氏硬度60±5的EPDM橡胶垫片（压缩永久变形≤15%）</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密封材料：硅酮耐候胶（拉伸模量≥0.4MPa，符合GB/T 14683-2017标准）</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平</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80</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47</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音乐教室4照明系统</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定制圆形内嵌式LDE光源体8W/㎡，光通量：≥3200lm，色温：4000K（自然光色）。显色指数：Ra≥92，防护等级：IP20。特性：低压24V供电，铝合金散热背板。LED嵌入式筒灯6W/㎡，光通量：≥3200lm，色温：4000K（自然光色）。安装方式：嵌入式。</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隐蔽式线管系统：PVC线管：Φ20mm（阻燃级），电线规格：BV-2.5mm</w:t>
            </w:r>
            <w:r>
              <w:rPr>
                <w:rFonts w:hint="eastAsia" w:asciiTheme="majorEastAsia" w:hAnsiTheme="majorEastAsia" w:eastAsiaTheme="majorEastAsia" w:cstheme="majorEastAsia"/>
                <w:color w:val="000000"/>
                <w:sz w:val="22"/>
                <w:szCs w:val="22"/>
                <w:u w:val="none"/>
                <w:lang w:val="en-US" w:eastAsia="zh-CN" w:bidi="ar"/>
              </w:rPr>
              <w:t xml:space="preserve">²（国标），接线盒：86型暗装（防水型），固定卡扣：尼龙材质（间距≤800mm。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48</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音乐教室4音响功放系统</w:t>
            </w:r>
            <w:r/>
          </w:p>
        </w:tc>
        <w:tc>
          <w:tcPr>
            <w:shd w:val="clear" w:color="auto" w:fill="auto"/>
            <w:tcW w:w="5401" w:type="dxa"/>
            <w:vAlign w:val="center"/>
            <w:textDirection w:val="lrTb"/>
            <w:noWrap w:val="false"/>
          </w:tcPr>
          <w:p>
            <w:pPr>
              <w:numPr>
                <w:ilvl w:val="0"/>
                <w:numId w:val="1"/>
              </w:numPr>
              <w:jc w:val="left"/>
              <w:keepLines w:val="0"/>
              <w:keepNext w:val="0"/>
              <w:widowControl/>
              <w:rPr>
                <w:rFonts w:hint="eastAsia" w:asciiTheme="majorEastAsia" w:hAnsiTheme="majorEastAsia" w:eastAsiaTheme="majorEastAsia" w:cstheme="majorEastAsia"/>
                <w:color w:val="000000"/>
                <w:sz w:val="22"/>
                <w:szCs w:val="22"/>
                <w:u w:val="none"/>
                <w:lang w:val="en-US" w:eastAsia="zh-CN" w:bidi="ar"/>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信息参数：</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功放：</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基础性能</w:t>
            </w:r>
            <w:r>
              <w:rPr>
                <w:rFonts w:hint="eastAsia" w:asciiTheme="majorEastAsia" w:hAnsiTheme="majorEastAsia" w:eastAsiaTheme="majorEastAsia" w:cstheme="majorEastAsia"/>
                <w:color w:val="000000"/>
                <w:sz w:val="22"/>
                <w:szCs w:val="22"/>
                <w:u w:val="none"/>
                <w:lang w:val="en-US" w:eastAsia="zh-CN" w:bidi="ar"/>
              </w:rPr>
              <w:t xml:space="preserve">​</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输出功率：双通道独立输出，每通道额定功率300W（8Ω连续），峰值功率600W（4Ω瞬时），支持定压/定阻双模式切换（定压输出范围：70V/100V）。</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频响范围：20Hz-20kHz（±1dB），全频段覆盖人耳听觉范围，满足音乐、语音双重需求。</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信噪比（S/N）：≥92dB（A计权），有效抑制背景噪声，确保纯净音质。</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总谐波失真（THD）：≤0.05%（1kHz，1/3额定功率），失真度低，音色还原精准。</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功能特性</w:t>
            </w:r>
            <w:r/>
          </w:p>
          <w:p>
            <w:pPr>
              <w:numPr>
                <w:ilvl w:val="0"/>
                <w:numId w:val="1"/>
              </w:num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color w:val="000000"/>
                <w:sz w:val="22"/>
                <w:szCs w:val="22"/>
                <w:u w:val="none"/>
                <w:lang w:val="en-US" w:eastAsia="zh-CN" w:bidi="ar"/>
              </w:rPr>
              <w:t xml:space="preserve">输入接口：</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主通道：2路XLR平衡输入（支持高阻/低阻切换）+ 2路RCA非平衡输入。</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辅助通道：1路RCA AUX输入 + 1路OPTICAL光纤输入（支持24bit/96kHz无损传输）。</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输出接口：</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2路XLR平衡输出（带Link输出功能）+ 2路NEUTRIK SpeakON NL4MP音箱接口。</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音效调节：</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高/低音独立调节（±12dB），支持多频段EQ（100Hz-15kHz可调）。</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内置数字混响/回声效果器，支持啸叫抑制（Auto Feedback Canceller）。</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智能控制：</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支持蓝牙5.0无线连接，可接收手机/平板音频信号。</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配备LCD显示屏，实时显示输入信号电平、温度状态及保护状态。</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保护与安全​</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多重保护机制：</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过载保护（OPP）、短路保护（SCP）、过热保护（OTP）、瞬时峰值保护（SPiKe™）。</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直流偏移保护（DC Offset ≤±1V），防止设备损坏。</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散热系统：</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智能温控风扇，根据温度自动调节转速，确保长时间高负载运行稳定性。</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音响：</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声学性能​</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频响范围：20Hz-20kHz（±3dB），低频延伸至40Hz（-6dB），适合人声、器乐及背景音乐扩声。</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灵敏度：92dB（1W/1m），高效率设计，降低功放负载需求。</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额定功率：连续功率 ​100W（4Ω）​，峰值功率 ​200W（短时）​。</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最大声压级：≥108dB（1m，粉红噪声），覆盖半径15-20米。</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单元配置​</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低音单元：8英寸（200mm）复合盆低音，90磁路设计，频响宽广，失真率≤1%。</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高音单元：1英寸（25mm）丝膜球顶高音，指向性精准，高频延伸至20kHz。</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分频设计：二阶分频（1.8kHz），相位对齐技术，确保频响平滑过渡。</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箱体与结构​</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箱体材质：18mm厚高密度桦木板，内部填充吸音棉，减少驻波干扰。</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覆盖角度：水平90°×垂直60°，梯形箱体设计，优化声场覆盖。</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安装方式​：壁挂式（标配M8不锈钢吊挂件）或支架式（可旋转调节角度）。</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防护等级：IP54防尘防水，适用于教室、礼堂等复杂环境。</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接口与扩展​</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输入接口：</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1路XLR平衡输入 + 1路RCA非平衡输入。</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支持48V幻象电源供电（用于连接无线话筒接收器）。</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输出接口：1路XLR平衡输出（Link输出），支持多音箱串联。</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49</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音乐教室4空调系统</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1、基础参数：3P变频冷暖机型，制冷量7200W（±5%），制热量8900W（±5%），能效等级三级（APF≥3.5），符合GB21455-2019标准。</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核心部件：单转子压缩机（排量22-24cc），双排冷凝器（铜管外径7mm），无电子膨胀阀以降低成本，使用R32环保冷媒。</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性能指标：制冷功率≤2350W，制热功率≤2950W，循环风量≥1200m</w:t>
            </w:r>
            <w:r>
              <w:rPr>
                <w:rFonts w:hint="eastAsia" w:asciiTheme="majorEastAsia" w:hAnsiTheme="majorEastAsia" w:eastAsiaTheme="majorEastAsia" w:cstheme="majorEastAsia"/>
                <w:color w:val="000000"/>
                <w:sz w:val="22"/>
                <w:szCs w:val="22"/>
                <w:u w:val="none"/>
                <w:lang w:val="en-US" w:eastAsia="zh-CN" w:bidi="ar"/>
              </w:rPr>
              <w:t xml:space="preserve">³/h，内机噪音≤45dB(A)，外机噪音≤56dB(A)，支持上下扫风但无左右自动扫风功能。</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基础LED显示+遥控操作，配备简易滤网，采用ABS面板，内机重量≤18kg，外机重量≤45kg。</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2、包含空调系统电气线路敷设：</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从配电箱（距离50米）引出独立回路，采用BV-3×2.5mm²铜芯线（火线红色、零线蓝色、地线黄绿双色），线管选用PVC阻燃管（直径20mm），暗敷于吊顶内，确保与照明线路分离。配电箱端配置16A双极空开（如ABB S200系列或施耐德Acti9）</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，并建议加装30mA漏电保护器（如正泰NXB-63）。线路走向需避开水源和高温区域，水平布线离地≥1.5m（棚面至墙面需要埋暗线处理，墙体刨沟恢复），垂直布线距墙角≥100mm。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插座与开关参数​：</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16A空调插座选用250V/16A三孔插座，面板材质为阻燃PC，内部铜件厚度≥0.6mm，插拔寿命≥1万次，防护等级IP20，接线端子为螺钉压接式（L/N/E标识清晰），需预埋86型暗盒。</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预留开关配置单极16A墙壁开关，额定电流16A，通断能力≥4000次，触点材质为银合金，面板阻燃等级UL94 V0，安装高度1.3m，与插座水平间距≥200mm。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台</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3038"/>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50</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室内遮光帘</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 类型</w:t>
            </w:r>
            <w:r>
              <w:rPr>
                <w:rFonts w:hint="eastAsia" w:asciiTheme="majorEastAsia" w:hAnsiTheme="majorEastAsia" w:eastAsiaTheme="majorEastAsia" w:cstheme="majorEastAsia"/>
                <w:color w:val="000000"/>
                <w:sz w:val="22"/>
                <w:szCs w:val="22"/>
                <w:u w:val="none"/>
                <w:lang w:val="en-US" w:eastAsia="zh-CN" w:bidi="ar"/>
              </w:rPr>
              <w:t xml:space="preserve">：聚酯纤维涂层遮光卷帘</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尺寸规格：</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标准幅宽：150cm/180cm/200cm（支持定制至300cm）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高度范围：200-300cm（含10cm包边）</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遮光率：50%-80%（根据涂层密度可调）</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颜色：基础款为灰白色、深灰色（可选素色或简单条纹）</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材质：</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面料：100%聚酯纤维，表面覆PVC涂层（厚度0.3-0.5mm）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辅料：铝合金静音轨道（壁厚1.2mm）、POM塑料拉珠、棉质布带</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w:t>
            </w:r>
            <w:r/>
          </w:p>
        </w:tc>
      </w:tr>
      <w:tr>
        <w:trPr>
          <w:jc w:val="center"/>
          <w:trHeight w:val="405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51</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音乐教室4培训椅子</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材质说明：                                                                                                                             1)椅背：采用高品质PP胶椅背，内富含高比例玻璃纤维超结实，表面手感顺滑，耐磨耐刮。而曲线的轮廓按照人体健康工程学设计。</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2)五金架：采用高品质喷黑漆五金架，电镀层厚可更强效防刮、防生锈、耐强酸碱，加厚管壁超结实，可承受1100KG重压，重点可以随意折叠</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3)座海绵：采用高品质一次成型纯海绵，超柔软富有弹性，座感超舒服，透气性超强。</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4)木板：采用高品质10片层高温高压一次定型双木板结构，可承受1100KG重压，超结实很安心。★投标文件中提供由国家行政管理部门认定的省级及省级以上国家检测机构出具的（具有CMA、CNAS等标识）完整的培训椅（塑料材质）检测报告，抽样基数≥50，检测项目：塑料部件外观，金属部件外观，软包部件外观，喷涂件，面料色牢度，面料有害物质，尺寸极限偏差，安全要求，力学性能，形状和位置公差符合要求，甲醛释放量≤0.12mg/㎡h，TVOC≤0.5mg/㎡h。测试内容需完全符合参数要求，不得缺项、漏项，否则视为负偏离。</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60</w:t>
            </w:r>
            <w:r/>
          </w:p>
        </w:tc>
      </w:tr>
      <w:tr>
        <w:trPr>
          <w:jc w:val="center"/>
          <w:trHeight w:val="594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52</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音乐教室4地面地塑</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1、规格：21000*5600mm</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一、产品概述</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2.0mm多层复合结构卷材地板材质为聚氯乙烯：产品结构自上而下分为五层：UV涂层、印花彩膜层、0.45mm耐磨层、玻璃纤维稳定层、1.65mm密实层。</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二、产品规格</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产品为2.0mm厚度，卷材，宽幅2米，长度20米，克重3.3±0.5千克每平方米。                                                       三、性能要点</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1、外观质量：无裂纹、分层、断裂，无折皱、气泡、漏印、缺膜、图案变形，无明显套印偏差、色差、污染等缺陷；</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2、加热尺寸变化率：纵向≤0.40；横向≤0.40；</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★3、PVC地板隔声性能≥24dB；</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★4、PVC地板铅笔硬度≥3B；</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★5、急性吸入毒性试验，试验结果对ICR小鼠的急性吸入LC50＞2000mg/ m</w:t>
            </w:r>
            <w:r>
              <w:rPr>
                <w:rFonts w:hint="eastAsia" w:asciiTheme="majorEastAsia" w:hAnsiTheme="majorEastAsia" w:eastAsiaTheme="majorEastAsia" w:cstheme="majorEastAsia"/>
                <w:color w:val="000000"/>
                <w:sz w:val="22"/>
                <w:szCs w:val="22"/>
                <w:u w:val="none"/>
                <w:lang w:val="en-US" w:eastAsia="zh-CN" w:bidi="ar"/>
              </w:rPr>
              <w:t xml:space="preserve">³。依据毒性分级，产品属于低毒级；</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6、PVC地板焊接强度≥240；★（投标文件中提供由国家行政管理部门认定的省级及省级以上国家检测机构出具的（具有CMA、CNAS标识）出具的完整的PVC地板检测报告，测试内容需完全符合参数要求，不得缺项、漏项，否则视为负偏离。</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7、铺装，含成品环保生态踢脚线。</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8、包含货物生产、运输、安装。</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平</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80</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53</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器乐兼排练室顶部装配</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1、信息参数：主体支撑结构：采用镀锌钢制骨架（基材厚度≥1.2mm，横向间距≤1200mm），配套铝合金型材连接件（壁厚≥0.8mm，表面静电粉末喷涂膜厚≥60μm）。</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装饰层基材：9.5mm厚高密度纤维装饰板材（甲醛释放量≤0.05mg/m</w:t>
            </w:r>
            <w:r>
              <w:rPr>
                <w:rFonts w:hint="eastAsia" w:asciiTheme="majorEastAsia" w:hAnsiTheme="majorEastAsia" w:eastAsiaTheme="majorEastAsia" w:cstheme="majorEastAsia"/>
                <w:color w:val="000000"/>
                <w:sz w:val="22"/>
                <w:szCs w:val="22"/>
                <w:u w:val="none"/>
                <w:lang w:val="en-US" w:eastAsia="zh-CN" w:bidi="ar"/>
              </w:rPr>
              <w:t xml:space="preserve">³，依据气候箱法检测），表面覆盖复合纸面基材（内结合强度≥0.40MPa，符合GB/T 17657-2022标准）。大白乳胶漆三遍。</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连接系统：配置不锈钢自攻螺钉（规格M4×15mm，头部沉入基材深度≥0.3mm），接缝处采用V型槽切割工艺（切割深度≥3mm，嵌填石膏基填缝剂后打磨至2m靠尺检测间隙≤2mm）。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平</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60</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54</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器乐兼排练室照明系统</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定制超薄LDE光源体8W/㎡，光通量：≥3200lm，色温：4000K（自然光色）。显色指数：Ra≥92，防护等级：IP20。特性：低压24V供电，铝合金散热背板。LED嵌入式筒灯6W/㎡，光通量：≥3200lm，色温：4000K（自然光色）。安装方式：嵌入式。LED虚光灯带。</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隐蔽式线管系统：PVC线管：Φ20mm（阻燃级），电线规格：BV-2.5mm</w:t>
            </w:r>
            <w:r>
              <w:rPr>
                <w:rFonts w:hint="eastAsia" w:asciiTheme="majorEastAsia" w:hAnsiTheme="majorEastAsia" w:eastAsiaTheme="majorEastAsia" w:cstheme="majorEastAsia"/>
                <w:color w:val="000000"/>
                <w:sz w:val="22"/>
                <w:szCs w:val="22"/>
                <w:u w:val="none"/>
                <w:lang w:val="en-US" w:eastAsia="zh-CN" w:bidi="ar"/>
              </w:rPr>
              <w:t xml:space="preserve">²（国标），接线盒：86型暗装（防水型），固定卡扣：尼龙材质（间距≤800mm。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55</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器乐兼排练室金属艺术造型</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1、信息参数：4000*2800mm，主体结构组件采用18mm实木多层基材，表面采用环保油漆，喷漆时需保持无尘空间，每道工序需充分干燥(通常24小时，含水率≤8%），（甲醛释放量≤0.025mg/m</w:t>
            </w:r>
            <w:r>
              <w:rPr>
                <w:rFonts w:hint="eastAsia" w:asciiTheme="majorEastAsia" w:hAnsiTheme="majorEastAsia" w:eastAsiaTheme="majorEastAsia" w:cstheme="majorEastAsia"/>
                <w:color w:val="000000"/>
                <w:sz w:val="22"/>
                <w:szCs w:val="22"/>
                <w:u w:val="none"/>
                <w:lang w:val="en-US" w:eastAsia="zh-CN" w:bidi="ar"/>
              </w:rPr>
              <w:t xml:space="preserve">³，气候箱法检测），静态承重≥200kg/m²（持续24小时形变率≤0.3%）。抗弯强度≥100MPa（依据GB/T 17657-2022三点弯曲试验）。剥离强度≥120N/cm（纵向，GB/T 2791-1995标准）。金属定制悬浮造型，激光雕刻圆边处理，生态木质吸音板饰面，定制12mm烤漆浮法玻璃面层，丝网印金属镂空艺术造型装饰。异形艺术雕刻。</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组</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56</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器乐兼排练室木质艺术展览板A</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1、信息参数：5500*2800mm，主体结构组件采用18mm实木多层基材，表面采用环保油漆，喷漆时需保持无尘空间，每道工序需充分干燥(通常24小时，含水率≤8%），（甲醛释放量≤0.025mg/m</w:t>
            </w:r>
            <w:r>
              <w:rPr>
                <w:rFonts w:hint="eastAsia" w:asciiTheme="majorEastAsia" w:hAnsiTheme="majorEastAsia" w:eastAsiaTheme="majorEastAsia" w:cstheme="majorEastAsia"/>
                <w:color w:val="000000"/>
                <w:sz w:val="22"/>
                <w:szCs w:val="22"/>
                <w:u w:val="none"/>
                <w:lang w:val="en-US" w:eastAsia="zh-CN" w:bidi="ar"/>
              </w:rPr>
              <w:t xml:space="preserve">³，气候箱法检测），定制木质复合饰面板，高分子装饰层。静态承重≥200kg/m²（持续24小时形变率≤0.3%）。抗弯强度≥100MPa（依据GB/T 17657-2022三点弯曲试验）。剥离强度≥120N/cm（纵向，GB/T 2791-1995标准）。定制异形艺术雕刻部件。环保木质地脚围板。</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组</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1026"/>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57</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器乐兼排练室木质艺术展览板A</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1、信息参数：2000*1400mm，定制异形艺术雕刻。</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组</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58</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器乐兼排练室储物柜</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1、信息参数：1200*1600*800mm（长x高x深），基材标准：主体框架：采用E0级实木颗粒板（符合GB/T 3324-2017），含水率8-12%，甲醛释放量≤0.05mg/L。</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面板材质：一级柚木贴皮（厚度≥0.6mm，GB/T 15036.2标准），耐磨转数≥3000转（依据GB/T 17657-2022）。</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防潮处理：真空加压注入ACQ防腐剂（载药量≥6.5kg/m</w:t>
            </w:r>
            <w:r>
              <w:rPr>
                <w:rFonts w:hint="eastAsia" w:asciiTheme="majorEastAsia" w:hAnsiTheme="majorEastAsia" w:eastAsiaTheme="majorEastAsia" w:cstheme="majorEastAsia"/>
                <w:color w:val="000000"/>
                <w:sz w:val="22"/>
                <w:szCs w:val="22"/>
                <w:u w:val="none"/>
                <w:lang w:val="en-US" w:eastAsia="zh-CN" w:bidi="ar"/>
              </w:rPr>
              <w:t xml:space="preserve">³，符合LY/T 1636-2017）</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结构组件：品牌三合一连接件（抗拉强度≥1200N，盐雾测试≥2000小时），液压缓冲铰链（开合寿命≥5万次，噪音≤35dB），隐藏式滑轨（承重≥50kg，抽拉顺滑度≤10N摩擦力）。</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静态承重：单层货架≥80kg（依据QB/T 2530-2011测试方法），抗倾覆系数：≥1.5（满载状态下倾斜角≤10°不倾倒）。</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隔板挠度：≤1.5mm/m（加载50kg持续24小时，依据GB/T 10357.3）</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尺寸公差：长度/宽度误差≤±1.5mm，高度误差≤±2mm（激光定位切割）</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直角度：边角垂直度≤0.8mm/m（水平仪检测）</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封边质量：PVC封边条贴合度≤0.3mm缝隙。储物柜相关技术要求：依据GB/T 3324-2017《木家具通用技术条件》、GB 18584-2001《室内装饰装修材料 木家具中有害物质限量》、GB/T 35607-2017《绿色产品评价 家具》、QB/T 2530-2011《木制柜》，检测内容中：净深≥245，层间净高≥330，产品外形尺寸偏差中产品外形宽、深、高尺寸的极限偏差为±5，配套或组合产品的极限偏差应同取正值或负值，面板、框架对角线长度≥1</w:t>
            </w:r>
            <w:r>
              <w:rPr>
                <w:rFonts w:hint="eastAsia" w:asciiTheme="majorEastAsia" w:hAnsiTheme="majorEastAsia" w:eastAsiaTheme="majorEastAsia" w:cstheme="majorEastAsia"/>
                <w:color w:val="000000"/>
                <w:sz w:val="22"/>
                <w:szCs w:val="22"/>
                <w:u w:val="none"/>
                <w:lang w:val="en-US" w:eastAsia="zh-CN" w:bidi="ar"/>
              </w:rPr>
              <w:t xml:space="preserve">000mm的检测中，要求≤3.0，面板、正视面板件对角线长度(700,1400)，要求≤2.0，面板、正视面板件对角线长度≤700，要求≤1.0，平整度面板、正视面板件:≤0.20mm.位差度(mm)中,门与框架、门与门相邻表面、抽屉与框架、抽屉与门、抽屉与抽屉相邻两表面间的距离偏差(非设计要求的距离)≤2.0mm，分缝(mm)中，所有分缝(非设计要求时)≤2.00mm,底脚平稳性(mm)≤2.0,表面理化性能要求-漆膜,耐液性(级),10%碳酸钠溶液，24h;10%乙酸溶液，24h应不低于3级。耐湿热(级</w:t>
            </w:r>
            <w:r>
              <w:rPr>
                <w:rFonts w:hint="eastAsia" w:asciiTheme="majorEastAsia" w:hAnsiTheme="majorEastAsia" w:eastAsiaTheme="majorEastAsia" w:cstheme="majorEastAsia"/>
                <w:color w:val="000000"/>
                <w:sz w:val="22"/>
                <w:szCs w:val="22"/>
                <w:u w:val="none"/>
                <w:lang w:val="en-US" w:eastAsia="zh-CN" w:bidi="ar"/>
              </w:rPr>
              <w:t xml:space="preserve">),20min，70℃。应不低于3级。耐干热(级)20min，70℃。应不低于3级。附着力(级)涂层交叉切割法。应不低于3级，耐冷热温差，高温(40+2)℃，相对湿度(95+3)%，1h。低温(-20+2)℃，1h。3周期。应无鼓泡裂缝和明显失光。耐磨性(级)1000转。应不低于3级。抗冲击(级)冲击高度50mm。应不低于3级。★投标文件中提供由国家行政管理部门认定的省级及省级以上国家检测机构出具的（具有CMA、CNAS标识）完整的储物柜检测报告，测试内容需完全符合参数要求，不得缺项、漏项，否则视为负偏离。</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w:t>
            </w:r>
            <w:r/>
          </w:p>
        </w:tc>
      </w:tr>
      <w:tr>
        <w:trPr>
          <w:jc w:val="center"/>
          <w:trHeight w:val="324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59</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衣服架子</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1、材质相关参数</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金属种类：不锈钢具有良好的耐腐蚀性、防锈性，常用于潮湿环境； </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2、尺寸相关参数</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长度：在 40-60 厘米左右</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宽度：一般在 15-30 厘米左右</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高度：普通挂在衣柜中的衣架高度则相对较短，约 30-50 厘米。</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3、表面处理相关参数</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涂层类型：常见的有粉末喷涂、环氧涂层等。粉末喷涂可以提供多种颜色选择，涂层均匀、耐磨、耐腐蚀；环氧涂层则具有良好的防锈、防腐性能，能有效保护金属衣架在潮湿环境中不生锈。</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光泽度：分为哑光和亮光等不同效果。哑光表面给人一种低调、柔和的感觉，亮光表面则更加亮丽、显眼，可根据个人喜好和使用场景选择。</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个</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200</w:t>
            </w:r>
            <w:r/>
          </w:p>
        </w:tc>
      </w:tr>
      <w:tr>
        <w:trPr>
          <w:jc w:val="center"/>
          <w:trHeight w:val="555"/>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60</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器乐兼排练室空调系统</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1、基础参数：3P变频冷暖机型，制冷量7200W（±5%），制热量8900W（±5%），能效等级三级（APF≥3.5），符合GB21455-2019标准。</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核心部件：单转子压缩机（排量22-24cc），双排冷凝器（铜管外径7mm），无电子膨胀阀以降低成本，使用R32环保冷媒。</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性能指标：制冷功率≤2350W，制热功率≤2950W，循环风量≥1200m</w:t>
            </w:r>
            <w:r>
              <w:rPr>
                <w:rFonts w:hint="eastAsia" w:asciiTheme="majorEastAsia" w:hAnsiTheme="majorEastAsia" w:eastAsiaTheme="majorEastAsia" w:cstheme="majorEastAsia"/>
                <w:color w:val="000000"/>
                <w:sz w:val="22"/>
                <w:szCs w:val="22"/>
                <w:u w:val="none"/>
                <w:lang w:val="en-US" w:eastAsia="zh-CN" w:bidi="ar"/>
              </w:rPr>
              <w:t xml:space="preserve">³/h，内机噪音≤45dB(A)，外机噪音≤56dB(A)，支持上下扫风但无左右自动扫风功能。</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基础LED显示+遥控操作，配备简易滤网，采用ABS面板，内机重量≤18kg，外机重量≤45kg。</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2、包含空调系统电气线路敷设：</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从配电箱（距离50米）引出独立回路，采用BV-3×2.5mm²铜芯线（火线红色、零线蓝色、地线黄绿双色），线管选用PVC阻燃管（直径20mm），暗敷于吊顶内，确保与照明线路分离。配电箱端配置16A双极空开（如ABB S200系列或施耐德Acti9）</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，并建议加装30mA漏电保护器（如正泰NXB-63）。线路走向需避开水源和高温区域，水平布线离地≥1.5m（棚面至墙面需要埋暗线处理，墙体刨沟恢复），垂直布线距墙角≥100mm。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插座与开关参数​：</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16A空调插座选用250V/16A三孔插座，面板材质为阻燃PC，内部铜件厚度≥0.6mm，插拔寿命≥1万次，防护等级IP20，接线端子为螺钉压接式（L/N/E标识清晰），需预埋86型暗盒。</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预留开关配置单极16A墙壁开关，额定电流16A，通断能力≥4000次，触点材质为银合金，面板阻燃等级UL94 V0，安装高度1.3m，与插座水平间距≥200mm。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台</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61</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室内遮光帘</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类型</w:t>
            </w:r>
            <w:r>
              <w:rPr>
                <w:rFonts w:hint="eastAsia" w:asciiTheme="majorEastAsia" w:hAnsiTheme="majorEastAsia" w:eastAsiaTheme="majorEastAsia" w:cstheme="majorEastAsia"/>
                <w:color w:val="000000"/>
                <w:sz w:val="22"/>
                <w:szCs w:val="22"/>
                <w:u w:val="none"/>
                <w:lang w:val="en-US" w:eastAsia="zh-CN" w:bidi="ar"/>
              </w:rPr>
              <w:t xml:space="preserve">：聚酯纤维涂层遮光卷帘</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尺寸规格：</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标准幅宽：150cm/180cm/200cm（支持定制至300cm）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高度范围：200-300cm（含10cm包边）</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遮光率：50%-80%（根据涂层密度可调）</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颜色：基础款为灰白色、深灰色（可选素色或简单条纹）</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材质面料：100%聚酯纤维，表面覆PVC涂层（厚度0.3-0.5mm）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辅料：铝合金静音轨道（壁厚1.2mm）、POM塑料拉珠、棉质布带</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62</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美术作品兼仓库室功能储物造型</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1、信息参数：4000*2800*400mm，基材标准：主体框架：采用E0级橡胶实木拼接板（符合GB/T 3324-2017），含水率8-12%，甲醛释放量≤0.05mg/L。</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面板材质：一级柚木贴皮（厚度≥0.6mm，GB/T 15036.2标准），耐磨转数≥3000转（依据GB/T 17657-2022）。</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防潮处理：真空加压注入ACQ防腐剂（载药量≥6.5kg/m</w:t>
            </w:r>
            <w:r>
              <w:rPr>
                <w:rFonts w:hint="eastAsia" w:asciiTheme="majorEastAsia" w:hAnsiTheme="majorEastAsia" w:eastAsiaTheme="majorEastAsia" w:cstheme="majorEastAsia"/>
                <w:color w:val="000000"/>
                <w:sz w:val="22"/>
                <w:szCs w:val="22"/>
                <w:u w:val="none"/>
                <w:lang w:val="en-US" w:eastAsia="zh-CN" w:bidi="ar"/>
              </w:rPr>
              <w:t xml:space="preserve">³，符合LY/T 1636-2017）</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结构组件：品牌三合一连接件（抗拉强度≥1200N，盐雾测试≥2000小时），液压缓冲铰链（开合寿命≥5万次，噪音≤35dB），隐藏式滑轨（承重≥50kg，抽拉顺滑度≤10N摩擦力）。</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静态承重：单层货架≥80kg（依据QB/T 2530-2011测试方法），抗倾覆系数：≥1.5（满载状态下倾斜角≤10°不倾倒）。</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隔板挠度：≤1.5mm/m（加载50kg持续24小时，依据GB/T 10357.3）</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尺寸公差：长度/宽度误差≤±1.5mm，高度误差≤±2mm（激光定位切割）</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直角度：边角垂直度≤0.8mm/m（水平仪检测）</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封边质量：PVC封边条贴合度≤0.3mm缝隙。</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定制艺术雕刻装饰，木质精工雕刻喷漆艺术字。</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63</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美术作品兼仓库室功能储物矮柜</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1、信息参数：4000*800*400mm，基材标准：主体框架：采用E0级橡胶实木拼接板（符合GB/T 3324-2017），含水率8-12%，甲醛释放量≤0.05mg/L。</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面板材质：一级柚木贴皮（厚度≥0.6mm，GB/T 15036.2标准），耐磨转数≥3000转（依据GB/T 17657-2022）。</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防潮处理：真空加压注入ACQ防腐剂（载药量≥6.5kg/m</w:t>
            </w:r>
            <w:r>
              <w:rPr>
                <w:rFonts w:hint="eastAsia" w:asciiTheme="majorEastAsia" w:hAnsiTheme="majorEastAsia" w:eastAsiaTheme="majorEastAsia" w:cstheme="majorEastAsia"/>
                <w:color w:val="000000"/>
                <w:sz w:val="22"/>
                <w:szCs w:val="22"/>
                <w:u w:val="none"/>
                <w:lang w:val="en-US" w:eastAsia="zh-CN" w:bidi="ar"/>
              </w:rPr>
              <w:t xml:space="preserve">³，符合LY/T 1636-2017）</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结构组件：品牌三合一连接件（抗拉强度≥1200N，盐雾测试≥2000小时），液压缓冲铰链（开合寿命≥5万次，噪音≤35dB），隐藏式滑轨（承重≥50kg，抽拉顺滑度≤10N摩擦力）。</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静态承重：单层货架≥80kg（依据QB/T 2530-2011测试方法），抗倾覆系数：≥1.5（满载状态下倾斜角≤10°不倾倒）。</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隔板挠度：≤1.5mm/m（加载50kg持续24小时，依据GB/T 10357.3）</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尺寸公差：长度/宽度误差≤±1.5mm，高度误差≤±2mm（激光定位切割）</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直角度：边角垂直度≤0.8mm/m（水平仪检测）</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封边质量：PVC封边条贴合度≤0.3mm缝隙。</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64</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美术作品兼仓库室木制艺术展览板</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1、信息参数：5500*1600mm，主体结构组件采用18mm实木多层基材，表面采用环保油漆，喷漆时需保持无尘空间，每道工序需充分干燥(通常24小时，含水率≤8%），（甲醛释放量≤0.025mg/m</w:t>
            </w:r>
            <w:r>
              <w:rPr>
                <w:rFonts w:hint="eastAsia" w:asciiTheme="majorEastAsia" w:hAnsiTheme="majorEastAsia" w:eastAsiaTheme="majorEastAsia" w:cstheme="majorEastAsia"/>
                <w:color w:val="000000"/>
                <w:sz w:val="22"/>
                <w:szCs w:val="22"/>
                <w:u w:val="none"/>
                <w:lang w:val="en-US" w:eastAsia="zh-CN" w:bidi="ar"/>
              </w:rPr>
              <w:t xml:space="preserve">³，气候箱法检测），静态承重≥200kg/m²（持续24小时形变率≤0.3%）。抗弯强度≥100MPa（依据GB/T 17657-2022三点弯曲试验）。剥离强度≥120N/cm（纵向，GB/T 2791-1995标准）。异形木质艺术叠级雕刻装饰。定制自办展示版面部件，饰面类型：三聚氰胺纸/木皮/喷绘布，压纹工艺：条纹（3cm/5cm宽）、方格、竹纹（误差≤±0.5mm），邵氏硬度：≥60 HA（GB/T 531.1），热压成型：温度180-220℃，压力≥8MPa。</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组</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65</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写生教具2（几何形体）</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1.信息参数：1、六棱柱：高235mm，棱长65mm；</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2、圆柱体：高235mm，底面直径120mm；</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3、长方体：100*100*235mm；</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4、正方体：边长160mm；</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5、圆球体：直径190mm；</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6、圆锥体：高230mm，底部直径160mm；</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7、方锥体：高不小于230mm，底部棱长150mm；</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材质：热固性树脂，环保，表面光滑、无异味。棱角分明，线条清晰，强度高，抗磨、抗摔，耐脏，可水洗，使用年限长。写生教具2（几何形体）相应的技术要求，检测依据：QB/T 4071-2021《课桌椅》GB/T2577-2005《玻璃纤维增强塑料树脂含量试验方法》塑料件外观检测中应无裂纹、明显变形、缩水、针孔，检测结果为无裂纹、</w:t>
            </w:r>
            <w:r>
              <w:rPr>
                <w:rFonts w:hint="eastAsia" w:asciiTheme="majorEastAsia" w:hAnsiTheme="majorEastAsia" w:eastAsiaTheme="majorEastAsia" w:cstheme="majorEastAsia"/>
                <w:i w:val="0"/>
                <w:iCs w:val="0"/>
                <w:color w:val="000000"/>
                <w:sz w:val="22"/>
                <w:szCs w:val="22"/>
                <w:u w:val="none"/>
                <w:lang w:val="en-US" w:eastAsia="zh-CN" w:bidi="ar"/>
              </w:rPr>
              <w:t xml:space="preserve">明显变形、缩水、针孔。塑料件中有害物质限量（邻苯二甲酸酯（DBP、BBP、DEHP、DNOP、DINP和DIDP的总量）应要求≤0.1%，检测结果未检出。在重金属(mg/kg)检测中，可溶性铅≤90，检测结果未检出。可溶性镉≤75，检测结果未检出。可溶性铬≤60，检测结果未检出。可溶性汞≤60，检测结果未检出。★投标文件中提供由国家行政管理部门认定的省级及省级以上国家检测机构出具的（具有CMA、CNAS标识）的完整的写生教具2（几何形体）检测报告，测试内容需完全符合参数要求，不得缺项、漏项，否则视为负偏离。</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12</w:t>
            </w:r>
            <w:r/>
          </w:p>
        </w:tc>
      </w:tr>
      <w:tr>
        <w:trPr>
          <w:jc w:val="center"/>
          <w:trHeight w:val="459"/>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66</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静物台衬布</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规格：1000×2000mm，材质：棉、绒</w:t>
            </w:r>
            <w:r/>
          </w:p>
        </w:tc>
        <w:tc>
          <w:tcPr>
            <w:shd w:val="clear" w:color="auto" w:fill="auto"/>
            <w:tcW w:w="73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12</w:t>
            </w:r>
            <w:r/>
          </w:p>
        </w:tc>
      </w:tr>
      <w:tr>
        <w:trPr>
          <w:jc w:val="center"/>
          <w:trHeight w:val="94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67</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定制写生教具套装</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配置：彩陶2件（200mm）、瓷器2件(200mm)、木质关节人1件、仿真水果4件、塑料花1件</w:t>
            </w:r>
            <w:r/>
          </w:p>
        </w:tc>
        <w:tc>
          <w:tcPr>
            <w:shd w:val="clear" w:color="auto" w:fill="auto"/>
            <w:tcW w:w="73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12</w:t>
            </w:r>
            <w:r/>
          </w:p>
        </w:tc>
      </w:tr>
      <w:tr>
        <w:trPr>
          <w:jc w:val="center"/>
          <w:trHeight w:val="1037"/>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68</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美术清洁工具套装</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1.信息参数：包含定画液喷雾、可塑橡皮、除尘毛刷、溶剂清洁布等。</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2.包含货物生产、运输、安装。</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50</w:t>
            </w:r>
            <w:r/>
          </w:p>
        </w:tc>
      </w:tr>
      <w:tr>
        <w:trPr>
          <w:jc w:val="center"/>
          <w:trHeight w:val="362"/>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69</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美术作品兼仓库室空调系统</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1、基础参数：3P变频冷暖机型，制冷量7200W（±5%），制热量8900W（±5%），能效等级三级（APF≥3.5），符合GB21455-2019标准。</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核心部件：单转子压缩机（排量22-24cc），双排冷凝器（铜管外径7mm），无电子膨胀阀以降低成本，使用R32环保冷媒。</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性能指标：制冷功率≤2350W，制热功率≤2950W，循环风量≥1200m</w:t>
            </w:r>
            <w:r>
              <w:rPr>
                <w:rFonts w:hint="eastAsia" w:asciiTheme="majorEastAsia" w:hAnsiTheme="majorEastAsia" w:eastAsiaTheme="majorEastAsia" w:cstheme="majorEastAsia"/>
                <w:color w:val="000000"/>
                <w:sz w:val="22"/>
                <w:szCs w:val="22"/>
                <w:u w:val="none"/>
                <w:lang w:val="en-US" w:eastAsia="zh-CN" w:bidi="ar"/>
              </w:rPr>
              <w:t xml:space="preserve">³/h，内机噪音≤45dB(A)，外机噪音≤56dB(A)，支持上下扫风但无左右自动扫风功能。</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基础LED显示+遥控操作，配备简易滤网，采用ABS面板，内机重量≤18kg，外机重量≤45kg。</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2、包含空调系统电气线路敷设：</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从配电箱（距离50米）引出独立回路，采用BV-3×2.5mm²铜芯线（火线红色、零线蓝色、地线黄绿双色），线管选用PVC阻燃管（直径20mm），暗敷于吊顶内，确保与照明线路分离。配电箱端配置16A双极空开（如ABB S200系列或施耐德Acti9）</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，并建议加装30mA漏电保护器（如正泰NXB-63）。线路走向需避开水源和高温区域，水平布线离地≥1.5m（棚面至墙面需要埋暗线处理，墙体刨沟恢复），垂直布线距墙角≥100mm。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插座与开关参数​：</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16A空调插座选用250V/16A三孔插座，面板材质为阻燃PC，内部铜件厚度≥0.6mm，插拔寿命≥1万次，防护等级IP20，接线端子为螺钉压接式（L/N/E标识清晰），需预埋86型暗盒。</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预留开关配置单极16A墙壁开关，额定电流16A，通断能力≥4000次，触点材质为银合金，面板阻燃等级UL94 V0，安装高度1.3m，与插座水平间距≥200mm。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台</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70</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美术作品兼仓库室顶部装配</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1、信息参数：主体支撑结构：采用镀锌钢制骨架（基材厚度≥1.2mm，横向间距≤1200mm），配套铝合金型材连接件（壁厚≥0.8mm，表面静电粉末喷涂膜厚≥60μm）。</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装饰层基材：9.5mm厚高密度纤维装饰板材（甲醛释放量≤0.05mg/m</w:t>
            </w:r>
            <w:r>
              <w:rPr>
                <w:rFonts w:hint="eastAsia" w:asciiTheme="majorEastAsia" w:hAnsiTheme="majorEastAsia" w:eastAsiaTheme="majorEastAsia" w:cstheme="majorEastAsia"/>
                <w:color w:val="000000"/>
                <w:sz w:val="22"/>
                <w:szCs w:val="22"/>
                <w:u w:val="none"/>
                <w:lang w:val="en-US" w:eastAsia="zh-CN" w:bidi="ar"/>
              </w:rPr>
              <w:t xml:space="preserve">³，依据气候箱法检测），表面覆盖复合纸面基材（内结合强度≥0.40MPa，符合GB/T 17657-2022标准）。定制16mm盒体造型装饰，半嵌入式固定。</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连接系统：配置不锈钢自攻螺钉（规格M4×15mm，头部沉入基材深度≥0.3mm），接缝处采用V型槽切割工艺（切割深度≥3mm，嵌填石膏基填缝剂后打磨至2m靠尺检测间隙≤2mm）。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平</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55</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71</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美术作品兼仓库室灯光系统</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定制LED造型光源体7W/㎡，光通量：≥3200lm，色温：4000K（自然光色）。显色指数：Ra≥92，防护等级：IP20。特性：低压24V供电，铝合金散热背板。嵌入式无边框COB射灯模块，7W/10W/14W，光效：≥110lm/W，色温：3000K-6500K（±50K），显色指数：Ra≥95（R9&gt;90），光束角：24°/36°/60°，防护等级：IP44。安装方式：嵌入式开孔。特性：深杯防眩结构。</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隐蔽式线管系统：PVC线管：Φ20mm（阻燃级），电线规格：BV-2.5mm</w:t>
            </w:r>
            <w:r>
              <w:rPr>
                <w:rFonts w:hint="eastAsia" w:asciiTheme="majorEastAsia" w:hAnsiTheme="majorEastAsia" w:eastAsiaTheme="majorEastAsia" w:cstheme="majorEastAsia"/>
                <w:color w:val="000000"/>
                <w:sz w:val="22"/>
                <w:szCs w:val="22"/>
                <w:u w:val="none"/>
                <w:lang w:val="en-US" w:eastAsia="zh-CN" w:bidi="ar"/>
              </w:rPr>
              <w:t xml:space="preserve">²（国标），</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接线盒：86型暗装（防水型），固定卡扣：尼龙材质（间距≤800mm。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72</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室内遮光帘</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 类型</w:t>
            </w:r>
            <w:r>
              <w:rPr>
                <w:rFonts w:hint="eastAsia" w:asciiTheme="majorEastAsia" w:hAnsiTheme="majorEastAsia" w:eastAsiaTheme="majorEastAsia" w:cstheme="majorEastAsia"/>
                <w:color w:val="000000"/>
                <w:sz w:val="22"/>
                <w:szCs w:val="22"/>
                <w:u w:val="none"/>
                <w:lang w:val="en-US" w:eastAsia="zh-CN" w:bidi="ar"/>
              </w:rPr>
              <w:t xml:space="preserve">：聚酯纤维涂层遮光卷帘</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尺寸规格：</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标准幅宽：150cm/180cm/200cm（支持定制至300cm）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高度范围：200-300cm（含10cm包边）</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遮光率：50%-80%（根据涂层密度可调）</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颜色：基础款为灰白色、深灰色（可选素色或简单条纹）</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材质面料：100%聚酯纤维，表面覆PVC涂层（厚度0.3-0.5mm）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辅料：铝合金静音轨道（壁厚1.2mm）、POM塑料拉珠、棉质布带</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73</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美术教室1</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顶部艺术装配</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1、信息参数：主体支撑结构：采用镀锌钢制骨架（基材厚度≥1.2mm，横向间距≤1200mm），配套铝合金型材连接件（壁厚≥0.8mm，表面静电粉末喷涂膜厚≥60μm）。</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装饰层基材：9.5mm厚高密度纤维装饰板材（甲醛释放量≤0.05mg/m</w:t>
            </w:r>
            <w:r>
              <w:rPr>
                <w:rFonts w:hint="eastAsia" w:asciiTheme="majorEastAsia" w:hAnsiTheme="majorEastAsia" w:eastAsiaTheme="majorEastAsia" w:cstheme="majorEastAsia"/>
                <w:color w:val="000000"/>
                <w:sz w:val="22"/>
                <w:szCs w:val="22"/>
                <w:u w:val="none"/>
                <w:lang w:val="en-US" w:eastAsia="zh-CN" w:bidi="ar"/>
              </w:rPr>
              <w:t xml:space="preserve">³，依据气候箱法检测），表面覆盖复合纸面基材（内结合强度≥0.40MPa，符合GB/T 17657-2022标准）。定制木质艺术造型吸顶式安装。LED嵌入式筒灯6W/㎡，光通量：≥3200lm，色温：4000K（自然光色）。安装方式：嵌入式。LED虚光灯带。</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连接系统：配置不锈钢自攻螺钉（规格M4×15mm，头部沉入基材深度≥0.3mm），接缝处采用V型槽切割工艺（切割深度≥3mm，嵌填石膏基填缝剂后打磨至2m靠尺检测间隙≤2mm）。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大白乳胶漆三遍。</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平</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110</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74</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美术教室1</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灯光系统</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定制艺术UV造型灯箱12W/㎡，光通量：≥3200lm，色温：4000K（自然光色）。显色指数：Ra≥92，防护等级：IP20。特性：低压24V供电，铝合金散热背板。嵌入式无边框COB射灯模块，7W/10W/14W，光效：≥110lm/W，色温：3000K-6500K（±50K），显色指数：Ra≥95（R9&gt;90），光束角：24°/36°/60°，防护等级：IP44。安装方式：嵌入式开孔。特性：深杯防眩结构。</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隐蔽式线管系统：PVC线管：Φ20mm（阻燃级），电线规格：BV-2.5mm</w:t>
            </w:r>
            <w:r>
              <w:rPr>
                <w:rFonts w:hint="eastAsia" w:asciiTheme="majorEastAsia" w:hAnsiTheme="majorEastAsia" w:eastAsiaTheme="majorEastAsia" w:cstheme="majorEastAsia"/>
                <w:color w:val="000000"/>
                <w:sz w:val="22"/>
                <w:szCs w:val="22"/>
                <w:u w:val="none"/>
                <w:lang w:val="en-US" w:eastAsia="zh-CN" w:bidi="ar"/>
              </w:rPr>
              <w:t xml:space="preserve">²（国标），</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接线盒：86型暗装（防水型），固定卡扣：尼龙材质（间距≤800mm。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75</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美术教室1</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木制艺术造型展览板</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1、信息参数：6000*2800mm，3200*2800mm。主体结构组件采用18mm实木多层基材，定制木质复合饰面板，高分子装饰层（厚度≥3mm，邵氏硬度60±5）。静态承重≥200kg/m</w:t>
            </w:r>
            <w:r>
              <w:rPr>
                <w:rFonts w:hint="eastAsia" w:asciiTheme="majorEastAsia" w:hAnsiTheme="majorEastAsia" w:eastAsiaTheme="majorEastAsia" w:cstheme="majorEastAsia"/>
                <w:color w:val="000000"/>
                <w:sz w:val="22"/>
                <w:szCs w:val="22"/>
                <w:u w:val="none"/>
                <w:lang w:val="en-US" w:eastAsia="zh-CN" w:bidi="ar"/>
              </w:rPr>
              <w:t xml:space="preserve">²（持续24小时形变率≤0.3%）。抗弯强度≥100MPa（依据GB/T 17657-2022三点弯曲试验）。剥离强度≥120N/cm（纵向，GB/T 2791-1995标准）定制艺术写真装饰。异形艺术雕刻。</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76</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美术教室1</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木制艺术造型</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1、信息参数：5500*2800mm，主体结构组件采用18mm实木多层基材，表面采用环保油漆，喷漆时需保持无尘空间，每道工序需充分干燥(通常24小时，含水率≤8%），（甲醛释放量≤0.025mg/m</w:t>
            </w:r>
            <w:r>
              <w:rPr>
                <w:rFonts w:hint="eastAsia" w:asciiTheme="majorEastAsia" w:hAnsiTheme="majorEastAsia" w:eastAsiaTheme="majorEastAsia" w:cstheme="majorEastAsia"/>
                <w:color w:val="000000"/>
                <w:sz w:val="22"/>
                <w:szCs w:val="22"/>
                <w:u w:val="none"/>
                <w:lang w:val="en-US" w:eastAsia="zh-CN" w:bidi="ar"/>
              </w:rPr>
              <w:t xml:space="preserve">³，气候箱法检测），定制木质复</w:t>
            </w:r>
            <w:r>
              <w:rPr>
                <w:rFonts w:hint="eastAsia" w:asciiTheme="majorEastAsia" w:hAnsiTheme="majorEastAsia" w:eastAsiaTheme="majorEastAsia" w:cstheme="majorEastAsia"/>
                <w:color w:val="000000"/>
                <w:sz w:val="22"/>
                <w:szCs w:val="22"/>
                <w:u w:val="none"/>
                <w:lang w:val="en-US" w:eastAsia="zh-CN" w:bidi="ar"/>
              </w:rPr>
              <w:t xml:space="preserve">合面板，高分子装饰层（厚度≥3mm，邵氏硬度60±5）。静态承重≥200kg/m²（持续24小时形变率≤0.3%）。抗弯强度≥100MPa（依据GB/T 17657-2022三点弯曲试验）。剥离强度≥120N/cm（纵向，GB/T 2791-1995标准）定制艺术写真装饰。异形艺术雕刻。定制自办展示版面部件，饰面类型：三聚氰胺纸/木皮/喷绘布，压纹工艺：条纹（3cm/5cm宽）、方格、竹纹（误差≤±0.5mm），邵氏硬度：≥60 HA（GB/T 531.1），热压成型：温度180-220℃，压力≥8MPa。</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77</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调色板</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1、信息参数：食品级PP树脂（耐温范围-20℃~120℃，符合GB 4806.7-2016），厚度：≥3.5mm（抗压强度≥15MPa，ASTM D648）。分区设计：冷/暖色区划分（误差≤±2mm，符合美术行业标准）。保色时长：丙烯颜料干燥后不粘连（时间≥24小时）</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2、包含货物生产、运输、安装、调试。</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80</w:t>
            </w:r>
            <w:r/>
          </w:p>
        </w:tc>
      </w:tr>
      <w:tr>
        <w:trPr>
          <w:jc w:val="center"/>
          <w:trHeight w:val="497"/>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78</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数位屏绘画系统</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操作系统OS Win10</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处理器 CPU I7-12700H</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内存  RAM 16GB</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硬盘  SSD 512GB</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显卡 Graphics NVIDIA GeForce GTX 1060 (4G)</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内置蓝牙 Built-in BT Bluetooth5.0</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局域网 LAN 10/100/1000Mbps</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无线局域网 W-LAN WIFI 6  AX200 </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屏幕尺寸 LCM size 21.5</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分辨率 Resolution     1920*1080</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屏幕比例 Ratio 16:09</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触摸 Touch 10点触控 全贴合工艺,AF+AG防指纹处理防眩光 G+G 10-point touch full-fit technology, AF+AG</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手写方式 原笔迹电磁手写</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压感级别 8192级</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麦克风 MIC  数字麦克风</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扬声器 Speaker 4Ω/3W*2  BOX</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音频端口 Audio  I/O 1*1</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USB I/O 3*USB-A 3.1    1*USB-C</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电源 Power I/O 1*1</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HDMI 1*1 2.0</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RJ45 1*1</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COM 1*1</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台</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79</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美术智慧黑板一体机焕新</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1、屏幕显示尺寸≥75英寸，红外触控技术，图像分辨率≥3840*2160，显示比例16:9，表面采用不低于莫氏7级高透防爆钢化玻璃，具有防眩光效果。</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2、采用零贴合工艺技术，玻璃和显示屏之间没有间隙，有效提升显示效果。</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3、前置非转接接口：双通道USB≥2个，TYPEC≥1个，HDMI in≥1个，USBTOUCH≥1个，USB接口均支持在安卓和Windows双系统下识别，无需区分。</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4、后置接口：VGA ≥1个，VGA Audio ≥1个，Earphone ≥1个，RS232 ≥1个，HDMI In≥1个，USBTOUCH≥1个，USB≥2个，TF卡槽≥1个。</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5、整机内置嵌入式安卓系统，采用不低于12核驱动芯片，系统版本不低于安卓14.0，内存不低于4G RAM，存储不低于32G ROM。</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6、支持全通道批注功能，可在任意通道下实现批注功能。</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7、支持有线和无线连接，支持2.4G&amp;5G双频WIFI和热点功能。</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8、屏幕底部具有磁吸设计，可以吸附触控笔。</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9、安卓系统下具有云盘网盘功能，支持在安卓联网下直接点击客户端应用程序运行打开，直接对接Windows 教学白板的云端课件，云端课件既可以在Windows 下使用又可以在安卓系统下使用。                                                                                                    1、采用标准80针OPS-C模块化电脑方案，非企业自定义接口。</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2、不低于Intel Core I5  CPU，内存不低于8GB DDR4，固态硬盘不低于256GB SSD。具有不少于5个独立非外扩展的电脑USB接口。</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3、具有视频输出接口：至少1路HDMI接口。                                                                                            一、教学白板功能</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软件应用模块的入口均在统一界面上，可整合互动应用软件，集中管理，方便老师在各软件之间的切换和使用，包括备课、授课、录屏、云课件、投屏、网盘、国家云平台、意见反馈等。支持精简显示模式和标准显示模式切换。</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2、支持手机号码注册，无需做任何任务注册即可获取不低于50G个人云空间。支持多种登录方式：账号登录，短信登录，钉钉登录，微信登录、U盘登录。支持离线使用部分功能模块。</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3、录屏功能：</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  1）无需额外安装其他软件即可在白板软件首页一键打开录屏功能。</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2）支持选择和切换全屏录制，区域录制、应用窗口录制方式</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      ① 全屏录制∶可对整个桌面进行一键录制;</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      ② 区域录制∶可使用矩形拉取方式选择任意一部分桌面内容进行录制;</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      ③应用窗口录制∶可选择桌面上任意一个应用程序进行界面录制，录制的画面只显示该应用界面区域∶</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   3）支持选择使用录制倒计时功能，可随意设置录制时间。</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   4）支持查看录制视频的文件名，时间，文件大小。</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5）录制的视频自动生成视频到表，并可在列表内点击播放，查看文件位置。以及删除操作。</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4、支持备课功能，对在线资源进行搜索，预览，打开操作；课件打开后可直接编辑，并可以直接上传保存在老师个人课件中；或者一键进入授课模式，直接进行教学。</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5、支持教师资源分享、支持从备课资源中获取已有资源；支持用户从本地上传资源至云端，教师个人资源云盘存储，同时支持教师将分享的资源、备课资源中的资源收藏至教师个人资源夹中。</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6、分享者可将课件、视频、文档等各类云资源精准推送至指定人员，可设定分享提取码，提取码可随机生成也可自定义；为确保时效性，分享资源可设定有效期。</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7、支持插入数学几何图形，可以对图形样式、颜色填充、边框、阴影、倒影、透明度等进行设计，根据需要可以对图形进行任意推动进行拉伸或压缩；图形排版，设置层级、旋转和对齐；文本动画，提供出现、动作和消失等动画模式，并可对动画开始的时间、顺序进行设计。</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二、投屏互动教学功能</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1、支持多类型设备连接：支持IOS、MAC镜像投屏、安卓移动端（Android6.0及以上）与一体机互投、Windows客户端与一体机端互投。</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2、支持多种方式连接：同一局域网内支持扫码连接和智能搜索设备名称连接。</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3、支持密码管理，首次连接需要输入密码，获得连接权限。</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4、支持鼠标双击、单击功能；支持键盘功能，可远程编辑文字；支持画笔功能可批注内容；支持手势放大缩小画面。</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5、支持课件演示功能：移动端设备可自动识别到一体机端打开的PPT课件，支持缩略图放映功能，可翻页、批注和擦除。也可上传移动端的PPT文件至服务端播放，移动端可控制播放和批注，方便老师操控。</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6、具备实物展台功能：可将手机摄像头画面和麦克风声音直播至PC服务端，或将学生作业、试卷、课本等资料拍照上传至一体机端。</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7、支持一键录屏功能，可直接打开录屏软件，录 Windows 桌面。支持一键打开白板功能，关联自有软件，操作方便快捷。</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8、支持手机内音视频文件直接播放，无需等待上传，方便快捷分享音视频，大文件分享更加快捷（传输文件大小≥2GB）。</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三、集中管控功能</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1、平台采用B/S和C/S混合架构设计，可在Windows、Android、iOS等多种不同的操作系统上通过网页浏览器登陆控制一体机。</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2、支持两种管理员账号，包括学校管理员账号和老师管理员账号，老师管理员账号由学校管理员创建，并支持设置老师管理员的权限，包括可管理的设备列表权限和可管理的功能菜单权限。</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3、支持推送视频、图片、ppt、word等文件到指定一体机,支持单个文件上传和批量上传，支持依据文件的重要性进行状态设定，可设置是否下载后自动打开。</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4、支持开启和关闭倒计日，可设定倒计日期和事项。开启倒计日功能时，一体机系统桌面显示倒计日卡片，倒计日结束后，卡片自动关闭。</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5、支持图文公告推送，支持富文本，可嵌入文字、图片等富文本材料，支持设定公告开始和结束时间。</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6、支持图片展播功能，可向一体机发送不低于10张图片，设备端将进行轮播展示，可设定轮播时长和速度。</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台</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80</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美术教学软件</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仿真画笔功能：具备铅笔、钢笔、喷笔、油画笔、水彩笔、麦克笔、毛笔、刻刀、特制笔、蜡笔等不少于50种仿真画笔（软件自带，无需用户自行添加），具备橡皮擦和一键清除图层功能；（★投标文件中需提供该项功能截图并加以证明）</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软硬橡皮功能：可通过拖拽调节橡皮大小，具备软硬两种橡皮模式，可以自由曲线和直线两种方式清除笔迹。</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图像处理功能：不少于20项图像编辑功能，可对图像进行模糊渐变、添加阴影、风格化设置、前景背景互换、明亮度调节、透明度调节、黑白转换、灰阶调节、反向模式、色彩度调节、色彩互换等后期处理。（★投标文件中需提供该项功能截图并加以证明）</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选区抠图功能：不少于8种选框模板，支持矩形连线选取和自由套索选取，具备魔棒工具。</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插入素材功能：包含不少于800个图片、动画、相框等素材的美术图库，可直接拖拽到图层使用，支持对素材进行拉伸、缩放、旋转、羽化等操作。</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图片输入功能：可通过扫描仪、数码相机将作品拍摄导入到图层，支持选取本地图片导入，具备通过输入图片网址直接在线导入功能。</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图片导出功能：支持将图片直接设为桌面、通过邮件发送和打印功能。</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图片保存功能：支持7种常用格式图片保存，可对原文件进行二次编辑。</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文字录入功能：可设置文字字体、颜色、大小、透明度，支持横坚两种版式，内置9种字体效果以供快速切换。</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设计测量功能：具备数字化设计稿纸和尺寸测量工具，支持自由拖拽、自动测距、单位切换、数值调整。</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动画制作功能：支持通过拖调节动画播放速度，可将动画保存为GIF动态图片或AVI视频。</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微课制作功能：可同步录屏、录音，支持将录制内容保存为MP4格式微课。</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记录过程功能：可同步记录存储书写过程，支持录制内容反复播放。</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提交作品功能：学生可将作品提交至局域网管理端，并查看自己上传的作品。</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班级展厅功能：学生可查看班级其它成员提交的作品，可以将自己的作品调用到画布进行二次编辑。</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教师管理端功能：拥有独立的教师管理端软件，支持不低于50个点的学生端；可分配师生帐号，支持批量导入；可分配班级、支持自由设定班级名称，自动记录教学内容；可查看学生作品、对通过系统预设的评语模板对学生作品进行一键点评；可向学生下发图片素材作为教学课件。</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三维模型功能：软件内置不低于50种3D模型，可将绘画作品实时为3D模型贴图，具备推拉摇移等多方位预览作品并可一键输出多角度图形文件。</w:t>
            </w:r>
            <w:r/>
          </w:p>
        </w:tc>
        <w:tc>
          <w:tcPr>
            <w:shd w:val="clear" w:color="auto" w:fill="auto"/>
            <w:tcW w:w="73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81</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美术教室1空调系统</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1、基础参数：3P变频冷暖机型，制冷量7200W（±5%），制热量8900W（±5%），能效等级三级（APF≥3.5），符合GB21455-2019标准。</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核心部件：单转子压缩机（排量22-24cc），双排冷凝器（铜管外径7mm），无电子膨胀阀以降低成本，使用R32环保冷媒。</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性能指标：制冷功率≤2350W，制热功率≤2950W，循环风量≥1200m</w:t>
            </w:r>
            <w:r>
              <w:rPr>
                <w:rFonts w:hint="eastAsia" w:asciiTheme="majorEastAsia" w:hAnsiTheme="majorEastAsia" w:eastAsiaTheme="majorEastAsia" w:cstheme="majorEastAsia"/>
                <w:color w:val="000000"/>
                <w:sz w:val="22"/>
                <w:szCs w:val="22"/>
                <w:u w:val="none"/>
                <w:lang w:val="en-US" w:eastAsia="zh-CN" w:bidi="ar"/>
              </w:rPr>
              <w:t xml:space="preserve">³/h，内机噪音≤45dB(A)，外机噪音≤56dB(A)，支持上下扫风但无左右自动扫风功能。</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基础LED显示+遥控操作，配备简易滤网，采用ABS面板，内机重量≤18kg，外机重量≤45kg。</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2、包含空调系统电气线路敷设：</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从配电箱（距离50米）引出独立回路，采用BV-3×2.5mm²铜芯线（火线红色、零线蓝色、地线黄绿双色），线管选用PVC阻燃管（直径20mm），暗敷于吊顶内，确保与照明线路分离。配电箱端配置16A双极空开（如ABB S200系列或施耐德Acti9）</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，并建议加装30mA漏电保护器（如正泰NXB-63）。线路走向需避开水源和高温区域，水平布线离地≥1.5m（棚面至墙面需要埋暗线处理，墙体刨沟恢复），垂直布线距墙角≥100mm。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插座与开关参数​：</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16A空调插座选用250V/16A三孔插座，面板材质为阻燃PC，内部铜件厚度≥0.6mm，插拔寿命≥1万次，防护等级IP20，接线端子为螺钉压接式（L/N/E标识清晰），需预埋86型暗盒。</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预留开关配置单极16A墙壁开关，额定电流16A，通断能力≥4000次，触点材质为银合金，面板阻燃等级UL94 V0，安装高度1.3m，与插座水平间距≥200mm。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台</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82</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美术教室1桌子</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桌子尺寸规格：1200×600×750mm</w:t>
            </w:r>
            <w:r/>
          </w:p>
          <w:p>
            <w:pPr>
              <w:jc w:val="left"/>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基材采用橡胶木实木，木材含水率8%～16%，甲醛释放量≤0.01mg/m³，木材硬度端面≥6500N，弦面≥6300N，径面≥6100N，抗弯弹性模量≥11300MPa，抑菌率≥99.9%，防霉菌等级均为0级，符合GB/T3324-2017、GB/T35607-2017、GB18580-2017、QB/T4371-2012、JC/T 2039-2010、GB/T 1927.10-2021检测标准。</w:t>
            </w:r>
            <w:r/>
          </w:p>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2、油漆：采用环保水性底漆、面漆，VOC含量≤2g/L，甲醛含量≤5mg/kg，总铅含量未检出，可溶性重金属含量镉、铬、汞均未检出，乙二醇醚及醚酯总和含量未检出，苯系物总和含量未检出，烷基酚</w:t>
            </w:r>
            <w:r>
              <w:rPr>
                <w:rFonts w:hint="eastAsia" w:asciiTheme="majorEastAsia" w:hAnsiTheme="majorEastAsia" w:eastAsiaTheme="majorEastAsia" w:cstheme="majorEastAsia"/>
                <w:i w:val="0"/>
                <w:iCs w:val="0"/>
                <w:color w:val="000000"/>
                <w:sz w:val="22"/>
                <w:szCs w:val="22"/>
                <w:u w:val="none"/>
                <w:lang w:val="en-US" w:eastAsia="zh-CN" w:bidi="ar"/>
              </w:rPr>
              <w:t xml:space="preserve">聚氧乙烯醚总和含量未检出，涂料中可溶性有害元素含量（锑(Sb)、砷(As)、钡(Ba)、镉(Cd)、铬(Cr)、铅(Pb)、汞(Hg)、硒(Se)）均未检出，抗细菌性能抑菌率≥99.9%，耐霉菌性能等级均为0级，漆膜硬度≥5H，挥发性有机化合物（VOC）未检出，符合GB 18581-2020、GB/T 23999-2009、HJ 2537-2014、GB/T 35602-2017、HG/T 3950-2007、GB/T 21866-2008、GB/T6739-2022、GB/T 1741-2020检测标准。</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rPr>
              <w:suppressLineNumbers w:val="0"/>
            </w:pPr>
            <w:r>
              <w:rPr>
                <w:rFonts w:hint="eastAsia" w:asciiTheme="majorEastAsia" w:hAnsiTheme="majorEastAsia" w:eastAsiaTheme="majorEastAsia" w:cstheme="majorEastAsia"/>
                <w:i w:val="0"/>
                <w:iCs w:val="0"/>
                <w:color w:val="000000"/>
                <w:sz w:val="22"/>
                <w:szCs w:val="22"/>
                <w:u w:val="none"/>
                <w:lang w:val="en-US" w:eastAsia="zh-CN"/>
              </w:rPr>
              <w:t xml:space="preserve">位</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31</w:t>
            </w:r>
            <w:r/>
          </w:p>
        </w:tc>
      </w:tr>
      <w:tr>
        <w:trPr>
          <w:jc w:val="center"/>
          <w:trHeight w:val="1123"/>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83</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美术教室1椅子</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1、覆面材料：超纤皮面料，防污防水</w:t>
            </w:r>
            <w:r/>
          </w:p>
          <w:p>
            <w:pPr>
              <w:jc w:val="left"/>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2、海绵：通用软质聚氨酯泡沫塑料，密度≥40kg/m3                   3、椅框架脚：采用白蜡木实木，环保水溶性漆。</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把</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61</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84</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室内遮光帘</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 类型</w:t>
            </w:r>
            <w:r>
              <w:rPr>
                <w:rFonts w:hint="eastAsia" w:asciiTheme="majorEastAsia" w:hAnsiTheme="majorEastAsia" w:eastAsiaTheme="majorEastAsia" w:cstheme="majorEastAsia"/>
                <w:color w:val="000000"/>
                <w:sz w:val="22"/>
                <w:szCs w:val="22"/>
                <w:u w:val="none"/>
                <w:lang w:val="en-US" w:eastAsia="zh-CN" w:bidi="ar"/>
              </w:rPr>
              <w:t xml:space="preserve">：聚酯纤维涂层遮光卷帘</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尺寸规格​：</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标准幅宽：150cm/180cm/200cm（支持定制至300cm）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高度范围：200-300cm（含10cm包边）</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遮光率：50%-80%（根据涂层密度可调）</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颜色：基础款为灰白色、深灰色（可选素色或简单条纹）</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材质：</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面料：100%聚酯纤维，表面覆PVC涂层（厚度0.3-0.5mm）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辅料：铝合金静音轨道（壁厚1.2mm）、POM塑料拉珠、棉质布带</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85</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美术教室2</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顶部艺术装配</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1、信息参数：主体支撑结构：采用镀锌钢制骨架（基材厚度≥1.2mm，横向间距≤1200mm），配套铝合金型材连接件（壁厚≥0.8mm，表面静电粉末喷涂膜厚≥60μm）。</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装饰层基材：9.5mm厚高密度纤维装饰板材（甲醛释放量≤0.05mg/m</w:t>
            </w:r>
            <w:r>
              <w:rPr>
                <w:rFonts w:hint="eastAsia" w:asciiTheme="majorEastAsia" w:hAnsiTheme="majorEastAsia" w:eastAsiaTheme="majorEastAsia" w:cstheme="majorEastAsia"/>
                <w:color w:val="000000"/>
                <w:sz w:val="22"/>
                <w:szCs w:val="22"/>
                <w:u w:val="none"/>
                <w:lang w:val="en-US" w:eastAsia="zh-CN" w:bidi="ar"/>
              </w:rPr>
              <w:t xml:space="preserve">³，依据气候箱法检测），表面覆盖复合纸面基材（内结合强度≥0.40MPa，符合GB/T 17657-2022标准）。</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连接系统：配置不锈钢自攻螺钉（规格M4×15mm，头部沉入基材深度≥0.3mm），接缝处采用V型槽切割工艺（切割深度≥3mm，嵌填石膏基填缝剂后打磨至2m靠尺检测间隙≤2mm）。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大白乳胶漆三遍。轻钢龙骨相关技术要求：依据GB/T 11981-2008建筑用轻钢龙骨，检测项目中外观质量中覆面龙骨外形要求平整，棱角清晰，切口不应有毛刺和变形,镀锌层应无起皮、起瘤、脱落等缺陷无影响使用的腐蚀、损伤、麻点,每米长度内面积不大于1C㎡的黑斑不多于3处,涂层应无气泡、划伤、漏涂、颜色不均等影响使用的缺陷,长度L偏差±5,断面尺寸A偏差≤1.0,断面尺寸B偏差偏差≤0.5,断面尺寸C≥5.0,断面尺寸D≥3.0,厚度0.5</w:t>
            </w:r>
            <w:r>
              <w:rPr>
                <w:rFonts w:hint="eastAsia" w:asciiTheme="majorEastAsia" w:hAnsiTheme="majorEastAsia" w:eastAsiaTheme="majorEastAsia" w:cstheme="majorEastAsia"/>
                <w:color w:val="000000"/>
                <w:sz w:val="22"/>
                <w:szCs w:val="22"/>
                <w:u w:val="none"/>
                <w:lang w:val="en-US" w:eastAsia="zh-CN" w:bidi="ar"/>
              </w:rPr>
              <w:t xml:space="preserve">t±0.04t,平直度mm/1000mm,侧面≤1.5,底面≤1.5，角度偏差1°30’，表面防锈双面镀锌量 g/㎡≥100,力学性能静载试验，加载挠度不大于5.0，残余变形量不大于1.0，在收边龙骨中，断面尺寸A偏差≤0.5，B1偏差≤1.0,B2偏差≤1.0,厚度0.5t±0.04t,表面防锈双面镀锌量 g/㎡≥100,★投标文件中提供由国家行政管理部门认定的省级及省级以上国家检测机构出具的（具有CMA、CNAS标识）的完整的轻钢龙骨检测报告，测试内容需完全符合参数要求，不得缺项、漏项，否则视为负偏离。</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平</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78</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86</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美术教室2</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灯光系统</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定制LED造型光源体7W/㎡，光通量：≥3200lm，色温：4000K（自然光色）。显色指数：Ra≥92，防护等级：IP20。特性：低压24V供电，铝合金散热背板。嵌入式无边框COB射灯模块，7W/10W/14W，光效：≥110lm/W，色温：3000K-6500K（±50K），显色指数：Ra≥95（R9&gt;90），光束角：24°/36°/60°，防护等级：IP44。安装方式：嵌入式开孔。特性：深杯防眩结构。</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隐蔽式线管系统：PVC线管：Φ20mm（阻燃级），电线规格：BV-2.5mm</w:t>
            </w:r>
            <w:r>
              <w:rPr>
                <w:rFonts w:hint="eastAsia" w:asciiTheme="majorEastAsia" w:hAnsiTheme="majorEastAsia" w:eastAsiaTheme="majorEastAsia" w:cstheme="majorEastAsia"/>
                <w:color w:val="000000"/>
                <w:sz w:val="22"/>
                <w:szCs w:val="22"/>
                <w:u w:val="none"/>
                <w:lang w:val="en-US" w:eastAsia="zh-CN" w:bidi="ar"/>
              </w:rPr>
              <w:t xml:space="preserve">²（国标），</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接线盒：86型暗装（防水型），固定卡扣：尼龙材质（间距≤800mm。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87</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美术教室2木制艺术造型</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1、信息参数：5500*2800mm，主体结构组件采用18mm实木多层基材，表面采用环保油漆，喷漆时需保持无尘空间，每道工序需充分干燥(通常24小时，含水率≤8%）（甲醛释放量≤0.025mg/m</w:t>
            </w:r>
            <w:r>
              <w:rPr>
                <w:rFonts w:hint="eastAsia" w:asciiTheme="majorEastAsia" w:hAnsiTheme="majorEastAsia" w:eastAsiaTheme="majorEastAsia" w:cstheme="majorEastAsia"/>
                <w:color w:val="000000"/>
                <w:sz w:val="22"/>
                <w:szCs w:val="22"/>
                <w:u w:val="none"/>
                <w:lang w:val="en-US" w:eastAsia="zh-CN" w:bidi="ar"/>
              </w:rPr>
              <w:t xml:space="preserve">³，气候箱法检测），定制木质复合面板，高分子装饰层（厚度≥3mm，邵氏硬度60±5）。静态承重≥200kg/m²（持续24小时形变率≤0.3%）。抗弯强度≥100MPa（依据GB/T 17657-2022三点弯曲试验）。剥离强度≥120N/cm（纵向，GB/T 2791-1995标准）定制艺术写真装饰背景。异形艺术雕刻。</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照明及电气线路系统;定制LED光源装饰带，带强电线路敷设，采用聚氯乙烯绝缘护套管（Φ16mm）嵌墙暗敷，火线为低烟无卤辐照交联聚乙烯导体（截面积2.5mm²，色标为深蓝），零线为同材质浅蓝线，线芯绞合节距≤15mm，绝缘层厚度≥0.8mm。光源单元：有机半导体发光模组（OSL-TL03），单模组尺寸300×30mm，色温2850±200K（暖白），显色指数Ra≥97.5（CIE 1931标准），光通量≥2400lm/m。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组</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88</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美术教室2</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木制艺术展览板</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1、信息参数：4000*2800mm，2400*2800mm。主体结构组件采用18mm实木多层基材，表面采用环保油漆，喷漆时需保持无尘空间，每道工序需充分干燥(通常24小时，含水率≤8%），（甲醛释放量≤0.025mg/m</w:t>
            </w:r>
            <w:r>
              <w:rPr>
                <w:rFonts w:hint="eastAsia" w:asciiTheme="majorEastAsia" w:hAnsiTheme="majorEastAsia" w:eastAsiaTheme="majorEastAsia" w:cstheme="majorEastAsia"/>
                <w:color w:val="000000"/>
                <w:sz w:val="22"/>
                <w:szCs w:val="22"/>
                <w:u w:val="none"/>
                <w:lang w:val="en-US" w:eastAsia="zh-CN" w:bidi="ar"/>
              </w:rPr>
              <w:t xml:space="preserve">³，气候箱法检测），定制木质复合面板，高分子装饰层（厚度≥3mm，邵氏硬度60±5）。静态承重≥200kg/m²（持续24小时形变率≤0.3%）。抗弯强度≥100MPa（依据GB/T 17657-2022三点弯曲试验）。</w:t>
            </w:r>
            <w:r>
              <w:rPr>
                <w:rFonts w:hint="eastAsia" w:asciiTheme="majorEastAsia" w:hAnsiTheme="majorEastAsia" w:eastAsiaTheme="majorEastAsia" w:cstheme="majorEastAsia"/>
                <w:color w:val="000000"/>
                <w:sz w:val="22"/>
                <w:szCs w:val="22"/>
                <w:u w:val="none"/>
                <w:lang w:val="en-US" w:eastAsia="zh-CN" w:bidi="ar"/>
              </w:rPr>
              <w:t xml:space="preserve">剥离强度≥120N/cm（纵向，GB/T 2791-1995标准）。9.5mm厚高密度纤维装饰板材（甲醛释放量≤0.05mg/m³，依据气候箱法检测），表面覆盖复合纸面基材（内结合强度≥0.40MPa，符合GB/T 17657-2022标准）。大白乳胶漆。定制艺术写真装饰。异形艺术雕刻。定制自办展示版面部件，饰面类型：三聚氰胺纸/木皮/喷绘布，压纹工艺：条纹（3cm/5cm宽）、方格、竹纹（误差≤±0.5mm），邵氏硬度：≥60 HA（GB/T 531.1），热压成型：温度180-220℃，压力≥8MPa。</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组</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89</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美术教室2功能储物柜</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1、信息参数：1200*2400*400mm（宽*高*厚）。主体框架：采用E0级实木颗粒板（符合GB/T 3324-2017），含水率8-12%，甲醛释放量≤0.05mg/L。</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面板材质：一级柚木贴皮（厚度≥0.6mm，GB/T 15036.2标准），耐磨转数≥3000转（依据GB/T 17657-2022）。</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防潮处理：真空加压注入ACQ防腐剂（载药量≥6.5kg/m</w:t>
            </w:r>
            <w:r>
              <w:rPr>
                <w:rFonts w:hint="eastAsia" w:asciiTheme="majorEastAsia" w:hAnsiTheme="majorEastAsia" w:eastAsiaTheme="majorEastAsia" w:cstheme="majorEastAsia"/>
                <w:color w:val="000000"/>
                <w:sz w:val="22"/>
                <w:szCs w:val="22"/>
                <w:u w:val="none"/>
                <w:lang w:val="en-US" w:eastAsia="zh-CN" w:bidi="ar"/>
              </w:rPr>
              <w:t xml:space="preserve">³，符合LY/T 1636-2017）</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结构组件：品牌三合一连接件（抗拉强度≥1200N，盐雾测试≥2000小时），液压缓冲铰链（开合寿命≥5万次，噪音≤35dB），隐藏式滑轨（承重≥50kg，抽拉顺滑度≤10N摩擦力）。</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静态承重：单层货架≥80kg（依据QB/T 2530-2011测试方法），抗倾覆系数：≥1.5（满载状态下倾斜角≤10°不倾倒）。</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隔板挠度：≤1.5mm/m（加载50kg持续24小时，依据GB/T 10357.3）</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尺寸公差：长度/宽度误差≤±1.5mm，高度误差≤±2mm（激光定位切割）</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直角度：边角垂直度≤0.8mm/m（水平仪检测）</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封边质量：PVC封边条贴合度≤0.3mm缝隙。</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rPr>
              <w:suppressLineNumbers w:val="0"/>
            </w:pPr>
            <w:r>
              <w:rPr>
                <w:rFonts w:hint="eastAsia" w:asciiTheme="majorEastAsia" w:hAnsiTheme="majorEastAsia" w:eastAsiaTheme="majorEastAsia" w:cstheme="majorEastAsia"/>
                <w:i w:val="0"/>
                <w:iCs w:val="0"/>
                <w:color w:val="000000"/>
                <w:sz w:val="22"/>
                <w:szCs w:val="22"/>
                <w:u w:val="none"/>
                <w:lang w:val="en-US" w:eastAsia="zh-CN"/>
              </w:rPr>
              <w:t xml:space="preserve">90</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画架</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尺寸：58*60*170-235cm,材质：榉木；最大夹画高度：125cm；T型后支撑杆，画盒设计，实现收纳；特点：可前倾，作画方便，视线垂直画板，作画准确，拉环升降，齿条阶梯逐级调节，组装式，可折叠收纳，不占空间，表面光滑、无毛刺、无弯曲，接缝无开裂，整体无疤痕无弯曲，表面环保烤漆处理。</w:t>
            </w:r>
            <w:r/>
          </w:p>
        </w:tc>
        <w:tc>
          <w:tcPr>
            <w:shd w:val="clear" w:color="auto" w:fill="auto"/>
            <w:tcW w:w="73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个</w:t>
            </w:r>
            <w:r/>
          </w:p>
        </w:tc>
        <w:tc>
          <w:tcPr>
            <w:shd w:val="clear" w:color="auto" w:fill="auto"/>
            <w:tcW w:w="804"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50</w:t>
            </w:r>
            <w:r/>
          </w:p>
        </w:tc>
      </w:tr>
      <w:tr>
        <w:trPr>
          <w:jc w:val="center"/>
          <w:trHeight w:val="834"/>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91</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美术教室2</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水彩颜料套装</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1.信息参数：24色管装，含钛白、群青等基础色，耐光性≥5级（ASTM标准）。</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2.包含货物生产、运输、安装。</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120</w:t>
            </w:r>
            <w:r/>
          </w:p>
        </w:tc>
      </w:tr>
      <w:tr>
        <w:trPr>
          <w:jc w:val="center"/>
          <w:trHeight w:val="863"/>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92</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美术教室2</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彩铅教学套装</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1.信息参数：24色彩铅套装。</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2.包含货物生产、运输、安装。</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120</w:t>
            </w:r>
            <w:r/>
          </w:p>
        </w:tc>
      </w:tr>
      <w:tr>
        <w:trPr>
          <w:jc w:val="center"/>
          <w:trHeight w:val="386"/>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93</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美术教室2桌子</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1)尺寸：2400mm*1200mm*750mm，防火饰面板:面材采用优质品牌装饰原纸,选用优质三聚氰胺浸胶工艺,使表面稳定性更好,层次感更优,耐污抗磨性更强,通过GB/T 15102浸渍胶膜纸饰面人造板表面理化性能要求;基材采用优质品牌E0级刨花板,通过GB/T 39600-2021要求,甲醛释放量≤0.013mg/m</w:t>
            </w:r>
            <w:r>
              <w:rPr>
                <w:rFonts w:hint="eastAsia" w:asciiTheme="majorEastAsia" w:hAnsiTheme="majorEastAsia" w:eastAsiaTheme="majorEastAsia" w:cstheme="majorEastAsia"/>
                <w:color w:val="000000"/>
                <w:sz w:val="22"/>
                <w:szCs w:val="22"/>
                <w:u w:val="none"/>
                <w:lang w:val="en-US" w:eastAsia="zh-CN" w:bidi="ar"/>
              </w:rPr>
              <w:t xml:space="preserve">³，  台面厚度≥25mm。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2)ABS封边条:表面耐光色牢度≥4级;表面耐龟裂性≥2级;表面耐磨性能30r;通过QB/T4463-2013  《家具用封边条技术要求》理化性能检测要求</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3)钢架:耐腐蚀100h内，观察在溶剂中样板上滑道两侧3mm以外，应无气泡产生，100h后，检查滑道两侧3mm以外无锈迹、剥落、起皱、变色和失光等现象；附着力≥2级；通过GB/T 3325-2017《金属家具通用技术条件》理化性能检测要求。</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4)钢脚:表面耐腐蚀中性盐雾测试100h后无锈蚀、剥落、起皱;表面附着力不低于2级;升降/折叠/伸缩耐久性测定20000次后,零部件无断裂、曲、变形、磨损、变形;通过《GB/T3325-2017金属家具通用技术条件》理化性能检测要求，壁厚≥2mm。</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94</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美术教室2培训椅</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材质说明：                                                                                                                             1)椅背：采用高品质PP胶椅背，内富含高比例玻璃纤维超结实，表面手感顺滑，耐磨耐刮。而曲线的轮廓按照人体健康工程学设计。</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2)五金架：采用高品质喷黑漆五金架，电镀层厚可更强效防刮、防生锈、耐强酸碱，加厚管壁超结实，可承受1100KG重压，重点可以随意折叠</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3)座海绵：采用高品质一次成型纯海绵，超柔软富有弹性，座感超舒服，透气性超强。</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4)木板：采用高品质10片层高温高压一次定型双木板结构，可承受1100KG重压，超结实很安心。★投标文件中提供由国家行政管理部门认定的省级及省级以上国家检测机构出具的（具有CMA、CNAS等标识）完整的培训椅（塑料材质）检测报告，抽样基数≥50，检测项目：塑料部件外观，金属部件外观，软包部件外观，喷涂件，面料色牢度，面料有害物质，尺寸极限偏差，安全要求，力学性能，形状和位置公差符合要求，甲醛释放量≤0.12mg/㎡h，TVOC≤0.5mg/㎡h。测试内容需完全符合参数要求，不得缺项、漏项，否则视为负偏离。</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把</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32</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95</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美术教室2空调系统</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1、基础参数：3P变频冷暖机型，制冷量7200W（±5%），制热量8900W（±5%），能效等级三级（APF≥3.5），符合GB21455-2019标准。</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核心部件：单转子压缩机（排量22-24cc），双排冷凝器（铜管外径7mm），无电子膨胀阀以降低成本，使用R32环保冷媒。</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性能指标：制冷功率≤2350W，制热功率≤2950W，循环风量≥1200m</w:t>
            </w:r>
            <w:r>
              <w:rPr>
                <w:rFonts w:hint="eastAsia" w:asciiTheme="majorEastAsia" w:hAnsiTheme="majorEastAsia" w:eastAsiaTheme="majorEastAsia" w:cstheme="majorEastAsia"/>
                <w:color w:val="000000"/>
                <w:sz w:val="22"/>
                <w:szCs w:val="22"/>
                <w:u w:val="none"/>
                <w:lang w:val="en-US" w:eastAsia="zh-CN" w:bidi="ar"/>
              </w:rPr>
              <w:t xml:space="preserve">³/h，内机噪音≤45dB(A)，外机噪音≤56dB(A)，支持上下扫风但无左右自动扫风功能。</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基础LED显示+遥控操作，配备简易滤网，采用ABS面板，内机重量≤18kg，外机重量≤45kg。</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2、包含空调系统电气线路敷设：</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从配电箱（距离50米）引出独立回路，采用BV-3×2.5mm²铜芯线（火线红色、零线蓝色、地线黄绿双色），线管选用PVC阻燃管（直径20mm），暗敷于吊顶内，确保与照明线路分离。配电箱端配置16A双极空开（如ABB S200系列或施耐德Acti9）</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，并建议加装30mA漏电保护器（如正泰NXB-63）。线路走向需避开水源和高温区域，水平布线离地≥1.5m（棚面至墙面需要埋暗线处理，墙体刨沟恢复），垂直布线距墙角≥100mm。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插座与开关参数​：</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16A空调插座选用250V/16A三孔插座，面板材质为阻燃PC，内部铜件厚度≥0.6mm，插拔寿命≥1万次，防护等级IP20，接线端子为螺钉压接式（L/N/E标识清晰），需预埋86型暗盒。</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预留开关配置单极16A墙壁开关，额定电流16A，通断能力≥4000次，触点材质为银合金，面板阻燃等级UL94 V0，安装高度1.3m，与插座水平间距≥200mm。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台</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96</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室内遮光帘</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类型</w:t>
            </w:r>
            <w:r>
              <w:rPr>
                <w:rFonts w:hint="eastAsia" w:asciiTheme="majorEastAsia" w:hAnsiTheme="majorEastAsia" w:eastAsiaTheme="majorEastAsia" w:cstheme="majorEastAsia"/>
                <w:color w:val="000000"/>
                <w:sz w:val="22"/>
                <w:szCs w:val="22"/>
                <w:u w:val="none"/>
                <w:lang w:val="en-US" w:eastAsia="zh-CN" w:bidi="ar"/>
              </w:rPr>
              <w:t xml:space="preserve">：聚酯纤维涂层遮光卷帘</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尺寸规格：</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标准幅宽：150cm/180cm/200cm（支持定制至300cm）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高度范围：200-300cm（含10cm包边）</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遮光率：50%-80%（根据涂层密度可调）</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颜色：基础款为灰白色、深灰色（可选素色或简单条纹）</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材质：</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面料：100%聚酯纤维，表面覆PVC涂层（厚度0.3-0.5mm）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辅料：铝合金静音轨道（壁厚1.2mm）、POM塑料拉珠、棉质布带</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97</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美术教室3</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顶部艺术装配</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1、信息参数：主体支撑结构：采用镀锌钢制骨架（基材厚度≥1.2mm，横向间距≤1200mm），配套铝合金型材连接件（壁厚≥0.8mm，表面静电粉末喷涂膜厚≥60μm）。</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装饰层基材：9.5mm厚高密度纤维装饰板材（甲醛释放量≤0.05mg/m</w:t>
            </w:r>
            <w:r>
              <w:rPr>
                <w:rFonts w:hint="eastAsia" w:asciiTheme="majorEastAsia" w:hAnsiTheme="majorEastAsia" w:eastAsiaTheme="majorEastAsia" w:cstheme="majorEastAsia"/>
                <w:color w:val="000000"/>
                <w:sz w:val="22"/>
                <w:szCs w:val="22"/>
                <w:u w:val="none"/>
                <w:lang w:val="en-US" w:eastAsia="zh-CN" w:bidi="ar"/>
              </w:rPr>
              <w:t xml:space="preserve">³，依据气候箱法检测），表面覆盖复合纸面基材（内结合强度≥0.40MPa，符合GB/T 17657-2022标准）。</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连接系统：配置不锈钢自攻螺钉（规格M4×15mm，头部沉入基材深度≥0.3mm），接缝处采用V型槽切割工艺（切割深度≥3mm，嵌填石膏基填缝剂后打磨至2m靠尺检测间隙≤2mm）。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定制艺术写真油画饰面装饰。</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平</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65</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98</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美术教室3</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灯光系统</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定制LED造型光源体7W/㎡，光通量：≥3200lm，色温：4000K（自然光色）。显色指数：Ra≥92，防护等级：IP20。特性：低压24V供电，铝合金散热背板。嵌入式无边框COB射灯模块，7W/10W/14W，光效：≥110lm/W，色温：3000K-6500K（±50K），显色指数：Ra≥95（R9&gt;90），光束角：24°/36°/60°，防护等级：IP44。安装方式：嵌入式开孔。特性：深杯防眩结构。</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隐蔽式线管系统：PVC线管：Φ20mm（阻燃级），电线规格：BV-2.5mm</w:t>
            </w:r>
            <w:r>
              <w:rPr>
                <w:rFonts w:hint="eastAsia" w:asciiTheme="majorEastAsia" w:hAnsiTheme="majorEastAsia" w:eastAsiaTheme="majorEastAsia" w:cstheme="majorEastAsia"/>
                <w:color w:val="000000"/>
                <w:sz w:val="22"/>
                <w:szCs w:val="22"/>
                <w:u w:val="none"/>
                <w:lang w:val="en-US" w:eastAsia="zh-CN" w:bidi="ar"/>
              </w:rPr>
              <w:t xml:space="preserve">²（国标），</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接线盒：86型暗装（防水型），固定卡扣：尼龙材质（间距≤800mm。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478"/>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99</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美术教室3</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木制艺术造型</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1、信息参数：5500*2800mm，主体结构组件采用18mm实木多层基材，定制木质复合面板，高分子装饰层（厚度≥3mm，邵氏硬度60±5）。静态承重≥200kg/m</w:t>
            </w:r>
            <w:r>
              <w:rPr>
                <w:rFonts w:hint="eastAsia" w:asciiTheme="majorEastAsia" w:hAnsiTheme="majorEastAsia" w:eastAsiaTheme="majorEastAsia" w:cstheme="majorEastAsia"/>
                <w:color w:val="000000"/>
                <w:sz w:val="22"/>
                <w:szCs w:val="22"/>
                <w:u w:val="none"/>
                <w:lang w:val="en-US" w:eastAsia="zh-CN" w:bidi="ar"/>
              </w:rPr>
              <w:t xml:space="preserve">²（持续24小时形变率≤0.3%）。抗弯强度≥100MPa（依据GB/T 17657-2022三点弯曲试验）。剥离强度≥120N/cm（纵向，GB/T 2791-1995标准）定制艺术写真装饰背景。异形艺术雕刻。</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照明及电气线路系统;定制LED光源装饰带，带强电线路敷设，采用聚氯乙烯绝缘护套管（Φ16mm）嵌墙暗敷，火线为低烟无卤辐照交联聚乙烯导体（截面积2.5mm²，色标为深蓝），零线为同材质浅蓝线，线芯绞合节距≤15mm，绝缘层厚度≥0.8mm。光源单元：有机半导体发光模组（OSL-TL03），单模组尺寸300×30mm，色温2850±200K（暖白），显色指数Ra≥97.5（CIE 1931标准），光通量≥2400lm/m。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组</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rPr>
              <w:suppressLineNumbers w:val="0"/>
            </w:pPr>
            <w:r>
              <w:rPr>
                <w:rFonts w:hint="eastAsia" w:asciiTheme="majorEastAsia" w:hAnsiTheme="majorEastAsia" w:eastAsiaTheme="majorEastAsia" w:cstheme="majorEastAsia"/>
                <w:i w:val="0"/>
                <w:iCs w:val="0"/>
                <w:color w:val="000000"/>
                <w:sz w:val="22"/>
                <w:szCs w:val="22"/>
                <w:u w:val="none"/>
                <w:lang w:val="en-US" w:eastAsia="zh-CN"/>
              </w:rPr>
              <w:t xml:space="preserve">100</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美术教室3</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木制艺术展览板</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1、信息参数：4000*2800mm。主体结构组件采用18mm实木多层基材，定制木质复合面板，高分子装饰层。抗弯强度≥100MPa（依据GB/T 17657-2022三点弯曲试验）。剥离强度≥120N/cm（纵向，GB/T 2791-1995标准）。9.5mm厚高密度纤维装饰板材（甲醛释放量≤0.05mg/m</w:t>
            </w:r>
            <w:r>
              <w:rPr>
                <w:rFonts w:hint="eastAsia" w:asciiTheme="majorEastAsia" w:hAnsiTheme="majorEastAsia" w:eastAsiaTheme="majorEastAsia" w:cstheme="majorEastAsia"/>
                <w:color w:val="000000"/>
                <w:sz w:val="22"/>
                <w:szCs w:val="22"/>
                <w:u w:val="none"/>
                <w:lang w:val="en-US" w:eastAsia="zh-CN" w:bidi="ar"/>
              </w:rPr>
              <w:t xml:space="preserve">³，依据气候箱法检测），表面覆盖复合纸面基材（内结合强度≥0.40MPa，符合GB/T 17657-2022标准）。大白乳胶漆。定制自办展示版面部件，饰面类型：三聚氰胺纸/木皮/喷绘布，压纹工艺：条纹（3cm/5cm宽）、方格、竹纹（误差≤±0.5mm），邵氏硬度：≥60 HA（GB/T 531.1），热压成型：温度180-220℃，压力≥8MPa。</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组</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387"/>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101</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美术教室3功能储物矮柜</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1、信息参数：3000*800*400mm，基材标准：主体框架：采用E0级橡胶实木拼接板（符合GB/T 3324-2017），含水率8-12%，甲醛释放量≤0.05mg/L。</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面板材质：一级柚木贴皮（厚度≥0.6mm，GB/T 15036.2标准），耐磨转数≥3000转（依据GB/T 17657-2022）。</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防潮处理：真空加压注入ACQ防腐剂（载药量≥6.5kg/m</w:t>
            </w:r>
            <w:r>
              <w:rPr>
                <w:rFonts w:hint="eastAsia" w:asciiTheme="majorEastAsia" w:hAnsiTheme="majorEastAsia" w:eastAsiaTheme="majorEastAsia" w:cstheme="majorEastAsia"/>
                <w:color w:val="000000"/>
                <w:sz w:val="22"/>
                <w:szCs w:val="22"/>
                <w:u w:val="none"/>
                <w:lang w:val="en-US" w:eastAsia="zh-CN" w:bidi="ar"/>
              </w:rPr>
              <w:t xml:space="preserve">³，符合LY/T 1636-2017）</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结构组件：品牌三合一连接件（抗拉强度≥1200N，盐雾测试≥2000小时），液压缓冲铰链（开合寿命≥5万次，噪音≤35dB），隐藏式滑轨（承重≥50kg，抽拉顺滑度≤10N摩擦力）。</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静态承重：单层货架≥80kg（依据QB/T 2530-2011测试方法），抗倾覆系数：≥1.5（满载状态下倾斜角≤10°不倾倒）。</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隔板挠度：≤1.5mm/m（加载50kg持续24小时，依据GB/T 10357.3）</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尺寸公差：长度/宽度误差≤±1.5mm，高度误差≤±2mm（激光定位切割）</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直角度：边角垂直度≤0.8mm/m（水平仪检测）</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封边质量：PVC封边条贴合度≤0.3mm缝隙。</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102</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画时电子绘画板</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产品尺寸（长*宽*厚）：335*203*7.1mm；※电磁笔类型：无源无线电磁压感笔；※压感级别：8192级压感；※读取速率/报点率：266点/秒；EMR分辨率：0.01毫米 （2540 ppi）</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书写感应高度：1.0厘米；绘画区域：254×158.75毫米 ；LED状态灯：有；笔是否需要充电：否；自定义快捷键：10个，笔侧按键2个；系统要求：Android 设备 (Android 4.3 或更新并支持OTG连接), 电脑USB接口支持USB2.0及以上；连接：USB数据连接；★投标文件中提供由国家行政管理部门认定的省级及省级以上国家检测机构出具的（具有CMA、CNAS等标识）完整的画时电子绘画板检测报告，测试内容需完全符合参数要求，不得缺项、漏项，否则视为负偏离。</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w:t>
            </w:r>
            <w:r/>
          </w:p>
        </w:tc>
      </w:tr>
      <w:tr>
        <w:trPr>
          <w:jc w:val="center"/>
          <w:trHeight w:val="892"/>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103</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定制作品展示画框</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1.规格：定制</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2.参数：铝合金边框，厚度2cm，适配40×60cm画作，带磁吸锁扣</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3.包含货物生产、运输、安装。</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20</w:t>
            </w:r>
            <w:r/>
          </w:p>
        </w:tc>
      </w:tr>
      <w:tr>
        <w:trPr>
          <w:jc w:val="center"/>
          <w:trHeight w:val="1566"/>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104</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美术教室3空调系统</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1、基础参数：3P变频冷暖机型，制冷量7200W（±5%），制热量8900W（±5%），能效等级三级（APF≥3.5），符合GB21455-2019标准。</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核心部件：单转子压缩机（排量22-24cc），双排冷凝器（铜管外径7mm），无电子膨胀阀以降低成本，使用R32环保冷媒。</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性能指标：制冷功率≤2350W，制热功率≤2950W，循环风量≥1200m</w:t>
            </w:r>
            <w:r>
              <w:rPr>
                <w:rFonts w:hint="eastAsia" w:asciiTheme="majorEastAsia" w:hAnsiTheme="majorEastAsia" w:eastAsiaTheme="majorEastAsia" w:cstheme="majorEastAsia"/>
                <w:color w:val="000000"/>
                <w:sz w:val="22"/>
                <w:szCs w:val="22"/>
                <w:u w:val="none"/>
                <w:lang w:val="en-US" w:eastAsia="zh-CN" w:bidi="ar"/>
              </w:rPr>
              <w:t xml:space="preserve">³/h，内机噪音≤45dB(A)，外机噪音≤56dB(A)，支持上下扫风但无左右自动扫风功能。</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基础LED显示+遥控操作，配备简易滤网，采用ABS面板，内机重量≤18kg，外机重量≤45kg。</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2、包含空调系统电气线路敷设：</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从配电箱（距离50米）引出独立回路，采用BV-3×2.5mm²铜芯线（火线红色、零线蓝色、地线黄绿双色），线管选用PVC阻燃管（直径20mm），暗敷于吊顶内，确保与照明线路分离。配电箱端配置16A双极空开（如ABB S200系列或施耐德Acti9）</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，并建议加装30mA漏电保护器（如正泰NXB-63）。线路走向需避开水源和高温区域，水平布线离地≥1.5m（棚面至墙面需要埋暗线处理，墙体刨沟恢复），垂直布线距墙角≥100mm。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插座与开关参数​：</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16A空调插座选用250V/16A三孔插座，面板材质为阻燃PC，内部铜件厚度≥0.6mm，插拔寿命≥1万次，防护等级IP20，接线端子为螺钉压接式（L/N/E标识清晰），需预埋86型暗盒。</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预留开关配置单极16A墙壁开关，额定电流16A，通断能力≥4000次，触点材质为银合金，面板阻燃等级UL94 V0，安装高度1.3m，与插座水平间距≥200mm。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台</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105</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室内遮光帘</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类型</w:t>
            </w:r>
            <w:r>
              <w:rPr>
                <w:rFonts w:hint="eastAsia" w:asciiTheme="majorEastAsia" w:hAnsiTheme="majorEastAsia" w:eastAsiaTheme="majorEastAsia" w:cstheme="majorEastAsia"/>
                <w:color w:val="000000"/>
                <w:sz w:val="22"/>
                <w:szCs w:val="22"/>
                <w:u w:val="none"/>
                <w:lang w:val="en-US" w:eastAsia="zh-CN" w:bidi="ar"/>
              </w:rPr>
              <w:t xml:space="preserve">：聚酯纤维涂层遮光卷帘</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尺寸规格：</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标准幅宽：150cm/180cm/200cm（支持定制至300cm）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高度范围：200-300cm（含10cm包边）</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遮光率：50%-80%（根据涂层密度可调）</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颜色：基础款为灰白色、深灰色（可选素色或简单条纹）</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材质：</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面料：100%聚酯纤维，表面覆PVC涂层（厚度0.3-0.5mm）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辅料：铝合金静音轨道（壁厚1.2mm）、POM塑料拉珠、棉质布带</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106</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美术办公室兼作品展室</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木制艺术展览板</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1、信息参数：3000*1000mm，主体结构组件采用18mm实木多层基材，高分子装饰层（厚度≥3mm，邵氏硬度60±5）。静态承重≥200kg/m</w:t>
            </w:r>
            <w:r>
              <w:rPr>
                <w:rFonts w:hint="eastAsia" w:asciiTheme="majorEastAsia" w:hAnsiTheme="majorEastAsia" w:eastAsiaTheme="majorEastAsia" w:cstheme="majorEastAsia"/>
                <w:color w:val="000000"/>
                <w:sz w:val="22"/>
                <w:szCs w:val="22"/>
                <w:u w:val="none"/>
                <w:lang w:val="en-US" w:eastAsia="zh-CN" w:bidi="ar"/>
              </w:rPr>
              <w:t xml:space="preserve">²（持续24小时形变率≤0.3%）。抗弯强度≥100MPa（依据GB/T 17657-2022三点弯曲试验）。剥离强度≥120N/cm（纵向，GB/T 2791-1995标准），定制自办展示版面部件，饰面类型：三聚氰胺纸/木皮/喷绘布，压纹工艺。木质孔板饰面板。</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组</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107</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美术办公室室兼作品展室</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顶部艺术装配</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1、信息参数：矿棉板（矿物纤维含量≥60%），厚度12mm，密度≤350kg/m</w:t>
            </w:r>
            <w:r>
              <w:rPr>
                <w:rFonts w:hint="eastAsia" w:asciiTheme="majorEastAsia" w:hAnsiTheme="majorEastAsia" w:eastAsiaTheme="majorEastAsia" w:cstheme="majorEastAsia"/>
                <w:color w:val="000000"/>
                <w:sz w:val="22"/>
                <w:szCs w:val="22"/>
                <w:u w:val="none"/>
                <w:lang w:val="en-US" w:eastAsia="zh-CN" w:bidi="ar"/>
              </w:rPr>
              <w:t xml:space="preserve">³，表面为</w:t>
            </w:r>
            <w:r>
              <w:rPr>
                <w:rFonts w:hint="eastAsia" w:asciiTheme="majorEastAsia" w:hAnsiTheme="majorEastAsia" w:eastAsiaTheme="majorEastAsia" w:cstheme="majorEastAsia"/>
                <w:color w:val="000000"/>
                <w:sz w:val="22"/>
                <w:szCs w:val="22"/>
                <w:u w:val="none"/>
                <w:lang w:val="en-US" w:eastAsia="zh-CN" w:bidi="ar"/>
              </w:rPr>
              <w:t xml:space="preserve">哑光滚花处理（无覆膜），基材添加少量淀粉粘合剂以降低成本，防火等级B1级（氧指数≥32%），甲醛释放量≤0.05mg/m³（E0级）。标准600×600mm方形板，边缘为平口设计（无跌级或暗架槽），适配明架T型龙骨（热镀锌钢板，双面镀锌量≥80g/㎡，厚度0.3mm），主龙骨间距1200mm，次龙骨间距600mm，吊杆采用φ6mm镀锌丝杆（间距≤1200mm）。吸音系数NRC 0.5-0.6，隔声量≥20dB，防潮等级RH85（非高湿环境适用），抗弯强度≥0.35MPa，导热系数≤0.045W/(m·K)。</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平</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78</w:t>
            </w:r>
            <w:r/>
          </w:p>
        </w:tc>
      </w:tr>
      <w:tr>
        <w:trPr>
          <w:jc w:val="center"/>
          <w:trHeight w:val="1123"/>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108</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美术办公室兼作品展室</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灯光系统</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LED平板灯12W/㎡，光通量：≥3200lm，色温：4000K（自然光色）。显色指数：Ra≥92，防护等级：IP20。特性：低压24V供电，铝合金散热背板。嵌入式无边框COB射灯模块，7W/10W/14W，光效：≥110lm/W，色温：3000K-6500K（±50K），显色指数：Ra≥95（R9&gt;90），光束角：24°/36°/60°，防护等级：IP44。安装方式：嵌入式开孔。特性：深杯防眩结构。</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隐蔽式线管系统：PVC线管：Φ20mm（阻燃级），电线规格：BV-2.5mm</w:t>
            </w:r>
            <w:r>
              <w:rPr>
                <w:rFonts w:hint="eastAsia" w:asciiTheme="majorEastAsia" w:hAnsiTheme="majorEastAsia" w:eastAsiaTheme="majorEastAsia" w:cstheme="majorEastAsia"/>
                <w:color w:val="000000"/>
                <w:sz w:val="22"/>
                <w:szCs w:val="22"/>
                <w:u w:val="none"/>
                <w:lang w:val="en-US" w:eastAsia="zh-CN" w:bidi="ar"/>
              </w:rPr>
              <w:t xml:space="preserve">²（国标），</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接线盒：86型暗装（防水型），固定卡扣：尼龙材质（间距≤800mm。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109</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美术办公室兼作品展室空调系统</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 一、基础参数</w:t>
            </w:r>
            <w:r>
              <w:rPr>
                <w:rFonts w:hint="eastAsia" w:asciiTheme="majorEastAsia" w:hAnsiTheme="majorEastAsia" w:eastAsiaTheme="majorEastAsia" w:cstheme="majorEastAsia"/>
                <w:color w:val="000000"/>
                <w:sz w:val="22"/>
                <w:szCs w:val="22"/>
                <w:u w:val="none"/>
                <w:lang w:val="en-US" w:eastAsia="zh-CN" w:bidi="ar"/>
              </w:rPr>
              <w:t xml:space="preserve">​</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类型：壁挂式定频冷暖空调</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匹数：2匹（制冷量3500W，制热量3850W+800W电辅热）</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适用面积：单台覆盖15-22㎡</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电源规格：220V单相电，50Hz，额定功率1.04kW</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循环风量：600m³/h</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噪音值：内机24-39dB(A)，外机51dB(A)</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冷媒类型：R22</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外壳材质：镀锌钢板+防锈涂层，耐酸碱腐蚀，适应高粉尘、高湿度环境。</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散热系统：全铜管冷凝器，翅片间距加密（3.2mm），散热效率提升20%。</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防护等级：IPX4防水防尘，支持户外安装（需加装防雨罩）。</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冷媒配管：最大配管长度12米，室内外机最大落差8米，支持多台串联。</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遥控操作：支持有线遥控器、调节模式、设定定时任务。</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包含空调系统电气线路敷设：</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从配电箱（距离50米）引出独立回路，采用BV-3×2.5mm²铜芯线（火线红色、零线蓝色、地线黄绿双色），线管选用PVC阻燃管（直径20mm），暗敷于吊顶内，确保与照明线路分离。配电箱端配置16A双极空开（如ABB S200系列或施耐德Acti9）</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，并建议加装30mA漏电保护器（如正泰NXB-63）。线路走向需避开水源和高温区域，水平布线离地≥1.5m（棚面至墙面需要埋暗线处理，墙体刨沟恢复），垂直布线距墙角≥100mm。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插座与开关参数​：</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16A空调插座选用250V/16A三孔插座，面板材质为阻燃PC，内部铜件厚度≥0.6mm，插拔寿命≥1万次，防护等级IP20，接线端子为螺钉压接式（L/N/E标识清晰），需预埋86型暗盒。</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预留开关配置单极16A墙壁开关，额定电流16A，通断能力≥4000次，触点材质为银合金，面板阻燃等级UL94 V0，安装高度1.3m，与插座水平间距≥200mm。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台</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110</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室内遮光帘</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类型</w:t>
            </w:r>
            <w:r>
              <w:rPr>
                <w:rFonts w:hint="eastAsia" w:asciiTheme="majorEastAsia" w:hAnsiTheme="majorEastAsia" w:eastAsiaTheme="majorEastAsia" w:cstheme="majorEastAsia"/>
                <w:color w:val="000000"/>
                <w:sz w:val="22"/>
                <w:szCs w:val="22"/>
                <w:u w:val="none"/>
                <w:lang w:val="en-US" w:eastAsia="zh-CN" w:bidi="ar"/>
              </w:rPr>
              <w:t xml:space="preserve">：聚酯纤维涂层遮光卷帘</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尺寸规格：</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标准幅宽：150cm/180cm/200cm（支持定制至300cm）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高度范围：200-300cm（含10cm包边）</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遮光率：50%-80%（根据涂层密度可调）</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颜色：基础款为灰白色、深灰色（可选素色或简单条纹）</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材质：</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面料：100%聚酯纤维，表面覆PVC涂层（厚度0.3-0.5mm）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辅料：铝合金静音轨道（壁厚1.2mm）、POM塑料拉珠、棉质布带</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w:t>
            </w:r>
            <w:r/>
          </w:p>
        </w:tc>
      </w:tr>
      <w:tr>
        <w:trPr>
          <w:jc w:val="center"/>
          <w:trHeight w:val="1278"/>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111</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音乐办公室兼琴房</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木制艺术造型展览板</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1、信息参数：3200*2000mm，主体结构组件定制自办展示版面部件，饰面类型：三聚氰胺纸/木皮/喷绘布，压纹工艺。木质烤漆雕刻线条装饰，定制木质烤漆艺术字。</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组</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112</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音乐办公室兼琴房</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顶部艺术装配</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1、信息参数：主体支撑结构：采用镀锌钢制骨架（基材厚度≥1.2mm，横向间距≤1200mm），配套铝合金型材连接件（壁厚≥0.8mm，表面静电粉末喷涂膜厚≥60μm）。</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装饰层基材：9.5mm厚高密度纤维装饰板材（甲醛释放量≤0.05mg/m</w:t>
            </w:r>
            <w:r>
              <w:rPr>
                <w:rFonts w:hint="eastAsia" w:asciiTheme="majorEastAsia" w:hAnsiTheme="majorEastAsia" w:eastAsiaTheme="majorEastAsia" w:cstheme="majorEastAsia"/>
                <w:color w:val="000000"/>
                <w:sz w:val="22"/>
                <w:szCs w:val="22"/>
                <w:u w:val="none"/>
                <w:lang w:val="en-US" w:eastAsia="zh-CN" w:bidi="ar"/>
              </w:rPr>
              <w:t xml:space="preserve">³，依据气候箱法检测），表面覆盖复合纸面基材（内结合强度≥0.40MPa，符合GB/T 17657-2022标准）。定制木色铝方通。</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连接系统：配置不锈钢自攻螺钉（规格M4×15mm，头部沉入基材深度≥0.3mm），接缝处采用V型槽切割工艺（切割深度≥3mm，嵌填石膏基填缝剂后打磨至2m靠尺检测间隙≤2mm）。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平</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90</w:t>
            </w:r>
            <w:r/>
          </w:p>
        </w:tc>
      </w:tr>
      <w:tr>
        <w:trPr>
          <w:jc w:val="center"/>
          <w:trHeight w:val="285"/>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113</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音乐办公室兼琴房</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灯光系统</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超薄长条灯8W/㎡，光通量：≥3200lm，色温：4000K（自然光色）。显色指数：Ra≥92，防护等级：IP20。特性：低压24V供电，铝合金散热背板。嵌入式无边框COB射灯模块，7W/10W/14W，光效：≥110lm/W，色温：3000K-6500K（±50K），显色指数：Ra≥95（R9&gt;90），光束角：24°/36°/60°，防护等级：IP44。安装方式：嵌入式开孔。特性：深杯防眩结构。</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隐蔽式线管系统：PVC线管：Φ20mm（阻燃级），电线规格：BV-2.5mm</w:t>
            </w:r>
            <w:r>
              <w:rPr>
                <w:rFonts w:hint="eastAsia" w:asciiTheme="majorEastAsia" w:hAnsiTheme="majorEastAsia" w:eastAsiaTheme="majorEastAsia" w:cstheme="majorEastAsia"/>
                <w:color w:val="000000"/>
                <w:sz w:val="22"/>
                <w:szCs w:val="22"/>
                <w:u w:val="none"/>
                <w:lang w:val="en-US" w:eastAsia="zh-CN" w:bidi="ar"/>
              </w:rPr>
              <w:t xml:space="preserve">²（国标），</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接线盒：86型暗装（防水型），固定卡扣：尼龙材质（间距≤800mm。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114</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音乐办公室兼琴房空调系统</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 一、基础参数</w:t>
            </w:r>
            <w:r>
              <w:rPr>
                <w:rFonts w:hint="eastAsia" w:asciiTheme="majorEastAsia" w:hAnsiTheme="majorEastAsia" w:eastAsiaTheme="majorEastAsia" w:cstheme="majorEastAsia"/>
                <w:color w:val="000000"/>
                <w:sz w:val="22"/>
                <w:szCs w:val="22"/>
                <w:u w:val="none"/>
                <w:lang w:val="en-US" w:eastAsia="zh-CN" w:bidi="ar"/>
              </w:rPr>
              <w:t xml:space="preserve">​</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类型：壁挂式定频冷暖空调</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匹数：2匹（制冷量3500W，制热量3850W+800W电辅热）</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适用面积：单台覆盖15-22㎡</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电源规格：220V单相电，50Hz，额定功率1.04kW</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循环风量：600m³/h</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噪音值：内机24-39dB(A)，外机51dB(A)</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冷媒类型：R22</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外壳材质：镀锌钢板+防锈涂层，耐酸碱腐蚀，适应高粉尘、高湿度环境。</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散热系统：全铜管冷凝器，翅片间距加密（3.2mm），散热效率提升20%。</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防护等级：IPX4防水防尘，支持户外安装（需加装防雨罩）。</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冷媒配管：最大配管长度12米，室内外机最大落差8米，支持多台串联。</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遥控操作：支持有线遥控器、调节模式、设定定时任务。</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包含空调系统电气线路敷设：</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从配电箱（距离50米）引出独立回路，采用BV-3×2.5mm²铜芯线（火线红色、零线蓝色、地线黄绿双色），线管选用PVC阻燃管（直径20mm），暗敷于吊顶内，确保与照明线路分离。配电箱端配置16A双极空开（如ABB S200系列或施耐德Acti9）</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，并建议加装30mA漏电保护器（如正泰NXB-63）。线路走向需避开水源和高温区域，水平布线离地≥1.5m（棚面至墙面需要埋暗线处理，墙体刨沟恢复），垂直布线距墙角≥100mm。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插座与开关参数​：</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16A空调插座选用250V/16A三孔插座，面板材质为阻燃PC，内部铜件厚度≥0.6mm，插拔寿命≥1万次，防护等级IP20，接线端子为螺钉压接式（L/N/E标识清晰），需预埋86型暗盒。</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预留开关配置单极16A墙壁开关，额定电流16A，通断能力≥4000次，触点材质为银合金，面板阻燃等级UL94 V0，安装高度1.3m，与插座水平间距≥200mm。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台</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115</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室内遮光帘</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类型</w:t>
            </w:r>
            <w:r>
              <w:rPr>
                <w:rFonts w:hint="eastAsia" w:asciiTheme="majorEastAsia" w:hAnsiTheme="majorEastAsia" w:eastAsiaTheme="majorEastAsia" w:cstheme="majorEastAsia"/>
                <w:color w:val="000000"/>
                <w:sz w:val="22"/>
                <w:szCs w:val="22"/>
                <w:u w:val="none"/>
                <w:lang w:val="en-US" w:eastAsia="zh-CN" w:bidi="ar"/>
              </w:rPr>
              <w:t xml:space="preserve">：聚酯纤维涂层遮光卷帘</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尺寸规格：</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标准幅宽：150cm/180cm/200cm（支持定制至300cm）高度范围：200-300cm（含10cm包边）</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遮光率：50%-80%（根据涂层密度可调）</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颜色​：基础款为灰白色、深灰色（可选素色或简单条纹）</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材质面料​：100%聚酯纤维，表面覆PVC涂层（厚度0.3-0.5mm）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辅料：铝合金静音轨道（壁厚1.2mm）、POM塑料拉珠、棉质布带</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116</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琴房木制隔断造型</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14000*3000mm，采用Q50型竖龙骨（50mm×50mm×0.6mm厚度），冷镀锌工艺（镀锌量≥60g/㎡），长度3米，主龙骨间距≤1200mm，副龙骨间距≤600mm，边龙骨厚度0.4mm。内置50mm厚低密度吸音岩棉。双面覆盖12mm厚石膏板（2400mm×1200mm）。环保生态木质吸音板，厚度：≥15mm（梯度密度结构，表层密度≥800kg/m</w:t>
            </w:r>
            <w:r>
              <w:rPr>
                <w:rFonts w:hint="eastAsia" w:asciiTheme="majorEastAsia" w:hAnsiTheme="majorEastAsia" w:eastAsiaTheme="majorEastAsia" w:cstheme="majorEastAsia"/>
                <w:color w:val="000000"/>
                <w:sz w:val="22"/>
                <w:szCs w:val="22"/>
                <w:u w:val="none"/>
                <w:lang w:val="en-US" w:eastAsia="zh-CN" w:bidi="ar"/>
              </w:rPr>
              <w:t xml:space="preserve">³）吸声系数：NRC≥0.80（125-4000Hz全频段，GB/T 19889.3），降噪系数（NRC）≥0.90（后空腔100mm），防火等级：B1级（GB 8624-2012，燃烧性能通过单体燃烧试验）。结构设计：​背面处理：开孔率≥25%（孔径Φ3-5mm，正六边形阵列），防潮处理：材料表面涂覆纳米疏水涂层（接触角≥110°）。</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组</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117</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琴房定制木制艺术造型展览板</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1、信息参数：2000*2600mm，主体结构组件采用18mm实木多层基材，表面采用环保油漆，喷漆时需保持无尘空间，每道工序需充分干燥(通常24小时，含水率≤8%），（甲醛释放量≤0.025mg/m</w:t>
            </w:r>
            <w:r>
              <w:rPr>
                <w:rFonts w:hint="eastAsia" w:asciiTheme="majorEastAsia" w:hAnsiTheme="majorEastAsia" w:eastAsiaTheme="majorEastAsia" w:cstheme="majorEastAsia"/>
                <w:color w:val="000000"/>
                <w:sz w:val="22"/>
                <w:szCs w:val="22"/>
                <w:u w:val="none"/>
                <w:lang w:val="en-US" w:eastAsia="zh-CN" w:bidi="ar"/>
              </w:rPr>
              <w:t xml:space="preserve">³，气候箱法检测），定制木质复合面板，高分子装饰层，异形艺术雕刻装饰。</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组</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118</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琴房空调系统</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 一、基础参数</w:t>
            </w:r>
            <w:r>
              <w:rPr>
                <w:rFonts w:hint="eastAsia" w:asciiTheme="majorEastAsia" w:hAnsiTheme="majorEastAsia" w:eastAsiaTheme="majorEastAsia" w:cstheme="majorEastAsia"/>
                <w:color w:val="000000"/>
                <w:sz w:val="22"/>
                <w:szCs w:val="22"/>
                <w:u w:val="none"/>
                <w:lang w:val="en-US" w:eastAsia="zh-CN" w:bidi="ar"/>
              </w:rPr>
              <w:t xml:space="preserve">​</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类型：壁挂式定频冷暖空调</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匹数：2匹（制冷量3500W，制热量3850W+800W电辅热）</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适用面积：单台覆盖15-22㎡</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电源规格：220V单相电，50Hz，额定功率1.04kW</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循环风量：600m³/h</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噪音值：内机24-39dB(A)，外机51dB(A)</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冷媒类型：R22</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外壳材质：镀锌钢板+防锈涂层，耐酸碱腐蚀，适应高粉尘、高湿度环境。</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散热系统：全铜管冷凝器，翅片间距加密（3.2mm），散热效率提升20%。</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防护等级：IPX4防水防尘，支持户外安装（需加装防雨罩）。</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冷媒配管：最大配管长度12米，室内外机最大落差8米，支持多台串联。</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遥控操作：支持有线遥控器、调节模式、设定定时任务。</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包含空调系统电气线路敷设：</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从配电箱（距离50米）引出独立回路，采用BV-3×2.5mm²铜芯线（火线红色、零线蓝色、地线黄绿双色），线管选用PVC阻燃管（直径20mm），暗敷于吊顶内，确保与照明线路分离。配电箱端配置16A双极空开（如ABB S200系列或施耐德Acti9），并建议加装30mA漏电保护器（如正泰NXB-63）。线路走向需避开水源和高温区域，水平布线离地≥1.5m（棚面至墙面需要埋暗线处理，墙体刨沟恢复），垂直布线距墙角≥100mm。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插座与开关参数：</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16A空调插座选用250V/16A三孔插座，面板材质为阻燃PC，内部铜件厚度≥0.6mm，插拔寿命≥1万次，防护等级IP20，接线端子为螺钉压接式（L/N/E标识清晰），需预埋86型暗盒。</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预留开关配置单极16A墙壁开关，额定电流16A，通断能力≥4000次，触点材质为银合金，面板阻燃等级UL94 V0，安装高度1.3m，与插座水平间距≥200mm。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台</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w:t>
            </w:r>
            <w:r/>
          </w:p>
        </w:tc>
      </w:tr>
      <w:tr>
        <w:trPr>
          <w:jc w:val="center"/>
          <w:trHeight w:val="3038"/>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119</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室内遮光帘</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 类型</w:t>
            </w:r>
            <w:r>
              <w:rPr>
                <w:rFonts w:hint="eastAsia" w:asciiTheme="majorEastAsia" w:hAnsiTheme="majorEastAsia" w:eastAsiaTheme="majorEastAsia" w:cstheme="majorEastAsia"/>
                <w:color w:val="000000"/>
                <w:sz w:val="22"/>
                <w:szCs w:val="22"/>
                <w:u w:val="none"/>
                <w:lang w:val="en-US" w:eastAsia="zh-CN" w:bidi="ar"/>
              </w:rPr>
              <w:t xml:space="preserve">：聚酯纤维涂层遮光卷帘</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尺寸规格：</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标准幅宽：150cm/180cm/200cm（支持定制至300cm）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高度范围：200-300cm（含10cm包边）</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遮光率：50%-80%（根据涂层密度可调）</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颜色：基础款为灰白色、深灰色（可选素色或简单条纹）</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材质：</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面料：100%聚酯纤维，表面覆PVC涂层（厚度0.3-0.5mm）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辅料：铝合金静音轨道（壁厚1.2mm）、POM塑料拉珠、棉质布带</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120</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音乐美术区卫生间</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顶部艺术装配</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1、信息参数：主体结构组件采用AA3003系列铝合金基材，表面经阳极氧化处理形成厚度≥15μm的氧化膜（GB/T 5237.1-2017），配套支撑框架为镀锌钢制龙骨（基材厚度≥1.0mm，镀锌层≥80μm），连接节点配置不锈钢防锈卡扣件（规格M5×20mm）。</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表面处理系统：覆盖层为铝制纳米级陶瓷涂层板（膜厚≥60μm，铅笔硬度≥3H），色差ΔE≤1.5（CIE Lab标准）。</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边缘处理采用R3mm圆角工艺，接缝处嵌入EPDM减震条（压缩永久变形≤15%）</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结构性能参数：静态承重≥300kg/m</w:t>
            </w:r>
            <w:r>
              <w:rPr>
                <w:rFonts w:hint="eastAsia" w:asciiTheme="majorEastAsia" w:hAnsiTheme="majorEastAsia" w:eastAsiaTheme="majorEastAsia" w:cstheme="majorEastAsia"/>
                <w:color w:val="000000"/>
                <w:sz w:val="22"/>
                <w:szCs w:val="22"/>
                <w:u w:val="none"/>
                <w:lang w:val="en-US" w:eastAsia="zh-CN" w:bidi="ar"/>
              </w:rPr>
              <w:t xml:space="preserve">²（持续24小时形变率≤0.3%）</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抗风压性能≥1.5kPa（依据GB/T 31433-2015）</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耐盐雾腐蚀≥2000小时（GB/T 10125-2021中性盐雾试验）</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环保与安全指标：甲醛释放量≤0.03mg/m³（气候箱法GB/T 31106-2014）。</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阻燃等级B1级（GB 8624-2012小室燃烧法）。</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TVOC释放量≤0.2mg/m³（密闭空间72小时检测）。</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平</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80</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121</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音乐美术区卫生间</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灯光系统</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超薄铝合金平板灯8W/㎡，光通量：≥3200lm，色温：4000K（自然光色）。显色指数：Ra≥92，防护等级：IP20。特性：低压24V供电，铝合金散热背板。多光谱柔性灯带系统，2835贴片，功率：14.4W/m，色温范围：2700K-6000K（三色调光），显色指数：Ra≥90，防水等级：IP65防护结构：3M背胶+卡扣式固定，特性：支持渐变调色，抗UV老化。</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隐蔽式线管系统：PVC线管：Φ20mm（阻燃级），电线规格：BV-2.5mm</w:t>
            </w:r>
            <w:r>
              <w:rPr>
                <w:rFonts w:hint="eastAsia" w:asciiTheme="majorEastAsia" w:hAnsiTheme="majorEastAsia" w:eastAsiaTheme="majorEastAsia" w:cstheme="majorEastAsia"/>
                <w:color w:val="000000"/>
                <w:sz w:val="22"/>
                <w:szCs w:val="22"/>
                <w:u w:val="none"/>
                <w:lang w:val="en-US" w:eastAsia="zh-CN" w:bidi="ar"/>
              </w:rPr>
              <w:t xml:space="preserve">²（国标），</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接线盒：86型暗装（防水型），固定卡扣：尼龙材质（间距≤800mm）。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w:t>
            </w:r>
            <w:r/>
          </w:p>
        </w:tc>
      </w:tr>
      <w:tr>
        <w:trPr>
          <w:jc w:val="center"/>
          <w:trHeight w:val="216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122</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卫生间装潢改造</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1、信息参数：卫生间墙面装饰拆除、垃圾清运；天花吊顶灯具拆除、垃圾清运；地面地砖拆除、垃圾清运。</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墙面修补找平、涂刷防水、墙面贴砖；</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地面修补找平、涂刷防水、地面贴砖；</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天花吊顶轻钢龙骨安装，铝扣板，灯具安装，电路改造。</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2、卫生洁具：原有破损洁具拆除，更换与原有款式一致洁具。</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3、隔断：富美家抗倍特隔断板，厚度：12-18mm；密度：≥1400kg/m</w:t>
            </w:r>
            <w:r>
              <w:rPr>
                <w:rFonts w:hint="eastAsia" w:asciiTheme="majorEastAsia" w:hAnsiTheme="majorEastAsia" w:eastAsiaTheme="majorEastAsia" w:cstheme="majorEastAsia"/>
                <w:color w:val="000000"/>
                <w:sz w:val="22"/>
                <w:szCs w:val="22"/>
                <w:u w:val="none"/>
                <w:lang w:val="en-US" w:eastAsia="zh-CN" w:bidi="ar"/>
              </w:rPr>
              <w:t xml:space="preserve">³；防水等级：浸泡 24h 膨胀率≤0.5%；防火等级：B1 级。</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间</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w:t>
            </w:r>
            <w:r/>
          </w:p>
        </w:tc>
      </w:tr>
      <w:tr>
        <w:trPr>
          <w:jc w:val="center"/>
          <w:trHeight w:val="135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123</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公共区域装饰改造</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1、信息参数：公共区域墙面装饰拆除、垃圾清运；天花吊顶灯具拆除、垃圾清运；地面清理、垃圾清运。</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墙面修补找平、涂刷乳胶漆+定制文化宣传装饰；</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地面修补找平、铺贴地胶；</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天花灯光系统安装，电路改造，更换开关插座灯。</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项</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414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124</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教室、办公室地塑</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1、规格：21000*5600mm</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一、产品概述</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2.0mm多层复合结构卷材地板材质为聚氯乙烯：产品结构自上而下分为五层：UV涂层、印花彩膜层、0.45mm耐磨层、玻璃纤维稳定层、1.65mm密实层。</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二、产品规格</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产品为2.0mm厚度，卷材，宽幅2米，长度20米，克重3.3±0.5千克每平方米。                                                       三、性能要点</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1、外观质量：无裂纹、分层、断裂，无折皱、气泡、漏印、缺膜、图案变形，无明显套印偏差、色差、污染等缺陷；</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2、加热尺寸变化率：纵向≤0.40；横向≤0.40；</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3、PVC地板隔声性能≥24dB；</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4、PVC地板铅笔硬度≥3B；</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5、急性吸入毒性试验，试验结果对ICR小鼠的急性吸入LC50＞2000mg/ m</w:t>
            </w:r>
            <w:r>
              <w:rPr>
                <w:rFonts w:hint="eastAsia" w:asciiTheme="majorEastAsia" w:hAnsiTheme="majorEastAsia" w:eastAsiaTheme="majorEastAsia" w:cstheme="majorEastAsia"/>
                <w:color w:val="000000"/>
                <w:sz w:val="22"/>
                <w:szCs w:val="22"/>
                <w:u w:val="none"/>
                <w:lang w:val="en-US" w:eastAsia="zh-CN" w:bidi="ar"/>
              </w:rPr>
              <w:t xml:space="preserve">³。依据毒性分级，产品属于低毒级；</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6、PVC地板焊接强度≥240；</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7、铺装，含成品环保生态踢脚线。</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8、包含货物生产、运输、安装。</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平</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200</w:t>
            </w:r>
            <w:r/>
          </w:p>
        </w:tc>
      </w:tr>
    </w:tbl>
    <w:p>
      <w:pPr>
        <w:pStyle w:val="635"/>
        <w:jc w:val="both"/>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i/>
          <w:color w:val="auto"/>
          <w:sz w:val="24"/>
          <w:szCs w:val="24"/>
          <w:highlight w:val="none"/>
          <w:u w:val="single"/>
          <w:shd w:val="clear" w:color="auto" w:fill="auto"/>
          <w:lang w:eastAsia="zh-CN"/>
        </w:rPr>
        <w:t xml:space="preserve">（</w:t>
      </w:r>
      <w:r>
        <w:rPr>
          <w:rFonts w:hint="eastAsia" w:ascii="宋体" w:hAnsi="宋体" w:eastAsia="宋体" w:cs="宋体"/>
          <w:i/>
          <w:color w:val="auto"/>
          <w:sz w:val="24"/>
          <w:szCs w:val="24"/>
          <w:highlight w:val="none"/>
          <w:u w:val="single"/>
          <w:shd w:val="clear" w:color="auto" w:fill="auto"/>
          <w:lang w:val="en-US" w:eastAsia="zh-CN"/>
        </w:rPr>
        <w:t xml:space="preserve">四</w:t>
      </w:r>
      <w:r>
        <w:rPr>
          <w:rFonts w:hint="eastAsia" w:ascii="宋体" w:hAnsi="宋体" w:eastAsia="宋体" w:cs="宋体"/>
          <w:i/>
          <w:color w:val="auto"/>
          <w:sz w:val="24"/>
          <w:szCs w:val="24"/>
          <w:highlight w:val="none"/>
          <w:u w:val="single"/>
          <w:shd w:val="clear" w:color="auto" w:fill="auto"/>
          <w:lang w:eastAsia="zh-CN"/>
        </w:rPr>
        <w:t xml:space="preserve">）</w:t>
      </w:r>
      <w:r>
        <w:rPr>
          <w:rFonts w:hint="eastAsia" w:ascii="宋体" w:hAnsi="宋体" w:eastAsia="宋体" w:cs="宋体"/>
          <w:i/>
          <w:color w:val="auto"/>
          <w:sz w:val="24"/>
          <w:szCs w:val="24"/>
          <w:highlight w:val="none"/>
          <w:u w:val="single"/>
          <w:shd w:val="clear" w:color="auto" w:fill="auto"/>
        </w:rPr>
        <w:t xml:space="preserve">本项目</w:t>
      </w:r>
      <w:r>
        <w:rPr>
          <w:rFonts w:hint="eastAsia" w:ascii="宋体" w:hAnsi="宋体" w:eastAsia="宋体" w:cs="宋体"/>
          <w:i/>
          <w:color w:val="auto"/>
          <w:sz w:val="24"/>
          <w:szCs w:val="24"/>
          <w:highlight w:val="none"/>
          <w:u w:val="single"/>
          <w:shd w:val="clear" w:color="auto" w:fill="auto"/>
          <w:lang w:val="en-US" w:eastAsia="zh-CN"/>
        </w:rPr>
        <w:t xml:space="preserve">不接受</w:t>
      </w:r>
      <w:r>
        <w:rPr>
          <w:rFonts w:hint="eastAsia" w:ascii="宋体" w:hAnsi="宋体" w:eastAsia="宋体" w:cs="宋体"/>
          <w:i/>
          <w:color w:val="auto"/>
          <w:sz w:val="24"/>
          <w:szCs w:val="24"/>
          <w:highlight w:val="none"/>
          <w:u w:val="single"/>
          <w:shd w:val="clear" w:color="auto" w:fill="auto"/>
        </w:rPr>
        <w:t xml:space="preserve">进口产品投标</w:t>
      </w:r>
      <w:r/>
    </w:p>
    <w:p>
      <w:pPr>
        <w:pStyle w:val="635"/>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五</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采购标的对应的中小企业划分标准所属行业一览表</w:t>
      </w:r>
      <w:r/>
    </w:p>
    <w:tbl>
      <w:tblPr>
        <w:tblStyle w:val="628"/>
        <w:tblW w:w="8671"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4052"/>
        <w:gridCol w:w="3643"/>
      </w:tblGrid>
      <w:tr>
        <w:trPr>
          <w:jc w:val="center"/>
          <w:tblCellSpacing w:w="0" w:type="dxa"/>
        </w:trPr>
        <w:tc>
          <w:tcPr>
            <w:shd w:val="clear" w:color="auto" w:fill="auto"/>
            <w:tcW w:w="976" w:type="dxa"/>
            <w:vAlign w:val="center"/>
            <w:textDirection w:val="lrTb"/>
            <w:noWrap w:val="false"/>
          </w:tcPr>
          <w:p>
            <w:pPr>
              <w:pStyle w:val="635"/>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rPr>
            </w:pPr>
            <w:r>
              <w:rPr>
                <w:rFonts w:hint="eastAsia" w:asciiTheme="majorEastAsia" w:hAnsiTheme="majorEastAsia" w:eastAsiaTheme="majorEastAsia" w:cstheme="majorEastAsia"/>
                <w:color w:val="auto"/>
                <w:sz w:val="22"/>
                <w:szCs w:val="22"/>
                <w:highlight w:val="none"/>
                <w:shd w:val="clear" w:color="auto" w:fill="auto"/>
              </w:rPr>
              <w:t xml:space="preserve">序号</w:t>
            </w:r>
            <w:r/>
          </w:p>
        </w:tc>
        <w:tc>
          <w:tcPr>
            <w:shd w:val="clear" w:color="auto" w:fill="auto"/>
            <w:tcW w:w="4052" w:type="dxa"/>
            <w:vAlign w:val="center"/>
            <w:textDirection w:val="lrTb"/>
            <w:noWrap w:val="false"/>
          </w:tcPr>
          <w:p>
            <w:pPr>
              <w:pStyle w:val="635"/>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rPr>
            </w:pPr>
            <w:r>
              <w:rPr>
                <w:rFonts w:hint="eastAsia" w:asciiTheme="majorEastAsia" w:hAnsiTheme="majorEastAsia" w:eastAsiaTheme="majorEastAsia" w:cstheme="majorEastAsia"/>
                <w:color w:val="auto"/>
                <w:sz w:val="22"/>
                <w:szCs w:val="22"/>
                <w:highlight w:val="none"/>
                <w:shd w:val="clear" w:color="auto" w:fill="auto"/>
              </w:rPr>
              <w:t xml:space="preserve">采购标的</w:t>
            </w:r>
            <w:r/>
          </w:p>
        </w:tc>
        <w:tc>
          <w:tcPr>
            <w:shd w:val="clear" w:color="auto" w:fill="auto"/>
            <w:tcW w:w="3643" w:type="dxa"/>
            <w:vAlign w:val="center"/>
            <w:textDirection w:val="lrTb"/>
            <w:noWrap w:val="false"/>
          </w:tcPr>
          <w:p>
            <w:pPr>
              <w:pStyle w:val="635"/>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rPr>
            </w:pPr>
            <w:r>
              <w:rPr>
                <w:rFonts w:hint="eastAsia" w:asciiTheme="majorEastAsia" w:hAnsiTheme="majorEastAsia" w:eastAsiaTheme="majorEastAsia" w:cstheme="majorEastAsia"/>
                <w:color w:val="auto"/>
                <w:sz w:val="22"/>
                <w:szCs w:val="22"/>
                <w:highlight w:val="none"/>
                <w:shd w:val="clear" w:color="auto" w:fill="auto"/>
              </w:rPr>
              <w:t xml:space="preserve">对应中小企业划分标准所属行业</w:t>
            </w:r>
            <w:r/>
          </w:p>
        </w:tc>
      </w:tr>
      <w:tr>
        <w:trPr>
          <w:jc w:val="center"/>
          <w:tblCellSpacing w:w="0" w:type="dxa"/>
          <w:trHeight w:val="90"/>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剧院钢木舞台</w:t>
            </w:r>
            <w:r/>
          </w:p>
        </w:tc>
        <w:tc>
          <w:tcPr>
            <w:shd w:val="clear" w:color="auto" w:fill="auto"/>
            <w:tcW w:w="3643"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lang w:val="en-US" w:eastAsia="zh-CN"/>
              </w:rPr>
              <w:suppressLineNumbers w:val="0"/>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91"/>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剧院内部灯光维修升级</w:t>
            </w:r>
            <w:r/>
          </w:p>
        </w:tc>
        <w:tc>
          <w:tcPr>
            <w:shd w:val="clear" w:color="auto" w:fill="auto"/>
            <w:tcW w:w="3643"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lang w:val="en-US" w:eastAsia="zh-CN"/>
              </w:rPr>
              <w:suppressLineNumbers w:val="0"/>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91"/>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剧院内廊顶部艺术装配</w:t>
            </w:r>
            <w:r/>
          </w:p>
        </w:tc>
        <w:tc>
          <w:tcPr>
            <w:shd w:val="clear" w:color="auto" w:fill="auto"/>
            <w:tcW w:w="3643" w:type="dxa"/>
            <w:vAlign w:val="center"/>
            <w:textDirection w:val="lrTb"/>
            <w:noWrap w:val="false"/>
          </w:tcPr>
          <w:p>
            <w:pPr>
              <w:pStyle w:val="635"/>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91"/>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剧院内廊灯光系统</w:t>
            </w:r>
            <w:r/>
          </w:p>
        </w:tc>
        <w:tc>
          <w:tcPr>
            <w:shd w:val="clear" w:color="auto" w:fill="auto"/>
            <w:tcW w:w="3643" w:type="dxa"/>
            <w:vAlign w:val="center"/>
            <w:textDirection w:val="lrTb"/>
            <w:noWrap w:val="false"/>
          </w:tcPr>
          <w:p>
            <w:pPr>
              <w:pStyle w:val="635"/>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91"/>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剧院卫生间顶部艺术装配</w:t>
            </w:r>
            <w:r/>
          </w:p>
        </w:tc>
        <w:tc>
          <w:tcPr>
            <w:shd w:val="clear" w:color="auto" w:fill="auto"/>
            <w:tcW w:w="3643" w:type="dxa"/>
            <w:vAlign w:val="center"/>
            <w:textDirection w:val="lrTb"/>
            <w:noWrap w:val="false"/>
          </w:tcPr>
          <w:p>
            <w:pPr>
              <w:pStyle w:val="635"/>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91"/>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剧院卫生间两侧更衣柜</w:t>
            </w:r>
            <w:r/>
          </w:p>
        </w:tc>
        <w:tc>
          <w:tcPr>
            <w:shd w:val="clear" w:color="auto" w:fill="auto"/>
            <w:tcW w:w="3643" w:type="dxa"/>
            <w:vAlign w:val="center"/>
            <w:textDirection w:val="lrTb"/>
            <w:noWrap w:val="false"/>
          </w:tcPr>
          <w:p>
            <w:pPr>
              <w:pStyle w:val="635"/>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91"/>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剧院卫生间灯光系统</w:t>
            </w:r>
            <w:r/>
          </w:p>
        </w:tc>
        <w:tc>
          <w:tcPr>
            <w:shd w:val="clear" w:color="auto" w:fill="auto"/>
            <w:tcW w:w="3643" w:type="dxa"/>
            <w:vAlign w:val="center"/>
            <w:textDirection w:val="lrTb"/>
            <w:noWrap w:val="false"/>
          </w:tcPr>
          <w:p>
            <w:pPr>
              <w:pStyle w:val="635"/>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91"/>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剧院舞台音响系统维修改造</w:t>
            </w:r>
            <w:r/>
          </w:p>
        </w:tc>
        <w:tc>
          <w:tcPr>
            <w:shd w:val="clear" w:color="auto" w:fill="auto"/>
            <w:tcW w:w="3643" w:type="dxa"/>
            <w:vAlign w:val="center"/>
            <w:textDirection w:val="lrTb"/>
            <w:noWrap w:val="false"/>
          </w:tcPr>
          <w:p>
            <w:pPr>
              <w:pStyle w:val="635"/>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91"/>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接待室顶部艺术装配</w:t>
            </w:r>
            <w:r/>
          </w:p>
        </w:tc>
        <w:tc>
          <w:tcPr>
            <w:shd w:val="clear" w:color="auto" w:fill="auto"/>
            <w:tcW w:w="3643" w:type="dxa"/>
            <w:vAlign w:val="center"/>
            <w:textDirection w:val="lrTb"/>
            <w:noWrap w:val="false"/>
          </w:tcPr>
          <w:p>
            <w:pPr>
              <w:pStyle w:val="635"/>
              <w:jc w:val="center"/>
              <w:keepLines w:val="0"/>
              <w:keepNext w:val="0"/>
              <w:pageBreakBefore w:val="0"/>
              <w:spacing w:beforeAutospacing="0" w:afterAutospacing="0" w:line="240" w:lineRule="auto"/>
              <w:rPr>
                <w:rFonts w:hint="eastAsia" w:asciiTheme="majorEastAsia" w:hAnsiTheme="majorEastAsia" w:eastAsiaTheme="majorEastAsia" w:cstheme="majorEastAsia"/>
                <w:color w:val="auto"/>
                <w:sz w:val="22"/>
                <w:szCs w:val="22"/>
                <w:highlight w:val="none"/>
                <w:shd w:val="clear" w:color="auto" w:fill="auto"/>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91"/>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接待室灯光系统</w:t>
            </w:r>
            <w:r/>
          </w:p>
        </w:tc>
        <w:tc>
          <w:tcPr>
            <w:shd w:val="clear" w:color="auto" w:fill="auto"/>
            <w:tcW w:w="3643" w:type="dxa"/>
            <w:vAlign w:val="center"/>
            <w:textDirection w:val="lrTb"/>
            <w:noWrap w:val="false"/>
          </w:tcPr>
          <w:p>
            <w:pPr>
              <w:pStyle w:val="635"/>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91"/>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接待室空调系统</w:t>
            </w:r>
            <w:r/>
          </w:p>
        </w:tc>
        <w:tc>
          <w:tcPr>
            <w:shd w:val="clear" w:color="auto" w:fill="auto"/>
            <w:tcW w:w="3643" w:type="dxa"/>
            <w:vAlign w:val="center"/>
            <w:textDirection w:val="lrTb"/>
            <w:noWrap w:val="false"/>
          </w:tcPr>
          <w:p>
            <w:pPr>
              <w:pStyle w:val="635"/>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91"/>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室内遮光帘</w:t>
            </w:r>
            <w:r/>
          </w:p>
        </w:tc>
        <w:tc>
          <w:tcPr>
            <w:shd w:val="clear" w:color="auto" w:fill="auto"/>
            <w:tcW w:w="3643" w:type="dxa"/>
            <w:vAlign w:val="center"/>
            <w:textDirection w:val="lrTb"/>
            <w:noWrap w:val="false"/>
          </w:tcPr>
          <w:p>
            <w:pPr>
              <w:pStyle w:val="635"/>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35"/>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音乐教室1木制艺术造型展览板</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音乐教室1木制艺术造型</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bookmarkStart w:id="172" w:name="_Toc120614281"/>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音乐教室1音响系统</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音乐智慧黑板一体机焕新</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90"/>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W w:w="4052"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数字音乐教学软件</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软件和信息技术服务业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MIDI键盘控制器</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五线谱电教板</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音乐教室1空调系统</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90"/>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音乐教室2木制艺术造型展览板</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音乐教室2木制艺术造型</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音乐教室2音响系统</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音乐教室2定制乐谱架</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音乐教室2空调系统</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音乐教室3顶部装配</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音乐教室3照明系统</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音乐教室3木制艺术造型展览板</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音乐教室3木制艺术造型A</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音乐教室3木制艺术造型B</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音乐教室3功放音响设备</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音乐教室3桌椅套装</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音乐教室1、2、3地面艺术处理</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小提琴</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中提琴</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大提琴</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长笛</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双簧管</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单簧管</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小号</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长号</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音乐教室3空调系统</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43</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音乐教室4木制艺术造型展览板</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音乐教室4木制艺术造型</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音乐教室4顶部装配</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46</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音乐教室4照明系统</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47</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音乐教室4音响功放系统</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48</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音乐教室4空调系统</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49</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音乐教室4培训椅子</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音乐教室4地面地塑</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51</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器乐兼排练室顶部装配</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52</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器乐兼排练室照明系统</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53</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器乐兼排练室金属艺术造型</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54</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器乐兼排练室木质艺术展览板A</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55</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器乐兼排练室木质艺术展览板A</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56</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器乐兼排练室储物柜</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57</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衣服架子</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58</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器乐兼排练室空调系统</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59</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美术作品兼仓库室功能储物造型</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美术作品兼仓库室功能储物矮柜</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61</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美术作品兼仓库室木制艺术展览板</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62</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写生教具2（几何形体）</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63</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静物台衬布</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64</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定制写生教具套装</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65</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美术清洁工具套装</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66</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美术作品兼仓库室空调系统</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67</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美术作品兼仓库室顶部装配</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68</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美术作品兼仓库室灯光系统</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69</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美术教室1顶部艺术装配</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70</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美术教室1灯光系统</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71</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美术教室1木制艺术造型展览板</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72</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美术教室1木制艺术造型</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73</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调色板</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74</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数位屏绘画系统</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i w:val="0"/>
                <w:iCs w:val="0"/>
                <w:caps w:val="0"/>
                <w:spacing w:val="0"/>
                <w:sz w:val="22"/>
                <w:szCs w:val="22"/>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75</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美术智慧黑板一体机焕新</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76</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美术教学软件</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i w:val="0"/>
                <w:iCs w:val="0"/>
                <w:caps w:val="0"/>
                <w:spacing w:val="0"/>
                <w:sz w:val="22"/>
                <w:szCs w:val="22"/>
              </w:rPr>
              <w:t xml:space="preserve">软件和信息技术服务业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77</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美术教室1空调系统</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78</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美术教室1桌子</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79</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美术教室1椅子</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80</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美术教室2顶部艺术装配</w:t>
            </w:r>
            <w:r/>
          </w:p>
        </w:tc>
        <w:tc>
          <w:tcPr>
            <w:shd w:val="clear" w:color="auto" w:fill="auto"/>
            <w:tcW w:w="3643" w:type="dxa"/>
            <w:vAlign w:val="center"/>
            <w:textDirection w:val="lrTb"/>
            <w:noWrap w:val="false"/>
          </w:tcPr>
          <w:p>
            <w:pPr>
              <w:jc w:val="center"/>
              <w:spacing w:beforeAutospacing="0" w:afterAutospacing="0" w:line="0" w:lineRule="atLeast"/>
              <w:rPr>
                <w:rFonts w:hint="default"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81</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美术教室2灯光系统</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82</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美术教室2木制艺术造型</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83</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美术教室2木制艺术展览板</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84</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美术教室2功能储物柜</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85</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画架</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86</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美术教室2水彩颜料套装</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87</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美术教室2彩铅教学套装</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88</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美术教室2桌子</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89</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美术教室2培训椅</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90</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美术教室2空调系统</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91</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美术教室3顶部艺术装配</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92</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美术教室3灯光系统</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93</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美术教室3木制艺术造型</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94</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美术教室3木制艺术展览板</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95</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美术教室3功能储物矮柜</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96</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画时电子绘画板</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97</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定制作品展示画框</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98</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美术教室3空调系统</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99</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美术办公室兼作品展室木制艺术展览板</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100</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美术办公室室兼作品展室顶部艺术装配</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101</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美术办公室兼作品展室灯光系统</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102</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美术办公室兼作品展室空调系统</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103</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音乐办公室兼琴房木制艺术造型展览板</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104</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音乐办公室兼琴房顶部艺术装配</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105</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音乐办公室兼琴房灯光系统</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106</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音乐办公室兼琴房空调系统</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107</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琴房木制隔断造型</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108</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琴房定制木制艺术造型展览板</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109</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琴房空调系统</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110</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音乐美术区卫生间顶部艺术装配</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111</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音乐美术区卫生间灯光系统</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112</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卫生间装潢改造</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113</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公共区域装饰改造</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114</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教室、办公室地塑</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bl>
    <w:p>
      <w:pPr>
        <w:pStyle w:val="63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35"/>
        <w:ind w:firstLine="602"/>
        <w:jc w:val="both"/>
        <w:spacing w:beforeAutospacing="0" w:afterAutospacing="0"/>
        <w:rPr>
          <w:highlight w:val="none"/>
        </w:rPr>
      </w:pPr>
      <w:r>
        <w:rPr>
          <w:highlight w:val="none"/>
        </w:rPr>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clear="all"/>
      </w:r>
      <w:r/>
    </w:p>
    <w:p>
      <w:pPr>
        <w:jc w:val="center"/>
        <w:rPr>
          <w:highlight w:val="none"/>
        </w:rPr>
      </w:pP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 xml:space="preserve">评标方法与评标标准</w:t>
      </w:r>
      <w:r/>
    </w:p>
    <w:p>
      <w:pPr>
        <w:pStyle w:val="635"/>
        <w:jc w:val="both"/>
        <w:spacing w:beforeAutospacing="0" w:afterAutospacing="0"/>
        <w:rPr>
          <w:highlight w:val="none"/>
        </w:rPr>
      </w:pPr>
      <w:r>
        <w:rPr>
          <w:highlight w:val="none"/>
        </w:rPr>
        <w:t xml:space="preserve"> </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635"/>
        <w:ind w:firstLine="441"/>
        <w:spacing w:before="120" w:beforeAutospacing="0" w:after="12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政府采购政策功能落实</w:t>
      </w:r>
      <w:r/>
    </w:p>
    <w:p>
      <w:pPr>
        <w:pStyle w:val="635"/>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1、小微型企业价格扣除</w:t>
      </w:r>
      <w:r/>
    </w:p>
    <w:p>
      <w:pPr>
        <w:pStyle w:val="642"/>
        <w:ind w:firstLine="36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（1）本项目若不专门面向中小企业采购，对</w:t>
      </w:r>
      <w:r>
        <w:rPr>
          <w:rFonts w:hint="eastAsia" w:ascii="宋体" w:hAnsi="宋体" w:eastAsia="宋体" w:cs="宋体"/>
          <w:sz w:val="24"/>
          <w:szCs w:val="24"/>
          <w:highlight w:val="none"/>
          <w:lang w:val="en-US" w:eastAsia="zh-CN"/>
        </w:rPr>
        <w:t xml:space="preserve">符合规定的</w:t>
      </w:r>
      <w:r>
        <w:rPr>
          <w:rFonts w:hint="eastAsia" w:ascii="宋体" w:hAnsi="宋体" w:eastAsia="宋体" w:cs="宋体"/>
          <w:sz w:val="24"/>
          <w:szCs w:val="24"/>
          <w:highlight w:val="none"/>
        </w:rPr>
        <w:t xml:space="preserve">小型和微型企业</w:t>
      </w:r>
      <w:r>
        <w:rPr>
          <w:rFonts w:hint="eastAsia" w:ascii="宋体" w:hAnsi="宋体" w:eastAsia="宋体" w:cs="宋体"/>
          <w:sz w:val="24"/>
          <w:szCs w:val="24"/>
          <w:highlight w:val="none"/>
          <w:lang w:val="en-US" w:eastAsia="zh-CN"/>
        </w:rPr>
        <w:t xml:space="preserve">报价</w:t>
      </w:r>
      <w:r>
        <w:rPr>
          <w:rFonts w:hint="eastAsia" w:ascii="宋体" w:hAnsi="宋体" w:eastAsia="宋体" w:cs="宋体"/>
          <w:sz w:val="24"/>
          <w:szCs w:val="24"/>
          <w:highlight w:val="none"/>
        </w:rPr>
        <w:t xml:space="preserve">给予20%的扣除价格，用扣除后的价格参与评审；若专门面向中小企业采购，不再对小型和微型企业</w:t>
      </w:r>
      <w:r>
        <w:rPr>
          <w:rFonts w:hint="eastAsia" w:ascii="宋体" w:hAnsi="宋体" w:eastAsia="宋体" w:cs="宋体"/>
          <w:sz w:val="24"/>
          <w:szCs w:val="24"/>
          <w:highlight w:val="none"/>
          <w:lang w:val="en-US" w:eastAsia="zh-CN"/>
        </w:rPr>
        <w:t xml:space="preserve">报价</w:t>
      </w:r>
      <w:r>
        <w:rPr>
          <w:rFonts w:hint="eastAsia" w:ascii="宋体" w:hAnsi="宋体" w:eastAsia="宋体" w:cs="宋体"/>
          <w:sz w:val="24"/>
          <w:szCs w:val="24"/>
          <w:highlight w:val="none"/>
        </w:rPr>
        <w:t xml:space="preserve">给予价格扣除。</w:t>
      </w:r>
      <w:r/>
    </w:p>
    <w:p>
      <w:pPr>
        <w:pStyle w:val="635"/>
        <w:ind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（2）供应商需按照采购文件的要求提供相应的《</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企业声明函</w:t>
      </w:r>
      <w:r>
        <w:rPr>
          <w:rFonts w:hint="eastAsia" w:ascii="宋体" w:hAnsi="宋体" w:eastAsia="宋体" w:cs="宋体"/>
          <w:color w:val="000000"/>
          <w:sz w:val="24"/>
          <w:szCs w:val="24"/>
          <w:highlight w:val="none"/>
        </w:rPr>
        <w:t xml:space="preserve">》。</w:t>
      </w:r>
      <w:r/>
    </w:p>
    <w:p>
      <w:pPr>
        <w:pStyle w:val="635"/>
        <w:ind w:firstLine="36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（3）企业标准请参照《关于印发中小企业划型标准规定的通知》（工信部联企业</w:t>
      </w:r>
      <w:r>
        <w:rPr>
          <w:rFonts w:hint="eastAsia" w:ascii="宋体" w:hAnsi="宋体" w:eastAsia="宋体" w:cs="宋体"/>
          <w:color w:val="000000"/>
          <w:sz w:val="24"/>
          <w:szCs w:val="24"/>
          <w:highlight w:val="none"/>
          <w:lang w:eastAsia="zh-CN"/>
        </w:rPr>
        <w:t xml:space="preserve">〔2011〕300号</w:t>
      </w:r>
      <w:r>
        <w:rPr>
          <w:rFonts w:hint="eastAsia" w:ascii="宋体" w:hAnsi="宋体" w:eastAsia="宋体" w:cs="宋体"/>
          <w:color w:val="000000"/>
          <w:sz w:val="24"/>
          <w:szCs w:val="24"/>
          <w:highlight w:val="none"/>
        </w:rPr>
        <w:t xml:space="preserve">）文件规定自行填写。</w:t>
      </w:r>
      <w:r/>
    </w:p>
    <w:p>
      <w:pPr>
        <w:pStyle w:val="642"/>
        <w:ind w:firstLine="360"/>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注：本项目为货物类项目，货物应当全部由中小企业制造且使用该中小企业商号或者注册商标，方可享受中小企业扶持政策，不对其中涉及的工程承建商作出要求。</w:t>
      </w:r>
      <w:r/>
    </w:p>
    <w:p>
      <w:pPr>
        <w:pStyle w:val="635"/>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2、残疾人福利单位价格扣除</w:t>
      </w:r>
      <w:r/>
    </w:p>
    <w:p>
      <w:pPr>
        <w:pStyle w:val="635"/>
        <w:ind w:left="120" w:firstLine="360"/>
        <w:spacing w:before="120" w:beforeAutospacing="0" w:after="120" w:afterAutospacing="0" w:line="0" w:lineRule="atLeast"/>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（1）本项目对残疾人福利性单位视同小型、微型企业，给予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p>
    <w:p>
      <w:pPr>
        <w:pStyle w:val="635"/>
        <w:ind w:left="120"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（2）残疾人福利单位需按照采购文件的要求提供《残疾人福利性单位声明函》。</w:t>
      </w:r>
      <w:r/>
    </w:p>
    <w:p>
      <w:pPr>
        <w:pStyle w:val="635"/>
        <w:ind w:left="120"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（3）残疾人福利单位标准请参照《关于促进残疾人就业政府采购政策的通知》（财库〔2017〕141号）。</w:t>
      </w:r>
      <w:r/>
    </w:p>
    <w:p>
      <w:pPr>
        <w:pStyle w:val="635"/>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3、监狱和戒毒企业价格扣除</w:t>
      </w:r>
      <w:r/>
    </w:p>
    <w:p>
      <w:pPr>
        <w:pStyle w:val="635"/>
        <w:ind w:firstLine="480"/>
        <w:spacing w:before="120" w:beforeAutospacing="0" w:after="120" w:afterAutospacing="0" w:line="0" w:lineRule="atLeast"/>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（1）本项目对监狱和戒毒企业（简称监狱企业）视同小型、微型企业，给予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p>
    <w:p>
      <w:pPr>
        <w:pStyle w:val="635"/>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35"/>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（3）监狱企业标准请参照《关于政府采购支持监狱企业发展有关问题的通知》（财库</w:t>
      </w:r>
      <w:r>
        <w:rPr>
          <w:rFonts w:hint="eastAsia" w:ascii="宋体" w:hAnsi="宋体" w:eastAsia="宋体" w:cs="宋体"/>
          <w:color w:val="000000"/>
          <w:sz w:val="24"/>
          <w:szCs w:val="24"/>
          <w:highlight w:val="none"/>
          <w:lang w:eastAsia="zh-CN"/>
        </w:rPr>
        <w:t xml:space="preserve">〔2014〕68号</w:t>
      </w:r>
      <w:r>
        <w:rPr>
          <w:rFonts w:hint="eastAsia" w:ascii="宋体" w:hAnsi="宋体" w:eastAsia="宋体" w:cs="宋体"/>
          <w:color w:val="000000"/>
          <w:sz w:val="24"/>
          <w:szCs w:val="24"/>
          <w:highlight w:val="none"/>
        </w:rPr>
        <w:t xml:space="preserve">）。</w:t>
      </w:r>
      <w:r/>
    </w:p>
    <w:p>
      <w:pPr>
        <w:pStyle w:val="635"/>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4、残疾人福利单位、监狱企业属于小型、微型企业的，不重复享受政策。</w:t>
      </w:r>
      <w:r/>
    </w:p>
    <w:p>
      <w:pPr>
        <w:pStyle w:val="635"/>
        <w:ind w:firstLine="48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sz w:val="24"/>
          <w:szCs w:val="24"/>
          <w:highlight w:val="none"/>
          <w:u w:val="single"/>
        </w:rPr>
        <w:t xml:space="preserve">6%</w:t>
      </w:r>
      <w:r>
        <w:rPr>
          <w:rFonts w:hint="eastAsia" w:ascii="宋体" w:hAnsi="宋体" w:eastAsia="宋体" w:cs="宋体"/>
          <w:color w:val="000000"/>
          <w:sz w:val="24"/>
          <w:szCs w:val="24"/>
          <w:highlight w:val="none"/>
        </w:rPr>
        <w:t xml:space="preserve">的价格扣除，用扣除后的价格参与评审。</w:t>
      </w:r>
      <w:r/>
    </w:p>
    <w:p>
      <w:pPr>
        <w:pStyle w:val="635"/>
        <w:ind w:firstLine="480"/>
        <w:spacing w:before="120" w:beforeAutospacing="0" w:after="120" w:afterAutospacing="0" w:line="0" w:lineRule="atLeast"/>
        <w:rPr>
          <w:rFonts w:hint="eastAsia" w:ascii="宋体" w:hAnsi="宋体" w:eastAsia="宋体" w:cs="宋体"/>
          <w:color w:val="auto"/>
          <w:sz w:val="24"/>
          <w:szCs w:val="24"/>
          <w:highlight w:val="none"/>
          <w:u w:val="single"/>
        </w:rPr>
      </w:pPr>
      <w:r>
        <w:rPr>
          <w:rFonts w:hint="eastAsia" w:ascii="宋体" w:hAnsi="宋体" w:eastAsia="宋体" w:cs="宋体"/>
          <w:color w:val="000000"/>
          <w:sz w:val="24"/>
          <w:szCs w:val="24"/>
          <w:highlight w:val="none"/>
        </w:rPr>
        <w:t xml:space="preserve">6、联合体各方均为小型、微型企业（残疾人福利单位、监狱企业）的，联合</w:t>
      </w:r>
      <w:r>
        <w:rPr>
          <w:rFonts w:hint="eastAsia" w:ascii="宋体" w:hAnsi="宋体" w:eastAsia="宋体" w:cs="宋体"/>
          <w:color w:val="auto"/>
          <w:sz w:val="24"/>
          <w:szCs w:val="24"/>
          <w:highlight w:val="none"/>
        </w:rPr>
        <w:t xml:space="preserve">体享受</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pStyle w:val="635"/>
        <w:ind w:firstLine="482"/>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评标方法与评标标准</w:t>
      </w:r>
      <w:r/>
    </w:p>
    <w:tbl>
      <w:tblPr>
        <w:tblStyle w:val="628"/>
        <w:tblW w:w="91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5"/>
        <w:gridCol w:w="1236"/>
        <w:gridCol w:w="1495"/>
        <w:gridCol w:w="993"/>
        <w:gridCol w:w="4838"/>
      </w:tblGrid>
      <w:tr>
        <w:trPr>
          <w:jc w:val="center"/>
          <w:trHeight w:val="574"/>
        </w:trPr>
        <w:tc>
          <w:tcPr>
            <w:tcBorders>
              <w:top w:val="single" w:color="auto" w:sz="4" w:space="0"/>
              <w:left w:val="single" w:color="auto" w:sz="4" w:space="0"/>
              <w:bottom w:val="single" w:color="auto" w:sz="4" w:space="0"/>
              <w:right w:val="single" w:color="auto" w:sz="4" w:space="0"/>
            </w:tcBorders>
            <w:tcW w:w="635" w:type="dxa"/>
            <w:vAlign w:val="center"/>
            <w:textDirection w:val="lrTb"/>
            <w:noWrap w:val="false"/>
          </w:tcPr>
          <w:p>
            <w:pPr>
              <w:jc w:val="center"/>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rPr>
            </w:pPr>
            <w:r>
              <w:rPr>
                <w:rFonts w:hint="eastAsia" w:asciiTheme="majorEastAsia" w:hAnsiTheme="majorEastAsia" w:eastAsiaTheme="majorEastAsia" w:cstheme="majorEastAsia"/>
                <w:b w:val="0"/>
                <w:bCs w:val="0"/>
                <w:color w:val="000000"/>
                <w:sz w:val="21"/>
                <w:szCs w:val="21"/>
                <w:highlight w:val="none"/>
              </w:rPr>
              <w:t xml:space="preserve">序</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rPr>
            </w:pPr>
            <w:r>
              <w:rPr>
                <w:rFonts w:hint="eastAsia" w:asciiTheme="majorEastAsia" w:hAnsiTheme="majorEastAsia" w:eastAsiaTheme="majorEastAsia" w:cstheme="majorEastAsia"/>
                <w:b w:val="0"/>
                <w:bCs w:val="0"/>
                <w:color w:val="000000"/>
                <w:sz w:val="21"/>
                <w:szCs w:val="21"/>
                <w:highlight w:val="none"/>
              </w:rPr>
              <w:t xml:space="preserve">分部内容</w:t>
            </w:r>
            <w:r/>
          </w:p>
        </w:tc>
        <w:tc>
          <w:tcPr>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jc w:val="center"/>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rPr>
            </w:pPr>
            <w:r>
              <w:rPr>
                <w:rFonts w:hint="eastAsia" w:asciiTheme="majorEastAsia" w:hAnsiTheme="majorEastAsia" w:eastAsiaTheme="majorEastAsia" w:cstheme="majorEastAsia"/>
                <w:b w:val="0"/>
                <w:bCs w:val="0"/>
                <w:color w:val="000000"/>
                <w:sz w:val="21"/>
                <w:szCs w:val="21"/>
                <w:highlight w:val="none"/>
              </w:rPr>
              <w:t xml:space="preserve">分项内容</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rPr>
            </w:pPr>
            <w:r>
              <w:rPr>
                <w:rFonts w:hint="eastAsia" w:asciiTheme="majorEastAsia" w:hAnsiTheme="majorEastAsia" w:eastAsiaTheme="majorEastAsia" w:cstheme="majorEastAsia"/>
                <w:b w:val="0"/>
                <w:bCs w:val="0"/>
                <w:color w:val="000000"/>
                <w:sz w:val="21"/>
                <w:szCs w:val="21"/>
                <w:highlight w:val="none"/>
              </w:rPr>
              <w:t xml:space="preserve">分值</w:t>
            </w:r>
            <w:r/>
          </w:p>
        </w:tc>
        <w:tc>
          <w:tcPr>
            <w:tcBorders>
              <w:top w:val="single" w:color="auto" w:sz="4" w:space="0"/>
              <w:left w:val="single" w:color="auto" w:sz="4" w:space="0"/>
              <w:bottom w:val="single" w:color="auto" w:sz="4" w:space="0"/>
              <w:right w:val="single" w:color="auto" w:sz="4" w:space="0"/>
            </w:tcBorders>
            <w:tcW w:w="4838" w:type="dxa"/>
            <w:vAlign w:val="center"/>
            <w:textDirection w:val="lrTb"/>
            <w:noWrap w:val="false"/>
          </w:tcPr>
          <w:p>
            <w:pPr>
              <w:ind w:firstLine="420"/>
              <w:jc w:val="center"/>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rPr>
            </w:pPr>
            <w:r>
              <w:rPr>
                <w:rFonts w:hint="eastAsia" w:asciiTheme="majorEastAsia" w:hAnsiTheme="majorEastAsia" w:eastAsiaTheme="majorEastAsia" w:cstheme="majorEastAsia"/>
                <w:b w:val="0"/>
                <w:bCs w:val="0"/>
                <w:color w:val="000000"/>
                <w:sz w:val="21"/>
                <w:szCs w:val="21"/>
                <w:highlight w:val="none"/>
              </w:rPr>
              <w:t xml:space="preserve">打分要求</w:t>
            </w:r>
            <w:r/>
          </w:p>
        </w:tc>
      </w:tr>
      <w:tr>
        <w:trPr>
          <w:jc w:val="center"/>
          <w:trHeight w:val="867"/>
        </w:trPr>
        <w:tc>
          <w:tcPr>
            <w:tcBorders>
              <w:top w:val="single" w:color="auto" w:sz="4" w:space="0"/>
              <w:left w:val="single" w:color="auto" w:sz="4" w:space="0"/>
              <w:bottom w:val="single" w:color="auto" w:sz="4" w:space="0"/>
              <w:right w:val="single" w:color="auto" w:sz="4" w:space="0"/>
            </w:tcBorders>
            <w:tcW w:w="635" w:type="dxa"/>
            <w:vAlign w:val="center"/>
            <w:textDirection w:val="lrTb"/>
            <w:noWrap w:val="false"/>
          </w:tcPr>
          <w:p>
            <w:pPr>
              <w:jc w:val="center"/>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lang w:val="en-US" w:eastAsia="zh-CN"/>
              </w:rPr>
            </w:pPr>
            <w:r>
              <w:rPr>
                <w:rFonts w:hint="eastAsia" w:asciiTheme="majorEastAsia" w:hAnsiTheme="majorEastAsia" w:eastAsiaTheme="majorEastAsia" w:cstheme="majorEastAsia"/>
                <w:b w:val="0"/>
                <w:bCs w:val="0"/>
                <w:color w:val="000000"/>
                <w:sz w:val="21"/>
                <w:szCs w:val="21"/>
                <w:highlight w:val="none"/>
                <w:lang w:val="en-US" w:eastAsia="zh-CN"/>
              </w:rPr>
              <w:t xml:space="preserve">一</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rPr>
            </w:pPr>
            <w:r>
              <w:rPr>
                <w:rFonts w:hint="eastAsia" w:asciiTheme="majorEastAsia" w:hAnsiTheme="majorEastAsia" w:eastAsiaTheme="majorEastAsia" w:cstheme="majorEastAsia"/>
                <w:b w:val="0"/>
                <w:bCs w:val="0"/>
                <w:color w:val="000000"/>
                <w:sz w:val="21"/>
                <w:szCs w:val="21"/>
                <w:highlight w:val="none"/>
              </w:rPr>
              <w:t xml:space="preserve">价格部分</w:t>
            </w:r>
            <w:r/>
          </w:p>
        </w:tc>
        <w:tc>
          <w:tcPr>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jc w:val="center"/>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rPr>
            </w:pPr>
            <w:r>
              <w:rPr>
                <w:rFonts w:hint="eastAsia" w:asciiTheme="majorEastAsia" w:hAnsiTheme="majorEastAsia" w:eastAsiaTheme="majorEastAsia" w:cstheme="majorEastAsia"/>
                <w:b w:val="0"/>
                <w:bCs w:val="0"/>
                <w:color w:val="000000"/>
                <w:sz w:val="21"/>
                <w:szCs w:val="21"/>
                <w:highlight w:val="none"/>
                <w:lang w:val="en-US" w:eastAsia="zh-CN"/>
              </w:rPr>
              <w:t xml:space="preserve">投标</w:t>
            </w:r>
            <w:r>
              <w:rPr>
                <w:rFonts w:hint="eastAsia" w:asciiTheme="majorEastAsia" w:hAnsiTheme="majorEastAsia" w:eastAsiaTheme="majorEastAsia" w:cstheme="majorEastAsia"/>
                <w:b w:val="0"/>
                <w:bCs w:val="0"/>
                <w:color w:val="000000"/>
                <w:sz w:val="21"/>
                <w:szCs w:val="21"/>
                <w:highlight w:val="none"/>
              </w:rPr>
              <w:t xml:space="preserve">报价</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lang w:val="en-US"/>
              </w:rPr>
            </w:pPr>
            <w:r>
              <w:rPr>
                <w:rFonts w:hint="eastAsia" w:asciiTheme="majorEastAsia" w:hAnsiTheme="majorEastAsia" w:eastAsiaTheme="majorEastAsia" w:cstheme="majorEastAsia"/>
                <w:b w:val="0"/>
                <w:bCs w:val="0"/>
                <w:color w:val="000000"/>
                <w:sz w:val="21"/>
                <w:szCs w:val="21"/>
                <w:highlight w:val="none"/>
                <w:lang w:val="en-US" w:eastAsia="zh-CN"/>
              </w:rPr>
              <w:t xml:space="preserve">30分</w:t>
            </w:r>
            <w:r/>
          </w:p>
        </w:tc>
        <w:tc>
          <w:tcPr>
            <w:tcBorders>
              <w:top w:val="single" w:color="auto" w:sz="4" w:space="0"/>
              <w:left w:val="single" w:color="auto" w:sz="4" w:space="0"/>
              <w:bottom w:val="single" w:color="auto" w:sz="4" w:space="0"/>
              <w:right w:val="single" w:color="auto" w:sz="4" w:space="0"/>
            </w:tcBorders>
            <w:tcW w:w="4838" w:type="dxa"/>
            <w:vAlign w:val="center"/>
            <w:textDirection w:val="lrTb"/>
            <w:noWrap w:val="false"/>
          </w:tcPr>
          <w:p>
            <w:pPr>
              <w:ind w:firstLine="420"/>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rPr>
            </w:pPr>
            <w:r>
              <w:rPr>
                <w:rFonts w:hint="eastAsia" w:asciiTheme="majorEastAsia" w:hAnsiTheme="majorEastAsia" w:eastAsiaTheme="majorEastAsia" w:cstheme="majorEastAsia"/>
                <w:b w:val="0"/>
                <w:bCs w:val="0"/>
                <w:color w:val="000000"/>
                <w:sz w:val="21"/>
                <w:szCs w:val="21"/>
                <w:highlight w:val="none"/>
                <w:lang w:val="en-US" w:eastAsia="zh-CN"/>
              </w:rPr>
              <w:t xml:space="preserve">满足招标文件要求且投标价格最低的投标报价为基准价，其价格分为满分。报价得分=(评标基准价/投标报价)×30。</w:t>
            </w:r>
            <w:r/>
          </w:p>
        </w:tc>
      </w:tr>
      <w:tr>
        <w:trPr>
          <w:jc w:val="center"/>
          <w:trHeight w:val="2255"/>
        </w:trPr>
        <w:tc>
          <w:tcPr>
            <w:tcBorders>
              <w:top w:val="single" w:color="auto" w:sz="4" w:space="0"/>
              <w:left w:val="single" w:color="auto" w:sz="4" w:space="0"/>
              <w:right w:val="single" w:color="auto" w:sz="4" w:space="0"/>
            </w:tcBorders>
            <w:tcW w:w="635" w:type="dxa"/>
            <w:vAlign w:val="center"/>
            <w:vMerge w:val="restart"/>
            <w:textDirection w:val="lrTb"/>
            <w:noWrap w:val="false"/>
          </w:tcPr>
          <w:p>
            <w:pPr>
              <w:jc w:val="center"/>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lang w:val="en-US" w:eastAsia="zh-CN"/>
              </w:rPr>
            </w:pPr>
            <w:r>
              <w:rPr>
                <w:rFonts w:hint="eastAsia" w:asciiTheme="majorEastAsia" w:hAnsiTheme="majorEastAsia" w:eastAsiaTheme="majorEastAsia" w:cstheme="majorEastAsia"/>
                <w:b w:val="0"/>
                <w:bCs w:val="0"/>
                <w:color w:val="000000"/>
                <w:sz w:val="21"/>
                <w:szCs w:val="21"/>
                <w:highlight w:val="none"/>
                <w:lang w:val="en-US" w:eastAsia="zh-CN"/>
              </w:rPr>
              <w:t xml:space="preserve">二</w:t>
            </w:r>
            <w:r/>
          </w:p>
        </w:tc>
        <w:tc>
          <w:tcPr>
            <w:tcBorders>
              <w:top w:val="single" w:color="auto" w:sz="4" w:space="0"/>
              <w:left w:val="single" w:color="auto" w:sz="4" w:space="0"/>
              <w:right w:val="single" w:color="auto" w:sz="4" w:space="0"/>
            </w:tcBorders>
            <w:tcW w:w="1236" w:type="dxa"/>
            <w:vAlign w:val="center"/>
            <w:vMerge w:val="restart"/>
            <w:textDirection w:val="lrTb"/>
            <w:noWrap w:val="false"/>
          </w:tcPr>
          <w:p>
            <w:pPr>
              <w:jc w:val="center"/>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lang w:val="en-US" w:eastAsia="zh-CN"/>
              </w:rPr>
            </w:pPr>
            <w:r>
              <w:rPr>
                <w:rFonts w:hint="eastAsia" w:asciiTheme="majorEastAsia" w:hAnsiTheme="majorEastAsia" w:eastAsiaTheme="majorEastAsia" w:cstheme="majorEastAsia"/>
                <w:b w:val="0"/>
                <w:bCs w:val="0"/>
                <w:color w:val="000000"/>
                <w:sz w:val="21"/>
                <w:szCs w:val="21"/>
                <w:highlight w:val="none"/>
                <w:lang w:val="en-US" w:eastAsia="zh-CN"/>
              </w:rPr>
              <w:t xml:space="preserve">技术部分</w:t>
            </w:r>
            <w:r/>
          </w:p>
        </w:tc>
        <w:tc>
          <w:tcPr>
            <w:shd w:val="clear" w:color="auto" w:fill="auto"/>
            <w:tcBorders>
              <w:top w:val="single" w:color="auto" w:sz="4" w:space="0"/>
              <w:left w:val="single" w:color="auto" w:sz="4" w:space="0"/>
              <w:right w:val="single" w:color="auto" w:sz="4" w:space="0"/>
            </w:tcBorders>
            <w:tcW w:w="1495" w:type="dxa"/>
            <w:vAlign w:val="center"/>
            <w:textDirection w:val="lrTb"/>
            <w:noWrap w:val="false"/>
          </w:tcPr>
          <w:p>
            <w:pPr>
              <w:jc w:val="center"/>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lang w:val="en-US" w:eastAsia="zh-CN"/>
              </w:rPr>
            </w:pPr>
            <w:r>
              <w:rPr>
                <w:rFonts w:hint="eastAsia" w:asciiTheme="majorEastAsia" w:hAnsiTheme="majorEastAsia" w:eastAsiaTheme="majorEastAsia" w:cstheme="majorEastAsia"/>
                <w:b w:val="0"/>
                <w:bCs w:val="0"/>
                <w:color w:val="000000"/>
                <w:sz w:val="21"/>
                <w:szCs w:val="21"/>
                <w:highlight w:val="none"/>
                <w:lang w:val="en-US" w:eastAsia="zh-CN"/>
              </w:rPr>
              <w:t xml:space="preserve">技术参数</w:t>
            </w:r>
            <w:r/>
          </w:p>
          <w:p>
            <w:pPr>
              <w:jc w:val="center"/>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lang w:val="en-US" w:eastAsia="zh-CN" w:bidi="ar-SA"/>
              </w:rPr>
            </w:pPr>
            <w:r>
              <w:rPr>
                <w:rFonts w:hint="eastAsia" w:asciiTheme="majorEastAsia" w:hAnsiTheme="majorEastAsia" w:eastAsiaTheme="majorEastAsia" w:cstheme="majorEastAsia"/>
                <w:b w:val="0"/>
                <w:bCs w:val="0"/>
                <w:color w:val="000000"/>
                <w:sz w:val="21"/>
                <w:szCs w:val="21"/>
                <w:highlight w:val="none"/>
                <w:lang w:val="en-US" w:eastAsia="zh-CN"/>
              </w:rPr>
              <w:t xml:space="preserve">响应情况</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lang w:val="en-US" w:eastAsia="zh-CN" w:bidi="ar-SA"/>
              </w:rPr>
            </w:pPr>
            <w:r>
              <w:rPr>
                <w:rFonts w:hint="eastAsia" w:asciiTheme="majorEastAsia" w:hAnsiTheme="majorEastAsia" w:eastAsiaTheme="majorEastAsia" w:cstheme="majorEastAsia"/>
                <w:b w:val="0"/>
                <w:bCs w:val="0"/>
                <w:color w:val="000000"/>
                <w:sz w:val="21"/>
                <w:szCs w:val="21"/>
                <w:highlight w:val="none"/>
                <w:lang w:val="en-US" w:eastAsia="zh-CN"/>
              </w:rPr>
              <w:t xml:space="preserve">36分</w:t>
            </w:r>
            <w:r/>
          </w:p>
        </w:tc>
        <w:tc>
          <w:tcPr>
            <w:tcBorders>
              <w:top w:val="single" w:color="auto" w:sz="4" w:space="0"/>
              <w:left w:val="single" w:color="auto" w:sz="4" w:space="0"/>
              <w:right w:val="single" w:color="auto" w:sz="4" w:space="0"/>
            </w:tcBorders>
            <w:tcW w:w="4838" w:type="dxa"/>
            <w:vAlign w:val="center"/>
            <w:textDirection w:val="lrTb"/>
            <w:noWrap w:val="false"/>
          </w:tcPr>
          <w:p>
            <w:pPr>
              <w:ind w:firstLine="420"/>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lang w:val="en-US" w:eastAsia="zh-CN"/>
              </w:rPr>
            </w:pPr>
            <w:r>
              <w:rPr>
                <w:rFonts w:hint="eastAsia" w:asciiTheme="majorEastAsia" w:hAnsiTheme="majorEastAsia" w:eastAsiaTheme="majorEastAsia" w:cstheme="majorEastAsia"/>
                <w:b w:val="0"/>
                <w:bCs w:val="0"/>
                <w:color w:val="000000"/>
                <w:sz w:val="21"/>
                <w:szCs w:val="21"/>
                <w:highlight w:val="none"/>
                <w:lang w:val="en-US" w:eastAsia="zh-CN"/>
              </w:rPr>
              <w:t xml:space="preserve">对招标需求书的要求进行评审（基础分36分），完全满足招标文件要求的不扣分；</w:t>
            </w:r>
            <w:r/>
          </w:p>
          <w:p>
            <w:pPr>
              <w:ind w:firstLine="420"/>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lang w:val="en-US" w:eastAsia="zh-CN"/>
              </w:rPr>
            </w:pPr>
            <w:r>
              <w:rPr>
                <w:rFonts w:hint="eastAsia" w:asciiTheme="majorEastAsia" w:hAnsiTheme="majorEastAsia" w:eastAsiaTheme="majorEastAsia" w:cstheme="majorEastAsia"/>
                <w:b w:val="0"/>
                <w:bCs w:val="0"/>
                <w:color w:val="000000"/>
                <w:sz w:val="21"/>
                <w:szCs w:val="21"/>
                <w:highlight w:val="none"/>
                <w:lang w:val="en-US" w:eastAsia="zh-CN"/>
              </w:rPr>
              <w:t xml:space="preserve">其中：标“★”指标为重点响应项，每发现一处负偏离扣1.5分，扣完为止。</w:t>
            </w:r>
            <w:r/>
          </w:p>
          <w:p>
            <w:pPr>
              <w:ind w:firstLine="420"/>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lang w:val="en-US" w:eastAsia="zh-CN"/>
              </w:rPr>
            </w:pPr>
            <w:r>
              <w:rPr>
                <w:rFonts w:hint="eastAsia" w:asciiTheme="majorEastAsia" w:hAnsiTheme="majorEastAsia" w:eastAsiaTheme="majorEastAsia" w:cstheme="majorEastAsia"/>
                <w:b w:val="0"/>
                <w:bCs w:val="0"/>
                <w:color w:val="000000"/>
                <w:sz w:val="21"/>
                <w:szCs w:val="21"/>
                <w:highlight w:val="none"/>
                <w:lang w:val="en-US" w:eastAsia="zh-CN"/>
              </w:rPr>
              <w:t xml:space="preserve">注：对于采购文件中需提供证明材料作为佐证的参数，供应商应按要求提供，否则视为负偏离。</w:t>
            </w:r>
            <w:r/>
          </w:p>
        </w:tc>
      </w:tr>
      <w:tr>
        <w:trPr>
          <w:jc w:val="center"/>
          <w:trHeight w:val="665"/>
        </w:trPr>
        <w:tc>
          <w:tcPr>
            <w:tcBorders>
              <w:left w:val="single" w:color="auto" w:sz="4" w:space="0"/>
              <w:right w:val="single" w:color="auto" w:sz="4" w:space="0"/>
            </w:tcBorders>
            <w:tcW w:w="635" w:type="dxa"/>
            <w:vAlign w:val="center"/>
            <w:vMerge w:val="continue"/>
            <w:textDirection w:val="lrTb"/>
            <w:noWrap w:val="false"/>
          </w:tcPr>
          <w:p>
            <w:pPr>
              <w:jc w:val="center"/>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lang w:val="en-US" w:eastAsia="zh-CN"/>
              </w:rPr>
            </w:pPr>
            <w:r>
              <w:rPr>
                <w:rFonts w:hint="eastAsia" w:asciiTheme="majorEastAsia" w:hAnsiTheme="majorEastAsia" w:eastAsiaTheme="majorEastAsia" w:cstheme="majorEastAsia"/>
                <w:b w:val="0"/>
                <w:bCs w:val="0"/>
                <w:color w:val="000000"/>
                <w:sz w:val="21"/>
                <w:szCs w:val="21"/>
                <w:highlight w:val="none"/>
                <w:lang w:val="en-US" w:eastAsia="zh-CN"/>
              </w:rPr>
            </w:r>
            <w:r/>
          </w:p>
        </w:tc>
        <w:tc>
          <w:tcPr>
            <w:tcBorders>
              <w:left w:val="single" w:color="auto" w:sz="4" w:space="0"/>
              <w:right w:val="single" w:color="auto" w:sz="4" w:space="0"/>
            </w:tcBorders>
            <w:tcW w:w="1236" w:type="dxa"/>
            <w:vAlign w:val="center"/>
            <w:vMerge w:val="continue"/>
            <w:textDirection w:val="lrTb"/>
            <w:noWrap w:val="false"/>
          </w:tcPr>
          <w:p>
            <w:pPr>
              <w:jc w:val="center"/>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lang w:val="en-US" w:eastAsia="zh-CN"/>
              </w:rPr>
            </w:pPr>
            <w:r>
              <w:rPr>
                <w:rFonts w:hint="eastAsia" w:asciiTheme="majorEastAsia" w:hAnsiTheme="majorEastAsia" w:eastAsiaTheme="majorEastAsia" w:cstheme="majorEastAsia"/>
                <w:b w:val="0"/>
                <w:bCs w:val="0"/>
                <w:color w:val="000000"/>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jc w:val="center"/>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lang w:val="en-US" w:eastAsia="zh-CN"/>
              </w:rPr>
            </w:pPr>
            <w:r>
              <w:rPr>
                <w:rFonts w:hint="eastAsia" w:asciiTheme="majorEastAsia" w:hAnsiTheme="majorEastAsia" w:eastAsiaTheme="majorEastAsia" w:cstheme="majorEastAsia"/>
                <w:b w:val="0"/>
                <w:bCs w:val="0"/>
                <w:color w:val="000000"/>
                <w:sz w:val="21"/>
                <w:szCs w:val="21"/>
                <w:highlight w:val="none"/>
                <w:lang w:val="en-US" w:eastAsia="zh-CN"/>
              </w:rPr>
              <w:t xml:space="preserve">售后服务</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lang w:val="en-US" w:eastAsia="zh-CN"/>
              </w:rPr>
            </w:pPr>
            <w:r>
              <w:rPr>
                <w:rFonts w:hint="eastAsia" w:asciiTheme="majorEastAsia" w:hAnsiTheme="majorEastAsia" w:eastAsiaTheme="majorEastAsia" w:cstheme="majorEastAsia"/>
                <w:b w:val="0"/>
                <w:bCs w:val="0"/>
                <w:color w:val="000000"/>
                <w:sz w:val="21"/>
                <w:szCs w:val="21"/>
                <w:highlight w:val="none"/>
                <w:lang w:val="en-US" w:eastAsia="zh-CN"/>
              </w:rPr>
              <w:t xml:space="preserve">8分</w:t>
            </w:r>
            <w:r/>
          </w:p>
        </w:tc>
        <w:tc>
          <w:tcPr>
            <w:tcBorders>
              <w:top w:val="single" w:color="auto" w:sz="4" w:space="0"/>
              <w:left w:val="single" w:color="auto" w:sz="4" w:space="0"/>
              <w:bottom w:val="single" w:color="auto" w:sz="4" w:space="0"/>
              <w:right w:val="single" w:color="auto" w:sz="4" w:space="0"/>
            </w:tcBorders>
            <w:tcW w:w="4838" w:type="dxa"/>
            <w:vAlign w:val="center"/>
            <w:textDirection w:val="lrTb"/>
            <w:noWrap w:val="false"/>
          </w:tcPr>
          <w:p>
            <w:pPr>
              <w:ind w:firstLine="420"/>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lang w:val="en-US" w:eastAsia="zh-CN"/>
              </w:rPr>
            </w:pPr>
            <w:r>
              <w:rPr>
                <w:rFonts w:hint="eastAsia" w:asciiTheme="majorEastAsia" w:hAnsiTheme="majorEastAsia" w:eastAsiaTheme="majorEastAsia" w:cstheme="majorEastAsia"/>
                <w:b w:val="0"/>
                <w:bCs w:val="0"/>
                <w:color w:val="000000"/>
                <w:sz w:val="21"/>
                <w:szCs w:val="21"/>
                <w:highlight w:val="none"/>
                <w:lang w:val="en-US" w:eastAsia="zh-CN"/>
              </w:rPr>
              <w:t xml:space="preserve">对投标人提供售后服务人员社保、售后服务计划、售后服务响应时间、售后服务方式方面进行综合评审，无任何缺项得8分，有任意一缺项扣2分。</w:t>
            </w:r>
            <w:r/>
          </w:p>
        </w:tc>
      </w:tr>
      <w:tr>
        <w:trPr>
          <w:jc w:val="center"/>
          <w:trHeight w:val="781"/>
        </w:trPr>
        <w:tc>
          <w:tcPr>
            <w:tcBorders>
              <w:left w:val="single" w:color="auto" w:sz="4" w:space="0"/>
              <w:right w:val="single" w:color="auto" w:sz="4" w:space="0"/>
            </w:tcBorders>
            <w:tcW w:w="635" w:type="dxa"/>
            <w:vAlign w:val="center"/>
            <w:vMerge w:val="continue"/>
            <w:textDirection w:val="lrTb"/>
            <w:noWrap w:val="false"/>
          </w:tcPr>
          <w:p>
            <w:pPr>
              <w:jc w:val="center"/>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rPr>
            </w:pPr>
            <w:r>
              <w:rPr>
                <w:rFonts w:hint="eastAsia" w:asciiTheme="majorEastAsia" w:hAnsiTheme="majorEastAsia" w:eastAsiaTheme="majorEastAsia" w:cstheme="majorEastAsia"/>
                <w:b w:val="0"/>
                <w:bCs w:val="0"/>
                <w:color w:val="000000"/>
                <w:sz w:val="21"/>
                <w:szCs w:val="21"/>
                <w:highlight w:val="none"/>
              </w:rPr>
            </w:r>
            <w:r/>
          </w:p>
        </w:tc>
        <w:tc>
          <w:tcPr>
            <w:tcBorders>
              <w:left w:val="single" w:color="auto" w:sz="4" w:space="0"/>
              <w:right w:val="single" w:color="auto" w:sz="4" w:space="0"/>
            </w:tcBorders>
            <w:tcW w:w="1236" w:type="dxa"/>
            <w:vAlign w:val="center"/>
            <w:vMerge w:val="continue"/>
            <w:textDirection w:val="lrTb"/>
            <w:noWrap w:val="false"/>
          </w:tcPr>
          <w:p>
            <w:pPr>
              <w:jc w:val="center"/>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rPr>
            </w:pPr>
            <w:r>
              <w:rPr>
                <w:rFonts w:hint="eastAsia" w:asciiTheme="majorEastAsia" w:hAnsiTheme="majorEastAsia" w:eastAsiaTheme="majorEastAsia" w:cstheme="majorEastAsia"/>
                <w:b w:val="0"/>
                <w:bCs w:val="0"/>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jc w:val="center"/>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lang w:val="en-US" w:eastAsia="zh-CN"/>
              </w:rPr>
            </w:pPr>
            <w:r>
              <w:rPr>
                <w:rFonts w:hint="eastAsia" w:asciiTheme="majorEastAsia" w:hAnsiTheme="majorEastAsia" w:eastAsiaTheme="majorEastAsia" w:cstheme="majorEastAsia"/>
                <w:b w:val="0"/>
                <w:bCs w:val="0"/>
                <w:color w:val="000000"/>
                <w:sz w:val="21"/>
                <w:szCs w:val="21"/>
                <w:highlight w:val="none"/>
                <w:lang w:val="en-US" w:eastAsia="zh-CN"/>
              </w:rPr>
              <w:t xml:space="preserve">           技术服务方案</w:t>
            </w:r>
            <w:r/>
          </w:p>
          <w:p>
            <w:pPr>
              <w:jc w:val="center"/>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lang w:val="en-US" w:eastAsia="zh-CN"/>
              </w:rPr>
            </w:pPr>
            <w:r>
              <w:rPr>
                <w:rFonts w:hint="eastAsia" w:asciiTheme="majorEastAsia" w:hAnsiTheme="majorEastAsia" w:eastAsiaTheme="majorEastAsia" w:cstheme="majorEastAsia"/>
                <w:b w:val="0"/>
                <w:bCs w:val="0"/>
                <w:color w:val="000000"/>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firstLine="210"/>
              <w:jc w:val="both"/>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lang w:val="en-US" w:eastAsia="zh-CN"/>
              </w:rPr>
            </w:pPr>
            <w:r>
              <w:rPr>
                <w:rFonts w:hint="eastAsia" w:asciiTheme="majorEastAsia" w:hAnsiTheme="majorEastAsia" w:eastAsiaTheme="majorEastAsia" w:cstheme="majorEastAsia"/>
                <w:b w:val="0"/>
                <w:bCs w:val="0"/>
                <w:color w:val="000000"/>
                <w:sz w:val="21"/>
                <w:szCs w:val="21"/>
                <w:highlight w:val="none"/>
                <w:lang w:val="en-US" w:eastAsia="zh-CN"/>
              </w:rPr>
              <w:t xml:space="preserve">6分</w:t>
            </w:r>
            <w:r/>
          </w:p>
        </w:tc>
        <w:tc>
          <w:tcPr>
            <w:tcBorders>
              <w:top w:val="single" w:color="auto" w:sz="4" w:space="0"/>
              <w:left w:val="single" w:color="auto" w:sz="4" w:space="0"/>
              <w:bottom w:val="single" w:color="auto" w:sz="4" w:space="0"/>
              <w:right w:val="single" w:color="auto" w:sz="4" w:space="0"/>
            </w:tcBorders>
            <w:tcW w:w="4838" w:type="dxa"/>
            <w:vAlign w:val="center"/>
            <w:textDirection w:val="lrTb"/>
            <w:noWrap w:val="false"/>
          </w:tcPr>
          <w:p>
            <w:pPr>
              <w:numPr>
                <w:ilvl w:val="0"/>
                <w:numId w:val="0"/>
              </w:numPr>
              <w:ind w:firstLine="420"/>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lang w:val="en-US" w:eastAsia="zh-CN"/>
              </w:rPr>
            </w:pPr>
            <w:r>
              <w:rPr>
                <w:rFonts w:hint="eastAsia" w:asciiTheme="majorEastAsia" w:hAnsiTheme="majorEastAsia" w:eastAsiaTheme="majorEastAsia" w:cstheme="majorEastAsia"/>
                <w:b w:val="0"/>
                <w:bCs w:val="0"/>
                <w:color w:val="000000"/>
                <w:sz w:val="21"/>
                <w:szCs w:val="21"/>
                <w:highlight w:val="none"/>
                <w:lang w:val="en-US" w:eastAsia="zh-CN"/>
              </w:rPr>
              <w:t xml:space="preserve">投标人提供的方案，需</w:t>
            </w:r>
            <w:r>
              <w:rPr>
                <w:rFonts w:hint="eastAsia" w:asciiTheme="majorEastAsia" w:hAnsiTheme="majorEastAsia" w:eastAsiaTheme="majorEastAsia" w:cstheme="majorEastAsia"/>
                <w:b w:val="0"/>
                <w:bCs w:val="0"/>
                <w:sz w:val="21"/>
                <w:szCs w:val="21"/>
              </w:rPr>
              <w:t xml:space="preserve">全面涵盖项目需求分析、服务内容规划、服务流程设计、资源保障、进度管理、质量管理</w:t>
            </w:r>
            <w:r>
              <w:rPr>
                <w:rFonts w:hint="eastAsia" w:asciiTheme="majorEastAsia" w:hAnsiTheme="majorEastAsia" w:eastAsiaTheme="majorEastAsia" w:cstheme="majorEastAsia"/>
                <w:b w:val="0"/>
                <w:bCs w:val="0"/>
                <w:sz w:val="21"/>
                <w:szCs w:val="21"/>
                <w:lang w:eastAsia="zh-CN"/>
              </w:rPr>
              <w:t xml:space="preserve">，</w:t>
            </w:r>
            <w:r>
              <w:rPr>
                <w:rFonts w:hint="eastAsia" w:asciiTheme="majorEastAsia" w:hAnsiTheme="majorEastAsia" w:eastAsiaTheme="majorEastAsia" w:cstheme="majorEastAsia"/>
                <w:b w:val="0"/>
                <w:bCs w:val="0"/>
                <w:sz w:val="21"/>
                <w:szCs w:val="21"/>
                <w:lang w:val="en-US" w:eastAsia="zh-CN"/>
              </w:rPr>
              <w:t xml:space="preserve">全面涵盖得6分，有任意一缺项扣1分。</w:t>
            </w:r>
            <w:r/>
          </w:p>
        </w:tc>
      </w:tr>
      <w:tr>
        <w:trPr>
          <w:jc w:val="center"/>
          <w:trHeight w:val="516"/>
        </w:trPr>
        <w:tc>
          <w:tcPr>
            <w:tcBorders>
              <w:left w:val="single" w:color="auto" w:sz="4" w:space="0"/>
              <w:right w:val="single" w:color="auto" w:sz="4" w:space="0"/>
            </w:tcBorders>
            <w:tcW w:w="635" w:type="dxa"/>
            <w:vAlign w:val="center"/>
            <w:vMerge w:val="continue"/>
            <w:textDirection w:val="lrTb"/>
            <w:noWrap w:val="false"/>
          </w:tcPr>
          <w:p>
            <w:pPr>
              <w:jc w:val="center"/>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rPr>
            </w:pPr>
            <w:r>
              <w:rPr>
                <w:rFonts w:hint="eastAsia" w:asciiTheme="majorEastAsia" w:hAnsiTheme="majorEastAsia" w:eastAsiaTheme="majorEastAsia" w:cstheme="majorEastAsia"/>
                <w:b w:val="0"/>
                <w:bCs w:val="0"/>
                <w:color w:val="000000"/>
                <w:sz w:val="21"/>
                <w:szCs w:val="21"/>
                <w:highlight w:val="none"/>
              </w:rPr>
            </w:r>
            <w:r/>
          </w:p>
        </w:tc>
        <w:tc>
          <w:tcPr>
            <w:tcBorders>
              <w:left w:val="single" w:color="auto" w:sz="4" w:space="0"/>
              <w:right w:val="single" w:color="auto" w:sz="4" w:space="0"/>
            </w:tcBorders>
            <w:tcW w:w="1236" w:type="dxa"/>
            <w:vAlign w:val="center"/>
            <w:vMerge w:val="continue"/>
            <w:textDirection w:val="lrTb"/>
            <w:noWrap w:val="false"/>
          </w:tcPr>
          <w:p>
            <w:pPr>
              <w:jc w:val="center"/>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rPr>
            </w:pPr>
            <w:r>
              <w:rPr>
                <w:rFonts w:hint="eastAsia" w:asciiTheme="majorEastAsia" w:hAnsiTheme="majorEastAsia" w:eastAsiaTheme="majorEastAsia" w:cstheme="majorEastAsia"/>
                <w:b w:val="0"/>
                <w:bCs w:val="0"/>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jc w:val="center"/>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lang w:val="en-US" w:eastAsia="zh-CN"/>
              </w:rPr>
            </w:pPr>
            <w:r>
              <w:rPr>
                <w:rFonts w:hint="eastAsia" w:asciiTheme="majorEastAsia" w:hAnsiTheme="majorEastAsia" w:eastAsiaTheme="majorEastAsia" w:cstheme="majorEastAsia"/>
                <w:b w:val="0"/>
                <w:bCs w:val="0"/>
                <w:color w:val="000000"/>
                <w:sz w:val="21"/>
                <w:szCs w:val="21"/>
                <w:highlight w:val="none"/>
                <w:lang w:val="en-US" w:eastAsia="zh-CN"/>
              </w:rPr>
              <w:t xml:space="preserve">项目实施方案</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lang w:val="en-US" w:eastAsia="zh-CN"/>
              </w:rPr>
            </w:pPr>
            <w:r>
              <w:rPr>
                <w:rFonts w:hint="eastAsia" w:asciiTheme="majorEastAsia" w:hAnsiTheme="majorEastAsia" w:eastAsiaTheme="majorEastAsia" w:cstheme="majorEastAsia"/>
                <w:b w:val="0"/>
                <w:bCs w:val="0"/>
                <w:color w:val="000000"/>
                <w:sz w:val="21"/>
                <w:szCs w:val="21"/>
                <w:highlight w:val="none"/>
                <w:lang w:val="en-US" w:eastAsia="zh-CN"/>
              </w:rPr>
              <w:t xml:space="preserve">8分</w:t>
            </w:r>
            <w:r/>
          </w:p>
        </w:tc>
        <w:tc>
          <w:tcPr>
            <w:tcBorders>
              <w:top w:val="single" w:color="auto" w:sz="4" w:space="0"/>
              <w:left w:val="single" w:color="auto" w:sz="4" w:space="0"/>
              <w:bottom w:val="single" w:color="auto" w:sz="4" w:space="0"/>
              <w:right w:val="single" w:color="auto" w:sz="4" w:space="0"/>
            </w:tcBorders>
            <w:tcW w:w="4838" w:type="dxa"/>
            <w:vAlign w:val="center"/>
            <w:textDirection w:val="lrTb"/>
            <w:noWrap w:val="false"/>
          </w:tcPr>
          <w:p>
            <w:pPr>
              <w:ind w:firstLine="420"/>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lang w:val="en-US" w:eastAsia="zh-CN"/>
              </w:rPr>
            </w:pPr>
            <w:r>
              <w:rPr>
                <w:rFonts w:hint="eastAsia" w:asciiTheme="majorEastAsia" w:hAnsiTheme="majorEastAsia" w:eastAsiaTheme="majorEastAsia" w:cstheme="majorEastAsia"/>
                <w:b w:val="0"/>
                <w:bCs w:val="0"/>
                <w:color w:val="000000"/>
                <w:sz w:val="21"/>
                <w:szCs w:val="21"/>
                <w:highlight w:val="none"/>
                <w:lang w:val="en-US" w:eastAsia="zh-CN"/>
              </w:rPr>
              <w:t xml:space="preserve">（1）提供对于物流环节和货物到达现场后分配环节的控制方案得2分，不提供不得分。</w:t>
            </w:r>
            <w:r/>
          </w:p>
          <w:p>
            <w:pPr>
              <w:ind w:firstLine="420"/>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lang w:val="en-US" w:eastAsia="zh-CN"/>
              </w:rPr>
            </w:pPr>
            <w:r>
              <w:rPr>
                <w:rFonts w:hint="eastAsia" w:asciiTheme="majorEastAsia" w:hAnsiTheme="majorEastAsia" w:eastAsiaTheme="majorEastAsia" w:cstheme="majorEastAsia"/>
                <w:b w:val="0"/>
                <w:bCs w:val="0"/>
                <w:color w:val="000000"/>
                <w:sz w:val="21"/>
                <w:szCs w:val="21"/>
                <w:highlight w:val="none"/>
                <w:lang w:val="en-US" w:eastAsia="zh-CN"/>
              </w:rPr>
              <w:t xml:space="preserve">（2）对照招标文件内的清单，提供相应产品的安装说明和使用说明得2分，不提供不得分</w:t>
            </w:r>
            <w:r/>
          </w:p>
          <w:p>
            <w:pPr>
              <w:ind w:firstLine="420"/>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lang w:val="en-US" w:eastAsia="zh-CN"/>
              </w:rPr>
            </w:pPr>
            <w:r>
              <w:rPr>
                <w:rFonts w:hint="eastAsia" w:asciiTheme="majorEastAsia" w:hAnsiTheme="majorEastAsia" w:eastAsiaTheme="majorEastAsia" w:cstheme="majorEastAsia"/>
                <w:b w:val="0"/>
                <w:bCs w:val="0"/>
                <w:color w:val="000000"/>
                <w:sz w:val="21"/>
                <w:szCs w:val="21"/>
                <w:highlight w:val="none"/>
                <w:lang w:val="en-US" w:eastAsia="zh-CN"/>
              </w:rPr>
              <w:t xml:space="preserve">（3）根据项目实际情况，结合本次采购产品清单，为采购人推荐有效的安装布置方案得2分，不提供不得分。</w:t>
            </w:r>
            <w:r/>
          </w:p>
          <w:p>
            <w:pPr>
              <w:ind w:firstLine="420"/>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lang w:val="en-US" w:eastAsia="zh-CN"/>
              </w:rPr>
            </w:pPr>
            <w:r>
              <w:rPr>
                <w:rFonts w:hint="eastAsia" w:asciiTheme="majorEastAsia" w:hAnsiTheme="majorEastAsia" w:eastAsiaTheme="majorEastAsia" w:cstheme="majorEastAsia"/>
                <w:b w:val="0"/>
                <w:bCs w:val="0"/>
                <w:color w:val="000000"/>
                <w:sz w:val="21"/>
                <w:szCs w:val="21"/>
                <w:highlight w:val="none"/>
                <w:lang w:val="en-US" w:eastAsia="zh-CN"/>
              </w:rPr>
              <w:t xml:space="preserve">（4）针对本项目的产品，制定确保安装、调试、验收环节的质量保证措施的方案得2分，不提供不得分。</w:t>
            </w:r>
            <w:r/>
          </w:p>
        </w:tc>
      </w:tr>
      <w:tr>
        <w:trPr>
          <w:jc w:val="center"/>
          <w:trHeight w:val="336"/>
        </w:trPr>
        <w:tc>
          <w:tcPr>
            <w:tcBorders>
              <w:left w:val="single" w:color="auto" w:sz="4" w:space="0"/>
              <w:right w:val="single" w:color="auto" w:sz="4" w:space="0"/>
            </w:tcBorders>
            <w:tcW w:w="635" w:type="dxa"/>
            <w:vAlign w:val="center"/>
            <w:vMerge w:val="restart"/>
            <w:textDirection w:val="lrTb"/>
            <w:noWrap w:val="false"/>
          </w:tcPr>
          <w:p>
            <w:pPr>
              <w:jc w:val="center"/>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lang w:val="en-US" w:eastAsia="zh-CN"/>
              </w:rPr>
            </w:pPr>
            <w:r>
              <w:rPr>
                <w:rFonts w:hint="eastAsia" w:asciiTheme="majorEastAsia" w:hAnsiTheme="majorEastAsia" w:eastAsiaTheme="majorEastAsia" w:cstheme="majorEastAsia"/>
                <w:b w:val="0"/>
                <w:bCs w:val="0"/>
                <w:color w:val="000000"/>
                <w:sz w:val="21"/>
                <w:szCs w:val="21"/>
                <w:highlight w:val="none"/>
                <w:lang w:val="en-US" w:eastAsia="zh-CN"/>
              </w:rPr>
              <w:t xml:space="preserve">三</w:t>
            </w:r>
            <w:r/>
          </w:p>
        </w:tc>
        <w:tc>
          <w:tcPr>
            <w:tcBorders>
              <w:left w:val="single" w:color="auto" w:sz="4" w:space="0"/>
              <w:right w:val="single" w:color="auto" w:sz="4" w:space="0"/>
            </w:tcBorders>
            <w:tcW w:w="1236" w:type="dxa"/>
            <w:vAlign w:val="center"/>
            <w:vMerge w:val="restart"/>
            <w:textDirection w:val="lrTb"/>
            <w:noWrap w:val="false"/>
          </w:tcPr>
          <w:p>
            <w:pPr>
              <w:jc w:val="center"/>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lang w:val="en-US" w:eastAsia="zh-CN"/>
              </w:rPr>
            </w:pPr>
            <w:r>
              <w:rPr>
                <w:rFonts w:hint="eastAsia" w:asciiTheme="majorEastAsia" w:hAnsiTheme="majorEastAsia" w:eastAsiaTheme="majorEastAsia" w:cstheme="majorEastAsia"/>
                <w:b w:val="0"/>
                <w:bCs w:val="0"/>
                <w:color w:val="000000"/>
                <w:sz w:val="21"/>
                <w:szCs w:val="21"/>
                <w:highlight w:val="none"/>
                <w:lang w:val="en-US" w:eastAsia="zh-CN"/>
              </w:rPr>
              <w:t xml:space="preserve">商务部分</w:t>
            </w:r>
            <w:r/>
          </w:p>
        </w:tc>
        <w:tc>
          <w:tcPr>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jc w:val="center"/>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lang w:val="en-US" w:eastAsia="zh-CN"/>
              </w:rPr>
            </w:pPr>
            <w:r>
              <w:rPr>
                <w:rFonts w:hint="eastAsia" w:asciiTheme="majorEastAsia" w:hAnsiTheme="majorEastAsia" w:eastAsiaTheme="majorEastAsia" w:cstheme="majorEastAsia"/>
                <w:b w:val="0"/>
                <w:bCs w:val="0"/>
                <w:color w:val="000000"/>
                <w:sz w:val="21"/>
                <w:szCs w:val="21"/>
                <w:highlight w:val="none"/>
                <w:lang w:val="en-US" w:eastAsia="zh-CN"/>
              </w:rPr>
              <w:t xml:space="preserve">功能演示</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lang w:val="en-US" w:eastAsia="zh-CN"/>
              </w:rPr>
            </w:pPr>
            <w:r>
              <w:rPr>
                <w:rFonts w:hint="eastAsia" w:asciiTheme="majorEastAsia" w:hAnsiTheme="majorEastAsia" w:eastAsiaTheme="majorEastAsia" w:cstheme="majorEastAsia"/>
                <w:b w:val="0"/>
                <w:bCs w:val="0"/>
                <w:color w:val="000000"/>
                <w:sz w:val="21"/>
                <w:szCs w:val="21"/>
                <w:highlight w:val="none"/>
                <w:lang w:val="en-US" w:eastAsia="zh-CN"/>
              </w:rPr>
              <w:t xml:space="preserve">10分</w:t>
            </w:r>
            <w:r/>
          </w:p>
        </w:tc>
        <w:tc>
          <w:tcPr>
            <w:tcBorders>
              <w:top w:val="single" w:color="auto" w:sz="4" w:space="0"/>
              <w:left w:val="single" w:color="auto" w:sz="4" w:space="0"/>
              <w:bottom w:val="single" w:color="auto" w:sz="4" w:space="0"/>
              <w:right w:val="single" w:color="auto" w:sz="4" w:space="0"/>
            </w:tcBorders>
            <w:tcW w:w="4838"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000000"/>
                <w:sz w:val="21"/>
                <w:szCs w:val="21"/>
                <w:highlight w:val="none"/>
                <w:u w:val="none"/>
                <w:lang w:val="en-US" w:eastAsia="zh-CN" w:bidi="ar"/>
              </w:rPr>
              <w:suppressLineNumbers w:val="0"/>
            </w:pPr>
            <w:r>
              <w:rPr>
                <w:rFonts w:hint="eastAsia" w:asciiTheme="majorEastAsia" w:hAnsiTheme="majorEastAsia" w:eastAsiaTheme="majorEastAsia" w:cstheme="majorEastAsia"/>
                <w:b w:val="0"/>
                <w:bCs w:val="0"/>
                <w:i w:val="0"/>
                <w:iCs w:val="0"/>
                <w:color w:val="000000"/>
                <w:sz w:val="21"/>
                <w:szCs w:val="21"/>
                <w:highlight w:val="none"/>
                <w:u w:val="none"/>
                <w:lang w:val="en-US" w:eastAsia="zh-CN" w:bidi="ar"/>
              </w:rPr>
              <w:t xml:space="preserve">数字音乐教学软件功能演示：</w:t>
            </w:r>
            <w:r/>
          </w:p>
          <w:p>
            <w:pPr>
              <w:jc w:val="left"/>
              <w:keepLines w:val="0"/>
              <w:keepNext w:val="0"/>
              <w:widowControl/>
              <w:rPr>
                <w:rFonts w:hint="eastAsia" w:asciiTheme="majorEastAsia" w:hAnsiTheme="majorEastAsia" w:eastAsiaTheme="majorEastAsia" w:cstheme="majorEastAsia"/>
                <w:b w:val="0"/>
                <w:bCs w:val="0"/>
                <w:i w:val="0"/>
                <w:iCs w:val="0"/>
                <w:color w:val="000000"/>
                <w:sz w:val="21"/>
                <w:szCs w:val="21"/>
                <w:highlight w:val="none"/>
                <w:u w:val="none"/>
                <w:lang w:val="en-US" w:eastAsia="zh-CN" w:bidi="ar"/>
              </w:rPr>
              <w:suppressLineNumbers w:val="0"/>
            </w:pPr>
            <w:r>
              <w:rPr>
                <w:rFonts w:hint="eastAsia" w:asciiTheme="majorEastAsia" w:hAnsiTheme="majorEastAsia" w:eastAsiaTheme="majorEastAsia" w:cstheme="majorEastAsia"/>
                <w:b w:val="0"/>
                <w:bCs w:val="0"/>
                <w:i w:val="0"/>
                <w:iCs w:val="0"/>
                <w:color w:val="000000"/>
                <w:sz w:val="21"/>
                <w:szCs w:val="21"/>
                <w:highlight w:val="none"/>
                <w:u w:val="none"/>
                <w:lang w:val="en-US" w:eastAsia="zh-CN" w:bidi="ar"/>
              </w:rPr>
              <w:t xml:space="preserve">（1）AI演唱评分功能：歌曲支持演唱模式演唱过程中具有音频伴奏、音高线提示、音高时值实时显示分值、演唱完成后显示演唱得分，音准、节奏、完成度等百分比。支持音频回放、重新演唱。（1分）</w:t>
            </w:r>
            <w:r/>
          </w:p>
          <w:p>
            <w:pPr>
              <w:jc w:val="left"/>
              <w:keepLines w:val="0"/>
              <w:keepNext w:val="0"/>
              <w:widowControl/>
              <w:rPr>
                <w:rFonts w:hint="eastAsia" w:asciiTheme="majorEastAsia" w:hAnsiTheme="majorEastAsia" w:eastAsiaTheme="majorEastAsia" w:cstheme="majorEastAsia"/>
                <w:b w:val="0"/>
                <w:bCs w:val="0"/>
                <w:i w:val="0"/>
                <w:iCs w:val="0"/>
                <w:color w:val="000000"/>
                <w:sz w:val="21"/>
                <w:szCs w:val="21"/>
                <w:highlight w:val="none"/>
                <w:u w:val="none"/>
                <w:lang w:val="en-US" w:eastAsia="zh-CN" w:bidi="ar"/>
              </w:rPr>
              <w:suppressLineNumbers w:val="0"/>
            </w:pPr>
            <w:r>
              <w:rPr>
                <w:rFonts w:hint="eastAsia" w:asciiTheme="majorEastAsia" w:hAnsiTheme="majorEastAsia" w:eastAsiaTheme="majorEastAsia" w:cstheme="majorEastAsia"/>
                <w:b w:val="0"/>
                <w:bCs w:val="0"/>
                <w:i w:val="0"/>
                <w:iCs w:val="0"/>
                <w:color w:val="000000"/>
                <w:sz w:val="21"/>
                <w:szCs w:val="21"/>
                <w:highlight w:val="none"/>
                <w:u w:val="none"/>
                <w:lang w:val="en-US" w:eastAsia="zh-CN" w:bidi="ar"/>
              </w:rPr>
              <w:t xml:space="preserve">（2）音色设置：播放过程中即可改变播放音色，具备钢琴、小提琴、单簧管、古筝、颤音琴五个音色快捷键。（1分）</w:t>
            </w:r>
            <w:r/>
          </w:p>
          <w:p>
            <w:pPr>
              <w:jc w:val="left"/>
              <w:keepLines w:val="0"/>
              <w:keepNext w:val="0"/>
              <w:widowControl/>
              <w:rPr>
                <w:rFonts w:hint="eastAsia" w:asciiTheme="majorEastAsia" w:hAnsiTheme="majorEastAsia" w:eastAsiaTheme="majorEastAsia" w:cstheme="majorEastAsia"/>
                <w:b w:val="0"/>
                <w:bCs w:val="0"/>
                <w:i w:val="0"/>
                <w:iCs w:val="0"/>
                <w:color w:val="000000"/>
                <w:sz w:val="21"/>
                <w:szCs w:val="21"/>
                <w:highlight w:val="none"/>
                <w:u w:val="none"/>
                <w:lang w:val="en-US" w:eastAsia="zh-CN" w:bidi="ar"/>
              </w:rPr>
              <w:suppressLineNumbers w:val="0"/>
            </w:pPr>
            <w:r>
              <w:rPr>
                <w:rFonts w:hint="eastAsia" w:asciiTheme="majorEastAsia" w:hAnsiTheme="majorEastAsia" w:eastAsiaTheme="majorEastAsia" w:cstheme="majorEastAsia"/>
                <w:b w:val="0"/>
                <w:bCs w:val="0"/>
                <w:i w:val="0"/>
                <w:iCs w:val="0"/>
                <w:color w:val="000000"/>
                <w:sz w:val="21"/>
                <w:szCs w:val="21"/>
                <w:highlight w:val="none"/>
                <w:u w:val="none"/>
                <w:lang w:val="en-US" w:eastAsia="zh-CN" w:bidi="ar"/>
              </w:rPr>
              <w:t xml:space="preserve">（3）速度播放：可以五线谱、简谱课件的播放速度通过滑动速度条进行速度调节40-208,其中含5种直选键：0.5、0.75、1(还原)、1.25、1.5倍速可调。（1分）</w:t>
            </w:r>
            <w:r/>
          </w:p>
          <w:p>
            <w:pPr>
              <w:jc w:val="left"/>
              <w:keepLines w:val="0"/>
              <w:keepNext w:val="0"/>
              <w:widowControl/>
              <w:rPr>
                <w:rFonts w:hint="eastAsia" w:asciiTheme="majorEastAsia" w:hAnsiTheme="majorEastAsia" w:eastAsiaTheme="majorEastAsia" w:cstheme="majorEastAsia"/>
                <w:b w:val="0"/>
                <w:bCs w:val="0"/>
                <w:i w:val="0"/>
                <w:iCs w:val="0"/>
                <w:color w:val="000000"/>
                <w:sz w:val="21"/>
                <w:szCs w:val="21"/>
                <w:highlight w:val="none"/>
                <w:u w:val="none"/>
                <w:lang w:val="en-US" w:eastAsia="zh-CN" w:bidi="ar"/>
              </w:rPr>
              <w:suppressLineNumbers w:val="0"/>
            </w:pPr>
            <w:r>
              <w:rPr>
                <w:rFonts w:hint="eastAsia" w:asciiTheme="majorEastAsia" w:hAnsiTheme="majorEastAsia" w:eastAsiaTheme="majorEastAsia" w:cstheme="majorEastAsia"/>
                <w:b w:val="0"/>
                <w:bCs w:val="0"/>
                <w:i w:val="0"/>
                <w:iCs w:val="0"/>
                <w:color w:val="000000"/>
                <w:sz w:val="21"/>
                <w:szCs w:val="21"/>
                <w:highlight w:val="none"/>
                <w:u w:val="none"/>
                <w:lang w:val="en-US" w:eastAsia="zh-CN" w:bidi="ar"/>
              </w:rPr>
              <w:t xml:space="preserve">（4）课堂互动：工具包-课堂互动中,含有大转盘,可进行编辑、抽奖等功能。工具包中含有指挥视频,可进行指挥视频的学习。（1分）</w:t>
            </w:r>
            <w:r/>
          </w:p>
          <w:p>
            <w:pPr>
              <w:jc w:val="left"/>
              <w:keepLines w:val="0"/>
              <w:keepNext w:val="0"/>
              <w:widowControl/>
              <w:rPr>
                <w:rFonts w:hint="eastAsia" w:asciiTheme="majorEastAsia" w:hAnsiTheme="majorEastAsia" w:eastAsiaTheme="majorEastAsia" w:cstheme="majorEastAsia"/>
                <w:b w:val="0"/>
                <w:bCs w:val="0"/>
                <w:i w:val="0"/>
                <w:iCs w:val="0"/>
                <w:color w:val="000000"/>
                <w:sz w:val="21"/>
                <w:szCs w:val="21"/>
                <w:highlight w:val="none"/>
                <w:u w:val="none"/>
                <w:lang w:val="en-US" w:eastAsia="zh-CN" w:bidi="ar"/>
              </w:rPr>
              <w:suppressLineNumbers w:val="0"/>
            </w:pPr>
            <w:r>
              <w:rPr>
                <w:rFonts w:hint="eastAsia" w:asciiTheme="majorEastAsia" w:hAnsiTheme="majorEastAsia" w:eastAsiaTheme="majorEastAsia" w:cstheme="majorEastAsia"/>
                <w:b w:val="0"/>
                <w:bCs w:val="0"/>
                <w:i w:val="0"/>
                <w:iCs w:val="0"/>
                <w:color w:val="000000"/>
                <w:sz w:val="21"/>
                <w:szCs w:val="21"/>
                <w:highlight w:val="none"/>
                <w:u w:val="none"/>
                <w:lang w:val="en-US" w:eastAsia="zh-CN" w:bidi="ar"/>
              </w:rPr>
              <w:t xml:space="preserve">（5）音调设置：五线谱、简谱课件可以进行移调选择15种调式，其中含5种直选键：降全音、降半音、原调（还原）、升半音、升全音。（1分）</w:t>
            </w:r>
            <w:r/>
          </w:p>
          <w:p>
            <w:pPr>
              <w:jc w:val="left"/>
              <w:keepLines w:val="0"/>
              <w:keepNext w:val="0"/>
              <w:widowControl/>
              <w:rPr>
                <w:rFonts w:hint="eastAsia" w:asciiTheme="majorEastAsia" w:hAnsiTheme="majorEastAsia" w:eastAsiaTheme="majorEastAsia" w:cstheme="majorEastAsia"/>
                <w:b w:val="0"/>
                <w:bCs w:val="0"/>
                <w:i w:val="0"/>
                <w:iCs w:val="0"/>
                <w:color w:val="000000"/>
                <w:sz w:val="21"/>
                <w:szCs w:val="21"/>
                <w:highlight w:val="none"/>
                <w:u w:val="none"/>
                <w:lang w:val="en-US" w:eastAsia="zh-CN" w:bidi="ar"/>
              </w:rPr>
              <w:suppressLineNumbers w:val="0"/>
            </w:pPr>
            <w:r>
              <w:rPr>
                <w:rFonts w:hint="eastAsia" w:asciiTheme="majorEastAsia" w:hAnsiTheme="majorEastAsia" w:eastAsiaTheme="majorEastAsia" w:cstheme="majorEastAsia"/>
                <w:b w:val="0"/>
                <w:bCs w:val="0"/>
                <w:i w:val="0"/>
                <w:iCs w:val="0"/>
                <w:color w:val="000000"/>
                <w:sz w:val="21"/>
                <w:szCs w:val="21"/>
                <w:highlight w:val="none"/>
                <w:u w:val="none"/>
                <w:lang w:val="en-US" w:eastAsia="zh-CN" w:bidi="ar"/>
              </w:rPr>
              <w:t xml:space="preserve">数字美术教学软件功能演示：</w:t>
            </w:r>
            <w:r/>
          </w:p>
          <w:p>
            <w:pPr>
              <w:jc w:val="left"/>
              <w:keepLines w:val="0"/>
              <w:keepNext w:val="0"/>
              <w:widowControl/>
              <w:rPr>
                <w:rFonts w:hint="eastAsia" w:asciiTheme="majorEastAsia" w:hAnsiTheme="majorEastAsia" w:eastAsiaTheme="majorEastAsia" w:cstheme="majorEastAsia"/>
                <w:b w:val="0"/>
                <w:bCs w:val="0"/>
                <w:sz w:val="21"/>
                <w:szCs w:val="21"/>
                <w:lang w:val="en-US" w:eastAsia="zh-CN"/>
              </w:rPr>
              <w:suppressLineNumbers w:val="0"/>
            </w:pPr>
            <w:r>
              <w:rPr>
                <w:rFonts w:hint="eastAsia" w:asciiTheme="majorEastAsia" w:hAnsiTheme="majorEastAsia" w:eastAsiaTheme="majorEastAsia" w:cstheme="majorEastAsia"/>
                <w:b w:val="0"/>
                <w:bCs w:val="0"/>
                <w:sz w:val="21"/>
                <w:szCs w:val="21"/>
                <w:lang w:val="en-US" w:eastAsia="zh-CN"/>
              </w:rPr>
              <w:t xml:space="preserve">（1）记录过程功能：可同步记录存储书写过程，支持录制内容反复播放。</w:t>
            </w:r>
            <w:r>
              <w:rPr>
                <w:rFonts w:hint="eastAsia" w:asciiTheme="majorEastAsia" w:hAnsiTheme="majorEastAsia" w:eastAsiaTheme="majorEastAsia" w:cstheme="majorEastAsia"/>
                <w:b w:val="0"/>
                <w:bCs w:val="0"/>
                <w:i w:val="0"/>
                <w:iCs w:val="0"/>
                <w:color w:val="000000"/>
                <w:sz w:val="21"/>
                <w:szCs w:val="21"/>
                <w:highlight w:val="none"/>
                <w:u w:val="none"/>
                <w:lang w:val="en-US" w:eastAsia="zh-CN" w:bidi="ar"/>
              </w:rPr>
              <w:t xml:space="preserve">（1分）</w:t>
            </w:r>
            <w:r/>
          </w:p>
          <w:p>
            <w:pPr>
              <w:jc w:val="left"/>
              <w:keepLines w:val="0"/>
              <w:keepNext w:val="0"/>
              <w:widowControl/>
              <w:rPr>
                <w:rFonts w:hint="eastAsia" w:asciiTheme="majorEastAsia" w:hAnsiTheme="majorEastAsia" w:eastAsiaTheme="majorEastAsia" w:cstheme="majorEastAsia"/>
                <w:b w:val="0"/>
                <w:bCs w:val="0"/>
                <w:sz w:val="21"/>
                <w:szCs w:val="21"/>
                <w:lang w:val="en-US" w:eastAsia="zh-CN"/>
              </w:rPr>
              <w:suppressLineNumbers w:val="0"/>
            </w:pPr>
            <w:r>
              <w:rPr>
                <w:rFonts w:hint="eastAsia" w:asciiTheme="majorEastAsia" w:hAnsiTheme="majorEastAsia" w:eastAsiaTheme="majorEastAsia" w:cstheme="majorEastAsia"/>
                <w:b w:val="0"/>
                <w:bCs w:val="0"/>
                <w:sz w:val="21"/>
                <w:szCs w:val="21"/>
                <w:lang w:val="en-US" w:eastAsia="zh-CN"/>
              </w:rPr>
              <w:t xml:space="preserve">（2）提交作品功能：学生可将作品提交至局域网管理端，并查看自己上传的作品。</w:t>
            </w:r>
            <w:r>
              <w:rPr>
                <w:rFonts w:hint="eastAsia" w:asciiTheme="majorEastAsia" w:hAnsiTheme="majorEastAsia" w:eastAsiaTheme="majorEastAsia" w:cstheme="majorEastAsia"/>
                <w:b w:val="0"/>
                <w:bCs w:val="0"/>
                <w:i w:val="0"/>
                <w:iCs w:val="0"/>
                <w:color w:val="000000"/>
                <w:sz w:val="21"/>
                <w:szCs w:val="21"/>
                <w:highlight w:val="none"/>
                <w:u w:val="none"/>
                <w:lang w:val="en-US" w:eastAsia="zh-CN" w:bidi="ar"/>
              </w:rPr>
              <w:t xml:space="preserve">（1分）</w:t>
            </w:r>
            <w:r/>
          </w:p>
          <w:p>
            <w:pPr>
              <w:jc w:val="left"/>
              <w:keepLines w:val="0"/>
              <w:keepNext w:val="0"/>
              <w:widowControl/>
              <w:rPr>
                <w:rFonts w:hint="eastAsia" w:asciiTheme="majorEastAsia" w:hAnsiTheme="majorEastAsia" w:eastAsiaTheme="majorEastAsia" w:cstheme="majorEastAsia"/>
                <w:b w:val="0"/>
                <w:bCs w:val="0"/>
                <w:sz w:val="21"/>
                <w:szCs w:val="21"/>
                <w:lang w:val="en-US" w:eastAsia="zh-CN"/>
              </w:rPr>
              <w:suppressLineNumbers w:val="0"/>
            </w:pPr>
            <w:r>
              <w:rPr>
                <w:rFonts w:hint="eastAsia" w:asciiTheme="majorEastAsia" w:hAnsiTheme="majorEastAsia" w:eastAsiaTheme="majorEastAsia" w:cstheme="majorEastAsia"/>
                <w:b w:val="0"/>
                <w:bCs w:val="0"/>
                <w:sz w:val="21"/>
                <w:szCs w:val="21"/>
                <w:lang w:val="en-US" w:eastAsia="zh-CN"/>
              </w:rPr>
              <w:t xml:space="preserve">（3）班级展厅功能：学生可查看班级其它成员提交的作品，可以将自己的作品调用到画布进行二次编辑。</w:t>
            </w:r>
            <w:r>
              <w:rPr>
                <w:rFonts w:hint="eastAsia" w:asciiTheme="majorEastAsia" w:hAnsiTheme="majorEastAsia" w:eastAsiaTheme="majorEastAsia" w:cstheme="majorEastAsia"/>
                <w:b w:val="0"/>
                <w:bCs w:val="0"/>
                <w:i w:val="0"/>
                <w:iCs w:val="0"/>
                <w:color w:val="000000"/>
                <w:sz w:val="21"/>
                <w:szCs w:val="21"/>
                <w:highlight w:val="none"/>
                <w:u w:val="none"/>
                <w:lang w:val="en-US" w:eastAsia="zh-CN" w:bidi="ar"/>
              </w:rPr>
              <w:t xml:space="preserve">（1分）</w:t>
            </w:r>
            <w:r/>
          </w:p>
          <w:p>
            <w:pPr>
              <w:jc w:val="left"/>
              <w:keepLines w:val="0"/>
              <w:keepNext w:val="0"/>
              <w:widowControl/>
              <w:rPr>
                <w:rFonts w:hint="eastAsia" w:asciiTheme="majorEastAsia" w:hAnsiTheme="majorEastAsia" w:eastAsiaTheme="majorEastAsia" w:cstheme="majorEastAsia"/>
                <w:b w:val="0"/>
                <w:bCs w:val="0"/>
                <w:sz w:val="21"/>
                <w:szCs w:val="21"/>
                <w:lang w:val="en-US" w:eastAsia="zh-CN"/>
              </w:rPr>
              <w:suppressLineNumbers w:val="0"/>
            </w:pPr>
            <w:r>
              <w:rPr>
                <w:rFonts w:hint="eastAsia" w:asciiTheme="majorEastAsia" w:hAnsiTheme="majorEastAsia" w:eastAsiaTheme="majorEastAsia" w:cstheme="majorEastAsia"/>
                <w:b w:val="0"/>
                <w:bCs w:val="0"/>
                <w:sz w:val="21"/>
                <w:szCs w:val="21"/>
                <w:lang w:val="en-US" w:eastAsia="zh-CN"/>
              </w:rPr>
              <w:t xml:space="preserve">（4）教师管理端功能：拥有独立的教师管理端软件，支持不低于50个点的学生端；可分配师生帐号，支持批量导入；可分配班级、支持自由设定班级名称，自动记录教学内容；可查看学生作品、对通过系统预设的评语模板对学生作品进行一键点评；可向学生下发图片素材作为教学课件。</w:t>
            </w:r>
            <w:r>
              <w:rPr>
                <w:rFonts w:hint="eastAsia" w:asciiTheme="majorEastAsia" w:hAnsiTheme="majorEastAsia" w:eastAsiaTheme="majorEastAsia" w:cstheme="majorEastAsia"/>
                <w:b w:val="0"/>
                <w:bCs w:val="0"/>
                <w:i w:val="0"/>
                <w:iCs w:val="0"/>
                <w:color w:val="000000"/>
                <w:sz w:val="21"/>
                <w:szCs w:val="21"/>
                <w:highlight w:val="none"/>
                <w:u w:val="none"/>
                <w:lang w:val="en-US" w:eastAsia="zh-CN" w:bidi="ar"/>
              </w:rPr>
              <w:t xml:space="preserve">（1分）</w:t>
            </w:r>
            <w:r/>
          </w:p>
          <w:p>
            <w:pPr>
              <w:jc w:val="left"/>
              <w:keepLines w:val="0"/>
              <w:keepNext w:val="0"/>
              <w:widowControl/>
              <w:rPr>
                <w:rFonts w:hint="eastAsia" w:asciiTheme="majorEastAsia" w:hAnsiTheme="majorEastAsia" w:eastAsiaTheme="majorEastAsia" w:cstheme="majorEastAsia"/>
                <w:b w:val="0"/>
                <w:bCs w:val="0"/>
                <w:i w:val="0"/>
                <w:iCs w:val="0"/>
                <w:color w:val="000000"/>
                <w:sz w:val="21"/>
                <w:szCs w:val="21"/>
                <w:highlight w:val="none"/>
                <w:u w:val="none"/>
                <w:lang w:val="en-US" w:eastAsia="zh-CN" w:bidi="ar"/>
              </w:rPr>
              <w:suppressLineNumbers w:val="0"/>
            </w:pPr>
            <w:r>
              <w:rPr>
                <w:rFonts w:hint="eastAsia" w:asciiTheme="majorEastAsia" w:hAnsiTheme="majorEastAsia" w:eastAsiaTheme="majorEastAsia" w:cstheme="majorEastAsia"/>
                <w:b w:val="0"/>
                <w:bCs w:val="0"/>
                <w:sz w:val="21"/>
                <w:szCs w:val="21"/>
                <w:lang w:val="en-US" w:eastAsia="zh-CN"/>
              </w:rPr>
              <w:t xml:space="preserve">（5）三维模型功能：软件内置不低于50种3D模型，可将绘画作品实时为3D模型贴图，具备推拉摇移等多方位预览作品并可一键输出多角度图形文件。</w:t>
            </w:r>
            <w:r>
              <w:rPr>
                <w:rFonts w:hint="eastAsia" w:asciiTheme="majorEastAsia" w:hAnsiTheme="majorEastAsia" w:eastAsiaTheme="majorEastAsia" w:cstheme="majorEastAsia"/>
                <w:b w:val="0"/>
                <w:bCs w:val="0"/>
                <w:i w:val="0"/>
                <w:iCs w:val="0"/>
                <w:color w:val="000000"/>
                <w:sz w:val="21"/>
                <w:szCs w:val="21"/>
                <w:highlight w:val="none"/>
                <w:u w:val="none"/>
                <w:lang w:val="en-US" w:eastAsia="zh-CN" w:bidi="ar"/>
              </w:rPr>
              <w:t xml:space="preserve">（1分）</w:t>
            </w:r>
            <w:r/>
          </w:p>
          <w:p>
            <w:pPr>
              <w:jc w:val="left"/>
              <w:keepLines w:val="0"/>
              <w:keepNext w:val="0"/>
              <w:widowControl/>
              <w:rPr>
                <w:rFonts w:hint="eastAsia" w:asciiTheme="majorEastAsia" w:hAnsiTheme="majorEastAsia" w:eastAsiaTheme="majorEastAsia" w:cstheme="majorEastAsia"/>
                <w:b w:val="0"/>
                <w:bCs w:val="0"/>
                <w:i w:val="0"/>
                <w:iCs w:val="0"/>
                <w:color w:val="000000"/>
                <w:sz w:val="21"/>
                <w:szCs w:val="21"/>
                <w:highlight w:val="none"/>
                <w:u w:val="none"/>
                <w:lang w:val="en-US" w:eastAsia="zh-CN" w:bidi="ar"/>
              </w:rPr>
              <w:suppressLineNumbers w:val="0"/>
            </w:pPr>
            <w:r>
              <w:rPr>
                <w:rFonts w:hint="eastAsia" w:asciiTheme="majorEastAsia" w:hAnsiTheme="majorEastAsia" w:eastAsiaTheme="majorEastAsia" w:cstheme="majorEastAsia"/>
                <w:b w:val="0"/>
                <w:bCs w:val="0"/>
                <w:i w:val="0"/>
                <w:iCs w:val="0"/>
                <w:color w:val="000000"/>
                <w:sz w:val="21"/>
                <w:szCs w:val="21"/>
                <w:highlight w:val="none"/>
                <w:u w:val="none"/>
                <w:lang w:val="en-US" w:eastAsia="zh-CN" w:bidi="ar"/>
              </w:rPr>
              <w:t xml:space="preserve">注：禁止使用多个软件叠加实现以上功能。</w:t>
            </w:r>
            <w:r/>
          </w:p>
          <w:p>
            <w:pPr>
              <w:jc w:val="left"/>
              <w:keepLines w:val="0"/>
              <w:keepNext w:val="0"/>
              <w:widowControl/>
              <w:rPr>
                <w:rFonts w:hint="eastAsia"/>
                <w:lang w:val="en-US" w:eastAsia="zh-CN"/>
              </w:rPr>
              <w:suppressLineNumbers w:val="0"/>
            </w:pPr>
            <w:r>
              <w:rPr>
                <w:rFonts w:hint="eastAsia" w:asciiTheme="majorEastAsia" w:hAnsiTheme="majorEastAsia" w:eastAsiaTheme="majorEastAsia" w:cstheme="majorEastAsia"/>
                <w:b w:val="0"/>
                <w:bCs w:val="0"/>
                <w:sz w:val="21"/>
                <w:szCs w:val="21"/>
                <w:lang w:val="en-US" w:eastAsia="zh-CN"/>
              </w:rPr>
              <w:t xml:space="preserve">功能演示文件单个视频大小及格式符合系统要求。演示视频时间控制在10分钟以内。</w:t>
            </w:r>
            <w:r/>
          </w:p>
        </w:tc>
      </w:tr>
      <w:tr>
        <w:trPr>
          <w:jc w:val="center"/>
          <w:trHeight w:val="827"/>
        </w:trPr>
        <w:tc>
          <w:tcPr>
            <w:tcBorders>
              <w:left w:val="single" w:color="auto" w:sz="4" w:space="0"/>
              <w:right w:val="single" w:color="auto" w:sz="4" w:space="0"/>
            </w:tcBorders>
            <w:tcW w:w="635" w:type="dxa"/>
            <w:vAlign w:val="center"/>
            <w:vMerge w:val="continue"/>
            <w:textDirection w:val="lrTb"/>
            <w:noWrap w:val="false"/>
          </w:tcPr>
          <w:p>
            <w:pPr>
              <w:jc w:val="center"/>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lang w:val="en-US" w:eastAsia="zh-CN"/>
              </w:rPr>
            </w:pPr>
            <w:r>
              <w:rPr>
                <w:rFonts w:hint="eastAsia" w:asciiTheme="majorEastAsia" w:hAnsiTheme="majorEastAsia" w:eastAsiaTheme="majorEastAsia" w:cstheme="majorEastAsia"/>
                <w:b w:val="0"/>
                <w:bCs w:val="0"/>
                <w:color w:val="000000"/>
                <w:sz w:val="21"/>
                <w:szCs w:val="21"/>
                <w:highlight w:val="none"/>
                <w:lang w:val="en-US" w:eastAsia="zh-CN"/>
              </w:rPr>
            </w:r>
            <w:r/>
          </w:p>
        </w:tc>
        <w:tc>
          <w:tcPr>
            <w:tcBorders>
              <w:left w:val="single" w:color="auto" w:sz="4" w:space="0"/>
              <w:right w:val="single" w:color="auto" w:sz="4" w:space="0"/>
            </w:tcBorders>
            <w:tcW w:w="1236" w:type="dxa"/>
            <w:vAlign w:val="center"/>
            <w:vMerge w:val="continue"/>
            <w:textDirection w:val="lrTb"/>
            <w:noWrap w:val="false"/>
          </w:tcPr>
          <w:p>
            <w:pPr>
              <w:jc w:val="center"/>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lang w:val="en-US" w:eastAsia="zh-CN"/>
              </w:rPr>
            </w:pPr>
            <w:r>
              <w:rPr>
                <w:rFonts w:hint="eastAsia" w:asciiTheme="majorEastAsia" w:hAnsiTheme="majorEastAsia" w:eastAsiaTheme="majorEastAsia" w:cstheme="majorEastAsia"/>
                <w:b w:val="0"/>
                <w:bCs w:val="0"/>
                <w:color w:val="000000"/>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jc w:val="center"/>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lang w:val="en-US" w:eastAsia="zh-CN"/>
              </w:rPr>
            </w:pPr>
            <w:r>
              <w:rPr>
                <w:rFonts w:hint="eastAsia" w:asciiTheme="majorEastAsia" w:hAnsiTheme="majorEastAsia" w:eastAsiaTheme="majorEastAsia" w:cstheme="majorEastAsia"/>
                <w:b w:val="0"/>
                <w:bCs w:val="0"/>
                <w:color w:val="000000"/>
                <w:sz w:val="21"/>
                <w:szCs w:val="21"/>
                <w:highlight w:val="none"/>
                <w:lang w:val="en-US" w:eastAsia="zh-CN"/>
              </w:rPr>
              <w:t xml:space="preserve">业绩</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lang w:val="en-US" w:eastAsia="zh-CN"/>
              </w:rPr>
            </w:pPr>
            <w:r>
              <w:rPr>
                <w:rFonts w:hint="eastAsia" w:asciiTheme="majorEastAsia" w:hAnsiTheme="majorEastAsia" w:eastAsiaTheme="majorEastAsia" w:cstheme="majorEastAsia"/>
                <w:b w:val="0"/>
                <w:bCs w:val="0"/>
                <w:color w:val="000000"/>
                <w:sz w:val="21"/>
                <w:szCs w:val="21"/>
                <w:highlight w:val="none"/>
                <w:lang w:val="en-US" w:eastAsia="zh-CN"/>
              </w:rPr>
              <w:t xml:space="preserve">2分</w:t>
            </w:r>
            <w:r/>
          </w:p>
        </w:tc>
        <w:tc>
          <w:tcPr>
            <w:tcBorders>
              <w:top w:val="single" w:color="auto" w:sz="4" w:space="0"/>
              <w:left w:val="single" w:color="auto" w:sz="4" w:space="0"/>
              <w:bottom w:val="single" w:color="auto" w:sz="4" w:space="0"/>
              <w:right w:val="single" w:color="auto" w:sz="4" w:space="0"/>
            </w:tcBorders>
            <w:tcW w:w="4838" w:type="dxa"/>
            <w:vAlign w:val="center"/>
            <w:textDirection w:val="lrTb"/>
            <w:noWrap w:val="false"/>
          </w:tcPr>
          <w:p>
            <w:pPr>
              <w:ind w:firstLine="420"/>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lang w:val="en-US" w:eastAsia="zh-CN"/>
              </w:rPr>
            </w:pPr>
            <w:r>
              <w:rPr>
                <w:rFonts w:hint="eastAsia" w:asciiTheme="majorEastAsia" w:hAnsiTheme="majorEastAsia" w:eastAsiaTheme="majorEastAsia" w:cstheme="majorEastAsia"/>
                <w:b w:val="0"/>
                <w:bCs w:val="0"/>
                <w:color w:val="000000"/>
                <w:sz w:val="21"/>
                <w:szCs w:val="21"/>
                <w:highlight w:val="none"/>
                <w:lang w:bidi="ar"/>
              </w:rPr>
              <w:t xml:space="preserve">投标人提供</w:t>
            </w:r>
            <w:r>
              <w:rPr>
                <w:rFonts w:hint="eastAsia" w:asciiTheme="majorEastAsia" w:hAnsiTheme="majorEastAsia" w:eastAsiaTheme="majorEastAsia" w:cstheme="majorEastAsia"/>
                <w:b w:val="0"/>
                <w:bCs w:val="0"/>
                <w:color w:val="000000"/>
                <w:sz w:val="21"/>
                <w:szCs w:val="21"/>
                <w:highlight w:val="none"/>
                <w:lang w:val="en-US" w:eastAsia="zh-CN" w:bidi="ar"/>
              </w:rPr>
              <w:t xml:space="preserve">从</w:t>
            </w:r>
            <w:r>
              <w:rPr>
                <w:rFonts w:hint="eastAsia" w:asciiTheme="majorEastAsia" w:hAnsiTheme="majorEastAsia" w:eastAsiaTheme="majorEastAsia" w:cstheme="majorEastAsia"/>
                <w:b w:val="0"/>
                <w:bCs w:val="0"/>
                <w:color w:val="000000"/>
                <w:sz w:val="21"/>
                <w:szCs w:val="21"/>
                <w:highlight w:val="none"/>
                <w:lang w:bidi="ar"/>
              </w:rPr>
              <w:t xml:space="preserve">202</w:t>
            </w:r>
            <w:r>
              <w:rPr>
                <w:rFonts w:hint="eastAsia" w:asciiTheme="majorEastAsia" w:hAnsiTheme="majorEastAsia" w:eastAsiaTheme="majorEastAsia" w:cstheme="majorEastAsia"/>
                <w:b w:val="0"/>
                <w:bCs w:val="0"/>
                <w:color w:val="000000"/>
                <w:sz w:val="21"/>
                <w:szCs w:val="21"/>
                <w:highlight w:val="none"/>
                <w:lang w:val="en-US" w:eastAsia="zh-CN" w:bidi="ar"/>
              </w:rPr>
              <w:t xml:space="preserve">2</w:t>
            </w:r>
            <w:r>
              <w:rPr>
                <w:rFonts w:hint="eastAsia" w:asciiTheme="majorEastAsia" w:hAnsiTheme="majorEastAsia" w:eastAsiaTheme="majorEastAsia" w:cstheme="majorEastAsia"/>
                <w:b w:val="0"/>
                <w:bCs w:val="0"/>
                <w:color w:val="000000"/>
                <w:sz w:val="21"/>
                <w:szCs w:val="21"/>
                <w:highlight w:val="none"/>
                <w:lang w:bidi="ar"/>
              </w:rPr>
              <w:t xml:space="preserve">年1月1日至今实施</w:t>
            </w:r>
            <w:r>
              <w:rPr>
                <w:rFonts w:hint="eastAsia" w:asciiTheme="majorEastAsia" w:hAnsiTheme="majorEastAsia" w:eastAsiaTheme="majorEastAsia" w:cstheme="majorEastAsia"/>
                <w:b w:val="0"/>
                <w:bCs w:val="0"/>
                <w:color w:val="000000"/>
                <w:sz w:val="21"/>
                <w:szCs w:val="21"/>
                <w:highlight w:val="none"/>
                <w:lang w:val="en-US" w:eastAsia="zh-CN" w:bidi="ar"/>
              </w:rPr>
              <w:t xml:space="preserve">过</w:t>
            </w:r>
            <w:r>
              <w:rPr>
                <w:rFonts w:hint="eastAsia" w:asciiTheme="majorEastAsia" w:hAnsiTheme="majorEastAsia" w:eastAsiaTheme="majorEastAsia" w:cstheme="majorEastAsia"/>
                <w:b w:val="0"/>
                <w:bCs w:val="0"/>
                <w:color w:val="000000"/>
                <w:sz w:val="21"/>
                <w:szCs w:val="21"/>
                <w:highlight w:val="none"/>
                <w:lang w:bidi="ar"/>
              </w:rPr>
              <w:t xml:space="preserve">的类似</w:t>
            </w:r>
            <w:r>
              <w:rPr>
                <w:rFonts w:hint="eastAsia" w:asciiTheme="majorEastAsia" w:hAnsiTheme="majorEastAsia" w:eastAsiaTheme="majorEastAsia" w:cstheme="majorEastAsia"/>
                <w:b w:val="0"/>
                <w:bCs w:val="0"/>
                <w:color w:val="000000"/>
                <w:sz w:val="21"/>
                <w:szCs w:val="21"/>
                <w:highlight w:val="none"/>
                <w:lang w:val="en-US" w:eastAsia="zh-CN" w:bidi="ar"/>
              </w:rPr>
              <w:t xml:space="preserve">课程基地</w:t>
            </w:r>
            <w:r>
              <w:rPr>
                <w:rFonts w:hint="eastAsia" w:asciiTheme="majorEastAsia" w:hAnsiTheme="majorEastAsia" w:eastAsiaTheme="majorEastAsia" w:cstheme="majorEastAsia"/>
                <w:b w:val="0"/>
                <w:bCs w:val="0"/>
                <w:color w:val="000000"/>
                <w:sz w:val="21"/>
                <w:szCs w:val="21"/>
                <w:highlight w:val="none"/>
                <w:lang w:bidi="ar"/>
              </w:rPr>
              <w:t xml:space="preserve">项目业绩</w:t>
            </w:r>
            <w:r>
              <w:rPr>
                <w:rFonts w:hint="eastAsia" w:asciiTheme="majorEastAsia" w:hAnsiTheme="majorEastAsia" w:eastAsiaTheme="majorEastAsia" w:cstheme="majorEastAsia"/>
                <w:b w:val="0"/>
                <w:bCs w:val="0"/>
                <w:color w:val="000000"/>
                <w:sz w:val="21"/>
                <w:szCs w:val="21"/>
                <w:highlight w:val="none"/>
                <w:lang w:eastAsia="zh-CN" w:bidi="ar"/>
              </w:rPr>
              <w:t xml:space="preserve">（</w:t>
            </w:r>
            <w:r>
              <w:rPr>
                <w:rFonts w:hint="eastAsia" w:asciiTheme="majorEastAsia" w:hAnsiTheme="majorEastAsia" w:eastAsiaTheme="majorEastAsia" w:cstheme="majorEastAsia"/>
                <w:b w:val="0"/>
                <w:bCs w:val="0"/>
                <w:color w:val="000000"/>
                <w:sz w:val="21"/>
                <w:szCs w:val="21"/>
                <w:highlight w:val="none"/>
                <w:lang w:val="en-US" w:eastAsia="zh-CN" w:bidi="ar"/>
              </w:rPr>
              <w:t xml:space="preserve">或者学校功能室业绩</w:t>
            </w:r>
            <w:r>
              <w:rPr>
                <w:rFonts w:hint="eastAsia" w:asciiTheme="majorEastAsia" w:hAnsiTheme="majorEastAsia" w:eastAsiaTheme="majorEastAsia" w:cstheme="majorEastAsia"/>
                <w:b w:val="0"/>
                <w:bCs w:val="0"/>
                <w:color w:val="000000"/>
                <w:sz w:val="21"/>
                <w:szCs w:val="21"/>
                <w:highlight w:val="none"/>
                <w:lang w:eastAsia="zh-CN" w:bidi="ar"/>
              </w:rPr>
              <w:t xml:space="preserve">）</w:t>
            </w:r>
            <w:r>
              <w:rPr>
                <w:rFonts w:hint="eastAsia" w:asciiTheme="majorEastAsia" w:hAnsiTheme="majorEastAsia" w:eastAsiaTheme="majorEastAsia" w:cstheme="majorEastAsia"/>
                <w:b w:val="0"/>
                <w:bCs w:val="0"/>
                <w:color w:val="000000"/>
                <w:sz w:val="21"/>
                <w:szCs w:val="21"/>
                <w:highlight w:val="none"/>
                <w:lang w:bidi="ar"/>
              </w:rPr>
              <w:t xml:space="preserve">情况进行评定，</w:t>
            </w:r>
            <w:r>
              <w:rPr>
                <w:rFonts w:hint="eastAsia" w:asciiTheme="majorEastAsia" w:hAnsiTheme="majorEastAsia" w:eastAsiaTheme="majorEastAsia" w:cstheme="majorEastAsia"/>
                <w:b w:val="0"/>
                <w:bCs w:val="0"/>
                <w:color w:val="000000"/>
                <w:sz w:val="21"/>
                <w:szCs w:val="21"/>
                <w:highlight w:val="none"/>
                <w:lang w:val="en-US" w:eastAsia="zh-CN" w:bidi="ar"/>
              </w:rPr>
              <w:t xml:space="preserve">符合情况的</w:t>
            </w:r>
            <w:r>
              <w:rPr>
                <w:rFonts w:hint="eastAsia" w:asciiTheme="majorEastAsia" w:hAnsiTheme="majorEastAsia" w:eastAsiaTheme="majorEastAsia" w:cstheme="majorEastAsia"/>
                <w:b w:val="0"/>
                <w:bCs w:val="0"/>
                <w:color w:val="000000"/>
                <w:sz w:val="21"/>
                <w:szCs w:val="21"/>
                <w:highlight w:val="none"/>
                <w:lang w:bidi="ar"/>
              </w:rPr>
              <w:t xml:space="preserve">得2分。</w:t>
            </w:r>
            <w:r>
              <w:rPr>
                <w:rFonts w:hint="eastAsia" w:asciiTheme="majorEastAsia" w:hAnsiTheme="majorEastAsia" w:eastAsiaTheme="majorEastAsia" w:cstheme="majorEastAsia"/>
                <w:b w:val="0"/>
                <w:bCs w:val="0"/>
                <w:color w:val="000000"/>
                <w:sz w:val="21"/>
                <w:szCs w:val="21"/>
                <w:highlight w:val="none"/>
                <w:lang w:bidi="ar"/>
              </w:rPr>
              <w:br/>
            </w:r>
            <w:r>
              <w:rPr>
                <w:rFonts w:hint="eastAsia" w:asciiTheme="majorEastAsia" w:hAnsiTheme="majorEastAsia" w:eastAsiaTheme="majorEastAsia" w:cstheme="majorEastAsia"/>
                <w:b w:val="0"/>
                <w:bCs w:val="0"/>
                <w:color w:val="000000"/>
                <w:sz w:val="21"/>
                <w:szCs w:val="21"/>
                <w:highlight w:val="none"/>
                <w:lang w:bidi="ar"/>
              </w:rPr>
              <w:t xml:space="preserve">注：需在投标文件中提供业绩合同</w:t>
            </w:r>
            <w:r>
              <w:rPr>
                <w:rFonts w:hint="eastAsia" w:asciiTheme="majorEastAsia" w:hAnsiTheme="majorEastAsia" w:eastAsiaTheme="majorEastAsia" w:cstheme="majorEastAsia"/>
                <w:b w:val="0"/>
                <w:bCs w:val="0"/>
                <w:color w:val="000000"/>
                <w:sz w:val="21"/>
                <w:szCs w:val="21"/>
                <w:highlight w:val="none"/>
                <w:lang w:val="en-US" w:eastAsia="zh-CN" w:bidi="ar"/>
              </w:rPr>
              <w:t xml:space="preserve">、</w:t>
            </w:r>
            <w:r>
              <w:rPr>
                <w:rFonts w:hint="eastAsia" w:asciiTheme="majorEastAsia" w:hAnsiTheme="majorEastAsia" w:eastAsiaTheme="majorEastAsia" w:cstheme="majorEastAsia"/>
                <w:b w:val="0"/>
                <w:bCs w:val="0"/>
                <w:color w:val="000000"/>
                <w:sz w:val="21"/>
                <w:szCs w:val="21"/>
                <w:highlight w:val="none"/>
                <w:lang w:bidi="ar"/>
              </w:rPr>
              <w:t xml:space="preserve">验收单复印件，未提供或提供不全或提供的证明材料无法佐证的，该业绩不计入本项评分。</w:t>
            </w:r>
            <w:r/>
          </w:p>
        </w:tc>
      </w:tr>
    </w:tbl>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p>
    <w:p>
      <w:pPr>
        <w:pStyle w:val="635"/>
        <w:jc w:val="center"/>
        <w:keepLines w:val="0"/>
        <w:keepNext/>
        <w:pageBreakBefore w:val="0"/>
        <w:spacing w:beforeAutospacing="0" w:after="313"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35"/>
        <w:jc w:val="center"/>
        <w:keepLines w:val="0"/>
        <w:keepNext/>
        <w:pageBreakBefore w:val="0"/>
        <w:spacing w:beforeAutospacing="0" w:after="313"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35"/>
        <w:jc w:val="center"/>
        <w:keepLines w:val="0"/>
        <w:keepNext/>
        <w:pageBreakBefore w:val="0"/>
        <w:spacing w:beforeAutospacing="0" w:after="313"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t xml:space="preserve">第六章  投标文件格式</w:t>
      </w:r>
      <w:r/>
    </w:p>
    <w:p>
      <w:pPr>
        <w:pStyle w:val="635"/>
        <w:jc w:val="center"/>
        <w:keepLines w:val="0"/>
        <w:keepNext/>
        <w:pageBreakBefore w:val="0"/>
        <w:spacing w:beforeAutospacing="0" w:after="313"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35"/>
        <w:jc w:val="center"/>
        <w:keepLines w:val="0"/>
        <w:keepNext/>
        <w:pageBreakBefore w:val="0"/>
        <w:spacing w:beforeAutospacing="0" w:after="313"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35"/>
        <w:jc w:val="center"/>
        <w:keepLines w:val="0"/>
        <w:keepNext/>
        <w:pageBreakBefore w:val="0"/>
        <w:spacing w:beforeAutospacing="0" w:after="313"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35"/>
        <w:jc w:val="center"/>
        <w:keepLines w:val="0"/>
        <w:keepNext/>
        <w:pageBreakBefore w:val="0"/>
        <w:spacing w:beforeAutospacing="0" w:after="313" w:afterAutospacing="0"/>
        <w:widowControl w:val="off"/>
        <w:rPr>
          <w:highlight w:val="none"/>
        </w:rPr>
      </w:pPr>
      <w:r>
        <w:rPr>
          <w:rFonts w:hint="eastAsia" w:ascii="黑体" w:hAnsi="宋体" w:eastAsia="黑体" w:cs="黑体"/>
          <w:color w:val="000000"/>
          <w:sz w:val="44"/>
          <w:szCs w:val="44"/>
          <w:highlight w:val="none"/>
        </w:rPr>
        <w:t xml:space="preserve"> </w:t>
      </w:r>
      <w:r/>
    </w:p>
    <w:p>
      <w:pPr>
        <w:pStyle w:val="635"/>
        <w:jc w:val="center"/>
        <w:spacing w:beforeAutospacing="0" w:afterAutospacing="0"/>
        <w:rPr>
          <w:highlight w:val="none"/>
        </w:rPr>
      </w:pPr>
      <w:r/>
      <w:bookmarkStart w:id="173" w:name="_Toc120614282"/>
      <w:r/>
      <w:bookmarkEnd w:id="173"/>
      <w:r/>
      <w:bookmarkStart w:id="174" w:name="_Toc49090576"/>
      <w:r/>
      <w:bookmarkEnd w:id="174"/>
      <w:r/>
      <w:bookmarkStart w:id="175" w:name="_Toc26554094"/>
      <w:r/>
      <w:bookmarkStart w:id="176" w:name="_Hlt26955039"/>
      <w:r/>
      <w:bookmarkStart w:id="177" w:name="_Hlt26671244"/>
      <w:r>
        <w:rPr>
          <w:rFonts w:hint="eastAsia" w:ascii="宋体" w:hAnsi="宋体" w:eastAsia="宋体" w:cs="宋体"/>
          <w:b/>
          <w:color w:val="000000"/>
          <w:sz w:val="72"/>
          <w:szCs w:val="72"/>
          <w:highlight w:val="none"/>
        </w:rPr>
        <w:t xml:space="preserve">投  标  文  件</w:t>
      </w:r>
      <w:r/>
    </w:p>
    <w:p>
      <w:pPr>
        <w:pStyle w:val="635"/>
        <w:jc w:val="center"/>
        <w:spacing w:beforeAutospacing="0" w:afterAutospacing="0"/>
        <w:rPr>
          <w:highlight w:val="none"/>
        </w:rPr>
      </w:pPr>
      <w:r>
        <w:rPr>
          <w:highlight w:val="none"/>
        </w:rPr>
        <w:t xml:space="preserve"> </w:t>
      </w:r>
      <w:r/>
    </w:p>
    <w:p>
      <w:pPr>
        <w:pStyle w:val="635"/>
        <w:jc w:val="center"/>
        <w:spacing w:beforeAutospacing="0" w:afterAutospacing="0"/>
        <w:rPr>
          <w:highlight w:val="none"/>
        </w:rPr>
      </w:pPr>
      <w:r>
        <w:rPr>
          <w:highlight w:val="none"/>
        </w:rPr>
        <w:t xml:space="preserve"> </w:t>
      </w:r>
      <w:r/>
    </w:p>
    <w:p>
      <w:pPr>
        <w:pStyle w:val="635"/>
        <w:jc w:val="center"/>
        <w:spacing w:beforeAutospacing="0" w:afterAutospacing="0"/>
        <w:rPr>
          <w:highlight w:val="none"/>
        </w:rPr>
      </w:pPr>
      <w:r>
        <w:rPr>
          <w:highlight w:val="none"/>
        </w:rPr>
        <w:t xml:space="preserve"> </w:t>
      </w:r>
      <w:r/>
    </w:p>
    <w:p>
      <w:pPr>
        <w:pStyle w:val="635"/>
        <w:jc w:val="center"/>
        <w:spacing w:beforeAutospacing="0" w:afterAutospacing="0"/>
        <w:rPr>
          <w:highlight w:val="none"/>
        </w:rPr>
      </w:pPr>
      <w:r>
        <w:rPr>
          <w:highlight w:val="none"/>
        </w:rPr>
        <w:t xml:space="preserve"> </w:t>
      </w:r>
      <w:r/>
    </w:p>
    <w:p>
      <w:pPr>
        <w:pStyle w:val="635"/>
        <w:jc w:val="center"/>
        <w:spacing w:beforeAutospacing="0" w:afterAutospacing="0"/>
        <w:rPr>
          <w:highlight w:val="none"/>
        </w:rPr>
      </w:pPr>
      <w:r>
        <w:rPr>
          <w:highlight w:val="none"/>
        </w:rPr>
        <w:t xml:space="preserve"> </w:t>
      </w:r>
      <w:r/>
    </w:p>
    <w:p>
      <w:pPr>
        <w:pStyle w:val="635"/>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 目 名 称：</w:t>
      </w:r>
      <w:r>
        <w:rPr>
          <w:rFonts w:hint="eastAsia" w:ascii="宋体" w:hAnsi="宋体" w:eastAsia="宋体" w:cs="宋体"/>
          <w:b/>
          <w:color w:val="000000"/>
          <w:sz w:val="36"/>
          <w:szCs w:val="36"/>
          <w:highlight w:val="none"/>
          <w:u w:val="single"/>
        </w:rPr>
        <w:t xml:space="preserve">             </w:t>
      </w:r>
      <w:r/>
    </w:p>
    <w:p>
      <w:pPr>
        <w:pStyle w:val="635"/>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 目 编 号：</w:t>
      </w:r>
      <w:r>
        <w:rPr>
          <w:rFonts w:hint="eastAsia" w:ascii="宋体" w:hAnsi="宋体" w:eastAsia="宋体" w:cs="宋体"/>
          <w:b/>
          <w:color w:val="000000"/>
          <w:sz w:val="36"/>
          <w:szCs w:val="36"/>
          <w:highlight w:val="none"/>
          <w:u w:val="single"/>
        </w:rPr>
        <w:t xml:space="preserve">             </w:t>
      </w:r>
      <w:r/>
    </w:p>
    <w:p>
      <w:pPr>
        <w:pStyle w:val="635"/>
        <w:jc w:val="both"/>
        <w:spacing w:beforeAutospacing="0" w:afterAutospacing="0"/>
        <w:rPr>
          <w:rFonts w:hint="default" w:eastAsia="宋体"/>
          <w:highlight w:val="none"/>
          <w:lang w:val="en-US" w:eastAsia="zh-CN"/>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w:t>
      </w:r>
      <w:r>
        <w:rPr>
          <w:rFonts w:hint="eastAsia" w:ascii="宋体" w:hAnsi="宋体" w:eastAsia="宋体" w:cs="宋体"/>
          <w:b/>
          <w:color w:val="000000"/>
          <w:sz w:val="36"/>
          <w:szCs w:val="36"/>
          <w:highlight w:val="none"/>
          <w:u w:val="single"/>
          <w:lang w:val="en-US" w:eastAsia="zh-CN"/>
        </w:rPr>
        <w:t xml:space="preserve">      </w:t>
      </w:r>
      <w:r/>
    </w:p>
    <w:p>
      <w:pPr>
        <w:pStyle w:val="635"/>
        <w:jc w:val="both"/>
        <w:spacing w:beforeAutospacing="0" w:afterAutospacing="0"/>
        <w:rPr>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p>
    <w:p>
      <w:pPr>
        <w:pStyle w:val="635"/>
        <w:jc w:val="center"/>
        <w:spacing w:beforeAutospacing="0" w:afterAutospacing="0" w:line="0" w:lineRule="atLeast"/>
        <w:rPr>
          <w:highlight w:val="none"/>
        </w:rPr>
      </w:pPr>
      <w:r>
        <w:rPr>
          <w:highlight w:val="none"/>
        </w:rPr>
      </w:r>
      <w:r/>
    </w:p>
    <w:p>
      <w:pPr>
        <w:pStyle w:val="635"/>
        <w:jc w:val="center"/>
        <w:spacing w:beforeAutospacing="0" w:afterAutospacing="0" w:line="0" w:lineRule="atLeast"/>
        <w:rPr>
          <w:highlight w:val="none"/>
        </w:rPr>
      </w:pPr>
      <w:r>
        <w:rPr>
          <w:highlight w:val="none"/>
        </w:rPr>
      </w:r>
      <w:r/>
    </w:p>
    <w:p>
      <w:pPr>
        <w:pStyle w:val="635"/>
        <w:jc w:val="center"/>
        <w:spacing w:beforeAutospacing="0" w:afterAutospacing="0" w:line="0" w:lineRule="atLeast"/>
        <w:rPr>
          <w:highlight w:val="none"/>
        </w:rPr>
      </w:pPr>
      <w:r>
        <w:rPr>
          <w:highlight w:val="none"/>
        </w:rPr>
      </w:r>
      <w:r/>
    </w:p>
    <w:p>
      <w:pPr>
        <w:pStyle w:val="635"/>
        <w:jc w:val="center"/>
        <w:spacing w:beforeAutospacing="0" w:afterAutospacing="0" w:line="0" w:lineRule="atLeast"/>
        <w:rPr>
          <w:highlight w:val="none"/>
        </w:rPr>
      </w:pPr>
      <w:r>
        <w:rPr>
          <w:highlight w:val="none"/>
        </w:rPr>
      </w:r>
      <w:r/>
    </w:p>
    <w:p>
      <w:pPr>
        <w:pStyle w:val="635"/>
        <w:jc w:val="center"/>
        <w:spacing w:beforeAutospacing="0" w:afterAutospacing="0" w:line="0" w:lineRule="atLeast"/>
        <w:rPr>
          <w:highlight w:val="none"/>
        </w:rPr>
      </w:pPr>
      <w:r>
        <w:rPr>
          <w:highlight w:val="none"/>
        </w:rPr>
      </w:r>
      <w:r/>
    </w:p>
    <w:p>
      <w:pPr>
        <w:pStyle w:val="635"/>
        <w:jc w:val="center"/>
        <w:spacing w:beforeAutospacing="0" w:afterAutospacing="0" w:line="0" w:lineRule="atLeast"/>
        <w:rPr>
          <w:highlight w:val="none"/>
        </w:rPr>
      </w:pPr>
      <w:r>
        <w:rPr>
          <w:highlight w:val="none"/>
        </w:rPr>
      </w:r>
      <w:r/>
    </w:p>
    <w:p>
      <w:pPr>
        <w:pStyle w:val="635"/>
        <w:jc w:val="center"/>
        <w:spacing w:beforeAutospacing="0" w:afterAutospacing="0" w:line="0" w:lineRule="atLeast"/>
        <w:rPr>
          <w:highlight w:val="none"/>
        </w:rPr>
      </w:pPr>
      <w:r>
        <w:rPr>
          <w:highlight w:val="none"/>
        </w:rPr>
      </w:r>
      <w:r/>
    </w:p>
    <w:p>
      <w:pPr>
        <w:pStyle w:val="635"/>
        <w:jc w:val="center"/>
        <w:spacing w:beforeAutospacing="0" w:afterAutospacing="0" w:line="0" w:lineRule="atLeast"/>
        <w:rPr>
          <w:highlight w:val="none"/>
        </w:rPr>
      </w:pPr>
      <w:r>
        <w:rPr>
          <w:highlight w:val="none"/>
        </w:rPr>
      </w:r>
      <w:r/>
    </w:p>
    <w:p>
      <w:pPr>
        <w:pStyle w:val="635"/>
        <w:jc w:val="center"/>
        <w:spacing w:beforeAutospacing="0" w:afterAutospacing="0" w:line="0" w:lineRule="atLeast"/>
        <w:rPr>
          <w:highlight w:val="none"/>
        </w:rPr>
      </w:pPr>
      <w:r>
        <w:rPr>
          <w:highlight w:val="none"/>
        </w:rPr>
      </w:r>
      <w:r/>
    </w:p>
    <w:p>
      <w:pPr>
        <w:pStyle w:val="635"/>
        <w:jc w:val="center"/>
        <w:spacing w:beforeAutospacing="0" w:afterAutospacing="0" w:line="0" w:lineRule="atLeast"/>
        <w:rPr>
          <w:highlight w:val="none"/>
        </w:rPr>
      </w:pPr>
      <w:r>
        <w:rPr>
          <w:rFonts w:hint="eastAsia" w:ascii="宋体" w:hAnsi="宋体" w:eastAsia="宋体" w:cs="宋体"/>
          <w:b/>
          <w:color w:val="000000"/>
          <w:sz w:val="32"/>
          <w:szCs w:val="32"/>
          <w:highlight w:val="none"/>
        </w:rPr>
        <w:t xml:space="preserve">投标文件目录</w:t>
      </w:r>
      <w:r/>
    </w:p>
    <w:p>
      <w:pPr>
        <w:pStyle w:val="635"/>
        <w:jc w:val="center"/>
        <w:spacing w:beforeAutospacing="0" w:afterAutospacing="0" w:line="0" w:lineRule="atLeast"/>
        <w:rPr>
          <w:highlight w:val="none"/>
        </w:rPr>
      </w:pPr>
      <w:r>
        <w:rPr>
          <w:highlight w:val="none"/>
        </w:rPr>
        <w:t xml:space="preserve"> </w:t>
      </w:r>
      <w:r/>
    </w:p>
    <w:p>
      <w:pPr>
        <w:pStyle w:val="635"/>
        <w:ind w:left="0" w:firstLine="480"/>
        <w:jc w:val="both"/>
        <w:keepLines w:val="0"/>
        <w:keepNext w:val="0"/>
        <w:pageBreakBefore w:val="0"/>
        <w:spacing w:beforeAutospacing="0" w:afterAutospacing="0" w:line="360" w:lineRule="auto"/>
        <w:rPr>
          <w:i w:val="0"/>
          <w:iCs/>
          <w:highlight w:val="none"/>
          <w:u w:val="none"/>
        </w:rPr>
      </w:pPr>
      <w:r>
        <w:rPr>
          <w:rFonts w:hint="eastAsia" w:ascii="宋体" w:hAnsi="宋体" w:eastAsia="宋体" w:cs="宋体"/>
          <w:i w:val="0"/>
          <w:iCs/>
          <w:color w:val="000000"/>
          <w:highlight w:val="none"/>
          <w:u w:val="none"/>
        </w:rPr>
        <w:t xml:space="preserve">一、法人或者其他组织的营业执照等证明文件，自然人的身份证明</w:t>
      </w:r>
      <w:r/>
    </w:p>
    <w:p>
      <w:pPr>
        <w:ind w:left="0" w:firstLine="480"/>
        <w:jc w:val="left"/>
        <w:keepLines w:val="0"/>
        <w:keepNext w:val="0"/>
        <w:pageBreakBefore w:val="0"/>
        <w:spacing w:line="360" w:lineRule="auto"/>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二、上一年度的财务状况报告（至少提供资产负债表、利润表、现金流量表，</w:t>
      </w:r>
      <w:r/>
    </w:p>
    <w:p>
      <w:pPr>
        <w:pStyle w:val="635"/>
        <w:ind w:left="0" w:firstLine="480"/>
        <w:jc w:val="both"/>
        <w:keepLines w:val="0"/>
        <w:keepNext w:val="0"/>
        <w:pageBreakBefore w:val="0"/>
        <w:spacing w:beforeAutospacing="0" w:afterAutospacing="0" w:line="360" w:lineRule="auto"/>
        <w:rPr>
          <w:i w:val="0"/>
          <w:iCs/>
          <w:highlight w:val="none"/>
          <w:u w:val="none"/>
        </w:rPr>
      </w:pPr>
      <w:r>
        <w:rPr>
          <w:rFonts w:hint="eastAsia" w:ascii="宋体" w:hAnsi="宋体" w:eastAsia="宋体" w:cs="宋体"/>
          <w:i w:val="0"/>
          <w:iCs/>
          <w:color w:val="000000"/>
          <w:highlight w:val="none"/>
          <w:u w:val="none"/>
        </w:rPr>
        <w:t xml:space="preserve">投标人成立不满一年无需提供）</w:t>
      </w:r>
      <w:r/>
    </w:p>
    <w:p>
      <w:pPr>
        <w:pStyle w:val="635"/>
        <w:ind w:left="0" w:firstLine="480"/>
        <w:jc w:val="both"/>
        <w:keepLines w:val="0"/>
        <w:keepNext w:val="0"/>
        <w:pageBreakBefore w:val="0"/>
        <w:spacing w:beforeAutospacing="0" w:afterAutospacing="0" w:line="360" w:lineRule="auto"/>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、具备履行合同所必需的设备和专业技术能力的书面声明</w:t>
      </w:r>
      <w:r/>
    </w:p>
    <w:p>
      <w:pPr>
        <w:pStyle w:val="635"/>
        <w:ind w:left="0" w:firstLine="480"/>
        <w:jc w:val="both"/>
        <w:keepLines w:val="0"/>
        <w:keepNext w:val="0"/>
        <w:pageBreakBefore w:val="0"/>
        <w:spacing w:beforeAutospacing="0" w:afterAutospacing="0" w:line="360" w:lineRule="auto"/>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35"/>
        <w:ind w:left="0" w:firstLine="480"/>
        <w:jc w:val="both"/>
        <w:keepLines w:val="0"/>
        <w:keepNext w:val="0"/>
        <w:pageBreakBefore w:val="0"/>
        <w:spacing w:beforeAutospacing="0" w:afterAutospacing="0" w:line="360" w:lineRule="auto"/>
        <w:rPr>
          <w:i w:val="0"/>
          <w:iCs/>
          <w:highlight w:val="none"/>
          <w:u w:val="none"/>
        </w:rPr>
      </w:pPr>
      <w:r>
        <w:rPr>
          <w:rFonts w:hint="eastAsia" w:ascii="宋体" w:hAnsi="宋体" w:eastAsia="宋体" w:cs="宋体"/>
          <w:i w:val="0"/>
          <w:iCs/>
          <w:color w:val="000000"/>
          <w:highlight w:val="none"/>
          <w:u w:val="none"/>
        </w:rPr>
        <w:t xml:space="preserve">五、参加政府采购活动前 3 年内在经营活动中没有重大违法记录的书面声明</w:t>
      </w:r>
      <w:r/>
    </w:p>
    <w:p>
      <w:pPr>
        <w:pStyle w:val="635"/>
        <w:ind w:left="0" w:firstLine="480"/>
        <w:jc w:val="both"/>
        <w:keepLines w:val="0"/>
        <w:keepNext w:val="0"/>
        <w:pageBreakBefore w:val="0"/>
        <w:spacing w:beforeAutospacing="0" w:afterAutospacing="0" w:line="360" w:lineRule="auto"/>
        <w:rPr>
          <w:i w:val="0"/>
          <w:iCs/>
          <w:highlight w:val="none"/>
          <w:u w:val="none"/>
        </w:rPr>
      </w:pPr>
      <w:r>
        <w:rPr>
          <w:rFonts w:hint="eastAsia" w:ascii="宋体" w:hAnsi="宋体" w:eastAsia="宋体" w:cs="宋体"/>
          <w:i w:val="0"/>
          <w:iCs/>
          <w:color w:val="000000"/>
          <w:highlight w:val="none"/>
          <w:u w:val="none"/>
        </w:rPr>
        <w:t xml:space="preserve">六、特定资格要求的证明文件（如果本项目设置特定资格要求，则需要提供）</w:t>
      </w:r>
      <w:r/>
    </w:p>
    <w:p>
      <w:pPr>
        <w:pStyle w:val="635"/>
        <w:ind w:left="0" w:firstLine="480"/>
        <w:jc w:val="both"/>
        <w:keepLines w:val="0"/>
        <w:keepNext w:val="0"/>
        <w:pageBreakBefore w:val="0"/>
        <w:spacing w:beforeAutospacing="0" w:afterAutospacing="0" w:line="360" w:lineRule="auto"/>
        <w:rPr>
          <w:i w:val="0"/>
          <w:iCs/>
          <w:highlight w:val="none"/>
          <w:u w:val="none"/>
        </w:rPr>
      </w:pPr>
      <w:r>
        <w:rPr>
          <w:rFonts w:hint="eastAsia" w:ascii="宋体" w:hAnsi="宋体" w:eastAsia="宋体" w:cs="宋体"/>
          <w:i w:val="0"/>
          <w:iCs/>
          <w:color w:val="000000"/>
          <w:highlight w:val="none"/>
          <w:u w:val="none"/>
        </w:rPr>
        <w:t xml:space="preserve">七、法人授权书</w:t>
      </w:r>
      <w:r/>
    </w:p>
    <w:p>
      <w:pPr>
        <w:pStyle w:val="635"/>
        <w:ind w:left="0" w:firstLine="480"/>
        <w:jc w:val="both"/>
        <w:keepLines w:val="0"/>
        <w:keepNext w:val="0"/>
        <w:pageBreakBefore w:val="0"/>
        <w:spacing w:beforeAutospacing="0" w:afterAutospacing="0" w:line="360" w:lineRule="auto"/>
        <w:rPr>
          <w:i w:val="0"/>
          <w:iCs/>
          <w:highlight w:val="none"/>
          <w:u w:val="none"/>
        </w:rPr>
      </w:pPr>
      <w:r>
        <w:rPr>
          <w:rFonts w:hint="eastAsia" w:ascii="宋体" w:hAnsi="宋体" w:eastAsia="宋体" w:cs="宋体"/>
          <w:i w:val="0"/>
          <w:iCs/>
          <w:color w:val="000000"/>
          <w:highlight w:val="none"/>
          <w:u w:val="none"/>
        </w:rPr>
        <w:t xml:space="preserve">八、投标函</w:t>
      </w:r>
      <w:r/>
    </w:p>
    <w:p>
      <w:pPr>
        <w:pStyle w:val="635"/>
        <w:ind w:left="0" w:firstLine="480"/>
        <w:jc w:val="both"/>
        <w:keepLines w:val="0"/>
        <w:keepNext w:val="0"/>
        <w:pageBreakBefore w:val="0"/>
        <w:spacing w:beforeAutospacing="0" w:afterAutospacing="0" w:line="360" w:lineRule="auto"/>
        <w:rPr>
          <w:i w:val="0"/>
          <w:iCs/>
          <w:highlight w:val="none"/>
          <w:u w:val="none"/>
        </w:rPr>
      </w:pPr>
      <w:r>
        <w:rPr>
          <w:rFonts w:hint="eastAsia" w:ascii="宋体" w:hAnsi="宋体" w:eastAsia="宋体" w:cs="宋体"/>
          <w:i w:val="0"/>
          <w:iCs/>
          <w:color w:val="000000"/>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635"/>
        <w:ind w:left="0" w:firstLine="480"/>
        <w:jc w:val="both"/>
        <w:keepLines w:val="0"/>
        <w:keepNext w:val="0"/>
        <w:pageBreakBefore w:val="0"/>
        <w:spacing w:beforeAutospacing="0" w:afterAutospacing="0" w:line="360" w:lineRule="auto"/>
        <w:rPr>
          <w:i w:val="0"/>
          <w:iCs/>
          <w:highlight w:val="none"/>
          <w:u w:val="none"/>
        </w:rPr>
      </w:pPr>
      <w:r>
        <w:rPr>
          <w:rFonts w:hint="eastAsia" w:ascii="宋体" w:hAnsi="宋体" w:eastAsia="宋体" w:cs="宋体"/>
          <w:i w:val="0"/>
          <w:iCs/>
          <w:color w:val="000000"/>
          <w:highlight w:val="none"/>
          <w:u w:val="none"/>
        </w:rPr>
        <w:t xml:space="preserve">十、残疾人福利性单位声明函</w:t>
      </w:r>
      <w:r/>
    </w:p>
    <w:p>
      <w:pPr>
        <w:pStyle w:val="635"/>
        <w:ind w:left="0" w:firstLine="480"/>
        <w:jc w:val="both"/>
        <w:keepLines w:val="0"/>
        <w:keepNext w:val="0"/>
        <w:pageBreakBefore w:val="0"/>
        <w:spacing w:beforeAutospacing="0" w:afterAutospacing="0" w:line="360" w:lineRule="auto"/>
        <w:rPr>
          <w:i w:val="0"/>
          <w:iCs/>
          <w:highlight w:val="none"/>
          <w:u w:val="none"/>
        </w:rPr>
      </w:pPr>
      <w:r>
        <w:rPr>
          <w:rFonts w:hint="eastAsia" w:ascii="宋体" w:hAnsi="宋体" w:eastAsia="宋体" w:cs="宋体"/>
          <w:i w:val="0"/>
          <w:iCs/>
          <w:color w:val="000000"/>
          <w:highlight w:val="none"/>
          <w:u w:val="none"/>
        </w:rPr>
        <w:t xml:space="preserve">十一、投标分项报价表</w:t>
      </w:r>
      <w:r/>
    </w:p>
    <w:p>
      <w:pPr>
        <w:pStyle w:val="635"/>
        <w:ind w:left="0" w:firstLine="480"/>
        <w:jc w:val="both"/>
        <w:keepLines w:val="0"/>
        <w:keepNext w:val="0"/>
        <w:pageBreakBefore w:val="0"/>
        <w:spacing w:beforeAutospacing="0" w:afterAutospacing="0" w:line="360" w:lineRule="auto"/>
        <w:rPr>
          <w:i w:val="0"/>
          <w:iCs/>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二</w:t>
      </w:r>
      <w:r>
        <w:rPr>
          <w:rFonts w:hint="eastAsia" w:ascii="宋体" w:hAnsi="宋体" w:eastAsia="宋体" w:cs="宋体"/>
          <w:i w:val="0"/>
          <w:iCs/>
          <w:color w:val="000000"/>
          <w:highlight w:val="none"/>
          <w:u w:val="none"/>
        </w:rPr>
        <w:t xml:space="preserve">、技术要求响应及偏离表</w:t>
      </w:r>
      <w:r/>
    </w:p>
    <w:p>
      <w:pPr>
        <w:pStyle w:val="635"/>
        <w:ind w:left="0" w:firstLine="480"/>
        <w:jc w:val="both"/>
        <w:keepLines w:val="0"/>
        <w:keepNext w:val="0"/>
        <w:pageBreakBefore w:val="0"/>
        <w:spacing w:beforeAutospacing="0" w:afterAutospacing="0" w:line="360" w:lineRule="auto"/>
        <w:rPr>
          <w:i w:val="0"/>
          <w:iCs/>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、商务要求响应及偏离表</w:t>
      </w:r>
      <w:r/>
    </w:p>
    <w:p>
      <w:pPr>
        <w:pStyle w:val="635"/>
        <w:ind w:left="0" w:firstLine="480"/>
        <w:jc w:val="both"/>
        <w:keepLines w:val="0"/>
        <w:keepNext w:val="0"/>
        <w:pageBreakBefore w:val="0"/>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、开标一览表</w:t>
      </w:r>
      <w:r/>
    </w:p>
    <w:p>
      <w:pPr>
        <w:ind w:left="0" w:firstLine="480"/>
        <w:keepLines w:val="0"/>
        <w:keepNext w:val="0"/>
        <w:pageBreakBefore w:val="0"/>
        <w:spacing w:line="360" w:lineRule="auto"/>
        <w:widowControl/>
        <w:rPr>
          <w:rFonts w:ascii="宋体" w:hAnsi="宋体" w:eastAsia="宋体" w:cs="宋体"/>
          <w:i w:val="0"/>
          <w:iCs/>
          <w:color w:val="000000"/>
          <w:sz w:val="24"/>
          <w:highlight w:val="none"/>
          <w:u w:val="none"/>
        </w:rPr>
      </w:pPr>
      <w:r>
        <w:rPr>
          <w:rFonts w:hint="eastAsia" w:ascii="宋体" w:hAnsi="宋体" w:eastAsia="宋体" w:cs="宋体"/>
          <w:i w:val="0"/>
          <w:iCs/>
          <w:color w:val="000000"/>
          <w:sz w:val="24"/>
          <w:highlight w:val="none"/>
          <w:u w:val="none"/>
        </w:rPr>
        <w:t xml:space="preserve">十</w:t>
      </w:r>
      <w:r>
        <w:rPr>
          <w:rFonts w:hint="eastAsia" w:ascii="宋体" w:hAnsi="宋体" w:eastAsia="宋体" w:cs="宋体"/>
          <w:i w:val="0"/>
          <w:iCs/>
          <w:color w:val="000000"/>
          <w:sz w:val="24"/>
          <w:highlight w:val="none"/>
          <w:u w:val="none"/>
          <w:lang w:val="en-US" w:eastAsia="zh-CN"/>
        </w:rPr>
        <w:t xml:space="preserve">五</w:t>
      </w:r>
      <w:r>
        <w:rPr>
          <w:rFonts w:hint="eastAsia" w:ascii="宋体" w:hAnsi="宋体" w:eastAsia="宋体" w:cs="宋体"/>
          <w:i w:val="0"/>
          <w:iCs/>
          <w:color w:val="000000"/>
          <w:sz w:val="24"/>
          <w:highlight w:val="none"/>
          <w:u w:val="none"/>
        </w:rPr>
        <w:t xml:space="preserve">、技术方案、服务承诺、培训承诺等</w:t>
      </w:r>
      <w:r/>
    </w:p>
    <w:p>
      <w:pPr>
        <w:pStyle w:val="635"/>
        <w:ind w:left="0" w:firstLine="480"/>
        <w:jc w:val="both"/>
        <w:keepLines w:val="0"/>
        <w:keepNext w:val="0"/>
        <w:pageBreakBefore w:val="0"/>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六</w:t>
      </w:r>
      <w:r>
        <w:rPr>
          <w:rFonts w:hint="eastAsia" w:ascii="宋体" w:hAnsi="宋体" w:eastAsia="宋体" w:cs="宋体"/>
          <w:i w:val="0"/>
          <w:iCs/>
          <w:color w:val="000000"/>
          <w:highlight w:val="none"/>
          <w:u w:val="none"/>
        </w:rPr>
        <w:t xml:space="preserve">、盐城市政府采购事前信用承诺书</w:t>
      </w:r>
      <w:r/>
    </w:p>
    <w:p>
      <w:pPr>
        <w:pStyle w:val="635"/>
        <w:ind w:firstLine="480"/>
        <w:jc w:val="both"/>
        <w:spacing w:beforeAutospacing="0" w:afterAutospacing="0" w:line="0" w:lineRule="atLeast"/>
        <w:rPr>
          <w:highlight w:val="none"/>
        </w:rPr>
      </w:pPr>
      <w:r>
        <w:rPr>
          <w:highlight w:val="none"/>
        </w:rPr>
        <w:t xml:space="preserve"> </w:t>
      </w:r>
      <w:r/>
    </w:p>
    <w:p>
      <w:pPr>
        <w:pStyle w:val="635"/>
        <w:ind w:firstLine="480"/>
        <w:jc w:val="both"/>
        <w:spacing w:beforeAutospacing="0" w:afterAutospacing="0" w:line="0" w:lineRule="atLeast"/>
        <w:rPr>
          <w:highlight w:val="none"/>
        </w:rPr>
      </w:pPr>
      <w:r>
        <w:rPr>
          <w:highlight w:val="none"/>
        </w:rPr>
        <w:t xml:space="preserve"> </w:t>
      </w:r>
      <w:r/>
    </w:p>
    <w:p>
      <w:pPr>
        <w:pStyle w:val="635"/>
        <w:ind w:firstLine="480"/>
        <w:jc w:val="both"/>
        <w:spacing w:beforeAutospacing="0" w:afterAutospacing="0" w:line="0" w:lineRule="atLeast"/>
        <w:rPr>
          <w:highlight w:val="none"/>
        </w:rPr>
      </w:pPr>
      <w:r>
        <w:rPr>
          <w:highlight w:val="none"/>
        </w:rPr>
        <w:t xml:space="preserve"> </w:t>
      </w:r>
      <w:r/>
    </w:p>
    <w:p>
      <w:pPr>
        <w:pStyle w:val="635"/>
        <w:ind w:firstLine="480"/>
        <w:jc w:val="both"/>
        <w:spacing w:beforeAutospacing="0" w:afterAutospacing="0" w:line="0" w:lineRule="atLeast"/>
        <w:rPr>
          <w:highlight w:val="none"/>
        </w:rPr>
      </w:pPr>
      <w:r>
        <w:rPr>
          <w:highlight w:val="none"/>
        </w:rPr>
        <w:t xml:space="preserve"> </w:t>
      </w:r>
      <w:r/>
    </w:p>
    <w:p>
      <w:pPr>
        <w:pStyle w:val="635"/>
        <w:ind w:firstLine="480"/>
        <w:jc w:val="both"/>
        <w:spacing w:beforeAutospacing="0" w:afterAutospacing="0" w:line="0" w:lineRule="atLeast"/>
        <w:rPr>
          <w:highlight w:val="none"/>
        </w:rPr>
      </w:pPr>
      <w:r>
        <w:rPr>
          <w:highlight w:val="none"/>
        </w:rPr>
        <w:t xml:space="preserve"> </w:t>
      </w:r>
      <w:r/>
    </w:p>
    <w:p>
      <w:pPr>
        <w:pStyle w:val="635"/>
        <w:ind w:firstLine="480"/>
        <w:jc w:val="both"/>
        <w:spacing w:beforeAutospacing="0" w:afterAutospacing="0" w:line="0" w:lineRule="atLeast"/>
        <w:rPr>
          <w:highlight w:val="none"/>
        </w:rPr>
      </w:pPr>
      <w:r>
        <w:rPr>
          <w:highlight w:val="none"/>
        </w:rPr>
        <w:t xml:space="preserve"> </w:t>
      </w:r>
      <w:r/>
    </w:p>
    <w:p>
      <w:pPr>
        <w:pStyle w:val="635"/>
        <w:ind w:firstLine="480"/>
        <w:jc w:val="both"/>
        <w:spacing w:beforeAutospacing="0" w:afterAutospacing="0" w:line="0" w:lineRule="atLeast"/>
        <w:rPr>
          <w:highlight w:val="none"/>
        </w:rPr>
      </w:pPr>
      <w:r>
        <w:rPr>
          <w:highlight w:val="none"/>
        </w:rPr>
        <w:t xml:space="preserve"> </w:t>
      </w:r>
      <w:r/>
    </w:p>
    <w:p>
      <w:pPr>
        <w:pStyle w:val="635"/>
        <w:ind w:firstLine="480"/>
        <w:jc w:val="both"/>
        <w:spacing w:beforeAutospacing="0" w:afterAutospacing="0" w:line="0" w:lineRule="atLeast"/>
        <w:rPr>
          <w:highlight w:val="none"/>
        </w:rPr>
      </w:pPr>
      <w:r>
        <w:rPr>
          <w:highlight w:val="none"/>
        </w:rPr>
        <w:t xml:space="preserve"> </w:t>
      </w:r>
      <w:r/>
    </w:p>
    <w:p>
      <w:pPr>
        <w:pStyle w:val="635"/>
        <w:ind w:firstLine="480"/>
        <w:jc w:val="both"/>
        <w:spacing w:beforeAutospacing="0" w:afterAutospacing="0" w:line="0" w:lineRule="atLeast"/>
        <w:rPr>
          <w:highlight w:val="none"/>
        </w:rPr>
      </w:pPr>
      <w:r>
        <w:rPr>
          <w:highlight w:val="none"/>
        </w:rPr>
      </w:r>
      <w:r/>
    </w:p>
    <w:p>
      <w:pPr>
        <w:pStyle w:val="635"/>
        <w:ind w:firstLine="480"/>
        <w:jc w:val="both"/>
        <w:spacing w:beforeAutospacing="0" w:afterAutospacing="0" w:line="0" w:lineRule="atLeast"/>
        <w:rPr>
          <w:highlight w:val="none"/>
        </w:rPr>
      </w:pPr>
      <w:r>
        <w:rPr>
          <w:highlight w:val="none"/>
        </w:rPr>
      </w:r>
      <w:r/>
    </w:p>
    <w:p>
      <w:pPr>
        <w:pStyle w:val="635"/>
        <w:ind w:firstLine="480"/>
        <w:jc w:val="both"/>
        <w:spacing w:beforeAutospacing="0" w:afterAutospacing="0" w:line="0" w:lineRule="atLeast"/>
        <w:rPr>
          <w:highlight w:val="none"/>
        </w:rPr>
      </w:pPr>
      <w:r>
        <w:rPr>
          <w:highlight w:val="none"/>
        </w:rPr>
      </w:r>
      <w:r/>
    </w:p>
    <w:p>
      <w:pPr>
        <w:pStyle w:val="635"/>
        <w:ind w:firstLine="480"/>
        <w:jc w:val="both"/>
        <w:spacing w:beforeAutospacing="0" w:afterAutospacing="0" w:line="0" w:lineRule="atLeast"/>
        <w:rPr>
          <w:highlight w:val="none"/>
        </w:rPr>
      </w:pPr>
      <w:r>
        <w:rPr>
          <w:highlight w:val="none"/>
        </w:rPr>
      </w:r>
      <w:r/>
    </w:p>
    <w:p>
      <w:pPr>
        <w:pStyle w:val="635"/>
        <w:ind w:firstLine="480"/>
        <w:jc w:val="both"/>
        <w:spacing w:beforeAutospacing="0" w:afterAutospacing="0" w:line="0" w:lineRule="atLeast"/>
        <w:rPr>
          <w:highlight w:val="none"/>
        </w:rPr>
      </w:pPr>
      <w:r>
        <w:rPr>
          <w:highlight w:val="none"/>
        </w:rPr>
      </w:r>
      <w:r/>
    </w:p>
    <w:p>
      <w:pPr>
        <w:pStyle w:val="635"/>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一、法人或者其他组织的营业执照等证明文件，自然人的身份证明</w:t>
      </w:r>
      <w:r/>
    </w:p>
    <w:p>
      <w:pPr>
        <w:pStyle w:val="635"/>
        <w:ind w:firstLine="480"/>
        <w:jc w:val="both"/>
        <w:spacing w:beforeAutospacing="0" w:afterAutospacing="0" w:line="0" w:lineRule="atLeast"/>
        <w:rPr>
          <w:highlight w:val="none"/>
        </w:rPr>
      </w:pPr>
      <w:r>
        <w:rPr>
          <w:highlight w:val="none"/>
        </w:rPr>
        <w:t xml:space="preserve"> </w:t>
      </w:r>
      <w:r/>
    </w:p>
    <w:p>
      <w:pPr>
        <w:pStyle w:val="635"/>
        <w:jc w:val="both"/>
        <w:spacing w:beforeAutospacing="0" w:afterAutospacing="0"/>
        <w:rPr>
          <w:rFonts w:hint="eastAsia" w:eastAsia="黑体"/>
          <w:highlight w:val="none"/>
          <w:lang w:val="en-US" w:eastAsia="zh-CN"/>
        </w:rPr>
      </w:pPr>
      <w:r>
        <w:rPr>
          <w:rFonts w:hint="eastAsia" w:ascii="黑体" w:hAnsi="宋体" w:eastAsia="黑体" w:cs="黑体"/>
          <w:i/>
          <w:color w:val="000000"/>
          <w:sz w:val="32"/>
          <w:szCs w:val="32"/>
          <w:highlight w:val="none"/>
          <w:u w:val="single"/>
        </w:rPr>
        <w:t xml:space="preserve">二、上一年度的财务状况报</w:t>
      </w:r>
      <w:r>
        <w:rPr>
          <w:rFonts w:hint="eastAsia" w:ascii="黑体" w:hAnsi="宋体" w:eastAsia="黑体" w:cs="黑体"/>
          <w:i/>
          <w:color w:val="000000"/>
          <w:sz w:val="32"/>
          <w:szCs w:val="32"/>
          <w:highlight w:val="none"/>
          <w:u w:val="single"/>
          <w:lang w:val="en-US" w:eastAsia="zh-CN"/>
        </w:rPr>
        <w:t xml:space="preserve">告</w:t>
      </w:r>
      <w:r/>
    </w:p>
    <w:p>
      <w:pPr>
        <w:ind w:firstLine="480"/>
        <w:jc w:val="left"/>
        <w:tabs>
          <w:tab w:val="left" w:pos="1331" w:leader="none"/>
        </w:tabs>
        <w:rPr>
          <w:i w:val="0"/>
          <w:iCs/>
          <w:highlight w:val="none"/>
          <w:u w:val="none"/>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w:t>
      </w:r>
      <w:r>
        <w:rPr>
          <w:rFonts w:hint="eastAsia" w:ascii="宋体" w:hAnsi="宋体" w:eastAsia="宋体" w:cs="宋体"/>
          <w:i w:val="0"/>
          <w:iCs/>
          <w:color w:val="000000"/>
          <w:highlight w:val="none"/>
          <w:u w:val="none"/>
        </w:rPr>
        <w:t xml:space="preserve">投标人成立不满一年无需提供）</w:t>
      </w:r>
      <w:r/>
    </w:p>
    <w:p>
      <w:pPr>
        <w:pStyle w:val="635"/>
        <w:jc w:val="both"/>
        <w:spacing w:beforeAutospacing="0" w:afterAutospacing="0"/>
        <w:rPr>
          <w:highlight w:val="none"/>
        </w:rPr>
      </w:pPr>
      <w:r>
        <w:rPr>
          <w:highlight w:val="none"/>
        </w:rPr>
        <w:t xml:space="preserve"> </w:t>
      </w:r>
      <w:r/>
    </w:p>
    <w:p>
      <w:pPr>
        <w:pStyle w:val="635"/>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p>
    <w:p>
      <w:pPr>
        <w:pStyle w:val="635"/>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635"/>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35"/>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35"/>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p>
    <w:p>
      <w:pPr>
        <w:pStyle w:val="635"/>
        <w:ind w:firstLine="480"/>
        <w:jc w:val="both"/>
        <w:spacing w:beforeAutospacing="0" w:afterAutospacing="0"/>
        <w:rPr>
          <w:highlight w:val="none"/>
        </w:rPr>
      </w:pPr>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r/>
    </w:p>
    <w:p>
      <w:pPr>
        <w:pStyle w:val="635"/>
        <w:jc w:val="both"/>
        <w:spacing w:beforeAutospacing="0" w:afterAutospacing="0"/>
        <w:rPr>
          <w:highlight w:val="none"/>
        </w:rPr>
      </w:pPr>
      <w:r>
        <w:rPr>
          <w:highlight w:val="none"/>
        </w:rPr>
        <w:t xml:space="preserve"> </w:t>
      </w:r>
      <w:r/>
    </w:p>
    <w:p>
      <w:pPr>
        <w:pStyle w:val="635"/>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p>
    <w:p>
      <w:pPr>
        <w:pStyle w:val="635"/>
        <w:jc w:val="both"/>
        <w:spacing w:beforeAutospacing="0" w:afterAutospacing="0" w:line="0" w:lineRule="atLeast"/>
        <w:rPr>
          <w:rFonts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                </w:t>
      </w:r>
      <w:r/>
    </w:p>
    <w:p>
      <w:pPr>
        <w:pStyle w:val="635"/>
        <w:ind w:firstLine="3092"/>
        <w:jc w:val="both"/>
        <w:spacing w:beforeAutospacing="0" w:afterAutospacing="0" w:line="0" w:lineRule="atLeast"/>
        <w:rPr>
          <w:highlight w:val="none"/>
        </w:rPr>
      </w:pPr>
      <w:r>
        <w:rPr>
          <w:rFonts w:hint="eastAsia" w:ascii="宋体" w:hAnsi="宋体" w:eastAsia="宋体" w:cs="宋体"/>
          <w:b/>
          <w:color w:val="000000"/>
          <w:sz w:val="44"/>
          <w:szCs w:val="44"/>
          <w:highlight w:val="none"/>
        </w:rPr>
        <w:t xml:space="preserve"> 声  明</w:t>
      </w:r>
      <w:r/>
    </w:p>
    <w:p>
      <w:pPr>
        <w:pStyle w:val="635"/>
        <w:jc w:val="both"/>
        <w:spacing w:beforeAutospacing="0" w:afterAutospacing="0" w:line="0" w:lineRule="atLeast"/>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35"/>
        <w:jc w:val="both"/>
        <w:spacing w:beforeAutospacing="0" w:afterAutospacing="0"/>
        <w:rPr>
          <w:highlight w:val="none"/>
        </w:rPr>
      </w:pPr>
      <w:r>
        <w:rPr>
          <w:highlight w:val="none"/>
        </w:rPr>
        <w:t xml:space="preserve"> </w:t>
      </w:r>
      <w:r/>
    </w:p>
    <w:p>
      <w:pPr>
        <w:pStyle w:val="635"/>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六、特定资格要求的证明文件</w:t>
      </w:r>
      <w:r/>
    </w:p>
    <w:p>
      <w:pPr>
        <w:pStyle w:val="635"/>
        <w:jc w:val="both"/>
        <w:spacing w:beforeAutospacing="0" w:afterAutospacing="0" w:line="0" w:lineRule="atLeast"/>
        <w:rPr>
          <w:highlight w:val="none"/>
        </w:rPr>
      </w:pPr>
      <w:r>
        <w:rPr>
          <w:rFonts w:hint="eastAsia" w:ascii="宋体" w:hAnsi="宋体" w:eastAsia="宋体" w:cs="宋体"/>
          <w:color w:val="000000"/>
          <w:highlight w:val="none"/>
        </w:rPr>
        <w:t xml:space="preserve">   如果本项目申请人的特定资格要求中要求提供的，必须提供。</w:t>
      </w:r>
      <w:r/>
    </w:p>
    <w:p>
      <w:pPr>
        <w:pStyle w:val="635"/>
        <w:jc w:val="center"/>
        <w:spacing w:beforeAutospacing="0" w:afterAutospacing="0"/>
        <w:rPr>
          <w:rFonts w:ascii="黑体" w:hAnsi="宋体" w:eastAsia="黑体" w:cs="黑体"/>
          <w:i/>
          <w:color w:val="000000"/>
          <w:sz w:val="32"/>
          <w:szCs w:val="32"/>
          <w:highlight w:val="none"/>
          <w:u w:val="single"/>
        </w:rPr>
      </w:pPr>
      <w:r/>
      <w:bookmarkStart w:id="178" w:name="_Toc120614284"/>
      <w:r/>
      <w:r/>
    </w:p>
    <w:p>
      <w:pPr>
        <w:pStyle w:val="635"/>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35"/>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35"/>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35"/>
        <w:jc w:val="center"/>
        <w:spacing w:beforeAutospacing="0" w:afterAutospacing="0"/>
        <w:rPr>
          <w:highlight w:val="none"/>
        </w:rPr>
      </w:pPr>
      <w:r>
        <w:rPr>
          <w:rFonts w:hint="eastAsia" w:ascii="黑体" w:hAnsi="宋体" w:eastAsia="黑体" w:cs="黑体"/>
          <w:i/>
          <w:color w:val="000000"/>
          <w:sz w:val="32"/>
          <w:szCs w:val="32"/>
          <w:highlight w:val="none"/>
          <w:u w:val="single"/>
        </w:rPr>
        <w:t xml:space="preserve">七、法人授权书</w:t>
      </w:r>
      <w:r/>
    </w:p>
    <w:p>
      <w:pPr>
        <w:pStyle w:val="635"/>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本授权书声明：____________（投标人名称）授权________________（被授权人的姓名）为我方就JSZC-</w:t>
      </w:r>
      <w:r>
        <w:rPr>
          <w:rFonts w:ascii="Times New Roman" w:hAnsi="Times New Roman"/>
          <w:color w:val="000000"/>
          <w:highlight w:val="none"/>
          <w:u w:val="single"/>
        </w:rPr>
        <w:t xml:space="preserve">        </w:t>
      </w:r>
      <w:r>
        <w:rPr>
          <w:rFonts w:ascii="Times New Roman" w:hAnsi="Times New Roman"/>
          <w:color w:val="000000"/>
          <w:highlight w:val="none"/>
        </w:rPr>
        <w:t xml:space="preserve">号项目采购活动的合法代理人，以本单位名义全权处理一切与该项目采购有关的事务。</w:t>
      </w:r>
      <w:r/>
    </w:p>
    <w:p>
      <w:pPr>
        <w:pStyle w:val="635"/>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本授权书于______年____月____日起生效，特此声明。</w:t>
      </w:r>
      <w:r/>
    </w:p>
    <w:p>
      <w:pPr>
        <w:pStyle w:val="635"/>
        <w:jc w:val="both"/>
        <w:spacing w:beforeAutospacing="0" w:afterAutospacing="0"/>
        <w:tabs>
          <w:tab w:val="left" w:pos="360" w:leader="none"/>
        </w:tabs>
        <w:rPr>
          <w:highlight w:val="none"/>
        </w:rPr>
      </w:pPr>
      <w:r>
        <w:rPr>
          <w:rFonts w:ascii="Times New Roman" w:hAnsi="Times New Roman"/>
          <w:color w:val="000000"/>
          <w:highlight w:val="none"/>
        </w:rPr>
        <w:t xml:space="preserve">          被授权人身份证号码：</w:t>
      </w:r>
      <w:r>
        <w:rPr>
          <w:rFonts w:ascii="Times New Roman" w:hAnsi="Times New Roman"/>
          <w:color w:val="000000"/>
          <w:highlight w:val="none"/>
          <w:u w:val="single"/>
        </w:rPr>
        <w:t xml:space="preserve">                              </w:t>
      </w:r>
      <w:r/>
    </w:p>
    <w:p>
      <w:pPr>
        <w:pStyle w:val="635"/>
        <w:jc w:val="both"/>
        <w:spacing w:beforeAutospacing="0" w:afterAutospacing="0"/>
        <w:tabs>
          <w:tab w:val="left" w:pos="360" w:leader="none"/>
        </w:tabs>
        <w:rPr>
          <w:highlight w:val="none"/>
        </w:rPr>
      </w:pPr>
      <w:r>
        <w:rPr>
          <w:rFonts w:ascii="Times New Roman" w:hAnsi="Times New Roman"/>
          <w:color w:val="000000"/>
          <w:highlight w:val="none"/>
        </w:rPr>
        <w:t xml:space="preserve">          被授权人联系电话：（手机）</w:t>
      </w:r>
      <w:r>
        <w:rPr>
          <w:rFonts w:ascii="Times New Roman" w:hAnsi="Times New Roman"/>
          <w:color w:val="000000"/>
          <w:highlight w:val="none"/>
          <w:u w:val="single"/>
        </w:rPr>
        <w:t xml:space="preserve">                          </w:t>
      </w:r>
      <w:r/>
    </w:p>
    <w:p>
      <w:pPr>
        <w:pStyle w:val="635"/>
        <w:ind w:firstLine="1200"/>
        <w:jc w:val="both"/>
        <w:spacing w:beforeAutospacing="0" w:afterAutospacing="0"/>
        <w:tabs>
          <w:tab w:val="left" w:pos="360" w:leader="none"/>
        </w:tabs>
        <w:rPr>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pStyle w:val="635"/>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单位地址：</w:t>
      </w:r>
      <w:r>
        <w:rPr>
          <w:rFonts w:ascii="Times New Roman" w:hAnsi="Times New Roman"/>
          <w:color w:val="000000"/>
          <w:highlight w:val="none"/>
          <w:u w:val="single"/>
        </w:rPr>
        <w:t xml:space="preserve">                                         </w:t>
      </w:r>
      <w:r/>
    </w:p>
    <w:p>
      <w:pPr>
        <w:pStyle w:val="635"/>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日期：</w:t>
      </w:r>
      <w:bookmarkStart w:id="179" w:name="_Hlt26671380"/>
      <w:r/>
      <w:bookmarkStart w:id="180" w:name="_格式3__银行出具的资信证明"/>
      <w:r/>
      <w:bookmarkStart w:id="181" w:name="_Hlt26955070"/>
      <w:r>
        <w:rPr>
          <w:rFonts w:ascii="Times New Roman" w:hAnsi="Times New Roman"/>
          <w:color w:val="000000"/>
          <w:highlight w:val="none"/>
          <w:u w:val="single"/>
        </w:rPr>
        <w:t xml:space="preserve">                                         </w:t>
      </w:r>
      <w:r/>
    </w:p>
    <w:p>
      <w:pPr>
        <w:pStyle w:val="635"/>
        <w:ind w:firstLine="420"/>
        <w:jc w:val="both"/>
        <w:spacing w:beforeAutospacing="0" w:afterAutospacing="0"/>
        <w:rPr>
          <w:highlight w:val="none"/>
        </w:rPr>
      </w:pPr>
      <w:r>
        <w:rPr>
          <w:highlight w:val="none"/>
        </w:rPr>
        <w:t xml:space="preserve"> </w:t>
      </w:r>
      <w:r/>
    </w:p>
    <w:p>
      <w:pPr>
        <w:pStyle w:val="635"/>
        <w:jc w:val="both"/>
        <w:spacing w:beforeAutospacing="0" w:afterAutospacing="0"/>
        <w:rPr>
          <w:highlight w:val="none"/>
        </w:rPr>
      </w:pPr>
      <w:r>
        <w:rPr>
          <w:highlight w:val="none"/>
        </w:rPr>
        <w:t xml:space="preserve"> </w:t>
      </w:r>
      <w:r/>
    </w:p>
    <w:p>
      <w:pPr>
        <w:pStyle w:val="635"/>
        <w:jc w:val="both"/>
        <w:spacing w:beforeAutospacing="0" w:afterAutospacing="0" w:line="0" w:lineRule="atLeast"/>
        <w:rPr>
          <w:highlight w:val="none"/>
          <w:shd w:val="clear" w:color="auto" w:fill="auto"/>
        </w:rPr>
      </w:pPr>
      <w:r>
        <w:rPr>
          <w:highlight w:val="none"/>
          <w:shd w:val="clear" w:color="auto" w:fill="auto"/>
        </w:rPr>
        <w:t xml:space="preserve"> </w:t>
      </w:r>
      <w:r/>
    </w:p>
    <w:p>
      <w:pPr>
        <w:pStyle w:val="635"/>
        <w:ind w:firstLine="360"/>
        <w:jc w:val="both"/>
        <w:spacing w:beforeAutospacing="0" w:afterAutospacing="0" w:line="0" w:lineRule="atLeast"/>
        <w:rPr>
          <w:highlight w:val="none"/>
          <w:shd w:val="clear" w:color="auto" w:fill="auto"/>
        </w:rPr>
      </w:pPr>
      <w:r>
        <w:rPr>
          <w:rFonts w:ascii="楷体" w:hAnsi="楷体" w:eastAsia="楷体" w:cs="楷体"/>
          <w:color w:val="000000"/>
          <w:highlight w:val="none"/>
          <w:shd w:val="clear" w:color="auto" w:fill="auto"/>
        </w:rPr>
        <w:t xml:space="preserve">备注 我公司（单位）委托进行现场演示的人员为（本项目如果无现场演示要求，请项目经办人自行删除备注）</w:t>
      </w:r>
      <w:r/>
    </w:p>
    <w:p>
      <w:pPr>
        <w:pStyle w:val="635"/>
        <w:jc w:val="both"/>
        <w:spacing w:beforeAutospacing="0" w:afterAutospacing="0" w:line="0" w:lineRule="atLeast"/>
        <w:rPr>
          <w:highlight w:val="none"/>
          <w:shd w:val="clear" w:color="auto" w:fill="auto"/>
        </w:rPr>
      </w:pPr>
      <w:r>
        <w:rPr>
          <w:rFonts w:hint="eastAsia" w:ascii="楷体" w:hAnsi="楷体" w:eastAsia="楷体" w:cs="楷体"/>
          <w:color w:val="000000"/>
          <w:highlight w:val="none"/>
          <w:u w:val="single"/>
          <w:shd w:val="clear" w:color="auto" w:fill="auto"/>
        </w:rPr>
        <w:t xml:space="preserve">        </w:t>
      </w:r>
      <w:r>
        <w:rPr>
          <w:rFonts w:hint="eastAsia" w:ascii="楷体" w:hAnsi="楷体" w:eastAsia="楷体" w:cs="楷体"/>
          <w:color w:val="000000"/>
          <w:highlight w:val="none"/>
          <w:shd w:val="clear" w:color="auto" w:fill="auto"/>
        </w:rPr>
        <w:t xml:space="preserve">（人员姓名），身份证号</w:t>
      </w:r>
      <w:r>
        <w:rPr>
          <w:rFonts w:hint="eastAsia" w:ascii="楷体" w:hAnsi="楷体" w:eastAsia="楷体" w:cs="楷体"/>
          <w:color w:val="000000"/>
          <w:highlight w:val="none"/>
          <w:u w:val="single"/>
          <w:shd w:val="clear" w:color="auto" w:fill="auto"/>
        </w:rPr>
        <w:t xml:space="preserve">         </w:t>
      </w:r>
      <w:r>
        <w:rPr>
          <w:rFonts w:hint="eastAsia" w:ascii="楷体" w:hAnsi="楷体" w:eastAsia="楷体" w:cs="楷体"/>
          <w:color w:val="000000"/>
          <w:highlight w:val="none"/>
          <w:shd w:val="clear" w:color="auto" w:fill="auto"/>
        </w:rPr>
        <w:t xml:space="preserve">。</w:t>
      </w:r>
      <w:r/>
    </w:p>
    <w:p>
      <w:pPr>
        <w:pStyle w:val="635"/>
        <w:jc w:val="both"/>
        <w:spacing w:beforeAutospacing="0" w:afterAutospacing="0" w:line="0" w:lineRule="atLeast"/>
        <w:rPr>
          <w:highlight w:val="none"/>
          <w:shd w:val="clear" w:color="auto" w:fill="auto"/>
        </w:rPr>
      </w:pPr>
      <w:r>
        <w:rPr>
          <w:rFonts w:hint="eastAsia" w:ascii="宋体" w:hAnsi="宋体" w:eastAsia="宋体" w:cs="宋体"/>
          <w:color w:val="000000"/>
          <w:highlight w:val="none"/>
          <w:shd w:val="clear" w:color="auto" w:fill="auto"/>
        </w:rPr>
        <w:t xml:space="preserve">……</w:t>
      </w:r>
      <w:r/>
    </w:p>
    <w:p>
      <w:pPr>
        <w:pStyle w:val="635"/>
        <w:ind w:firstLine="3390"/>
        <w:jc w:val="both"/>
        <w:keepLines/>
        <w:keepNext/>
        <w:spacing w:before="260" w:beforeAutospacing="0" w:after="260" w:afterAutospacing="0" w:line="415" w:lineRule="auto"/>
        <w:rPr>
          <w:highlight w:val="none"/>
        </w:rPr>
      </w:pPr>
      <w:r>
        <w:rPr>
          <w:rFonts w:hint="eastAsia" w:ascii="宋体" w:hAnsi="宋体" w:eastAsia="宋体" w:cs="宋体"/>
          <w:b/>
          <w:color w:val="000000"/>
          <w:highlight w:val="none"/>
        </w:rPr>
        <w:br w:type="page" w:clear="all"/>
      </w:r>
      <w:r>
        <w:rPr>
          <w:rFonts w:hint="eastAsia" w:ascii="宋体" w:hAnsi="宋体" w:eastAsia="宋体" w:cs="宋体"/>
          <w:b/>
          <w:color w:val="000000"/>
          <w:highlight w:val="none"/>
        </w:rPr>
        <w:t xml:space="preserve"> </w:t>
      </w:r>
      <w:r>
        <w:rPr>
          <w:rFonts w:hint="eastAsia" w:ascii="黑体" w:hAnsi="宋体" w:eastAsia="黑体" w:cs="黑体"/>
          <w:b/>
          <w:i/>
          <w:color w:val="000000"/>
          <w:sz w:val="32"/>
          <w:szCs w:val="32"/>
          <w:highlight w:val="none"/>
          <w:u w:val="single"/>
        </w:rPr>
        <w:t xml:space="preserve">八、投标函</w:t>
      </w:r>
      <w:r/>
    </w:p>
    <w:p>
      <w:pPr>
        <w:pStyle w:val="635"/>
        <w:spacing w:beforeAutospacing="0" w:afterAutospacing="0" w:line="0" w:lineRule="atLeast"/>
        <w:rPr>
          <w:rFonts w:hint="default" w:eastAsia="宋体"/>
          <w:highlight w:val="none"/>
          <w:lang w:val="en-US" w:eastAsia="zh-CN"/>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lang w:val="en-US" w:eastAsia="zh-CN"/>
        </w:rPr>
        <w:t xml:space="preserve">江苏省东台中学</w:t>
      </w:r>
      <w:r/>
    </w:p>
    <w:p>
      <w:pPr>
        <w:pStyle w:val="635"/>
        <w:ind w:firstLine="480"/>
        <w:spacing w:beforeAutospacing="0" w:afterAutospacing="0" w:line="0" w:lineRule="atLeast"/>
        <w:rPr>
          <w:highlight w:val="none"/>
        </w:rPr>
      </w:pPr>
      <w:r>
        <w:rPr>
          <w:rFonts w:hint="eastAsia" w:ascii="宋体" w:hAnsi="宋体" w:eastAsia="宋体" w:cs="宋体"/>
          <w:color w:val="000000"/>
          <w:highlight w:val="none"/>
        </w:rPr>
        <w:t xml:space="preserve">根据贵方的JSZC-***</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color w:val="000000"/>
          <w:highlight w:val="none"/>
        </w:rPr>
        <w:t xml:space="preserve">号招标文件，正式授权下述签字人_________________(姓名)代表我方______________（投标人的名称），全权处理本次项目投标的有关事宜。</w:t>
      </w:r>
      <w:r/>
    </w:p>
    <w:p>
      <w:pPr>
        <w:pStyle w:val="635"/>
        <w:ind w:firstLine="480"/>
        <w:spacing w:beforeAutospacing="0" w:afterAutospacing="0" w:line="0" w:lineRule="atLeast"/>
        <w:rPr>
          <w:highlight w:val="none"/>
        </w:rPr>
      </w:pPr>
      <w:r>
        <w:rPr>
          <w:rFonts w:hint="eastAsia" w:ascii="宋体" w:hAnsi="宋体" w:eastAsia="宋体" w:cs="宋体"/>
          <w:color w:val="000000"/>
          <w:highlight w:val="none"/>
        </w:rPr>
        <w:t xml:space="preserve">据此函，__________签字人兹宣布同意如下：</w:t>
      </w:r>
      <w:r/>
    </w:p>
    <w:p>
      <w:pPr>
        <w:pStyle w:val="635"/>
        <w:ind w:firstLine="480"/>
        <w:spacing w:beforeAutospacing="0" w:afterAutospacing="0" w:line="0" w:lineRule="atLeast"/>
        <w:rPr>
          <w:highlight w:val="none"/>
        </w:rPr>
      </w:pPr>
      <w:r>
        <w:rPr>
          <w:rFonts w:hint="eastAsia" w:ascii="宋体" w:hAnsi="宋体" w:eastAsia="宋体" w:cs="宋体"/>
          <w:color w:val="000000"/>
          <w:highlight w:val="none"/>
        </w:rPr>
        <w:t xml:space="preserve">1.按招标文件规定的各项要求，向买方提供所需货物（包含与货物相关的服务）。</w:t>
      </w:r>
      <w:r/>
    </w:p>
    <w:p>
      <w:pPr>
        <w:pStyle w:val="635"/>
        <w:ind w:firstLine="480"/>
        <w:spacing w:beforeAutospacing="0" w:afterAutospacing="0" w:line="0" w:lineRule="atLeast"/>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635"/>
        <w:ind w:firstLine="480"/>
        <w:spacing w:beforeAutospacing="0" w:afterAutospacing="0" w:line="0" w:lineRule="atLeast"/>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635"/>
        <w:ind w:firstLine="480"/>
        <w:spacing w:beforeAutospacing="0" w:afterAutospacing="0" w:line="0" w:lineRule="atLeast"/>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635"/>
        <w:ind w:firstLine="480"/>
        <w:spacing w:beforeAutospacing="0" w:afterAutospacing="0" w:line="0" w:lineRule="atLeast"/>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635"/>
        <w:ind w:firstLine="480"/>
        <w:spacing w:beforeAutospacing="0" w:afterAutospacing="0" w:line="0" w:lineRule="atLeast"/>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635"/>
        <w:ind w:left="425"/>
        <w:spacing w:beforeAutospacing="0" w:afterAutospacing="0" w:line="0" w:lineRule="atLeast"/>
        <w:rPr>
          <w:highlight w:val="none"/>
        </w:rPr>
      </w:pPr>
      <w:r>
        <w:rPr>
          <w:rFonts w:hint="eastAsia" w:ascii="宋体" w:hAnsi="宋体" w:eastAsia="宋体" w:cs="宋体"/>
          <w:color w:val="000000"/>
          <w:highlight w:val="none"/>
        </w:rPr>
        <w:t xml:space="preserve">7.与本投标有关的正式通讯地址为：</w:t>
      </w:r>
      <w:r/>
    </w:p>
    <w:p>
      <w:pPr>
        <w:pStyle w:val="635"/>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地          址：</w:t>
      </w:r>
      <w:r/>
    </w:p>
    <w:p>
      <w:pPr>
        <w:pStyle w:val="635"/>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邮          编：</w:t>
      </w:r>
      <w:r/>
    </w:p>
    <w:p>
      <w:pPr>
        <w:pStyle w:val="635"/>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电          话：</w:t>
      </w:r>
      <w:r/>
    </w:p>
    <w:p>
      <w:pPr>
        <w:pStyle w:val="635"/>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传          真：</w:t>
      </w:r>
      <w:r/>
    </w:p>
    <w:p>
      <w:pPr>
        <w:pStyle w:val="635"/>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投标人开户行：</w:t>
      </w:r>
      <w:r/>
    </w:p>
    <w:p>
      <w:pPr>
        <w:pStyle w:val="635"/>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账          号： </w:t>
      </w:r>
      <w:r/>
    </w:p>
    <w:p>
      <w:pPr>
        <w:pStyle w:val="635"/>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日          期：________年____月____日</w:t>
      </w:r>
      <w:r/>
    </w:p>
    <w:p>
      <w:pPr>
        <w:pStyle w:val="635"/>
        <w:ind w:firstLine="240"/>
        <w:jc w:val="center"/>
        <w:spacing w:beforeAutospacing="0" w:afterAutospacing="0" w:line="0" w:lineRule="atLeast"/>
        <w:rPr>
          <w:highlight w:val="none"/>
        </w:rPr>
      </w:pPr>
      <w:r>
        <w:rPr>
          <w:highlight w:val="none"/>
        </w:rPr>
        <w:t xml:space="preserve"> </w:t>
      </w:r>
      <w:r/>
    </w:p>
    <w:p>
      <w:pPr>
        <w:pStyle w:val="635"/>
        <w:ind w:firstLine="240"/>
        <w:jc w:val="center"/>
        <w:spacing w:beforeAutospacing="0" w:afterAutospacing="0" w:line="0" w:lineRule="atLeast"/>
        <w:rPr>
          <w:highlight w:val="none"/>
        </w:rPr>
      </w:pPr>
      <w:r>
        <w:rPr>
          <w:highlight w:val="none"/>
        </w:rPr>
        <w:t xml:space="preserve"> </w:t>
      </w:r>
      <w:r/>
    </w:p>
    <w:p>
      <w:pPr>
        <w:pStyle w:val="635"/>
        <w:ind w:firstLine="240"/>
        <w:jc w:val="center"/>
        <w:spacing w:beforeAutospacing="0" w:afterAutospacing="0" w:line="0" w:lineRule="atLeast"/>
        <w:rPr>
          <w:highlight w:val="none"/>
        </w:rPr>
      </w:pPr>
      <w:r>
        <w:rPr>
          <w:highlight w:val="none"/>
        </w:rPr>
        <w:t xml:space="preserve"> </w:t>
      </w:r>
      <w:r/>
    </w:p>
    <w:p>
      <w:pPr>
        <w:pStyle w:val="635"/>
        <w:ind w:firstLine="240"/>
        <w:jc w:val="center"/>
        <w:spacing w:beforeAutospacing="0" w:afterAutospacing="0" w:line="0" w:lineRule="atLeast"/>
        <w:rPr>
          <w:highlight w:val="none"/>
        </w:rPr>
      </w:pPr>
      <w:r>
        <w:rPr>
          <w:highlight w:val="none"/>
        </w:rPr>
        <w:t xml:space="preserve"> </w:t>
      </w:r>
      <w:r/>
    </w:p>
    <w:p>
      <w:pPr>
        <w:pStyle w:val="635"/>
        <w:ind w:firstLine="240"/>
        <w:jc w:val="center"/>
        <w:spacing w:beforeAutospacing="0" w:afterAutospacing="0" w:line="0" w:lineRule="atLeast"/>
        <w:rPr>
          <w:highlight w:val="none"/>
        </w:rPr>
      </w:pPr>
      <w:r>
        <w:rPr>
          <w:highlight w:val="none"/>
        </w:rPr>
      </w:r>
      <w:r/>
    </w:p>
    <w:p>
      <w:pPr>
        <w:pStyle w:val="635"/>
        <w:ind w:firstLine="240"/>
        <w:jc w:val="center"/>
        <w:spacing w:beforeAutospacing="0" w:afterAutospacing="0" w:line="0" w:lineRule="atLeast"/>
        <w:rPr>
          <w:highlight w:val="none"/>
        </w:rPr>
      </w:pPr>
      <w:r>
        <w:rPr>
          <w:highlight w:val="none"/>
        </w:rPr>
      </w:r>
      <w:r/>
    </w:p>
    <w:p>
      <w:pPr>
        <w:pStyle w:val="635"/>
        <w:ind w:firstLine="240"/>
        <w:jc w:val="center"/>
        <w:spacing w:beforeAutospacing="0" w:afterAutospacing="0" w:line="0" w:lineRule="atLeast"/>
        <w:rPr>
          <w:highlight w:val="none"/>
        </w:rPr>
      </w:pPr>
      <w:r>
        <w:rPr>
          <w:highlight w:val="none"/>
        </w:rPr>
      </w:r>
      <w:r/>
    </w:p>
    <w:p>
      <w:pPr>
        <w:pStyle w:val="635"/>
        <w:ind w:firstLine="240"/>
        <w:jc w:val="center"/>
        <w:spacing w:beforeAutospacing="0" w:afterAutospacing="0" w:line="0" w:lineRule="atLeast"/>
        <w:rPr>
          <w:highlight w:val="none"/>
        </w:rPr>
      </w:pPr>
      <w:r>
        <w:rPr>
          <w:highlight w:val="none"/>
        </w:rPr>
      </w:r>
      <w:r/>
    </w:p>
    <w:p>
      <w:pPr>
        <w:pStyle w:val="635"/>
        <w:ind w:firstLine="240"/>
        <w:jc w:val="center"/>
        <w:spacing w:beforeAutospacing="0" w:afterAutospacing="0" w:line="0" w:lineRule="atLeast"/>
        <w:rPr>
          <w:highlight w:val="none"/>
        </w:rPr>
      </w:pPr>
      <w:r>
        <w:rPr>
          <w:highlight w:val="none"/>
        </w:rPr>
      </w:r>
      <w:r/>
    </w:p>
    <w:p>
      <w:pPr>
        <w:pStyle w:val="635"/>
        <w:ind w:firstLine="240"/>
        <w:jc w:val="center"/>
        <w:spacing w:beforeAutospacing="0" w:afterAutospacing="0" w:line="0" w:lineRule="atLeast"/>
        <w:rPr>
          <w:highlight w:val="none"/>
        </w:rPr>
      </w:pPr>
      <w:r>
        <w:rPr>
          <w:highlight w:val="none"/>
        </w:rPr>
      </w:r>
      <w:r/>
    </w:p>
    <w:p>
      <w:pPr>
        <w:pStyle w:val="635"/>
        <w:ind w:firstLine="240"/>
        <w:jc w:val="center"/>
        <w:spacing w:beforeAutospacing="0" w:afterAutospacing="0" w:line="0" w:lineRule="atLeast"/>
        <w:rPr>
          <w:highlight w:val="none"/>
        </w:rPr>
      </w:pPr>
      <w:r>
        <w:rPr>
          <w:highlight w:val="none"/>
        </w:rPr>
      </w:r>
      <w:r/>
    </w:p>
    <w:p>
      <w:pPr>
        <w:pStyle w:val="635"/>
        <w:ind w:firstLine="240"/>
        <w:jc w:val="center"/>
        <w:spacing w:beforeAutospacing="0" w:afterAutospacing="0" w:line="0" w:lineRule="atLeast"/>
        <w:rPr>
          <w:highlight w:val="none"/>
        </w:rPr>
      </w:pPr>
      <w:r>
        <w:rPr>
          <w:highlight w:val="none"/>
        </w:rPr>
      </w:r>
      <w:r/>
    </w:p>
    <w:p>
      <w:pPr>
        <w:pStyle w:val="635"/>
        <w:ind w:firstLine="240"/>
        <w:jc w:val="center"/>
        <w:spacing w:beforeAutospacing="0" w:afterAutospacing="0" w:line="0" w:lineRule="atLeast"/>
        <w:rPr>
          <w:highlight w:val="none"/>
        </w:rPr>
      </w:pPr>
      <w:r>
        <w:rPr>
          <w:highlight w:val="none"/>
        </w:rPr>
      </w:r>
      <w:r/>
    </w:p>
    <w:p>
      <w:pPr>
        <w:pStyle w:val="635"/>
        <w:ind w:firstLine="240"/>
        <w:jc w:val="center"/>
        <w:spacing w:beforeAutospacing="0" w:afterAutospacing="0" w:line="0" w:lineRule="atLeast"/>
        <w:rPr>
          <w:highlight w:val="none"/>
        </w:rPr>
      </w:pPr>
      <w:r>
        <w:rPr>
          <w:highlight w:val="none"/>
        </w:rPr>
      </w:r>
      <w:r/>
    </w:p>
    <w:p>
      <w:pPr>
        <w:pStyle w:val="635"/>
        <w:ind w:firstLine="240"/>
        <w:jc w:val="center"/>
        <w:spacing w:beforeAutospacing="0" w:afterAutospacing="0" w:line="0" w:lineRule="atLeast"/>
        <w:rPr>
          <w:highlight w:val="none"/>
        </w:rPr>
      </w:pPr>
      <w:r>
        <w:rPr>
          <w:highlight w:val="none"/>
        </w:rPr>
      </w:r>
      <w:r/>
    </w:p>
    <w:p>
      <w:pPr>
        <w:pStyle w:val="635"/>
        <w:ind w:firstLine="240"/>
        <w:jc w:val="center"/>
        <w:spacing w:beforeAutospacing="0" w:afterAutospacing="0" w:line="0" w:lineRule="atLeast"/>
        <w:rPr>
          <w:highlight w:val="none"/>
        </w:rPr>
      </w:pPr>
      <w:r>
        <w:rPr>
          <w:highlight w:val="none"/>
        </w:rPr>
      </w:r>
      <w:r/>
    </w:p>
    <w:p>
      <w:pPr>
        <w:pStyle w:val="635"/>
        <w:ind w:firstLine="240"/>
        <w:jc w:val="center"/>
        <w:spacing w:beforeAutospacing="0" w:afterAutospacing="0" w:line="0" w:lineRule="atLeast"/>
        <w:rPr>
          <w:highlight w:val="none"/>
        </w:rPr>
      </w:pPr>
      <w:r>
        <w:rPr>
          <w:highlight w:val="none"/>
        </w:rPr>
        <w:t xml:space="preserve"> </w:t>
      </w:r>
      <w:r/>
    </w:p>
    <w:p>
      <w:pPr>
        <w:pStyle w:val="635"/>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w:t>
      </w:r>
      <w:r>
        <w:rPr>
          <w:rFonts w:hint="eastAsia" w:ascii="黑体" w:hAnsi="宋体" w:eastAsia="黑体" w:cs="黑体"/>
          <w:b/>
          <w:color w:val="auto"/>
          <w:sz w:val="32"/>
          <w:szCs w:val="32"/>
          <w:highlight w:val="none"/>
          <w:lang w:val="en-US" w:eastAsia="zh-CN"/>
        </w:rPr>
        <w:t xml:space="preserve">货物</w:t>
      </w:r>
      <w:r>
        <w:rPr>
          <w:rFonts w:hint="eastAsia" w:ascii="黑体" w:hAnsi="宋体" w:eastAsia="黑体" w:cs="黑体"/>
          <w:b/>
          <w:color w:val="auto"/>
          <w:sz w:val="32"/>
          <w:szCs w:val="32"/>
          <w:highlight w:val="none"/>
        </w:rPr>
        <w:t xml:space="preserve">）</w:t>
      </w:r>
      <w:r/>
    </w:p>
    <w:p>
      <w:pPr>
        <w:ind w:firstLine="480"/>
        <w:jc w:val="both"/>
        <w:spacing w:line="500" w:lineRule="exact"/>
        <w:rPr>
          <w:rFonts w:hint="eastAsia"/>
          <w:color w:val="auto"/>
          <w:sz w:val="24"/>
          <w:highlight w:val="none"/>
        </w:rPr>
      </w:pPr>
      <w:r>
        <w:rPr>
          <w:rFonts w:hint="eastAsia"/>
          <w:color w:val="auto"/>
          <w:sz w:val="24"/>
          <w:highlight w:val="none"/>
        </w:rPr>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w:t>
      </w:r>
      <w:r>
        <w:rPr>
          <w:rFonts w:hint="eastAsia"/>
          <w:color w:val="auto"/>
          <w:sz w:val="24"/>
          <w:highlight w:val="none"/>
          <w:lang w:eastAsia="zh-CN"/>
        </w:rPr>
        <w:t xml:space="preserve">〔2020〕46号</w:t>
      </w:r>
      <w:r>
        <w:rPr>
          <w:rFonts w:hint="eastAsia"/>
          <w:color w:val="auto"/>
          <w:sz w:val="24"/>
          <w:highlight w:val="none"/>
        </w:rPr>
        <w:t xml:space="preserve">)的规定，本公司（联合体）参加</w:t>
      </w:r>
      <w:r>
        <w:rPr>
          <w:rFonts w:hint="eastAsia"/>
          <w:color w:val="auto"/>
          <w:sz w:val="24"/>
          <w:highlight w:val="none"/>
          <w:u w:val="single"/>
          <w:lang w:val="en-US" w:eastAsia="zh-CN"/>
        </w:rPr>
        <w:t xml:space="preserve">江苏省东台中学</w:t>
      </w:r>
      <w:r>
        <w:rPr>
          <w:rFonts w:hint="eastAsia"/>
          <w:color w:val="auto"/>
          <w:sz w:val="24"/>
          <w:highlight w:val="none"/>
        </w:rPr>
        <w:t xml:space="preserve">组织的采购编号为</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rPr>
        <w:t xml:space="preserve">的</w:t>
      </w:r>
      <w:r>
        <w:rPr>
          <w:rFonts w:hint="eastAsia"/>
          <w:color w:val="auto"/>
          <w:sz w:val="24"/>
          <w:highlight w:val="none"/>
          <w:u w:val="single"/>
        </w:rPr>
        <w:t xml:space="preserve">（项目名称）</w:t>
      </w:r>
      <w:r>
        <w:rPr>
          <w:rFonts w:hint="eastAsia"/>
          <w:color w:val="auto"/>
          <w:sz w:val="24"/>
          <w:highlight w:val="none"/>
          <w:u w:val="single"/>
          <w:lang w:val="en-US" w:eastAsia="zh-CN"/>
        </w:rPr>
        <w:t xml:space="preserve">       </w:t>
      </w:r>
      <w:r>
        <w:rPr>
          <w:rFonts w:hint="eastAsia"/>
          <w:color w:val="auto"/>
          <w:sz w:val="24"/>
          <w:highlight w:val="none"/>
        </w:rPr>
        <w:t xml:space="preserve">的采购活动，提供的货物全部由符合政策要求的</w:t>
      </w:r>
      <w:r>
        <w:rPr>
          <w:rFonts w:hint="eastAsia"/>
          <w:color w:val="auto"/>
          <w:sz w:val="24"/>
          <w:highlight w:val="none"/>
          <w:lang w:val="en-US" w:eastAsia="zh-CN"/>
        </w:rPr>
        <w:t xml:space="preserve">中小</w:t>
      </w:r>
      <w:r>
        <w:rPr>
          <w:rFonts w:hint="eastAsia"/>
          <w:color w:val="auto"/>
          <w:sz w:val="24"/>
          <w:highlight w:val="none"/>
        </w:rPr>
        <w:t xml:space="preserve">企业制造。相关企业（含联合体中</w:t>
      </w:r>
      <w:r>
        <w:rPr>
          <w:rFonts w:hint="eastAsia"/>
          <w:color w:val="auto"/>
          <w:sz w:val="24"/>
          <w:highlight w:val="none"/>
          <w:lang w:val="en-US" w:eastAsia="zh-CN"/>
        </w:rPr>
        <w:t xml:space="preserve">的中小</w:t>
      </w:r>
      <w:r>
        <w:rPr>
          <w:rFonts w:hint="eastAsia"/>
          <w:color w:val="auto"/>
          <w:sz w:val="24"/>
          <w:highlight w:val="none"/>
        </w:rPr>
        <w:t xml:space="preserve">企业、签订分包意向协议的</w:t>
      </w:r>
      <w:r>
        <w:rPr>
          <w:rFonts w:hint="eastAsia"/>
          <w:color w:val="auto"/>
          <w:sz w:val="24"/>
          <w:highlight w:val="none"/>
          <w:lang w:val="en-US" w:eastAsia="zh-CN"/>
        </w:rPr>
        <w:t xml:space="preserve">中</w:t>
      </w:r>
      <w:r>
        <w:rPr>
          <w:rFonts w:hint="eastAsia"/>
          <w:color w:val="auto"/>
          <w:sz w:val="24"/>
          <w:highlight w:val="none"/>
        </w:rPr>
        <w:t xml:space="preserve">小企业）的具体情况如下：</w:t>
      </w:r>
      <w:r/>
    </w:p>
    <w:p>
      <w:pPr>
        <w:pStyle w:val="635"/>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1.</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635"/>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2.</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635"/>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w:t>
      </w:r>
      <w:r/>
    </w:p>
    <w:p>
      <w:pPr>
        <w:pStyle w:val="635"/>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pStyle w:val="635"/>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本企业对上述声明内容的真实性负责。如有虚假，将依法承担相应责任</w:t>
      </w:r>
      <w:r/>
    </w:p>
    <w:p>
      <w:pPr>
        <w:pStyle w:val="635"/>
        <w:ind w:right="720"/>
        <w:jc w:val="both"/>
        <w:spacing w:before="0" w:beforeAutospacing="0" w:after="0" w:afterAutospacing="0" w:line="360" w:lineRule="auto"/>
        <w:widowControl w:val="off"/>
        <w:rPr>
          <w:color w:val="auto"/>
          <w:highlight w:val="none"/>
        </w:rPr>
      </w:pPr>
      <w:r>
        <w:rPr>
          <w:color w:val="auto"/>
          <w:highlight w:val="none"/>
        </w:rPr>
        <w:t xml:space="preserve"> </w:t>
      </w:r>
      <w:r/>
    </w:p>
    <w:p>
      <w:pPr>
        <w:pStyle w:val="635"/>
        <w:ind w:right="180" w:firstLine="360"/>
        <w:jc w:val="right"/>
        <w:spacing w:before="0" w:beforeAutospacing="0" w:after="0" w:afterAutospacing="0" w:line="360" w:lineRule="auto"/>
        <w:widowControl w:val="off"/>
        <w:rPr>
          <w:color w:val="auto"/>
          <w:highlight w:val="none"/>
        </w:rPr>
      </w:pPr>
      <w:r>
        <w:rPr>
          <w:rFonts w:hint="eastAsia"/>
          <w:color w:val="auto"/>
          <w:highlight w:val="none"/>
        </w:rPr>
        <w:t xml:space="preserve">企业名称（加盖CA电子公章）：</w:t>
      </w:r>
      <w:r/>
    </w:p>
    <w:p>
      <w:pPr>
        <w:pStyle w:val="635"/>
        <w:ind w:right="480" w:firstLine="5400"/>
        <w:jc w:val="both"/>
        <w:spacing w:before="0" w:beforeAutospacing="0" w:after="0" w:afterAutospacing="0" w:line="360" w:lineRule="auto"/>
        <w:widowControl w:val="off"/>
        <w:rPr>
          <w:color w:val="auto"/>
          <w:highlight w:val="none"/>
        </w:rPr>
      </w:pPr>
      <w:r>
        <w:rPr>
          <w:rFonts w:hint="eastAsia"/>
          <w:color w:val="auto"/>
          <w:highlight w:val="none"/>
        </w:rPr>
        <w:t xml:space="preserve">日  期：</w:t>
      </w:r>
      <w:r/>
    </w:p>
    <w:p>
      <w:pPr>
        <w:pStyle w:val="635"/>
        <w:ind w:firstLine="360"/>
        <w:jc w:val="both"/>
        <w:spacing w:before="0" w:beforeAutospacing="0" w:after="0" w:afterAutospacing="0" w:line="360" w:lineRule="auto"/>
        <w:widowControl w:val="off"/>
        <w:rPr>
          <w:color w:val="ff0000"/>
          <w:highlight w:val="none"/>
        </w:rPr>
      </w:pPr>
      <w:r>
        <w:rPr>
          <w:color w:val="ff0000"/>
          <w:highlight w:val="none"/>
        </w:rPr>
        <w:t xml:space="preserve"> </w:t>
      </w:r>
      <w:r/>
    </w:p>
    <w:p>
      <w:pPr>
        <w:pStyle w:val="635"/>
        <w:ind w:firstLine="480"/>
        <w:jc w:val="both"/>
        <w:spacing w:before="0" w:beforeAutospacing="0" w:after="0" w:afterAutospacing="0" w:line="360" w:lineRule="auto"/>
        <w:widowControl w:val="off"/>
        <w:rPr>
          <w:highlight w:val="none"/>
        </w:rPr>
      </w:pPr>
      <w:r>
        <w:rPr>
          <w:rFonts w:hint="eastAsia"/>
          <w:color w:val="000000"/>
          <w:highlight w:val="none"/>
        </w:rPr>
        <w:t xml:space="preserve">备注1：从业人员、营业收入、资产总额填报上一年度数据，无上一年度数据的新成立企业可不填报。</w:t>
      </w:r>
      <w:r/>
    </w:p>
    <w:p>
      <w:pPr>
        <w:pStyle w:val="635"/>
        <w:ind w:firstLine="480"/>
        <w:jc w:val="both"/>
        <w:spacing w:before="0" w:beforeAutospacing="0" w:after="0" w:afterAutospacing="0" w:line="360" w:lineRule="auto"/>
        <w:widowControl w:val="off"/>
        <w:rPr>
          <w:highlight w:val="none"/>
        </w:rPr>
      </w:pPr>
      <w:r>
        <w:rPr>
          <w:rFonts w:hint="eastAsia"/>
          <w:color w:val="000000"/>
          <w:highlight w:val="none"/>
        </w:rPr>
        <w:t xml:space="preserve">备注2：供应商如不提供此声明函，价格将不做相应扣除（如项目全面面向中小企业，则资格审查不通过）。</w:t>
      </w:r>
      <w:r/>
    </w:p>
    <w:p>
      <w:pPr>
        <w:pStyle w:val="635"/>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35"/>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35"/>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35"/>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35"/>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35"/>
        <w:jc w:val="center"/>
        <w:spacing w:beforeAutospacing="0" w:afterAutospacing="0" w:line="0" w:lineRule="atLeast"/>
        <w:rPr>
          <w:highlight w:val="none"/>
        </w:rPr>
      </w:pPr>
      <w:r>
        <w:rPr>
          <w:rFonts w:hint="eastAsia" w:ascii="黑体" w:hAnsi="宋体" w:eastAsia="黑体" w:cs="黑体"/>
          <w:b/>
          <w:color w:val="000000"/>
          <w:sz w:val="32"/>
          <w:szCs w:val="32"/>
          <w:highlight w:val="none"/>
        </w:rPr>
        <w:t xml:space="preserve"> 十、残疾人福利性单位声明函</w:t>
      </w:r>
      <w:r/>
    </w:p>
    <w:p>
      <w:pPr>
        <w:pStyle w:val="635"/>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项目（分包号：**）采购活动提供本单位制造的货物，或者提供其他残疾人福利性单位制造的货物（不包括使用非残疾人福利性单位注册商标的货物）。</w:t>
      </w:r>
      <w:r/>
    </w:p>
    <w:p>
      <w:pPr>
        <w:pStyle w:val="635"/>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635"/>
        <w:ind w:firstLine="480"/>
        <w:jc w:val="both"/>
        <w:spacing w:beforeAutospacing="0" w:afterAutospacing="0" w:line="0" w:lineRule="atLeast"/>
        <w:rPr>
          <w:highlight w:val="none"/>
        </w:rPr>
      </w:pPr>
      <w:r>
        <w:rPr>
          <w:highlight w:val="none"/>
        </w:rPr>
        <w:t xml:space="preserve"> </w:t>
      </w:r>
      <w:r/>
    </w:p>
    <w:p>
      <w:pPr>
        <w:pStyle w:val="635"/>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rPr>
          <w:rFonts w:hint="eastAsia" w:ascii="宋体" w:hAnsi="宋体" w:eastAsia="宋体" w:cs="宋体"/>
          <w:color w:val="000000"/>
          <w:highlight w:val="none"/>
        </w:rPr>
        <w:t xml:space="preserve">。2、中标供应商为残疾人福利单位的，此声明函将随中标结果同时公告，接受社会监督</w:t>
      </w:r>
      <w:r/>
    </w:p>
    <w:p>
      <w:pPr>
        <w:pStyle w:val="635"/>
        <w:ind w:firstLine="624"/>
        <w:jc w:val="both"/>
        <w:spacing w:beforeAutospacing="0" w:afterAutospacing="0" w:line="0" w:lineRule="atLeast"/>
        <w:rPr>
          <w:highlight w:val="none"/>
        </w:rPr>
      </w:pPr>
      <w:r>
        <w:rPr>
          <w:highlight w:val="none"/>
        </w:rPr>
        <w:t xml:space="preserve"> </w:t>
      </w:r>
      <w:r/>
    </w:p>
    <w:p>
      <w:pPr>
        <w:pStyle w:val="635"/>
        <w:ind w:right="1560" w:firstLine="624"/>
        <w:jc w:val="center"/>
        <w:spacing w:beforeAutospacing="0" w:afterAutospacing="0" w:line="0" w:lineRule="atLeast"/>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635"/>
        <w:ind w:right="1560" w:firstLine="480"/>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日  期：</w:t>
      </w:r>
      <w:r/>
    </w:p>
    <w:p>
      <w:pPr>
        <w:pStyle w:val="635"/>
        <w:jc w:val="center"/>
        <w:spacing w:beforeAutospacing="0" w:afterAutospacing="0" w:line="0" w:lineRule="atLeast"/>
        <w:rPr>
          <w:highlight w:val="none"/>
        </w:rPr>
      </w:pPr>
      <w:r>
        <w:rPr>
          <w:highlight w:val="none"/>
        </w:rPr>
        <w:t xml:space="preserve"> </w:t>
      </w:r>
      <w:r/>
    </w:p>
    <w:p>
      <w:pPr>
        <w:pStyle w:val="635"/>
        <w:jc w:val="center"/>
        <w:spacing w:beforeAutospacing="0" w:afterAutospacing="0" w:line="0" w:lineRule="atLeast"/>
        <w:rPr>
          <w:highlight w:val="none"/>
        </w:rPr>
      </w:pPr>
      <w:r>
        <w:rPr>
          <w:highlight w:val="none"/>
        </w:rPr>
        <w:t xml:space="preserve"> </w:t>
      </w:r>
      <w:r/>
    </w:p>
    <w:p>
      <w:pPr>
        <w:pStyle w:val="635"/>
        <w:jc w:val="center"/>
        <w:spacing w:beforeAutospacing="0" w:afterAutospacing="0" w:line="0" w:lineRule="atLeast"/>
        <w:rPr>
          <w:highlight w:val="none"/>
        </w:rPr>
      </w:pPr>
      <w:r>
        <w:rPr>
          <w:highlight w:val="none"/>
        </w:rPr>
        <w:t xml:space="preserve"> </w:t>
      </w:r>
      <w:r/>
    </w:p>
    <w:p>
      <w:pPr>
        <w:pStyle w:val="635"/>
        <w:jc w:val="center"/>
        <w:spacing w:beforeAutospacing="0" w:afterAutospacing="0" w:line="0" w:lineRule="atLeast"/>
        <w:rPr>
          <w:highlight w:val="none"/>
        </w:rPr>
      </w:pPr>
      <w:r>
        <w:rPr>
          <w:highlight w:val="none"/>
        </w:rPr>
        <w:t xml:space="preserve"> </w:t>
      </w:r>
      <w:r/>
    </w:p>
    <w:p>
      <w:pPr>
        <w:pStyle w:val="635"/>
        <w:jc w:val="center"/>
        <w:spacing w:beforeAutospacing="0" w:afterAutospacing="0" w:line="0" w:lineRule="atLeast"/>
        <w:rPr>
          <w:highlight w:val="none"/>
        </w:rPr>
      </w:pPr>
      <w:r>
        <w:rPr>
          <w:highlight w:val="none"/>
        </w:rPr>
        <w:t xml:space="preserve"> </w:t>
      </w:r>
      <w:r/>
    </w:p>
    <w:p>
      <w:pPr>
        <w:pStyle w:val="635"/>
        <w:jc w:val="center"/>
        <w:spacing w:beforeAutospacing="0" w:afterAutospacing="0" w:line="0" w:lineRule="atLeast"/>
        <w:rPr>
          <w:highlight w:val="none"/>
        </w:rPr>
      </w:pPr>
      <w:r>
        <w:rPr>
          <w:highlight w:val="none"/>
        </w:rPr>
        <w:t xml:space="preserve"> </w:t>
      </w:r>
      <w:r/>
    </w:p>
    <w:p>
      <w:pPr>
        <w:pStyle w:val="635"/>
        <w:jc w:val="center"/>
        <w:spacing w:beforeAutospacing="0" w:afterAutospacing="0" w:line="0" w:lineRule="atLeast"/>
        <w:rPr>
          <w:highlight w:val="none"/>
        </w:rPr>
      </w:pPr>
      <w:r>
        <w:rPr>
          <w:highlight w:val="none"/>
        </w:rPr>
        <w:t xml:space="preserve"> </w:t>
      </w:r>
      <w:r/>
    </w:p>
    <w:p>
      <w:pPr>
        <w:pStyle w:val="635"/>
        <w:jc w:val="center"/>
        <w:spacing w:beforeAutospacing="0" w:afterAutospacing="0" w:line="0" w:lineRule="atLeast"/>
        <w:rPr>
          <w:highlight w:val="none"/>
        </w:rPr>
      </w:pPr>
      <w:r>
        <w:rPr>
          <w:highlight w:val="none"/>
        </w:rPr>
        <w:t xml:space="preserve"> </w:t>
      </w:r>
      <w:r/>
    </w:p>
    <w:p>
      <w:pPr>
        <w:pStyle w:val="635"/>
        <w:jc w:val="center"/>
        <w:spacing w:beforeAutospacing="0" w:afterAutospacing="0" w:line="0" w:lineRule="atLeast"/>
        <w:rPr>
          <w:highlight w:val="none"/>
        </w:rPr>
      </w:pPr>
      <w:r>
        <w:rPr>
          <w:highlight w:val="none"/>
        </w:rPr>
        <w:t xml:space="preserve"> </w:t>
      </w:r>
      <w:r/>
    </w:p>
    <w:p>
      <w:pPr>
        <w:pStyle w:val="635"/>
        <w:jc w:val="center"/>
        <w:spacing w:beforeAutospacing="0" w:afterAutospacing="0" w:line="0" w:lineRule="atLeast"/>
        <w:rPr>
          <w:highlight w:val="none"/>
        </w:rPr>
      </w:pPr>
      <w:r>
        <w:rPr>
          <w:highlight w:val="none"/>
        </w:rPr>
      </w:r>
      <w:r/>
    </w:p>
    <w:p>
      <w:pPr>
        <w:pStyle w:val="635"/>
        <w:jc w:val="center"/>
        <w:spacing w:beforeAutospacing="0" w:afterAutospacing="0" w:line="0" w:lineRule="atLeast"/>
        <w:rPr>
          <w:highlight w:val="none"/>
        </w:rPr>
      </w:pPr>
      <w:r>
        <w:rPr>
          <w:highlight w:val="none"/>
        </w:rPr>
      </w:r>
      <w:r/>
    </w:p>
    <w:p>
      <w:pPr>
        <w:pStyle w:val="635"/>
        <w:jc w:val="center"/>
        <w:spacing w:beforeAutospacing="0" w:afterAutospacing="0" w:line="0" w:lineRule="atLeast"/>
        <w:rPr>
          <w:highlight w:val="none"/>
        </w:rPr>
      </w:pPr>
      <w:r>
        <w:rPr>
          <w:highlight w:val="none"/>
        </w:rPr>
      </w:r>
      <w:r/>
    </w:p>
    <w:p>
      <w:pPr>
        <w:pStyle w:val="635"/>
        <w:jc w:val="center"/>
        <w:spacing w:beforeAutospacing="0" w:afterAutospacing="0" w:line="0" w:lineRule="atLeast"/>
        <w:rPr>
          <w:highlight w:val="none"/>
        </w:rPr>
      </w:pPr>
      <w:r>
        <w:rPr>
          <w:highlight w:val="none"/>
        </w:rPr>
      </w:r>
      <w:r/>
    </w:p>
    <w:p>
      <w:pPr>
        <w:pStyle w:val="635"/>
        <w:jc w:val="center"/>
        <w:spacing w:beforeAutospacing="0" w:afterAutospacing="0" w:line="0" w:lineRule="atLeast"/>
        <w:rPr>
          <w:highlight w:val="none"/>
        </w:rPr>
      </w:pPr>
      <w:r>
        <w:rPr>
          <w:highlight w:val="none"/>
        </w:rPr>
      </w:r>
      <w:r/>
    </w:p>
    <w:p>
      <w:pPr>
        <w:pStyle w:val="635"/>
        <w:jc w:val="center"/>
        <w:spacing w:beforeAutospacing="0" w:afterAutospacing="0" w:line="0" w:lineRule="atLeast"/>
        <w:rPr>
          <w:highlight w:val="none"/>
        </w:rPr>
      </w:pPr>
      <w:r>
        <w:rPr>
          <w:highlight w:val="none"/>
        </w:rPr>
      </w:r>
      <w:r/>
    </w:p>
    <w:p>
      <w:pPr>
        <w:pStyle w:val="635"/>
        <w:jc w:val="center"/>
        <w:spacing w:beforeAutospacing="0" w:afterAutospacing="0" w:line="0" w:lineRule="atLeast"/>
        <w:rPr>
          <w:highlight w:val="none"/>
        </w:rPr>
      </w:pPr>
      <w:r>
        <w:rPr>
          <w:highlight w:val="none"/>
        </w:rPr>
      </w:r>
      <w:r/>
    </w:p>
    <w:p>
      <w:pPr>
        <w:pStyle w:val="635"/>
        <w:jc w:val="center"/>
        <w:spacing w:beforeAutospacing="0" w:afterAutospacing="0" w:line="0" w:lineRule="atLeast"/>
        <w:rPr>
          <w:highlight w:val="none"/>
        </w:rPr>
      </w:pPr>
      <w:r>
        <w:rPr>
          <w:highlight w:val="none"/>
        </w:rPr>
      </w:r>
      <w:r/>
    </w:p>
    <w:p>
      <w:pPr>
        <w:pStyle w:val="635"/>
        <w:jc w:val="center"/>
        <w:spacing w:beforeAutospacing="0" w:afterAutospacing="0" w:line="0" w:lineRule="atLeast"/>
        <w:rPr>
          <w:highlight w:val="none"/>
        </w:rPr>
      </w:pPr>
      <w:r>
        <w:rPr>
          <w:highlight w:val="none"/>
        </w:rPr>
      </w:r>
      <w:r/>
    </w:p>
    <w:p>
      <w:pPr>
        <w:pStyle w:val="635"/>
        <w:jc w:val="center"/>
        <w:spacing w:beforeAutospacing="0" w:afterAutospacing="0" w:line="0" w:lineRule="atLeast"/>
        <w:rPr>
          <w:highlight w:val="none"/>
        </w:rPr>
      </w:pPr>
      <w:r>
        <w:rPr>
          <w:highlight w:val="none"/>
        </w:rPr>
      </w:r>
      <w:r/>
    </w:p>
    <w:p>
      <w:pPr>
        <w:pStyle w:val="635"/>
        <w:jc w:val="center"/>
        <w:spacing w:beforeAutospacing="0" w:afterAutospacing="0" w:line="0" w:lineRule="atLeast"/>
        <w:rPr>
          <w:highlight w:val="none"/>
        </w:rPr>
      </w:pPr>
      <w:r>
        <w:rPr>
          <w:highlight w:val="none"/>
        </w:rPr>
      </w:r>
      <w:r/>
    </w:p>
    <w:p>
      <w:pPr>
        <w:pStyle w:val="635"/>
        <w:jc w:val="center"/>
        <w:spacing w:beforeAutospacing="0" w:afterAutospacing="0" w:line="0" w:lineRule="atLeast"/>
        <w:rPr>
          <w:highlight w:val="none"/>
        </w:rPr>
      </w:pPr>
      <w:r>
        <w:rPr>
          <w:highlight w:val="none"/>
        </w:rPr>
      </w:r>
      <w:r/>
    </w:p>
    <w:p>
      <w:pPr>
        <w:pStyle w:val="635"/>
        <w:jc w:val="center"/>
        <w:spacing w:beforeAutospacing="0" w:afterAutospacing="0" w:line="0" w:lineRule="atLeast"/>
        <w:rPr>
          <w:highlight w:val="none"/>
        </w:rPr>
      </w:pPr>
      <w:r>
        <w:rPr>
          <w:highlight w:val="none"/>
        </w:rPr>
      </w:r>
      <w:r/>
    </w:p>
    <w:p>
      <w:pPr>
        <w:pStyle w:val="635"/>
        <w:jc w:val="center"/>
        <w:spacing w:beforeAutospacing="0" w:afterAutospacing="0" w:line="0" w:lineRule="atLeast"/>
        <w:rPr>
          <w:highlight w:val="none"/>
        </w:rPr>
      </w:pPr>
      <w:r>
        <w:rPr>
          <w:highlight w:val="none"/>
        </w:rPr>
      </w:r>
      <w:r/>
    </w:p>
    <w:p>
      <w:pPr>
        <w:pStyle w:val="635"/>
        <w:jc w:val="center"/>
        <w:spacing w:beforeAutospacing="0" w:afterAutospacing="0" w:line="0" w:lineRule="atLeast"/>
        <w:rPr>
          <w:highlight w:val="none"/>
        </w:rPr>
      </w:pPr>
      <w:r>
        <w:rPr>
          <w:highlight w:val="none"/>
        </w:rPr>
      </w:r>
      <w:r/>
    </w:p>
    <w:p>
      <w:pPr>
        <w:pStyle w:val="635"/>
        <w:jc w:val="center"/>
        <w:spacing w:beforeAutospacing="0" w:afterAutospacing="0" w:line="0" w:lineRule="atLeast"/>
        <w:rPr>
          <w:highlight w:val="none"/>
        </w:rPr>
      </w:pPr>
      <w:r>
        <w:rPr>
          <w:highlight w:val="none"/>
        </w:rPr>
      </w:r>
      <w:r/>
    </w:p>
    <w:p>
      <w:pPr>
        <w:pStyle w:val="635"/>
        <w:jc w:val="center"/>
        <w:spacing w:beforeAutospacing="0" w:afterAutospacing="0" w:line="0" w:lineRule="atLeast"/>
        <w:rPr>
          <w:highlight w:val="none"/>
        </w:rPr>
      </w:pPr>
      <w:r>
        <w:rPr>
          <w:highlight w:val="none"/>
        </w:rPr>
      </w:r>
      <w:r/>
    </w:p>
    <w:p>
      <w:pPr>
        <w:pStyle w:val="635"/>
        <w:jc w:val="center"/>
        <w:spacing w:beforeAutospacing="0" w:afterAutospacing="0" w:line="0" w:lineRule="atLeast"/>
        <w:rPr>
          <w:highlight w:val="none"/>
        </w:rPr>
      </w:pPr>
      <w:r>
        <w:rPr>
          <w:highlight w:val="none"/>
        </w:rPr>
      </w:r>
      <w:r/>
    </w:p>
    <w:p>
      <w:pPr>
        <w:pStyle w:val="635"/>
        <w:jc w:val="center"/>
        <w:spacing w:beforeAutospacing="0" w:afterAutospacing="0" w:line="0" w:lineRule="atLeast"/>
        <w:rPr>
          <w:highlight w:val="none"/>
        </w:rPr>
      </w:pPr>
      <w:r>
        <w:rPr>
          <w:highlight w:val="none"/>
        </w:rPr>
      </w:r>
      <w:r/>
    </w:p>
    <w:p>
      <w:pPr>
        <w:pStyle w:val="635"/>
        <w:jc w:val="center"/>
        <w:spacing w:beforeAutospacing="0" w:afterAutospacing="0" w:line="0" w:lineRule="atLeast"/>
        <w:rPr>
          <w:highlight w:val="none"/>
        </w:rPr>
      </w:pPr>
      <w:r>
        <w:rPr>
          <w:highlight w:val="none"/>
        </w:rPr>
        <w:t xml:space="preserve"> </w:t>
      </w:r>
      <w:r/>
    </w:p>
    <w:p>
      <w:pPr>
        <w:pStyle w:val="635"/>
        <w:jc w:val="center"/>
        <w:spacing w:beforeAutospacing="0" w:afterAutospacing="0" w:line="0" w:lineRule="atLeast"/>
        <w:rPr>
          <w:highlight w:val="none"/>
        </w:rPr>
      </w:pPr>
      <w:r>
        <w:rPr>
          <w:highlight w:val="none"/>
        </w:rPr>
        <w:t xml:space="preserve"> </w:t>
      </w:r>
      <w:r/>
    </w:p>
    <w:p>
      <w:pPr>
        <w:pStyle w:val="635"/>
        <w:jc w:val="center"/>
        <w:spacing w:beforeAutospacing="0" w:afterAutospacing="0"/>
        <w:rPr>
          <w:highlight w:val="none"/>
        </w:rPr>
      </w:pPr>
      <w:r>
        <w:rPr>
          <w:rFonts w:hint="eastAsia" w:ascii="黑体" w:hAnsi="宋体" w:eastAsia="黑体" w:cs="黑体"/>
          <w:b/>
          <w:color w:val="000000"/>
          <w:sz w:val="32"/>
          <w:szCs w:val="32"/>
          <w:highlight w:val="none"/>
        </w:rPr>
        <w:t xml:space="preserve">十一、投标分项报价表</w:t>
      </w:r>
      <w:r/>
    </w:p>
    <w:tbl>
      <w:tblPr>
        <w:tblStyle w:val="628"/>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35"/>
              <w:jc w:val="center"/>
              <w:spacing w:beforeAutospacing="0" w:afterAutospacing="0" w:line="0" w:lineRule="atLeast"/>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35"/>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35"/>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35"/>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35"/>
              <w:jc w:val="center"/>
              <w:spacing w:beforeAutospacing="0" w:afterAutospacing="0" w:line="0" w:lineRule="atLeast"/>
              <w:rPr>
                <w:highlight w:val="none"/>
              </w:rPr>
            </w:pPr>
            <w:r>
              <w:rPr>
                <w:rFonts w:hint="eastAsia" w:ascii="宋体" w:hAnsi="宋体" w:eastAsia="宋体" w:cs="宋体"/>
                <w:color w:val="00000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35"/>
              <w:jc w:val="center"/>
              <w:spacing w:beforeAutospacing="0" w:afterAutospacing="0" w:line="0" w:lineRule="atLeast"/>
              <w:rPr>
                <w:highlight w:val="none"/>
              </w:rPr>
            </w:pPr>
            <w:r>
              <w:rPr>
                <w:rFonts w:hint="eastAsia" w:ascii="宋体" w:hAnsi="宋体" w:eastAsia="宋体" w:cs="宋体"/>
                <w:color w:val="000000"/>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35"/>
              <w:jc w:val="center"/>
              <w:spacing w:beforeAutospacing="0" w:afterAutospacing="0" w:line="0" w:lineRule="atLeast"/>
              <w:rPr>
                <w:highlight w:val="none"/>
              </w:rPr>
            </w:pPr>
            <w:r>
              <w:rPr>
                <w:rFonts w:hint="eastAsia" w:ascii="宋体" w:hAnsi="宋体" w:eastAsia="宋体" w:cs="宋体"/>
                <w:color w:val="000000"/>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35"/>
              <w:jc w:val="center"/>
              <w:spacing w:beforeAutospacing="0" w:afterAutospacing="0" w:line="0" w:lineRule="atLeast"/>
              <w:rPr>
                <w:highlight w:val="none"/>
              </w:rPr>
            </w:pPr>
            <w:r>
              <w:rPr>
                <w:rFonts w:hint="eastAsia" w:ascii="宋体" w:hAnsi="宋体" w:eastAsia="宋体" w:cs="宋体"/>
                <w:color w:val="000000"/>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35"/>
              <w:jc w:val="center"/>
              <w:spacing w:beforeAutospacing="0" w:afterAutospacing="0" w:line="0" w:lineRule="atLeast"/>
              <w:rPr>
                <w:highlight w:val="none"/>
              </w:rPr>
            </w:pPr>
            <w:r>
              <w:rPr>
                <w:rFonts w:hint="eastAsia" w:ascii="宋体" w:hAnsi="宋体" w:eastAsia="宋体" w:cs="宋体"/>
                <w:color w:val="000000"/>
                <w:highlight w:val="none"/>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35"/>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35"/>
              <w:jc w:val="center"/>
              <w:spacing w:beforeAutospacing="0" w:afterAutospacing="0" w:line="0" w:lineRule="atLeast"/>
              <w:rPr>
                <w:highlight w:val="none"/>
              </w:rPr>
            </w:pPr>
            <w:r>
              <w:rPr>
                <w:rFonts w:hint="eastAsia" w:ascii="宋体" w:hAnsi="宋体" w:eastAsia="宋体" w:cs="宋体"/>
                <w:color w:val="000000"/>
                <w:highlight w:val="none"/>
              </w:rPr>
              <w:t xml:space="preserve">产品</w:t>
            </w:r>
            <w:r/>
          </w:p>
          <w:p>
            <w:pPr>
              <w:pStyle w:val="635"/>
              <w:jc w:val="center"/>
              <w:spacing w:beforeAutospacing="0" w:afterAutospacing="0" w:line="0" w:lineRule="atLeast"/>
              <w:rPr>
                <w:highlight w:val="none"/>
              </w:rPr>
            </w:pPr>
            <w:r>
              <w:rPr>
                <w:rFonts w:hint="eastAsia" w:ascii="宋体" w:hAnsi="宋体" w:eastAsia="宋体" w:cs="宋体"/>
                <w:color w:val="000000"/>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35"/>
              <w:jc w:val="center"/>
              <w:spacing w:beforeAutospacing="0" w:afterAutospacing="0" w:line="0" w:lineRule="atLeast"/>
              <w:rPr>
                <w:highlight w:val="none"/>
              </w:rPr>
            </w:pPr>
            <w:r>
              <w:rPr>
                <w:rFonts w:hint="eastAsia" w:ascii="宋体" w:hAnsi="宋体" w:eastAsia="宋体" w:cs="宋体"/>
                <w:color w:val="000000"/>
                <w:highlight w:val="none"/>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35"/>
              <w:jc w:val="center"/>
              <w:spacing w:beforeAutospacing="0" w:afterAutospacing="0" w:line="0" w:lineRule="atLeast"/>
              <w:rPr>
                <w:highlight w:val="none"/>
              </w:rPr>
            </w:pPr>
            <w:r>
              <w:rPr>
                <w:rFonts w:hint="eastAsia" w:ascii="宋体" w:hAnsi="宋体" w:eastAsia="宋体" w:cs="宋体"/>
                <w:color w:val="000000"/>
                <w:highlight w:val="none"/>
              </w:rPr>
              <w:t xml:space="preserve">规格</w:t>
            </w:r>
            <w:r/>
          </w:p>
          <w:p>
            <w:pPr>
              <w:pStyle w:val="635"/>
              <w:jc w:val="center"/>
              <w:spacing w:beforeAutospacing="0" w:afterAutospacing="0" w:line="0" w:lineRule="atLeast"/>
              <w:rPr>
                <w:highlight w:val="none"/>
              </w:rPr>
            </w:pPr>
            <w:r>
              <w:rPr>
                <w:rFonts w:hint="eastAsia" w:ascii="宋体" w:hAnsi="宋体" w:eastAsia="宋体" w:cs="宋体"/>
                <w:color w:val="000000"/>
                <w:highlight w:val="none"/>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35"/>
              <w:jc w:val="center"/>
              <w:spacing w:beforeAutospacing="0" w:afterAutospacing="0" w:line="0" w:lineRule="atLeast"/>
              <w:rPr>
                <w:highlight w:val="none"/>
              </w:rPr>
            </w:pPr>
            <w:r>
              <w:rPr>
                <w:rFonts w:hint="eastAsia" w:ascii="宋体" w:hAnsi="宋体" w:eastAsia="宋体" w:cs="宋体"/>
                <w:color w:val="000000"/>
                <w:highlight w:val="none"/>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35"/>
              <w:jc w:val="center"/>
              <w:spacing w:beforeAutospacing="0" w:afterAutospacing="0" w:line="0" w:lineRule="atLeast"/>
              <w:rPr>
                <w:highlight w:val="none"/>
              </w:rPr>
            </w:pPr>
            <w:r>
              <w:rPr>
                <w:rFonts w:hint="eastAsia" w:ascii="宋体" w:hAnsi="宋体" w:eastAsia="宋体" w:cs="宋体"/>
                <w:color w:val="000000"/>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35"/>
              <w:jc w:val="center"/>
              <w:spacing w:beforeAutospacing="0" w:afterAutospacing="0" w:line="0" w:lineRule="atLeast"/>
              <w:rPr>
                <w:highlight w:val="none"/>
              </w:rPr>
            </w:pPr>
            <w:r>
              <w:rPr>
                <w:rFonts w:hint="eastAsia" w:ascii="宋体" w:hAnsi="宋体" w:eastAsia="宋体" w:cs="宋体"/>
                <w:color w:val="000000"/>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35"/>
              <w:jc w:val="center"/>
              <w:spacing w:beforeAutospacing="0" w:afterAutospacing="0" w:line="0" w:lineRule="atLeast"/>
              <w:rPr>
                <w:highlight w:val="none"/>
              </w:rPr>
            </w:pPr>
            <w:r>
              <w:rPr>
                <w:rFonts w:hint="eastAsia" w:ascii="宋体" w:hAnsi="宋体" w:eastAsia="宋体" w:cs="宋体"/>
                <w:color w:val="000000"/>
                <w:highlight w:val="none"/>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35"/>
              <w:jc w:val="center"/>
              <w:spacing w:beforeAutospacing="0" w:afterAutospacing="0" w:line="0" w:lineRule="atLeast"/>
              <w:rPr>
                <w:highlight w:val="none"/>
              </w:rPr>
            </w:pPr>
            <w:r>
              <w:rPr>
                <w:rFonts w:hint="eastAsia" w:ascii="宋体" w:hAnsi="宋体" w:eastAsia="宋体" w:cs="宋体"/>
                <w:color w:val="000000"/>
                <w:highlight w:val="none"/>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35"/>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3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3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3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3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3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3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3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35"/>
              <w:jc w:val="both"/>
              <w:spacing w:beforeAutospacing="0" w:afterAutospacing="0" w:line="0" w:lineRule="atLeast"/>
              <w:rPr>
                <w:highlight w:val="none"/>
              </w:rPr>
            </w:pPr>
            <w:r>
              <w:rPr>
                <w:highlight w:val="none"/>
              </w:rP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35"/>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3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3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3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3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3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3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3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35"/>
              <w:jc w:val="both"/>
              <w:spacing w:beforeAutospacing="0" w:afterAutospacing="0" w:line="0" w:lineRule="atLeast"/>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35"/>
              <w:jc w:val="center"/>
              <w:spacing w:beforeAutospacing="0" w:afterAutospacing="0" w:line="0" w:lineRule="atLeast"/>
              <w:rPr>
                <w:highlight w:val="none"/>
              </w:rPr>
            </w:pPr>
            <w:r>
              <w:rPr>
                <w:rFonts w:hint="eastAsia" w:ascii="宋体" w:hAnsi="宋体" w:eastAsia="宋体" w:cs="宋体"/>
                <w:color w:val="00000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3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3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3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3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3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3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3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35"/>
              <w:jc w:val="both"/>
              <w:spacing w:beforeAutospacing="0" w:afterAutospacing="0" w:line="0" w:lineRule="atLeast"/>
              <w:rPr>
                <w:highlight w:val="none"/>
              </w:rPr>
            </w:pPr>
            <w:r>
              <w:rPr>
                <w:highlight w:val="none"/>
              </w:rP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35"/>
              <w:jc w:val="center"/>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35"/>
              <w:jc w:val="both"/>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3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3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3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3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3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3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35"/>
              <w:jc w:val="both"/>
              <w:spacing w:beforeAutospacing="0" w:afterAutospacing="0" w:line="0" w:lineRule="atLeast"/>
              <w:rPr>
                <w:highlight w:val="none"/>
              </w:rPr>
            </w:pPr>
            <w:r>
              <w:rPr>
                <w:highlight w:val="none"/>
              </w:rP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635"/>
              <w:jc w:val="center"/>
              <w:spacing w:beforeAutospacing="0" w:afterAutospacing="0"/>
              <w:rPr>
                <w:highlight w:val="none"/>
              </w:rPr>
            </w:pPr>
            <w:r>
              <w:rPr>
                <w:rFonts w:hint="eastAsia" w:ascii="宋体" w:hAnsi="宋体" w:eastAsia="宋体" w:cs="宋体"/>
                <w:color w:val="000000"/>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35"/>
              <w:jc w:val="both"/>
              <w:spacing w:beforeAutospacing="0" w:afterAutospacing="0"/>
              <w:rPr>
                <w:highlight w:val="none"/>
              </w:rPr>
            </w:pPr>
            <w:r>
              <w:rPr>
                <w:highlight w:val="none"/>
              </w:rPr>
              <w:t xml:space="preserve"> </w:t>
            </w:r>
            <w:r/>
          </w:p>
        </w:tc>
      </w:tr>
    </w:tbl>
    <w:p>
      <w:pPr>
        <w:pStyle w:val="635"/>
        <w:jc w:val="both"/>
        <w:spacing w:beforeAutospacing="0" w:afterAutospacing="0"/>
        <w:rPr>
          <w:highlight w:val="none"/>
          <w:shd w:val="clear" w:color="auto" w:fill="auto"/>
        </w:rPr>
      </w:pPr>
      <w:r>
        <w:rPr>
          <w:rFonts w:hint="eastAsia" w:ascii="宋体" w:hAnsi="宋体" w:eastAsia="宋体" w:cs="宋体"/>
          <w:color w:val="000000"/>
          <w:highlight w:val="none"/>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ascii="Times New Roman" w:hAnsi="Times New Roman"/>
          <w:color w:val="000000"/>
          <w:sz w:val="21"/>
          <w:szCs w:val="21"/>
          <w:highlight w:val="none"/>
        </w:rPr>
        <w:t xml:space="preserve"> “</w:t>
      </w:r>
      <w:r>
        <w:rPr>
          <w:rFonts w:hint="eastAsia" w:ascii="宋体" w:hAnsi="宋体" w:eastAsia="宋体" w:cs="宋体"/>
          <w:color w:val="000000"/>
          <w:highlight w:val="none"/>
        </w:rPr>
        <w:t xml:space="preserve">投标分项报价表</w:t>
      </w:r>
      <w:r>
        <w:rPr>
          <w:rFonts w:ascii="Times New Roman" w:hAnsi="Times New Roman"/>
          <w:color w:val="000000"/>
          <w:sz w:val="21"/>
          <w:szCs w:val="21"/>
          <w:highlight w:val="none"/>
        </w:rPr>
        <w:t xml:space="preserve">”</w:t>
      </w:r>
      <w:r>
        <w:rPr>
          <w:rFonts w:hint="eastAsia" w:ascii="宋体" w:hAnsi="宋体" w:eastAsia="宋体" w:cs="宋体"/>
          <w:color w:val="000000"/>
          <w:highlight w:val="none"/>
          <w:shd w:val="clear" w:color="auto" w:fill="auto"/>
        </w:rPr>
        <w:t xml:space="preserve">中“投标总报价”数额应当与“开标一览表”中“投标总报价”数额一致。</w:t>
      </w:r>
      <w:r/>
    </w:p>
    <w:p>
      <w:pPr>
        <w:pStyle w:val="635"/>
        <w:jc w:val="both"/>
        <w:spacing w:beforeAutospacing="0" w:afterAutospacing="0"/>
        <w:rPr>
          <w:highlight w:val="none"/>
          <w:shd w:val="clear" w:color="auto" w:fill="auto"/>
        </w:rPr>
      </w:pPr>
      <w:r>
        <w:rPr>
          <w:rFonts w:hint="eastAsia" w:ascii="宋体" w:hAnsi="宋体" w:eastAsia="宋体" w:cs="宋体"/>
          <w:color w:val="000000"/>
          <w:highlight w:val="none"/>
          <w:shd w:val="clear" w:color="auto" w:fill="auto"/>
        </w:rPr>
        <w:t xml:space="preserve">（备注：该表仅适用于项目采用货币报价的情形。项目采用折扣率报价的，如需要填写投标分项报价表，请项目经办人自行设计表格。招标文件定稿后该备注删除。）</w:t>
      </w:r>
      <w:r/>
    </w:p>
    <w:p>
      <w:pPr>
        <w:pStyle w:val="635"/>
        <w:jc w:val="both"/>
        <w:spacing w:beforeAutospacing="0" w:afterAutospacing="0"/>
        <w:rPr>
          <w:highlight w:val="none"/>
          <w:shd w:val="clear" w:color="auto" w:fill="auto"/>
        </w:rPr>
      </w:pPr>
      <w:r>
        <w:rPr>
          <w:highlight w:val="none"/>
          <w:shd w:val="clear" w:color="auto" w:fill="auto"/>
        </w:rPr>
        <w:t xml:space="preserve"> </w:t>
      </w:r>
      <w:r/>
    </w:p>
    <w:p>
      <w:pPr>
        <w:pStyle w:val="635"/>
        <w:jc w:val="both"/>
        <w:spacing w:beforeAutospacing="0" w:afterAutospacing="0"/>
        <w:rPr>
          <w:highlight w:val="none"/>
        </w:rPr>
      </w:pPr>
      <w:r>
        <w:rPr>
          <w:highlight w:val="none"/>
        </w:rPr>
        <w:t xml:space="preserve"> </w:t>
      </w:r>
      <w:r/>
    </w:p>
    <w:p>
      <w:pPr>
        <w:pStyle w:val="635"/>
        <w:jc w:val="both"/>
        <w:spacing w:beforeAutospacing="0" w:afterAutospacing="0"/>
        <w:rPr>
          <w:highlight w:val="none"/>
        </w:rPr>
      </w:pPr>
      <w:r>
        <w:rPr>
          <w:highlight w:val="none"/>
        </w:rPr>
        <w:t xml:space="preserve"> </w:t>
      </w:r>
      <w:r/>
    </w:p>
    <w:p>
      <w:pPr>
        <w:pStyle w:val="635"/>
        <w:jc w:val="both"/>
        <w:spacing w:beforeAutospacing="0" w:afterAutospacing="0"/>
        <w:rPr>
          <w:highlight w:val="none"/>
        </w:rPr>
      </w:pPr>
      <w:r>
        <w:rPr>
          <w:highlight w:val="none"/>
        </w:rPr>
        <w:t xml:space="preserve"> </w:t>
      </w:r>
      <w:r/>
    </w:p>
    <w:p>
      <w:pPr>
        <w:pStyle w:val="635"/>
        <w:jc w:val="both"/>
        <w:spacing w:beforeAutospacing="0" w:afterAutospacing="0"/>
        <w:rPr>
          <w:highlight w:val="none"/>
        </w:rPr>
      </w:pPr>
      <w:r>
        <w:rPr>
          <w:highlight w:val="none"/>
        </w:rPr>
        <w:t xml:space="preserve"> </w:t>
      </w:r>
      <w:r/>
    </w:p>
    <w:p>
      <w:pPr>
        <w:pStyle w:val="635"/>
        <w:jc w:val="both"/>
        <w:spacing w:beforeAutospacing="0" w:afterAutospacing="0"/>
        <w:rPr>
          <w:highlight w:val="none"/>
        </w:rPr>
      </w:pPr>
      <w:r>
        <w:rPr>
          <w:highlight w:val="none"/>
        </w:rPr>
        <w:t xml:space="preserve"> </w:t>
      </w:r>
      <w:r/>
    </w:p>
    <w:p>
      <w:pPr>
        <w:pStyle w:val="635"/>
        <w:jc w:val="both"/>
        <w:spacing w:beforeAutospacing="0" w:afterAutospacing="0"/>
        <w:rPr>
          <w:highlight w:val="none"/>
        </w:rPr>
      </w:pPr>
      <w:r>
        <w:rPr>
          <w:highlight w:val="none"/>
        </w:rPr>
      </w:r>
      <w:r/>
    </w:p>
    <w:p>
      <w:pPr>
        <w:pStyle w:val="635"/>
        <w:jc w:val="both"/>
        <w:spacing w:beforeAutospacing="0" w:afterAutospacing="0"/>
        <w:rPr>
          <w:highlight w:val="none"/>
        </w:rPr>
      </w:pPr>
      <w:r>
        <w:rPr>
          <w:highlight w:val="none"/>
        </w:rPr>
      </w:r>
      <w:r/>
    </w:p>
    <w:p>
      <w:pPr>
        <w:pStyle w:val="635"/>
        <w:jc w:val="both"/>
        <w:spacing w:beforeAutospacing="0" w:afterAutospacing="0"/>
        <w:rPr>
          <w:highlight w:val="none"/>
        </w:rPr>
      </w:pPr>
      <w:r>
        <w:rPr>
          <w:highlight w:val="none"/>
        </w:rPr>
      </w:r>
      <w:r/>
    </w:p>
    <w:p>
      <w:pPr>
        <w:pStyle w:val="635"/>
        <w:jc w:val="both"/>
        <w:spacing w:beforeAutospacing="0" w:afterAutospacing="0"/>
        <w:rPr>
          <w:highlight w:val="none"/>
        </w:rPr>
      </w:pPr>
      <w:r>
        <w:rPr>
          <w:highlight w:val="none"/>
        </w:rPr>
      </w:r>
      <w:r/>
    </w:p>
    <w:p>
      <w:pPr>
        <w:pStyle w:val="635"/>
        <w:jc w:val="both"/>
        <w:spacing w:beforeAutospacing="0" w:afterAutospacing="0"/>
        <w:rPr>
          <w:highlight w:val="none"/>
        </w:rPr>
      </w:pPr>
      <w:r>
        <w:rPr>
          <w:highlight w:val="none"/>
        </w:rPr>
      </w:r>
      <w:r/>
    </w:p>
    <w:p>
      <w:pPr>
        <w:pStyle w:val="635"/>
        <w:jc w:val="both"/>
        <w:spacing w:beforeAutospacing="0" w:afterAutospacing="0"/>
        <w:rPr>
          <w:highlight w:val="none"/>
        </w:rPr>
      </w:pPr>
      <w:r>
        <w:rPr>
          <w:highlight w:val="none"/>
        </w:rPr>
      </w:r>
      <w:r/>
    </w:p>
    <w:p>
      <w:pPr>
        <w:pStyle w:val="635"/>
        <w:jc w:val="both"/>
        <w:spacing w:beforeAutospacing="0" w:afterAutospacing="0"/>
        <w:rPr>
          <w:highlight w:val="none"/>
        </w:rPr>
      </w:pPr>
      <w:r>
        <w:rPr>
          <w:highlight w:val="none"/>
        </w:rPr>
      </w:r>
      <w:r/>
    </w:p>
    <w:p>
      <w:pPr>
        <w:pStyle w:val="635"/>
        <w:jc w:val="both"/>
        <w:spacing w:beforeAutospacing="0" w:afterAutospacing="0"/>
        <w:rPr>
          <w:highlight w:val="none"/>
        </w:rPr>
      </w:pPr>
      <w:r>
        <w:rPr>
          <w:highlight w:val="none"/>
        </w:rPr>
      </w:r>
      <w:r/>
    </w:p>
    <w:p>
      <w:pPr>
        <w:pStyle w:val="635"/>
        <w:jc w:val="both"/>
        <w:spacing w:beforeAutospacing="0" w:afterAutospacing="0"/>
        <w:rPr>
          <w:highlight w:val="none"/>
        </w:rPr>
      </w:pPr>
      <w:r>
        <w:rPr>
          <w:highlight w:val="none"/>
        </w:rPr>
      </w:r>
      <w:r/>
    </w:p>
    <w:p>
      <w:pPr>
        <w:pStyle w:val="635"/>
        <w:jc w:val="both"/>
        <w:spacing w:beforeAutospacing="0" w:afterAutospacing="0"/>
        <w:rPr>
          <w:highlight w:val="none"/>
        </w:rPr>
      </w:pPr>
      <w:r>
        <w:rPr>
          <w:highlight w:val="none"/>
        </w:rPr>
      </w:r>
      <w:r/>
    </w:p>
    <w:p>
      <w:pPr>
        <w:pStyle w:val="635"/>
        <w:jc w:val="both"/>
        <w:spacing w:beforeAutospacing="0" w:afterAutospacing="0"/>
        <w:rPr>
          <w:highlight w:val="none"/>
        </w:rPr>
      </w:pPr>
      <w:r>
        <w:rPr>
          <w:highlight w:val="none"/>
        </w:rPr>
        <w:t xml:space="preserve"> </w:t>
      </w:r>
      <w:r/>
    </w:p>
    <w:p>
      <w:pPr>
        <w:pStyle w:val="635"/>
        <w:jc w:val="both"/>
        <w:spacing w:beforeAutospacing="0" w:afterAutospacing="0"/>
        <w:rPr>
          <w:highlight w:val="none"/>
        </w:rPr>
      </w:pPr>
      <w:r>
        <w:rPr>
          <w:highlight w:val="none"/>
        </w:rPr>
        <w:t xml:space="preserve"> </w:t>
      </w:r>
      <w:r/>
    </w:p>
    <w:p>
      <w:pPr>
        <w:pStyle w:val="635"/>
        <w:jc w:val="center"/>
        <w:spacing w:beforeAutospacing="0" w:afterAutospacing="0"/>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二</w:t>
      </w:r>
      <w:r>
        <w:rPr>
          <w:rFonts w:hint="eastAsia" w:ascii="黑体" w:hAnsi="宋体" w:eastAsia="黑体" w:cs="黑体"/>
          <w:b/>
          <w:color w:val="000000"/>
          <w:sz w:val="32"/>
          <w:szCs w:val="32"/>
          <w:highlight w:val="none"/>
        </w:rPr>
        <w:t xml:space="preserve">、技术要求响应及偏离表</w:t>
      </w:r>
      <w:r/>
    </w:p>
    <w:tbl>
      <w:tblPr>
        <w:tblStyle w:val="62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35"/>
              <w:jc w:val="center"/>
              <w:spacing w:beforeAutospacing="0" w:afterAutospacing="0"/>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35"/>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35"/>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35"/>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35"/>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635"/>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3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3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3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3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3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3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3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3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3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3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3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3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3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3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3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3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3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3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3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3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3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3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3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3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3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3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3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3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3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3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3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3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3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3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3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3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35"/>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3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3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35"/>
              <w:jc w:val="center"/>
              <w:spacing w:beforeAutospacing="0" w:afterAutospacing="0"/>
              <w:rPr>
                <w:highlight w:val="none"/>
              </w:rPr>
            </w:pPr>
            <w:r>
              <w:rPr>
                <w:highlight w:val="none"/>
              </w:rPr>
              <w:t xml:space="preserve"> </w:t>
            </w:r>
            <w:r/>
          </w:p>
        </w:tc>
      </w:tr>
    </w:tbl>
    <w:p>
      <w:pPr>
        <w:pStyle w:val="635"/>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635"/>
        <w:jc w:val="center"/>
        <w:spacing w:beforeAutospacing="0" w:afterAutospacing="0"/>
        <w:rPr>
          <w:highlight w:val="none"/>
        </w:rPr>
      </w:pPr>
      <w:r>
        <w:rPr>
          <w:highlight w:val="none"/>
        </w:rPr>
        <w:t xml:space="preserve"> </w:t>
      </w:r>
      <w:r/>
    </w:p>
    <w:p>
      <w:pPr>
        <w:pStyle w:val="635"/>
        <w:jc w:val="center"/>
        <w:spacing w:beforeAutospacing="0" w:afterAutospacing="0"/>
        <w:rPr>
          <w:highlight w:val="none"/>
        </w:rPr>
      </w:pPr>
      <w:r>
        <w:rPr>
          <w:highlight w:val="none"/>
        </w:rPr>
        <w:t xml:space="preserve"> </w:t>
      </w:r>
      <w:r/>
    </w:p>
    <w:p>
      <w:pPr>
        <w:pStyle w:val="635"/>
        <w:jc w:val="center"/>
        <w:spacing w:beforeAutospacing="0" w:afterAutospacing="0"/>
        <w:rPr>
          <w:highlight w:val="none"/>
        </w:rPr>
      </w:pPr>
      <w:r>
        <w:rPr>
          <w:highlight w:val="none"/>
        </w:rPr>
        <w:t xml:space="preserve"> </w:t>
      </w:r>
      <w:r/>
    </w:p>
    <w:p>
      <w:pPr>
        <w:pStyle w:val="635"/>
        <w:jc w:val="center"/>
        <w:spacing w:beforeAutospacing="0" w:afterAutospacing="0"/>
        <w:rPr>
          <w:highlight w:val="none"/>
        </w:rPr>
      </w:pPr>
      <w:r>
        <w:rPr>
          <w:highlight w:val="none"/>
        </w:rPr>
        <w:t xml:space="preserve"> </w:t>
      </w:r>
      <w:r/>
    </w:p>
    <w:p>
      <w:pPr>
        <w:pStyle w:val="635"/>
        <w:jc w:val="both"/>
        <w:spacing w:beforeAutospacing="0" w:afterAutospacing="0"/>
        <w:rPr>
          <w:highlight w:val="none"/>
        </w:rPr>
      </w:pPr>
      <w:r>
        <w:rPr>
          <w:highlight w:val="none"/>
        </w:rPr>
        <w:t xml:space="preserve"> </w:t>
      </w:r>
      <w:r/>
    </w:p>
    <w:p>
      <w:pPr>
        <w:pStyle w:val="635"/>
        <w:jc w:val="both"/>
        <w:spacing w:beforeAutospacing="0" w:afterAutospacing="0"/>
        <w:rPr>
          <w:highlight w:val="none"/>
        </w:rPr>
      </w:pPr>
      <w:r>
        <w:rPr>
          <w:highlight w:val="none"/>
        </w:rPr>
        <w:t xml:space="preserve"> </w:t>
      </w:r>
      <w:r/>
    </w:p>
    <w:p>
      <w:pPr>
        <w:pStyle w:val="635"/>
        <w:jc w:val="both"/>
        <w:spacing w:beforeAutospacing="0" w:afterAutospacing="0"/>
        <w:rPr>
          <w:highlight w:val="none"/>
        </w:rPr>
      </w:pPr>
      <w:r>
        <w:rPr>
          <w:highlight w:val="none"/>
        </w:rPr>
        <w:t xml:space="preserve"> </w:t>
      </w:r>
      <w:r/>
    </w:p>
    <w:p>
      <w:pPr>
        <w:pStyle w:val="635"/>
        <w:jc w:val="both"/>
        <w:spacing w:beforeAutospacing="0" w:afterAutospacing="0"/>
        <w:rPr>
          <w:highlight w:val="none"/>
        </w:rPr>
      </w:pPr>
      <w:r>
        <w:rPr>
          <w:highlight w:val="none"/>
        </w:rPr>
        <w:t xml:space="preserve"> </w:t>
      </w:r>
      <w:r/>
    </w:p>
    <w:p>
      <w:pPr>
        <w:pStyle w:val="635"/>
        <w:jc w:val="both"/>
        <w:spacing w:beforeAutospacing="0" w:afterAutospacing="0"/>
        <w:rPr>
          <w:highlight w:val="none"/>
        </w:rPr>
      </w:pPr>
      <w:r>
        <w:rPr>
          <w:highlight w:val="none"/>
        </w:rPr>
        <w:t xml:space="preserve"> </w:t>
      </w:r>
      <w:r/>
    </w:p>
    <w:p>
      <w:pPr>
        <w:pStyle w:val="635"/>
        <w:jc w:val="both"/>
        <w:spacing w:beforeAutospacing="0" w:afterAutospacing="0"/>
        <w:rPr>
          <w:highlight w:val="none"/>
        </w:rPr>
      </w:pPr>
      <w:r>
        <w:rPr>
          <w:highlight w:val="none"/>
        </w:rPr>
      </w:r>
      <w:r/>
    </w:p>
    <w:p>
      <w:pPr>
        <w:pStyle w:val="635"/>
        <w:jc w:val="both"/>
        <w:spacing w:beforeAutospacing="0" w:afterAutospacing="0"/>
        <w:rPr>
          <w:highlight w:val="none"/>
        </w:rPr>
      </w:pPr>
      <w:r>
        <w:rPr>
          <w:highlight w:val="none"/>
        </w:rPr>
      </w:r>
      <w:r/>
    </w:p>
    <w:p>
      <w:pPr>
        <w:pStyle w:val="635"/>
        <w:jc w:val="both"/>
        <w:spacing w:beforeAutospacing="0" w:afterAutospacing="0"/>
        <w:rPr>
          <w:highlight w:val="none"/>
        </w:rPr>
      </w:pPr>
      <w:r>
        <w:rPr>
          <w:highlight w:val="none"/>
        </w:rPr>
      </w:r>
      <w:r/>
    </w:p>
    <w:p>
      <w:pPr>
        <w:pStyle w:val="635"/>
        <w:jc w:val="both"/>
        <w:spacing w:beforeAutospacing="0" w:afterAutospacing="0"/>
        <w:rPr>
          <w:highlight w:val="none"/>
        </w:rPr>
      </w:pPr>
      <w:r>
        <w:rPr>
          <w:highlight w:val="none"/>
        </w:rPr>
      </w:r>
      <w:r/>
    </w:p>
    <w:p>
      <w:pPr>
        <w:pStyle w:val="635"/>
        <w:jc w:val="both"/>
        <w:spacing w:beforeAutospacing="0" w:afterAutospacing="0"/>
        <w:rPr>
          <w:highlight w:val="none"/>
        </w:rPr>
      </w:pPr>
      <w:r>
        <w:rPr>
          <w:highlight w:val="none"/>
        </w:rPr>
      </w:r>
      <w:r/>
    </w:p>
    <w:p>
      <w:pPr>
        <w:pStyle w:val="635"/>
        <w:jc w:val="both"/>
        <w:spacing w:beforeAutospacing="0" w:afterAutospacing="0"/>
        <w:rPr>
          <w:highlight w:val="none"/>
        </w:rPr>
      </w:pPr>
      <w:r>
        <w:rPr>
          <w:highlight w:val="none"/>
        </w:rPr>
      </w:r>
      <w:r/>
    </w:p>
    <w:p>
      <w:pPr>
        <w:pStyle w:val="635"/>
        <w:jc w:val="both"/>
        <w:spacing w:beforeAutospacing="0" w:afterAutospacing="0"/>
        <w:rPr>
          <w:highlight w:val="none"/>
        </w:rPr>
      </w:pPr>
      <w:r>
        <w:rPr>
          <w:highlight w:val="none"/>
        </w:rPr>
      </w:r>
      <w:r/>
    </w:p>
    <w:p>
      <w:pPr>
        <w:pStyle w:val="635"/>
        <w:jc w:val="both"/>
        <w:spacing w:beforeAutospacing="0" w:afterAutospacing="0"/>
        <w:rPr>
          <w:highlight w:val="none"/>
        </w:rPr>
      </w:pPr>
      <w:r>
        <w:rPr>
          <w:highlight w:val="none"/>
        </w:rPr>
      </w:r>
      <w:r/>
    </w:p>
    <w:p>
      <w:pPr>
        <w:pStyle w:val="635"/>
        <w:jc w:val="both"/>
        <w:spacing w:beforeAutospacing="0" w:afterAutospacing="0"/>
        <w:rPr>
          <w:highlight w:val="none"/>
        </w:rPr>
      </w:pPr>
      <w:r>
        <w:rPr>
          <w:highlight w:val="none"/>
        </w:rPr>
      </w:r>
      <w:r/>
    </w:p>
    <w:p>
      <w:pPr>
        <w:pStyle w:val="635"/>
        <w:jc w:val="both"/>
        <w:spacing w:beforeAutospacing="0" w:afterAutospacing="0"/>
        <w:rPr>
          <w:highlight w:val="none"/>
        </w:rPr>
      </w:pPr>
      <w:r>
        <w:rPr>
          <w:highlight w:val="none"/>
        </w:rPr>
      </w:r>
      <w:r/>
    </w:p>
    <w:p>
      <w:pPr>
        <w:pStyle w:val="635"/>
        <w:jc w:val="both"/>
        <w:spacing w:beforeAutospacing="0" w:afterAutospacing="0"/>
        <w:rPr>
          <w:highlight w:val="none"/>
        </w:rPr>
      </w:pPr>
      <w:r>
        <w:rPr>
          <w:highlight w:val="none"/>
        </w:rPr>
        <w:t xml:space="preserve"> </w:t>
      </w:r>
      <w:r/>
    </w:p>
    <w:p>
      <w:pPr>
        <w:pStyle w:val="635"/>
        <w:jc w:val="both"/>
        <w:spacing w:beforeAutospacing="0" w:afterAutospacing="0"/>
        <w:rPr>
          <w:highlight w:val="none"/>
        </w:rPr>
      </w:pPr>
      <w:r>
        <w:rPr>
          <w:highlight w:val="none"/>
        </w:rPr>
        <w:t xml:space="preserve"> </w:t>
      </w:r>
      <w:r/>
    </w:p>
    <w:p>
      <w:pPr>
        <w:pStyle w:val="635"/>
        <w:jc w:val="both"/>
        <w:spacing w:beforeAutospacing="0" w:afterAutospacing="0"/>
        <w:rPr>
          <w:highlight w:val="none"/>
        </w:rPr>
      </w:pPr>
      <w:r>
        <w:rPr>
          <w:highlight w:val="none"/>
        </w:rPr>
        <w:t xml:space="preserve"> </w:t>
      </w:r>
      <w:r/>
    </w:p>
    <w:p>
      <w:pPr>
        <w:pStyle w:val="635"/>
        <w:jc w:val="center"/>
        <w:spacing w:beforeAutospacing="0" w:afterAutospacing="0"/>
        <w:rPr>
          <w:highlight w:val="none"/>
        </w:rPr>
      </w:pPr>
      <w:r/>
      <w:bookmarkStart w:id="182" w:name="_Hlt26955054"/>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三</w:t>
      </w:r>
      <w:r>
        <w:rPr>
          <w:rFonts w:hint="eastAsia" w:ascii="黑体" w:hAnsi="宋体" w:eastAsia="黑体" w:cs="黑体"/>
          <w:b/>
          <w:color w:val="000000"/>
          <w:sz w:val="32"/>
          <w:szCs w:val="32"/>
          <w:highlight w:val="none"/>
        </w:rPr>
        <w:t xml:space="preserve">、商务要求响应及偏离表</w:t>
      </w:r>
      <w:r/>
    </w:p>
    <w:tbl>
      <w:tblPr>
        <w:tblStyle w:val="62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35"/>
              <w:jc w:val="center"/>
              <w:spacing w:beforeAutospacing="0" w:afterAutospacing="0"/>
              <w:rPr>
                <w:highlight w:val="none"/>
              </w:rPr>
            </w:pPr>
            <w:r/>
            <w:bookmarkStart w:id="183" w:name="_Hlt26671343"/>
            <w:r/>
            <w:bookmarkStart w:id="184" w:name="_Hlt26955056"/>
            <w:r/>
            <w:bookmarkStart w:id="185" w:name="_Hlt26580838"/>
            <w:r/>
            <w:bookmarkStart w:id="186" w:name="_Hlt24879081"/>
            <w:r/>
            <w:bookmarkStart w:id="187" w:name="_Hlt26782999"/>
            <w:r/>
            <w:bookmarkStart w:id="188" w:name="_Hlt26609391"/>
            <w:r/>
            <w:bookmarkStart w:id="189" w:name="_Hlt26671372"/>
            <w:r/>
            <w:bookmarkStart w:id="190" w:name="_Hlt26955064"/>
            <w:r>
              <w:rPr>
                <w:rFonts w:hint="eastAsia" w:ascii="宋体" w:hAnsi="宋体" w:eastAsia="宋体" w:cs="宋体"/>
                <w:color w:val="000000"/>
                <w:highlight w:val="none"/>
              </w:rPr>
              <w:t xml:space="preserve">序号</w:t>
            </w:r>
            <w:bookmarkEnd w:id="183"/>
            <w:bookmarkEnd w:id="184"/>
            <w:bookmarkEnd w:id="185"/>
            <w:bookmarkEnd w:id="186"/>
            <w:bookmarkEnd w:id="187"/>
            <w:bookmarkEnd w:id="188"/>
            <w:bookmarkEnd w:id="189"/>
            <w:bookmarkEnd w:id="190"/>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35"/>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35"/>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35"/>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35"/>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635"/>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3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3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3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3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3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3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3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3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3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3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3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3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3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3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3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3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3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3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3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3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3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3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3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3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3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3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3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3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3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3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3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3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3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3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3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3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35"/>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3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3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35"/>
              <w:jc w:val="center"/>
              <w:spacing w:beforeAutospacing="0" w:afterAutospacing="0"/>
              <w:rPr>
                <w:highlight w:val="none"/>
              </w:rPr>
            </w:pPr>
            <w:r>
              <w:rPr>
                <w:highlight w:val="none"/>
              </w:rPr>
              <w:t xml:space="preserve"> </w:t>
            </w:r>
            <w:r/>
          </w:p>
        </w:tc>
      </w:tr>
    </w:tbl>
    <w:p>
      <w:pPr>
        <w:pStyle w:val="635"/>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635"/>
        <w:jc w:val="both"/>
        <w:spacing w:beforeAutospacing="0" w:afterAutospacing="0" w:line="480" w:lineRule="auto"/>
        <w:rPr>
          <w:highlight w:val="none"/>
        </w:rPr>
      </w:pPr>
      <w:r>
        <w:rPr>
          <w:highlight w:val="none"/>
        </w:rPr>
        <w:t xml:space="preserve"> </w:t>
      </w:r>
      <w:r/>
    </w:p>
    <w:p>
      <w:pPr>
        <w:pStyle w:val="635"/>
        <w:jc w:val="both"/>
        <w:spacing w:beforeAutospacing="0" w:afterAutospacing="0" w:line="480" w:lineRule="auto"/>
        <w:rPr>
          <w:highlight w:val="none"/>
        </w:rPr>
      </w:pPr>
      <w:r>
        <w:rPr>
          <w:highlight w:val="none"/>
        </w:rPr>
        <w:t xml:space="preserve"> </w:t>
      </w:r>
      <w:r/>
    </w:p>
    <w:p>
      <w:pPr>
        <w:pStyle w:val="635"/>
        <w:jc w:val="center"/>
        <w:spacing w:beforeAutospacing="0" w:afterAutospacing="0"/>
        <w:rPr>
          <w:highlight w:val="none"/>
        </w:rPr>
      </w:pPr>
      <w:r/>
      <w:bookmarkStart w:id="191" w:name="_Hlt26609389"/>
      <w:r/>
      <w:bookmarkStart w:id="192" w:name="_Hlt26671374"/>
      <w:r/>
      <w:bookmarkStart w:id="193" w:name="_Hlt26955066"/>
      <w:r/>
      <w:bookmarkStart w:id="194" w:name="_Toc462564146"/>
      <w:r/>
      <w:bookmarkStart w:id="195" w:name="_格式2__法定代表人授权书"/>
      <w:r>
        <w:rPr>
          <w:highlight w:val="none"/>
        </w:rPr>
        <w:t xml:space="preserve"> </w:t>
      </w:r>
      <w:r/>
    </w:p>
    <w:p>
      <w:pPr>
        <w:pStyle w:val="635"/>
        <w:jc w:val="center"/>
        <w:spacing w:beforeAutospacing="0" w:afterAutospacing="0"/>
        <w:rPr>
          <w:highlight w:val="none"/>
        </w:rPr>
      </w:pPr>
      <w:r>
        <w:rPr>
          <w:highlight w:val="none"/>
        </w:rPr>
        <w:t xml:space="preserve"> </w:t>
      </w:r>
      <w:r/>
    </w:p>
    <w:p>
      <w:pPr>
        <w:pStyle w:val="635"/>
        <w:jc w:val="center"/>
        <w:spacing w:beforeAutospacing="0" w:afterAutospacing="0"/>
        <w:rPr>
          <w:highlight w:val="none"/>
        </w:rPr>
      </w:pPr>
      <w:r>
        <w:rPr>
          <w:highlight w:val="none"/>
        </w:rPr>
        <w:t xml:space="preserve"> </w:t>
      </w:r>
      <w:r/>
    </w:p>
    <w:p>
      <w:pPr>
        <w:pStyle w:val="635"/>
        <w:jc w:val="center"/>
        <w:spacing w:beforeAutospacing="0" w:afterAutospacing="0"/>
        <w:rPr>
          <w:highlight w:val="none"/>
        </w:rPr>
      </w:pPr>
      <w:r>
        <w:rPr>
          <w:highlight w:val="none"/>
        </w:rPr>
        <w:t xml:space="preserve"> </w:t>
      </w:r>
      <w:r/>
    </w:p>
    <w:p>
      <w:pPr>
        <w:pStyle w:val="635"/>
        <w:jc w:val="center"/>
        <w:spacing w:beforeAutospacing="0" w:afterAutospacing="0"/>
        <w:rPr>
          <w:highlight w:val="none"/>
        </w:rPr>
      </w:pPr>
      <w:r>
        <w:rPr>
          <w:highlight w:val="none"/>
        </w:rPr>
        <w:t xml:space="preserve"> </w:t>
      </w:r>
      <w:r/>
    </w:p>
    <w:p>
      <w:pPr>
        <w:pStyle w:val="635"/>
        <w:jc w:val="center"/>
        <w:spacing w:beforeAutospacing="0" w:afterAutospacing="0"/>
        <w:rPr>
          <w:highlight w:val="none"/>
        </w:rPr>
      </w:pPr>
      <w:r>
        <w:rPr>
          <w:highlight w:val="none"/>
        </w:rPr>
        <w:t xml:space="preserve"> </w:t>
      </w:r>
      <w:r/>
    </w:p>
    <w:p>
      <w:pPr>
        <w:pStyle w:val="635"/>
        <w:jc w:val="center"/>
        <w:spacing w:beforeAutospacing="0" w:afterAutospacing="0"/>
        <w:rPr>
          <w:highlight w:val="none"/>
        </w:rPr>
      </w:pPr>
      <w:r>
        <w:rPr>
          <w:highlight w:val="none"/>
        </w:rPr>
      </w:r>
      <w:r/>
    </w:p>
    <w:p>
      <w:pPr>
        <w:pStyle w:val="635"/>
        <w:jc w:val="center"/>
        <w:spacing w:beforeAutospacing="0" w:afterAutospacing="0"/>
        <w:rPr>
          <w:highlight w:val="none"/>
        </w:rPr>
      </w:pPr>
      <w:r>
        <w:rPr>
          <w:highlight w:val="none"/>
        </w:rPr>
      </w:r>
      <w:r/>
    </w:p>
    <w:p>
      <w:pPr>
        <w:pStyle w:val="635"/>
        <w:jc w:val="center"/>
        <w:spacing w:beforeAutospacing="0" w:afterAutospacing="0"/>
        <w:rPr>
          <w:highlight w:val="none"/>
        </w:rPr>
      </w:pPr>
      <w:r>
        <w:rPr>
          <w:highlight w:val="none"/>
        </w:rPr>
      </w:r>
      <w:r/>
    </w:p>
    <w:p>
      <w:pPr>
        <w:pStyle w:val="635"/>
        <w:jc w:val="center"/>
        <w:spacing w:beforeAutospacing="0" w:afterAutospacing="0"/>
        <w:rPr>
          <w:highlight w:val="none"/>
        </w:rPr>
      </w:pPr>
      <w:r>
        <w:rPr>
          <w:highlight w:val="none"/>
        </w:rPr>
      </w:r>
      <w:r/>
    </w:p>
    <w:p>
      <w:pPr>
        <w:pStyle w:val="635"/>
        <w:jc w:val="center"/>
        <w:spacing w:beforeAutospacing="0" w:afterAutospacing="0"/>
        <w:rPr>
          <w:highlight w:val="none"/>
        </w:rPr>
      </w:pPr>
      <w:r>
        <w:rPr>
          <w:highlight w:val="none"/>
        </w:rPr>
      </w:r>
      <w:r/>
    </w:p>
    <w:p>
      <w:pPr>
        <w:pStyle w:val="635"/>
        <w:jc w:val="center"/>
        <w:spacing w:beforeAutospacing="0" w:afterAutospacing="0"/>
        <w:rPr>
          <w:highlight w:val="none"/>
        </w:rPr>
      </w:pPr>
      <w:r>
        <w:rPr>
          <w:highlight w:val="none"/>
        </w:rPr>
      </w:r>
      <w:r/>
    </w:p>
    <w:p>
      <w:pPr>
        <w:pStyle w:val="635"/>
        <w:jc w:val="center"/>
        <w:spacing w:beforeAutospacing="0" w:afterAutospacing="0"/>
        <w:rPr>
          <w:highlight w:val="none"/>
        </w:rPr>
      </w:pPr>
      <w:r>
        <w:rPr>
          <w:highlight w:val="none"/>
        </w:rPr>
      </w:r>
      <w:r/>
    </w:p>
    <w:p>
      <w:pPr>
        <w:pStyle w:val="635"/>
        <w:jc w:val="center"/>
        <w:spacing w:beforeAutospacing="0" w:afterAutospacing="0"/>
        <w:rPr>
          <w:highlight w:val="none"/>
        </w:rPr>
      </w:pPr>
      <w:r>
        <w:rPr>
          <w:highlight w:val="none"/>
        </w:rPr>
      </w:r>
      <w:r/>
    </w:p>
    <w:p>
      <w:pPr>
        <w:pStyle w:val="635"/>
        <w:jc w:val="center"/>
        <w:spacing w:beforeAutospacing="0" w:afterAutospacing="0"/>
        <w:rPr>
          <w:highlight w:val="none"/>
        </w:rPr>
      </w:pPr>
      <w:r>
        <w:rPr>
          <w:highlight w:val="none"/>
        </w:rPr>
      </w:r>
      <w:r/>
    </w:p>
    <w:p>
      <w:pPr>
        <w:pStyle w:val="635"/>
        <w:jc w:val="center"/>
        <w:spacing w:beforeAutospacing="0" w:afterAutospacing="0"/>
        <w:rPr>
          <w:highlight w:val="none"/>
        </w:rPr>
      </w:pPr>
      <w:r>
        <w:rPr>
          <w:highlight w:val="none"/>
        </w:rPr>
        <w:t xml:space="preserve"> </w:t>
      </w:r>
      <w:r/>
    </w:p>
    <w:p>
      <w:pPr>
        <w:pStyle w:val="635"/>
        <w:jc w:val="center"/>
        <w:spacing w:beforeAutospacing="0" w:afterAutospacing="0"/>
        <w:rPr>
          <w:highlight w:val="none"/>
        </w:rPr>
      </w:pPr>
      <w:r>
        <w:rPr>
          <w:highlight w:val="none"/>
        </w:rPr>
        <w:t xml:space="preserve"> </w:t>
      </w:r>
      <w:r/>
    </w:p>
    <w:p>
      <w:pPr>
        <w:pStyle w:val="635"/>
        <w:jc w:val="center"/>
        <w:spacing w:beforeAutospacing="0" w:afterAutospacing="0"/>
        <w:rPr>
          <w:highlight w:val="none"/>
        </w:rPr>
      </w:pPr>
      <w:r>
        <w:rPr>
          <w:highlight w:val="none"/>
        </w:rPr>
        <w:t xml:space="preserve"> </w:t>
      </w:r>
      <w:r/>
    </w:p>
    <w:p>
      <w:pPr>
        <w:pStyle w:val="635"/>
        <w:jc w:val="center"/>
        <w:spacing w:beforeAutospacing="0" w:afterAutospacing="0"/>
        <w:rPr>
          <w:highlight w:val="none"/>
          <w:shd w:val="clear" w:color="auto" w:fill="auto"/>
        </w:rPr>
      </w:pPr>
      <w:r>
        <w:rPr>
          <w:rFonts w:hint="eastAsia" w:ascii="黑体" w:hAnsi="宋体" w:eastAsia="黑体" w:cs="黑体"/>
          <w:b/>
          <w:i/>
          <w:color w:val="ff0000"/>
          <w:sz w:val="32"/>
          <w:szCs w:val="32"/>
          <w:highlight w:val="none"/>
          <w:u w:val="single"/>
        </w:rPr>
        <w:t xml:space="preserve">十五、开标一览表</w:t>
      </w:r>
      <w:r/>
    </w:p>
    <w:p>
      <w:pPr>
        <w:pStyle w:val="635"/>
        <w:ind w:firstLine="480"/>
        <w:jc w:val="both"/>
        <w:spacing w:beforeAutospacing="0" w:afterAutospacing="0"/>
        <w:rPr>
          <w:highlight w:val="none"/>
          <w:shd w:val="clear" w:color="auto" w:fill="auto"/>
        </w:rPr>
      </w:pPr>
      <w:r>
        <w:rPr>
          <w:rFonts w:hint="eastAsia" w:ascii="宋体" w:hAnsi="宋体" w:eastAsia="宋体" w:cs="宋体"/>
          <w:color w:val="000000"/>
          <w:highlight w:val="none"/>
          <w:shd w:val="clear" w:color="auto" w:fill="auto"/>
        </w:rPr>
        <w:t xml:space="preserve">投标人全称（加盖CA电子签章）：</w:t>
      </w:r>
      <w:r/>
    </w:p>
    <w:p>
      <w:pPr>
        <w:pStyle w:val="635"/>
        <w:ind w:firstLine="480"/>
        <w:jc w:val="both"/>
        <w:spacing w:beforeAutospacing="0" w:afterAutospacing="0"/>
        <w:rPr>
          <w:highlight w:val="none"/>
        </w:rPr>
      </w:pPr>
      <w:r>
        <w:rPr>
          <w:rFonts w:hint="eastAsia" w:ascii="宋体" w:hAnsi="宋体" w:eastAsia="宋体" w:cs="宋体"/>
          <w:color w:val="000000"/>
          <w:highlight w:val="none"/>
        </w:rPr>
        <w:t xml:space="preserve">项目名称：</w:t>
      </w:r>
      <w:r/>
    </w:p>
    <w:p>
      <w:pPr>
        <w:pStyle w:val="635"/>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项目</w:t>
      </w:r>
      <w:r>
        <w:rPr>
          <w:rFonts w:hint="eastAsia" w:ascii="宋体" w:hAnsi="宋体" w:eastAsia="宋体" w:cs="宋体"/>
          <w:color w:val="000000"/>
          <w:highlight w:val="none"/>
        </w:rPr>
        <w:t xml:space="preserve">编号：</w:t>
      </w:r>
      <w:r/>
    </w:p>
    <w:p>
      <w:pPr>
        <w:pStyle w:val="635"/>
        <w:ind w:firstLine="480"/>
        <w:jc w:val="both"/>
        <w:spacing w:beforeAutospacing="0" w:afterAutospacing="0"/>
        <w:rPr>
          <w:highlight w:val="none"/>
        </w:rPr>
      </w:pPr>
      <w:r>
        <w:rPr>
          <w:rFonts w:hint="eastAsia" w:ascii="宋体" w:hAnsi="宋体" w:eastAsia="宋体" w:cs="宋体"/>
          <w:color w:val="000000"/>
          <w:highlight w:val="none"/>
        </w:rPr>
        <w:t xml:space="preserve">分包号：</w:t>
      </w:r>
      <w:r/>
    </w:p>
    <w:tbl>
      <w:tblPr>
        <w:tblStyle w:val="628"/>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635"/>
              <w:jc w:val="center"/>
              <w:spacing w:beforeAutospacing="0" w:afterAutospacing="0"/>
              <w:rPr>
                <w:highlight w:val="none"/>
              </w:rPr>
            </w:pPr>
            <w:r>
              <w:rPr>
                <w:rFonts w:hint="eastAsia" w:ascii="宋体" w:hAnsi="宋体" w:eastAsia="宋体" w:cs="宋体"/>
                <w:color w:val="000000"/>
                <w:highlight w:val="none"/>
              </w:rPr>
              <w:t xml:space="preserve">投标总报价</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635"/>
              <w:spacing w:beforeAutospacing="0" w:afterAutospacing="0" w:line="0" w:lineRule="atLeast"/>
              <w:rPr>
                <w:rFonts w:hint="default" w:ascii="宋体" w:hAnsi="宋体" w:eastAsia="宋体" w:cs="宋体"/>
                <w:color w:val="000000"/>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635"/>
              <w:spacing w:beforeAutospacing="0" w:afterAutospacing="0" w:line="0" w:lineRule="atLeast"/>
              <w:rPr>
                <w:highlight w:val="none"/>
              </w:rPr>
            </w:pPr>
            <w:r>
              <w:rPr>
                <w:rFonts w:hint="eastAsia" w:ascii="宋体" w:hAnsi="宋体" w:eastAsia="宋体" w:cs="宋体"/>
                <w:color w:val="000000"/>
                <w:highlight w:val="none"/>
              </w:rPr>
              <w:t xml:space="preserve">小写：                        （人民币：元）</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635"/>
              <w:jc w:val="center"/>
              <w:spacing w:beforeAutospacing="0" w:afterAutospacing="0" w:line="300" w:lineRule="auto"/>
              <w:rPr>
                <w:highlight w:val="none"/>
              </w:rPr>
            </w:pPr>
            <w:r>
              <w:rPr>
                <w:rFonts w:hint="eastAsia" w:ascii="宋体" w:hAnsi="宋体" w:eastAsia="宋体" w:cs="宋体"/>
                <w:color w:val="000000"/>
                <w:highlight w:val="none"/>
              </w:rPr>
              <w:t xml:space="preserve">核心产品品牌</w:t>
            </w:r>
            <w:r/>
          </w:p>
        </w:tc>
        <w:tc>
          <w:tcPr>
            <w:shd w:val="clear" w:color="auto" w:fill="auto"/>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635"/>
              <w:spacing w:beforeAutospacing="0" w:afterAutospacing="0" w:line="0" w:lineRule="atLeast"/>
              <w:rPr>
                <w:highlight w:val="none"/>
              </w:rPr>
            </w:pPr>
            <w:r>
              <w:rPr>
                <w:highlight w:val="none"/>
              </w:rPr>
              <w:t xml:space="preserve"> </w:t>
            </w:r>
            <w:r/>
          </w:p>
        </w:tc>
      </w:tr>
    </w:tbl>
    <w:p>
      <w:pPr>
        <w:pStyle w:val="635"/>
        <w:jc w:val="both"/>
        <w:spacing w:beforeAutospacing="0" w:afterAutospacing="0"/>
        <w:rPr>
          <w:highlight w:val="none"/>
        </w:rPr>
      </w:pPr>
      <w:r>
        <w:rPr>
          <w:highlight w:val="none"/>
        </w:rPr>
        <w:t xml:space="preserve"> </w:t>
      </w:r>
      <w:r/>
    </w:p>
    <w:p>
      <w:pPr>
        <w:pStyle w:val="635"/>
        <w:ind w:firstLine="480"/>
        <w:jc w:val="both"/>
        <w:spacing w:beforeAutospacing="0" w:afterAutospacing="0"/>
        <w:rPr>
          <w:highlight w:val="none"/>
        </w:rPr>
      </w:pPr>
      <w:r>
        <w:rPr>
          <w:rFonts w:hint="eastAsia" w:ascii="宋体" w:hAnsi="宋体" w:eastAsia="宋体" w:cs="宋体"/>
          <w:color w:val="000000"/>
          <w:highlight w:val="none"/>
        </w:rPr>
        <w:t xml:space="preserve">                                              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p>
    <w:p>
      <w:pPr>
        <w:pStyle w:val="635"/>
        <w:jc w:val="both"/>
        <w:spacing w:beforeAutospacing="0" w:afterAutospacing="0"/>
        <w:rPr>
          <w:highlight w:val="none"/>
        </w:rPr>
      </w:pPr>
      <w:r>
        <w:rPr>
          <w:highlight w:val="none"/>
        </w:rPr>
        <w:t xml:space="preserve"> </w:t>
      </w:r>
      <w:r/>
    </w:p>
    <w:p>
      <w:pPr>
        <w:rPr>
          <w:highlight w:val="none"/>
        </w:rPr>
      </w:pPr>
      <w:r>
        <w:rPr>
          <w:highlight w:val="none"/>
        </w:rPr>
        <w:br w:type="page" w:clear="all"/>
      </w:r>
      <w:r/>
    </w:p>
    <w:p>
      <w:pPr>
        <w:jc w:val="center"/>
        <w:spacing w:before="50" w:after="50"/>
        <w:widowControl/>
        <w:rPr>
          <w:rFonts w:ascii="宋体" w:hAnsi="宋体" w:eastAsia="宋体" w:cs="宋体"/>
          <w:sz w:val="24"/>
          <w:highlight w:val="none"/>
        </w:rPr>
      </w:pPr>
      <w:r>
        <w:rPr>
          <w:highlight w:val="none"/>
        </w:rPr>
        <w:tab/>
      </w:r>
      <w:r>
        <w:rPr>
          <w:rFonts w:hint="eastAsia" w:ascii="宋体" w:hAnsi="宋体" w:eastAsia="宋体" w:cs="宋体"/>
          <w:color w:val="000000"/>
          <w:sz w:val="32"/>
          <w:szCs w:val="32"/>
          <w:highlight w:val="none"/>
        </w:rPr>
        <w:t xml:space="preserve">十六、技术方案、服务承诺、培训承诺等</w:t>
      </w:r>
      <w:r/>
    </w:p>
    <w:p>
      <w:pPr>
        <w:pStyle w:val="63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3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3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3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3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3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3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3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3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3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3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3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3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3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3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3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3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3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3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br w:type="page" w:clear="all"/>
      </w:r>
      <w:r/>
    </w:p>
    <w:p>
      <w:pPr>
        <w:ind w:firstLine="1600"/>
        <w:spacing w:line="499" w:lineRule="atLeast"/>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十七、盐城市政府采购事前信用承诺书</w:t>
      </w:r>
      <w:r/>
    </w:p>
    <w:p>
      <w:pPr>
        <w:ind w:firstLine="640"/>
        <w:jc w:val="left"/>
        <w:spacing w:line="499" w:lineRule="atLeast"/>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 </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法定代表人签名：</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单位名称（盖章）：</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年月日</w:t>
      </w:r>
      <w:r/>
    </w:p>
    <w:p>
      <w:pPr>
        <w:pStyle w:val="635"/>
        <w:jc w:val="center"/>
        <w:spacing w:beforeAutospacing="0" w:afterAutospacing="0"/>
        <w:rPr>
          <w:highlight w:val="none"/>
        </w:rPr>
      </w:pPr>
      <w:r>
        <w:rPr>
          <w:highlight w:val="none"/>
        </w:rPr>
      </w:r>
      <w:bookmarkEnd w:id="6"/>
      <w:bookmarkEnd w:id="48"/>
      <w:bookmarkEnd w:id="95"/>
      <w:bookmarkEnd w:id="96"/>
      <w:bookmarkEnd w:id="97"/>
      <w:bookmarkEnd w:id="98"/>
      <w:bookmarkEnd w:id="99"/>
      <w:bookmarkEnd w:id="100"/>
      <w:bookmarkEnd w:id="101"/>
      <w:bookmarkEnd w:id="102"/>
      <w:bookmarkEnd w:id="111"/>
      <w:bookmarkEnd w:id="112"/>
      <w:bookmarkEnd w:id="119"/>
      <w:bookmarkEnd w:id="166"/>
      <w:bookmarkEnd w:id="172"/>
      <w:bookmarkEnd w:id="175"/>
      <w:bookmarkEnd w:id="176"/>
      <w:bookmarkEnd w:id="177"/>
      <w:bookmarkEnd w:id="178"/>
      <w:bookmarkEnd w:id="179"/>
      <w:bookmarkEnd w:id="180"/>
      <w:bookmarkEnd w:id="181"/>
      <w:bookmarkEnd w:id="182"/>
      <w:bookmarkEnd w:id="191"/>
      <w:bookmarkEnd w:id="192"/>
      <w:bookmarkEnd w:id="193"/>
      <w:bookmarkEnd w:id="194"/>
      <w:bookmarkEnd w:id="195"/>
      <w:r/>
    </w:p>
    <w:p>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p>
    <w:p>
      <w:pPr>
        <w:pStyle w:val="635"/>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635"/>
        <w:jc w:val="both"/>
        <w:spacing w:before="290"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63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35"/>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3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35"/>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3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63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3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35"/>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3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63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63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635"/>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63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3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63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63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63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635"/>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63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63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63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p>
    <w:p>
      <w:pPr>
        <w:pStyle w:val="63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63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635"/>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635"/>
        <w:jc w:val="both"/>
        <w:spacing w:beforeAutospacing="0" w:afterAutospacing="0" w:line="0" w:lineRule="atLeas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635"/>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635"/>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35"/>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635"/>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635"/>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635"/>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35"/>
        <w:spacing w:beforeAutospacing="0" w:afterAutospacing="0"/>
        <w:rPr>
          <w:highlight w:val="none"/>
        </w:rPr>
      </w:pPr>
      <w:r>
        <w:rPr>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楷体">
    <w:panose1 w:val="02010609060101010101"/>
  </w:font>
  <w:font w:name="Symbol">
    <w:panose1 w:val="05050102010706020507"/>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1"/>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64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25"/>
    <w:next w:val="62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27"/>
    <w:link w:val="12"/>
    <w:uiPriority w:val="9"/>
    <w:rPr>
      <w:rFonts w:ascii="Arial" w:hAnsi="Arial" w:eastAsia="Arial" w:cs="Arial"/>
      <w:sz w:val="40"/>
      <w:szCs w:val="40"/>
    </w:rPr>
  </w:style>
  <w:style w:type="character" w:styleId="15">
    <w:name w:val="Heading 2 Char"/>
    <w:basedOn w:val="627"/>
    <w:link w:val="626"/>
    <w:uiPriority w:val="9"/>
    <w:rPr>
      <w:rFonts w:ascii="Arial" w:hAnsi="Arial" w:eastAsia="Arial" w:cs="Arial"/>
      <w:sz w:val="34"/>
    </w:rPr>
  </w:style>
  <w:style w:type="paragraph" w:styleId="16">
    <w:name w:val="Heading 3"/>
    <w:basedOn w:val="625"/>
    <w:next w:val="62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27"/>
    <w:link w:val="16"/>
    <w:uiPriority w:val="9"/>
    <w:rPr>
      <w:rFonts w:ascii="Arial" w:hAnsi="Arial" w:eastAsia="Arial" w:cs="Arial"/>
      <w:sz w:val="30"/>
      <w:szCs w:val="30"/>
    </w:rPr>
  </w:style>
  <w:style w:type="paragraph" w:styleId="18">
    <w:name w:val="Heading 4"/>
    <w:basedOn w:val="625"/>
    <w:next w:val="62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27"/>
    <w:link w:val="18"/>
    <w:uiPriority w:val="9"/>
    <w:rPr>
      <w:rFonts w:ascii="Arial" w:hAnsi="Arial" w:eastAsia="Arial" w:cs="Arial"/>
      <w:b/>
      <w:bCs/>
      <w:sz w:val="26"/>
      <w:szCs w:val="26"/>
    </w:rPr>
  </w:style>
  <w:style w:type="paragraph" w:styleId="20">
    <w:name w:val="Heading 5"/>
    <w:basedOn w:val="625"/>
    <w:next w:val="62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27"/>
    <w:link w:val="20"/>
    <w:uiPriority w:val="9"/>
    <w:rPr>
      <w:rFonts w:ascii="Arial" w:hAnsi="Arial" w:eastAsia="Arial" w:cs="Arial"/>
      <w:b/>
      <w:bCs/>
      <w:sz w:val="24"/>
      <w:szCs w:val="24"/>
    </w:rPr>
  </w:style>
  <w:style w:type="paragraph" w:styleId="22">
    <w:name w:val="Heading 6"/>
    <w:basedOn w:val="625"/>
    <w:next w:val="62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27"/>
    <w:link w:val="22"/>
    <w:uiPriority w:val="9"/>
    <w:rPr>
      <w:rFonts w:ascii="Arial" w:hAnsi="Arial" w:eastAsia="Arial" w:cs="Arial"/>
      <w:b/>
      <w:bCs/>
      <w:sz w:val="22"/>
      <w:szCs w:val="22"/>
    </w:rPr>
  </w:style>
  <w:style w:type="paragraph" w:styleId="24">
    <w:name w:val="Heading 7"/>
    <w:basedOn w:val="625"/>
    <w:next w:val="62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27"/>
    <w:link w:val="24"/>
    <w:uiPriority w:val="9"/>
    <w:rPr>
      <w:rFonts w:ascii="Arial" w:hAnsi="Arial" w:eastAsia="Arial" w:cs="Arial"/>
      <w:b/>
      <w:bCs/>
      <w:i/>
      <w:iCs/>
      <w:sz w:val="22"/>
      <w:szCs w:val="22"/>
    </w:rPr>
  </w:style>
  <w:style w:type="paragraph" w:styleId="26">
    <w:name w:val="Heading 8"/>
    <w:basedOn w:val="625"/>
    <w:next w:val="62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27"/>
    <w:link w:val="26"/>
    <w:uiPriority w:val="9"/>
    <w:rPr>
      <w:rFonts w:ascii="Arial" w:hAnsi="Arial" w:eastAsia="Arial" w:cs="Arial"/>
      <w:i/>
      <w:iCs/>
      <w:sz w:val="22"/>
      <w:szCs w:val="22"/>
    </w:rPr>
  </w:style>
  <w:style w:type="paragraph" w:styleId="28">
    <w:name w:val="Heading 9"/>
    <w:basedOn w:val="625"/>
    <w:next w:val="62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27"/>
    <w:link w:val="28"/>
    <w:uiPriority w:val="9"/>
    <w:rPr>
      <w:rFonts w:ascii="Arial" w:hAnsi="Arial" w:eastAsia="Arial" w:cs="Arial"/>
      <w:i/>
      <w:iCs/>
      <w:sz w:val="21"/>
      <w:szCs w:val="21"/>
    </w:rPr>
  </w:style>
  <w:style w:type="paragraph" w:styleId="30">
    <w:name w:val="List Paragraph"/>
    <w:basedOn w:val="62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25"/>
    <w:next w:val="625"/>
    <w:link w:val="34"/>
    <w:uiPriority w:val="10"/>
    <w:qFormat/>
    <w:pPr>
      <w:contextualSpacing/>
      <w:spacing w:before="300" w:after="200"/>
    </w:pPr>
    <w:rPr>
      <w:sz w:val="48"/>
      <w:szCs w:val="48"/>
    </w:rPr>
  </w:style>
  <w:style w:type="character" w:styleId="34">
    <w:name w:val="Title Char"/>
    <w:basedOn w:val="627"/>
    <w:link w:val="33"/>
    <w:uiPriority w:val="10"/>
    <w:rPr>
      <w:sz w:val="48"/>
      <w:szCs w:val="48"/>
    </w:rPr>
  </w:style>
  <w:style w:type="paragraph" w:styleId="35">
    <w:name w:val="Subtitle"/>
    <w:basedOn w:val="625"/>
    <w:next w:val="625"/>
    <w:link w:val="36"/>
    <w:uiPriority w:val="11"/>
    <w:qFormat/>
    <w:pPr>
      <w:spacing w:before="200" w:after="200"/>
    </w:pPr>
    <w:rPr>
      <w:sz w:val="24"/>
      <w:szCs w:val="24"/>
    </w:rPr>
  </w:style>
  <w:style w:type="character" w:styleId="36">
    <w:name w:val="Subtitle Char"/>
    <w:basedOn w:val="627"/>
    <w:link w:val="35"/>
    <w:uiPriority w:val="11"/>
    <w:rPr>
      <w:sz w:val="24"/>
      <w:szCs w:val="24"/>
    </w:rPr>
  </w:style>
  <w:style w:type="paragraph" w:styleId="37">
    <w:name w:val="Quote"/>
    <w:basedOn w:val="625"/>
    <w:next w:val="625"/>
    <w:link w:val="38"/>
    <w:uiPriority w:val="29"/>
    <w:qFormat/>
    <w:pPr>
      <w:ind w:left="720" w:right="720"/>
    </w:pPr>
    <w:rPr>
      <w:i/>
    </w:rPr>
  </w:style>
  <w:style w:type="character" w:styleId="38">
    <w:name w:val="Quote Char"/>
    <w:link w:val="37"/>
    <w:uiPriority w:val="29"/>
    <w:rPr>
      <w:i/>
    </w:rPr>
  </w:style>
  <w:style w:type="paragraph" w:styleId="39">
    <w:name w:val="Intense Quote"/>
    <w:basedOn w:val="625"/>
    <w:next w:val="62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27"/>
    <w:link w:val="634"/>
    <w:uiPriority w:val="99"/>
  </w:style>
  <w:style w:type="character" w:styleId="44">
    <w:name w:val="Footer Char"/>
    <w:basedOn w:val="627"/>
    <w:link w:val="633"/>
    <w:uiPriority w:val="99"/>
  </w:style>
  <w:style w:type="paragraph" w:styleId="45">
    <w:name w:val="Caption"/>
    <w:basedOn w:val="625"/>
    <w:next w:val="625"/>
    <w:uiPriority w:val="35"/>
    <w:semiHidden/>
    <w:unhideWhenUsed/>
    <w:qFormat/>
    <w:pPr>
      <w:spacing w:line="276" w:lineRule="auto"/>
    </w:pPr>
    <w:rPr>
      <w:b/>
      <w:bCs/>
      <w:color w:val="4f81bd" w:themeColor="accent1"/>
      <w:sz w:val="18"/>
      <w:szCs w:val="18"/>
    </w:rPr>
  </w:style>
  <w:style w:type="character" w:styleId="46">
    <w:name w:val="Caption Char"/>
    <w:basedOn w:val="45"/>
    <w:link w:val="633"/>
    <w:uiPriority w:val="99"/>
  </w:style>
  <w:style w:type="table" w:styleId="47">
    <w:name w:val="Table Grid"/>
    <w:basedOn w:val="62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2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2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2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2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2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2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2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2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2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2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2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2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2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2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2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2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2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2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2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2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2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2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2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2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2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2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2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2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2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2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2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2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2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2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2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2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2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2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2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2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2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2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2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2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2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2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2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2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2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2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2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2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2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2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2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2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2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2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2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2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2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2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2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2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2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2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2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2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2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2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2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2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2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2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2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2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2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2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2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2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2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2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2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2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2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2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2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2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2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2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2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2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2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2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2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2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2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2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2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2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2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2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2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2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2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27"/>
    <w:uiPriority w:val="99"/>
    <w:unhideWhenUsed/>
    <w:rPr>
      <w:vertAlign w:val="superscript"/>
    </w:rPr>
  </w:style>
  <w:style w:type="paragraph" w:styleId="177">
    <w:name w:val="endnote text"/>
    <w:basedOn w:val="62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27"/>
    <w:uiPriority w:val="99"/>
    <w:semiHidden/>
    <w:unhideWhenUsed/>
    <w:rPr>
      <w:vertAlign w:val="superscript"/>
    </w:rPr>
  </w:style>
  <w:style w:type="paragraph" w:styleId="180">
    <w:name w:val="toc 1"/>
    <w:basedOn w:val="625"/>
    <w:next w:val="625"/>
    <w:uiPriority w:val="39"/>
    <w:unhideWhenUsed/>
    <w:pPr>
      <w:ind w:left="0" w:right="0" w:firstLine="0"/>
      <w:spacing w:after="57"/>
    </w:pPr>
  </w:style>
  <w:style w:type="paragraph" w:styleId="181">
    <w:name w:val="toc 2"/>
    <w:basedOn w:val="625"/>
    <w:next w:val="625"/>
    <w:uiPriority w:val="39"/>
    <w:unhideWhenUsed/>
    <w:pPr>
      <w:ind w:left="283" w:right="0" w:firstLine="0"/>
      <w:spacing w:after="57"/>
    </w:pPr>
  </w:style>
  <w:style w:type="paragraph" w:styleId="182">
    <w:name w:val="toc 3"/>
    <w:basedOn w:val="625"/>
    <w:next w:val="625"/>
    <w:uiPriority w:val="39"/>
    <w:unhideWhenUsed/>
    <w:pPr>
      <w:ind w:left="567" w:right="0" w:firstLine="0"/>
      <w:spacing w:after="57"/>
    </w:pPr>
  </w:style>
  <w:style w:type="paragraph" w:styleId="183">
    <w:name w:val="toc 4"/>
    <w:basedOn w:val="625"/>
    <w:next w:val="625"/>
    <w:uiPriority w:val="39"/>
    <w:unhideWhenUsed/>
    <w:pPr>
      <w:ind w:left="850" w:right="0" w:firstLine="0"/>
      <w:spacing w:after="57"/>
    </w:pPr>
  </w:style>
  <w:style w:type="paragraph" w:styleId="184">
    <w:name w:val="toc 5"/>
    <w:basedOn w:val="625"/>
    <w:next w:val="625"/>
    <w:uiPriority w:val="39"/>
    <w:unhideWhenUsed/>
    <w:pPr>
      <w:ind w:left="1134" w:right="0" w:firstLine="0"/>
      <w:spacing w:after="57"/>
    </w:pPr>
  </w:style>
  <w:style w:type="paragraph" w:styleId="185">
    <w:name w:val="toc 6"/>
    <w:basedOn w:val="625"/>
    <w:next w:val="625"/>
    <w:uiPriority w:val="39"/>
    <w:unhideWhenUsed/>
    <w:pPr>
      <w:ind w:left="1417" w:right="0" w:firstLine="0"/>
      <w:spacing w:after="57"/>
    </w:pPr>
  </w:style>
  <w:style w:type="paragraph" w:styleId="186">
    <w:name w:val="toc 7"/>
    <w:basedOn w:val="625"/>
    <w:next w:val="625"/>
    <w:uiPriority w:val="39"/>
    <w:unhideWhenUsed/>
    <w:pPr>
      <w:ind w:left="1701" w:right="0" w:firstLine="0"/>
      <w:spacing w:after="57"/>
    </w:pPr>
  </w:style>
  <w:style w:type="paragraph" w:styleId="187">
    <w:name w:val="toc 8"/>
    <w:basedOn w:val="625"/>
    <w:next w:val="625"/>
    <w:uiPriority w:val="39"/>
    <w:unhideWhenUsed/>
    <w:pPr>
      <w:ind w:left="1984" w:right="0" w:firstLine="0"/>
      <w:spacing w:after="57"/>
    </w:pPr>
  </w:style>
  <w:style w:type="paragraph" w:styleId="188">
    <w:name w:val="toc 9"/>
    <w:basedOn w:val="625"/>
    <w:next w:val="62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25"/>
    <w:next w:val="625"/>
    <w:uiPriority w:val="99"/>
    <w:unhideWhenUsed/>
    <w:pPr>
      <w:spacing w:after="0" w:afterAutospacing="0"/>
    </w:pPr>
  </w:style>
  <w:style w:type="paragraph" w:styleId="625" w:default="1">
    <w:name w:val="Normal"/>
    <w:next w:val="629"/>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26">
    <w:name w:val="Heading 2"/>
    <w:basedOn w:val="625"/>
    <w:next w:val="625"/>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627" w:default="1">
    <w:name w:val="Default Paragraph Font"/>
    <w:uiPriority w:val="1"/>
    <w:semiHidden/>
    <w:unhideWhenUsed/>
    <w:qFormat/>
  </w:style>
  <w:style w:type="table" w:styleId="628" w:default="1">
    <w:name w:val="Normal Table"/>
    <w:uiPriority w:val="99"/>
    <w:semiHidden/>
    <w:unhideWhenUsed/>
    <w:qFormat/>
    <w:tblPr>
      <w:tblCellMar>
        <w:left w:w="108" w:type="dxa"/>
        <w:top w:w="0" w:type="dxa"/>
        <w:right w:w="108" w:type="dxa"/>
        <w:bottom w:w="0" w:type="dxa"/>
      </w:tblCellMar>
    </w:tblPr>
  </w:style>
  <w:style w:type="paragraph" w:styleId="629">
    <w:name w:val="Body Text First Indent"/>
    <w:basedOn w:val="630"/>
    <w:uiPriority w:val="0"/>
    <w:qFormat/>
    <w:pPr>
      <w:ind w:firstLine="200"/>
      <w:spacing w:line="360" w:lineRule="auto"/>
    </w:pPr>
    <w:rPr>
      <w:rFonts w:ascii="仿宋_GB2312" w:eastAsia="仿宋_GB2312"/>
      <w:sz w:val="30"/>
      <w:szCs w:val="30"/>
    </w:rPr>
  </w:style>
  <w:style w:type="paragraph" w:styleId="630">
    <w:name w:val="Body Text"/>
    <w:basedOn w:val="625"/>
    <w:uiPriority w:val="0"/>
    <w:unhideWhenUsed/>
    <w:qFormat/>
    <w:pPr>
      <w:spacing w:after="120"/>
    </w:pPr>
    <w:rPr>
      <w:rFonts w:ascii="Calibri" w:hAnsi="Calibri"/>
      <w:szCs w:val="22"/>
    </w:rPr>
  </w:style>
  <w:style w:type="paragraph" w:styleId="631">
    <w:name w:val="annotation text"/>
    <w:basedOn w:val="625"/>
    <w:uiPriority w:val="0"/>
    <w:qFormat/>
    <w:pPr>
      <w:jc w:val="left"/>
    </w:pPr>
  </w:style>
  <w:style w:type="paragraph" w:styleId="632">
    <w:name w:val="Plain Text"/>
    <w:basedOn w:val="625"/>
    <w:uiPriority w:val="0"/>
    <w:unhideWhenUsed/>
    <w:qFormat/>
    <w:rPr>
      <w:rFonts w:ascii="宋体" w:hAnsi="Courier New" w:cs="Courier New"/>
      <w:szCs w:val="21"/>
    </w:rPr>
  </w:style>
  <w:style w:type="paragraph" w:styleId="633">
    <w:name w:val="Footer"/>
    <w:basedOn w:val="625"/>
    <w:link w:val="639"/>
    <w:uiPriority w:val="0"/>
    <w:qFormat/>
    <w:pPr>
      <w:jc w:val="left"/>
      <w:tabs>
        <w:tab w:val="center" w:pos="4153" w:leader="none"/>
        <w:tab w:val="right" w:pos="8306" w:leader="none"/>
      </w:tabs>
    </w:pPr>
    <w:rPr>
      <w:sz w:val="18"/>
      <w:szCs w:val="18"/>
    </w:rPr>
  </w:style>
  <w:style w:type="paragraph" w:styleId="634">
    <w:name w:val="Header"/>
    <w:basedOn w:val="625"/>
    <w:link w:val="638"/>
    <w:uiPriority w:val="0"/>
    <w:qFormat/>
    <w:pPr>
      <w:jc w:val="center"/>
      <w:tabs>
        <w:tab w:val="center" w:pos="4153" w:leader="none"/>
        <w:tab w:val="right" w:pos="8306" w:leader="none"/>
      </w:tabs>
      <w:pBdr>
        <w:bottom w:val="single" w:color="auto" w:sz="6" w:space="1"/>
      </w:pBdr>
    </w:pPr>
    <w:rPr>
      <w:sz w:val="18"/>
      <w:szCs w:val="18"/>
    </w:rPr>
  </w:style>
  <w:style w:type="paragraph" w:styleId="635">
    <w:name w:val="Normal (Web)"/>
    <w:basedOn w:val="625"/>
    <w:uiPriority w:val="0"/>
    <w:qFormat/>
    <w:pPr>
      <w:jc w:val="left"/>
      <w:spacing w:beforeAutospacing="1" w:afterAutospacing="1"/>
    </w:pPr>
    <w:rPr>
      <w:rFonts w:cs="Times New Roman"/>
      <w:sz w:val="24"/>
    </w:rPr>
  </w:style>
  <w:style w:type="character" w:styleId="636">
    <w:name w:val="Strong"/>
    <w:basedOn w:val="627"/>
    <w:uiPriority w:val="0"/>
    <w:qFormat/>
    <w:rPr>
      <w:b/>
    </w:rPr>
  </w:style>
  <w:style w:type="paragraph" w:styleId="637" w:customStyle="1">
    <w:name w:val="Default"/>
    <w:basedOn w:val="625"/>
    <w:uiPriority w:val="0"/>
    <w:semiHidden/>
    <w:qFormat/>
    <w:pPr>
      <w:jc w:val="left"/>
    </w:pPr>
    <w:rPr>
      <w:rFonts w:ascii="宋体" w:hAnsi="Calibri" w:cs="宋体"/>
      <w:color w:val="000000"/>
      <w:sz w:val="24"/>
    </w:rPr>
  </w:style>
  <w:style w:type="character" w:styleId="638" w:customStyle="1">
    <w:name w:val="页眉 Char"/>
    <w:basedOn w:val="627"/>
    <w:link w:val="634"/>
    <w:uiPriority w:val="0"/>
    <w:qFormat/>
    <w:rPr>
      <w:rFonts w:asciiTheme="minorHAnsi" w:hAnsiTheme="minorHAnsi" w:eastAsiaTheme="minorEastAsia" w:cstheme="minorBidi"/>
      <w:sz w:val="18"/>
      <w:szCs w:val="18"/>
    </w:rPr>
  </w:style>
  <w:style w:type="character" w:styleId="639" w:customStyle="1">
    <w:name w:val="页脚 Char"/>
    <w:basedOn w:val="627"/>
    <w:link w:val="633"/>
    <w:uiPriority w:val="0"/>
    <w:qFormat/>
    <w:rPr>
      <w:rFonts w:asciiTheme="minorHAnsi" w:hAnsiTheme="minorHAnsi" w:eastAsiaTheme="minorEastAsia" w:cstheme="minorBidi"/>
      <w:sz w:val="18"/>
      <w:szCs w:val="18"/>
    </w:rPr>
  </w:style>
  <w:style w:type="paragraph" w:styleId="64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641" w:customStyle="1">
    <w:name w:val="页脚1"/>
    <w:basedOn w:val="625"/>
    <w:uiPriority w:val="99"/>
    <w:unhideWhenUsed/>
    <w:qFormat/>
    <w:pPr>
      <w:jc w:val="left"/>
      <w:tabs>
        <w:tab w:val="center" w:pos="4153" w:leader="none"/>
        <w:tab w:val="right" w:pos="8306" w:leader="none"/>
      </w:tabs>
    </w:pPr>
    <w:rPr>
      <w:sz w:val="18"/>
      <w:szCs w:val="18"/>
    </w:rPr>
  </w:style>
  <w:style w:type="paragraph" w:styleId="642" w:customStyle="1">
    <w:name w:val="普通正文"/>
    <w:basedOn w:val="625"/>
    <w:uiPriority w:val="0"/>
    <w:qFormat/>
    <w:pPr>
      <w:ind w:firstLine="480"/>
      <w:jc w:val="left"/>
      <w:spacing w:before="120" w:after="120" w:line="360" w:lineRule="auto"/>
    </w:pPr>
    <w:rPr>
      <w:rFonts w:ascii="Arial" w:hAnsi="Arial" w:eastAsia="等线" w:cs="Arial"/>
      <w:sz w:val="24"/>
      <w:szCs w:val="24"/>
    </w:rPr>
  </w:style>
  <w:style w:type="paragraph" w:styleId="643" w:customStyle="1">
    <w:name w:val="正文首行缩进 21"/>
    <w:basedOn w:val="644"/>
    <w:uiPriority w:val="0"/>
    <w:qFormat/>
    <w:pPr>
      <w:ind w:firstLine="420"/>
    </w:pPr>
  </w:style>
  <w:style w:type="paragraph" w:styleId="644" w:customStyle="1">
    <w:name w:val="正文文本缩进1"/>
    <w:basedOn w:val="625"/>
    <w:uiPriority w:val="0"/>
    <w:qFormat/>
    <w:pPr>
      <w:ind w:left="420"/>
      <w:spacing w:after="120"/>
    </w:pPr>
  </w:style>
  <w:style w:type="character" w:styleId="645" w:customStyle="1">
    <w:name w:val="NormalCharacter"/>
    <w:uiPriority w:val="0"/>
    <w:qFormat/>
  </w:style>
  <w:style w:type="character" w:styleId="646" w:customStyle="1">
    <w:name w:val="font41"/>
    <w:basedOn w:val="627"/>
    <w:uiPriority w:val="0"/>
    <w:qFormat/>
    <w:rPr>
      <w:rFonts w:hint="default" w:ascii="Times New Roman" w:hAnsi="Times New Roman" w:cs="Times New Roman"/>
      <w:color w:val="000000"/>
      <w:sz w:val="20"/>
      <w:szCs w:val="20"/>
      <w:u w:val="none"/>
    </w:rPr>
  </w:style>
  <w:style w:type="character" w:styleId="647" w:customStyle="1">
    <w:name w:val="font31"/>
    <w:basedOn w:val="627"/>
    <w:uiPriority w:val="0"/>
    <w:qFormat/>
    <w:rPr>
      <w:rFonts w:hint="eastAsia" w:ascii="宋体" w:hAnsi="宋体" w:eastAsia="宋体" w:cs="宋体"/>
      <w:color w:val="000000"/>
      <w:sz w:val="20"/>
      <w:szCs w:val="20"/>
      <w:u w:val="none"/>
    </w:rPr>
  </w:style>
  <w:style w:type="numbering" w:styleId="199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李翠兰</cp:lastModifiedBy>
  <cp:revision>120</cp:revision>
  <dcterms:created xsi:type="dcterms:W3CDTF">2014-10-29T12:08:00Z</dcterms:created>
  <dcterms:modified xsi:type="dcterms:W3CDTF">2025-07-17T07:36:00Z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2CE725C660F74BC6B9F9F213959B39C7_13</vt:lpwstr>
  </property>
  <property fmtid="{D5CDD505-2E9C-101B-9397-08002B2CF9AE}" pid="4" name="KSOTemplateDocerSaveRecord">
    <vt:lpwstr>eyJoZGlkIjoiYTQwMmNkMzY1Mzg3M2Y1OWNkNjAzOGE5YWM0NjNiNmMiLCJ1c2VySWQiOiI1Nzk3MzIxOTcifQ==</vt:lpwstr>
  </property>
</Properties>
</file>