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849AAD">
      <w:pPr>
        <w:pStyle w:val="14"/>
        <w:spacing w:before="120" w:beforeAutospacing="0" w:after="120" w:afterAutospacing="0" w:line="360" w:lineRule="auto"/>
        <w:outlineLvl w:val="9"/>
        <w:rPr>
          <w:rFonts w:ascii="宋体" w:hAnsi="宋体"/>
        </w:rPr>
      </w:pPr>
    </w:p>
    <w:p w14:paraId="56E4F486">
      <w:pPr>
        <w:pStyle w:val="14"/>
        <w:spacing w:before="120" w:beforeAutospacing="0" w:after="120" w:afterAutospacing="0" w:line="360" w:lineRule="auto"/>
        <w:jc w:val="center"/>
        <w:outlineLvl w:val="9"/>
        <w:rPr>
          <w:rFonts w:ascii="宋体" w:hAnsi="宋体" w:cs="Arial"/>
          <w:b/>
          <w:color w:val="000000"/>
          <w:sz w:val="84"/>
          <w:szCs w:val="84"/>
        </w:rPr>
      </w:pPr>
      <w:r>
        <w:rPr>
          <w:rFonts w:ascii="宋体" w:hAnsi="宋体" w:cs="Arial"/>
          <w:b/>
          <w:color w:val="000000"/>
          <w:sz w:val="84"/>
          <w:szCs w:val="84"/>
        </w:rPr>
        <w:t>招 标 文 件</w:t>
      </w:r>
    </w:p>
    <w:p w14:paraId="2741AAE9">
      <w:pPr>
        <w:pStyle w:val="14"/>
        <w:spacing w:before="120" w:beforeAutospacing="0" w:after="120" w:afterAutospacing="0" w:line="360" w:lineRule="auto"/>
        <w:outlineLvl w:val="9"/>
        <w:rPr>
          <w:rFonts w:ascii="宋体" w:hAnsi="宋体" w:cs="Arial"/>
          <w:b/>
          <w:color w:val="000000"/>
          <w:sz w:val="84"/>
          <w:szCs w:val="84"/>
        </w:rPr>
      </w:pPr>
    </w:p>
    <w:p w14:paraId="6EA98D55">
      <w:pPr>
        <w:pStyle w:val="14"/>
        <w:spacing w:before="120" w:beforeAutospacing="0" w:after="120" w:afterAutospacing="0" w:line="360" w:lineRule="auto"/>
        <w:outlineLvl w:val="9"/>
        <w:rPr>
          <w:rFonts w:ascii="宋体" w:hAnsi="宋体" w:cs="Arial"/>
          <w:b/>
          <w:color w:val="000000"/>
          <w:sz w:val="84"/>
          <w:szCs w:val="84"/>
        </w:rPr>
      </w:pPr>
    </w:p>
    <w:p w14:paraId="4F246B3B">
      <w:pPr>
        <w:pStyle w:val="14"/>
        <w:spacing w:before="120" w:beforeAutospacing="0" w:after="120" w:afterAutospacing="0" w:line="360" w:lineRule="auto"/>
        <w:ind w:firstLine="964"/>
        <w:outlineLvl w:val="9"/>
        <w:rPr>
          <w:rFonts w:hint="eastAsia" w:ascii="宋体" w:hAnsi="宋体" w:cs="Arial"/>
          <w:b/>
          <w:color w:val="000000"/>
          <w:sz w:val="36"/>
          <w:szCs w:val="36"/>
        </w:rPr>
      </w:pPr>
      <w:r>
        <w:rPr>
          <w:rFonts w:ascii="宋体" w:hAnsi="宋体" w:cs="Arial"/>
          <w:b/>
          <w:color w:val="000000"/>
          <w:sz w:val="36"/>
          <w:szCs w:val="36"/>
        </w:rPr>
        <w:t>项目名称：</w:t>
      </w:r>
      <w:r>
        <w:rPr>
          <w:rFonts w:hint="eastAsia" w:ascii="宋体" w:hAnsi="宋体" w:cs="Arial"/>
          <w:b/>
          <w:color w:val="000000"/>
          <w:sz w:val="36"/>
          <w:szCs w:val="36"/>
        </w:rPr>
        <w:t xml:space="preserve"> 江苏省射阳中学智慧办公系统采购项目</w:t>
      </w:r>
    </w:p>
    <w:p w14:paraId="7128485A">
      <w:pPr>
        <w:pStyle w:val="14"/>
        <w:spacing w:before="120" w:beforeAutospacing="0" w:after="120" w:afterAutospacing="0" w:line="360" w:lineRule="auto"/>
        <w:ind w:firstLine="964"/>
        <w:jc w:val="both"/>
        <w:outlineLvl w:val="9"/>
        <w:rPr>
          <w:rFonts w:hint="default" w:ascii="宋体" w:hAnsi="宋体" w:eastAsia="宋体" w:cs="Arial"/>
          <w:b/>
          <w:color w:val="000000"/>
          <w:sz w:val="36"/>
          <w:szCs w:val="36"/>
          <w:lang w:val="en-US" w:eastAsia="zh-CN"/>
        </w:rPr>
      </w:pPr>
      <w:r>
        <w:rPr>
          <w:rFonts w:ascii="宋体" w:hAnsi="宋体" w:cs="Arial"/>
          <w:b/>
          <w:color w:val="000000"/>
          <w:sz w:val="36"/>
          <w:szCs w:val="36"/>
        </w:rPr>
        <w:t>项目编号：</w:t>
      </w:r>
      <w:r>
        <w:rPr>
          <w:rFonts w:hint="eastAsia" w:ascii="宋体" w:hAnsi="宋体" w:cs="Arial"/>
          <w:b/>
          <w:color w:val="000000"/>
          <w:sz w:val="36"/>
          <w:szCs w:val="36"/>
        </w:rPr>
        <w:t xml:space="preserve"> JSZC-320924-JZCG-G2024-0039</w:t>
      </w:r>
    </w:p>
    <w:p w14:paraId="6156DA64">
      <w:pPr>
        <w:pStyle w:val="14"/>
        <w:spacing w:beforeAutospacing="0" w:afterAutospacing="0" w:line="360" w:lineRule="auto"/>
        <w:outlineLvl w:val="9"/>
        <w:rPr>
          <w:rFonts w:ascii="宋体" w:hAnsi="宋体"/>
          <w:sz w:val="28"/>
          <w:szCs w:val="28"/>
        </w:rPr>
      </w:pPr>
      <w:r>
        <w:rPr>
          <w:rFonts w:ascii="宋体" w:hAnsi="宋体"/>
          <w:sz w:val="28"/>
          <w:szCs w:val="28"/>
        </w:rPr>
        <w:t> </w:t>
      </w:r>
    </w:p>
    <w:p w14:paraId="4307EEFB">
      <w:pPr>
        <w:pStyle w:val="14"/>
        <w:spacing w:beforeAutospacing="0" w:afterAutospacing="0" w:line="360" w:lineRule="auto"/>
        <w:outlineLvl w:val="9"/>
        <w:rPr>
          <w:rFonts w:ascii="宋体" w:hAnsi="宋体"/>
          <w:sz w:val="28"/>
          <w:szCs w:val="28"/>
        </w:rPr>
      </w:pPr>
      <w:r>
        <w:rPr>
          <w:rFonts w:ascii="宋体" w:hAnsi="宋体"/>
          <w:sz w:val="28"/>
          <w:szCs w:val="28"/>
        </w:rPr>
        <w:t> </w:t>
      </w:r>
    </w:p>
    <w:p w14:paraId="5D2955F6">
      <w:pPr>
        <w:pStyle w:val="14"/>
        <w:spacing w:beforeAutospacing="0" w:afterAutospacing="0" w:line="360" w:lineRule="auto"/>
        <w:outlineLvl w:val="9"/>
        <w:rPr>
          <w:rFonts w:ascii="宋体" w:hAnsi="宋体"/>
          <w:sz w:val="28"/>
          <w:szCs w:val="28"/>
        </w:rPr>
      </w:pPr>
      <w:r>
        <w:rPr>
          <w:rFonts w:ascii="宋体" w:hAnsi="宋体"/>
          <w:sz w:val="28"/>
          <w:szCs w:val="28"/>
        </w:rPr>
        <w:t> </w:t>
      </w:r>
    </w:p>
    <w:p w14:paraId="327859DC">
      <w:pPr>
        <w:pStyle w:val="14"/>
        <w:spacing w:beforeAutospacing="0" w:afterAutospacing="0" w:line="360" w:lineRule="auto"/>
        <w:outlineLvl w:val="9"/>
        <w:rPr>
          <w:rFonts w:ascii="宋体" w:hAnsi="宋体"/>
          <w:sz w:val="28"/>
          <w:szCs w:val="28"/>
        </w:rPr>
      </w:pPr>
      <w:r>
        <w:rPr>
          <w:rFonts w:ascii="宋体" w:hAnsi="宋体"/>
          <w:sz w:val="28"/>
          <w:szCs w:val="28"/>
        </w:rPr>
        <w:t> </w:t>
      </w:r>
    </w:p>
    <w:p w14:paraId="0F61C0D8">
      <w:pPr>
        <w:pStyle w:val="14"/>
        <w:spacing w:beforeAutospacing="0" w:afterAutospacing="0" w:line="360" w:lineRule="auto"/>
        <w:outlineLvl w:val="9"/>
        <w:rPr>
          <w:rFonts w:ascii="宋体" w:hAnsi="宋体"/>
          <w:sz w:val="28"/>
          <w:szCs w:val="28"/>
        </w:rPr>
      </w:pPr>
      <w:r>
        <w:rPr>
          <w:rFonts w:ascii="宋体" w:hAnsi="宋体"/>
          <w:sz w:val="28"/>
          <w:szCs w:val="28"/>
        </w:rPr>
        <w:t> </w:t>
      </w:r>
    </w:p>
    <w:p w14:paraId="22D8A65B">
      <w:pPr>
        <w:pStyle w:val="14"/>
        <w:spacing w:beforeAutospacing="0" w:afterAutospacing="0" w:line="360" w:lineRule="auto"/>
        <w:outlineLvl w:val="9"/>
        <w:rPr>
          <w:rFonts w:ascii="宋体" w:hAnsi="宋体"/>
          <w:sz w:val="28"/>
          <w:szCs w:val="28"/>
        </w:rPr>
      </w:pPr>
      <w:r>
        <w:rPr>
          <w:rFonts w:ascii="宋体" w:hAnsi="宋体"/>
          <w:sz w:val="28"/>
          <w:szCs w:val="28"/>
        </w:rPr>
        <w:t> </w:t>
      </w:r>
    </w:p>
    <w:p w14:paraId="097AFF64">
      <w:pPr>
        <w:pStyle w:val="14"/>
        <w:spacing w:before="120" w:beforeAutospacing="0" w:after="120" w:afterAutospacing="0" w:line="360" w:lineRule="auto"/>
        <w:jc w:val="center"/>
        <w:outlineLvl w:val="9"/>
        <w:rPr>
          <w:rFonts w:ascii="宋体" w:hAnsi="宋体" w:cs="Arial"/>
          <w:b/>
          <w:color w:val="000000"/>
          <w:sz w:val="36"/>
          <w:szCs w:val="36"/>
        </w:rPr>
      </w:pPr>
      <w:r>
        <w:rPr>
          <w:rFonts w:hint="eastAsia" w:ascii="宋体" w:hAnsi="宋体" w:cs="Arial"/>
          <w:b/>
          <w:color w:val="000000"/>
          <w:sz w:val="36"/>
          <w:szCs w:val="36"/>
        </w:rPr>
        <w:t>采购单位：江苏省射阳中学</w:t>
      </w:r>
    </w:p>
    <w:p w14:paraId="249BEDF3">
      <w:pPr>
        <w:pStyle w:val="14"/>
        <w:spacing w:before="120" w:beforeAutospacing="0" w:after="120" w:afterAutospacing="0" w:line="360" w:lineRule="auto"/>
        <w:jc w:val="center"/>
        <w:rPr>
          <w:rFonts w:ascii="宋体" w:hAnsi="宋体" w:cs="Arial"/>
          <w:b/>
          <w:color w:val="000000"/>
          <w:sz w:val="36"/>
          <w:szCs w:val="36"/>
        </w:rPr>
      </w:pPr>
    </w:p>
    <w:p w14:paraId="203CFCB3">
      <w:pPr>
        <w:pStyle w:val="14"/>
        <w:spacing w:before="120" w:beforeAutospacing="0" w:after="120" w:afterAutospacing="0" w:line="360" w:lineRule="auto"/>
        <w:jc w:val="center"/>
        <w:rPr>
          <w:rFonts w:hint="default" w:ascii="宋体" w:hAnsi="宋体" w:eastAsia="宋体"/>
          <w:sz w:val="28"/>
          <w:szCs w:val="28"/>
          <w:lang w:val="en-US" w:eastAsia="zh-CN"/>
        </w:rPr>
      </w:pPr>
      <w:r>
        <w:rPr>
          <w:rFonts w:hint="eastAsia" w:ascii="宋体" w:hAnsi="宋体" w:cs="Arial"/>
          <w:b/>
          <w:color w:val="000000"/>
          <w:sz w:val="36"/>
          <w:szCs w:val="36"/>
        </w:rPr>
        <w:t>2024</w:t>
      </w:r>
      <w:r>
        <w:rPr>
          <w:rFonts w:ascii="宋体" w:hAnsi="宋体" w:cs="Arial"/>
          <w:b/>
          <w:color w:val="000000"/>
          <w:sz w:val="36"/>
          <w:szCs w:val="36"/>
        </w:rPr>
        <w:t>年</w:t>
      </w:r>
      <w:r>
        <w:rPr>
          <w:rFonts w:hint="eastAsia" w:ascii="宋体" w:hAnsi="宋体" w:cs="Arial"/>
          <w:b/>
          <w:color w:val="000000"/>
          <w:sz w:val="36"/>
          <w:szCs w:val="36"/>
          <w:lang w:val="en-US" w:eastAsia="zh-CN"/>
        </w:rPr>
        <w:t>12月</w:t>
      </w:r>
    </w:p>
    <w:p w14:paraId="6E544031">
      <w:pPr>
        <w:pStyle w:val="14"/>
        <w:spacing w:before="120" w:beforeAutospacing="0" w:after="120" w:afterAutospacing="0" w:line="360" w:lineRule="auto"/>
        <w:rPr>
          <w:rFonts w:ascii="宋体" w:hAnsi="宋体"/>
        </w:rPr>
      </w:pPr>
      <w:r>
        <w:rPr>
          <w:rFonts w:ascii="宋体" w:hAnsi="宋体" w:cs="Arial"/>
          <w:color w:val="000000"/>
        </w:rPr>
        <w:t xml:space="preserve">                        </w:t>
      </w:r>
    </w:p>
    <w:p w14:paraId="76B23FFF">
      <w:pPr>
        <w:pStyle w:val="14"/>
        <w:spacing w:before="120" w:beforeAutospacing="0" w:after="120" w:afterAutospacing="0" w:line="360" w:lineRule="auto"/>
        <w:jc w:val="center"/>
        <w:rPr>
          <w:rFonts w:ascii="宋体" w:hAnsi="宋体"/>
        </w:rPr>
      </w:pPr>
      <w:r>
        <w:rPr>
          <w:rFonts w:ascii="宋体" w:hAnsi="宋体"/>
          <w:color w:val="000000"/>
          <w:sz w:val="21"/>
          <w:szCs w:val="21"/>
        </w:rPr>
        <w:br w:type="page" w:clear="all"/>
      </w:r>
      <w:r>
        <w:rPr>
          <w:rFonts w:ascii="宋体" w:hAnsi="宋体"/>
          <w:color w:val="000000"/>
          <w:sz w:val="21"/>
          <w:szCs w:val="21"/>
        </w:rPr>
        <w:t> </w:t>
      </w:r>
      <w:bookmarkStart w:id="0" w:name="_Toc120614210"/>
      <w:bookmarkStart w:id="1" w:name="_Toc16938516"/>
      <w:bookmarkStart w:id="2" w:name="_Toc20823272"/>
      <w:bookmarkStart w:id="3" w:name="_Toc513029200"/>
      <w:bookmarkStart w:id="4" w:name="_Toc479757206"/>
      <w:bookmarkStart w:id="5" w:name="_Toc523127445"/>
      <w:r>
        <w:rPr>
          <w:rFonts w:ascii="宋体" w:hAnsi="宋体" w:cs="黑体"/>
          <w:b/>
          <w:color w:val="000000"/>
          <w:sz w:val="44"/>
          <w:szCs w:val="44"/>
        </w:rPr>
        <w:t>总  目  录</w:t>
      </w:r>
      <w:bookmarkEnd w:id="0"/>
      <w:bookmarkEnd w:id="1"/>
      <w:bookmarkEnd w:id="2"/>
      <w:bookmarkEnd w:id="3"/>
      <w:bookmarkEnd w:id="4"/>
      <w:bookmarkEnd w:id="5"/>
    </w:p>
    <w:p w14:paraId="6B2657AA">
      <w:pPr>
        <w:pStyle w:val="14"/>
        <w:spacing w:beforeAutospacing="0" w:afterAutospacing="0" w:line="480" w:lineRule="auto"/>
        <w:jc w:val="both"/>
        <w:rPr>
          <w:rFonts w:ascii="宋体" w:hAnsi="宋体"/>
        </w:rPr>
      </w:pPr>
      <w:r>
        <w:rPr>
          <w:rFonts w:ascii="宋体" w:hAnsi="宋体"/>
        </w:rPr>
        <w:t> </w:t>
      </w:r>
    </w:p>
    <w:sdt>
      <w:sdtPr>
        <w:rPr>
          <w:rFonts w:hint="default" w:ascii="宋体" w:hAnsi="宋体" w:eastAsia="宋体" w:cs="Times New Roman"/>
          <w:sz w:val="21"/>
          <w:szCs w:val="24"/>
          <w:lang w:val="en-US" w:eastAsia="zh-CN" w:bidi="ar-SA"/>
        </w:rPr>
        <w:id w:val="147461780"/>
        <w15:color w:val="DBDBDB"/>
        <w:docPartObj>
          <w:docPartGallery w:val="Table of Contents"/>
          <w:docPartUnique/>
        </w:docPartObj>
      </w:sdtPr>
      <w:sdtEndPr>
        <w:rPr>
          <w:rFonts w:hint="eastAsia" w:ascii="宋体" w:hAnsi="宋体" w:eastAsia="宋体" w:cs="宋体"/>
          <w:sz w:val="36"/>
          <w:szCs w:val="36"/>
          <w:lang w:val="en-US" w:eastAsia="zh-CN" w:bidi="ar-SA"/>
        </w:rPr>
      </w:sdtEndPr>
      <w:sdtContent>
        <w:p w14:paraId="0EF6A2EB">
          <w:pPr>
            <w:spacing w:before="0" w:beforeLines="0" w:after="0" w:afterLines="0" w:line="240" w:lineRule="auto"/>
            <w:ind w:left="0" w:leftChars="0" w:right="0" w:rightChars="0" w:firstLine="0" w:firstLineChars="0"/>
            <w:jc w:val="center"/>
            <w:rPr>
              <w:sz w:val="20"/>
              <w:szCs w:val="22"/>
            </w:rPr>
          </w:pPr>
        </w:p>
        <w:p w14:paraId="4DC2C51B">
          <w:pPr>
            <w:pStyle w:val="5"/>
            <w:tabs>
              <w:tab w:val="right" w:leader="dot" w:pos="9150"/>
            </w:tabs>
            <w:spacing w:line="480" w:lineRule="auto"/>
            <w:rPr>
              <w:rFonts w:hint="eastAsia" w:ascii="宋体" w:hAnsi="宋体" w:eastAsia="宋体" w:cs="宋体"/>
              <w:sz w:val="40"/>
              <w:szCs w:val="40"/>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TOC \o "1-1" \h \u </w:instrText>
          </w:r>
          <w:r>
            <w:rPr>
              <w:rFonts w:hint="eastAsia" w:ascii="宋体" w:hAnsi="宋体" w:eastAsia="宋体" w:cs="宋体"/>
              <w:sz w:val="32"/>
              <w:szCs w:val="32"/>
            </w:rPr>
            <w:fldChar w:fldCharType="separate"/>
          </w:r>
          <w:r>
            <w:rPr>
              <w:rFonts w:hint="eastAsia" w:ascii="宋体" w:hAnsi="宋体" w:eastAsia="宋体" w:cs="宋体"/>
              <w:sz w:val="40"/>
              <w:szCs w:val="40"/>
            </w:rPr>
            <w:fldChar w:fldCharType="begin"/>
          </w:r>
          <w:r>
            <w:rPr>
              <w:rFonts w:hint="eastAsia" w:ascii="宋体" w:hAnsi="宋体" w:eastAsia="宋体" w:cs="宋体"/>
              <w:sz w:val="40"/>
              <w:szCs w:val="40"/>
            </w:rPr>
            <w:instrText xml:space="preserve"> HYPERLINK \l _Toc11912 </w:instrText>
          </w:r>
          <w:r>
            <w:rPr>
              <w:rFonts w:hint="eastAsia" w:ascii="宋体" w:hAnsi="宋体" w:eastAsia="宋体" w:cs="宋体"/>
              <w:sz w:val="40"/>
              <w:szCs w:val="40"/>
            </w:rPr>
            <w:fldChar w:fldCharType="separate"/>
          </w:r>
          <w:r>
            <w:rPr>
              <w:rFonts w:hint="eastAsia" w:ascii="宋体" w:hAnsi="宋体" w:eastAsia="宋体" w:cs="宋体"/>
              <w:sz w:val="40"/>
              <w:szCs w:val="40"/>
            </w:rPr>
            <w:t>第一章  招标公告</w:t>
          </w:r>
          <w:r>
            <w:rPr>
              <w:rFonts w:hint="eastAsia" w:ascii="宋体" w:hAnsi="宋体" w:eastAsia="宋体" w:cs="宋体"/>
              <w:sz w:val="40"/>
              <w:szCs w:val="40"/>
            </w:rPr>
            <w:tab/>
          </w:r>
          <w:r>
            <w:rPr>
              <w:rFonts w:hint="eastAsia" w:ascii="宋体" w:hAnsi="宋体" w:eastAsia="宋体" w:cs="宋体"/>
              <w:sz w:val="40"/>
              <w:szCs w:val="40"/>
            </w:rPr>
            <w:fldChar w:fldCharType="begin"/>
          </w:r>
          <w:r>
            <w:rPr>
              <w:rFonts w:hint="eastAsia" w:ascii="宋体" w:hAnsi="宋体" w:eastAsia="宋体" w:cs="宋体"/>
              <w:sz w:val="40"/>
              <w:szCs w:val="40"/>
            </w:rPr>
            <w:instrText xml:space="preserve"> PAGEREF _Toc11912 \h </w:instrText>
          </w:r>
          <w:r>
            <w:rPr>
              <w:rFonts w:hint="eastAsia" w:ascii="宋体" w:hAnsi="宋体" w:eastAsia="宋体" w:cs="宋体"/>
              <w:sz w:val="40"/>
              <w:szCs w:val="40"/>
            </w:rPr>
            <w:fldChar w:fldCharType="separate"/>
          </w:r>
          <w:r>
            <w:rPr>
              <w:rFonts w:hint="eastAsia" w:ascii="宋体" w:hAnsi="宋体" w:eastAsia="宋体" w:cs="宋体"/>
              <w:sz w:val="40"/>
              <w:szCs w:val="40"/>
            </w:rPr>
            <w:t>3</w:t>
          </w:r>
          <w:r>
            <w:rPr>
              <w:rFonts w:hint="eastAsia" w:ascii="宋体" w:hAnsi="宋体" w:eastAsia="宋体" w:cs="宋体"/>
              <w:sz w:val="40"/>
              <w:szCs w:val="40"/>
            </w:rPr>
            <w:fldChar w:fldCharType="end"/>
          </w:r>
          <w:r>
            <w:rPr>
              <w:rFonts w:hint="eastAsia" w:ascii="宋体" w:hAnsi="宋体" w:eastAsia="宋体" w:cs="宋体"/>
              <w:sz w:val="40"/>
              <w:szCs w:val="40"/>
            </w:rPr>
            <w:fldChar w:fldCharType="end"/>
          </w:r>
        </w:p>
        <w:p w14:paraId="1BFC68B2">
          <w:pPr>
            <w:pStyle w:val="5"/>
            <w:tabs>
              <w:tab w:val="right" w:leader="dot" w:pos="9150"/>
            </w:tabs>
            <w:spacing w:line="480" w:lineRule="auto"/>
            <w:rPr>
              <w:rFonts w:hint="eastAsia" w:ascii="宋体" w:hAnsi="宋体" w:eastAsia="宋体" w:cs="宋体"/>
              <w:sz w:val="40"/>
              <w:szCs w:val="40"/>
            </w:rPr>
          </w:pPr>
          <w:r>
            <w:rPr>
              <w:rFonts w:hint="eastAsia" w:ascii="宋体" w:hAnsi="宋体" w:eastAsia="宋体" w:cs="宋体"/>
              <w:sz w:val="40"/>
              <w:szCs w:val="40"/>
            </w:rPr>
            <w:fldChar w:fldCharType="begin"/>
          </w:r>
          <w:r>
            <w:rPr>
              <w:rFonts w:hint="eastAsia" w:ascii="宋体" w:hAnsi="宋体" w:eastAsia="宋体" w:cs="宋体"/>
              <w:sz w:val="40"/>
              <w:szCs w:val="40"/>
            </w:rPr>
            <w:instrText xml:space="preserve"> HYPERLINK \l _Toc15869 </w:instrText>
          </w:r>
          <w:r>
            <w:rPr>
              <w:rFonts w:hint="eastAsia" w:ascii="宋体" w:hAnsi="宋体" w:eastAsia="宋体" w:cs="宋体"/>
              <w:sz w:val="40"/>
              <w:szCs w:val="40"/>
            </w:rPr>
            <w:fldChar w:fldCharType="separate"/>
          </w:r>
          <w:r>
            <w:rPr>
              <w:rFonts w:hint="eastAsia" w:ascii="宋体" w:hAnsi="宋体" w:eastAsia="宋体" w:cs="宋体"/>
              <w:sz w:val="40"/>
              <w:szCs w:val="40"/>
            </w:rPr>
            <w:t>第二章</w:t>
          </w:r>
          <w:r>
            <w:rPr>
              <w:rFonts w:hint="eastAsia" w:ascii="宋体" w:hAnsi="宋体" w:eastAsia="宋体" w:cs="宋体"/>
              <w:sz w:val="40"/>
              <w:szCs w:val="40"/>
              <w:lang w:val="en-US" w:eastAsia="zh-CN"/>
            </w:rPr>
            <w:t xml:space="preserve">   </w:t>
          </w:r>
          <w:r>
            <w:rPr>
              <w:rFonts w:hint="eastAsia" w:ascii="宋体" w:hAnsi="宋体" w:eastAsia="宋体" w:cs="宋体"/>
              <w:sz w:val="40"/>
              <w:szCs w:val="40"/>
            </w:rPr>
            <w:t>投标人</w:t>
          </w:r>
          <w:r>
            <w:rPr>
              <w:rFonts w:hint="eastAsia" w:ascii="宋体" w:hAnsi="宋体" w:eastAsia="宋体" w:cs="宋体"/>
              <w:sz w:val="40"/>
              <w:szCs w:val="40"/>
              <w:lang w:val="en-US" w:eastAsia="zh-CN"/>
            </w:rPr>
            <w:t>须知</w:t>
          </w:r>
          <w:r>
            <w:rPr>
              <w:rFonts w:hint="eastAsia" w:ascii="宋体" w:hAnsi="宋体" w:eastAsia="宋体" w:cs="宋体"/>
              <w:sz w:val="40"/>
              <w:szCs w:val="40"/>
            </w:rPr>
            <w:tab/>
          </w:r>
          <w:r>
            <w:rPr>
              <w:rFonts w:hint="eastAsia" w:ascii="宋体" w:hAnsi="宋体" w:eastAsia="宋体" w:cs="宋体"/>
              <w:sz w:val="40"/>
              <w:szCs w:val="40"/>
            </w:rPr>
            <w:fldChar w:fldCharType="begin"/>
          </w:r>
          <w:r>
            <w:rPr>
              <w:rFonts w:hint="eastAsia" w:ascii="宋体" w:hAnsi="宋体" w:eastAsia="宋体" w:cs="宋体"/>
              <w:sz w:val="40"/>
              <w:szCs w:val="40"/>
            </w:rPr>
            <w:instrText xml:space="preserve"> PAGEREF _Toc15869 \h </w:instrText>
          </w:r>
          <w:r>
            <w:rPr>
              <w:rFonts w:hint="eastAsia" w:ascii="宋体" w:hAnsi="宋体" w:eastAsia="宋体" w:cs="宋体"/>
              <w:sz w:val="40"/>
              <w:szCs w:val="40"/>
            </w:rPr>
            <w:fldChar w:fldCharType="separate"/>
          </w:r>
          <w:r>
            <w:rPr>
              <w:rFonts w:hint="eastAsia" w:ascii="宋体" w:hAnsi="宋体" w:eastAsia="宋体" w:cs="宋体"/>
              <w:sz w:val="40"/>
              <w:szCs w:val="40"/>
            </w:rPr>
            <w:t>7</w:t>
          </w:r>
          <w:r>
            <w:rPr>
              <w:rFonts w:hint="eastAsia" w:ascii="宋体" w:hAnsi="宋体" w:eastAsia="宋体" w:cs="宋体"/>
              <w:sz w:val="40"/>
              <w:szCs w:val="40"/>
            </w:rPr>
            <w:fldChar w:fldCharType="end"/>
          </w:r>
          <w:r>
            <w:rPr>
              <w:rFonts w:hint="eastAsia" w:ascii="宋体" w:hAnsi="宋体" w:eastAsia="宋体" w:cs="宋体"/>
              <w:sz w:val="40"/>
              <w:szCs w:val="40"/>
            </w:rPr>
            <w:fldChar w:fldCharType="end"/>
          </w:r>
        </w:p>
        <w:p w14:paraId="0872FD96">
          <w:pPr>
            <w:pStyle w:val="5"/>
            <w:tabs>
              <w:tab w:val="right" w:leader="dot" w:pos="9150"/>
            </w:tabs>
            <w:spacing w:line="480" w:lineRule="auto"/>
            <w:rPr>
              <w:rFonts w:hint="eastAsia" w:ascii="宋体" w:hAnsi="宋体" w:eastAsia="宋体" w:cs="宋体"/>
              <w:sz w:val="40"/>
              <w:szCs w:val="40"/>
            </w:rPr>
          </w:pPr>
          <w:r>
            <w:rPr>
              <w:rFonts w:hint="eastAsia" w:ascii="宋体" w:hAnsi="宋体" w:eastAsia="宋体" w:cs="宋体"/>
              <w:sz w:val="40"/>
              <w:szCs w:val="40"/>
            </w:rPr>
            <w:fldChar w:fldCharType="begin"/>
          </w:r>
          <w:r>
            <w:rPr>
              <w:rFonts w:hint="eastAsia" w:ascii="宋体" w:hAnsi="宋体" w:eastAsia="宋体" w:cs="宋体"/>
              <w:sz w:val="40"/>
              <w:szCs w:val="40"/>
            </w:rPr>
            <w:instrText xml:space="preserve"> HYPERLINK \l _Toc19212 </w:instrText>
          </w:r>
          <w:r>
            <w:rPr>
              <w:rFonts w:hint="eastAsia" w:ascii="宋体" w:hAnsi="宋体" w:eastAsia="宋体" w:cs="宋体"/>
              <w:sz w:val="40"/>
              <w:szCs w:val="40"/>
            </w:rPr>
            <w:fldChar w:fldCharType="separate"/>
          </w:r>
          <w:r>
            <w:rPr>
              <w:rFonts w:hint="eastAsia" w:ascii="宋体" w:hAnsi="宋体" w:eastAsia="宋体" w:cs="宋体"/>
              <w:sz w:val="40"/>
              <w:szCs w:val="40"/>
            </w:rPr>
            <w:t>第三章  合同文本</w:t>
          </w:r>
          <w:r>
            <w:rPr>
              <w:rFonts w:hint="eastAsia" w:ascii="宋体" w:hAnsi="宋体" w:eastAsia="宋体" w:cs="宋体"/>
              <w:sz w:val="40"/>
              <w:szCs w:val="40"/>
            </w:rPr>
            <w:tab/>
          </w:r>
          <w:r>
            <w:rPr>
              <w:rFonts w:hint="eastAsia" w:ascii="宋体" w:hAnsi="宋体" w:eastAsia="宋体" w:cs="宋体"/>
              <w:sz w:val="40"/>
              <w:szCs w:val="40"/>
            </w:rPr>
            <w:fldChar w:fldCharType="begin"/>
          </w:r>
          <w:r>
            <w:rPr>
              <w:rFonts w:hint="eastAsia" w:ascii="宋体" w:hAnsi="宋体" w:eastAsia="宋体" w:cs="宋体"/>
              <w:sz w:val="40"/>
              <w:szCs w:val="40"/>
            </w:rPr>
            <w:instrText xml:space="preserve"> PAGEREF _Toc19212 \h </w:instrText>
          </w:r>
          <w:r>
            <w:rPr>
              <w:rFonts w:hint="eastAsia" w:ascii="宋体" w:hAnsi="宋体" w:eastAsia="宋体" w:cs="宋体"/>
              <w:sz w:val="40"/>
              <w:szCs w:val="40"/>
            </w:rPr>
            <w:fldChar w:fldCharType="separate"/>
          </w:r>
          <w:r>
            <w:rPr>
              <w:rFonts w:hint="eastAsia" w:ascii="宋体" w:hAnsi="宋体" w:eastAsia="宋体" w:cs="宋体"/>
              <w:sz w:val="40"/>
              <w:szCs w:val="40"/>
            </w:rPr>
            <w:t>19</w:t>
          </w:r>
          <w:r>
            <w:rPr>
              <w:rFonts w:hint="eastAsia" w:ascii="宋体" w:hAnsi="宋体" w:eastAsia="宋体" w:cs="宋体"/>
              <w:sz w:val="40"/>
              <w:szCs w:val="40"/>
            </w:rPr>
            <w:fldChar w:fldCharType="end"/>
          </w:r>
          <w:r>
            <w:rPr>
              <w:rFonts w:hint="eastAsia" w:ascii="宋体" w:hAnsi="宋体" w:eastAsia="宋体" w:cs="宋体"/>
              <w:sz w:val="40"/>
              <w:szCs w:val="40"/>
            </w:rPr>
            <w:fldChar w:fldCharType="end"/>
          </w:r>
        </w:p>
        <w:p w14:paraId="48AAD439">
          <w:pPr>
            <w:pStyle w:val="5"/>
            <w:tabs>
              <w:tab w:val="right" w:leader="dot" w:pos="9150"/>
            </w:tabs>
            <w:spacing w:line="480" w:lineRule="auto"/>
            <w:rPr>
              <w:rFonts w:hint="eastAsia" w:ascii="宋体" w:hAnsi="宋体" w:eastAsia="宋体" w:cs="宋体"/>
              <w:sz w:val="40"/>
              <w:szCs w:val="40"/>
            </w:rPr>
          </w:pPr>
          <w:r>
            <w:rPr>
              <w:rFonts w:hint="eastAsia" w:ascii="宋体" w:hAnsi="宋体" w:eastAsia="宋体" w:cs="宋体"/>
              <w:sz w:val="40"/>
              <w:szCs w:val="40"/>
            </w:rPr>
            <w:fldChar w:fldCharType="begin"/>
          </w:r>
          <w:r>
            <w:rPr>
              <w:rFonts w:hint="eastAsia" w:ascii="宋体" w:hAnsi="宋体" w:eastAsia="宋体" w:cs="宋体"/>
              <w:sz w:val="40"/>
              <w:szCs w:val="40"/>
            </w:rPr>
            <w:instrText xml:space="preserve"> HYPERLINK \l _Toc20677 </w:instrText>
          </w:r>
          <w:r>
            <w:rPr>
              <w:rFonts w:hint="eastAsia" w:ascii="宋体" w:hAnsi="宋体" w:eastAsia="宋体" w:cs="宋体"/>
              <w:sz w:val="40"/>
              <w:szCs w:val="40"/>
            </w:rPr>
            <w:fldChar w:fldCharType="separate"/>
          </w:r>
          <w:r>
            <w:rPr>
              <w:rFonts w:hint="eastAsia" w:ascii="宋体" w:hAnsi="宋体" w:eastAsia="宋体" w:cs="宋体"/>
              <w:sz w:val="40"/>
              <w:szCs w:val="40"/>
            </w:rPr>
            <w:t>第四章</w:t>
          </w:r>
          <w:r>
            <w:rPr>
              <w:rFonts w:hint="eastAsia" w:ascii="宋体" w:hAnsi="宋体" w:eastAsia="宋体" w:cs="宋体"/>
              <w:sz w:val="40"/>
              <w:szCs w:val="40"/>
              <w:lang w:val="en-US" w:eastAsia="zh-CN"/>
            </w:rPr>
            <w:t xml:space="preserve">   </w:t>
          </w:r>
          <w:r>
            <w:rPr>
              <w:rFonts w:hint="eastAsia" w:ascii="宋体" w:hAnsi="宋体" w:eastAsia="宋体" w:cs="宋体"/>
              <w:sz w:val="40"/>
              <w:szCs w:val="40"/>
            </w:rPr>
            <w:t>采购需求</w:t>
          </w:r>
          <w:r>
            <w:rPr>
              <w:rFonts w:hint="eastAsia" w:ascii="宋体" w:hAnsi="宋体" w:eastAsia="宋体" w:cs="宋体"/>
              <w:sz w:val="40"/>
              <w:szCs w:val="40"/>
            </w:rPr>
            <w:tab/>
          </w:r>
          <w:r>
            <w:rPr>
              <w:rFonts w:hint="eastAsia" w:ascii="宋体" w:hAnsi="宋体" w:eastAsia="宋体" w:cs="宋体"/>
              <w:sz w:val="40"/>
              <w:szCs w:val="40"/>
            </w:rPr>
            <w:fldChar w:fldCharType="begin"/>
          </w:r>
          <w:r>
            <w:rPr>
              <w:rFonts w:hint="eastAsia" w:ascii="宋体" w:hAnsi="宋体" w:eastAsia="宋体" w:cs="宋体"/>
              <w:sz w:val="40"/>
              <w:szCs w:val="40"/>
            </w:rPr>
            <w:instrText xml:space="preserve"> PAGEREF _Toc20677 \h </w:instrText>
          </w:r>
          <w:r>
            <w:rPr>
              <w:rFonts w:hint="eastAsia" w:ascii="宋体" w:hAnsi="宋体" w:eastAsia="宋体" w:cs="宋体"/>
              <w:sz w:val="40"/>
              <w:szCs w:val="40"/>
            </w:rPr>
            <w:fldChar w:fldCharType="separate"/>
          </w:r>
          <w:r>
            <w:rPr>
              <w:rFonts w:hint="eastAsia" w:ascii="宋体" w:hAnsi="宋体" w:eastAsia="宋体" w:cs="宋体"/>
              <w:sz w:val="40"/>
              <w:szCs w:val="40"/>
            </w:rPr>
            <w:t>23</w:t>
          </w:r>
          <w:r>
            <w:rPr>
              <w:rFonts w:hint="eastAsia" w:ascii="宋体" w:hAnsi="宋体" w:eastAsia="宋体" w:cs="宋体"/>
              <w:sz w:val="40"/>
              <w:szCs w:val="40"/>
            </w:rPr>
            <w:fldChar w:fldCharType="end"/>
          </w:r>
          <w:r>
            <w:rPr>
              <w:rFonts w:hint="eastAsia" w:ascii="宋体" w:hAnsi="宋体" w:eastAsia="宋体" w:cs="宋体"/>
              <w:sz w:val="40"/>
              <w:szCs w:val="40"/>
            </w:rPr>
            <w:fldChar w:fldCharType="end"/>
          </w:r>
        </w:p>
        <w:p w14:paraId="5E171BC0">
          <w:pPr>
            <w:pStyle w:val="5"/>
            <w:tabs>
              <w:tab w:val="right" w:leader="dot" w:pos="9150"/>
            </w:tabs>
            <w:spacing w:line="480" w:lineRule="auto"/>
            <w:rPr>
              <w:rFonts w:hint="eastAsia" w:ascii="宋体" w:hAnsi="宋体" w:eastAsia="宋体" w:cs="宋体"/>
              <w:sz w:val="40"/>
              <w:szCs w:val="40"/>
            </w:rPr>
          </w:pPr>
          <w:r>
            <w:rPr>
              <w:rFonts w:hint="eastAsia" w:ascii="宋体" w:hAnsi="宋体" w:eastAsia="宋体" w:cs="宋体"/>
              <w:sz w:val="40"/>
              <w:szCs w:val="40"/>
            </w:rPr>
            <w:fldChar w:fldCharType="begin"/>
          </w:r>
          <w:r>
            <w:rPr>
              <w:rFonts w:hint="eastAsia" w:ascii="宋体" w:hAnsi="宋体" w:eastAsia="宋体" w:cs="宋体"/>
              <w:sz w:val="40"/>
              <w:szCs w:val="40"/>
            </w:rPr>
            <w:instrText xml:space="preserve"> HYPERLINK \l _Toc23384 </w:instrText>
          </w:r>
          <w:r>
            <w:rPr>
              <w:rFonts w:hint="eastAsia" w:ascii="宋体" w:hAnsi="宋体" w:eastAsia="宋体" w:cs="宋体"/>
              <w:sz w:val="40"/>
              <w:szCs w:val="40"/>
            </w:rPr>
            <w:fldChar w:fldCharType="separate"/>
          </w:r>
          <w:r>
            <w:rPr>
              <w:rFonts w:hint="eastAsia" w:ascii="宋体" w:hAnsi="宋体" w:eastAsia="宋体" w:cs="宋体"/>
              <w:sz w:val="40"/>
              <w:szCs w:val="40"/>
            </w:rPr>
            <w:t>第五章  评标方法与评标标准</w:t>
          </w:r>
          <w:r>
            <w:rPr>
              <w:rFonts w:hint="eastAsia" w:ascii="宋体" w:hAnsi="宋体" w:eastAsia="宋体" w:cs="宋体"/>
              <w:sz w:val="40"/>
              <w:szCs w:val="40"/>
            </w:rPr>
            <w:tab/>
          </w:r>
          <w:r>
            <w:rPr>
              <w:rFonts w:hint="eastAsia" w:ascii="宋体" w:hAnsi="宋体" w:eastAsia="宋体" w:cs="宋体"/>
              <w:sz w:val="40"/>
              <w:szCs w:val="40"/>
            </w:rPr>
            <w:fldChar w:fldCharType="begin"/>
          </w:r>
          <w:r>
            <w:rPr>
              <w:rFonts w:hint="eastAsia" w:ascii="宋体" w:hAnsi="宋体" w:eastAsia="宋体" w:cs="宋体"/>
              <w:sz w:val="40"/>
              <w:szCs w:val="40"/>
            </w:rPr>
            <w:instrText xml:space="preserve"> PAGEREF _Toc23384 \h </w:instrText>
          </w:r>
          <w:r>
            <w:rPr>
              <w:rFonts w:hint="eastAsia" w:ascii="宋体" w:hAnsi="宋体" w:eastAsia="宋体" w:cs="宋体"/>
              <w:sz w:val="40"/>
              <w:szCs w:val="40"/>
            </w:rPr>
            <w:fldChar w:fldCharType="separate"/>
          </w:r>
          <w:r>
            <w:rPr>
              <w:rFonts w:hint="eastAsia" w:ascii="宋体" w:hAnsi="宋体" w:eastAsia="宋体" w:cs="宋体"/>
              <w:sz w:val="40"/>
              <w:szCs w:val="40"/>
            </w:rPr>
            <w:t>35</w:t>
          </w:r>
          <w:r>
            <w:rPr>
              <w:rFonts w:hint="eastAsia" w:ascii="宋体" w:hAnsi="宋体" w:eastAsia="宋体" w:cs="宋体"/>
              <w:sz w:val="40"/>
              <w:szCs w:val="40"/>
            </w:rPr>
            <w:fldChar w:fldCharType="end"/>
          </w:r>
          <w:r>
            <w:rPr>
              <w:rFonts w:hint="eastAsia" w:ascii="宋体" w:hAnsi="宋体" w:eastAsia="宋体" w:cs="宋体"/>
              <w:sz w:val="40"/>
              <w:szCs w:val="40"/>
            </w:rPr>
            <w:fldChar w:fldCharType="end"/>
          </w:r>
        </w:p>
        <w:p w14:paraId="53E47A67">
          <w:pPr>
            <w:pStyle w:val="5"/>
            <w:tabs>
              <w:tab w:val="right" w:leader="dot" w:pos="9150"/>
            </w:tabs>
            <w:spacing w:line="480" w:lineRule="auto"/>
            <w:rPr>
              <w:rFonts w:hint="eastAsia" w:ascii="宋体" w:hAnsi="宋体" w:eastAsia="宋体" w:cs="宋体"/>
              <w:sz w:val="32"/>
              <w:szCs w:val="32"/>
            </w:rPr>
          </w:pPr>
          <w:r>
            <w:rPr>
              <w:rFonts w:hint="eastAsia" w:ascii="宋体" w:hAnsi="宋体" w:eastAsia="宋体" w:cs="宋体"/>
              <w:sz w:val="40"/>
              <w:szCs w:val="40"/>
            </w:rPr>
            <w:fldChar w:fldCharType="begin"/>
          </w:r>
          <w:r>
            <w:rPr>
              <w:rFonts w:hint="eastAsia" w:ascii="宋体" w:hAnsi="宋体" w:eastAsia="宋体" w:cs="宋体"/>
              <w:sz w:val="40"/>
              <w:szCs w:val="40"/>
            </w:rPr>
            <w:instrText xml:space="preserve"> HYPERLINK \l _Toc16660 </w:instrText>
          </w:r>
          <w:r>
            <w:rPr>
              <w:rFonts w:hint="eastAsia" w:ascii="宋体" w:hAnsi="宋体" w:eastAsia="宋体" w:cs="宋体"/>
              <w:sz w:val="40"/>
              <w:szCs w:val="40"/>
            </w:rPr>
            <w:fldChar w:fldCharType="separate"/>
          </w:r>
          <w:r>
            <w:rPr>
              <w:rFonts w:hint="eastAsia" w:ascii="宋体" w:hAnsi="宋体" w:eastAsia="宋体" w:cs="宋体"/>
              <w:sz w:val="40"/>
              <w:szCs w:val="40"/>
            </w:rPr>
            <w:t>第六章  投标文件格式</w:t>
          </w:r>
          <w:r>
            <w:rPr>
              <w:rFonts w:hint="eastAsia" w:ascii="宋体" w:hAnsi="宋体" w:eastAsia="宋体" w:cs="宋体"/>
              <w:sz w:val="40"/>
              <w:szCs w:val="40"/>
            </w:rPr>
            <w:tab/>
          </w:r>
          <w:r>
            <w:rPr>
              <w:rFonts w:hint="eastAsia" w:ascii="宋体" w:hAnsi="宋体" w:eastAsia="宋体" w:cs="宋体"/>
              <w:sz w:val="40"/>
              <w:szCs w:val="40"/>
            </w:rPr>
            <w:fldChar w:fldCharType="begin"/>
          </w:r>
          <w:r>
            <w:rPr>
              <w:rFonts w:hint="eastAsia" w:ascii="宋体" w:hAnsi="宋体" w:eastAsia="宋体" w:cs="宋体"/>
              <w:sz w:val="40"/>
              <w:szCs w:val="40"/>
            </w:rPr>
            <w:instrText xml:space="preserve"> PAGEREF _Toc16660 \h </w:instrText>
          </w:r>
          <w:r>
            <w:rPr>
              <w:rFonts w:hint="eastAsia" w:ascii="宋体" w:hAnsi="宋体" w:eastAsia="宋体" w:cs="宋体"/>
              <w:sz w:val="40"/>
              <w:szCs w:val="40"/>
            </w:rPr>
            <w:fldChar w:fldCharType="separate"/>
          </w:r>
          <w:r>
            <w:rPr>
              <w:rFonts w:hint="eastAsia" w:ascii="宋体" w:hAnsi="宋体" w:eastAsia="宋体" w:cs="宋体"/>
              <w:sz w:val="40"/>
              <w:szCs w:val="40"/>
            </w:rPr>
            <w:t>39</w:t>
          </w:r>
          <w:r>
            <w:rPr>
              <w:rFonts w:hint="eastAsia" w:ascii="宋体" w:hAnsi="宋体" w:eastAsia="宋体" w:cs="宋体"/>
              <w:sz w:val="40"/>
              <w:szCs w:val="40"/>
            </w:rPr>
            <w:fldChar w:fldCharType="end"/>
          </w:r>
          <w:r>
            <w:rPr>
              <w:rFonts w:hint="eastAsia" w:ascii="宋体" w:hAnsi="宋体" w:eastAsia="宋体" w:cs="宋体"/>
              <w:sz w:val="40"/>
              <w:szCs w:val="40"/>
            </w:rPr>
            <w:fldChar w:fldCharType="end"/>
          </w:r>
        </w:p>
        <w:p w14:paraId="1646932F">
          <w:pPr>
            <w:pStyle w:val="14"/>
            <w:tabs>
              <w:tab w:val="left" w:pos="1441"/>
            </w:tabs>
            <w:spacing w:beforeAutospacing="0" w:afterAutospacing="0" w:line="480" w:lineRule="auto"/>
            <w:ind w:left="2160" w:hanging="1440"/>
            <w:jc w:val="both"/>
            <w:rPr>
              <w:rFonts w:hint="eastAsia" w:ascii="宋体" w:hAnsi="宋体" w:eastAsia="宋体" w:cs="宋体"/>
              <w:sz w:val="36"/>
              <w:szCs w:val="36"/>
              <w:lang w:val="en-US" w:eastAsia="zh-CN" w:bidi="ar-SA"/>
            </w:rPr>
          </w:pPr>
          <w:r>
            <w:rPr>
              <w:rFonts w:hint="eastAsia" w:ascii="宋体" w:hAnsi="宋体" w:eastAsia="宋体" w:cs="宋体"/>
              <w:sz w:val="32"/>
              <w:szCs w:val="32"/>
            </w:rPr>
            <w:fldChar w:fldCharType="end"/>
          </w:r>
        </w:p>
      </w:sdtContent>
    </w:sdt>
    <w:p w14:paraId="5E4751ED">
      <w:pPr>
        <w:pStyle w:val="14"/>
        <w:tabs>
          <w:tab w:val="left" w:pos="1441"/>
        </w:tabs>
        <w:spacing w:beforeAutospacing="0" w:afterAutospacing="0" w:line="480" w:lineRule="auto"/>
        <w:ind w:left="2160" w:hanging="1440"/>
        <w:jc w:val="both"/>
        <w:rPr>
          <w:rFonts w:hint="eastAsia" w:ascii="宋体" w:hAnsi="宋体" w:eastAsia="宋体" w:cs="Times New Roman"/>
          <w:sz w:val="24"/>
          <w:szCs w:val="30"/>
          <w:lang w:val="en-US" w:eastAsia="zh-CN" w:bidi="ar-SA"/>
        </w:rPr>
      </w:pPr>
    </w:p>
    <w:p w14:paraId="54C8ADBD">
      <w:pPr>
        <w:pStyle w:val="14"/>
        <w:spacing w:beforeAutospacing="0" w:afterAutospacing="0"/>
        <w:jc w:val="both"/>
        <w:rPr>
          <w:rFonts w:ascii="宋体" w:hAnsi="宋体"/>
        </w:rPr>
      </w:pPr>
      <w:r>
        <w:rPr>
          <w:rFonts w:ascii="宋体" w:hAnsi="宋体"/>
        </w:rPr>
        <w:t> </w:t>
      </w:r>
    </w:p>
    <w:p w14:paraId="38305026">
      <w:pPr>
        <w:pStyle w:val="14"/>
        <w:spacing w:beforeAutospacing="0" w:afterAutospacing="0"/>
        <w:jc w:val="both"/>
        <w:rPr>
          <w:rFonts w:ascii="宋体" w:hAnsi="宋体"/>
        </w:rPr>
      </w:pPr>
      <w:r>
        <w:rPr>
          <w:rFonts w:ascii="宋体" w:hAnsi="宋体"/>
        </w:rPr>
        <w:t> </w:t>
      </w:r>
    </w:p>
    <w:p w14:paraId="7C24FED2">
      <w:pPr>
        <w:pStyle w:val="14"/>
        <w:spacing w:beforeAutospacing="0" w:afterAutospacing="0"/>
        <w:jc w:val="both"/>
        <w:rPr>
          <w:rFonts w:ascii="宋体" w:hAnsi="宋体"/>
        </w:rPr>
      </w:pPr>
      <w:r>
        <w:rPr>
          <w:rFonts w:ascii="宋体" w:hAnsi="宋体"/>
        </w:rPr>
        <w:t> </w:t>
      </w:r>
    </w:p>
    <w:p w14:paraId="1371783E">
      <w:pPr>
        <w:pStyle w:val="14"/>
        <w:spacing w:beforeAutospacing="0" w:afterAutospacing="0"/>
        <w:jc w:val="both"/>
        <w:rPr>
          <w:rFonts w:ascii="宋体" w:hAnsi="宋体"/>
        </w:rPr>
      </w:pPr>
      <w:r>
        <w:rPr>
          <w:rFonts w:ascii="宋体" w:hAnsi="宋体"/>
        </w:rPr>
        <w:t> </w:t>
      </w:r>
    </w:p>
    <w:p w14:paraId="1FB762BE">
      <w:pPr>
        <w:pStyle w:val="14"/>
        <w:spacing w:beforeAutospacing="0" w:afterAutospacing="0"/>
        <w:jc w:val="both"/>
        <w:rPr>
          <w:rFonts w:ascii="宋体" w:hAnsi="宋体"/>
        </w:rPr>
      </w:pPr>
      <w:r>
        <w:rPr>
          <w:rFonts w:ascii="宋体" w:hAnsi="宋体"/>
        </w:rPr>
        <w:t> </w:t>
      </w:r>
    </w:p>
    <w:p w14:paraId="54DAD95C">
      <w:pPr>
        <w:pStyle w:val="14"/>
        <w:spacing w:beforeAutospacing="0" w:afterAutospacing="0"/>
        <w:jc w:val="both"/>
        <w:rPr>
          <w:rFonts w:ascii="宋体" w:hAnsi="宋体"/>
        </w:rPr>
      </w:pPr>
      <w:r>
        <w:rPr>
          <w:rFonts w:ascii="宋体" w:hAnsi="宋体"/>
        </w:rPr>
        <w:t> </w:t>
      </w:r>
    </w:p>
    <w:p w14:paraId="4AD28EDC">
      <w:pPr>
        <w:pStyle w:val="14"/>
        <w:spacing w:beforeAutospacing="0" w:afterAutospacing="0"/>
        <w:jc w:val="both"/>
        <w:rPr>
          <w:rFonts w:ascii="宋体" w:hAnsi="宋体"/>
        </w:rPr>
      </w:pPr>
      <w:r>
        <w:rPr>
          <w:rFonts w:ascii="宋体" w:hAnsi="宋体"/>
        </w:rPr>
        <w:t> </w:t>
      </w:r>
    </w:p>
    <w:p w14:paraId="228C9F0E">
      <w:pPr>
        <w:pStyle w:val="14"/>
        <w:spacing w:beforeAutospacing="0" w:afterAutospacing="0"/>
        <w:jc w:val="both"/>
        <w:rPr>
          <w:rFonts w:ascii="宋体" w:hAnsi="宋体"/>
        </w:rPr>
      </w:pPr>
      <w:r>
        <w:rPr>
          <w:rFonts w:ascii="宋体" w:hAnsi="宋体"/>
        </w:rPr>
        <w:t> </w:t>
      </w:r>
    </w:p>
    <w:p w14:paraId="676ABD28">
      <w:pPr>
        <w:pStyle w:val="14"/>
        <w:spacing w:beforeAutospacing="0" w:afterAutospacing="0"/>
        <w:jc w:val="both"/>
        <w:rPr>
          <w:rFonts w:ascii="宋体" w:hAnsi="宋体"/>
        </w:rPr>
      </w:pPr>
      <w:r>
        <w:rPr>
          <w:rFonts w:ascii="宋体" w:hAnsi="宋体"/>
        </w:rPr>
        <w:t> </w:t>
      </w:r>
    </w:p>
    <w:p w14:paraId="417D5F7B">
      <w:pPr>
        <w:pStyle w:val="14"/>
        <w:spacing w:beforeAutospacing="0" w:afterAutospacing="0"/>
        <w:jc w:val="both"/>
        <w:rPr>
          <w:rFonts w:ascii="宋体" w:hAnsi="宋体"/>
        </w:rPr>
      </w:pPr>
      <w:r>
        <w:rPr>
          <w:rFonts w:ascii="宋体" w:hAnsi="宋体"/>
        </w:rPr>
        <w:t> </w:t>
      </w:r>
    </w:p>
    <w:p w14:paraId="3B2D414F">
      <w:pPr>
        <w:pStyle w:val="14"/>
        <w:spacing w:beforeAutospacing="0" w:afterAutospacing="0"/>
        <w:jc w:val="both"/>
        <w:rPr>
          <w:rFonts w:hint="eastAsia" w:ascii="宋体" w:hAnsi="宋体" w:cs="黑体"/>
          <w:b/>
          <w:color w:val="000000"/>
          <w:sz w:val="44"/>
          <w:szCs w:val="44"/>
        </w:rPr>
      </w:pPr>
      <w:r>
        <w:rPr>
          <w:rFonts w:ascii="宋体" w:hAnsi="宋体"/>
        </w:rPr>
        <w:t> </w:t>
      </w:r>
    </w:p>
    <w:p w14:paraId="1DB35713">
      <w:pPr>
        <w:rPr>
          <w:rFonts w:hint="eastAsia" w:ascii="宋体" w:hAnsi="宋体" w:cs="黑体"/>
          <w:b/>
          <w:color w:val="000000"/>
          <w:sz w:val="44"/>
          <w:szCs w:val="44"/>
        </w:rPr>
      </w:pPr>
      <w:bookmarkStart w:id="6" w:name="_Toc11912"/>
      <w:r>
        <w:rPr>
          <w:rFonts w:hint="eastAsia" w:ascii="宋体" w:hAnsi="宋体" w:cs="黑体"/>
          <w:b/>
          <w:color w:val="000000"/>
          <w:sz w:val="44"/>
          <w:szCs w:val="44"/>
        </w:rPr>
        <w:br w:type="page"/>
      </w:r>
    </w:p>
    <w:p w14:paraId="7272749D">
      <w:pPr>
        <w:pStyle w:val="14"/>
        <w:spacing w:beforeAutospacing="0" w:afterAutospacing="0"/>
        <w:jc w:val="center"/>
        <w:outlineLvl w:val="0"/>
        <w:rPr>
          <w:rFonts w:ascii="宋体" w:hAnsi="宋体"/>
          <w:b/>
        </w:rPr>
      </w:pPr>
      <w:r>
        <w:rPr>
          <w:rFonts w:hint="eastAsia" w:ascii="宋体" w:hAnsi="宋体" w:cs="黑体"/>
          <w:b/>
          <w:color w:val="000000"/>
          <w:sz w:val="44"/>
          <w:szCs w:val="44"/>
        </w:rPr>
        <w:t>第一章  招标公告</w:t>
      </w:r>
      <w:bookmarkEnd w:id="6"/>
    </w:p>
    <w:p w14:paraId="6D6D9991">
      <w:pPr>
        <w:pStyle w:val="14"/>
        <w:pBdr>
          <w:top w:val="single" w:color="000000" w:sz="4" w:space="0"/>
          <w:left w:val="single" w:color="000000" w:sz="4" w:space="0"/>
          <w:bottom w:val="single" w:color="000000" w:sz="4" w:space="0"/>
          <w:right w:val="single" w:color="000000" w:sz="4" w:space="0"/>
        </w:pBdr>
        <w:spacing w:beforeAutospacing="0" w:afterAutospacing="0" w:line="560" w:lineRule="exact"/>
        <w:ind w:firstLine="480"/>
        <w:jc w:val="both"/>
        <w:outlineLvl w:val="9"/>
        <w:rPr>
          <w:rFonts w:ascii="宋体" w:hAnsi="宋体"/>
        </w:rPr>
      </w:pPr>
      <w:r>
        <w:rPr>
          <w:rFonts w:hint="eastAsia" w:ascii="宋体" w:hAnsi="宋体" w:cs="宋体"/>
          <w:color w:val="000000"/>
        </w:rPr>
        <w:t>项目概况</w:t>
      </w:r>
    </w:p>
    <w:p w14:paraId="5CF7F707">
      <w:pPr>
        <w:pStyle w:val="14"/>
        <w:pBdr>
          <w:top w:val="single" w:color="000000" w:sz="4" w:space="0"/>
          <w:left w:val="single" w:color="000000" w:sz="4" w:space="0"/>
          <w:bottom w:val="single" w:color="000000" w:sz="4" w:space="0"/>
          <w:right w:val="single" w:color="000000" w:sz="4" w:space="0"/>
        </w:pBdr>
        <w:spacing w:beforeAutospacing="0" w:afterAutospacing="0" w:line="560" w:lineRule="exact"/>
        <w:ind w:firstLine="482"/>
        <w:jc w:val="both"/>
        <w:outlineLvl w:val="9"/>
        <w:rPr>
          <w:rFonts w:ascii="宋体" w:hAnsi="宋体"/>
          <w:highlight w:val="none"/>
        </w:rPr>
      </w:pPr>
      <w:r>
        <w:rPr>
          <w:rFonts w:hint="eastAsia" w:ascii="宋体" w:hAnsi="宋体" w:cs="宋体"/>
          <w:color w:val="000000"/>
          <w:u w:val="single"/>
        </w:rPr>
        <w:t xml:space="preserve">江苏省射阳中学智慧办公系统采购项目 </w:t>
      </w:r>
      <w:r>
        <w:rPr>
          <w:rFonts w:hint="eastAsia" w:ascii="宋体" w:hAnsi="宋体" w:cs="宋体"/>
          <w:color w:val="000000"/>
        </w:rPr>
        <w:t>招标项目的潜在投标人可在</w:t>
      </w:r>
      <w:r>
        <w:rPr>
          <w:rFonts w:hint="eastAsia" w:ascii="宋体" w:hAnsi="宋体" w:cs="宋体"/>
          <w:color w:val="000000"/>
          <w:u w:val="single"/>
        </w:rPr>
        <w:t>“中国政府采购网、江苏政府采购网、盐城市政府采购网”自行免费下载</w:t>
      </w:r>
      <w:r>
        <w:rPr>
          <w:rFonts w:hint="eastAsia" w:ascii="宋体" w:hAnsi="宋体" w:cs="宋体"/>
          <w:color w:val="000000"/>
        </w:rPr>
        <w:t>招标文件，并于</w:t>
      </w:r>
      <w:r>
        <w:rPr>
          <w:rFonts w:hint="eastAsia" w:ascii="宋体" w:hAnsi="宋体" w:cs="宋体"/>
          <w:color w:val="000000"/>
          <w:highlight w:val="none"/>
          <w:u w:val="single"/>
        </w:rPr>
        <w:t> 202</w:t>
      </w:r>
      <w:r>
        <w:rPr>
          <w:rFonts w:hint="eastAsia" w:ascii="宋体" w:hAnsi="宋体" w:cs="宋体"/>
          <w:color w:val="000000"/>
          <w:highlight w:val="none"/>
          <w:u w:val="single"/>
          <w:lang w:val="en-US" w:eastAsia="zh-CN"/>
        </w:rPr>
        <w:t>5</w:t>
      </w:r>
      <w:r>
        <w:rPr>
          <w:rFonts w:hint="eastAsia" w:ascii="宋体" w:hAnsi="宋体" w:cs="宋体"/>
          <w:color w:val="000000"/>
          <w:highlight w:val="none"/>
          <w:u w:val="single"/>
        </w:rPr>
        <w:t>年</w:t>
      </w:r>
      <w:r>
        <w:rPr>
          <w:rFonts w:hint="eastAsia" w:ascii="宋体" w:hAnsi="宋体" w:cs="宋体"/>
          <w:color w:val="000000"/>
          <w:highlight w:val="none"/>
          <w:u w:val="single"/>
          <w:lang w:val="en-US" w:eastAsia="zh-CN"/>
        </w:rPr>
        <w:t>1</w:t>
      </w:r>
      <w:r>
        <w:rPr>
          <w:rFonts w:hint="eastAsia" w:ascii="宋体" w:hAnsi="宋体" w:cs="宋体"/>
          <w:color w:val="000000"/>
          <w:highlight w:val="none"/>
          <w:u w:val="single"/>
        </w:rPr>
        <w:t>月</w:t>
      </w:r>
      <w:r>
        <w:rPr>
          <w:rFonts w:hint="eastAsia" w:ascii="宋体" w:hAnsi="宋体" w:cs="宋体"/>
          <w:color w:val="000000"/>
          <w:highlight w:val="none"/>
          <w:u w:val="single"/>
          <w:lang w:val="en-US" w:eastAsia="zh-CN"/>
        </w:rPr>
        <w:t xml:space="preserve">   24</w:t>
      </w:r>
      <w:r>
        <w:rPr>
          <w:rFonts w:hint="eastAsia" w:ascii="宋体" w:hAnsi="宋体" w:cs="宋体"/>
          <w:color w:val="000000"/>
          <w:highlight w:val="none"/>
          <w:u w:val="single"/>
        </w:rPr>
        <w:t>日</w:t>
      </w:r>
      <w:r>
        <w:rPr>
          <w:rFonts w:hint="eastAsia" w:ascii="宋体" w:hAnsi="宋体" w:cs="宋体"/>
          <w:color w:val="000000"/>
          <w:highlight w:val="none"/>
          <w:u w:val="single"/>
          <w:lang w:val="en-US" w:eastAsia="zh-CN"/>
        </w:rPr>
        <w:t>9</w:t>
      </w:r>
      <w:r>
        <w:rPr>
          <w:rFonts w:hint="eastAsia" w:ascii="宋体" w:hAnsi="宋体" w:cs="宋体"/>
          <w:color w:val="000000"/>
          <w:highlight w:val="none"/>
          <w:u w:val="single"/>
        </w:rPr>
        <w:t>点</w:t>
      </w:r>
      <w:r>
        <w:rPr>
          <w:rFonts w:hint="eastAsia" w:ascii="宋体" w:hAnsi="宋体" w:cs="宋体"/>
          <w:color w:val="000000"/>
          <w:highlight w:val="none"/>
          <w:u w:val="single"/>
          <w:lang w:val="en-US" w:eastAsia="zh-CN"/>
        </w:rPr>
        <w:t>0</w:t>
      </w:r>
      <w:r>
        <w:rPr>
          <w:rFonts w:hint="eastAsia" w:ascii="宋体" w:hAnsi="宋体" w:cs="宋体"/>
          <w:color w:val="000000"/>
          <w:highlight w:val="none"/>
          <w:u w:val="single"/>
        </w:rPr>
        <w:t>分（</w:t>
      </w:r>
      <w:r>
        <w:rPr>
          <w:rFonts w:hint="eastAsia" w:ascii="宋体" w:hAnsi="宋体" w:cs="宋体"/>
          <w:color w:val="000000"/>
          <w:highlight w:val="none"/>
        </w:rPr>
        <w:t>北京时间）前递交投标文件。</w:t>
      </w:r>
    </w:p>
    <w:p w14:paraId="2C8FA919">
      <w:pPr>
        <w:pStyle w:val="14"/>
        <w:keepNext/>
        <w:keepLines/>
        <w:spacing w:before="145" w:beforeAutospacing="0" w:after="145" w:afterAutospacing="0" w:line="560" w:lineRule="exact"/>
        <w:ind w:firstLine="498"/>
        <w:jc w:val="both"/>
        <w:outlineLvl w:val="9"/>
        <w:rPr>
          <w:rFonts w:ascii="宋体" w:hAnsi="宋体"/>
          <w:highlight w:val="none"/>
        </w:rPr>
      </w:pPr>
      <w:bookmarkStart w:id="7" w:name="_Toc35393790"/>
      <w:bookmarkStart w:id="8" w:name="_Toc38985263"/>
      <w:bookmarkStart w:id="9" w:name="_Toc28359079"/>
      <w:bookmarkStart w:id="10" w:name="_Toc35393621"/>
      <w:bookmarkStart w:id="11" w:name="_Toc28359002"/>
      <w:bookmarkStart w:id="12" w:name="_Hlk24379207"/>
      <w:r>
        <w:rPr>
          <w:rFonts w:ascii="宋体" w:hAnsi="宋体"/>
          <w:b/>
          <w:color w:val="000000"/>
          <w:sz w:val="32"/>
          <w:szCs w:val="32"/>
          <w:highlight w:val="none"/>
        </w:rPr>
        <w:t>一、项目基本情况</w:t>
      </w:r>
      <w:bookmarkEnd w:id="7"/>
      <w:bookmarkEnd w:id="8"/>
      <w:bookmarkEnd w:id="9"/>
      <w:bookmarkEnd w:id="10"/>
      <w:bookmarkEnd w:id="11"/>
      <w:bookmarkEnd w:id="12"/>
    </w:p>
    <w:p w14:paraId="3CE7A234">
      <w:pPr>
        <w:pStyle w:val="14"/>
        <w:spacing w:beforeAutospacing="0" w:afterAutospacing="0" w:line="560" w:lineRule="exact"/>
        <w:ind w:firstLine="482"/>
        <w:jc w:val="both"/>
        <w:outlineLvl w:val="9"/>
        <w:rPr>
          <w:rFonts w:ascii="Segoe UI" w:hAnsi="Segoe UI" w:eastAsia="Segoe UI" w:cs="Segoe UI"/>
          <w:i w:val="0"/>
          <w:iCs w:val="0"/>
          <w:caps w:val="0"/>
          <w:spacing w:val="0"/>
          <w:sz w:val="21"/>
          <w:szCs w:val="21"/>
          <w:shd w:val="clear" w:fill="FFFFFF"/>
        </w:rPr>
      </w:pPr>
      <w:r>
        <w:rPr>
          <w:rFonts w:hint="eastAsia" w:ascii="宋体" w:hAnsi="宋体" w:cs="宋体"/>
          <w:color w:val="000000"/>
          <w:highlight w:val="none"/>
        </w:rPr>
        <w:t>1.项目编号：</w:t>
      </w:r>
      <w:r>
        <w:rPr>
          <w:rFonts w:ascii="Segoe UI" w:hAnsi="Segoe UI" w:eastAsia="Segoe UI" w:cs="Segoe UI"/>
          <w:i w:val="0"/>
          <w:iCs w:val="0"/>
          <w:caps w:val="0"/>
          <w:spacing w:val="0"/>
          <w:sz w:val="21"/>
          <w:szCs w:val="21"/>
          <w:shd w:val="clear" w:fill="FFFFFF"/>
        </w:rPr>
        <w:t>JSZC-320924-JZCG-G2024-0039</w:t>
      </w:r>
      <w:bookmarkStart w:id="188" w:name="_GoBack"/>
      <w:bookmarkEnd w:id="188"/>
    </w:p>
    <w:p w14:paraId="2D66E68C">
      <w:pPr>
        <w:pStyle w:val="14"/>
        <w:spacing w:beforeAutospacing="0" w:afterAutospacing="0" w:line="560" w:lineRule="exact"/>
        <w:ind w:firstLine="482"/>
        <w:jc w:val="both"/>
        <w:outlineLvl w:val="9"/>
        <w:rPr>
          <w:rFonts w:ascii="宋体" w:hAnsi="宋体" w:cs="宋体"/>
          <w:color w:val="000000"/>
        </w:rPr>
      </w:pPr>
      <w:r>
        <w:rPr>
          <w:rFonts w:hint="eastAsia" w:ascii="宋体" w:hAnsi="宋体" w:cs="宋体"/>
          <w:color w:val="000000"/>
        </w:rPr>
        <w:t>2.项目</w:t>
      </w:r>
      <w:r>
        <w:rPr>
          <w:rFonts w:hint="eastAsia" w:ascii="Segoe UI" w:hAnsi="Segoe UI" w:eastAsia="Segoe UI" w:cs="Segoe UI"/>
          <w:i w:val="0"/>
          <w:iCs w:val="0"/>
          <w:caps w:val="0"/>
          <w:spacing w:val="0"/>
          <w:sz w:val="21"/>
          <w:szCs w:val="21"/>
          <w:shd w:val="clear" w:fill="FFFFFF"/>
        </w:rPr>
        <w:t>名称</w:t>
      </w:r>
      <w:r>
        <w:rPr>
          <w:rFonts w:hint="eastAsia" w:ascii="宋体" w:hAnsi="宋体" w:cs="宋体"/>
          <w:color w:val="000000"/>
        </w:rPr>
        <w:t>：江苏省射阳中学智慧办公系统采购项目</w:t>
      </w:r>
    </w:p>
    <w:p w14:paraId="406A2D94">
      <w:pPr>
        <w:pStyle w:val="14"/>
        <w:spacing w:beforeAutospacing="0" w:afterAutospacing="0" w:line="560" w:lineRule="exact"/>
        <w:ind w:firstLine="482"/>
        <w:jc w:val="both"/>
        <w:outlineLvl w:val="9"/>
        <w:rPr>
          <w:rFonts w:hint="eastAsia" w:ascii="宋体" w:hAnsi="宋体" w:cs="宋体"/>
          <w:color w:val="000000"/>
        </w:rPr>
      </w:pPr>
      <w:r>
        <w:rPr>
          <w:rFonts w:hint="eastAsia" w:ascii="宋体" w:hAnsi="宋体" w:cs="宋体"/>
          <w:color w:val="000000"/>
        </w:rPr>
        <w:t>3.采购方式：公开招标</w:t>
      </w:r>
    </w:p>
    <w:p w14:paraId="4A9BD92D">
      <w:pPr>
        <w:pStyle w:val="14"/>
        <w:spacing w:beforeAutospacing="0" w:afterAutospacing="0" w:line="560" w:lineRule="exact"/>
        <w:ind w:firstLine="482"/>
        <w:jc w:val="both"/>
        <w:outlineLvl w:val="9"/>
        <w:rPr>
          <w:rFonts w:ascii="宋体" w:hAnsi="宋体" w:cs="宋体"/>
          <w:color w:val="000000"/>
        </w:rPr>
      </w:pPr>
      <w:r>
        <w:rPr>
          <w:rFonts w:hint="eastAsia" w:ascii="宋体" w:hAnsi="宋体" w:cs="宋体"/>
          <w:color w:val="000000"/>
        </w:rPr>
        <w:t>4.预算金额：</w:t>
      </w:r>
      <w:r>
        <w:rPr>
          <w:rFonts w:hint="eastAsia" w:ascii="宋体" w:hAnsi="宋体" w:eastAsia="宋体" w:cs="宋体"/>
          <w:i w:val="0"/>
          <w:iCs w:val="0"/>
          <w:caps w:val="0"/>
          <w:color w:val="333333"/>
          <w:spacing w:val="0"/>
          <w:sz w:val="24"/>
          <w:szCs w:val="24"/>
          <w:shd w:val="clear" w:color="auto" w:fill="FFFFFF"/>
          <w:lang w:val="en-US" w:eastAsia="zh-CN"/>
        </w:rPr>
        <w:t>65万元</w:t>
      </w:r>
    </w:p>
    <w:p w14:paraId="00AFA3B1">
      <w:pPr>
        <w:pStyle w:val="14"/>
        <w:spacing w:beforeAutospacing="0" w:afterAutospacing="0" w:line="560" w:lineRule="exact"/>
        <w:ind w:firstLine="482"/>
        <w:jc w:val="both"/>
        <w:outlineLvl w:val="9"/>
        <w:rPr>
          <w:rFonts w:ascii="宋体" w:hAnsi="宋体" w:cs="宋体"/>
          <w:color w:val="000000"/>
        </w:rPr>
      </w:pPr>
      <w:r>
        <w:rPr>
          <w:rFonts w:hint="eastAsia" w:ascii="宋体" w:hAnsi="宋体" w:cs="宋体"/>
          <w:color w:val="000000"/>
        </w:rPr>
        <w:t>5.最高限价：</w:t>
      </w:r>
      <w:r>
        <w:rPr>
          <w:rFonts w:hint="eastAsia" w:ascii="宋体" w:hAnsi="宋体" w:cs="宋体"/>
          <w:color w:val="000000"/>
          <w:lang w:val="en-US" w:eastAsia="zh-CN"/>
        </w:rPr>
        <w:t>65</w:t>
      </w:r>
      <w:r>
        <w:rPr>
          <w:rFonts w:hint="eastAsia" w:ascii="宋体" w:hAnsi="宋体" w:cs="宋体"/>
          <w:color w:val="000000"/>
        </w:rPr>
        <w:t>万元</w:t>
      </w:r>
    </w:p>
    <w:p w14:paraId="00A4235B">
      <w:pPr>
        <w:pStyle w:val="14"/>
        <w:spacing w:beforeAutospacing="0" w:afterAutospacing="0" w:line="560" w:lineRule="exact"/>
        <w:ind w:firstLine="482"/>
        <w:jc w:val="both"/>
        <w:outlineLvl w:val="9"/>
        <w:rPr>
          <w:rFonts w:ascii="宋体" w:hAnsi="宋体"/>
        </w:rPr>
      </w:pPr>
      <w:r>
        <w:rPr>
          <w:rFonts w:hint="eastAsia" w:ascii="宋体" w:hAnsi="宋体" w:cs="宋体"/>
          <w:color w:val="000000"/>
        </w:rPr>
        <w:t>6.采购需求(简介)：本项目主要建设内容分为智慧教师管理系统、智慧办公系统、智慧教务管理系统、智慧教学系统、智慧学生管理系统、智慧后勤管理、文件资源库等系统建设。（详细内容见本招标文件第四章）。</w:t>
      </w:r>
    </w:p>
    <w:p w14:paraId="132CD1F3">
      <w:pPr>
        <w:pStyle w:val="14"/>
        <w:spacing w:beforeAutospacing="0" w:afterAutospacing="0" w:line="560" w:lineRule="exact"/>
        <w:ind w:firstLine="482"/>
        <w:jc w:val="both"/>
        <w:outlineLvl w:val="9"/>
        <w:rPr>
          <w:rFonts w:hint="eastAsia" w:ascii="宋体" w:hAnsi="宋体" w:cs="宋体"/>
          <w:color w:val="000000"/>
          <w:highlight w:val="none"/>
        </w:rPr>
      </w:pPr>
      <w:r>
        <w:rPr>
          <w:rFonts w:hint="eastAsia" w:ascii="宋体" w:hAnsi="宋体" w:cs="宋体"/>
          <w:color w:val="000000"/>
          <w:highlight w:val="none"/>
        </w:rPr>
        <w:t xml:space="preserve">7.合同履行期限：90日历天 </w:t>
      </w:r>
    </w:p>
    <w:p w14:paraId="04CC2E09">
      <w:pPr>
        <w:pStyle w:val="14"/>
        <w:spacing w:beforeAutospacing="0" w:afterAutospacing="0" w:line="560" w:lineRule="exact"/>
        <w:ind w:firstLine="482"/>
        <w:jc w:val="both"/>
        <w:outlineLvl w:val="9"/>
        <w:rPr>
          <w:rFonts w:ascii="宋体" w:hAnsi="宋体" w:cs="宋体"/>
          <w:color w:val="000000"/>
        </w:rPr>
      </w:pPr>
      <w:r>
        <w:rPr>
          <w:rFonts w:hint="eastAsia" w:ascii="宋体" w:hAnsi="宋体" w:cs="宋体"/>
          <w:color w:val="000000"/>
        </w:rPr>
        <w:t xml:space="preserve">8.本项目不接受联合体投标 </w:t>
      </w:r>
    </w:p>
    <w:p w14:paraId="4B87FDFA">
      <w:pPr>
        <w:pStyle w:val="9"/>
        <w:keepNext/>
        <w:keepLines/>
        <w:spacing w:before="145" w:beforeAutospacing="0" w:after="145" w:afterAutospacing="0" w:line="440" w:lineRule="exact"/>
        <w:ind w:firstLine="498"/>
        <w:jc w:val="both"/>
        <w:outlineLvl w:val="9"/>
        <w:rPr>
          <w:rFonts w:ascii="宋体" w:hAnsi="宋体" w:eastAsia="宋体" w:cs="宋体"/>
        </w:rPr>
      </w:pPr>
      <w:bookmarkStart w:id="13" w:name="_Toc35393622"/>
      <w:bookmarkStart w:id="14" w:name="_Toc38985264"/>
      <w:bookmarkStart w:id="15" w:name="_Toc28359080"/>
      <w:bookmarkStart w:id="16" w:name="_Toc35393791"/>
      <w:bookmarkStart w:id="17" w:name="_Toc28359003"/>
      <w:r>
        <w:rPr>
          <w:rFonts w:hint="eastAsia" w:ascii="宋体" w:hAnsi="宋体" w:eastAsia="宋体" w:cs="宋体"/>
          <w:b/>
          <w:color w:val="000000"/>
        </w:rPr>
        <w:t>二、申请人的资格要求：</w:t>
      </w:r>
      <w:bookmarkEnd w:id="13"/>
      <w:bookmarkEnd w:id="14"/>
      <w:bookmarkEnd w:id="15"/>
      <w:bookmarkEnd w:id="16"/>
      <w:bookmarkEnd w:id="17"/>
    </w:p>
    <w:p w14:paraId="41F38226">
      <w:pPr>
        <w:pStyle w:val="9"/>
        <w:spacing w:beforeAutospacing="0" w:afterAutospacing="0" w:line="440" w:lineRule="exact"/>
        <w:ind w:firstLine="480"/>
        <w:jc w:val="both"/>
        <w:outlineLvl w:val="9"/>
        <w:rPr>
          <w:rFonts w:hint="eastAsia" w:ascii="宋体" w:hAnsi="宋体" w:eastAsia="宋体" w:cs="宋体"/>
          <w:color w:val="000000"/>
        </w:rPr>
      </w:pPr>
      <w:r>
        <w:rPr>
          <w:rFonts w:hint="eastAsia" w:ascii="宋体" w:hAnsi="宋体" w:eastAsia="宋体" w:cs="宋体"/>
          <w:color w:val="000000"/>
        </w:rPr>
        <w:t>（一）满足《中华人民共和国政府采购法》第二十二条规定，并提供下列材</w:t>
      </w:r>
    </w:p>
    <w:p w14:paraId="6220F40A">
      <w:pPr>
        <w:pStyle w:val="9"/>
        <w:spacing w:beforeAutospacing="0" w:afterAutospacing="0" w:line="440" w:lineRule="exact"/>
        <w:ind w:firstLine="480"/>
        <w:jc w:val="both"/>
        <w:outlineLvl w:val="9"/>
        <w:rPr>
          <w:rFonts w:ascii="宋体" w:hAnsi="宋体" w:eastAsia="宋体" w:cs="宋体"/>
        </w:rPr>
      </w:pPr>
      <w:r>
        <w:rPr>
          <w:rFonts w:hint="eastAsia" w:ascii="宋体" w:hAnsi="宋体" w:eastAsia="宋体" w:cs="宋体"/>
          <w:color w:val="000000"/>
        </w:rPr>
        <w:t>料：</w:t>
      </w:r>
    </w:p>
    <w:p w14:paraId="67BC36E6">
      <w:pPr>
        <w:pStyle w:val="9"/>
        <w:spacing w:beforeAutospacing="0" w:afterAutospacing="0" w:line="440" w:lineRule="exact"/>
        <w:ind w:firstLine="480"/>
        <w:jc w:val="both"/>
        <w:outlineLvl w:val="9"/>
        <w:rPr>
          <w:rFonts w:ascii="宋体" w:hAnsi="宋体" w:eastAsia="宋体" w:cs="宋体"/>
          <w:color w:val="000000"/>
        </w:rPr>
      </w:pPr>
      <w:r>
        <w:rPr>
          <w:rFonts w:hint="eastAsia" w:ascii="宋体" w:hAnsi="宋体" w:eastAsia="宋体" w:cs="宋体"/>
          <w:color w:val="000000"/>
        </w:rPr>
        <w:t>1. 法人或者其他组织的营业执照等证明文件，自然人的身份证明；</w:t>
      </w:r>
    </w:p>
    <w:p w14:paraId="5FB497B3">
      <w:pPr>
        <w:pStyle w:val="9"/>
        <w:spacing w:beforeAutospacing="0" w:afterAutospacing="0" w:line="440" w:lineRule="exact"/>
        <w:ind w:firstLine="480"/>
        <w:jc w:val="both"/>
        <w:outlineLvl w:val="9"/>
        <w:rPr>
          <w:rFonts w:ascii="宋体" w:hAnsi="宋体" w:eastAsia="宋体" w:cs="宋体"/>
          <w:color w:val="000000"/>
        </w:rPr>
      </w:pPr>
      <w:r>
        <w:rPr>
          <w:rFonts w:hint="eastAsia" w:ascii="宋体" w:hAnsi="宋体" w:eastAsia="宋体" w:cs="宋体"/>
          <w:color w:val="000000"/>
        </w:rPr>
        <w:t>2.上一年度的财务状况报表（成立不满一年无需提供）；</w:t>
      </w:r>
    </w:p>
    <w:p w14:paraId="69632CA7">
      <w:pPr>
        <w:pStyle w:val="9"/>
        <w:spacing w:beforeAutospacing="0" w:afterAutospacing="0" w:line="440" w:lineRule="exact"/>
        <w:ind w:firstLine="480"/>
        <w:jc w:val="both"/>
        <w:outlineLvl w:val="9"/>
        <w:rPr>
          <w:rFonts w:ascii="宋体" w:hAnsi="宋体" w:eastAsia="宋体" w:cs="宋体"/>
          <w:color w:val="000000"/>
        </w:rPr>
      </w:pPr>
      <w:r>
        <w:rPr>
          <w:rFonts w:hint="eastAsia" w:ascii="宋体" w:hAnsi="宋体" w:eastAsia="宋体" w:cs="宋体"/>
          <w:color w:val="000000"/>
        </w:rPr>
        <w:t>3.具备履行合同所必需的设备和专业技术能力的书面声明；</w:t>
      </w:r>
    </w:p>
    <w:p w14:paraId="71DDFEBE">
      <w:pPr>
        <w:pStyle w:val="9"/>
        <w:spacing w:beforeAutospacing="0" w:afterAutospacing="0" w:line="440" w:lineRule="exact"/>
        <w:ind w:firstLine="480"/>
        <w:jc w:val="both"/>
        <w:outlineLvl w:val="9"/>
        <w:rPr>
          <w:rFonts w:ascii="宋体" w:hAnsi="宋体" w:eastAsia="宋体" w:cs="宋体"/>
        </w:rPr>
      </w:pPr>
      <w:r>
        <w:rPr>
          <w:rFonts w:hint="eastAsia" w:ascii="宋体" w:hAnsi="宋体" w:eastAsia="宋体" w:cs="宋体"/>
          <w:color w:val="000000"/>
        </w:rPr>
        <w:t>4.依法缴纳税收和社会保障资金的相关材料（提供提交响应文件截止时间前一年内至少一个月依法缴纳税收及缴纳社会保障资金的证明材料。供应商依法享受缓缴、免缴税收、社会保障资金的提供证明材料。）；</w:t>
      </w:r>
    </w:p>
    <w:p w14:paraId="71042493">
      <w:pPr>
        <w:pStyle w:val="9"/>
        <w:spacing w:beforeAutospacing="0" w:afterAutospacing="0" w:line="440" w:lineRule="exact"/>
        <w:ind w:firstLine="480"/>
        <w:jc w:val="both"/>
        <w:outlineLvl w:val="9"/>
        <w:rPr>
          <w:rFonts w:ascii="宋体" w:hAnsi="宋体" w:eastAsia="宋体" w:cs="宋体"/>
          <w:color w:val="000000"/>
        </w:rPr>
      </w:pPr>
      <w:r>
        <w:rPr>
          <w:rFonts w:hint="eastAsia" w:ascii="宋体" w:hAnsi="宋体" w:eastAsia="宋体" w:cs="宋体"/>
          <w:color w:val="000000"/>
        </w:rPr>
        <w:t>5.参加政府采购活动前3年内在经营活动中没有重大违法记录的书面声明。</w:t>
      </w:r>
    </w:p>
    <w:p w14:paraId="70ED5314">
      <w:pPr>
        <w:pStyle w:val="9"/>
        <w:spacing w:beforeAutospacing="0" w:afterAutospacing="0" w:line="440" w:lineRule="exact"/>
        <w:ind w:firstLine="480"/>
        <w:jc w:val="both"/>
        <w:outlineLvl w:val="9"/>
        <w:rPr>
          <w:rFonts w:ascii="宋体" w:hAnsi="宋体" w:eastAsia="宋体" w:cs="宋体"/>
          <w:color w:val="000000"/>
        </w:rPr>
      </w:pPr>
      <w:r>
        <w:rPr>
          <w:rFonts w:hint="eastAsia" w:ascii="宋体" w:hAnsi="宋体" w:eastAsia="宋体" w:cs="宋体"/>
          <w:color w:val="000000"/>
        </w:rPr>
        <w:t>6.法律、行政法规规定的其他条件。</w:t>
      </w:r>
    </w:p>
    <w:p w14:paraId="763E7BA4">
      <w:pPr>
        <w:spacing w:line="440" w:lineRule="exact"/>
        <w:ind w:firstLine="240"/>
        <w:outlineLvl w:val="9"/>
        <w:rPr>
          <w:rFonts w:ascii="宋体" w:hAnsi="宋体" w:eastAsia="宋体" w:cs="宋体"/>
          <w:sz w:val="24"/>
        </w:rPr>
      </w:pPr>
      <w:r>
        <w:rPr>
          <w:rFonts w:hint="eastAsia" w:ascii="宋体" w:hAnsi="宋体" w:eastAsia="宋体" w:cs="宋体"/>
          <w:color w:val="000000"/>
          <w:sz w:val="24"/>
        </w:rPr>
        <w:t>（</w:t>
      </w:r>
      <w:r>
        <w:rPr>
          <w:rFonts w:hint="eastAsia" w:ascii="宋体" w:hAnsi="宋体" w:eastAsia="宋体" w:cs="宋体"/>
          <w:sz w:val="24"/>
        </w:rPr>
        <w:t>二）落实政府采购政策需满足的资格要求：</w:t>
      </w:r>
    </w:p>
    <w:p w14:paraId="7A87AB1D">
      <w:pPr>
        <w:spacing w:line="440" w:lineRule="exact"/>
        <w:ind w:firstLine="480"/>
        <w:outlineLvl w:val="9"/>
        <w:rPr>
          <w:rFonts w:ascii="宋体" w:hAnsi="宋体" w:eastAsia="宋体" w:cs="宋体"/>
          <w:sz w:val="24"/>
        </w:rPr>
      </w:pPr>
      <w:r>
        <w:rPr>
          <w:rFonts w:hint="eastAsia" w:ascii="宋体" w:hAnsi="宋体" w:eastAsia="宋体" w:cs="宋体"/>
          <w:sz w:val="24"/>
        </w:rPr>
        <w:t>本项目属于服务采购项目，本项目为非预留份额的采购项目或采购包，执行价格扣除优惠政策。本项目对服务全部由符合政策的小型企业和微型企业承接的，给予20%的扣除价格，用扣除后的价格参与评审。价格扣除比例对小型企业和微型企业同等对待，不作区分。监狱企业、残疾人福利单位属于小型、微型企业的，不重复享受政策。</w:t>
      </w:r>
    </w:p>
    <w:p w14:paraId="67F402D2">
      <w:pPr>
        <w:pStyle w:val="9"/>
        <w:widowControl/>
        <w:shd w:val="clear" w:color="auto" w:fill="FFFFFF"/>
        <w:spacing w:beforeAutospacing="0" w:afterAutospacing="0" w:line="440" w:lineRule="exact"/>
        <w:ind w:firstLine="240"/>
        <w:jc w:val="both"/>
        <w:outlineLvl w:val="9"/>
        <w:rPr>
          <w:rFonts w:ascii="宋体" w:hAnsi="宋体" w:eastAsia="宋体" w:cs="宋体"/>
          <w:color w:val="000000"/>
        </w:rPr>
      </w:pPr>
      <w:r>
        <w:rPr>
          <w:rFonts w:hint="eastAsia" w:ascii="宋体" w:hAnsi="宋体" w:eastAsia="宋体" w:cs="宋体"/>
          <w:color w:val="000000"/>
        </w:rPr>
        <w:t>（三）本项目的特定资格要求：</w:t>
      </w:r>
    </w:p>
    <w:p w14:paraId="11F85AA9">
      <w:pPr>
        <w:pStyle w:val="9"/>
        <w:widowControl/>
        <w:shd w:val="clear" w:color="auto" w:fill="FFFFFF"/>
        <w:spacing w:beforeAutospacing="0" w:afterAutospacing="0" w:line="440" w:lineRule="exact"/>
        <w:ind w:firstLine="560"/>
        <w:jc w:val="both"/>
        <w:outlineLvl w:val="9"/>
        <w:rPr>
          <w:rFonts w:ascii="宋体" w:hAnsi="宋体" w:eastAsia="宋体" w:cs="宋体"/>
          <w:color w:val="000000"/>
        </w:rPr>
      </w:pPr>
      <w:r>
        <w:rPr>
          <w:rFonts w:hint="eastAsia" w:ascii="宋体" w:hAnsi="宋体" w:eastAsia="宋体" w:cs="宋体"/>
          <w:color w:val="000000"/>
        </w:rPr>
        <w:t>1.在“信用中国”网站（www.creditchina.gov.cn）查询，无被列入失信被执行人、重大税收违法案件当事人名单、政府采购严重失信行为记录名单及其他不符合《中华人民共和国政府采购法》第二十二条规定条件的信用记录。</w:t>
      </w:r>
    </w:p>
    <w:p w14:paraId="76BB2DAD">
      <w:pPr>
        <w:pStyle w:val="9"/>
        <w:widowControl/>
        <w:shd w:val="clear" w:color="auto" w:fill="FFFFFF"/>
        <w:spacing w:beforeAutospacing="0" w:afterAutospacing="0" w:line="440" w:lineRule="exact"/>
        <w:ind w:firstLine="560"/>
        <w:jc w:val="both"/>
        <w:outlineLvl w:val="9"/>
        <w:rPr>
          <w:rFonts w:ascii="宋体" w:hAnsi="宋体" w:eastAsia="宋体" w:cs="宋体"/>
          <w:color w:val="000000"/>
        </w:rPr>
      </w:pPr>
      <w:r>
        <w:rPr>
          <w:rFonts w:hint="eastAsia" w:ascii="宋体" w:hAnsi="宋体" w:eastAsia="宋体" w:cs="宋体"/>
          <w:color w:val="000000"/>
        </w:rPr>
        <w:t>2.单位负责人为同一人或者存在直接控股、管理关系的不同供应商，不得参加同一合同项下的政府采购活动。</w:t>
      </w:r>
    </w:p>
    <w:p w14:paraId="4AB887E0">
      <w:pPr>
        <w:pStyle w:val="14"/>
        <w:keepNext/>
        <w:keepLines/>
        <w:spacing w:before="145" w:beforeAutospacing="0" w:after="145" w:afterAutospacing="0" w:line="560" w:lineRule="exact"/>
        <w:ind w:firstLine="498"/>
        <w:jc w:val="both"/>
        <w:outlineLvl w:val="9"/>
        <w:rPr>
          <w:rFonts w:ascii="宋体" w:hAnsi="宋体"/>
          <w:highlight w:val="none"/>
        </w:rPr>
      </w:pPr>
      <w:r>
        <w:rPr>
          <w:rFonts w:ascii="宋体" w:hAnsi="宋体"/>
          <w:b/>
          <w:color w:val="000000"/>
          <w:sz w:val="32"/>
          <w:szCs w:val="32"/>
        </w:rPr>
        <w:t>三、获</w:t>
      </w:r>
      <w:r>
        <w:rPr>
          <w:rFonts w:ascii="宋体" w:hAnsi="宋体"/>
          <w:b/>
          <w:color w:val="000000"/>
          <w:sz w:val="32"/>
          <w:szCs w:val="32"/>
          <w:highlight w:val="none"/>
        </w:rPr>
        <w:t>取招标文件</w:t>
      </w:r>
    </w:p>
    <w:p w14:paraId="6E8B4E80">
      <w:pPr>
        <w:pStyle w:val="14"/>
        <w:spacing w:beforeAutospacing="0" w:afterAutospacing="0" w:line="560" w:lineRule="exact"/>
        <w:ind w:firstLine="539"/>
        <w:jc w:val="both"/>
        <w:outlineLvl w:val="9"/>
        <w:rPr>
          <w:rFonts w:ascii="宋体" w:hAnsi="宋体"/>
          <w:highlight w:val="none"/>
        </w:rPr>
      </w:pPr>
      <w:bookmarkStart w:id="18" w:name="_Toc35393624"/>
      <w:bookmarkStart w:id="19" w:name="_Toc38985266"/>
      <w:bookmarkStart w:id="20" w:name="_Toc28359005"/>
      <w:bookmarkStart w:id="21" w:name="_Toc35393793"/>
      <w:bookmarkStart w:id="22" w:name="_Toc28359082"/>
      <w:r>
        <w:rPr>
          <w:rFonts w:hint="eastAsia" w:ascii="宋体" w:hAnsi="宋体" w:cs="宋体"/>
          <w:color w:val="000000"/>
          <w:highlight w:val="none"/>
        </w:rPr>
        <w:t>1.时间：</w:t>
      </w:r>
      <w:bookmarkEnd w:id="18"/>
      <w:bookmarkEnd w:id="19"/>
      <w:bookmarkEnd w:id="20"/>
      <w:bookmarkEnd w:id="21"/>
      <w:bookmarkEnd w:id="22"/>
      <w:r>
        <w:rPr>
          <w:rFonts w:hint="eastAsia" w:ascii="宋体" w:hAnsi="宋体" w:cs="宋体"/>
          <w:color w:val="000000"/>
          <w:highlight w:val="none"/>
        </w:rPr>
        <w:t>202</w:t>
      </w:r>
      <w:r>
        <w:rPr>
          <w:rFonts w:hint="eastAsia" w:ascii="宋体" w:hAnsi="宋体" w:cs="宋体"/>
          <w:color w:val="000000"/>
          <w:highlight w:val="none"/>
          <w:lang w:val="en-US" w:eastAsia="zh-CN"/>
        </w:rPr>
        <w:t>5</w:t>
      </w:r>
      <w:r>
        <w:rPr>
          <w:rFonts w:hint="eastAsia" w:ascii="宋体" w:hAnsi="宋体" w:cs="宋体"/>
          <w:color w:val="000000"/>
          <w:highlight w:val="none"/>
        </w:rPr>
        <w:t>-</w:t>
      </w:r>
      <w:r>
        <w:rPr>
          <w:rFonts w:hint="eastAsia" w:ascii="宋体" w:hAnsi="宋体" w:cs="宋体"/>
          <w:color w:val="000000"/>
          <w:highlight w:val="none"/>
          <w:lang w:val="en-US" w:eastAsia="zh-CN"/>
        </w:rPr>
        <w:t>1</w:t>
      </w:r>
      <w:r>
        <w:rPr>
          <w:rFonts w:hint="eastAsia" w:ascii="宋体" w:hAnsi="宋体" w:cs="宋体"/>
          <w:color w:val="000000"/>
          <w:highlight w:val="none"/>
        </w:rPr>
        <w:t>-</w:t>
      </w:r>
      <w:r>
        <w:rPr>
          <w:rFonts w:hint="eastAsia" w:ascii="宋体" w:hAnsi="宋体" w:cs="宋体"/>
          <w:color w:val="000000"/>
          <w:highlight w:val="none"/>
          <w:lang w:val="en-US" w:eastAsia="zh-CN"/>
        </w:rPr>
        <w:t>2日</w:t>
      </w:r>
      <w:r>
        <w:rPr>
          <w:rFonts w:hint="eastAsia" w:ascii="宋体" w:hAnsi="宋体" w:cs="宋体"/>
          <w:color w:val="000000"/>
          <w:highlight w:val="none"/>
        </w:rPr>
        <w:t>00:00 - 202</w:t>
      </w:r>
      <w:r>
        <w:rPr>
          <w:rFonts w:hint="eastAsia" w:ascii="宋体" w:hAnsi="宋体" w:cs="宋体"/>
          <w:color w:val="000000"/>
          <w:highlight w:val="none"/>
          <w:lang w:val="en-US" w:eastAsia="zh-CN"/>
        </w:rPr>
        <w:t>5</w:t>
      </w:r>
      <w:r>
        <w:rPr>
          <w:rFonts w:hint="eastAsia" w:ascii="宋体" w:hAnsi="宋体" w:cs="宋体"/>
          <w:color w:val="000000"/>
          <w:highlight w:val="none"/>
        </w:rPr>
        <w:t>-</w:t>
      </w:r>
      <w:r>
        <w:rPr>
          <w:rFonts w:hint="eastAsia" w:ascii="宋体" w:hAnsi="宋体" w:cs="宋体"/>
          <w:color w:val="000000"/>
          <w:highlight w:val="none"/>
          <w:lang w:val="en-US" w:eastAsia="zh-CN"/>
        </w:rPr>
        <w:t>1</w:t>
      </w:r>
      <w:r>
        <w:rPr>
          <w:rFonts w:hint="eastAsia" w:ascii="宋体" w:hAnsi="宋体" w:cs="宋体"/>
          <w:color w:val="000000"/>
          <w:highlight w:val="none"/>
        </w:rPr>
        <w:t>-</w:t>
      </w:r>
      <w:r>
        <w:rPr>
          <w:rFonts w:hint="eastAsia" w:ascii="宋体" w:hAnsi="宋体" w:cs="宋体"/>
          <w:color w:val="000000"/>
          <w:highlight w:val="none"/>
          <w:lang w:val="en-US" w:eastAsia="zh-CN"/>
        </w:rPr>
        <w:t>23</w:t>
      </w:r>
      <w:r>
        <w:rPr>
          <w:rFonts w:hint="eastAsia" w:ascii="宋体" w:hAnsi="宋体" w:cs="宋体"/>
          <w:color w:val="000000"/>
          <w:highlight w:val="none"/>
        </w:rPr>
        <w:t xml:space="preserve"> 23:59 ，每天上午00:00-12:00,下午12:00-23:59 （北京时间，法定节假日除外）</w:t>
      </w:r>
    </w:p>
    <w:p w14:paraId="082A3477">
      <w:pPr>
        <w:pStyle w:val="14"/>
        <w:spacing w:beforeAutospacing="0" w:afterAutospacing="0" w:line="560" w:lineRule="exact"/>
        <w:ind w:firstLine="539"/>
        <w:jc w:val="both"/>
        <w:outlineLvl w:val="9"/>
        <w:rPr>
          <w:rFonts w:ascii="宋体" w:hAnsi="宋体" w:cs="宋体"/>
          <w:color w:val="000000"/>
          <w:highlight w:val="none"/>
        </w:rPr>
      </w:pPr>
      <w:r>
        <w:rPr>
          <w:rFonts w:hint="eastAsia" w:ascii="宋体" w:hAnsi="宋体" w:cs="宋体"/>
          <w:color w:val="000000"/>
          <w:highlight w:val="none"/>
        </w:rPr>
        <w:t>2.</w:t>
      </w:r>
      <w:r>
        <w:rPr>
          <w:rFonts w:hint="eastAsia"/>
          <w:highlight w:val="none"/>
        </w:rPr>
        <w:t xml:space="preserve"> </w:t>
      </w:r>
      <w:r>
        <w:rPr>
          <w:rFonts w:hint="eastAsia" w:ascii="宋体" w:hAnsi="宋体" w:cs="宋体"/>
          <w:color w:val="000000"/>
          <w:highlight w:val="none"/>
        </w:rPr>
        <w:t>地点：“中国政府采购网、江苏政府采购网、盐城市政府采购网”</w:t>
      </w:r>
    </w:p>
    <w:p w14:paraId="35E8E5D4">
      <w:pPr>
        <w:pStyle w:val="14"/>
        <w:spacing w:beforeAutospacing="0" w:afterAutospacing="0" w:line="560" w:lineRule="exact"/>
        <w:ind w:firstLine="539"/>
        <w:jc w:val="both"/>
        <w:outlineLvl w:val="9"/>
        <w:rPr>
          <w:rFonts w:ascii="宋体" w:hAnsi="宋体" w:cs="宋体"/>
          <w:color w:val="000000"/>
          <w:highlight w:val="none"/>
        </w:rPr>
      </w:pPr>
      <w:r>
        <w:rPr>
          <w:rFonts w:hint="eastAsia" w:ascii="宋体" w:hAnsi="宋体" w:cs="宋体"/>
          <w:color w:val="000000"/>
          <w:highlight w:val="none"/>
        </w:rPr>
        <w:t>3.方式：在“中国政府采购网、江苏政府采购网、盐城市政府采购网”自行免费下载招标文件。</w:t>
      </w:r>
    </w:p>
    <w:p w14:paraId="5C22239B">
      <w:pPr>
        <w:pStyle w:val="14"/>
        <w:spacing w:beforeAutospacing="0" w:afterAutospacing="0" w:line="560" w:lineRule="exact"/>
        <w:ind w:firstLine="539"/>
        <w:jc w:val="both"/>
        <w:outlineLvl w:val="9"/>
        <w:rPr>
          <w:rFonts w:ascii="宋体" w:hAnsi="宋体"/>
          <w:highlight w:val="none"/>
        </w:rPr>
      </w:pPr>
      <w:r>
        <w:rPr>
          <w:rFonts w:hint="eastAsia" w:ascii="宋体" w:hAnsi="宋体"/>
          <w:highlight w:val="none"/>
        </w:rPr>
        <w:t>4.售价：0元</w:t>
      </w:r>
    </w:p>
    <w:p w14:paraId="29D6CF7C">
      <w:pPr>
        <w:pStyle w:val="14"/>
        <w:keepNext/>
        <w:keepLines/>
        <w:spacing w:before="145" w:beforeAutospacing="0" w:after="145" w:afterAutospacing="0" w:line="560" w:lineRule="exact"/>
        <w:ind w:firstLine="498"/>
        <w:jc w:val="both"/>
        <w:outlineLvl w:val="9"/>
        <w:rPr>
          <w:rFonts w:ascii="宋体" w:hAnsi="宋体"/>
          <w:highlight w:val="none"/>
        </w:rPr>
      </w:pPr>
      <w:r>
        <w:rPr>
          <w:rFonts w:ascii="宋体" w:hAnsi="宋体"/>
          <w:b/>
          <w:color w:val="000000"/>
          <w:sz w:val="32"/>
          <w:szCs w:val="32"/>
          <w:highlight w:val="none"/>
        </w:rPr>
        <w:t>四、提交投标文件截止时间、开标时间和地点</w:t>
      </w:r>
    </w:p>
    <w:p w14:paraId="089B8D33">
      <w:pPr>
        <w:pStyle w:val="14"/>
        <w:spacing w:beforeAutospacing="0" w:afterAutospacing="0" w:line="560" w:lineRule="exact"/>
        <w:ind w:firstLine="482"/>
        <w:jc w:val="both"/>
        <w:outlineLvl w:val="9"/>
        <w:rPr>
          <w:rFonts w:ascii="宋体" w:hAnsi="宋体"/>
          <w:highlight w:val="none"/>
          <w:u w:val="single"/>
        </w:rPr>
      </w:pPr>
      <w:r>
        <w:rPr>
          <w:rFonts w:hint="eastAsia" w:ascii="宋体" w:hAnsi="宋体"/>
          <w:highlight w:val="none"/>
        </w:rPr>
        <w:t>1.时间：</w:t>
      </w:r>
      <w:r>
        <w:rPr>
          <w:rFonts w:hint="eastAsia" w:ascii="宋体" w:hAnsi="宋体"/>
          <w:highlight w:val="none"/>
          <w:u w:val="single"/>
        </w:rPr>
        <w:t>202</w:t>
      </w:r>
      <w:r>
        <w:rPr>
          <w:rFonts w:hint="eastAsia" w:ascii="宋体" w:hAnsi="宋体"/>
          <w:highlight w:val="none"/>
          <w:u w:val="single"/>
          <w:lang w:val="en-US" w:eastAsia="zh-CN"/>
        </w:rPr>
        <w:t>5</w:t>
      </w:r>
      <w:r>
        <w:rPr>
          <w:rFonts w:hint="eastAsia" w:ascii="宋体" w:hAnsi="宋体"/>
          <w:highlight w:val="none"/>
          <w:u w:val="single"/>
        </w:rPr>
        <w:t>年</w:t>
      </w:r>
      <w:r>
        <w:rPr>
          <w:rFonts w:hint="eastAsia" w:ascii="宋体" w:hAnsi="宋体"/>
          <w:highlight w:val="none"/>
          <w:u w:val="single"/>
          <w:lang w:val="en-US" w:eastAsia="zh-CN"/>
        </w:rPr>
        <w:t>1</w:t>
      </w:r>
      <w:r>
        <w:rPr>
          <w:rFonts w:hint="eastAsia" w:ascii="宋体" w:hAnsi="宋体"/>
          <w:highlight w:val="none"/>
          <w:u w:val="single"/>
        </w:rPr>
        <w:t>月</w:t>
      </w:r>
      <w:r>
        <w:rPr>
          <w:rFonts w:hint="eastAsia" w:ascii="宋体" w:hAnsi="宋体"/>
          <w:highlight w:val="none"/>
          <w:u w:val="single"/>
          <w:lang w:val="en-US" w:eastAsia="zh-CN"/>
        </w:rPr>
        <w:t>24</w:t>
      </w:r>
      <w:r>
        <w:rPr>
          <w:rFonts w:hint="eastAsia" w:ascii="宋体" w:hAnsi="宋体"/>
          <w:highlight w:val="none"/>
          <w:u w:val="single"/>
        </w:rPr>
        <w:t>日</w:t>
      </w:r>
      <w:r>
        <w:rPr>
          <w:rFonts w:hint="eastAsia" w:ascii="宋体" w:hAnsi="宋体"/>
          <w:highlight w:val="none"/>
          <w:u w:val="single"/>
          <w:lang w:val="en-US" w:eastAsia="zh-CN"/>
        </w:rPr>
        <w:t>9</w:t>
      </w:r>
      <w:r>
        <w:rPr>
          <w:rFonts w:hint="eastAsia" w:ascii="宋体" w:hAnsi="宋体"/>
          <w:highlight w:val="none"/>
          <w:u w:val="single"/>
        </w:rPr>
        <w:t>点</w:t>
      </w:r>
      <w:r>
        <w:rPr>
          <w:rFonts w:hint="eastAsia" w:ascii="宋体" w:hAnsi="宋体"/>
          <w:highlight w:val="none"/>
          <w:u w:val="single"/>
          <w:lang w:val="en-US" w:eastAsia="zh-CN"/>
        </w:rPr>
        <w:t>0</w:t>
      </w:r>
      <w:r>
        <w:rPr>
          <w:rFonts w:hint="eastAsia" w:ascii="宋体" w:hAnsi="宋体"/>
          <w:highlight w:val="none"/>
          <w:u w:val="single"/>
        </w:rPr>
        <w:t>分（北京时间）。</w:t>
      </w:r>
    </w:p>
    <w:p w14:paraId="232D45BB">
      <w:pPr>
        <w:pStyle w:val="14"/>
        <w:spacing w:beforeAutospacing="0" w:afterAutospacing="0" w:line="560" w:lineRule="exact"/>
        <w:ind w:firstLine="482"/>
        <w:jc w:val="both"/>
        <w:outlineLvl w:val="9"/>
        <w:rPr>
          <w:rFonts w:ascii="宋体" w:hAnsi="宋体"/>
          <w:highlight w:val="none"/>
        </w:rPr>
      </w:pPr>
      <w:r>
        <w:rPr>
          <w:rFonts w:hint="eastAsia" w:ascii="宋体" w:hAnsi="宋体"/>
          <w:highlight w:val="none"/>
        </w:rPr>
        <w:t>2.地点：“苏采云”政府采购交易系统网上开标大厅。</w:t>
      </w:r>
    </w:p>
    <w:p w14:paraId="0E1DB33A">
      <w:pPr>
        <w:pStyle w:val="14"/>
        <w:keepNext/>
        <w:keepLines/>
        <w:spacing w:before="145" w:beforeAutospacing="0" w:after="145" w:afterAutospacing="0" w:line="560" w:lineRule="exact"/>
        <w:ind w:firstLine="498"/>
        <w:jc w:val="both"/>
        <w:outlineLvl w:val="9"/>
        <w:rPr>
          <w:rFonts w:ascii="宋体" w:hAnsi="宋体"/>
        </w:rPr>
      </w:pPr>
      <w:bookmarkStart w:id="23" w:name="_Toc35393625"/>
      <w:bookmarkStart w:id="24" w:name="_Toc35393794"/>
      <w:bookmarkStart w:id="25" w:name="_Toc28359007"/>
      <w:bookmarkStart w:id="26" w:name="_Toc28359084"/>
      <w:bookmarkStart w:id="27" w:name="_Toc38985267"/>
      <w:r>
        <w:rPr>
          <w:rFonts w:ascii="宋体" w:hAnsi="宋体"/>
          <w:b/>
          <w:color w:val="000000"/>
          <w:sz w:val="32"/>
          <w:szCs w:val="32"/>
        </w:rPr>
        <w:t>五、公告期限</w:t>
      </w:r>
      <w:bookmarkEnd w:id="23"/>
      <w:bookmarkEnd w:id="24"/>
      <w:bookmarkEnd w:id="25"/>
      <w:bookmarkEnd w:id="26"/>
      <w:bookmarkEnd w:id="27"/>
    </w:p>
    <w:p w14:paraId="520BE15C">
      <w:pPr>
        <w:pStyle w:val="14"/>
        <w:spacing w:beforeAutospacing="0" w:afterAutospacing="0" w:line="560" w:lineRule="exact"/>
        <w:ind w:firstLine="480"/>
        <w:jc w:val="both"/>
        <w:outlineLvl w:val="9"/>
        <w:rPr>
          <w:rFonts w:ascii="宋体" w:hAnsi="宋体"/>
        </w:rPr>
      </w:pPr>
      <w:bookmarkStart w:id="28" w:name="_Toc38985268"/>
      <w:bookmarkStart w:id="29" w:name="_Toc35393626"/>
      <w:bookmarkStart w:id="30" w:name="_Toc35393795"/>
      <w:r>
        <w:rPr>
          <w:rFonts w:hint="eastAsia" w:ascii="宋体" w:hAnsi="宋体" w:cs="宋体"/>
          <w:color w:val="000000"/>
        </w:rPr>
        <w:t>自本公告发布之日起5个工作日。</w:t>
      </w:r>
      <w:bookmarkEnd w:id="28"/>
      <w:bookmarkEnd w:id="29"/>
      <w:bookmarkEnd w:id="30"/>
    </w:p>
    <w:p w14:paraId="01C4DD3C">
      <w:pPr>
        <w:pStyle w:val="14"/>
        <w:keepNext/>
        <w:keepLines/>
        <w:spacing w:before="145" w:beforeAutospacing="0" w:after="145" w:afterAutospacing="0" w:line="560" w:lineRule="exact"/>
        <w:ind w:firstLine="498"/>
        <w:jc w:val="both"/>
        <w:outlineLvl w:val="9"/>
        <w:rPr>
          <w:rFonts w:ascii="宋体" w:hAnsi="宋体"/>
          <w:b/>
          <w:color w:val="000000"/>
          <w:sz w:val="32"/>
          <w:szCs w:val="32"/>
        </w:rPr>
      </w:pPr>
      <w:r>
        <w:rPr>
          <w:rFonts w:ascii="宋体" w:hAnsi="宋体"/>
          <w:b/>
          <w:color w:val="000000"/>
          <w:sz w:val="32"/>
          <w:szCs w:val="32"/>
        </w:rPr>
        <w:t>六、其他补充事宜</w:t>
      </w:r>
    </w:p>
    <w:p w14:paraId="1D08BFB8">
      <w:pPr>
        <w:pStyle w:val="14"/>
        <w:spacing w:beforeAutospacing="0" w:afterAutospacing="0" w:line="560" w:lineRule="exact"/>
        <w:ind w:firstLine="482"/>
        <w:outlineLvl w:val="9"/>
        <w:rPr>
          <w:rFonts w:ascii="宋体" w:hAnsi="宋体" w:cs="宋体"/>
          <w:color w:val="000000"/>
        </w:rPr>
      </w:pPr>
      <w:r>
        <w:rPr>
          <w:rFonts w:hint="eastAsia" w:ascii="宋体" w:hAnsi="宋体" w:cs="宋体"/>
          <w:color w:val="000000"/>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4245D8C4">
      <w:pPr>
        <w:pStyle w:val="14"/>
        <w:spacing w:beforeAutospacing="0" w:afterAutospacing="0" w:line="560" w:lineRule="exact"/>
        <w:ind w:firstLine="482"/>
        <w:outlineLvl w:val="9"/>
        <w:rPr>
          <w:rFonts w:ascii="宋体" w:hAnsi="宋体" w:cs="宋体"/>
          <w:color w:val="000000"/>
        </w:rPr>
      </w:pPr>
      <w:r>
        <w:rPr>
          <w:rFonts w:hint="eastAsia" w:ascii="宋体" w:hAnsi="宋体" w:cs="宋体"/>
          <w:color w:val="000000"/>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p>
    <w:p w14:paraId="1EEBB098">
      <w:pPr>
        <w:pStyle w:val="14"/>
        <w:spacing w:beforeAutospacing="0" w:afterAutospacing="0" w:line="560" w:lineRule="exact"/>
        <w:ind w:firstLine="482"/>
        <w:outlineLvl w:val="9"/>
        <w:rPr>
          <w:rFonts w:ascii="宋体" w:hAnsi="宋体" w:cs="宋体"/>
          <w:color w:val="000000"/>
        </w:rPr>
      </w:pPr>
      <w:r>
        <w:rPr>
          <w:rFonts w:hint="eastAsia" w:ascii="宋体" w:hAnsi="宋体" w:cs="宋体"/>
          <w:color w:val="000000"/>
        </w:rPr>
        <w:t>2.有关本次招标的事项若存在变动或修改，敬请及时关注射阳县行政服务中心在“中国政府采购网、江苏政府采购网、盐城市政府采购网”发布的更正公告。</w:t>
      </w:r>
    </w:p>
    <w:p w14:paraId="10F48FA5">
      <w:pPr>
        <w:pStyle w:val="14"/>
        <w:spacing w:beforeAutospacing="0" w:afterAutospacing="0" w:line="560" w:lineRule="exact"/>
        <w:ind w:firstLine="482"/>
        <w:outlineLvl w:val="9"/>
        <w:rPr>
          <w:rFonts w:ascii="宋体" w:hAnsi="宋体" w:cs="宋体"/>
          <w:color w:val="000000"/>
        </w:rPr>
      </w:pPr>
      <w:r>
        <w:rPr>
          <w:rFonts w:hint="eastAsia" w:ascii="宋体" w:hAnsi="宋体" w:cs="宋体"/>
          <w:color w:val="000000"/>
        </w:rPr>
        <w:t>3.本次招标不收取投标保证金，不收取质量保证金。</w:t>
      </w:r>
    </w:p>
    <w:p w14:paraId="43B564BC">
      <w:pPr>
        <w:pStyle w:val="14"/>
        <w:spacing w:beforeAutospacing="0" w:afterAutospacing="0" w:line="560" w:lineRule="exact"/>
        <w:ind w:firstLine="482"/>
        <w:outlineLvl w:val="9"/>
        <w:rPr>
          <w:rFonts w:ascii="宋体" w:hAnsi="宋体" w:cs="宋体"/>
          <w:color w:val="000000"/>
        </w:rPr>
      </w:pPr>
      <w:r>
        <w:rPr>
          <w:rFonts w:hint="eastAsia" w:ascii="宋体" w:hAnsi="宋体" w:cs="宋体"/>
          <w:color w:val="000000"/>
        </w:rPr>
        <w:t>4.电子投标文件一份(通过系统提交)；纸质投标文件正本一份，副本四份（评审结束后由中标候选人提供，未中标单位不需要提供）。</w:t>
      </w:r>
    </w:p>
    <w:p w14:paraId="3B4ED7AB">
      <w:pPr>
        <w:pStyle w:val="14"/>
        <w:spacing w:beforeAutospacing="0" w:afterAutospacing="0" w:line="560" w:lineRule="exact"/>
        <w:ind w:firstLine="482"/>
        <w:outlineLvl w:val="9"/>
        <w:rPr>
          <w:rFonts w:ascii="宋体" w:hAnsi="宋体" w:cs="宋体"/>
          <w:color w:val="000000"/>
        </w:rPr>
      </w:pPr>
      <w:r>
        <w:rPr>
          <w:rFonts w:hint="eastAsia" w:ascii="宋体" w:hAnsi="宋体" w:cs="宋体"/>
          <w:color w:val="000000"/>
        </w:rPr>
        <w:t>5.因投标人的系统环境、操作等原因导致的问题由投标人自行承担负责。</w:t>
      </w:r>
    </w:p>
    <w:p w14:paraId="48A008AE">
      <w:pPr>
        <w:pStyle w:val="14"/>
        <w:spacing w:beforeAutospacing="0" w:afterAutospacing="0" w:line="560" w:lineRule="exact"/>
        <w:ind w:firstLine="482"/>
        <w:jc w:val="both"/>
        <w:outlineLvl w:val="9"/>
        <w:rPr>
          <w:rFonts w:ascii="宋体" w:hAnsi="宋体" w:cs="宋体"/>
          <w:color w:val="000000"/>
        </w:rPr>
      </w:pPr>
      <w:r>
        <w:rPr>
          <w:rFonts w:hint="eastAsia" w:ascii="宋体" w:hAnsi="宋体" w:cs="宋体"/>
          <w:color w:val="000000"/>
        </w:rPr>
        <w:t>6.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bookmarkStart w:id="31" w:name="_Toc28359008"/>
      <w:bookmarkStart w:id="32" w:name="_Toc28359085"/>
      <w:bookmarkStart w:id="33" w:name="_Toc38985269"/>
      <w:bookmarkStart w:id="34" w:name="_Toc35393796"/>
      <w:bookmarkStart w:id="35" w:name="_Toc35393627"/>
    </w:p>
    <w:p w14:paraId="7302F565">
      <w:pPr>
        <w:pStyle w:val="14"/>
        <w:spacing w:beforeAutospacing="0" w:afterAutospacing="0" w:line="560" w:lineRule="exact"/>
        <w:ind w:firstLine="482"/>
        <w:jc w:val="both"/>
        <w:outlineLvl w:val="9"/>
        <w:rPr>
          <w:rFonts w:ascii="宋体" w:hAnsi="宋体"/>
        </w:rPr>
      </w:pPr>
      <w:r>
        <w:rPr>
          <w:rFonts w:ascii="宋体" w:hAnsi="宋体"/>
          <w:b/>
          <w:color w:val="000000"/>
          <w:sz w:val="32"/>
          <w:szCs w:val="32"/>
        </w:rPr>
        <w:t>七、本次招标联系方式</w:t>
      </w:r>
      <w:bookmarkEnd w:id="31"/>
      <w:bookmarkEnd w:id="32"/>
      <w:bookmarkEnd w:id="33"/>
      <w:bookmarkEnd w:id="34"/>
      <w:bookmarkEnd w:id="35"/>
    </w:p>
    <w:p w14:paraId="58B17A11">
      <w:pPr>
        <w:keepNext/>
        <w:keepLines/>
        <w:pageBreakBefore w:val="0"/>
        <w:spacing w:before="145" w:after="145" w:line="420" w:lineRule="exact"/>
        <w:ind w:firstLine="498"/>
        <w:outlineLvl w:val="9"/>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名 称：江苏省射阳中学  </w:t>
      </w:r>
    </w:p>
    <w:p w14:paraId="258A51E6">
      <w:pPr>
        <w:keepNext/>
        <w:keepLines/>
        <w:pageBreakBefore w:val="0"/>
        <w:spacing w:before="145" w:after="145" w:line="420" w:lineRule="exact"/>
        <w:ind w:firstLine="498"/>
        <w:outlineLvl w:val="9"/>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地址：射阳县幸福大道</w:t>
      </w:r>
    </w:p>
    <w:p w14:paraId="7790932B">
      <w:pPr>
        <w:keepNext/>
        <w:keepLines/>
        <w:pageBreakBefore w:val="0"/>
        <w:spacing w:before="145" w:after="145" w:line="420" w:lineRule="exact"/>
        <w:ind w:firstLine="498"/>
        <w:outlineLvl w:val="9"/>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联系人：陈玉岭           </w:t>
      </w:r>
    </w:p>
    <w:p w14:paraId="6C971E85">
      <w:pPr>
        <w:keepNext/>
        <w:keepLines/>
        <w:pageBreakBefore w:val="0"/>
        <w:spacing w:before="145" w:after="145" w:line="420" w:lineRule="exact"/>
        <w:ind w:firstLine="498"/>
        <w:outlineLvl w:val="9"/>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联系方式：13305115211           </w:t>
      </w:r>
    </w:p>
    <w:p w14:paraId="50189E37">
      <w:pPr>
        <w:keepNext/>
        <w:keepLines/>
        <w:pageBreakBefore w:val="0"/>
        <w:spacing w:before="145" w:after="145" w:line="420" w:lineRule="exact"/>
        <w:ind w:firstLine="498"/>
        <w:outlineLvl w:val="9"/>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2.采购代理机构信息</w:t>
      </w:r>
    </w:p>
    <w:p w14:paraId="184E0A2E">
      <w:pPr>
        <w:keepNext/>
        <w:keepLines/>
        <w:pageBreakBefore w:val="0"/>
        <w:spacing w:before="145" w:after="145" w:line="420" w:lineRule="exact"/>
        <w:ind w:firstLine="498"/>
        <w:outlineLvl w:val="9"/>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单位名称：射阳县行政服务中心</w:t>
      </w:r>
    </w:p>
    <w:p w14:paraId="419688AA">
      <w:pPr>
        <w:keepNext/>
        <w:keepLines/>
        <w:pageBreakBefore w:val="0"/>
        <w:spacing w:before="145" w:after="145" w:line="420" w:lineRule="exact"/>
        <w:ind w:firstLine="498"/>
        <w:outlineLvl w:val="9"/>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单位地址：盐城市射阳县幸福大道16号</w:t>
      </w:r>
    </w:p>
    <w:p w14:paraId="61DBA58D">
      <w:pPr>
        <w:keepNext/>
        <w:keepLines/>
        <w:pageBreakBefore w:val="0"/>
        <w:spacing w:before="145" w:after="145" w:line="420" w:lineRule="exact"/>
        <w:ind w:firstLine="498"/>
        <w:outlineLvl w:val="9"/>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联系人：集采科</w:t>
      </w:r>
    </w:p>
    <w:p w14:paraId="2F514D44">
      <w:pPr>
        <w:keepNext/>
        <w:keepLines/>
        <w:pageBreakBefore w:val="0"/>
        <w:spacing w:before="145" w:after="145" w:line="420" w:lineRule="exact"/>
        <w:ind w:firstLine="498"/>
        <w:outlineLvl w:val="9"/>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联系电话：0515-82391711</w:t>
      </w:r>
    </w:p>
    <w:p w14:paraId="0DADC359">
      <w:pPr>
        <w:pStyle w:val="14"/>
        <w:spacing w:beforeAutospacing="0" w:afterAutospacing="0" w:line="0" w:lineRule="atLeast"/>
        <w:ind w:firstLine="480"/>
        <w:jc w:val="both"/>
        <w:rPr>
          <w:rFonts w:ascii="宋体" w:hAnsi="宋体"/>
          <w:highlight w:val="none"/>
        </w:rPr>
      </w:pPr>
      <w:r>
        <w:rPr>
          <w:rFonts w:ascii="宋体" w:hAnsi="宋体"/>
          <w:highlight w:val="none"/>
        </w:rPr>
        <w:t> </w:t>
      </w:r>
    </w:p>
    <w:p w14:paraId="4CB31762">
      <w:pPr>
        <w:pStyle w:val="14"/>
        <w:spacing w:beforeAutospacing="0" w:afterAutospacing="0"/>
        <w:ind w:right="0" w:rightChars="0"/>
        <w:jc w:val="center"/>
        <w:outlineLvl w:val="0"/>
        <w:rPr>
          <w:rFonts w:hint="eastAsia" w:ascii="宋体" w:hAnsi="宋体" w:eastAsia="宋体"/>
          <w:lang w:eastAsia="zh-CN"/>
        </w:rPr>
      </w:pPr>
      <w:r>
        <w:rPr>
          <w:rFonts w:hint="eastAsia" w:ascii="宋体" w:hAnsi="宋体" w:cs="宋体"/>
          <w:color w:val="000000"/>
        </w:rPr>
        <w:br w:type="page" w:clear="all"/>
      </w:r>
      <w:bookmarkStart w:id="36" w:name="_Toc120614211"/>
      <w:bookmarkStart w:id="37" w:name="_Toc15869"/>
      <w:r>
        <w:rPr>
          <w:rFonts w:hint="eastAsia" w:ascii="宋体" w:hAnsi="宋体" w:eastAsia="宋体" w:cs="黑体"/>
          <w:b/>
          <w:color w:val="000000"/>
          <w:sz w:val="44"/>
          <w:szCs w:val="44"/>
        </w:rPr>
        <w:t>第二章</w:t>
      </w:r>
      <w:bookmarkEnd w:id="36"/>
      <w:bookmarkStart w:id="38" w:name="_Toc120614213"/>
      <w:bookmarkStart w:id="39" w:name="_Toc513029202"/>
      <w:bookmarkStart w:id="40" w:name="_Toc20823274"/>
      <w:bookmarkStart w:id="41" w:name="_Toc16938518"/>
      <w:r>
        <w:rPr>
          <w:rFonts w:hint="eastAsia" w:ascii="宋体" w:hAnsi="宋体" w:eastAsia="宋体" w:cs="黑体"/>
          <w:b/>
          <w:color w:val="000000"/>
          <w:sz w:val="44"/>
          <w:szCs w:val="44"/>
          <w:lang w:val="en-US" w:eastAsia="zh-CN"/>
        </w:rPr>
        <w:t xml:space="preserve">   </w:t>
      </w:r>
      <w:r>
        <w:rPr>
          <w:rFonts w:hint="eastAsia" w:ascii="宋体" w:hAnsi="宋体" w:eastAsia="宋体" w:cs="黑体"/>
          <w:b/>
          <w:color w:val="000000"/>
          <w:sz w:val="44"/>
          <w:szCs w:val="44"/>
        </w:rPr>
        <w:t>投标人</w:t>
      </w:r>
      <w:bookmarkEnd w:id="38"/>
      <w:bookmarkEnd w:id="39"/>
      <w:bookmarkEnd w:id="40"/>
      <w:bookmarkEnd w:id="41"/>
      <w:r>
        <w:rPr>
          <w:rFonts w:hint="eastAsia" w:ascii="宋体" w:hAnsi="宋体" w:eastAsia="宋体" w:cs="黑体"/>
          <w:b/>
          <w:color w:val="000000"/>
          <w:sz w:val="44"/>
          <w:szCs w:val="44"/>
          <w:lang w:val="en-US" w:eastAsia="zh-CN"/>
        </w:rPr>
        <w:t>须知</w:t>
      </w:r>
      <w:bookmarkEnd w:id="37"/>
    </w:p>
    <w:p w14:paraId="074AD10B">
      <w:pPr>
        <w:pStyle w:val="14"/>
        <w:keepNext/>
        <w:keepLines/>
        <w:spacing w:before="145" w:beforeAutospacing="0" w:after="145" w:afterAutospacing="0" w:line="360" w:lineRule="auto"/>
        <w:ind w:firstLine="498"/>
        <w:jc w:val="both"/>
        <w:outlineLvl w:val="9"/>
        <w:rPr>
          <w:rFonts w:ascii="宋体" w:hAnsi="宋体"/>
        </w:rPr>
      </w:pPr>
      <w:bookmarkStart w:id="42" w:name="_Toc120614214"/>
      <w:bookmarkStart w:id="43" w:name="_Toc513029203"/>
      <w:bookmarkStart w:id="44" w:name="_Toc16938519"/>
      <w:bookmarkStart w:id="45" w:name="_Toc20823275"/>
      <w:r>
        <w:rPr>
          <w:rFonts w:ascii="宋体" w:hAnsi="宋体"/>
          <w:b/>
          <w:color w:val="000000"/>
          <w:sz w:val="32"/>
          <w:szCs w:val="32"/>
        </w:rPr>
        <w:t>一、总则</w:t>
      </w:r>
      <w:bookmarkEnd w:id="42"/>
      <w:bookmarkEnd w:id="43"/>
      <w:bookmarkEnd w:id="44"/>
      <w:bookmarkEnd w:id="45"/>
    </w:p>
    <w:p w14:paraId="4D5D8007">
      <w:pPr>
        <w:pStyle w:val="14"/>
        <w:keepNext/>
        <w:keepLines/>
        <w:spacing w:beforeAutospacing="0" w:afterAutospacing="0" w:line="360" w:lineRule="auto"/>
        <w:ind w:firstLine="420"/>
        <w:jc w:val="both"/>
        <w:outlineLvl w:val="9"/>
        <w:rPr>
          <w:rFonts w:ascii="宋体" w:hAnsi="宋体"/>
        </w:rPr>
      </w:pPr>
      <w:bookmarkStart w:id="46" w:name="_Toc20823276"/>
      <w:bookmarkStart w:id="47" w:name="_Toc16938520"/>
      <w:bookmarkStart w:id="48" w:name="_Toc458694821"/>
      <w:bookmarkStart w:id="49" w:name="_Toc513029204"/>
      <w:r>
        <w:rPr>
          <w:rFonts w:ascii="宋体" w:hAnsi="宋体" w:cs="Arial"/>
          <w:color w:val="000000"/>
          <w:sz w:val="28"/>
          <w:szCs w:val="28"/>
        </w:rPr>
        <w:t>1</w:t>
      </w:r>
      <w:bookmarkEnd w:id="46"/>
      <w:r>
        <w:rPr>
          <w:rFonts w:ascii="宋体" w:hAnsi="宋体" w:cs="Arial"/>
          <w:color w:val="000000"/>
          <w:sz w:val="28"/>
          <w:szCs w:val="28"/>
        </w:rPr>
        <w:t>、招标方式</w:t>
      </w:r>
      <w:bookmarkEnd w:id="47"/>
      <w:bookmarkEnd w:id="48"/>
      <w:bookmarkEnd w:id="49"/>
    </w:p>
    <w:p w14:paraId="047EEB3D">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1.1 本次招标采取公开招标方式，本招标文件仅适用于招标公告中所述项目。</w:t>
      </w:r>
    </w:p>
    <w:p w14:paraId="6B30B67E">
      <w:pPr>
        <w:pStyle w:val="14"/>
        <w:keepNext/>
        <w:keepLines/>
        <w:spacing w:beforeAutospacing="0" w:afterAutospacing="0" w:line="360" w:lineRule="auto"/>
        <w:ind w:firstLine="420"/>
        <w:jc w:val="both"/>
        <w:outlineLvl w:val="9"/>
        <w:rPr>
          <w:rFonts w:ascii="宋体" w:hAnsi="宋体"/>
        </w:rPr>
      </w:pPr>
      <w:bookmarkStart w:id="50" w:name="_Toc513029205"/>
      <w:bookmarkStart w:id="51" w:name="_Toc20823277"/>
      <w:bookmarkStart w:id="52" w:name="_Toc16938521"/>
      <w:r>
        <w:rPr>
          <w:rFonts w:ascii="宋体" w:hAnsi="宋体" w:cs="Arial"/>
          <w:color w:val="000000"/>
          <w:sz w:val="28"/>
          <w:szCs w:val="28"/>
        </w:rPr>
        <w:t>2、合格的投标人</w:t>
      </w:r>
      <w:bookmarkEnd w:id="50"/>
      <w:bookmarkEnd w:id="51"/>
      <w:bookmarkEnd w:id="52"/>
    </w:p>
    <w:p w14:paraId="166149A3">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2.1满足招标公告中供应商的资格要求的规定。</w:t>
      </w:r>
    </w:p>
    <w:p w14:paraId="5A7EF3D9">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2.2 满足本文件实质性要求和条件的规定。</w:t>
      </w:r>
    </w:p>
    <w:p w14:paraId="43A0F220">
      <w:pPr>
        <w:pStyle w:val="14"/>
        <w:keepNext/>
        <w:keepLines/>
        <w:spacing w:beforeAutospacing="0" w:afterAutospacing="0" w:line="360" w:lineRule="auto"/>
        <w:ind w:firstLine="420"/>
        <w:jc w:val="both"/>
        <w:outlineLvl w:val="9"/>
        <w:rPr>
          <w:rFonts w:ascii="宋体" w:hAnsi="宋体"/>
        </w:rPr>
      </w:pPr>
      <w:bookmarkStart w:id="53" w:name="_Toc20823278"/>
      <w:bookmarkStart w:id="54" w:name="_Toc16938522"/>
      <w:bookmarkStart w:id="55" w:name="_Toc513029206"/>
      <w:r>
        <w:rPr>
          <w:rFonts w:ascii="宋体" w:hAnsi="宋体" w:cs="Arial"/>
          <w:color w:val="000000"/>
          <w:sz w:val="28"/>
          <w:szCs w:val="28"/>
        </w:rPr>
        <w:t>3、适用法律</w:t>
      </w:r>
      <w:bookmarkEnd w:id="53"/>
      <w:bookmarkEnd w:id="54"/>
      <w:bookmarkEnd w:id="55"/>
    </w:p>
    <w:p w14:paraId="0F32EE47">
      <w:pPr>
        <w:pStyle w:val="14"/>
        <w:spacing w:beforeAutospacing="0" w:afterAutospacing="0" w:line="360" w:lineRule="auto"/>
        <w:ind w:firstLine="420"/>
        <w:jc w:val="both"/>
        <w:outlineLvl w:val="9"/>
        <w:rPr>
          <w:rFonts w:ascii="宋体" w:hAnsi="宋体"/>
        </w:rPr>
      </w:pPr>
      <w:r>
        <w:rPr>
          <w:rFonts w:hint="eastAsia" w:ascii="宋体" w:hAnsi="宋体" w:cs="宋体"/>
          <w:color w:val="000000"/>
        </w:rPr>
        <w:t>3.1 本次招标及由此产生的合同受中华人民共和国有关的法律法规制约和保护。</w:t>
      </w:r>
    </w:p>
    <w:p w14:paraId="6BFC2554">
      <w:pPr>
        <w:pStyle w:val="14"/>
        <w:keepNext/>
        <w:keepLines/>
        <w:spacing w:beforeAutospacing="0" w:afterAutospacing="0" w:line="360" w:lineRule="auto"/>
        <w:ind w:firstLine="420"/>
        <w:jc w:val="both"/>
        <w:outlineLvl w:val="9"/>
        <w:rPr>
          <w:rFonts w:ascii="宋体" w:hAnsi="宋体"/>
        </w:rPr>
      </w:pPr>
      <w:bookmarkStart w:id="56" w:name="_Toc20823279"/>
      <w:bookmarkStart w:id="57" w:name="_Toc513029207"/>
      <w:bookmarkStart w:id="58" w:name="_Toc16938523"/>
      <w:bookmarkStart w:id="59" w:name="_Toc462564067"/>
      <w:r>
        <w:rPr>
          <w:rFonts w:ascii="宋体" w:hAnsi="宋体" w:cs="Arial"/>
          <w:color w:val="000000"/>
          <w:sz w:val="28"/>
          <w:szCs w:val="28"/>
        </w:rPr>
        <w:t>4、投标费用</w:t>
      </w:r>
      <w:bookmarkEnd w:id="56"/>
      <w:bookmarkEnd w:id="57"/>
      <w:bookmarkEnd w:id="58"/>
      <w:bookmarkEnd w:id="59"/>
    </w:p>
    <w:p w14:paraId="098528D0">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4.1 投标人应自行承担所有与参加投标有关的费用，无论投标过程中的做法和结果如何，射阳县行政服务中心（以下简称采购中心）在任何情况下均无义务和责任承担这些费用。</w:t>
      </w:r>
    </w:p>
    <w:p w14:paraId="4236427F">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4.2本次招标采购中心和采购人不收取标书工本费。</w:t>
      </w:r>
    </w:p>
    <w:p w14:paraId="1F618935">
      <w:pPr>
        <w:pStyle w:val="14"/>
        <w:keepNext/>
        <w:keepLines/>
        <w:spacing w:beforeAutospacing="0" w:afterAutospacing="0" w:line="360" w:lineRule="auto"/>
        <w:ind w:firstLine="602"/>
        <w:jc w:val="both"/>
        <w:outlineLvl w:val="9"/>
        <w:rPr>
          <w:rFonts w:ascii="宋体" w:hAnsi="宋体"/>
        </w:rPr>
      </w:pPr>
      <w:r>
        <w:rPr>
          <w:rFonts w:hint="eastAsia" w:ascii="宋体" w:hAnsi="宋体" w:cs="宋体"/>
          <w:b/>
          <w:color w:val="000000"/>
          <w:sz w:val="30"/>
          <w:szCs w:val="30"/>
        </w:rPr>
        <w:t>5、</w:t>
      </w:r>
      <w:r>
        <w:rPr>
          <w:rFonts w:hint="eastAsia" w:ascii="宋体" w:hAnsi="宋体" w:cs="黑体"/>
          <w:color w:val="000000"/>
          <w:sz w:val="28"/>
          <w:szCs w:val="28"/>
        </w:rPr>
        <w:t>招标文件的约束力</w:t>
      </w:r>
    </w:p>
    <w:p w14:paraId="0BA48E71">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5.1 投标人一旦参加本项目采购活动，即被认为接受了本招标文件的规定和约束。</w:t>
      </w:r>
    </w:p>
    <w:p w14:paraId="00C2BE9E">
      <w:pPr>
        <w:pStyle w:val="14"/>
        <w:keepNext/>
        <w:keepLines/>
        <w:spacing w:before="145" w:beforeAutospacing="0" w:after="145" w:afterAutospacing="0" w:line="360" w:lineRule="auto"/>
        <w:ind w:firstLine="321"/>
        <w:jc w:val="both"/>
        <w:outlineLvl w:val="9"/>
        <w:rPr>
          <w:rFonts w:ascii="宋体" w:hAnsi="宋体"/>
        </w:rPr>
      </w:pPr>
      <w:bookmarkStart w:id="60" w:name="_Toc16938525"/>
      <w:bookmarkStart w:id="61" w:name="_Toc20823281"/>
      <w:bookmarkStart w:id="62" w:name="_Toc513029209"/>
      <w:bookmarkStart w:id="63" w:name="_Toc120614215"/>
      <w:r>
        <w:rPr>
          <w:rFonts w:ascii="宋体" w:hAnsi="宋体"/>
          <w:b/>
          <w:color w:val="000000"/>
          <w:sz w:val="32"/>
          <w:szCs w:val="32"/>
        </w:rPr>
        <w:t>二、招标文件</w:t>
      </w:r>
      <w:bookmarkEnd w:id="60"/>
      <w:bookmarkEnd w:id="61"/>
      <w:bookmarkEnd w:id="62"/>
      <w:bookmarkEnd w:id="63"/>
    </w:p>
    <w:p w14:paraId="16ED65EB">
      <w:pPr>
        <w:pStyle w:val="14"/>
        <w:keepNext/>
        <w:keepLines/>
        <w:spacing w:beforeAutospacing="0" w:afterAutospacing="0" w:line="360" w:lineRule="auto"/>
        <w:ind w:firstLine="420"/>
        <w:jc w:val="both"/>
        <w:outlineLvl w:val="9"/>
        <w:rPr>
          <w:rFonts w:ascii="宋体" w:hAnsi="宋体"/>
        </w:rPr>
      </w:pPr>
      <w:bookmarkStart w:id="64" w:name="_Toc513029210"/>
      <w:bookmarkStart w:id="65" w:name="_Toc20823282"/>
      <w:bookmarkStart w:id="66" w:name="_Toc16938526"/>
      <w:r>
        <w:rPr>
          <w:rFonts w:ascii="宋体" w:hAnsi="宋体" w:cs="Arial"/>
          <w:color w:val="000000"/>
          <w:sz w:val="28"/>
          <w:szCs w:val="28"/>
        </w:rPr>
        <w:t>6、招标文件构成</w:t>
      </w:r>
      <w:bookmarkEnd w:id="64"/>
      <w:bookmarkEnd w:id="65"/>
      <w:bookmarkEnd w:id="66"/>
    </w:p>
    <w:p w14:paraId="3EBAF288">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6.1 招标文件由以下部分组成：</w:t>
      </w:r>
    </w:p>
    <w:p w14:paraId="05FB8545">
      <w:pPr>
        <w:pStyle w:val="14"/>
        <w:spacing w:beforeAutospacing="0" w:afterAutospacing="0" w:line="360" w:lineRule="auto"/>
        <w:ind w:firstLine="360"/>
        <w:jc w:val="both"/>
        <w:outlineLvl w:val="9"/>
        <w:rPr>
          <w:rFonts w:ascii="宋体" w:hAnsi="宋体"/>
        </w:rPr>
      </w:pPr>
      <w:r>
        <w:rPr>
          <w:rFonts w:hint="eastAsia" w:ascii="宋体" w:hAnsi="宋体" w:cs="宋体"/>
          <w:color w:val="000000"/>
        </w:rPr>
        <w:t>（1）招标公告</w:t>
      </w:r>
    </w:p>
    <w:p w14:paraId="7AA544B5">
      <w:pPr>
        <w:pStyle w:val="14"/>
        <w:spacing w:beforeAutospacing="0" w:afterAutospacing="0" w:line="360" w:lineRule="auto"/>
        <w:ind w:firstLine="360"/>
        <w:jc w:val="both"/>
        <w:outlineLvl w:val="9"/>
        <w:rPr>
          <w:rFonts w:ascii="宋体" w:hAnsi="宋体"/>
        </w:rPr>
      </w:pPr>
      <w:r>
        <w:rPr>
          <w:rFonts w:hint="eastAsia" w:ascii="宋体" w:hAnsi="宋体" w:cs="宋体"/>
          <w:color w:val="000000"/>
        </w:rPr>
        <w:t>（2）投标人须知</w:t>
      </w:r>
    </w:p>
    <w:p w14:paraId="2EB7B6CA">
      <w:pPr>
        <w:pStyle w:val="14"/>
        <w:spacing w:beforeAutospacing="0" w:afterAutospacing="0" w:line="360" w:lineRule="auto"/>
        <w:ind w:firstLine="360"/>
        <w:jc w:val="both"/>
        <w:outlineLvl w:val="9"/>
        <w:rPr>
          <w:rFonts w:ascii="宋体" w:hAnsi="宋体"/>
        </w:rPr>
      </w:pPr>
      <w:r>
        <w:rPr>
          <w:rFonts w:hint="eastAsia" w:ascii="宋体" w:hAnsi="宋体" w:cs="宋体"/>
          <w:color w:val="000000"/>
        </w:rPr>
        <w:t>（3）合同文本</w:t>
      </w:r>
    </w:p>
    <w:p w14:paraId="39A29097">
      <w:pPr>
        <w:pStyle w:val="14"/>
        <w:spacing w:beforeAutospacing="0" w:afterAutospacing="0" w:line="360" w:lineRule="auto"/>
        <w:ind w:firstLine="360"/>
        <w:jc w:val="both"/>
        <w:outlineLvl w:val="9"/>
        <w:rPr>
          <w:rFonts w:ascii="宋体" w:hAnsi="宋体"/>
        </w:rPr>
      </w:pPr>
      <w:r>
        <w:rPr>
          <w:rFonts w:hint="eastAsia" w:ascii="宋体" w:hAnsi="宋体" w:cs="宋体"/>
          <w:color w:val="000000"/>
        </w:rPr>
        <w:t>（4）采购需求</w:t>
      </w:r>
    </w:p>
    <w:p w14:paraId="5863B6D7">
      <w:pPr>
        <w:pStyle w:val="14"/>
        <w:spacing w:beforeAutospacing="0" w:afterAutospacing="0" w:line="360" w:lineRule="auto"/>
        <w:ind w:firstLine="360"/>
        <w:jc w:val="both"/>
        <w:outlineLvl w:val="9"/>
        <w:rPr>
          <w:rFonts w:ascii="宋体" w:hAnsi="宋体"/>
        </w:rPr>
      </w:pPr>
      <w:r>
        <w:rPr>
          <w:rFonts w:hint="eastAsia" w:ascii="宋体" w:hAnsi="宋体" w:cs="宋体"/>
          <w:color w:val="000000"/>
        </w:rPr>
        <w:t>（5）</w:t>
      </w:r>
      <w:r>
        <w:rPr>
          <w:rFonts w:ascii="宋体" w:hAnsi="宋体"/>
          <w:color w:val="000000"/>
        </w:rPr>
        <w:t>评标方法与评标标准</w:t>
      </w:r>
    </w:p>
    <w:p w14:paraId="5E302DB5">
      <w:pPr>
        <w:pStyle w:val="14"/>
        <w:spacing w:beforeAutospacing="0" w:afterAutospacing="0" w:line="360" w:lineRule="auto"/>
        <w:ind w:firstLine="360"/>
        <w:jc w:val="both"/>
        <w:outlineLvl w:val="9"/>
        <w:rPr>
          <w:rFonts w:ascii="宋体" w:hAnsi="宋体"/>
        </w:rPr>
      </w:pPr>
      <w:r>
        <w:rPr>
          <w:rFonts w:hint="eastAsia" w:ascii="宋体" w:hAnsi="宋体" w:cs="宋体"/>
          <w:color w:val="000000"/>
        </w:rPr>
        <w:t>（6）投标文件格式</w:t>
      </w:r>
    </w:p>
    <w:p w14:paraId="1702752E">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请仔细检查招标文件是否齐全，如有缺漏请立即与采购中心联系解决。</w:t>
      </w:r>
    </w:p>
    <w:p w14:paraId="64E536BB">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EC7ACE3">
      <w:pPr>
        <w:pStyle w:val="14"/>
        <w:keepNext/>
        <w:keepLines/>
        <w:spacing w:beforeAutospacing="0" w:afterAutospacing="0" w:line="360" w:lineRule="auto"/>
        <w:ind w:firstLine="560"/>
        <w:jc w:val="both"/>
        <w:outlineLvl w:val="9"/>
        <w:rPr>
          <w:rFonts w:ascii="宋体" w:hAnsi="宋体"/>
        </w:rPr>
      </w:pPr>
      <w:bookmarkStart w:id="67" w:name="_Toc513029211"/>
      <w:bookmarkStart w:id="68" w:name="_Toc462564070"/>
      <w:bookmarkStart w:id="69" w:name="_Toc20823283"/>
      <w:bookmarkStart w:id="70" w:name="_Toc16938527"/>
      <w:r>
        <w:rPr>
          <w:rFonts w:ascii="宋体" w:hAnsi="宋体" w:cs="Arial"/>
          <w:color w:val="000000"/>
          <w:sz w:val="28"/>
          <w:szCs w:val="28"/>
        </w:rPr>
        <w:t>7、招标文件的澄清</w:t>
      </w:r>
      <w:bookmarkEnd w:id="67"/>
      <w:bookmarkEnd w:id="68"/>
      <w:bookmarkEnd w:id="69"/>
      <w:bookmarkEnd w:id="70"/>
    </w:p>
    <w:p w14:paraId="3F4FD6ED">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7.1 任何要求对招标文件进行澄清的投标人，应在投标截止期</w:t>
      </w:r>
      <w:r>
        <w:rPr>
          <w:rFonts w:ascii="宋体" w:hAnsi="宋体" w:cs="仿宋_GB2312"/>
          <w:b/>
          <w:color w:val="000000"/>
        </w:rPr>
        <w:t>十日</w:t>
      </w:r>
      <w:r>
        <w:rPr>
          <w:rFonts w:ascii="宋体" w:hAnsi="宋体" w:cs="仿宋_GB2312"/>
          <w:color w:val="000000"/>
        </w:rPr>
        <w:t>前</w:t>
      </w:r>
      <w:r>
        <w:rPr>
          <w:rFonts w:hint="eastAsia" w:ascii="宋体" w:hAnsi="宋体" w:cs="宋体"/>
          <w:color w:val="000000"/>
        </w:rPr>
        <w:t>按招标公告中的通讯地址，以书面形式通知采购中心。</w:t>
      </w:r>
    </w:p>
    <w:p w14:paraId="548FC38F">
      <w:pPr>
        <w:pStyle w:val="14"/>
        <w:keepNext/>
        <w:keepLines/>
        <w:spacing w:beforeAutospacing="0" w:afterAutospacing="0" w:line="360" w:lineRule="auto"/>
        <w:ind w:firstLine="560"/>
        <w:jc w:val="both"/>
        <w:outlineLvl w:val="9"/>
        <w:rPr>
          <w:rFonts w:ascii="宋体" w:hAnsi="宋体"/>
        </w:rPr>
      </w:pPr>
      <w:bookmarkStart w:id="71" w:name="_Toc16938528"/>
      <w:bookmarkStart w:id="72" w:name="_Toc20823284"/>
      <w:bookmarkStart w:id="73" w:name="_Toc462564071"/>
      <w:bookmarkStart w:id="74" w:name="_Toc513029212"/>
      <w:r>
        <w:rPr>
          <w:rFonts w:ascii="宋体" w:hAnsi="宋体" w:cs="Arial"/>
          <w:color w:val="000000"/>
          <w:sz w:val="28"/>
          <w:szCs w:val="28"/>
        </w:rPr>
        <w:t>8、招标文件的修改</w:t>
      </w:r>
      <w:bookmarkEnd w:id="71"/>
      <w:bookmarkEnd w:id="72"/>
      <w:bookmarkEnd w:id="73"/>
      <w:bookmarkEnd w:id="74"/>
    </w:p>
    <w:p w14:paraId="521B5814">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8.1 在投标截止时间</w:t>
      </w:r>
      <w:r>
        <w:rPr>
          <w:rFonts w:ascii="宋体" w:hAnsi="宋体" w:cs="仿宋_GB2312"/>
          <w:color w:val="000000"/>
        </w:rPr>
        <w:t>前</w:t>
      </w:r>
      <w:r>
        <w:rPr>
          <w:rFonts w:hint="eastAsia" w:ascii="宋体" w:hAnsi="宋体" w:cs="宋体"/>
          <w:color w:val="000000"/>
        </w:rPr>
        <w:t>，采购中心可以对招标文件进行修改。</w:t>
      </w:r>
    </w:p>
    <w:p w14:paraId="52DB698B">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8.2 采购中心有权按照法定的要求推迟投标截止日期和开标日期。</w:t>
      </w:r>
    </w:p>
    <w:p w14:paraId="6FDF6323">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8.3 招标文件的修改将在中国政府采购网、江苏政府采购网、盐城市政府采购网公布，补充文件将作为招标文件的组成部分，并对投标人具有约束力。</w:t>
      </w:r>
    </w:p>
    <w:p w14:paraId="26FBE7F9">
      <w:pPr>
        <w:pStyle w:val="14"/>
        <w:keepNext/>
        <w:keepLines/>
        <w:spacing w:before="145" w:beforeAutospacing="0" w:after="145" w:afterAutospacing="0" w:line="360" w:lineRule="auto"/>
        <w:ind w:firstLine="482"/>
        <w:jc w:val="both"/>
        <w:outlineLvl w:val="9"/>
        <w:rPr>
          <w:rFonts w:ascii="宋体" w:hAnsi="宋体"/>
        </w:rPr>
      </w:pPr>
      <w:bookmarkStart w:id="75" w:name="_Toc462564072"/>
      <w:bookmarkStart w:id="76" w:name="_Toc16938529"/>
      <w:bookmarkStart w:id="77" w:name="_Toc513029213"/>
      <w:bookmarkStart w:id="78" w:name="_Toc120614216"/>
      <w:bookmarkStart w:id="79" w:name="_Toc20823285"/>
      <w:r>
        <w:rPr>
          <w:rFonts w:ascii="宋体" w:hAnsi="宋体"/>
          <w:b/>
          <w:color w:val="000000"/>
          <w:sz w:val="32"/>
          <w:szCs w:val="32"/>
        </w:rPr>
        <w:t>三、投标文件的编制</w:t>
      </w:r>
      <w:bookmarkEnd w:id="75"/>
      <w:bookmarkEnd w:id="76"/>
      <w:bookmarkEnd w:id="77"/>
      <w:bookmarkEnd w:id="78"/>
      <w:bookmarkEnd w:id="79"/>
    </w:p>
    <w:p w14:paraId="4AD1220F">
      <w:pPr>
        <w:pStyle w:val="14"/>
        <w:keepNext/>
        <w:keepLines/>
        <w:spacing w:beforeAutospacing="0" w:afterAutospacing="0" w:line="360" w:lineRule="auto"/>
        <w:ind w:firstLine="560"/>
        <w:jc w:val="both"/>
        <w:outlineLvl w:val="9"/>
        <w:rPr>
          <w:rFonts w:ascii="宋体" w:hAnsi="宋体"/>
        </w:rPr>
      </w:pPr>
      <w:bookmarkStart w:id="80" w:name="_Toc20823286"/>
      <w:bookmarkStart w:id="81" w:name="_Toc462564073"/>
      <w:bookmarkStart w:id="82" w:name="_Toc513029214"/>
      <w:bookmarkStart w:id="83" w:name="_Toc16938530"/>
      <w:r>
        <w:rPr>
          <w:rFonts w:ascii="宋体" w:hAnsi="宋体" w:cs="Arial"/>
          <w:color w:val="000000"/>
          <w:sz w:val="28"/>
          <w:szCs w:val="28"/>
        </w:rPr>
        <w:t>9、投标文件的语言及度量衡单位</w:t>
      </w:r>
      <w:bookmarkEnd w:id="80"/>
      <w:bookmarkEnd w:id="81"/>
      <w:bookmarkEnd w:id="82"/>
      <w:bookmarkEnd w:id="83"/>
    </w:p>
    <w:p w14:paraId="02DD0518">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9.1 投标人提交的投标文件以及投标人与采购中心就有关投标的所有来往通知、函件和文件均应使用</w:t>
      </w:r>
      <w:r>
        <w:rPr>
          <w:rFonts w:hint="eastAsia" w:ascii="宋体" w:hAnsi="宋体" w:cs="宋体"/>
          <w:b/>
          <w:color w:val="000000"/>
        </w:rPr>
        <w:t>简体中文</w:t>
      </w:r>
      <w:r>
        <w:rPr>
          <w:rFonts w:hint="eastAsia" w:ascii="宋体" w:hAnsi="宋体" w:cs="宋体"/>
          <w:color w:val="000000"/>
        </w:rPr>
        <w:t>。</w:t>
      </w:r>
    </w:p>
    <w:p w14:paraId="2F41D627">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9.2 除技术性能另有规定外，投标文件所使用的度量衡单位，均须采用国家法定计量单位。</w:t>
      </w:r>
    </w:p>
    <w:p w14:paraId="2E3B844F">
      <w:pPr>
        <w:pStyle w:val="14"/>
        <w:keepNext/>
        <w:keepLines/>
        <w:spacing w:beforeAutospacing="0" w:afterAutospacing="0" w:line="360" w:lineRule="auto"/>
        <w:ind w:firstLine="420"/>
        <w:jc w:val="both"/>
        <w:outlineLvl w:val="9"/>
        <w:rPr>
          <w:rFonts w:ascii="宋体" w:hAnsi="宋体"/>
        </w:rPr>
      </w:pPr>
      <w:bookmarkStart w:id="84" w:name="_Toc20823287"/>
      <w:bookmarkStart w:id="85" w:name="_Toc16938531"/>
      <w:bookmarkStart w:id="86" w:name="_Toc513029215"/>
      <w:bookmarkStart w:id="87" w:name="_Toc462564074"/>
      <w:r>
        <w:rPr>
          <w:rFonts w:ascii="宋体" w:hAnsi="宋体" w:cs="Arial"/>
          <w:color w:val="000000"/>
          <w:sz w:val="28"/>
          <w:szCs w:val="28"/>
        </w:rPr>
        <w:t>10、投标文件构成</w:t>
      </w:r>
      <w:bookmarkEnd w:id="84"/>
      <w:bookmarkEnd w:id="85"/>
      <w:bookmarkEnd w:id="86"/>
      <w:bookmarkEnd w:id="87"/>
    </w:p>
    <w:p w14:paraId="6D9F018C">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10.1 投标人编写的投标文件应包括资格证明文件、符合性证明文件、投标分项报价表、技术要求响应及偏离表、商务要求响应及偏离表、其他证明文件、投标函、开标一览表等部分。</w:t>
      </w:r>
    </w:p>
    <w:p w14:paraId="59BD30F9">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10.2 如标书制作工具中格式和内容与“中国政府采购网、江苏政府采购网、盐城市政府采购网”发布的招标文件不一致，请以“中国政府采购网、江苏政府采购网、盐城市政府采购网”发布的招标文件为准。</w:t>
      </w:r>
    </w:p>
    <w:p w14:paraId="69365609">
      <w:pPr>
        <w:pStyle w:val="14"/>
        <w:keepNext/>
        <w:keepLines/>
        <w:spacing w:beforeAutospacing="0" w:afterAutospacing="0" w:line="360" w:lineRule="auto"/>
        <w:ind w:firstLine="420"/>
        <w:jc w:val="both"/>
        <w:outlineLvl w:val="9"/>
        <w:rPr>
          <w:rFonts w:ascii="宋体" w:hAnsi="宋体"/>
        </w:rPr>
      </w:pPr>
      <w:bookmarkStart w:id="88" w:name="_Toc513029219"/>
      <w:bookmarkStart w:id="89" w:name="_Toc14577357"/>
      <w:bookmarkStart w:id="90" w:name="_Toc14577355"/>
      <w:bookmarkStart w:id="91" w:name="_Toc49090507"/>
      <w:bookmarkStart w:id="92" w:name="_Toc49090509"/>
      <w:bookmarkStart w:id="93" w:name="_Toc49090508"/>
      <w:bookmarkStart w:id="94" w:name="_Toc14577354"/>
      <w:bookmarkStart w:id="95" w:name="_Toc513029216"/>
      <w:r>
        <w:rPr>
          <w:rFonts w:ascii="宋体" w:hAnsi="宋体" w:cs="Arial"/>
          <w:color w:val="000000"/>
          <w:sz w:val="28"/>
          <w:szCs w:val="28"/>
        </w:rPr>
        <w:t>11、证明投标人及投标标的符合招标文件规定的文件</w:t>
      </w:r>
      <w:bookmarkEnd w:id="88"/>
      <w:bookmarkEnd w:id="89"/>
      <w:bookmarkEnd w:id="90"/>
      <w:bookmarkEnd w:id="91"/>
      <w:bookmarkEnd w:id="92"/>
      <w:bookmarkEnd w:id="93"/>
      <w:bookmarkEnd w:id="94"/>
      <w:bookmarkEnd w:id="95"/>
    </w:p>
    <w:p w14:paraId="556C786E">
      <w:pPr>
        <w:pStyle w:val="14"/>
        <w:spacing w:beforeAutospacing="0" w:afterAutospacing="0" w:line="360" w:lineRule="auto"/>
        <w:jc w:val="both"/>
        <w:outlineLvl w:val="9"/>
        <w:rPr>
          <w:rFonts w:ascii="宋体" w:hAnsi="宋体"/>
        </w:rPr>
      </w:pPr>
      <w:r>
        <w:rPr>
          <w:rFonts w:hint="eastAsia" w:ascii="宋体" w:hAnsi="宋体" w:cs="宋体"/>
          <w:color w:val="000000"/>
        </w:rPr>
        <w:t>  11.1投标人应按照法律、法规、规章和规范性文件以及招标文件要求提交证明文件，证明其及投标标的符合招标文件规定。</w:t>
      </w:r>
    </w:p>
    <w:p w14:paraId="2645BE33">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11.2招标文件对证明文件无明确形式要求的，证明文件可以以文字资料、图纸和数据等形式提交。</w:t>
      </w:r>
    </w:p>
    <w:p w14:paraId="55ADB5AD">
      <w:pPr>
        <w:pStyle w:val="14"/>
        <w:keepNext/>
        <w:keepLines/>
        <w:spacing w:beforeAutospacing="0" w:afterAutospacing="0" w:line="360" w:lineRule="auto"/>
        <w:ind w:firstLine="420"/>
        <w:jc w:val="both"/>
        <w:outlineLvl w:val="9"/>
        <w:rPr>
          <w:rFonts w:ascii="宋体" w:hAnsi="宋体"/>
        </w:rPr>
      </w:pPr>
      <w:r>
        <w:rPr>
          <w:rFonts w:ascii="宋体" w:hAnsi="宋体" w:cs="Arial"/>
          <w:color w:val="000000"/>
          <w:sz w:val="28"/>
          <w:szCs w:val="28"/>
        </w:rPr>
        <w:t>12、投标分项报价表</w:t>
      </w:r>
    </w:p>
    <w:p w14:paraId="5A42251E">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12.1 投标人应按照招标文件规定格式填报投标分项报价表。</w:t>
      </w:r>
    </w:p>
    <w:p w14:paraId="34EC8E2B">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12.2投标货币。投标文件中的单价和总价无特殊规定的采用人民币报价，以元为单位标注。招标文件中另有规定的按规定执行。</w:t>
      </w:r>
    </w:p>
    <w:p w14:paraId="4074C578">
      <w:pPr>
        <w:pStyle w:val="14"/>
        <w:keepNext/>
        <w:keepLines/>
        <w:spacing w:beforeAutospacing="0" w:afterAutospacing="0" w:line="360" w:lineRule="auto"/>
        <w:ind w:firstLine="420"/>
        <w:jc w:val="both"/>
        <w:outlineLvl w:val="9"/>
        <w:rPr>
          <w:rFonts w:ascii="宋体" w:hAnsi="宋体"/>
        </w:rPr>
      </w:pPr>
      <w:r>
        <w:rPr>
          <w:rFonts w:ascii="宋体" w:hAnsi="宋体" w:cs="Arial"/>
          <w:color w:val="000000"/>
          <w:sz w:val="28"/>
          <w:szCs w:val="28"/>
        </w:rPr>
        <w:t>13、技术要求响应及偏离表、商务要求响应及偏离表</w:t>
      </w:r>
    </w:p>
    <w:p w14:paraId="04ECDCC1">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13.1投标人需对招标文件中的技术要求与商务要求逐项作出响应或偏离，并说明原因。</w:t>
      </w:r>
    </w:p>
    <w:p w14:paraId="7BFDE542">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13.2 投标人可在投标文件中提供认为需要的其他技术文件或说明。</w:t>
      </w:r>
    </w:p>
    <w:p w14:paraId="71676E9A">
      <w:pPr>
        <w:pStyle w:val="14"/>
        <w:keepNext/>
        <w:keepLines/>
        <w:spacing w:beforeAutospacing="0" w:afterAutospacing="0" w:line="360" w:lineRule="auto"/>
        <w:ind w:firstLine="420"/>
        <w:jc w:val="both"/>
        <w:outlineLvl w:val="9"/>
        <w:rPr>
          <w:rFonts w:ascii="宋体" w:hAnsi="宋体"/>
        </w:rPr>
      </w:pPr>
      <w:bookmarkStart w:id="96" w:name="_Toc14577359"/>
      <w:bookmarkStart w:id="97" w:name="_Toc49090510"/>
      <w:r>
        <w:rPr>
          <w:rFonts w:ascii="宋体" w:hAnsi="宋体" w:cs="Arial"/>
          <w:color w:val="000000"/>
          <w:sz w:val="28"/>
          <w:szCs w:val="28"/>
        </w:rPr>
        <w:t>1</w:t>
      </w:r>
      <w:r>
        <w:rPr>
          <w:rFonts w:hint="eastAsia" w:ascii="宋体" w:hAnsi="宋体" w:cs="Arial"/>
          <w:color w:val="000000"/>
          <w:sz w:val="28"/>
          <w:szCs w:val="28"/>
        </w:rPr>
        <w:t>4</w:t>
      </w:r>
      <w:r>
        <w:rPr>
          <w:rFonts w:ascii="宋体" w:hAnsi="宋体" w:cs="Arial"/>
          <w:color w:val="000000"/>
          <w:sz w:val="28"/>
          <w:szCs w:val="28"/>
        </w:rPr>
        <w:t>、投标函和开标一览表</w:t>
      </w:r>
      <w:bookmarkEnd w:id="96"/>
      <w:bookmarkEnd w:id="97"/>
    </w:p>
    <w:p w14:paraId="550A311E">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14.1 投标人应按照招标文件中提供的格式完整、正确填写投标函、开标一览表。</w:t>
      </w:r>
    </w:p>
    <w:p w14:paraId="1206DD56">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14.2 对于采用货币报价的项目，开标一览表中的投标总报价应与投标分项报价表中的投标总报价一致，如不一致，不作为无效投标处理，但评标时按开标一览表中价格为准。</w:t>
      </w:r>
    </w:p>
    <w:p w14:paraId="0034F350">
      <w:pPr>
        <w:pStyle w:val="14"/>
        <w:keepNext/>
        <w:keepLines/>
        <w:spacing w:beforeAutospacing="0" w:afterAutospacing="0" w:line="360" w:lineRule="auto"/>
        <w:ind w:firstLine="420"/>
        <w:jc w:val="both"/>
        <w:outlineLvl w:val="9"/>
        <w:rPr>
          <w:rFonts w:ascii="宋体" w:hAnsi="宋体"/>
        </w:rPr>
      </w:pPr>
      <w:bookmarkStart w:id="98" w:name="_Toc14577360"/>
      <w:bookmarkStart w:id="99" w:name="_Toc49090511"/>
      <w:r>
        <w:rPr>
          <w:rFonts w:ascii="宋体" w:hAnsi="宋体" w:cs="Arial"/>
          <w:color w:val="000000"/>
          <w:sz w:val="28"/>
          <w:szCs w:val="28"/>
        </w:rPr>
        <w:t>1</w:t>
      </w:r>
      <w:r>
        <w:rPr>
          <w:rFonts w:hint="eastAsia" w:ascii="宋体" w:hAnsi="宋体" w:cs="Arial"/>
          <w:color w:val="000000"/>
          <w:sz w:val="28"/>
          <w:szCs w:val="28"/>
        </w:rPr>
        <w:t>5</w:t>
      </w:r>
      <w:r>
        <w:rPr>
          <w:rFonts w:ascii="宋体" w:hAnsi="宋体" w:cs="Arial"/>
          <w:color w:val="000000"/>
          <w:sz w:val="28"/>
          <w:szCs w:val="28"/>
        </w:rPr>
        <w:t>、投标有效期</w:t>
      </w:r>
      <w:bookmarkEnd w:id="98"/>
      <w:bookmarkEnd w:id="99"/>
    </w:p>
    <w:p w14:paraId="3AC3C1B6">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15.1投标有效期为采购中心规定的开标之日后</w:t>
      </w:r>
      <w:r>
        <w:rPr>
          <w:rFonts w:ascii="宋体" w:hAnsi="宋体" w:cs="仿宋_GB2312"/>
          <w:b/>
          <w:color w:val="000000"/>
          <w:u w:val="single"/>
        </w:rPr>
        <w:t>六十（60）天</w:t>
      </w:r>
      <w:r>
        <w:rPr>
          <w:rFonts w:hint="eastAsia" w:ascii="宋体" w:hAnsi="宋体" w:cs="宋体"/>
          <w:color w:val="000000"/>
        </w:rPr>
        <w:t>。投标有效期比规定短的将被视为未实质性响应招标文件而予以拒绝。</w:t>
      </w:r>
    </w:p>
    <w:p w14:paraId="774DB25C">
      <w:pPr>
        <w:pStyle w:val="14"/>
        <w:keepNext/>
        <w:keepLines/>
        <w:spacing w:beforeAutospacing="0" w:afterAutospacing="0" w:line="360" w:lineRule="auto"/>
        <w:ind w:firstLine="420"/>
        <w:jc w:val="both"/>
        <w:outlineLvl w:val="9"/>
        <w:rPr>
          <w:rFonts w:ascii="宋体" w:hAnsi="宋体"/>
        </w:rPr>
      </w:pPr>
      <w:r>
        <w:rPr>
          <w:rFonts w:ascii="宋体" w:hAnsi="宋体" w:cs="Arial"/>
          <w:color w:val="000000"/>
          <w:sz w:val="28"/>
          <w:szCs w:val="28"/>
        </w:rPr>
        <w:t>1</w:t>
      </w:r>
      <w:r>
        <w:rPr>
          <w:rFonts w:hint="eastAsia" w:ascii="宋体" w:hAnsi="宋体" w:cs="Arial"/>
          <w:color w:val="000000"/>
          <w:sz w:val="28"/>
          <w:szCs w:val="28"/>
        </w:rPr>
        <w:t>6</w:t>
      </w:r>
      <w:r>
        <w:rPr>
          <w:rFonts w:ascii="宋体" w:hAnsi="宋体" w:cs="Arial"/>
          <w:color w:val="000000"/>
          <w:sz w:val="28"/>
          <w:szCs w:val="28"/>
        </w:rPr>
        <w:t>、投标有效期的延长</w:t>
      </w:r>
    </w:p>
    <w:p w14:paraId="5DA0D8DD">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p>
    <w:p w14:paraId="1B1E46AB">
      <w:pPr>
        <w:pStyle w:val="14"/>
        <w:keepNext/>
        <w:keepLines/>
        <w:spacing w:before="145" w:beforeAutospacing="0" w:after="145" w:afterAutospacing="0" w:line="360" w:lineRule="auto"/>
        <w:jc w:val="both"/>
        <w:outlineLvl w:val="9"/>
        <w:rPr>
          <w:rFonts w:ascii="宋体" w:hAnsi="宋体"/>
        </w:rPr>
      </w:pPr>
      <w:bookmarkStart w:id="100" w:name="_Toc20823296"/>
      <w:bookmarkStart w:id="101" w:name="_Toc16938540"/>
      <w:bookmarkStart w:id="102" w:name="_Toc120614217"/>
      <w:bookmarkStart w:id="103" w:name="_Toc513029224"/>
      <w:r>
        <w:rPr>
          <w:rFonts w:ascii="宋体" w:hAnsi="宋体"/>
          <w:b/>
          <w:color w:val="000000"/>
          <w:sz w:val="32"/>
          <w:szCs w:val="32"/>
        </w:rPr>
        <w:t>四、投标文件的递交</w:t>
      </w:r>
      <w:bookmarkEnd w:id="100"/>
      <w:bookmarkEnd w:id="101"/>
      <w:bookmarkEnd w:id="102"/>
      <w:bookmarkEnd w:id="103"/>
    </w:p>
    <w:p w14:paraId="732E7592">
      <w:pPr>
        <w:pStyle w:val="14"/>
        <w:keepNext/>
        <w:keepLines/>
        <w:spacing w:beforeAutospacing="0" w:afterAutospacing="0" w:line="360" w:lineRule="auto"/>
        <w:ind w:firstLine="420"/>
        <w:jc w:val="both"/>
        <w:outlineLvl w:val="9"/>
        <w:rPr>
          <w:rFonts w:ascii="宋体" w:hAnsi="宋体"/>
        </w:rPr>
      </w:pPr>
      <w:bookmarkStart w:id="104" w:name="_Toc16938541"/>
      <w:bookmarkStart w:id="105" w:name="_Toc513029225"/>
      <w:bookmarkStart w:id="106" w:name="_Toc462564084"/>
      <w:bookmarkStart w:id="107" w:name="_Toc20823297"/>
      <w:r>
        <w:rPr>
          <w:rFonts w:ascii="宋体" w:hAnsi="宋体" w:cs="Arial"/>
          <w:color w:val="000000"/>
          <w:sz w:val="28"/>
          <w:szCs w:val="28"/>
        </w:rPr>
        <w:t>1</w:t>
      </w:r>
      <w:r>
        <w:rPr>
          <w:rFonts w:hint="eastAsia" w:ascii="宋体" w:hAnsi="宋体" w:cs="Arial"/>
          <w:color w:val="000000"/>
          <w:sz w:val="28"/>
          <w:szCs w:val="28"/>
        </w:rPr>
        <w:t>7</w:t>
      </w:r>
      <w:r>
        <w:rPr>
          <w:rFonts w:ascii="宋体" w:hAnsi="宋体" w:cs="Arial"/>
          <w:color w:val="000000"/>
          <w:sz w:val="28"/>
          <w:szCs w:val="28"/>
        </w:rPr>
        <w:t>、电子</w:t>
      </w:r>
      <w:r>
        <w:rPr>
          <w:rFonts w:hint="eastAsia" w:ascii="宋体" w:hAnsi="宋体" w:cs="黑体"/>
          <w:color w:val="000000"/>
          <w:sz w:val="28"/>
          <w:szCs w:val="28"/>
        </w:rPr>
        <w:t>投标文件</w:t>
      </w:r>
      <w:bookmarkEnd w:id="104"/>
      <w:bookmarkEnd w:id="105"/>
      <w:bookmarkEnd w:id="106"/>
      <w:bookmarkEnd w:id="107"/>
      <w:r>
        <w:rPr>
          <w:rFonts w:hint="eastAsia" w:ascii="宋体" w:hAnsi="宋体" w:cs="黑体"/>
          <w:color w:val="000000"/>
          <w:sz w:val="28"/>
          <w:szCs w:val="28"/>
        </w:rPr>
        <w:t>的递交</w:t>
      </w:r>
    </w:p>
    <w:p w14:paraId="37E0BF23">
      <w:pPr>
        <w:pStyle w:val="14"/>
        <w:spacing w:beforeAutospacing="0" w:afterAutospacing="0" w:line="360" w:lineRule="auto"/>
        <w:ind w:firstLine="480"/>
        <w:jc w:val="both"/>
        <w:outlineLvl w:val="9"/>
        <w:rPr>
          <w:rFonts w:hint="eastAsia" w:ascii="宋体" w:hAnsi="宋体" w:cs="宋体"/>
          <w:color w:val="000000"/>
        </w:rPr>
      </w:pPr>
      <w:r>
        <w:rPr>
          <w:rFonts w:hint="eastAsia" w:ascii="宋体" w:hAnsi="宋体" w:cs="宋体"/>
          <w:color w:val="000000"/>
        </w:rPr>
        <w:t>17.1投标人应当按照《操作手册》规定，在投标截止时间前制作并上传电子投标文件。</w:t>
      </w:r>
      <w:bookmarkStart w:id="108" w:name="_Toc16938542"/>
      <w:bookmarkEnd w:id="108"/>
      <w:bookmarkStart w:id="109" w:name="_Toc20823298"/>
      <w:bookmarkEnd w:id="109"/>
    </w:p>
    <w:p w14:paraId="49101238">
      <w:pPr>
        <w:pStyle w:val="14"/>
        <w:keepNext/>
        <w:keepLines/>
        <w:spacing w:beforeAutospacing="0" w:afterAutospacing="0" w:line="360" w:lineRule="auto"/>
        <w:ind w:firstLine="420"/>
        <w:jc w:val="both"/>
        <w:outlineLvl w:val="9"/>
        <w:rPr>
          <w:rFonts w:ascii="宋体" w:hAnsi="宋体" w:cs="Arial"/>
          <w:color w:val="000000"/>
          <w:sz w:val="28"/>
          <w:szCs w:val="28"/>
        </w:rPr>
      </w:pPr>
      <w:r>
        <w:rPr>
          <w:rFonts w:ascii="宋体" w:hAnsi="宋体" w:cs="Arial"/>
          <w:color w:val="000000"/>
          <w:sz w:val="28"/>
          <w:szCs w:val="28"/>
        </w:rPr>
        <w:t>1</w:t>
      </w:r>
      <w:r>
        <w:rPr>
          <w:rFonts w:hint="eastAsia" w:ascii="宋体" w:hAnsi="宋体" w:cs="Arial"/>
          <w:color w:val="000000"/>
          <w:sz w:val="28"/>
          <w:szCs w:val="28"/>
        </w:rPr>
        <w:t>8</w:t>
      </w:r>
      <w:r>
        <w:rPr>
          <w:rFonts w:ascii="宋体" w:hAnsi="宋体" w:cs="Arial"/>
          <w:color w:val="000000"/>
          <w:sz w:val="28"/>
          <w:szCs w:val="28"/>
        </w:rPr>
        <w:t>、投标截止日期</w:t>
      </w:r>
    </w:p>
    <w:p w14:paraId="1F0C4D83">
      <w:pPr>
        <w:pStyle w:val="14"/>
        <w:spacing w:beforeAutospacing="0" w:afterAutospacing="0" w:line="360" w:lineRule="auto"/>
        <w:ind w:firstLine="480"/>
        <w:jc w:val="both"/>
        <w:outlineLvl w:val="9"/>
        <w:rPr>
          <w:rFonts w:ascii="宋体" w:hAnsi="宋体"/>
        </w:rPr>
      </w:pPr>
      <w:r>
        <w:rPr>
          <w:rFonts w:hint="eastAsia" w:ascii="宋体" w:hAnsi="宋体" w:cs="宋体"/>
          <w:i/>
          <w:color w:val="000000"/>
          <w:u w:val="single"/>
        </w:rPr>
        <w:t>18.1 投标人上传电子投标文件的时间不得迟于招标公告中规定的投标截止时间。</w:t>
      </w:r>
    </w:p>
    <w:p w14:paraId="78495B7C">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投标人应充分考虑到网络环境、网络带宽等风险因素，如因投标人自身原因造成的电子投标文件上传不成功的按照本招标文件第二章第26.1.2条规定做无效投标处理。</w:t>
      </w:r>
    </w:p>
    <w:p w14:paraId="1217C869">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18.2 采购中心可以按照规定，通过修改招标文件酌情延长投标截止日期，在此情况下，投标人的所有权利和义务以及投标人受制的截止日期均应以延长后新的截止日期为准。</w:t>
      </w:r>
    </w:p>
    <w:p w14:paraId="00DEAFE0">
      <w:pPr>
        <w:pStyle w:val="14"/>
        <w:keepNext/>
        <w:keepLines/>
        <w:spacing w:beforeAutospacing="0" w:afterAutospacing="0" w:line="360" w:lineRule="auto"/>
        <w:ind w:firstLine="420"/>
        <w:jc w:val="both"/>
        <w:outlineLvl w:val="9"/>
        <w:rPr>
          <w:rFonts w:ascii="宋体" w:hAnsi="宋体"/>
        </w:rPr>
      </w:pPr>
      <w:bookmarkStart w:id="110" w:name="_Toc20823299"/>
      <w:bookmarkStart w:id="111" w:name="_Toc16938543"/>
      <w:bookmarkStart w:id="112" w:name="_Toc513029227"/>
      <w:r>
        <w:rPr>
          <w:rFonts w:hint="eastAsia" w:ascii="宋体" w:hAnsi="宋体" w:cs="Arial"/>
          <w:color w:val="000000"/>
          <w:sz w:val="28"/>
          <w:szCs w:val="28"/>
        </w:rPr>
        <w:t>19</w:t>
      </w:r>
      <w:r>
        <w:rPr>
          <w:rFonts w:ascii="宋体" w:hAnsi="宋体" w:cs="Arial"/>
          <w:color w:val="000000"/>
          <w:sz w:val="28"/>
          <w:szCs w:val="28"/>
        </w:rPr>
        <w:t>、投标文件</w:t>
      </w:r>
      <w:bookmarkEnd w:id="110"/>
      <w:bookmarkEnd w:id="111"/>
      <w:bookmarkEnd w:id="112"/>
      <w:r>
        <w:rPr>
          <w:rFonts w:ascii="宋体" w:hAnsi="宋体" w:cs="Arial"/>
          <w:color w:val="000000"/>
          <w:sz w:val="28"/>
          <w:szCs w:val="28"/>
        </w:rPr>
        <w:t>的拒收</w:t>
      </w:r>
    </w:p>
    <w:p w14:paraId="3571138D">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19.1 采购中心拒绝接收在其规定的投标截止时间后上传的任何投标文件。</w:t>
      </w:r>
    </w:p>
    <w:p w14:paraId="189C21E9">
      <w:pPr>
        <w:pStyle w:val="14"/>
        <w:keepNext/>
        <w:keepLines/>
        <w:spacing w:beforeAutospacing="0" w:afterAutospacing="0" w:line="360" w:lineRule="auto"/>
        <w:ind w:firstLine="420"/>
        <w:jc w:val="both"/>
        <w:outlineLvl w:val="9"/>
        <w:rPr>
          <w:rFonts w:ascii="宋体" w:hAnsi="宋体"/>
        </w:rPr>
      </w:pPr>
      <w:bookmarkStart w:id="113" w:name="_Toc513029228"/>
      <w:bookmarkStart w:id="114" w:name="_Toc20823300"/>
      <w:bookmarkStart w:id="115" w:name="_Toc16938544"/>
      <w:r>
        <w:rPr>
          <w:rFonts w:hint="eastAsia" w:ascii="宋体" w:hAnsi="宋体" w:cs="Arial"/>
          <w:color w:val="000000"/>
          <w:sz w:val="28"/>
          <w:szCs w:val="28"/>
        </w:rPr>
        <w:t>20</w:t>
      </w:r>
      <w:r>
        <w:rPr>
          <w:rFonts w:ascii="宋体" w:hAnsi="宋体" w:cs="Arial"/>
          <w:color w:val="000000"/>
          <w:sz w:val="28"/>
          <w:szCs w:val="28"/>
        </w:rPr>
        <w:t>、投标文件的撤回和修改</w:t>
      </w:r>
      <w:bookmarkEnd w:id="113"/>
      <w:bookmarkEnd w:id="114"/>
      <w:bookmarkEnd w:id="115"/>
    </w:p>
    <w:p w14:paraId="6989466F">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20.1 投标文件的撤回</w:t>
      </w:r>
    </w:p>
    <w:p w14:paraId="1910679D">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20.1.1 电子投标文件的撤回</w:t>
      </w:r>
    </w:p>
    <w:p w14:paraId="76F86B73">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投标人可在投标截止时间前，撤回其电子投标文件，具体操作方法见《操作手册》。</w:t>
      </w:r>
    </w:p>
    <w:p w14:paraId="272DC7CB">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20.1.2 投标人撤回电子投标文件，则认为其不再参与本项目投标活动。</w:t>
      </w:r>
    </w:p>
    <w:p w14:paraId="27432740">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20.2 投标文件的修改</w:t>
      </w:r>
    </w:p>
    <w:p w14:paraId="467F0579">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20.2.1投标人可在投标截止时间前，对其电子投标文件进行修改，具体操作方法见《操作手册》。</w:t>
      </w:r>
    </w:p>
    <w:p w14:paraId="153B225D">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20.2.2 在投标截止时间之后，投标人不得对其电子投标文件作任何修改。</w:t>
      </w:r>
    </w:p>
    <w:p w14:paraId="76A6B834">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20.3 在投标截止时间至招标文件中规定的投标有效期满之间的这段时间内，投标人不得撤回其投标。</w:t>
      </w:r>
    </w:p>
    <w:p w14:paraId="2B2DC57E">
      <w:pPr>
        <w:pStyle w:val="14"/>
        <w:keepNext/>
        <w:keepLines/>
        <w:spacing w:before="145" w:beforeAutospacing="0" w:after="145" w:afterAutospacing="0" w:line="360" w:lineRule="auto"/>
        <w:ind w:firstLine="482"/>
        <w:jc w:val="both"/>
        <w:outlineLvl w:val="9"/>
        <w:rPr>
          <w:rFonts w:ascii="宋体" w:hAnsi="宋体"/>
        </w:rPr>
      </w:pPr>
      <w:bookmarkStart w:id="116" w:name="_Toc120614218"/>
      <w:bookmarkStart w:id="117" w:name="_Toc20823301"/>
      <w:bookmarkStart w:id="118" w:name="_Toc16938545"/>
      <w:bookmarkStart w:id="119" w:name="_Toc513029229"/>
      <w:r>
        <w:rPr>
          <w:rFonts w:ascii="宋体" w:hAnsi="宋体"/>
          <w:b/>
          <w:color w:val="000000"/>
          <w:sz w:val="32"/>
          <w:szCs w:val="32"/>
        </w:rPr>
        <w:t>五、开标与评标</w:t>
      </w:r>
      <w:bookmarkEnd w:id="116"/>
      <w:bookmarkEnd w:id="117"/>
      <w:bookmarkEnd w:id="118"/>
      <w:bookmarkEnd w:id="119"/>
    </w:p>
    <w:p w14:paraId="163ED103">
      <w:pPr>
        <w:pStyle w:val="14"/>
        <w:keepNext/>
        <w:keepLines/>
        <w:spacing w:beforeAutospacing="0" w:afterAutospacing="0" w:line="360" w:lineRule="auto"/>
        <w:ind w:firstLine="420"/>
        <w:jc w:val="both"/>
        <w:outlineLvl w:val="9"/>
        <w:rPr>
          <w:rFonts w:ascii="宋体" w:hAnsi="宋体"/>
        </w:rPr>
      </w:pPr>
      <w:bookmarkStart w:id="120" w:name="_Toc16938546"/>
      <w:bookmarkStart w:id="121" w:name="_Toc513029230"/>
      <w:bookmarkStart w:id="122" w:name="_Toc20823302"/>
      <w:r>
        <w:rPr>
          <w:rFonts w:ascii="宋体" w:hAnsi="宋体" w:cs="Arial"/>
          <w:color w:val="000000"/>
          <w:sz w:val="28"/>
          <w:szCs w:val="28"/>
        </w:rPr>
        <w:t>2</w:t>
      </w:r>
      <w:r>
        <w:rPr>
          <w:rFonts w:hint="eastAsia" w:ascii="宋体" w:hAnsi="宋体" w:cs="Arial"/>
          <w:color w:val="000000"/>
          <w:sz w:val="28"/>
          <w:szCs w:val="28"/>
        </w:rPr>
        <w:t>1</w:t>
      </w:r>
      <w:r>
        <w:rPr>
          <w:rFonts w:ascii="宋体" w:hAnsi="宋体" w:cs="Arial"/>
          <w:color w:val="000000"/>
          <w:sz w:val="28"/>
          <w:szCs w:val="28"/>
        </w:rPr>
        <w:t>、开标</w:t>
      </w:r>
      <w:bookmarkEnd w:id="120"/>
      <w:bookmarkEnd w:id="121"/>
      <w:bookmarkEnd w:id="122"/>
    </w:p>
    <w:p w14:paraId="11EF54E0">
      <w:pPr>
        <w:pStyle w:val="14"/>
        <w:spacing w:beforeAutospacing="0" w:afterAutospacing="0" w:line="360" w:lineRule="auto"/>
        <w:ind w:firstLine="360"/>
        <w:jc w:val="both"/>
        <w:outlineLvl w:val="9"/>
        <w:rPr>
          <w:rFonts w:ascii="宋体" w:hAnsi="宋体"/>
        </w:rPr>
      </w:pPr>
      <w:r>
        <w:rPr>
          <w:rFonts w:hint="eastAsia" w:ascii="宋体" w:hAnsi="宋体" w:cs="宋体"/>
          <w:color w:val="000000"/>
        </w:rPr>
        <w:t>21.1 采购中心将在招标公告中规定的时间和地点组织公开开标。投标人应当按照《操作手册》规定，参加开标活动和在</w:t>
      </w:r>
      <w:r>
        <w:rPr>
          <w:rFonts w:hint="eastAsia" w:ascii="宋体" w:hAnsi="宋体" w:cs="宋体"/>
          <w:color w:val="FF0000"/>
        </w:rPr>
        <w:t>苏采云系统</w:t>
      </w:r>
      <w:r>
        <w:rPr>
          <w:rFonts w:hint="eastAsia" w:ascii="宋体" w:hAnsi="宋体" w:cs="宋体"/>
          <w:color w:val="000000"/>
        </w:rPr>
        <w:t>规定的时间内对投标文件进行解密。</w:t>
      </w:r>
    </w:p>
    <w:p w14:paraId="25A4D239">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21.2开标仪式由采购中心组织。</w:t>
      </w:r>
      <w:r>
        <w:rPr>
          <w:rFonts w:hint="eastAsia" w:ascii="宋体" w:hAnsi="宋体" w:cs="宋体"/>
          <w:color w:val="FF0000"/>
        </w:rPr>
        <w:t>苏采云系统</w:t>
      </w:r>
      <w:r>
        <w:rPr>
          <w:rFonts w:hint="eastAsia" w:ascii="宋体" w:hAnsi="宋体" w:cs="宋体"/>
          <w:color w:val="000000"/>
        </w:rPr>
        <w:t>将自动对项目进行开标，并宣布各投标人名称和投标价格。</w:t>
      </w:r>
    </w:p>
    <w:p w14:paraId="303E23C3">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21.3投标人在开标过程中涉及到的投标文件解密、开标结果确认等工作，应按照《操作手册》规定执行。</w:t>
      </w:r>
    </w:p>
    <w:p w14:paraId="5568D77D">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 xml:space="preserve">21.4投标人如果对开标过程和开标记录有疑义，应当根据《操作手册》规定提出，如 </w:t>
      </w:r>
      <w:r>
        <w:rPr>
          <w:rFonts w:hint="eastAsia" w:ascii="宋体" w:hAnsi="宋体" w:cs="宋体"/>
          <w:color w:val="FF0000"/>
        </w:rPr>
        <w:t>苏采云系统</w:t>
      </w:r>
      <w:r>
        <w:rPr>
          <w:rFonts w:hint="eastAsia" w:ascii="宋体" w:hAnsi="宋体" w:cs="宋体"/>
          <w:color w:val="000000"/>
        </w:rPr>
        <w:t>中《开标记录表》宣布后5分钟内未提出的，视同认可开标结果。</w:t>
      </w:r>
    </w:p>
    <w:p w14:paraId="4AAA863B">
      <w:pPr>
        <w:pStyle w:val="14"/>
        <w:keepNext/>
        <w:keepLines/>
        <w:spacing w:beforeAutospacing="0" w:afterAutospacing="0" w:line="360" w:lineRule="auto"/>
        <w:ind w:firstLine="420"/>
        <w:jc w:val="both"/>
        <w:outlineLvl w:val="9"/>
        <w:rPr>
          <w:rFonts w:ascii="宋体" w:hAnsi="宋体"/>
        </w:rPr>
      </w:pPr>
      <w:bookmarkStart w:id="123" w:name="_Toc20823303"/>
      <w:bookmarkStart w:id="124" w:name="_Toc513029231"/>
      <w:bookmarkStart w:id="125" w:name="_Toc16938547"/>
      <w:r>
        <w:rPr>
          <w:rFonts w:ascii="宋体" w:hAnsi="宋体" w:cs="Arial"/>
          <w:color w:val="000000"/>
          <w:sz w:val="28"/>
          <w:szCs w:val="28"/>
        </w:rPr>
        <w:t>2</w:t>
      </w:r>
      <w:r>
        <w:rPr>
          <w:rFonts w:hint="eastAsia" w:ascii="宋体" w:hAnsi="宋体" w:cs="Arial"/>
          <w:color w:val="000000"/>
          <w:sz w:val="28"/>
          <w:szCs w:val="28"/>
        </w:rPr>
        <w:t>2</w:t>
      </w:r>
      <w:r>
        <w:rPr>
          <w:rFonts w:ascii="宋体" w:hAnsi="宋体" w:cs="Arial"/>
          <w:color w:val="000000"/>
          <w:sz w:val="28"/>
          <w:szCs w:val="28"/>
        </w:rPr>
        <w:t>、评标委员会</w:t>
      </w:r>
      <w:bookmarkEnd w:id="123"/>
      <w:bookmarkEnd w:id="124"/>
      <w:bookmarkEnd w:id="125"/>
    </w:p>
    <w:p w14:paraId="32AB8C5A">
      <w:pPr>
        <w:pStyle w:val="14"/>
        <w:spacing w:beforeAutospacing="0" w:afterAutospacing="0" w:line="360" w:lineRule="auto"/>
        <w:jc w:val="both"/>
        <w:outlineLvl w:val="9"/>
        <w:rPr>
          <w:rFonts w:ascii="宋体" w:hAnsi="宋体"/>
        </w:rPr>
      </w:pPr>
      <w:r>
        <w:rPr>
          <w:rFonts w:hint="eastAsia" w:ascii="宋体" w:hAnsi="宋体" w:cs="宋体"/>
          <w:b/>
          <w:color w:val="000000"/>
        </w:rPr>
        <w:t xml:space="preserve">  </w:t>
      </w:r>
      <w:r>
        <w:rPr>
          <w:rFonts w:hint="eastAsia" w:ascii="宋体" w:hAnsi="宋体" w:cs="宋体"/>
          <w:color w:val="000000"/>
        </w:rPr>
        <w:t>22.1开标后，采购中心将立即组织评标委员会（以下简称评委会）进行评标。</w:t>
      </w:r>
    </w:p>
    <w:p w14:paraId="1AB0D50D">
      <w:pPr>
        <w:pStyle w:val="14"/>
        <w:spacing w:beforeAutospacing="0" w:afterAutospacing="0" w:line="360" w:lineRule="auto"/>
        <w:jc w:val="both"/>
        <w:outlineLvl w:val="9"/>
        <w:rPr>
          <w:rFonts w:ascii="宋体" w:hAnsi="宋体"/>
        </w:rPr>
      </w:pPr>
      <w:r>
        <w:rPr>
          <w:rFonts w:hint="eastAsia" w:ascii="宋体" w:hAnsi="宋体" w:cs="宋体"/>
          <w:b/>
          <w:color w:val="000000"/>
        </w:rPr>
        <w:t xml:space="preserve">  </w:t>
      </w:r>
      <w:r>
        <w:rPr>
          <w:rFonts w:hint="eastAsia" w:ascii="宋体" w:hAnsi="宋体" w:cs="宋体"/>
          <w:color w:val="000000"/>
        </w:rPr>
        <w:t>22.2 评委会由采购人代表和有关技术、经济等方面的专家组成，且人员构成符合政府采购有关规定。</w:t>
      </w:r>
    </w:p>
    <w:p w14:paraId="722F4AF2">
      <w:pPr>
        <w:pStyle w:val="14"/>
        <w:spacing w:beforeAutospacing="0" w:afterAutospacing="0" w:line="360" w:lineRule="auto"/>
        <w:jc w:val="both"/>
        <w:outlineLvl w:val="9"/>
        <w:rPr>
          <w:rFonts w:ascii="宋体" w:hAnsi="宋体"/>
        </w:rPr>
      </w:pPr>
      <w:r>
        <w:rPr>
          <w:rFonts w:hint="eastAsia" w:ascii="宋体" w:hAnsi="宋体" w:cs="宋体"/>
          <w:b/>
          <w:color w:val="000000"/>
        </w:rPr>
        <w:t xml:space="preserve">  </w:t>
      </w:r>
      <w:r>
        <w:rPr>
          <w:rFonts w:hint="eastAsia" w:ascii="宋体" w:hAnsi="宋体" w:cs="宋体"/>
          <w:color w:val="000000"/>
        </w:rPr>
        <w:t>22.3评委会独立工作，负责评审所有投标文件并确定中标侯选人。</w:t>
      </w:r>
    </w:p>
    <w:p w14:paraId="6E7F42B0">
      <w:pPr>
        <w:pStyle w:val="14"/>
        <w:keepNext/>
        <w:keepLines/>
        <w:spacing w:beforeAutospacing="0" w:afterAutospacing="0" w:line="360" w:lineRule="auto"/>
        <w:ind w:firstLine="420"/>
        <w:jc w:val="both"/>
        <w:outlineLvl w:val="9"/>
        <w:rPr>
          <w:rFonts w:ascii="宋体" w:hAnsi="宋体"/>
        </w:rPr>
      </w:pPr>
      <w:r>
        <w:rPr>
          <w:rFonts w:hint="eastAsia" w:ascii="宋体" w:hAnsi="宋体" w:cs="黑体"/>
          <w:color w:val="000000"/>
          <w:sz w:val="28"/>
          <w:szCs w:val="28"/>
        </w:rPr>
        <w:t>23．评标过程的保密与公正</w:t>
      </w:r>
    </w:p>
    <w:p w14:paraId="279F2390">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23.1凡是与审查、澄清、评价和比较投标的有关资料以及授标建议等，采购人、评委、采购中心均不得向投标人或与评标无关的其他人员透露。</w:t>
      </w:r>
    </w:p>
    <w:p w14:paraId="1D6E1682">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23.2在评标过程中，投标人不得以任何行为影响评标过程，否则其投标文件将被作为无效投标文件。</w:t>
      </w:r>
    </w:p>
    <w:p w14:paraId="6E40B856">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23.3 采购中心和评标委员会不向未中标的投标人解释未中标原因，也不公布评标过程中的相关细节。</w:t>
      </w:r>
    </w:p>
    <w:p w14:paraId="68AF6A9C">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23.4 采用综合评分法的项目，未中标的投标人可于中标结果公告期限届满之日起通过</w:t>
      </w:r>
      <w:r>
        <w:rPr>
          <w:rFonts w:hint="eastAsia" w:ascii="宋体" w:hAnsi="宋体" w:cs="宋体"/>
          <w:color w:val="FF0000"/>
        </w:rPr>
        <w:t>苏采云系统</w:t>
      </w:r>
      <w:r>
        <w:rPr>
          <w:rFonts w:hint="eastAsia" w:ascii="宋体" w:hAnsi="宋体" w:cs="宋体"/>
          <w:color w:val="000000"/>
        </w:rPr>
        <w:t>查看自己的评审得分及排序情况。</w:t>
      </w:r>
    </w:p>
    <w:p w14:paraId="7E15DBCA">
      <w:pPr>
        <w:pStyle w:val="14"/>
        <w:keepNext/>
        <w:keepLines/>
        <w:spacing w:beforeAutospacing="0" w:afterAutospacing="0" w:line="360" w:lineRule="auto"/>
        <w:ind w:firstLine="420"/>
        <w:jc w:val="both"/>
        <w:outlineLvl w:val="9"/>
        <w:rPr>
          <w:rFonts w:ascii="宋体" w:hAnsi="宋体"/>
        </w:rPr>
      </w:pPr>
      <w:bookmarkStart w:id="126" w:name="_Toc513029232"/>
      <w:bookmarkStart w:id="127" w:name="_Toc16938548"/>
      <w:bookmarkStart w:id="128" w:name="_Toc20823304"/>
      <w:r>
        <w:rPr>
          <w:rFonts w:ascii="宋体" w:hAnsi="宋体" w:cs="Arial"/>
          <w:color w:val="000000"/>
          <w:sz w:val="28"/>
          <w:szCs w:val="28"/>
        </w:rPr>
        <w:t>2</w:t>
      </w:r>
      <w:r>
        <w:rPr>
          <w:rFonts w:hint="eastAsia" w:ascii="宋体" w:hAnsi="宋体" w:cs="Arial"/>
          <w:color w:val="000000"/>
          <w:sz w:val="28"/>
          <w:szCs w:val="28"/>
        </w:rPr>
        <w:t>4</w:t>
      </w:r>
      <w:r>
        <w:rPr>
          <w:rFonts w:ascii="宋体" w:hAnsi="宋体" w:cs="Arial"/>
          <w:color w:val="000000"/>
          <w:sz w:val="28"/>
          <w:szCs w:val="28"/>
        </w:rPr>
        <w:t>．投标文件的澄清</w:t>
      </w:r>
      <w:bookmarkEnd w:id="126"/>
      <w:bookmarkEnd w:id="127"/>
      <w:bookmarkEnd w:id="128"/>
    </w:p>
    <w:p w14:paraId="054A2639">
      <w:pPr>
        <w:pStyle w:val="14"/>
        <w:spacing w:beforeAutospacing="0" w:afterAutospacing="0" w:line="360" w:lineRule="auto"/>
        <w:ind w:firstLine="480"/>
        <w:jc w:val="both"/>
        <w:outlineLvl w:val="9"/>
        <w:rPr>
          <w:rFonts w:ascii="宋体" w:hAnsi="宋体"/>
        </w:rPr>
      </w:pPr>
      <w:bookmarkStart w:id="129" w:name="_Toc20823305"/>
      <w:bookmarkStart w:id="130" w:name="_Toc16938549"/>
      <w:bookmarkStart w:id="131" w:name="_Toc513029233"/>
      <w:r>
        <w:rPr>
          <w:rFonts w:hint="eastAsia" w:ascii="宋体" w:hAnsi="宋体" w:cs="宋体"/>
          <w:color w:val="000000"/>
        </w:rPr>
        <w:t>24.1评标期间，评委会对投标文件中含义不明确、同类问题表述不一致或者有明显文字和计算错误的内容，有权要求投标人作出必要的澄清、说明或者补正。</w:t>
      </w:r>
      <w:bookmarkEnd w:id="129"/>
      <w:bookmarkEnd w:id="130"/>
      <w:bookmarkEnd w:id="131"/>
    </w:p>
    <w:p w14:paraId="5861A19F">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投标人的澄清、说明或者补正不得超出投标文件的范围或者改变投标文件的实质性内容。</w:t>
      </w:r>
    </w:p>
    <w:p w14:paraId="7FD97904">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评标委员会并非对每个投标人都做澄清要求。</w:t>
      </w:r>
    </w:p>
    <w:p w14:paraId="7772855C">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24.2需要供应商进行澄清、说明和补正的，评委会将通过</w:t>
      </w:r>
      <w:r>
        <w:rPr>
          <w:rFonts w:hint="eastAsia" w:ascii="宋体" w:hAnsi="宋体" w:cs="宋体"/>
          <w:color w:val="FF0000"/>
        </w:rPr>
        <w:t>苏采云系统</w:t>
      </w:r>
      <w:r>
        <w:rPr>
          <w:rFonts w:hint="eastAsia" w:ascii="宋体" w:hAnsi="宋体" w:cs="宋体"/>
          <w:color w:val="000000"/>
        </w:rPr>
        <w:t>向供应商发出“澄清要求函”，接到“澄清要求函”的投标人应当按照要求在</w:t>
      </w:r>
      <w:r>
        <w:rPr>
          <w:rFonts w:hint="eastAsia" w:ascii="宋体" w:hAnsi="宋体" w:cs="宋体"/>
          <w:color w:val="FF0000"/>
        </w:rPr>
        <w:t>苏采云系统</w:t>
      </w:r>
      <w:r>
        <w:rPr>
          <w:rFonts w:hint="eastAsia" w:ascii="宋体" w:hAnsi="宋体" w:cs="宋体"/>
          <w:color w:val="000000"/>
        </w:rPr>
        <w:t>中提交“澄清响应函”并加盖CA电子公章。澄清、说明和补正的内容作为投标文件的补充部分，具体操作方式见《操作手册》。</w:t>
      </w:r>
    </w:p>
    <w:p w14:paraId="640D38A0">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24.3 接到评委会澄清、说明和补正要求的投标人如未按规定做出澄清、说明和补正，其风险由投标人自行承担。</w:t>
      </w:r>
    </w:p>
    <w:p w14:paraId="60B60E3A">
      <w:pPr>
        <w:pStyle w:val="14"/>
        <w:keepNext/>
        <w:keepLines/>
        <w:spacing w:beforeAutospacing="0" w:afterAutospacing="0" w:line="360" w:lineRule="auto"/>
        <w:ind w:firstLine="420"/>
        <w:jc w:val="both"/>
        <w:outlineLvl w:val="9"/>
        <w:rPr>
          <w:rFonts w:ascii="宋体" w:hAnsi="宋体"/>
        </w:rPr>
      </w:pPr>
      <w:r>
        <w:rPr>
          <w:rFonts w:ascii="宋体" w:hAnsi="宋体" w:cs="Arial"/>
          <w:color w:val="000000"/>
          <w:sz w:val="28"/>
          <w:szCs w:val="28"/>
        </w:rPr>
        <w:t>2</w:t>
      </w:r>
      <w:r>
        <w:rPr>
          <w:rFonts w:hint="eastAsia" w:ascii="宋体" w:hAnsi="宋体" w:cs="Arial"/>
          <w:color w:val="000000"/>
          <w:sz w:val="28"/>
          <w:szCs w:val="28"/>
        </w:rPr>
        <w:t>5</w:t>
      </w:r>
      <w:r>
        <w:rPr>
          <w:rFonts w:ascii="宋体" w:hAnsi="宋体" w:cs="Arial"/>
          <w:color w:val="000000"/>
          <w:sz w:val="28"/>
          <w:szCs w:val="28"/>
        </w:rPr>
        <w:t>、对投标文件的初审</w:t>
      </w:r>
    </w:p>
    <w:p w14:paraId="1F4E5392">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25.1投标文件初审分为资格审查和符合性审查。</w:t>
      </w:r>
    </w:p>
    <w:p w14:paraId="23D9AA3C">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25.1.1 资格审查：依据法律法规和招标文件的规定，由采购人对投标文件中的资格证明文件进行审查。资格审查的结论，采购人以书面形式向评委会进行反馈。</w:t>
      </w:r>
    </w:p>
    <w:p w14:paraId="17C1004F">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采购人在进行资格性审查的同时，将在“信用中国”网站查询投标人的信用记录，以确定投标人是否具备投标资格,查询结果留存并归档。</w:t>
      </w:r>
    </w:p>
    <w:p w14:paraId="6AC1599E">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接受联合体的项目，两个以上的自然人、法人或者其他组织组成一个联合体，以一个供应商的身份共同参加政府采购活动的,联合体成员中任何一方存在不良信用记录的，视同联合体存在不良应用记录。</w:t>
      </w:r>
    </w:p>
    <w:p w14:paraId="69AAD013">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25.1.2 符合性审查：依据招标文件的规定，由评委会从投标文件的有效性、完整性和对招标文件的响应程度进行审查，以确定是否对招标文件的实质性要求作出响应。</w:t>
      </w:r>
    </w:p>
    <w:p w14:paraId="21CE5185">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25.1.3 未通过资格审查或符合性审查的投标人，采购中心将在</w:t>
      </w:r>
      <w:r>
        <w:rPr>
          <w:rFonts w:hint="eastAsia" w:ascii="宋体" w:hAnsi="宋体" w:cs="宋体"/>
          <w:color w:val="FF0000"/>
        </w:rPr>
        <w:t>苏采云系统</w:t>
      </w:r>
      <w:r>
        <w:rPr>
          <w:rFonts w:hint="eastAsia" w:ascii="宋体" w:hAnsi="宋体" w:cs="宋体"/>
          <w:color w:val="000000"/>
        </w:rPr>
        <w:t>中告知未通过资格审查或符合性审查的原因，评审结束后，采购中心将不再告知未通过资格审查或符合性审查的原因。</w:t>
      </w:r>
    </w:p>
    <w:p w14:paraId="69676E24">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25.2在详细评标之前，评委会将首先审查每份投标文件是否实质性响应了招标文件的要求。实质性响应的投标应该是与招标文件要求的全部条款、条件和规格相符，没有重大偏离或保留的投标。</w:t>
      </w:r>
    </w:p>
    <w:p w14:paraId="0E1BBD8E">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47A537F">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25.3如果投标文件实质上没有响应招标文件的要求，评委会将予以拒绝，投标人不得通过修改或撤销不合要求的偏离或保留而使其投标成为实质性响应的投标。</w:t>
      </w:r>
    </w:p>
    <w:p w14:paraId="7488CAC7">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25.4评委会将对确定为实质性响应的投标进行进一步审核，看其是否有计算上或累加上的算术错误，修正错误的原则如下：</w:t>
      </w:r>
    </w:p>
    <w:p w14:paraId="312E8A28">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（1）投标文件中开标一览表内容与投标文件中相应内容不一致的，以开标一览表为准。</w:t>
      </w:r>
    </w:p>
    <w:p w14:paraId="4C29AA08">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（2）大写金额和小写金额不一致的，以大写金额为准。</w:t>
      </w:r>
    </w:p>
    <w:p w14:paraId="23C9E464">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（3）单价金额小数点或者百分比有明显错位的，以开标一览表的总价为准，并修改单价。</w:t>
      </w:r>
    </w:p>
    <w:p w14:paraId="7398BAFD">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（4）总价金额与按单价汇总金额不一致的，以单价金额计算结果为准。</w:t>
      </w:r>
    </w:p>
    <w:p w14:paraId="6A756A2F">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同时出现两种以上错误的，按照前款规定的顺序修正。</w:t>
      </w:r>
    </w:p>
    <w:p w14:paraId="0B83189E">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25.5评委会将按上述修正错误的方法调整投标文件中的投标报价，并通过</w:t>
      </w:r>
      <w:r>
        <w:rPr>
          <w:rFonts w:hint="eastAsia" w:ascii="宋体" w:hAnsi="宋体" w:cs="宋体"/>
          <w:color w:val="FF0000"/>
        </w:rPr>
        <w:t>苏采云系统</w:t>
      </w:r>
      <w:r>
        <w:rPr>
          <w:rFonts w:hint="eastAsia" w:ascii="宋体" w:hAnsi="宋体" w:cs="宋体"/>
          <w:color w:val="000000"/>
        </w:rPr>
        <w:t>告知投标人，调整后的价格应对投标人具有约束力。如果投标人不接受修正后的价格，则其投标将被拒绝。</w:t>
      </w:r>
    </w:p>
    <w:p w14:paraId="21B05BAF">
      <w:pPr>
        <w:pStyle w:val="14"/>
        <w:spacing w:beforeAutospacing="0" w:afterAutospacing="0" w:line="360" w:lineRule="auto"/>
        <w:ind w:firstLine="420"/>
        <w:jc w:val="both"/>
        <w:outlineLvl w:val="9"/>
        <w:rPr>
          <w:rFonts w:ascii="宋体" w:hAnsi="宋体"/>
        </w:rPr>
      </w:pPr>
      <w:r>
        <w:rPr>
          <w:rFonts w:hint="eastAsia" w:ascii="宋体" w:hAnsi="宋体" w:cs="宋体"/>
          <w:color w:val="000000"/>
        </w:rPr>
        <w:t>25.7投标人在开、评标全过程中应保持通讯畅通，及时登录</w:t>
      </w:r>
      <w:r>
        <w:rPr>
          <w:rFonts w:hint="eastAsia" w:ascii="宋体" w:hAnsi="宋体" w:cs="宋体"/>
          <w:color w:val="FF0000"/>
        </w:rPr>
        <w:t>苏采云系统</w:t>
      </w:r>
      <w:r>
        <w:rPr>
          <w:rFonts w:hint="eastAsia" w:ascii="宋体" w:hAnsi="宋体" w:cs="宋体"/>
          <w:color w:val="000000"/>
        </w:rPr>
        <w:t>查阅、答复相关信息，并安排专人与采购中心及评标委员会联系。</w:t>
      </w:r>
    </w:p>
    <w:p w14:paraId="6CE54323">
      <w:pPr>
        <w:pStyle w:val="14"/>
        <w:keepNext/>
        <w:keepLines/>
        <w:spacing w:beforeAutospacing="0" w:afterAutospacing="0" w:line="360" w:lineRule="auto"/>
        <w:ind w:firstLine="420"/>
        <w:jc w:val="both"/>
        <w:outlineLvl w:val="9"/>
        <w:rPr>
          <w:rFonts w:ascii="宋体" w:hAnsi="宋体"/>
        </w:rPr>
      </w:pPr>
      <w:r>
        <w:rPr>
          <w:rFonts w:ascii="宋体" w:hAnsi="宋体" w:cs="Arial"/>
          <w:color w:val="000000"/>
          <w:sz w:val="28"/>
          <w:szCs w:val="28"/>
        </w:rPr>
        <w:t>2</w:t>
      </w:r>
      <w:r>
        <w:rPr>
          <w:rFonts w:hint="eastAsia" w:ascii="宋体" w:hAnsi="宋体" w:cs="Arial"/>
          <w:color w:val="000000"/>
          <w:sz w:val="28"/>
          <w:szCs w:val="28"/>
        </w:rPr>
        <w:t>6</w:t>
      </w:r>
      <w:r>
        <w:rPr>
          <w:rFonts w:ascii="宋体" w:hAnsi="宋体" w:cs="Arial"/>
          <w:color w:val="000000"/>
          <w:sz w:val="28"/>
          <w:szCs w:val="28"/>
        </w:rPr>
        <w:t>、无效投标条款和废标条款</w:t>
      </w:r>
    </w:p>
    <w:p w14:paraId="2676915B">
      <w:pPr>
        <w:pStyle w:val="14"/>
        <w:spacing w:beforeAutospacing="0" w:afterAutospacing="0" w:line="360" w:lineRule="auto"/>
        <w:ind w:left="479"/>
        <w:jc w:val="both"/>
        <w:outlineLvl w:val="9"/>
        <w:rPr>
          <w:rFonts w:ascii="宋体" w:hAnsi="宋体"/>
        </w:rPr>
      </w:pPr>
      <w:bookmarkStart w:id="132" w:name="_Toc20823307"/>
      <w:bookmarkStart w:id="133" w:name="_Toc513029235"/>
      <w:bookmarkStart w:id="134" w:name="_Toc16938551"/>
      <w:r>
        <w:rPr>
          <w:rFonts w:hint="eastAsia" w:ascii="宋体" w:hAnsi="宋体" w:cs="宋体"/>
          <w:color w:val="000000"/>
        </w:rPr>
        <w:t>26.1无效投标条款</w:t>
      </w:r>
      <w:bookmarkEnd w:id="132"/>
      <w:bookmarkEnd w:id="133"/>
      <w:bookmarkEnd w:id="134"/>
    </w:p>
    <w:p w14:paraId="6D6DC287">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26.1.1 投标人在</w:t>
      </w:r>
      <w:r>
        <w:rPr>
          <w:rFonts w:hint="eastAsia" w:ascii="宋体" w:hAnsi="宋体" w:cs="宋体"/>
          <w:color w:val="FF0000"/>
        </w:rPr>
        <w:t>苏采云系统</w:t>
      </w:r>
      <w:r>
        <w:rPr>
          <w:rFonts w:hint="eastAsia" w:ascii="宋体" w:hAnsi="宋体" w:cs="宋体"/>
          <w:color w:val="000000"/>
        </w:rPr>
        <w:t>规定的时间内未成功解密电子投标文件的。</w:t>
      </w:r>
    </w:p>
    <w:p w14:paraId="19B86B5C">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26.1.2 投标人未按照招标文件要求上传电子投标文件的。</w:t>
      </w:r>
    </w:p>
    <w:p w14:paraId="39303CB2">
      <w:pPr>
        <w:pStyle w:val="14"/>
        <w:spacing w:beforeAutospacing="0" w:afterAutospacing="0" w:line="360" w:lineRule="auto"/>
        <w:ind w:left="479"/>
        <w:jc w:val="both"/>
        <w:outlineLvl w:val="9"/>
        <w:rPr>
          <w:rFonts w:ascii="宋体" w:hAnsi="宋体"/>
        </w:rPr>
      </w:pPr>
      <w:r>
        <w:rPr>
          <w:rFonts w:hint="eastAsia" w:ascii="宋体" w:hAnsi="宋体" w:cs="宋体"/>
          <w:color w:val="000000"/>
        </w:rPr>
        <w:t>26.1.3同一投标人提交两个（含两个）以上不同的投标报价的。</w:t>
      </w:r>
    </w:p>
    <w:p w14:paraId="1900E9CD">
      <w:pPr>
        <w:pStyle w:val="14"/>
        <w:spacing w:beforeAutospacing="0" w:afterAutospacing="0" w:line="360" w:lineRule="auto"/>
        <w:ind w:left="479"/>
        <w:jc w:val="both"/>
        <w:outlineLvl w:val="9"/>
        <w:rPr>
          <w:rFonts w:ascii="宋体" w:hAnsi="宋体"/>
        </w:rPr>
      </w:pPr>
      <w:r>
        <w:rPr>
          <w:rFonts w:hint="eastAsia" w:ascii="宋体" w:hAnsi="宋体" w:cs="宋体"/>
          <w:color w:val="000000"/>
        </w:rPr>
        <w:t>26.1.4投标人不具备招标文件中规定资格要求的。</w:t>
      </w:r>
    </w:p>
    <w:p w14:paraId="17B4F2F6">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26.1.5投标人的报价超过了采购预算或最高限价的。</w:t>
      </w:r>
    </w:p>
    <w:p w14:paraId="5FA1E555">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26.1.6未通过符合性审查的。</w:t>
      </w:r>
    </w:p>
    <w:p w14:paraId="65EAD00C">
      <w:pPr>
        <w:pStyle w:val="14"/>
        <w:spacing w:beforeAutospacing="0" w:afterAutospacing="0" w:line="360" w:lineRule="auto"/>
        <w:ind w:firstLine="360"/>
        <w:jc w:val="both"/>
        <w:outlineLvl w:val="9"/>
        <w:rPr>
          <w:rFonts w:ascii="宋体" w:hAnsi="宋体"/>
        </w:rPr>
      </w:pPr>
      <w:r>
        <w:rPr>
          <w:rFonts w:hint="eastAsia" w:ascii="宋体" w:hAnsi="宋体" w:cs="宋体"/>
          <w:color w:val="000000"/>
        </w:rPr>
        <w:t>26.1.7不符合招标文件中规定的实质性要求和条件的（</w:t>
      </w:r>
      <w:r>
        <w:rPr>
          <w:rFonts w:hint="eastAsia" w:ascii="宋体" w:hAnsi="宋体" w:cs="宋体"/>
          <w:i/>
          <w:color w:val="000000"/>
          <w:u w:val="single"/>
        </w:rPr>
        <w:t>本招标文件中斜体且有下划线部分为实质性要求和条件）。</w:t>
      </w:r>
    </w:p>
    <w:p w14:paraId="63089797">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p>
    <w:p w14:paraId="1B073763">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26.1.9 投标文件含有采购人不能接受的附加条件的。</w:t>
      </w:r>
    </w:p>
    <w:p w14:paraId="740BF592">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26.1.10评标委员会认为投标人的报价明显低于其他通过符合性审查投标人的报价，有可能影响产品质量或者不能诚信履约的，将通过</w:t>
      </w:r>
      <w:r>
        <w:rPr>
          <w:rFonts w:hint="eastAsia" w:ascii="宋体" w:hAnsi="宋体" w:cs="宋体"/>
          <w:color w:val="FF0000"/>
        </w:rPr>
        <w:t>苏采云系统</w:t>
      </w:r>
      <w:r>
        <w:rPr>
          <w:rFonts w:hint="eastAsia" w:ascii="宋体" w:hAnsi="宋体" w:cs="宋体"/>
          <w:color w:val="000000"/>
        </w:rPr>
        <w:t>要求其在合理的时间内提供说明，必要时提交相关证明材料；投标人不能证明其报价合理性的，评标委员会应当将其作为无效投标处理。</w:t>
      </w:r>
    </w:p>
    <w:p w14:paraId="0A8B9134">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26.1.11 投标文件未按照招标文件要求加盖CA电子公章的。</w:t>
      </w:r>
    </w:p>
    <w:p w14:paraId="3CEFBA3A">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26.1.12其他法律、法规及本招标文件规定的属无效投标的情形。</w:t>
      </w:r>
    </w:p>
    <w:p w14:paraId="3E848684">
      <w:pPr>
        <w:pStyle w:val="14"/>
        <w:spacing w:beforeAutospacing="0" w:afterAutospacing="0" w:line="360" w:lineRule="auto"/>
        <w:ind w:left="479"/>
        <w:jc w:val="both"/>
        <w:outlineLvl w:val="9"/>
        <w:rPr>
          <w:rFonts w:ascii="宋体" w:hAnsi="宋体"/>
        </w:rPr>
      </w:pPr>
      <w:r>
        <w:rPr>
          <w:rFonts w:hint="eastAsia" w:ascii="宋体" w:hAnsi="宋体" w:cs="宋体"/>
          <w:color w:val="000000"/>
        </w:rPr>
        <w:t>26.2废标条款</w:t>
      </w:r>
    </w:p>
    <w:p w14:paraId="6FFFCD1C">
      <w:pPr>
        <w:pStyle w:val="14"/>
        <w:spacing w:beforeAutospacing="0" w:afterAutospacing="0" w:line="360" w:lineRule="auto"/>
        <w:ind w:firstLine="480"/>
        <w:jc w:val="both"/>
        <w:outlineLvl w:val="9"/>
        <w:rPr>
          <w:rFonts w:ascii="宋体" w:hAnsi="宋体" w:cs="宋体"/>
          <w:color w:val="000000"/>
        </w:rPr>
      </w:pPr>
      <w:r>
        <w:rPr>
          <w:rFonts w:hint="eastAsia" w:ascii="宋体" w:hAnsi="宋体" w:cs="宋体"/>
          <w:color w:val="000000"/>
        </w:rPr>
        <w:t>26.2.1符合专业条件的供应商或者对招标文件作实质响应的供应商不足三家的。</w:t>
      </w:r>
    </w:p>
    <w:p w14:paraId="1B054375">
      <w:pPr>
        <w:pStyle w:val="14"/>
        <w:spacing w:beforeAutospacing="0" w:afterAutospacing="0" w:line="360" w:lineRule="auto"/>
        <w:ind w:left="479"/>
        <w:jc w:val="both"/>
        <w:outlineLvl w:val="9"/>
        <w:rPr>
          <w:rFonts w:ascii="宋体" w:hAnsi="宋体"/>
        </w:rPr>
      </w:pPr>
      <w:r>
        <w:rPr>
          <w:rFonts w:hint="eastAsia" w:ascii="宋体" w:hAnsi="宋体" w:cs="宋体"/>
          <w:color w:val="000000"/>
        </w:rPr>
        <w:t>26.2.2出现影响采购公正的违法、违规行为的。</w:t>
      </w:r>
    </w:p>
    <w:p w14:paraId="76387AFE">
      <w:pPr>
        <w:pStyle w:val="14"/>
        <w:spacing w:beforeAutospacing="0" w:afterAutospacing="0" w:line="360" w:lineRule="auto"/>
        <w:ind w:left="479"/>
        <w:jc w:val="both"/>
        <w:outlineLvl w:val="9"/>
        <w:rPr>
          <w:rFonts w:ascii="宋体" w:hAnsi="宋体"/>
        </w:rPr>
      </w:pPr>
      <w:r>
        <w:rPr>
          <w:rFonts w:hint="eastAsia" w:ascii="宋体" w:hAnsi="宋体" w:cs="宋体"/>
          <w:color w:val="000000"/>
        </w:rPr>
        <w:t>26.2.3因重大变故，采购任务取消的。</w:t>
      </w:r>
    </w:p>
    <w:p w14:paraId="4A1D90DC">
      <w:pPr>
        <w:pStyle w:val="14"/>
        <w:spacing w:beforeAutospacing="0" w:afterAutospacing="0" w:line="360" w:lineRule="auto"/>
        <w:ind w:firstLine="480"/>
        <w:jc w:val="both"/>
        <w:outlineLvl w:val="9"/>
        <w:rPr>
          <w:rFonts w:ascii="宋体" w:hAnsi="宋体" w:cs="宋体"/>
          <w:color w:val="000000"/>
        </w:rPr>
      </w:pPr>
      <w:r>
        <w:rPr>
          <w:rFonts w:hint="eastAsia" w:ascii="宋体" w:hAnsi="宋体" w:cs="宋体"/>
          <w:color w:val="000000"/>
        </w:rPr>
        <w:t>26.2.4评标委员会认定招标文件存在歧义、重大缺陷导致评审工作无法进行。</w:t>
      </w:r>
    </w:p>
    <w:p w14:paraId="0C0A5B45">
      <w:pPr>
        <w:pStyle w:val="14"/>
        <w:spacing w:beforeAutospacing="0" w:afterAutospacing="0" w:line="360" w:lineRule="auto"/>
        <w:ind w:left="479"/>
        <w:jc w:val="both"/>
        <w:outlineLvl w:val="9"/>
        <w:rPr>
          <w:rFonts w:ascii="宋体" w:hAnsi="宋体"/>
        </w:rPr>
      </w:pPr>
      <w:r>
        <w:rPr>
          <w:rFonts w:hint="eastAsia" w:ascii="宋体" w:hAnsi="宋体" w:cs="宋体"/>
          <w:color w:val="000000"/>
        </w:rPr>
        <w:t>26.2.5 因</w:t>
      </w:r>
      <w:r>
        <w:rPr>
          <w:rFonts w:hint="eastAsia" w:ascii="宋体" w:hAnsi="宋体" w:cs="宋体"/>
          <w:color w:val="FF0000"/>
        </w:rPr>
        <w:t>苏采云系统</w:t>
      </w:r>
      <w:r>
        <w:rPr>
          <w:rFonts w:hint="eastAsia" w:ascii="宋体" w:hAnsi="宋体" w:cs="宋体"/>
          <w:color w:val="000000"/>
        </w:rPr>
        <w:t>系统故障原因造成开标不成功的。</w:t>
      </w:r>
    </w:p>
    <w:p w14:paraId="7B789E77">
      <w:pPr>
        <w:pStyle w:val="14"/>
        <w:spacing w:beforeAutospacing="0" w:afterAutospacing="0" w:line="360" w:lineRule="auto"/>
        <w:ind w:left="479"/>
        <w:jc w:val="both"/>
        <w:outlineLvl w:val="9"/>
        <w:rPr>
          <w:rFonts w:ascii="宋体" w:hAnsi="宋体"/>
        </w:rPr>
      </w:pPr>
      <w:r>
        <w:rPr>
          <w:rFonts w:hint="eastAsia" w:ascii="宋体" w:hAnsi="宋体" w:cs="宋体"/>
          <w:color w:val="000000"/>
        </w:rPr>
        <w:t>26.3 投标截止时间结束后参加投标的供应商不足三家的处理：</w:t>
      </w:r>
    </w:p>
    <w:p w14:paraId="22B2E933">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26.3.1如出现投标截止时间结束后参加投标的供应商或者在评标期间对招标文件做出实质响应的供应商不足三家情况，按政府采购相关规定执行。</w:t>
      </w:r>
    </w:p>
    <w:p w14:paraId="64B36B7D">
      <w:pPr>
        <w:pStyle w:val="14"/>
        <w:keepNext/>
        <w:keepLines/>
        <w:spacing w:before="145" w:beforeAutospacing="0" w:after="145" w:afterAutospacing="0" w:line="360" w:lineRule="auto"/>
        <w:ind w:firstLine="482"/>
        <w:jc w:val="both"/>
        <w:outlineLvl w:val="9"/>
        <w:rPr>
          <w:rFonts w:ascii="宋体" w:hAnsi="宋体"/>
        </w:rPr>
      </w:pPr>
      <w:bookmarkStart w:id="135" w:name="_Toc120614219"/>
      <w:r>
        <w:rPr>
          <w:rFonts w:ascii="宋体" w:hAnsi="宋体"/>
          <w:b/>
          <w:color w:val="000000"/>
          <w:sz w:val="32"/>
          <w:szCs w:val="32"/>
        </w:rPr>
        <w:t>六、定标</w:t>
      </w:r>
      <w:bookmarkEnd w:id="135"/>
    </w:p>
    <w:p w14:paraId="7EEA6502">
      <w:pPr>
        <w:pStyle w:val="14"/>
        <w:keepNext/>
        <w:keepLines/>
        <w:spacing w:beforeAutospacing="0" w:afterAutospacing="0" w:line="360" w:lineRule="auto"/>
        <w:ind w:firstLine="600"/>
        <w:jc w:val="both"/>
        <w:outlineLvl w:val="9"/>
        <w:rPr>
          <w:rFonts w:ascii="宋体" w:hAnsi="宋体"/>
        </w:rPr>
      </w:pPr>
      <w:bookmarkStart w:id="136" w:name="_Toc20823310"/>
      <w:bookmarkStart w:id="137" w:name="_Toc513029238"/>
      <w:bookmarkStart w:id="138" w:name="_Toc16938554"/>
      <w:r>
        <w:rPr>
          <w:rFonts w:hint="eastAsia" w:ascii="宋体" w:hAnsi="宋体" w:cs="黑体"/>
          <w:color w:val="000000"/>
          <w:sz w:val="30"/>
          <w:szCs w:val="30"/>
        </w:rPr>
        <w:t>27、</w:t>
      </w:r>
      <w:bookmarkEnd w:id="136"/>
      <w:r>
        <w:rPr>
          <w:rFonts w:hint="eastAsia" w:ascii="宋体" w:hAnsi="宋体" w:cs="黑体"/>
          <w:color w:val="000000"/>
          <w:sz w:val="30"/>
          <w:szCs w:val="30"/>
        </w:rPr>
        <w:t>确定</w:t>
      </w:r>
      <w:bookmarkEnd w:id="137"/>
      <w:bookmarkEnd w:id="138"/>
      <w:r>
        <w:rPr>
          <w:rFonts w:hint="eastAsia" w:ascii="宋体" w:hAnsi="宋体" w:cs="黑体"/>
          <w:color w:val="000000"/>
          <w:sz w:val="30"/>
          <w:szCs w:val="30"/>
        </w:rPr>
        <w:t>中标单位</w:t>
      </w:r>
    </w:p>
    <w:p w14:paraId="590582ED">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 xml:space="preserve">27.1中标候选人的选取原则和数量见招标文件第五章规定。 </w:t>
      </w:r>
    </w:p>
    <w:p w14:paraId="507893A8">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27.2 采购人应根据评委会推荐的中标候选人确定中标人。</w:t>
      </w:r>
    </w:p>
    <w:p w14:paraId="778F7D39">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27.3 采购中心将在“中国政府采购网、江苏政府采购网、盐城市政府采购网”发布中标公告，公告期限为1个工作日。</w:t>
      </w:r>
    </w:p>
    <w:p w14:paraId="732D3A2E">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27.4  若有充分证据证明，中标人出现下列情况之一的，一经查实，将被取消中标资格：</w:t>
      </w:r>
    </w:p>
    <w:p w14:paraId="03FBA546">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27.4.1提供虚假材料谋取中标的。</w:t>
      </w:r>
    </w:p>
    <w:p w14:paraId="457B5FAC">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27.4.2向采购人、采购中心行贿或者提供其他不正当利益的。</w:t>
      </w:r>
    </w:p>
    <w:p w14:paraId="3CB010C1">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27.4.3属于本文件规定的无效条件，但在评标过程中又未被评委会发现的。</w:t>
      </w:r>
    </w:p>
    <w:p w14:paraId="6877FDDE">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27.4.4与采购人或者其他供应商恶意串通的。</w:t>
      </w:r>
    </w:p>
    <w:p w14:paraId="7F0B4292">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27.4.5采取不正当手段诋毁、排挤其他供应商的。</w:t>
      </w:r>
    </w:p>
    <w:p w14:paraId="4A2E9659">
      <w:pPr>
        <w:pStyle w:val="14"/>
        <w:spacing w:beforeAutospacing="0" w:afterAutospacing="0" w:line="360" w:lineRule="auto"/>
        <w:ind w:firstLine="480"/>
        <w:jc w:val="both"/>
        <w:outlineLvl w:val="9"/>
        <w:rPr>
          <w:rFonts w:ascii="宋体" w:hAnsi="宋体"/>
        </w:rPr>
      </w:pPr>
      <w:bookmarkStart w:id="139" w:name="_Toc200451960"/>
      <w:r>
        <w:rPr>
          <w:rFonts w:hint="eastAsia" w:ascii="宋体" w:hAnsi="宋体" w:cs="宋体"/>
          <w:color w:val="000000"/>
        </w:rPr>
        <w:t>27.5.</w:t>
      </w:r>
      <w:r>
        <w:rPr>
          <w:rFonts w:ascii="宋体" w:hAnsi="宋体"/>
          <w:color w:val="000000"/>
          <w:sz w:val="21"/>
          <w:szCs w:val="21"/>
        </w:rPr>
        <w:t> </w:t>
      </w:r>
      <w:r>
        <w:rPr>
          <w:rFonts w:ascii="宋体" w:hAnsi="宋体"/>
          <w:color w:val="000000"/>
        </w:rPr>
        <w:t>有下列情形之一的，视为投标人串通投标，投标无效：</w:t>
      </w:r>
      <w:bookmarkEnd w:id="139"/>
    </w:p>
    <w:p w14:paraId="7350F385">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27.5.1不同投标人的投标文件由同一单位或者个人编制；</w:t>
      </w:r>
    </w:p>
    <w:p w14:paraId="4350F31C">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27.5.2不同投标人委托同一单位或者个人办理投标事宜；</w:t>
      </w:r>
    </w:p>
    <w:p w14:paraId="328C7420">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27.5.3 不同投标人的投标文件载明的项目管理成员或者联系人员为同一人；</w:t>
      </w:r>
    </w:p>
    <w:p w14:paraId="4B36AC54">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27.5.4不同投标人的投标文件异常一致或者投标报价呈规律性差异。</w:t>
      </w:r>
    </w:p>
    <w:p w14:paraId="0607E374">
      <w:pPr>
        <w:pStyle w:val="14"/>
        <w:keepNext/>
        <w:keepLines/>
        <w:spacing w:beforeAutospacing="0" w:afterAutospacing="0" w:line="360" w:lineRule="auto"/>
        <w:ind w:firstLine="600"/>
        <w:jc w:val="both"/>
        <w:outlineLvl w:val="9"/>
        <w:rPr>
          <w:rFonts w:ascii="宋体" w:hAnsi="宋体"/>
        </w:rPr>
      </w:pPr>
      <w:r>
        <w:rPr>
          <w:rFonts w:hint="eastAsia" w:ascii="宋体" w:hAnsi="宋体" w:cs="黑体"/>
          <w:color w:val="000000"/>
          <w:sz w:val="30"/>
          <w:szCs w:val="30"/>
        </w:rPr>
        <w:t>28、质疑处理</w:t>
      </w:r>
    </w:p>
    <w:p w14:paraId="3BDF68FB">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28.1 提出质疑的供应商应当是参与所质疑项目采购活动的供应商。潜在供应商依法获取其可质疑的采购文件的，可以对采购文件提出质疑。</w:t>
      </w:r>
    </w:p>
    <w:p w14:paraId="06803D51">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28.2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p>
    <w:p w14:paraId="68FA214D">
      <w:pPr>
        <w:pStyle w:val="14"/>
        <w:spacing w:beforeAutospacing="0" w:afterAutospacing="0" w:line="360" w:lineRule="auto"/>
        <w:ind w:firstLine="480"/>
        <w:jc w:val="both"/>
        <w:outlineLvl w:val="9"/>
        <w:rPr>
          <w:rFonts w:hint="eastAsia" w:ascii="宋体" w:hAnsi="宋体"/>
          <w:color w:val="000000"/>
        </w:rPr>
      </w:pPr>
      <w:r>
        <w:rPr>
          <w:rFonts w:hint="eastAsia" w:ascii="宋体" w:hAnsi="宋体" w:cs="宋体"/>
          <w:color w:val="000000"/>
        </w:rPr>
        <w:t>28.2.1</w:t>
      </w:r>
      <w:r>
        <w:rPr>
          <w:rFonts w:ascii="宋体" w:hAnsi="宋体"/>
          <w:color w:val="000000"/>
        </w:rPr>
        <w:t>对可以质疑的采购文件提出质疑的，为收到采购文件之日或者采购文件公告期限届满之日；</w:t>
      </w:r>
    </w:p>
    <w:p w14:paraId="696E7959">
      <w:pPr>
        <w:pStyle w:val="14"/>
        <w:spacing w:beforeAutospacing="0" w:afterAutospacing="0" w:line="360" w:lineRule="auto"/>
        <w:ind w:firstLine="480"/>
        <w:jc w:val="both"/>
        <w:outlineLvl w:val="9"/>
        <w:rPr>
          <w:rFonts w:hint="eastAsia" w:ascii="宋体" w:hAnsi="宋体"/>
          <w:color w:val="000000"/>
        </w:rPr>
      </w:pPr>
      <w:r>
        <w:rPr>
          <w:rFonts w:hint="eastAsia" w:ascii="宋体" w:hAnsi="宋体" w:cs="宋体"/>
          <w:color w:val="000000"/>
        </w:rPr>
        <w:t>28.2.2</w:t>
      </w:r>
      <w:r>
        <w:rPr>
          <w:rFonts w:ascii="宋体" w:hAnsi="宋体"/>
          <w:color w:val="000000"/>
        </w:rPr>
        <w:t>对采购过程提出质疑的，为各采购程序环节结束之日；</w:t>
      </w:r>
    </w:p>
    <w:p w14:paraId="77E468BC">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28.2.3</w:t>
      </w:r>
      <w:r>
        <w:rPr>
          <w:rFonts w:ascii="宋体" w:hAnsi="宋体"/>
          <w:color w:val="000000"/>
        </w:rPr>
        <w:t>对中标或者成交结果提出质疑的，为中标或者成交结果公告期限届满之日。</w:t>
      </w:r>
    </w:p>
    <w:p w14:paraId="64D9034C">
      <w:pPr>
        <w:pStyle w:val="14"/>
        <w:spacing w:beforeAutospacing="0" w:afterAutospacing="0" w:line="360" w:lineRule="auto"/>
        <w:ind w:firstLine="480"/>
        <w:jc w:val="both"/>
        <w:outlineLvl w:val="9"/>
        <w:rPr>
          <w:rFonts w:ascii="宋体" w:hAnsi="宋体"/>
        </w:rPr>
      </w:pPr>
      <w:r>
        <w:rPr>
          <w:rFonts w:ascii="宋体" w:hAnsi="宋体"/>
          <w:color w:val="000000"/>
        </w:rPr>
        <w:t>供应商应当在法定质疑期内一次性提出针对同一采购程序环节的质疑。供应商如在法定期限内对同一采购程序环节提出多次质疑的，采购中心、采购人将只对供应商第一次质疑作出答复。</w:t>
      </w:r>
    </w:p>
    <w:p w14:paraId="462477A1">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28.3质疑函必须按照本招标文件中《质疑函范本》要求的格式和内容进行填写。供应商如组成联合体参加投标，则《质疑函范本》中要求签字、盖章、加盖公章之处，联合体各方均须按要求签字、盖章、加盖公章。</w:t>
      </w:r>
    </w:p>
    <w:p w14:paraId="002FAAB7">
      <w:pPr>
        <w:pStyle w:val="14"/>
        <w:spacing w:beforeAutospacing="0" w:afterAutospacing="0" w:line="360" w:lineRule="auto"/>
        <w:ind w:firstLine="480"/>
        <w:jc w:val="both"/>
        <w:outlineLvl w:val="9"/>
        <w:rPr>
          <w:rFonts w:ascii="宋体" w:hAnsi="宋体" w:cs="宋体"/>
          <w:color w:val="000000"/>
        </w:rPr>
      </w:pPr>
      <w:r>
        <w:rPr>
          <w:rFonts w:hint="eastAsia" w:ascii="宋体" w:hAnsi="宋体" w:cs="宋体"/>
          <w:color w:val="000000"/>
        </w:rPr>
        <w:t>28.4 供应商</w:t>
      </w:r>
      <w:r>
        <w:rPr>
          <w:rFonts w:hint="eastAsia" w:ascii="宋体" w:hAnsi="宋体" w:cs="宋体"/>
          <w:color w:val="FF0000"/>
        </w:rPr>
        <w:t>（含潜在供应商）</w:t>
      </w:r>
      <w:r>
        <w:rPr>
          <w:rFonts w:hint="eastAsia" w:ascii="宋体" w:hAnsi="宋体" w:cs="宋体"/>
          <w:color w:val="000000"/>
        </w:rPr>
        <w:t>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p>
    <w:p w14:paraId="013C2905">
      <w:pPr>
        <w:pStyle w:val="14"/>
        <w:spacing w:beforeAutospacing="0" w:afterAutospacing="0" w:line="360" w:lineRule="auto"/>
        <w:ind w:firstLine="480"/>
        <w:jc w:val="both"/>
        <w:outlineLvl w:val="9"/>
        <w:rPr>
          <w:rFonts w:ascii="宋体" w:hAnsi="宋体" w:cs="宋体"/>
          <w:color w:val="000000"/>
        </w:rPr>
      </w:pPr>
      <w:r>
        <w:rPr>
          <w:rFonts w:hint="eastAsia" w:ascii="宋体" w:hAnsi="宋体" w:cs="宋体"/>
          <w:color w:val="000000"/>
        </w:rPr>
        <w:t xml:space="preserve">采购中心及采购人只接收以纸质原件形式送达的质疑,采购人和采购中心不接受未填写快递运单的快件。 </w:t>
      </w:r>
    </w:p>
    <w:p w14:paraId="71803C75">
      <w:pPr>
        <w:pStyle w:val="14"/>
        <w:spacing w:beforeAutospacing="0" w:afterAutospacing="0" w:line="360" w:lineRule="auto"/>
        <w:ind w:firstLine="480"/>
        <w:jc w:val="both"/>
        <w:outlineLvl w:val="9"/>
        <w:rPr>
          <w:rFonts w:ascii="宋体" w:hAnsi="宋体"/>
        </w:rPr>
      </w:pPr>
      <w:r>
        <w:rPr>
          <w:rFonts w:hint="eastAsia" w:ascii="宋体" w:hAnsi="宋体"/>
        </w:rPr>
        <w:t>采购中心质疑接收部门为政府集中采购科（</w:t>
      </w:r>
      <w:r>
        <w:rPr>
          <w:rFonts w:hint="eastAsia" w:ascii="宋体" w:hAnsi="宋体"/>
          <w:color w:val="FF0000"/>
        </w:rPr>
        <w:t>快递运单上的收件人填写“政府集中采购科”即可）</w:t>
      </w:r>
      <w:r>
        <w:rPr>
          <w:rFonts w:hint="eastAsia" w:ascii="宋体" w:hAnsi="宋体"/>
        </w:rPr>
        <w:t>，联系地址：盐城市射阳县幸福大道16号（射阳县市民中心），联系电话：0515-82391711。</w:t>
      </w:r>
    </w:p>
    <w:p w14:paraId="77F34428">
      <w:pPr>
        <w:pStyle w:val="14"/>
        <w:spacing w:beforeAutospacing="0" w:afterAutospacing="0" w:line="360" w:lineRule="auto"/>
        <w:ind w:firstLine="480"/>
        <w:jc w:val="both"/>
        <w:outlineLvl w:val="9"/>
        <w:rPr>
          <w:rFonts w:ascii="宋体" w:hAnsi="宋体"/>
        </w:rPr>
      </w:pPr>
      <w:r>
        <w:rPr>
          <w:rFonts w:hint="eastAsia" w:ascii="宋体" w:hAnsi="宋体"/>
        </w:rPr>
        <w:t>采购人质疑接收人及联系方式见招标文件第一章。</w:t>
      </w:r>
    </w:p>
    <w:p w14:paraId="2DDE6E01">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28.5 以下情形的质疑不予受理</w:t>
      </w:r>
    </w:p>
    <w:p w14:paraId="44D69993">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28.5.1 内容不符合《政府采购质疑和投诉办法》第十二条规定的质疑。</w:t>
      </w:r>
    </w:p>
    <w:p w14:paraId="343BD5AD">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28.5.2 超出政府采购法定期限的质疑。</w:t>
      </w:r>
    </w:p>
    <w:p w14:paraId="6CE16295">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28.5.3 以传真、电子邮件等方式递交的非原件形式的质疑。</w:t>
      </w:r>
    </w:p>
    <w:p w14:paraId="09685D84">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28.5.4 未参加投标活动的供应商或在投标活动中自身权益未受到损害的供应商所提出的质疑。</w:t>
      </w:r>
    </w:p>
    <w:p w14:paraId="180AAFF4">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28.5.5供应商组成联合体参加投标，联合体中任何一方或多方未按要求签字、盖章、加盖公章的质疑。</w:t>
      </w:r>
    </w:p>
    <w:p w14:paraId="03FF997B">
      <w:pPr>
        <w:pStyle w:val="14"/>
        <w:spacing w:beforeAutospacing="0" w:afterAutospacing="0" w:line="360" w:lineRule="auto"/>
        <w:ind w:firstLine="468"/>
        <w:jc w:val="both"/>
        <w:outlineLvl w:val="9"/>
        <w:rPr>
          <w:rFonts w:ascii="宋体" w:hAnsi="宋体"/>
        </w:rPr>
      </w:pPr>
      <w:r>
        <w:rPr>
          <w:rFonts w:hint="eastAsia" w:ascii="宋体" w:hAnsi="宋体" w:cs="宋体"/>
          <w:color w:val="000000"/>
        </w:rPr>
        <w:t>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7F00874E">
      <w:pPr>
        <w:pStyle w:val="14"/>
        <w:keepNext/>
        <w:keepLines/>
        <w:spacing w:beforeAutospacing="0" w:afterAutospacing="0" w:line="360" w:lineRule="auto"/>
        <w:ind w:firstLine="600"/>
        <w:jc w:val="both"/>
        <w:outlineLvl w:val="9"/>
        <w:rPr>
          <w:rFonts w:ascii="宋体" w:hAnsi="宋体"/>
        </w:rPr>
      </w:pPr>
      <w:r>
        <w:rPr>
          <w:rFonts w:hint="eastAsia" w:ascii="宋体" w:hAnsi="宋体" w:cs="黑体"/>
          <w:color w:val="000000"/>
          <w:sz w:val="30"/>
          <w:szCs w:val="30"/>
        </w:rPr>
        <w:t>29、中标通知书</w:t>
      </w:r>
    </w:p>
    <w:p w14:paraId="718321C9">
      <w:pPr>
        <w:pStyle w:val="14"/>
        <w:spacing w:beforeAutospacing="0" w:afterAutospacing="0" w:line="360" w:lineRule="auto"/>
        <w:ind w:firstLine="600"/>
        <w:jc w:val="both"/>
        <w:outlineLvl w:val="9"/>
        <w:rPr>
          <w:rFonts w:ascii="宋体" w:hAnsi="宋体"/>
        </w:rPr>
      </w:pPr>
      <w:r>
        <w:rPr>
          <w:rFonts w:hint="eastAsia" w:ascii="宋体" w:hAnsi="宋体" w:cs="宋体"/>
          <w:color w:val="000000"/>
        </w:rPr>
        <w:t>29.l</w:t>
      </w:r>
      <w:r>
        <w:rPr>
          <w:rFonts w:hint="eastAsia" w:ascii="宋体" w:hAnsi="宋体" w:cs="宋体"/>
          <w:b/>
          <w:color w:val="000000"/>
        </w:rPr>
        <w:t> </w:t>
      </w:r>
      <w:r>
        <w:rPr>
          <w:rFonts w:hint="eastAsia" w:ascii="宋体" w:hAnsi="宋体" w:cs="宋体"/>
          <w:color w:val="000000"/>
        </w:rPr>
        <w:t>中标结果确定后，采购中心将向中标人发出中标通知书。请中标人在中标结果公告届满之日起30日内,使用CA数字证书登录</w:t>
      </w:r>
      <w:r>
        <w:rPr>
          <w:rFonts w:hint="eastAsia" w:ascii="宋体" w:hAnsi="宋体" w:cs="宋体"/>
          <w:color w:val="FF0000"/>
        </w:rPr>
        <w:t>苏采云系统</w:t>
      </w:r>
      <w:r>
        <w:rPr>
          <w:rFonts w:hint="eastAsia" w:ascii="宋体" w:hAnsi="宋体" w:cs="宋体"/>
          <w:color w:val="000000"/>
        </w:rPr>
        <w:t>及时下载中标通知书。因系统存储空间有限，自中标结果公告届满之日起30日后，</w:t>
      </w:r>
      <w:r>
        <w:rPr>
          <w:rFonts w:hint="eastAsia" w:ascii="宋体" w:hAnsi="宋体" w:cs="宋体"/>
          <w:color w:val="FF0000"/>
        </w:rPr>
        <w:t>苏采云系统</w:t>
      </w:r>
      <w:r>
        <w:rPr>
          <w:rFonts w:hint="eastAsia" w:ascii="宋体" w:hAnsi="宋体" w:cs="宋体"/>
          <w:color w:val="000000"/>
        </w:rPr>
        <w:t>不再保证提供下载中标通知书服务,因未及时下载而造成的不利后果由中标人自行承担。</w:t>
      </w:r>
    </w:p>
    <w:p w14:paraId="4C8B9D53">
      <w:pPr>
        <w:pStyle w:val="14"/>
        <w:spacing w:beforeAutospacing="0" w:afterAutospacing="0" w:line="360" w:lineRule="auto"/>
        <w:ind w:firstLine="600"/>
        <w:jc w:val="both"/>
        <w:outlineLvl w:val="9"/>
        <w:rPr>
          <w:rFonts w:ascii="宋体" w:hAnsi="宋体"/>
        </w:rPr>
      </w:pPr>
      <w:r>
        <w:rPr>
          <w:rFonts w:hint="eastAsia" w:ascii="宋体" w:hAnsi="宋体" w:cs="宋体"/>
          <w:color w:val="000000"/>
        </w:rPr>
        <w:t>29.2中标通知书将是合同的一个组成部分。对采购人和中标供应商均具有法律效力。中标通知书发出后，采购人改变中标结果的，或者中标供应商放弃中标项目的，应当依法承担法律责任。</w:t>
      </w:r>
    </w:p>
    <w:p w14:paraId="783B367F">
      <w:pPr>
        <w:pStyle w:val="14"/>
        <w:keepNext/>
        <w:keepLines/>
        <w:spacing w:before="145" w:beforeAutospacing="0" w:after="145" w:afterAutospacing="0" w:line="360" w:lineRule="auto"/>
        <w:jc w:val="both"/>
        <w:outlineLvl w:val="9"/>
        <w:rPr>
          <w:rFonts w:ascii="宋体" w:hAnsi="宋体"/>
        </w:rPr>
      </w:pPr>
      <w:bookmarkStart w:id="140" w:name="_Toc513029236"/>
      <w:bookmarkStart w:id="141" w:name="_Toc20823308"/>
      <w:bookmarkStart w:id="142" w:name="_Toc16938552"/>
      <w:bookmarkStart w:id="143" w:name="_Toc120614220"/>
      <w:r>
        <w:rPr>
          <w:rFonts w:ascii="宋体" w:hAnsi="宋体"/>
          <w:b/>
          <w:color w:val="000000"/>
          <w:sz w:val="32"/>
          <w:szCs w:val="32"/>
        </w:rPr>
        <w:t>七、授予合同</w:t>
      </w:r>
      <w:bookmarkEnd w:id="140"/>
      <w:bookmarkEnd w:id="141"/>
      <w:bookmarkEnd w:id="142"/>
      <w:bookmarkEnd w:id="143"/>
    </w:p>
    <w:p w14:paraId="60F94912">
      <w:pPr>
        <w:pStyle w:val="14"/>
        <w:keepNext/>
        <w:keepLines/>
        <w:spacing w:beforeAutospacing="0" w:afterAutospacing="0" w:line="360" w:lineRule="auto"/>
        <w:ind w:firstLine="600"/>
        <w:jc w:val="both"/>
        <w:outlineLvl w:val="9"/>
        <w:rPr>
          <w:rFonts w:ascii="宋体" w:hAnsi="宋体"/>
        </w:rPr>
      </w:pPr>
      <w:bookmarkStart w:id="144" w:name="_Toc16938553"/>
      <w:bookmarkStart w:id="145" w:name="_Toc513029237"/>
      <w:bookmarkStart w:id="146" w:name="_Toc20823309"/>
      <w:r>
        <w:rPr>
          <w:rFonts w:hint="eastAsia" w:ascii="宋体" w:hAnsi="宋体" w:cs="黑体"/>
          <w:color w:val="000000"/>
          <w:sz w:val="30"/>
          <w:szCs w:val="30"/>
        </w:rPr>
        <w:t>30. 签订合同</w:t>
      </w:r>
      <w:bookmarkEnd w:id="144"/>
      <w:bookmarkEnd w:id="145"/>
      <w:bookmarkEnd w:id="146"/>
    </w:p>
    <w:p w14:paraId="6C7C0447">
      <w:pPr>
        <w:pStyle w:val="14"/>
        <w:spacing w:beforeAutospacing="0" w:afterAutospacing="0" w:line="360" w:lineRule="auto"/>
        <w:ind w:firstLine="600"/>
        <w:jc w:val="both"/>
        <w:outlineLvl w:val="9"/>
        <w:rPr>
          <w:rFonts w:ascii="宋体" w:hAnsi="宋体"/>
        </w:rPr>
      </w:pPr>
      <w:r>
        <w:rPr>
          <w:rFonts w:hint="eastAsia" w:ascii="宋体" w:hAnsi="宋体" w:cs="宋体"/>
          <w:color w:val="000000"/>
        </w:rPr>
        <w:t>30.l中标人应当在中标通知书发出之日起三十日内（原则上在15日内签订合同），按照招标文件确定的事项与采购人签订政府采购合同。</w:t>
      </w:r>
    </w:p>
    <w:p w14:paraId="31AB9363">
      <w:pPr>
        <w:pStyle w:val="14"/>
        <w:spacing w:beforeAutospacing="0" w:afterAutospacing="0" w:line="360" w:lineRule="auto"/>
        <w:ind w:firstLine="600"/>
        <w:jc w:val="both"/>
        <w:outlineLvl w:val="9"/>
        <w:rPr>
          <w:rFonts w:ascii="宋体" w:hAnsi="宋体"/>
        </w:rPr>
      </w:pPr>
      <w:r>
        <w:rPr>
          <w:rFonts w:hint="eastAsia" w:ascii="宋体" w:hAnsi="宋体" w:cs="宋体"/>
          <w:color w:val="000000"/>
        </w:rPr>
        <w:t>30.2招标文件、中标人的投标文件及招标过程中有关澄清、承诺文件均应作为合同附件。</w:t>
      </w:r>
    </w:p>
    <w:p w14:paraId="7E2C0C26">
      <w:pPr>
        <w:pStyle w:val="14"/>
        <w:spacing w:beforeAutospacing="0" w:afterAutospacing="0" w:line="360" w:lineRule="auto"/>
        <w:ind w:firstLine="600"/>
        <w:jc w:val="both"/>
        <w:outlineLvl w:val="9"/>
        <w:rPr>
          <w:rFonts w:ascii="宋体" w:hAnsi="宋体" w:cs="宋体"/>
          <w:color w:val="000000"/>
        </w:rPr>
      </w:pPr>
      <w:r>
        <w:rPr>
          <w:rFonts w:hint="eastAsia" w:ascii="宋体" w:hAnsi="宋体" w:cs="宋体"/>
          <w:color w:val="000000"/>
        </w:rPr>
        <w:t>30.3 签订合同后，</w:t>
      </w:r>
      <w:r>
        <w:rPr>
          <w:rFonts w:hint="eastAsia" w:ascii="宋体" w:hAnsi="宋体" w:cs="宋体"/>
          <w:i/>
          <w:color w:val="000000"/>
          <w:u w:val="single"/>
        </w:rPr>
        <w:t>中标人不得将合同标的进行转包</w:t>
      </w:r>
      <w:r>
        <w:rPr>
          <w:rFonts w:hint="eastAsia" w:ascii="宋体" w:hAnsi="宋体" w:cs="宋体"/>
          <w:color w:val="000000"/>
        </w:rPr>
        <w:t>。未经采购人同意，中标人也不得采用分包的形式履行合同，否则采购人有权终止合同。转包或分包造成采购人损失的，中标人应承担相应赔偿责任。</w:t>
      </w:r>
    </w:p>
    <w:p w14:paraId="0F68472C">
      <w:pPr>
        <w:pStyle w:val="14"/>
        <w:spacing w:beforeAutospacing="0" w:afterAutospacing="0" w:line="360" w:lineRule="auto"/>
        <w:ind w:firstLine="600"/>
        <w:jc w:val="both"/>
        <w:outlineLvl w:val="9"/>
        <w:rPr>
          <w:rFonts w:ascii="宋体" w:hAnsi="宋体"/>
        </w:rPr>
      </w:pPr>
      <w:r>
        <w:rPr>
          <w:rFonts w:hint="eastAsia" w:ascii="宋体" w:hAnsi="宋体" w:cs="宋体"/>
          <w:color w:val="000000"/>
        </w:rPr>
        <w:t>30.4政府采购合同签订之日起2个工作日内，将政府采购合同在省级以上人民政府财政部门指定的媒体上公告，但政府采购合同中涉及国家秘密、商业秘密的内容除外。</w:t>
      </w:r>
    </w:p>
    <w:p w14:paraId="40C25650">
      <w:pPr>
        <w:pStyle w:val="14"/>
        <w:keepNext/>
        <w:keepLines/>
        <w:spacing w:beforeAutospacing="0" w:afterAutospacing="0" w:line="360" w:lineRule="auto"/>
        <w:ind w:firstLine="600"/>
        <w:jc w:val="both"/>
        <w:outlineLvl w:val="9"/>
        <w:rPr>
          <w:rFonts w:ascii="宋体" w:hAnsi="宋体"/>
        </w:rPr>
      </w:pPr>
      <w:r>
        <w:rPr>
          <w:rFonts w:hint="eastAsia" w:ascii="宋体" w:hAnsi="宋体" w:cs="黑体"/>
          <w:color w:val="000000"/>
          <w:sz w:val="30"/>
          <w:szCs w:val="30"/>
        </w:rPr>
        <w:t>31、货物（包含与货物相关的服务）的追加</w:t>
      </w:r>
    </w:p>
    <w:p w14:paraId="0DF8FA10">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012234CC">
      <w:pPr>
        <w:pStyle w:val="14"/>
        <w:keepNext/>
        <w:keepLines/>
        <w:spacing w:beforeAutospacing="0" w:afterAutospacing="0" w:line="360" w:lineRule="auto"/>
        <w:ind w:firstLine="600"/>
        <w:jc w:val="both"/>
        <w:outlineLvl w:val="9"/>
        <w:rPr>
          <w:rFonts w:ascii="宋体" w:hAnsi="宋体"/>
        </w:rPr>
      </w:pPr>
      <w:bookmarkStart w:id="147" w:name="_Toc120614221"/>
      <w:bookmarkStart w:id="148" w:name="_Toc513029242"/>
      <w:bookmarkStart w:id="149" w:name="_Toc16938558"/>
      <w:bookmarkStart w:id="150" w:name="_Toc479757207"/>
      <w:bookmarkStart w:id="151" w:name="_Toc20823314"/>
      <w:r>
        <w:rPr>
          <w:rFonts w:hint="eastAsia" w:ascii="宋体" w:hAnsi="宋体" w:cs="黑体"/>
          <w:color w:val="000000"/>
          <w:sz w:val="30"/>
          <w:szCs w:val="30"/>
        </w:rPr>
        <w:t>32、政府采购履约资金扶持政策</w:t>
      </w:r>
      <w:bookmarkEnd w:id="147"/>
      <w:bookmarkEnd w:id="148"/>
      <w:bookmarkEnd w:id="149"/>
      <w:bookmarkEnd w:id="150"/>
      <w:bookmarkEnd w:id="151"/>
    </w:p>
    <w:p w14:paraId="4BB090A6">
      <w:pPr>
        <w:pStyle w:val="14"/>
        <w:spacing w:beforeAutospacing="0" w:afterAutospacing="0" w:line="360" w:lineRule="auto"/>
        <w:ind w:firstLine="480"/>
        <w:jc w:val="both"/>
        <w:outlineLvl w:val="9"/>
        <w:rPr>
          <w:rFonts w:ascii="宋体" w:hAnsi="宋体" w:cs="宋体"/>
          <w:color w:val="000000"/>
        </w:rPr>
      </w:pPr>
      <w:r>
        <w:rPr>
          <w:rFonts w:hint="eastAsia" w:ascii="宋体" w:hAnsi="宋体" w:cs="宋体"/>
          <w:color w:val="000000"/>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p>
    <w:p w14:paraId="01F90A41">
      <w:pPr>
        <w:pStyle w:val="14"/>
        <w:keepNext/>
        <w:keepLines/>
        <w:spacing w:beforeAutospacing="0" w:afterAutospacing="0" w:line="360" w:lineRule="auto"/>
        <w:ind w:firstLine="600"/>
        <w:jc w:val="both"/>
        <w:outlineLvl w:val="9"/>
        <w:rPr>
          <w:rFonts w:ascii="宋体" w:hAnsi="宋体" w:cs="黑体"/>
          <w:color w:val="000000"/>
          <w:sz w:val="30"/>
          <w:szCs w:val="30"/>
        </w:rPr>
      </w:pPr>
      <w:r>
        <w:rPr>
          <w:rFonts w:hint="eastAsia" w:ascii="宋体" w:hAnsi="宋体" w:cs="黑体"/>
          <w:color w:val="000000"/>
          <w:sz w:val="30"/>
          <w:szCs w:val="30"/>
        </w:rPr>
        <w:t>32、履约保证金</w:t>
      </w:r>
    </w:p>
    <w:p w14:paraId="32452D8B">
      <w:pPr>
        <w:pStyle w:val="14"/>
        <w:spacing w:beforeAutospacing="0" w:afterAutospacing="0" w:line="360" w:lineRule="auto"/>
        <w:ind w:firstLine="480"/>
        <w:jc w:val="both"/>
        <w:outlineLvl w:val="9"/>
        <w:rPr>
          <w:rFonts w:ascii="宋体" w:hAnsi="宋体" w:cs="宋体"/>
          <w:color w:val="000000"/>
        </w:rPr>
      </w:pPr>
      <w:r>
        <w:rPr>
          <w:rFonts w:hint="eastAsia" w:ascii="宋体" w:hAnsi="宋体" w:cs="宋体"/>
          <w:color w:val="000000"/>
        </w:rPr>
        <w:t xml:space="preserve">32.1中标人在签订合同时交纳不超过中标额10%的履约保证金到招标人指定账户，根据合同履行情况，中标单位在履约期内无违约行为的，招标人在验收合格后15日内全额退还履约保证金，不计利息。 </w:t>
      </w:r>
    </w:p>
    <w:p w14:paraId="3BAA3F68">
      <w:pPr>
        <w:pStyle w:val="14"/>
        <w:spacing w:beforeAutospacing="0" w:afterAutospacing="0" w:line="360" w:lineRule="auto"/>
        <w:ind w:firstLine="480"/>
        <w:jc w:val="both"/>
        <w:outlineLvl w:val="9"/>
        <w:rPr>
          <w:rFonts w:ascii="宋体" w:hAnsi="宋体" w:cs="宋体"/>
          <w:color w:val="000000"/>
        </w:rPr>
      </w:pPr>
      <w:r>
        <w:rPr>
          <w:rFonts w:hint="eastAsia" w:ascii="宋体" w:hAnsi="宋体" w:cs="宋体"/>
          <w:color w:val="000000"/>
        </w:rPr>
        <w:t>32.2《关于新冠肺炎疫情防控期间加大政府采购支持中小微企业力度的通知》规定,确需收取履约保证金的，允许投标人自主选择以支票、汇票、本票、保函等非现金形式缴纳或提交。</w:t>
      </w:r>
    </w:p>
    <w:p w14:paraId="4EB97E30">
      <w:pPr>
        <w:pStyle w:val="14"/>
        <w:spacing w:beforeAutospacing="0" w:afterAutospacing="0" w:line="360" w:lineRule="auto"/>
        <w:ind w:firstLine="480"/>
        <w:jc w:val="both"/>
        <w:outlineLvl w:val="9"/>
        <w:rPr>
          <w:rFonts w:ascii="宋体" w:hAnsi="宋体" w:cs="宋体"/>
          <w:color w:val="000000"/>
        </w:rPr>
      </w:pPr>
      <w:r>
        <w:rPr>
          <w:rFonts w:hint="eastAsia" w:ascii="宋体" w:hAnsi="宋体" w:cs="宋体"/>
          <w:color w:val="000000"/>
        </w:rPr>
        <w:t>32.3招标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依据《关于在全省政府采购领域推行电子履约保函（保险）的通知》，鼓励供应商自愿使用履约保函（保险）代替缴纳履约保证金）。具体操作流程请按射财库【2021】17号文和射财库【2021】20号文执行。</w:t>
      </w:r>
    </w:p>
    <w:p w14:paraId="35D628E0">
      <w:pPr>
        <w:pStyle w:val="14"/>
        <w:keepNext/>
        <w:keepLines/>
        <w:spacing w:beforeAutospacing="0" w:afterAutospacing="0" w:line="360" w:lineRule="auto"/>
        <w:ind w:firstLine="600"/>
        <w:jc w:val="both"/>
        <w:outlineLvl w:val="9"/>
        <w:rPr>
          <w:rFonts w:ascii="宋体" w:hAnsi="宋体" w:cs="黑体"/>
          <w:color w:val="000000"/>
          <w:sz w:val="30"/>
          <w:szCs w:val="30"/>
        </w:rPr>
      </w:pPr>
      <w:r>
        <w:rPr>
          <w:rFonts w:hint="eastAsia" w:ascii="宋体" w:hAnsi="宋体" w:cs="黑体"/>
          <w:color w:val="000000"/>
          <w:sz w:val="30"/>
          <w:szCs w:val="30"/>
        </w:rPr>
        <w:t>33、招标项目需满足的政府采购政策目标和具体支持对象</w:t>
      </w:r>
    </w:p>
    <w:p w14:paraId="4AB20002">
      <w:pPr>
        <w:pStyle w:val="14"/>
        <w:spacing w:beforeAutospacing="0" w:afterAutospacing="0" w:line="360" w:lineRule="auto"/>
        <w:ind w:firstLine="480"/>
        <w:jc w:val="both"/>
        <w:outlineLvl w:val="9"/>
        <w:rPr>
          <w:rFonts w:ascii="宋体" w:hAnsi="宋体" w:cs="宋体"/>
          <w:color w:val="000000"/>
        </w:rPr>
      </w:pPr>
      <w:r>
        <w:rPr>
          <w:rFonts w:hint="eastAsia" w:ascii="宋体" w:hAnsi="宋体" w:cs="宋体"/>
          <w:color w:val="000000"/>
        </w:rPr>
        <w:t>33.1政府采购促进中小企业发展，参加投标企业提供《中小企业声明函》（“中小企业划型标准”详见《关于印发中小企业划型标准规定的通知》(工信部联企业〔2011〕300号)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p>
    <w:p w14:paraId="1A0CBF0F">
      <w:pPr>
        <w:pStyle w:val="14"/>
        <w:spacing w:beforeAutospacing="0" w:afterAutospacing="0" w:line="360" w:lineRule="auto"/>
        <w:ind w:firstLine="480"/>
        <w:jc w:val="both"/>
        <w:outlineLvl w:val="9"/>
        <w:rPr>
          <w:rFonts w:ascii="宋体" w:hAnsi="宋体" w:cs="宋体"/>
          <w:color w:val="000000"/>
        </w:rPr>
      </w:pPr>
      <w:r>
        <w:rPr>
          <w:rFonts w:hint="eastAsia" w:ascii="宋体" w:hAnsi="宋体" w:cs="宋体"/>
          <w:color w:val="000000"/>
        </w:rPr>
        <w:t>33.2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p>
    <w:p w14:paraId="3F0EDDAB">
      <w:pPr>
        <w:pStyle w:val="14"/>
        <w:spacing w:beforeAutospacing="0" w:afterAutospacing="0" w:line="360" w:lineRule="auto"/>
        <w:ind w:firstLine="480"/>
        <w:jc w:val="both"/>
        <w:outlineLvl w:val="9"/>
        <w:rPr>
          <w:rFonts w:ascii="宋体" w:hAnsi="宋体" w:cs="宋体"/>
          <w:color w:val="000000"/>
        </w:rPr>
      </w:pPr>
      <w:r>
        <w:rPr>
          <w:rFonts w:hint="eastAsia" w:ascii="宋体" w:hAnsi="宋体" w:cs="宋体"/>
          <w:color w:val="000000"/>
        </w:rPr>
        <w:t>33.3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p>
    <w:p w14:paraId="11FE80C9">
      <w:pPr>
        <w:pStyle w:val="14"/>
        <w:spacing w:beforeAutospacing="0" w:afterAutospacing="0" w:line="360" w:lineRule="auto"/>
        <w:ind w:firstLine="480"/>
        <w:jc w:val="both"/>
        <w:outlineLvl w:val="9"/>
        <w:rPr>
          <w:rFonts w:ascii="宋体" w:hAnsi="宋体" w:cs="宋体"/>
          <w:color w:val="000000"/>
        </w:rPr>
      </w:pPr>
      <w:r>
        <w:rPr>
          <w:rFonts w:hint="eastAsia" w:ascii="宋体" w:hAnsi="宋体" w:cs="宋体"/>
          <w:color w:val="000000"/>
        </w:rPr>
        <w:t>33.4强制采购节能产品、信息安全产品，优先采购环境标志产品。依据《财政部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p>
    <w:p w14:paraId="67FC6C53">
      <w:pPr>
        <w:pStyle w:val="14"/>
        <w:spacing w:beforeAutospacing="0" w:afterAutospacing="0" w:line="360" w:lineRule="auto"/>
        <w:ind w:firstLine="480"/>
        <w:jc w:val="both"/>
        <w:outlineLvl w:val="9"/>
        <w:rPr>
          <w:rFonts w:ascii="宋体" w:hAnsi="宋体" w:cs="宋体"/>
          <w:color w:val="000000"/>
        </w:rPr>
      </w:pPr>
      <w:r>
        <w:rPr>
          <w:rFonts w:hint="eastAsia" w:ascii="宋体" w:hAnsi="宋体" w:cs="宋体"/>
          <w:color w:val="000000"/>
        </w:rPr>
        <w:t xml:space="preserve">33.5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p>
    <w:p w14:paraId="1B85C999">
      <w:pPr>
        <w:pStyle w:val="14"/>
        <w:spacing w:beforeAutospacing="0" w:afterAutospacing="0" w:line="360" w:lineRule="auto"/>
        <w:ind w:firstLine="480"/>
        <w:jc w:val="both"/>
        <w:outlineLvl w:val="9"/>
        <w:rPr>
          <w:rFonts w:ascii="宋体" w:hAnsi="宋体" w:cs="宋体"/>
          <w:color w:val="000000"/>
        </w:rPr>
      </w:pPr>
      <w:r>
        <w:rPr>
          <w:rFonts w:hint="eastAsia" w:ascii="宋体" w:hAnsi="宋体" w:cs="宋体"/>
          <w:color w:val="000000"/>
        </w:rPr>
        <w:t>33.6政府采购落实“政采贷”政策，依据《关于深入推进政府采购线上合同信用融资工作的通知》（苏财购﹝2021﹞82号）。</w:t>
      </w:r>
    </w:p>
    <w:p w14:paraId="16D45C6D">
      <w:pPr>
        <w:pStyle w:val="14"/>
        <w:spacing w:beforeAutospacing="0" w:afterAutospacing="0" w:line="360" w:lineRule="auto"/>
        <w:ind w:firstLine="480"/>
        <w:jc w:val="both"/>
        <w:outlineLvl w:val="9"/>
        <w:rPr>
          <w:rFonts w:ascii="宋体" w:hAnsi="宋体" w:cs="宋体"/>
          <w:color w:val="000000"/>
        </w:rPr>
      </w:pPr>
      <w:r>
        <w:rPr>
          <w:rFonts w:hint="eastAsia" w:ascii="宋体" w:hAnsi="宋体" w:cs="宋体"/>
          <w:color w:val="000000"/>
        </w:rPr>
        <w:t>33.7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p>
    <w:p w14:paraId="57466D79">
      <w:pPr>
        <w:pStyle w:val="14"/>
        <w:spacing w:beforeAutospacing="0" w:afterAutospacing="0" w:line="360" w:lineRule="auto"/>
        <w:ind w:firstLine="480"/>
        <w:jc w:val="both"/>
        <w:outlineLvl w:val="9"/>
        <w:rPr>
          <w:rFonts w:ascii="宋体" w:hAnsi="宋体" w:cs="宋体"/>
          <w:color w:val="000000"/>
        </w:rPr>
      </w:pPr>
      <w:r>
        <w:rPr>
          <w:rFonts w:hint="eastAsia" w:ascii="宋体" w:hAnsi="宋体" w:cs="宋体"/>
          <w:color w:val="000000"/>
        </w:rPr>
        <w:t>33.8政府采购落实（苏财购﹝2022﹞51号）。</w:t>
      </w:r>
    </w:p>
    <w:p w14:paraId="10E5934D">
      <w:pPr>
        <w:pStyle w:val="14"/>
        <w:spacing w:beforeAutospacing="0" w:afterAutospacing="0" w:line="360" w:lineRule="auto"/>
        <w:ind w:firstLine="480"/>
        <w:jc w:val="both"/>
        <w:outlineLvl w:val="9"/>
        <w:rPr>
          <w:rFonts w:ascii="宋体" w:hAnsi="宋体" w:cs="宋体"/>
          <w:color w:val="000000"/>
        </w:rPr>
      </w:pPr>
      <w:r>
        <w:rPr>
          <w:rFonts w:hint="eastAsia" w:ascii="宋体" w:hAnsi="宋体" w:cs="宋体"/>
          <w:color w:val="000000"/>
        </w:rPr>
        <w:t>33.9政府采购落实《关于进一步优化政府采购营商环境的通知》（射财库﹝2023﹞23号）。</w:t>
      </w:r>
    </w:p>
    <w:p w14:paraId="620E3AA0">
      <w:pPr>
        <w:pStyle w:val="14"/>
        <w:keepNext/>
        <w:keepLines/>
        <w:spacing w:beforeAutospacing="0" w:afterAutospacing="0" w:line="360" w:lineRule="auto"/>
        <w:ind w:firstLine="600"/>
        <w:jc w:val="both"/>
        <w:outlineLvl w:val="9"/>
        <w:rPr>
          <w:rFonts w:ascii="宋体" w:hAnsi="宋体" w:cs="黑体"/>
          <w:color w:val="000000"/>
          <w:sz w:val="30"/>
          <w:szCs w:val="30"/>
        </w:rPr>
      </w:pPr>
      <w:r>
        <w:rPr>
          <w:rFonts w:hint="eastAsia" w:ascii="宋体" w:hAnsi="宋体" w:cs="宋体"/>
          <w:color w:val="000000"/>
        </w:rPr>
        <w:t xml:space="preserve"> </w:t>
      </w:r>
      <w:r>
        <w:rPr>
          <w:rFonts w:hint="eastAsia" w:ascii="宋体" w:hAnsi="宋体" w:cs="黑体"/>
          <w:color w:val="000000"/>
          <w:sz w:val="30"/>
          <w:szCs w:val="30"/>
        </w:rPr>
        <w:t>34、踏勘</w:t>
      </w:r>
    </w:p>
    <w:p w14:paraId="73ED0B85">
      <w:pPr>
        <w:pStyle w:val="14"/>
        <w:spacing w:beforeAutospacing="0" w:afterAutospacing="0" w:line="360" w:lineRule="auto"/>
        <w:ind w:firstLine="480"/>
        <w:jc w:val="both"/>
        <w:outlineLvl w:val="9"/>
        <w:rPr>
          <w:rFonts w:ascii="宋体" w:hAnsi="宋体" w:cs="宋体"/>
          <w:color w:val="000000"/>
        </w:rPr>
      </w:pPr>
      <w:r>
        <w:rPr>
          <w:rFonts w:hint="eastAsia" w:ascii="宋体" w:hAnsi="宋体" w:cs="宋体"/>
          <w:color w:val="000000"/>
        </w:rPr>
        <w:t>34.1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p>
    <w:p w14:paraId="0931F953">
      <w:pPr>
        <w:pStyle w:val="14"/>
        <w:spacing w:beforeAutospacing="0" w:afterAutospacing="0" w:line="360" w:lineRule="auto"/>
        <w:ind w:firstLine="480"/>
        <w:jc w:val="both"/>
        <w:outlineLvl w:val="9"/>
        <w:rPr>
          <w:rFonts w:ascii="宋体" w:hAnsi="宋体" w:cs="宋体"/>
          <w:color w:val="000000"/>
        </w:rPr>
      </w:pPr>
      <w:r>
        <w:rPr>
          <w:rFonts w:hint="eastAsia" w:ascii="宋体" w:hAnsi="宋体" w:cs="宋体"/>
          <w:color w:val="000000"/>
        </w:rPr>
        <w:t>34.2招标人在踏勘现场中介绍的项目情况，投标人在编制投标文件时参考，招标人不对投标人据此作出的判断和决策负责。</w:t>
      </w:r>
    </w:p>
    <w:p w14:paraId="2D8CFE25">
      <w:pPr>
        <w:pStyle w:val="14"/>
        <w:spacing w:beforeAutospacing="0" w:afterAutospacing="0" w:line="360" w:lineRule="auto"/>
        <w:ind w:firstLine="480"/>
        <w:jc w:val="both"/>
        <w:outlineLvl w:val="9"/>
        <w:rPr>
          <w:rFonts w:ascii="宋体" w:hAnsi="宋体"/>
        </w:rPr>
      </w:pPr>
      <w:r>
        <w:rPr>
          <w:rFonts w:hint="eastAsia" w:ascii="宋体" w:hAnsi="宋体" w:cs="宋体"/>
          <w:color w:val="000000"/>
        </w:rPr>
        <w:t>34.3投标人承担踏勘现场所发生的自身费用。</w:t>
      </w:r>
      <w:r>
        <w:rPr>
          <w:rFonts w:ascii="宋体" w:hAnsi="宋体"/>
        </w:rPr>
        <w:t> </w:t>
      </w:r>
    </w:p>
    <w:p w14:paraId="58026EA7">
      <w:pPr>
        <w:pStyle w:val="14"/>
        <w:spacing w:beforeAutospacing="0" w:afterAutospacing="0"/>
        <w:ind w:right="0" w:rightChars="0"/>
        <w:jc w:val="center"/>
        <w:outlineLvl w:val="0"/>
        <w:rPr>
          <w:rFonts w:hint="eastAsia" w:ascii="宋体" w:hAnsi="宋体" w:eastAsia="宋体" w:cs="黑体"/>
          <w:b/>
          <w:color w:val="000000"/>
          <w:sz w:val="44"/>
          <w:szCs w:val="44"/>
        </w:rPr>
      </w:pPr>
      <w:bookmarkStart w:id="152" w:name="_Toc19212"/>
      <w:r>
        <w:rPr>
          <w:rFonts w:hint="eastAsia" w:ascii="宋体" w:hAnsi="宋体" w:eastAsia="宋体" w:cs="黑体"/>
          <w:b/>
          <w:color w:val="000000"/>
          <w:sz w:val="44"/>
          <w:szCs w:val="44"/>
        </w:rPr>
        <w:t>第三章  合同文本</w:t>
      </w:r>
      <w:bookmarkEnd w:id="152"/>
    </w:p>
    <w:p w14:paraId="2A14A7CA">
      <w:pPr>
        <w:pStyle w:val="14"/>
        <w:spacing w:before="312" w:beforeAutospacing="0" w:afterAutospacing="0" w:line="0" w:lineRule="atLeast"/>
        <w:ind w:firstLine="482"/>
        <w:jc w:val="both"/>
        <w:outlineLvl w:val="9"/>
        <w:rPr>
          <w:rFonts w:ascii="宋体" w:hAnsi="宋体"/>
        </w:rPr>
      </w:pPr>
      <w:bookmarkStart w:id="153" w:name="_Toc513029243"/>
      <w:bookmarkStart w:id="154" w:name="_Toc20823315"/>
      <w:bookmarkStart w:id="155" w:name="_Toc16938559"/>
      <w:r>
        <w:rPr>
          <w:rFonts w:hint="eastAsia" w:ascii="宋体" w:hAnsi="宋体" w:cs="宋体"/>
          <w:color w:val="000000"/>
        </w:rPr>
        <w:t>以下为中标后签定本项目合同的通用条款，中标人不得提出实质性的修改。</w:t>
      </w:r>
      <w:bookmarkEnd w:id="153"/>
      <w:bookmarkEnd w:id="154"/>
      <w:bookmarkEnd w:id="155"/>
    </w:p>
    <w:p w14:paraId="7C0BEFE5">
      <w:pPr>
        <w:pStyle w:val="14"/>
        <w:spacing w:before="145" w:beforeAutospacing="0" w:after="145" w:afterAutospacing="0"/>
        <w:jc w:val="center"/>
        <w:outlineLvl w:val="9"/>
        <w:rPr>
          <w:rFonts w:ascii="宋体" w:hAnsi="宋体" w:cs="宋体"/>
          <w:b/>
          <w:color w:val="000000"/>
          <w:sz w:val="30"/>
          <w:szCs w:val="30"/>
        </w:rPr>
      </w:pPr>
    </w:p>
    <w:p w14:paraId="101FBB32">
      <w:pPr>
        <w:pStyle w:val="14"/>
        <w:spacing w:before="145" w:beforeAutospacing="0" w:after="145" w:afterAutospacing="0"/>
        <w:jc w:val="center"/>
        <w:outlineLvl w:val="9"/>
        <w:rPr>
          <w:rFonts w:ascii="宋体" w:hAnsi="宋体"/>
        </w:rPr>
      </w:pPr>
      <w:r>
        <w:rPr>
          <w:rFonts w:hint="eastAsia" w:ascii="宋体" w:hAnsi="宋体" w:cs="宋体"/>
          <w:b/>
          <w:color w:val="000000"/>
          <w:sz w:val="30"/>
          <w:szCs w:val="30"/>
        </w:rPr>
        <w:t>盐城市政府采购合同 （合同编号）</w:t>
      </w:r>
    </w:p>
    <w:p w14:paraId="7C23830A">
      <w:pPr>
        <w:pStyle w:val="14"/>
        <w:spacing w:before="120" w:beforeAutospacing="0" w:after="120" w:afterAutospacing="0"/>
        <w:jc w:val="both"/>
        <w:outlineLvl w:val="9"/>
        <w:rPr>
          <w:rFonts w:ascii="宋体" w:hAnsi="宋体" w:cs="宋体"/>
          <w:color w:val="000000"/>
        </w:rPr>
      </w:pPr>
      <w:r>
        <w:rPr>
          <w:rFonts w:hint="eastAsia" w:ascii="宋体" w:hAnsi="宋体" w:cs="宋体"/>
          <w:color w:val="000000"/>
        </w:rPr>
        <w:t>项目名称：                        </w:t>
      </w:r>
    </w:p>
    <w:p w14:paraId="1176DCBA">
      <w:pPr>
        <w:pStyle w:val="14"/>
        <w:spacing w:before="120" w:beforeAutospacing="0" w:after="120" w:afterAutospacing="0"/>
        <w:jc w:val="both"/>
        <w:outlineLvl w:val="9"/>
        <w:rPr>
          <w:rFonts w:ascii="宋体" w:hAnsi="宋体" w:cs="宋体"/>
          <w:color w:val="000000"/>
        </w:rPr>
      </w:pPr>
      <w:r>
        <w:rPr>
          <w:rFonts w:hint="eastAsia" w:ascii="宋体" w:hAnsi="宋体" w:cs="宋体"/>
          <w:color w:val="000000"/>
        </w:rPr>
        <w:t>项目编号：</w:t>
      </w:r>
    </w:p>
    <w:p w14:paraId="6612A356">
      <w:pPr>
        <w:pStyle w:val="14"/>
        <w:spacing w:before="120" w:beforeAutospacing="0" w:after="120" w:afterAutospacing="0"/>
        <w:jc w:val="both"/>
        <w:outlineLvl w:val="9"/>
        <w:rPr>
          <w:rFonts w:ascii="宋体" w:hAnsi="宋体"/>
        </w:rPr>
      </w:pPr>
      <w:r>
        <w:rPr>
          <w:rFonts w:hint="eastAsia" w:ascii="宋体" w:hAnsi="宋体" w:cs="宋体"/>
          <w:color w:val="000000"/>
        </w:rPr>
        <w:t>甲方：（买方）_________</w:t>
      </w:r>
    </w:p>
    <w:p w14:paraId="10A162D5">
      <w:pPr>
        <w:pStyle w:val="14"/>
        <w:spacing w:before="120" w:beforeAutospacing="0" w:after="120" w:afterAutospacing="0"/>
        <w:jc w:val="both"/>
        <w:outlineLvl w:val="9"/>
        <w:rPr>
          <w:rFonts w:ascii="宋体" w:hAnsi="宋体"/>
        </w:rPr>
      </w:pPr>
      <w:r>
        <w:rPr>
          <w:rFonts w:hint="eastAsia" w:ascii="宋体" w:hAnsi="宋体" w:cs="宋体"/>
          <w:color w:val="000000"/>
        </w:rPr>
        <w:t>乙方：（卖方）_________</w:t>
      </w:r>
    </w:p>
    <w:p w14:paraId="7D85EC21">
      <w:pPr>
        <w:pStyle w:val="14"/>
        <w:spacing w:before="120" w:beforeAutospacing="0" w:after="120" w:afterAutospacing="0"/>
        <w:jc w:val="both"/>
        <w:outlineLvl w:val="9"/>
        <w:rPr>
          <w:rFonts w:ascii="宋体" w:hAnsi="宋体"/>
        </w:rPr>
      </w:pPr>
      <w:r>
        <w:rPr>
          <w:rFonts w:hint="eastAsia" w:ascii="宋体" w:hAnsi="宋体" w:cs="宋体"/>
          <w:b/>
          <w:color w:val="000000"/>
        </w:rPr>
        <w:t xml:space="preserve">   </w:t>
      </w:r>
      <w:r>
        <w:rPr>
          <w:rFonts w:hint="eastAsia" w:ascii="宋体" w:hAnsi="宋体" w:cs="宋体"/>
          <w:color w:val="000000"/>
        </w:rPr>
        <w:t>甲、乙双方根据射阳县行政服务中心</w:t>
      </w:r>
      <w:r>
        <w:rPr>
          <w:rFonts w:hint="eastAsia" w:ascii="宋体" w:hAnsi="宋体" w:cs="宋体"/>
          <w:color w:val="000000"/>
          <w:u w:val="single"/>
        </w:rPr>
        <w:t xml:space="preserve">         </w:t>
      </w:r>
      <w:r>
        <w:rPr>
          <w:rFonts w:hint="eastAsia" w:ascii="宋体" w:hAnsi="宋体" w:cs="宋体"/>
          <w:color w:val="000000"/>
        </w:rPr>
        <w:t>项目公开招标的结果，签署本合同。</w:t>
      </w:r>
    </w:p>
    <w:p w14:paraId="07EC9CCF">
      <w:pPr>
        <w:pStyle w:val="14"/>
        <w:spacing w:before="120" w:beforeAutospacing="0" w:after="120" w:afterAutospacing="0"/>
        <w:jc w:val="both"/>
        <w:outlineLvl w:val="9"/>
        <w:rPr>
          <w:rFonts w:ascii="宋体" w:hAnsi="宋体"/>
        </w:rPr>
      </w:pPr>
      <w:r>
        <w:rPr>
          <w:rFonts w:hint="eastAsia" w:ascii="宋体" w:hAnsi="宋体" w:cs="宋体"/>
          <w:b/>
          <w:color w:val="000000"/>
        </w:rPr>
        <w:t>一、合同内容</w:t>
      </w:r>
    </w:p>
    <w:p w14:paraId="54F8CD28">
      <w:pPr>
        <w:pStyle w:val="14"/>
        <w:spacing w:before="120" w:beforeAutospacing="0" w:after="120" w:afterAutospacing="0"/>
        <w:jc w:val="both"/>
        <w:outlineLvl w:val="9"/>
        <w:rPr>
          <w:rFonts w:ascii="宋体" w:hAnsi="宋体"/>
        </w:rPr>
      </w:pPr>
      <w:r>
        <w:rPr>
          <w:rFonts w:hint="eastAsia" w:ascii="宋体" w:hAnsi="宋体" w:cs="宋体"/>
          <w:color w:val="000000"/>
        </w:rPr>
        <w:t>1.1 标的名称：</w:t>
      </w:r>
    </w:p>
    <w:p w14:paraId="1A26ACC4">
      <w:pPr>
        <w:pStyle w:val="14"/>
        <w:spacing w:before="120" w:beforeAutospacing="0" w:after="120" w:afterAutospacing="0"/>
        <w:jc w:val="both"/>
        <w:outlineLvl w:val="9"/>
        <w:rPr>
          <w:rFonts w:ascii="宋体" w:hAnsi="宋体"/>
        </w:rPr>
      </w:pPr>
      <w:r>
        <w:rPr>
          <w:rFonts w:hint="eastAsia" w:ascii="宋体" w:hAnsi="宋体" w:cs="宋体"/>
          <w:color w:val="000000"/>
        </w:rPr>
        <w:t>1.2 标的质量：</w:t>
      </w:r>
    </w:p>
    <w:p w14:paraId="285862CA">
      <w:pPr>
        <w:pStyle w:val="14"/>
        <w:spacing w:before="120" w:beforeAutospacing="0" w:after="120" w:afterAutospacing="0"/>
        <w:jc w:val="both"/>
        <w:outlineLvl w:val="9"/>
        <w:rPr>
          <w:rFonts w:ascii="宋体" w:hAnsi="宋体"/>
        </w:rPr>
      </w:pPr>
      <w:r>
        <w:rPr>
          <w:rFonts w:hint="eastAsia" w:ascii="宋体" w:hAnsi="宋体" w:cs="宋体"/>
          <w:color w:val="000000"/>
        </w:rPr>
        <w:t>1.3 标的数量（规模）：</w:t>
      </w:r>
    </w:p>
    <w:p w14:paraId="72C222BF">
      <w:pPr>
        <w:pStyle w:val="14"/>
        <w:spacing w:before="120" w:beforeAutospacing="0" w:after="120" w:afterAutospacing="0"/>
        <w:jc w:val="both"/>
        <w:outlineLvl w:val="9"/>
        <w:rPr>
          <w:rFonts w:ascii="宋体" w:hAnsi="宋体"/>
        </w:rPr>
      </w:pPr>
      <w:r>
        <w:rPr>
          <w:rFonts w:hint="eastAsia" w:ascii="宋体" w:hAnsi="宋体" w:cs="宋体"/>
          <w:color w:val="000000"/>
        </w:rPr>
        <w:t>1.4 履行时间（期限）：</w:t>
      </w:r>
    </w:p>
    <w:p w14:paraId="2BE8E3C1">
      <w:pPr>
        <w:pStyle w:val="14"/>
        <w:spacing w:before="120" w:beforeAutospacing="0" w:after="120" w:afterAutospacing="0"/>
        <w:jc w:val="both"/>
        <w:outlineLvl w:val="9"/>
        <w:rPr>
          <w:rFonts w:ascii="宋体" w:hAnsi="宋体"/>
        </w:rPr>
      </w:pPr>
      <w:r>
        <w:rPr>
          <w:rFonts w:hint="eastAsia" w:ascii="宋体" w:hAnsi="宋体" w:cs="宋体"/>
          <w:color w:val="000000"/>
        </w:rPr>
        <w:t>1.5 履行地点：</w:t>
      </w:r>
    </w:p>
    <w:p w14:paraId="720DC742">
      <w:pPr>
        <w:pStyle w:val="14"/>
        <w:spacing w:before="120" w:beforeAutospacing="0" w:after="120" w:afterAutospacing="0"/>
        <w:jc w:val="both"/>
        <w:outlineLvl w:val="9"/>
        <w:rPr>
          <w:rFonts w:ascii="宋体" w:hAnsi="宋体"/>
        </w:rPr>
      </w:pPr>
      <w:r>
        <w:rPr>
          <w:rFonts w:hint="eastAsia" w:ascii="宋体" w:hAnsi="宋体" w:cs="宋体"/>
          <w:color w:val="000000"/>
        </w:rPr>
        <w:t>1.6 履行方式：</w:t>
      </w:r>
    </w:p>
    <w:p w14:paraId="24A461E7">
      <w:pPr>
        <w:pStyle w:val="14"/>
        <w:spacing w:before="120" w:beforeAutospacing="0" w:after="120" w:afterAutospacing="0"/>
        <w:jc w:val="both"/>
        <w:outlineLvl w:val="9"/>
        <w:rPr>
          <w:rFonts w:ascii="宋体" w:hAnsi="宋体"/>
        </w:rPr>
      </w:pPr>
      <w:r>
        <w:rPr>
          <w:rFonts w:hint="eastAsia" w:ascii="宋体" w:hAnsi="宋体" w:cs="宋体"/>
          <w:b/>
          <w:color w:val="000000"/>
        </w:rPr>
        <w:t>二、合同金额</w:t>
      </w:r>
    </w:p>
    <w:p w14:paraId="3E297BA7">
      <w:pPr>
        <w:pStyle w:val="14"/>
        <w:spacing w:before="120" w:beforeAutospacing="0" w:after="120" w:afterAutospacing="0"/>
        <w:ind w:left="410" w:hanging="410"/>
        <w:jc w:val="both"/>
        <w:outlineLvl w:val="9"/>
        <w:rPr>
          <w:rFonts w:ascii="宋体" w:hAnsi="宋体"/>
        </w:rPr>
      </w:pPr>
      <w:r>
        <w:rPr>
          <w:rFonts w:hint="eastAsia" w:ascii="宋体" w:hAnsi="宋体" w:cs="宋体"/>
          <w:color w:val="000000"/>
        </w:rPr>
        <w:t>2.1 本合同金额为（大写）：_______圆（___元）人民币或其他币种。</w:t>
      </w:r>
    </w:p>
    <w:p w14:paraId="44ADDB9F">
      <w:pPr>
        <w:pStyle w:val="14"/>
        <w:spacing w:before="120" w:beforeAutospacing="0" w:after="120" w:afterAutospacing="0"/>
        <w:jc w:val="both"/>
        <w:outlineLvl w:val="9"/>
        <w:rPr>
          <w:rFonts w:ascii="宋体" w:hAnsi="宋体"/>
        </w:rPr>
      </w:pPr>
      <w:r>
        <w:rPr>
          <w:rFonts w:hint="eastAsia" w:ascii="宋体" w:hAnsi="宋体" w:cs="宋体"/>
          <w:b/>
          <w:color w:val="000000"/>
        </w:rPr>
        <w:t>三、技术资料</w:t>
      </w:r>
    </w:p>
    <w:p w14:paraId="3BF03BD8">
      <w:pPr>
        <w:pStyle w:val="14"/>
        <w:spacing w:before="120" w:beforeAutospacing="0" w:after="120" w:afterAutospacing="0"/>
        <w:ind w:left="410" w:hanging="410"/>
        <w:jc w:val="both"/>
        <w:outlineLvl w:val="9"/>
        <w:rPr>
          <w:rFonts w:ascii="宋体" w:hAnsi="宋体"/>
        </w:rPr>
      </w:pPr>
      <w:r>
        <w:rPr>
          <w:rFonts w:hint="eastAsia" w:ascii="宋体" w:hAnsi="宋体" w:cs="宋体"/>
          <w:color w:val="000000"/>
        </w:rPr>
        <w:t>3.1乙方应按招标文件规定的时间向甲方提供服务(包含与服务相关的货物)的有关技术资料。</w:t>
      </w:r>
    </w:p>
    <w:p w14:paraId="6CCBC828">
      <w:pPr>
        <w:pStyle w:val="14"/>
        <w:spacing w:before="120" w:beforeAutospacing="0" w:after="120" w:afterAutospacing="0"/>
        <w:ind w:left="410" w:hanging="410"/>
        <w:jc w:val="both"/>
        <w:outlineLvl w:val="9"/>
        <w:rPr>
          <w:rFonts w:ascii="宋体" w:hAnsi="宋体"/>
        </w:rPr>
      </w:pPr>
      <w:r>
        <w:rPr>
          <w:rFonts w:hint="eastAsia" w:ascii="宋体" w:hAnsi="宋体" w:cs="宋体"/>
          <w:color w:val="000000"/>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4E27BB2">
      <w:pPr>
        <w:pStyle w:val="14"/>
        <w:spacing w:before="120" w:beforeAutospacing="0" w:after="120" w:afterAutospacing="0"/>
        <w:ind w:left="412" w:hanging="412"/>
        <w:jc w:val="both"/>
        <w:outlineLvl w:val="9"/>
        <w:rPr>
          <w:rFonts w:ascii="宋体" w:hAnsi="宋体"/>
        </w:rPr>
      </w:pPr>
      <w:r>
        <w:rPr>
          <w:rFonts w:hint="eastAsia" w:ascii="宋体" w:hAnsi="宋体" w:cs="宋体"/>
          <w:b/>
          <w:color w:val="000000"/>
        </w:rPr>
        <w:t>四、知识产权</w:t>
      </w:r>
    </w:p>
    <w:p w14:paraId="61524B15">
      <w:pPr>
        <w:pStyle w:val="14"/>
        <w:spacing w:beforeAutospacing="0" w:afterAutospacing="0" w:line="0" w:lineRule="atLeast"/>
        <w:jc w:val="both"/>
        <w:outlineLvl w:val="9"/>
        <w:rPr>
          <w:rFonts w:ascii="宋体" w:hAnsi="宋体" w:cs="宋体"/>
          <w:color w:val="000000"/>
        </w:rPr>
      </w:pPr>
      <w:r>
        <w:rPr>
          <w:rFonts w:ascii="宋体" w:hAnsi="宋体"/>
          <w:color w:val="000000"/>
        </w:rPr>
        <w:t>4.1乙</w:t>
      </w:r>
      <w:r>
        <w:rPr>
          <w:rFonts w:hint="eastAsia" w:ascii="宋体" w:hAnsi="宋体" w:cs="宋体"/>
          <w:color w:val="000000"/>
        </w:rPr>
        <w:t>方应保证甲方在使用、接受本合同服务</w:t>
      </w:r>
      <w:r>
        <w:rPr>
          <w:rFonts w:ascii="宋体" w:hAnsi="宋体"/>
          <w:color w:val="000000"/>
        </w:rPr>
        <w:t>（包含与服务相关的货物）</w:t>
      </w:r>
      <w:r>
        <w:rPr>
          <w:rFonts w:hint="eastAsia" w:ascii="宋体" w:hAnsi="宋体" w:cs="宋体"/>
          <w:color w:val="000000"/>
        </w:rPr>
        <w:t>或其任何一部分时不受第三方提出侵犯其专利权、版权、商标权和工业设计权等知识产权的起诉。一旦出现侵权，由乙方负全部责任。（采购项目涉及采购标的的知识产权归属于招标人，合同期满后中标人无条件交接给招标人。 ）</w:t>
      </w:r>
    </w:p>
    <w:p w14:paraId="1B072E67">
      <w:pPr>
        <w:pStyle w:val="14"/>
        <w:spacing w:before="120" w:beforeAutospacing="0" w:after="120" w:afterAutospacing="0"/>
        <w:jc w:val="both"/>
        <w:outlineLvl w:val="9"/>
        <w:rPr>
          <w:rFonts w:ascii="宋体" w:hAnsi="宋体"/>
        </w:rPr>
      </w:pPr>
      <w:r>
        <w:rPr>
          <w:rFonts w:hint="eastAsia" w:ascii="宋体" w:hAnsi="宋体" w:cs="宋体"/>
          <w:b/>
          <w:color w:val="000000"/>
        </w:rPr>
        <w:t>五、产权担保</w:t>
      </w:r>
    </w:p>
    <w:p w14:paraId="2223004E">
      <w:pPr>
        <w:pStyle w:val="14"/>
        <w:spacing w:before="120" w:beforeAutospacing="0" w:after="120" w:afterAutospacing="0"/>
        <w:ind w:left="408" w:hanging="408"/>
        <w:jc w:val="both"/>
        <w:outlineLvl w:val="9"/>
        <w:rPr>
          <w:rFonts w:ascii="宋体" w:hAnsi="宋体"/>
        </w:rPr>
      </w:pPr>
      <w:r>
        <w:rPr>
          <w:rFonts w:hint="eastAsia" w:ascii="宋体" w:hAnsi="宋体" w:cs="宋体"/>
          <w:color w:val="000000"/>
        </w:rPr>
        <w:t>5.1 乙方保证所交付的服务（包含与服务相关的货物）的所有权完全属于乙方且无任何抵押、查封等产权瑕疵。</w:t>
      </w:r>
    </w:p>
    <w:p w14:paraId="45F90115">
      <w:pPr>
        <w:pStyle w:val="14"/>
        <w:spacing w:before="120" w:beforeAutospacing="0" w:after="120" w:afterAutospacing="0"/>
        <w:ind w:left="410" w:hanging="410"/>
        <w:jc w:val="both"/>
        <w:outlineLvl w:val="9"/>
        <w:rPr>
          <w:rFonts w:ascii="宋体" w:hAnsi="宋体"/>
        </w:rPr>
      </w:pPr>
      <w:r>
        <w:rPr>
          <w:rFonts w:hint="eastAsia" w:ascii="宋体" w:hAnsi="宋体" w:cs="宋体"/>
          <w:b/>
          <w:color w:val="000000"/>
        </w:rPr>
        <w:t>六、履约保证金</w:t>
      </w:r>
    </w:p>
    <w:p w14:paraId="75E07346">
      <w:pPr>
        <w:pStyle w:val="14"/>
        <w:spacing w:before="120" w:beforeAutospacing="0" w:after="120" w:afterAutospacing="0"/>
        <w:ind w:left="408" w:hanging="408"/>
        <w:jc w:val="both"/>
        <w:outlineLvl w:val="9"/>
        <w:rPr>
          <w:rFonts w:ascii="宋体" w:hAnsi="宋体" w:cs="宋体"/>
          <w:color w:val="000000"/>
        </w:rPr>
      </w:pPr>
      <w:r>
        <w:rPr>
          <w:rFonts w:hint="eastAsia" w:ascii="宋体" w:hAnsi="宋体" w:cs="宋体"/>
          <w:color w:val="000000"/>
        </w:rPr>
        <w:t>6.1 乙方交纳人民币_________元作为本合同的履约保证金。</w:t>
      </w:r>
    </w:p>
    <w:p w14:paraId="4EF210D8">
      <w:pPr>
        <w:pStyle w:val="14"/>
        <w:spacing w:before="120" w:beforeAutospacing="0" w:after="120" w:afterAutospacing="0"/>
        <w:ind w:left="210" w:firstLine="240"/>
        <w:jc w:val="both"/>
        <w:outlineLvl w:val="9"/>
        <w:rPr>
          <w:rFonts w:ascii="宋体" w:hAnsi="宋体" w:cs="宋体"/>
          <w:color w:val="7030A0"/>
        </w:rPr>
      </w:pPr>
      <w:r>
        <w:rPr>
          <w:rFonts w:hint="eastAsia" w:ascii="宋体" w:hAnsi="宋体" w:cs="宋体"/>
          <w:color w:val="7030A0"/>
        </w:rPr>
        <w:t>（备注：不得超过合同金额的10%，鼓励采购人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p>
    <w:p w14:paraId="1E0BDEDC">
      <w:pPr>
        <w:pStyle w:val="14"/>
        <w:spacing w:before="120" w:after="120"/>
        <w:ind w:left="408" w:hanging="408"/>
        <w:outlineLvl w:val="9"/>
        <w:rPr>
          <w:rFonts w:hint="eastAsia" w:ascii="宋体" w:hAnsi="宋体" w:cs="宋体"/>
          <w:color w:val="000000"/>
        </w:rPr>
      </w:pPr>
      <w:r>
        <w:rPr>
          <w:rFonts w:hint="eastAsia" w:ascii="宋体" w:hAnsi="宋体" w:cs="宋体"/>
          <w:color w:val="000000"/>
        </w:rPr>
        <w:t>6.2确需收取履约保证金的，履约保证金的缴纳形式：</w:t>
      </w:r>
    </w:p>
    <w:p w14:paraId="2F7A47C4">
      <w:pPr>
        <w:pStyle w:val="14"/>
        <w:spacing w:before="120" w:after="120"/>
        <w:outlineLvl w:val="9"/>
        <w:rPr>
          <w:rFonts w:hint="eastAsia" w:ascii="宋体" w:hAnsi="宋体" w:cs="宋体"/>
          <w:color w:val="000000"/>
        </w:rPr>
      </w:pPr>
      <w:r>
        <w:rPr>
          <w:rFonts w:hint="eastAsia" w:ascii="宋体" w:hAnsi="宋体" w:cs="宋体"/>
          <w:color w:val="000000"/>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ECC8527">
      <w:pPr>
        <w:pStyle w:val="14"/>
        <w:spacing w:before="120" w:beforeAutospacing="0" w:after="120" w:afterAutospacing="0"/>
        <w:jc w:val="both"/>
        <w:outlineLvl w:val="9"/>
        <w:rPr>
          <w:rFonts w:hint="eastAsia" w:ascii="宋体" w:hAnsi="宋体" w:cs="宋体"/>
          <w:color w:val="000000"/>
        </w:rPr>
      </w:pPr>
      <w:r>
        <w:rPr>
          <w:rFonts w:hint="eastAsia" w:ascii="宋体" w:hAnsi="宋体" w:cs="宋体"/>
          <w:color w:val="000000"/>
        </w:rPr>
        <w:t>6.2.2 如以履约保函（保险）形式缴纳履约保证金，供应商可通过政府采购电子履约保函（保险）平台（www.jsdzbh.com）在线申请履约保函（保险）。</w:t>
      </w:r>
    </w:p>
    <w:p w14:paraId="226B00C1">
      <w:pPr>
        <w:pStyle w:val="14"/>
        <w:spacing w:before="120" w:beforeAutospacing="0" w:after="120" w:afterAutospacing="0"/>
        <w:ind w:left="408" w:hanging="408"/>
        <w:jc w:val="both"/>
        <w:outlineLvl w:val="9"/>
        <w:rPr>
          <w:rFonts w:hint="eastAsia" w:ascii="宋体" w:hAnsi="宋体" w:cs="宋体"/>
        </w:rPr>
      </w:pPr>
      <w:r>
        <w:rPr>
          <w:rFonts w:hint="eastAsia" w:ascii="宋体" w:hAnsi="宋体" w:cs="宋体"/>
        </w:rPr>
        <w:t>6.3合同履行结束后，甲方应及时退还交纳的履约保证金。</w:t>
      </w:r>
    </w:p>
    <w:p w14:paraId="5762F291">
      <w:pPr>
        <w:pStyle w:val="14"/>
        <w:spacing w:before="120" w:beforeAutospacing="0" w:after="120" w:afterAutospacing="0"/>
        <w:ind w:left="408" w:hanging="408"/>
        <w:jc w:val="both"/>
        <w:outlineLvl w:val="9"/>
        <w:rPr>
          <w:rFonts w:ascii="宋体" w:hAnsi="宋体" w:cs="宋体"/>
        </w:rPr>
      </w:pPr>
      <w:r>
        <w:rPr>
          <w:rFonts w:hint="eastAsia" w:ascii="宋体" w:hAnsi="宋体" w:cs="宋体"/>
        </w:rPr>
        <w:t>6.4履约保证金的退还：</w:t>
      </w:r>
    </w:p>
    <w:p w14:paraId="6094F329">
      <w:pPr>
        <w:spacing w:line="360" w:lineRule="auto"/>
        <w:outlineLvl w:val="9"/>
        <w:rPr>
          <w:rFonts w:ascii="宋体" w:hAnsi="宋体" w:cs="宋体"/>
          <w:sz w:val="24"/>
        </w:rPr>
      </w:pPr>
      <w:r>
        <w:rPr>
          <w:rFonts w:hint="eastAsia" w:ascii="宋体" w:hAnsi="宋体" w:cs="宋体"/>
          <w:sz w:val="24"/>
        </w:rPr>
        <w:t>6.4.1方式：无息退还至投标人缴纳履约保证金的账户。如为保函，在到期时自行失效。</w:t>
      </w:r>
    </w:p>
    <w:p w14:paraId="7D5DCD84">
      <w:pPr>
        <w:spacing w:line="360" w:lineRule="auto"/>
        <w:outlineLvl w:val="9"/>
        <w:rPr>
          <w:rFonts w:ascii="宋体" w:hAnsi="宋体" w:cs="宋体"/>
          <w:sz w:val="24"/>
        </w:rPr>
      </w:pPr>
      <w:r>
        <w:rPr>
          <w:rFonts w:hint="eastAsia" w:ascii="宋体" w:hAnsi="宋体" w:cs="宋体"/>
          <w:sz w:val="24"/>
        </w:rPr>
        <w:t>6.4.2时间：验收合格且采购人收到发票后15日内。</w:t>
      </w:r>
    </w:p>
    <w:p w14:paraId="66FAC4FB">
      <w:pPr>
        <w:spacing w:line="360" w:lineRule="auto"/>
        <w:outlineLvl w:val="9"/>
        <w:rPr>
          <w:rFonts w:ascii="宋体" w:hAnsi="宋体" w:cs="宋体"/>
          <w:sz w:val="24"/>
        </w:rPr>
      </w:pPr>
      <w:r>
        <w:rPr>
          <w:rFonts w:hint="eastAsia" w:ascii="宋体" w:hAnsi="宋体" w:cs="宋体"/>
          <w:sz w:val="24"/>
        </w:rPr>
        <w:t>6.4.3条件：按合同要求全部履约完成并经采购人验收合格，且采购人收到中标人出具的发票。</w:t>
      </w:r>
    </w:p>
    <w:p w14:paraId="6D6173D1">
      <w:pPr>
        <w:spacing w:line="360" w:lineRule="auto"/>
        <w:outlineLvl w:val="9"/>
        <w:rPr>
          <w:rFonts w:ascii="宋体" w:hAnsi="宋体" w:cs="宋体"/>
          <w:sz w:val="24"/>
        </w:rPr>
      </w:pPr>
      <w:r>
        <w:rPr>
          <w:rFonts w:hint="eastAsia" w:ascii="宋体" w:hAnsi="宋体" w:cs="宋体"/>
          <w:sz w:val="24"/>
        </w:rPr>
        <w:t>6.4.4不予退还情形：</w:t>
      </w:r>
    </w:p>
    <w:p w14:paraId="1006BFB1">
      <w:pPr>
        <w:spacing w:line="360" w:lineRule="auto"/>
        <w:outlineLvl w:val="9"/>
        <w:rPr>
          <w:rFonts w:ascii="宋体" w:hAnsi="宋体" w:cs="宋体"/>
          <w:sz w:val="24"/>
        </w:rPr>
      </w:pPr>
      <w:r>
        <w:rPr>
          <w:rFonts w:hint="eastAsia" w:ascii="宋体" w:hAnsi="宋体" w:cs="宋体"/>
          <w:sz w:val="24"/>
        </w:rPr>
        <w:t>除不可抗力情况外，投标人出现下列情形之一的，其履约保证金，招标人将视情节决定不予退还或部分不予退还。</w:t>
      </w:r>
    </w:p>
    <w:p w14:paraId="6BCACAC7">
      <w:pPr>
        <w:spacing w:line="360" w:lineRule="auto"/>
        <w:outlineLvl w:val="9"/>
        <w:rPr>
          <w:rFonts w:ascii="宋体" w:hAnsi="宋体" w:cs="宋体"/>
          <w:sz w:val="24"/>
        </w:rPr>
      </w:pPr>
      <w:r>
        <w:rPr>
          <w:rFonts w:hint="eastAsia" w:ascii="宋体" w:hAnsi="宋体" w:cs="宋体"/>
          <w:sz w:val="24"/>
        </w:rPr>
        <w:t>（1）中标人无正当理由拒绝签订合同的，或者在签订合同时向采购人提出附加条件或者更改合同实质性内容要求的；</w:t>
      </w:r>
    </w:p>
    <w:p w14:paraId="3A8D5BC8">
      <w:pPr>
        <w:spacing w:line="360" w:lineRule="auto"/>
        <w:outlineLvl w:val="9"/>
        <w:rPr>
          <w:rFonts w:ascii="宋体" w:hAnsi="宋体" w:cs="宋体"/>
          <w:sz w:val="24"/>
        </w:rPr>
      </w:pPr>
      <w:r>
        <w:rPr>
          <w:rFonts w:hint="eastAsia" w:ascii="宋体" w:hAnsi="宋体" w:cs="宋体"/>
          <w:sz w:val="24"/>
        </w:rPr>
        <w:t>（2）中标人不履行与采购人订立的合同的；</w:t>
      </w:r>
    </w:p>
    <w:p w14:paraId="4660828B">
      <w:pPr>
        <w:spacing w:line="360" w:lineRule="auto"/>
        <w:outlineLvl w:val="9"/>
        <w:rPr>
          <w:rFonts w:ascii="宋体" w:hAnsi="宋体" w:cs="宋体"/>
          <w:sz w:val="24"/>
        </w:rPr>
      </w:pPr>
      <w:r>
        <w:rPr>
          <w:rFonts w:hint="eastAsia" w:ascii="宋体" w:hAnsi="宋体" w:cs="宋体"/>
          <w:sz w:val="24"/>
        </w:rPr>
        <w:t>（3）中标人所供货物或服务不符合招标文件规定要求的；</w:t>
      </w:r>
    </w:p>
    <w:p w14:paraId="0C6282A8">
      <w:pPr>
        <w:spacing w:line="360" w:lineRule="auto"/>
        <w:outlineLvl w:val="9"/>
        <w:rPr>
          <w:rFonts w:ascii="宋体" w:hAnsi="宋体" w:cs="宋体"/>
          <w:sz w:val="24"/>
        </w:rPr>
      </w:pPr>
      <w:r>
        <w:rPr>
          <w:rFonts w:hint="eastAsia" w:ascii="宋体" w:hAnsi="宋体" w:cs="宋体"/>
          <w:sz w:val="24"/>
        </w:rPr>
        <w:t>（4）中标人采取欺骗、弄虚作假方式投标的或与其它投标人串通投标的；</w:t>
      </w:r>
    </w:p>
    <w:p w14:paraId="77C0BCA9">
      <w:pPr>
        <w:spacing w:line="360" w:lineRule="auto"/>
        <w:outlineLvl w:val="9"/>
        <w:rPr>
          <w:rFonts w:ascii="宋体" w:hAnsi="宋体" w:cs="宋体"/>
          <w:sz w:val="24"/>
        </w:rPr>
      </w:pPr>
      <w:r>
        <w:rPr>
          <w:rFonts w:hint="eastAsia" w:ascii="宋体" w:hAnsi="宋体" w:cs="宋体"/>
          <w:sz w:val="24"/>
        </w:rPr>
        <w:t>（5）中标人将合同内容转包、违法分包的；</w:t>
      </w:r>
    </w:p>
    <w:p w14:paraId="253E98C8">
      <w:pPr>
        <w:spacing w:line="360" w:lineRule="auto"/>
        <w:outlineLvl w:val="9"/>
        <w:rPr>
          <w:rFonts w:ascii="宋体" w:hAnsi="宋体" w:cs="宋体"/>
          <w:sz w:val="24"/>
        </w:rPr>
      </w:pPr>
      <w:r>
        <w:rPr>
          <w:rFonts w:hint="eastAsia" w:ascii="宋体" w:hAnsi="宋体" w:cs="宋体"/>
          <w:sz w:val="24"/>
        </w:rPr>
        <w:t>（6）中标人故意捏造事实或伪造证明材料，进行虚假恶意投诉或反映的。</w:t>
      </w:r>
    </w:p>
    <w:p w14:paraId="436E4821">
      <w:pPr>
        <w:spacing w:line="360" w:lineRule="auto"/>
        <w:outlineLvl w:val="9"/>
        <w:rPr>
          <w:rFonts w:ascii="宋体" w:hAnsi="宋体" w:cs="宋体"/>
          <w:sz w:val="24"/>
        </w:rPr>
      </w:pPr>
      <w:r>
        <w:rPr>
          <w:rFonts w:hint="eastAsia" w:ascii="宋体" w:hAnsi="宋体" w:cs="宋体"/>
          <w:sz w:val="24"/>
        </w:rPr>
        <w:t>6.4.5逾期退还的违约责任：采购人逾期无故未退还履约保证金的，按中国人民银行同期贷款基准利率上浮20%后的利率支付超期资金占用费，但因供应商自身原因导致无法及时退还的除外。</w:t>
      </w:r>
    </w:p>
    <w:p w14:paraId="7CAB75CE">
      <w:pPr>
        <w:pStyle w:val="14"/>
        <w:spacing w:before="145" w:beforeAutospacing="0" w:after="145" w:afterAutospacing="0"/>
        <w:jc w:val="both"/>
        <w:outlineLvl w:val="9"/>
        <w:rPr>
          <w:rFonts w:ascii="宋体" w:hAnsi="宋体"/>
        </w:rPr>
      </w:pPr>
      <w:r>
        <w:rPr>
          <w:rFonts w:hint="eastAsia" w:ascii="宋体" w:hAnsi="宋体" w:cs="宋体"/>
          <w:b/>
          <w:color w:val="000000"/>
        </w:rPr>
        <w:t>七、合同转包或分包</w:t>
      </w:r>
    </w:p>
    <w:p w14:paraId="1120BB63">
      <w:pPr>
        <w:pStyle w:val="14"/>
        <w:spacing w:before="145" w:beforeAutospacing="0" w:after="145" w:afterAutospacing="0"/>
        <w:jc w:val="both"/>
        <w:outlineLvl w:val="9"/>
        <w:rPr>
          <w:rFonts w:ascii="宋体" w:hAnsi="宋体"/>
        </w:rPr>
      </w:pPr>
      <w:r>
        <w:rPr>
          <w:rFonts w:hint="eastAsia" w:ascii="宋体" w:hAnsi="宋体" w:cs="宋体"/>
          <w:color w:val="000000"/>
        </w:rPr>
        <w:t>7.1乙方不得将合同标的转包给他人履行。</w:t>
      </w:r>
    </w:p>
    <w:p w14:paraId="5A959131">
      <w:pPr>
        <w:pStyle w:val="14"/>
        <w:spacing w:before="145" w:beforeAutospacing="0" w:after="145" w:afterAutospacing="0"/>
        <w:jc w:val="both"/>
        <w:outlineLvl w:val="9"/>
        <w:rPr>
          <w:rFonts w:ascii="宋体" w:hAnsi="宋体"/>
        </w:rPr>
      </w:pPr>
      <w:r>
        <w:rPr>
          <w:rFonts w:hint="eastAsia" w:ascii="宋体" w:hAnsi="宋体" w:cs="宋体"/>
          <w:color w:val="000000"/>
        </w:rPr>
        <w:t>7.2乙方不得将合同标的分包给他人履行。</w:t>
      </w:r>
    </w:p>
    <w:p w14:paraId="5D8EA4B3">
      <w:pPr>
        <w:pStyle w:val="14"/>
        <w:spacing w:before="145" w:beforeAutospacing="0" w:after="145" w:afterAutospacing="0"/>
        <w:jc w:val="both"/>
        <w:outlineLvl w:val="9"/>
        <w:rPr>
          <w:rFonts w:ascii="宋体" w:hAnsi="宋体"/>
        </w:rPr>
      </w:pPr>
      <w:r>
        <w:rPr>
          <w:rFonts w:hint="eastAsia" w:ascii="宋体" w:hAnsi="宋体" w:cs="宋体"/>
          <w:color w:val="000000"/>
        </w:rPr>
        <w:t>7.3乙方如有转包或未经甲方同意的分包行为，甲方有权给予终止合同。</w:t>
      </w:r>
    </w:p>
    <w:p w14:paraId="04BBA1CD">
      <w:pPr>
        <w:pStyle w:val="14"/>
        <w:spacing w:before="120" w:beforeAutospacing="0" w:after="120" w:afterAutospacing="0"/>
        <w:jc w:val="both"/>
        <w:outlineLvl w:val="9"/>
        <w:rPr>
          <w:rFonts w:ascii="宋体" w:hAnsi="宋体"/>
        </w:rPr>
      </w:pPr>
      <w:r>
        <w:rPr>
          <w:rFonts w:hint="eastAsia" w:ascii="宋体" w:hAnsi="宋体" w:cs="宋体"/>
          <w:b/>
          <w:color w:val="000000"/>
        </w:rPr>
        <w:t>八、合同款项支付</w:t>
      </w:r>
    </w:p>
    <w:p w14:paraId="5ADC9435">
      <w:pPr>
        <w:pStyle w:val="14"/>
        <w:spacing w:before="145" w:beforeAutospacing="0" w:after="145" w:afterAutospacing="0"/>
        <w:jc w:val="both"/>
        <w:outlineLvl w:val="9"/>
        <w:rPr>
          <w:rFonts w:hint="eastAsia" w:ascii="宋体" w:hAnsi="宋体" w:cs="宋体"/>
          <w:color w:val="000000"/>
        </w:rPr>
      </w:pPr>
      <w:r>
        <w:rPr>
          <w:rFonts w:hint="eastAsia" w:ascii="宋体" w:hAnsi="宋体" w:cs="宋体"/>
          <w:color w:val="000000"/>
        </w:rPr>
        <w:t>8.1签订合同后，招标人凭发票付合同金额的30%作为预付款给中标人，中标人明确表示无需预付款或者主动要求降低预付款比例的除外。</w:t>
      </w:r>
    </w:p>
    <w:p w14:paraId="1DA41730">
      <w:pPr>
        <w:pStyle w:val="14"/>
        <w:spacing w:before="145" w:beforeAutospacing="0" w:after="145" w:afterAutospacing="0"/>
        <w:jc w:val="both"/>
        <w:outlineLvl w:val="9"/>
        <w:rPr>
          <w:rFonts w:hint="eastAsia" w:ascii="宋体" w:hAnsi="宋体" w:cs="宋体"/>
          <w:color w:val="000000"/>
        </w:rPr>
      </w:pPr>
      <w:r>
        <w:rPr>
          <w:rFonts w:hint="eastAsia" w:ascii="宋体" w:hAnsi="宋体" w:cs="宋体"/>
          <w:color w:val="000000"/>
        </w:rPr>
        <w:t>8.2按照采购人的要求安装调试完成且经验收合格后凭发票付合同金额的50%。</w:t>
      </w:r>
    </w:p>
    <w:p w14:paraId="1E91FC84">
      <w:pPr>
        <w:pStyle w:val="14"/>
        <w:spacing w:before="145" w:beforeAutospacing="0" w:after="145" w:afterAutospacing="0"/>
        <w:jc w:val="both"/>
        <w:outlineLvl w:val="9"/>
        <w:rPr>
          <w:rFonts w:ascii="宋体" w:hAnsi="宋体" w:cs="宋体"/>
          <w:color w:val="000000"/>
        </w:rPr>
      </w:pPr>
      <w:r>
        <w:rPr>
          <w:rFonts w:hint="eastAsia" w:ascii="宋体" w:hAnsi="宋体" w:cs="宋体"/>
          <w:color w:val="000000"/>
        </w:rPr>
        <w:t>8.3余款凭发票在验收合格满一年后付清（无息）。</w:t>
      </w:r>
    </w:p>
    <w:p w14:paraId="2BBD8C7F">
      <w:pPr>
        <w:pStyle w:val="14"/>
        <w:spacing w:before="145" w:beforeAutospacing="0" w:after="145" w:afterAutospacing="0"/>
        <w:jc w:val="both"/>
        <w:outlineLvl w:val="9"/>
        <w:rPr>
          <w:rFonts w:ascii="宋体" w:hAnsi="宋体"/>
        </w:rPr>
      </w:pPr>
      <w:r>
        <w:rPr>
          <w:rFonts w:hint="eastAsia" w:ascii="宋体" w:hAnsi="宋体" w:cs="宋体"/>
          <w:b/>
          <w:color w:val="000000"/>
        </w:rPr>
        <w:t>九、税费</w:t>
      </w:r>
    </w:p>
    <w:p w14:paraId="6A7E06C1">
      <w:pPr>
        <w:pStyle w:val="14"/>
        <w:spacing w:before="145" w:beforeAutospacing="0" w:after="145" w:afterAutospacing="0"/>
        <w:jc w:val="both"/>
        <w:outlineLvl w:val="9"/>
        <w:rPr>
          <w:rFonts w:ascii="宋体" w:hAnsi="宋体"/>
        </w:rPr>
      </w:pPr>
      <w:r>
        <w:rPr>
          <w:rFonts w:hint="eastAsia" w:ascii="宋体" w:hAnsi="宋体" w:cs="宋体"/>
          <w:color w:val="000000"/>
        </w:rPr>
        <w:t>9.1本合同执行中相关的一切税费均由乙方负担。</w:t>
      </w:r>
    </w:p>
    <w:p w14:paraId="39A11F89">
      <w:pPr>
        <w:pStyle w:val="14"/>
        <w:spacing w:before="120" w:beforeAutospacing="0" w:after="120" w:afterAutospacing="0"/>
        <w:ind w:left="412" w:hanging="412"/>
        <w:jc w:val="both"/>
        <w:outlineLvl w:val="9"/>
        <w:rPr>
          <w:rFonts w:ascii="宋体" w:hAnsi="宋体"/>
        </w:rPr>
      </w:pPr>
      <w:r>
        <w:rPr>
          <w:rFonts w:hint="eastAsia" w:ascii="宋体" w:hAnsi="宋体" w:cs="宋体"/>
          <w:b/>
          <w:color w:val="000000"/>
        </w:rPr>
        <w:t>十、项目验收</w:t>
      </w:r>
    </w:p>
    <w:p w14:paraId="46CC04CD">
      <w:pPr>
        <w:pStyle w:val="14"/>
        <w:spacing w:before="120" w:beforeAutospacing="0" w:after="120" w:afterAutospacing="0"/>
        <w:jc w:val="both"/>
        <w:outlineLvl w:val="9"/>
        <w:rPr>
          <w:rFonts w:ascii="宋体" w:hAnsi="宋体"/>
        </w:rPr>
      </w:pPr>
      <w:r>
        <w:rPr>
          <w:rFonts w:hint="eastAsia" w:ascii="宋体" w:hAnsi="宋体" w:cs="宋体"/>
          <w:color w:val="000000"/>
        </w:rPr>
        <w:t>10.1 甲方依法组织履约验收工作。</w:t>
      </w:r>
    </w:p>
    <w:p w14:paraId="731F6609">
      <w:pPr>
        <w:pStyle w:val="14"/>
        <w:spacing w:before="120" w:beforeAutospacing="0" w:after="120" w:afterAutospacing="0"/>
        <w:jc w:val="both"/>
        <w:outlineLvl w:val="9"/>
        <w:rPr>
          <w:rFonts w:ascii="宋体" w:hAnsi="宋体"/>
        </w:rPr>
      </w:pPr>
      <w:r>
        <w:rPr>
          <w:rFonts w:hint="eastAsia" w:ascii="宋体" w:hAnsi="宋体" w:cs="宋体"/>
          <w:color w:val="000000"/>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A64CE19">
      <w:pPr>
        <w:pStyle w:val="14"/>
        <w:spacing w:before="120" w:beforeAutospacing="0" w:after="120" w:afterAutospacing="0"/>
        <w:jc w:val="both"/>
        <w:outlineLvl w:val="9"/>
        <w:rPr>
          <w:rFonts w:ascii="宋体" w:hAnsi="宋体"/>
        </w:rPr>
      </w:pPr>
      <w:r>
        <w:rPr>
          <w:rFonts w:hint="eastAsia" w:ascii="宋体" w:hAnsi="宋体" w:cs="宋体"/>
          <w:color w:val="000000"/>
        </w:rPr>
        <w:t>10.3 对于实际使用人和甲方分离的项目，甲方邀请实际使用人参与验收。</w:t>
      </w:r>
    </w:p>
    <w:p w14:paraId="32D62DEA">
      <w:pPr>
        <w:pStyle w:val="14"/>
        <w:spacing w:before="120" w:beforeAutospacing="0" w:after="120" w:afterAutospacing="0"/>
        <w:jc w:val="both"/>
        <w:outlineLvl w:val="9"/>
        <w:rPr>
          <w:rFonts w:ascii="宋体" w:hAnsi="宋体"/>
        </w:rPr>
      </w:pPr>
      <w:r>
        <w:rPr>
          <w:rFonts w:hint="eastAsia" w:ascii="宋体" w:hAnsi="宋体" w:cs="宋体"/>
          <w:color w:val="000000"/>
        </w:rPr>
        <w:t>10.4 如有必要，甲方邀请参加本项目的其他供应商或第三方专业机构及专家参与验收，相关意见将作为验收书的参考资料。</w:t>
      </w:r>
    </w:p>
    <w:p w14:paraId="2E33A286">
      <w:pPr>
        <w:pStyle w:val="14"/>
        <w:spacing w:before="120" w:beforeAutospacing="0" w:after="120" w:afterAutospacing="0"/>
        <w:jc w:val="both"/>
        <w:outlineLvl w:val="9"/>
        <w:rPr>
          <w:rFonts w:ascii="宋体" w:hAnsi="宋体"/>
        </w:rPr>
      </w:pPr>
      <w:r>
        <w:rPr>
          <w:rFonts w:hint="eastAsia" w:ascii="宋体" w:hAnsi="宋体" w:cs="宋体"/>
          <w:color w:val="000000"/>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76DAA00C">
      <w:pPr>
        <w:pStyle w:val="14"/>
        <w:spacing w:before="120" w:beforeAutospacing="0" w:after="120" w:afterAutospacing="0"/>
        <w:jc w:val="both"/>
        <w:outlineLvl w:val="9"/>
        <w:rPr>
          <w:rFonts w:ascii="宋体" w:hAnsi="宋体"/>
        </w:rPr>
      </w:pPr>
      <w:r>
        <w:rPr>
          <w:rFonts w:hint="eastAsia" w:ascii="宋体" w:hAnsi="宋体" w:cs="宋体"/>
          <w:color w:val="000000"/>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 </w:t>
      </w:r>
    </w:p>
    <w:p w14:paraId="16CAF5F7">
      <w:pPr>
        <w:pStyle w:val="14"/>
        <w:spacing w:before="120" w:beforeAutospacing="0" w:after="120" w:afterAutospacing="0"/>
        <w:jc w:val="both"/>
        <w:outlineLvl w:val="9"/>
        <w:rPr>
          <w:rFonts w:ascii="宋体" w:hAnsi="宋体"/>
        </w:rPr>
      </w:pPr>
      <w:r>
        <w:rPr>
          <w:rFonts w:hint="eastAsia" w:ascii="宋体" w:hAnsi="宋体" w:cs="宋体"/>
          <w:b/>
          <w:color w:val="000000"/>
        </w:rPr>
        <w:t>十一、违约责任</w:t>
      </w:r>
    </w:p>
    <w:p w14:paraId="26A93F39">
      <w:pPr>
        <w:pStyle w:val="14"/>
        <w:spacing w:before="120" w:after="120"/>
        <w:outlineLvl w:val="9"/>
        <w:rPr>
          <w:rFonts w:ascii="宋体" w:hAnsi="宋体" w:cs="宋体"/>
          <w:color w:val="000000"/>
        </w:rPr>
      </w:pPr>
      <w:r>
        <w:rPr>
          <w:rFonts w:hint="eastAsia" w:ascii="宋体" w:hAnsi="宋体" w:cs="宋体"/>
          <w:color w:val="000000"/>
        </w:rPr>
        <w:t>11.1甲方无正当理由拒绝接受乙方提供服务的，甲方向乙方偿付拒绝接受服务合同价款总值</w:t>
      </w:r>
      <w:r>
        <w:rPr>
          <w:rFonts w:hint="eastAsia" w:ascii="宋体" w:hAnsi="宋体" w:cs="宋体"/>
          <w:color w:val="000000"/>
          <w:u w:val="single"/>
        </w:rPr>
        <w:t xml:space="preserve"> 5%  </w:t>
      </w:r>
      <w:r>
        <w:rPr>
          <w:rFonts w:hint="eastAsia" w:ascii="宋体" w:hAnsi="宋体" w:cs="宋体"/>
          <w:color w:val="000000"/>
        </w:rPr>
        <w:t>的违约金。</w:t>
      </w:r>
    </w:p>
    <w:p w14:paraId="14AFF3C1">
      <w:pPr>
        <w:pStyle w:val="14"/>
        <w:spacing w:before="120" w:after="120"/>
        <w:outlineLvl w:val="9"/>
        <w:rPr>
          <w:rFonts w:ascii="宋体" w:hAnsi="宋体" w:cs="宋体"/>
          <w:color w:val="000000"/>
        </w:rPr>
      </w:pPr>
      <w:r>
        <w:rPr>
          <w:rFonts w:hint="eastAsia" w:ascii="宋体" w:hAnsi="宋体" w:cs="宋体"/>
          <w:color w:val="000000"/>
        </w:rPr>
        <w:t>11.2甲方无故逾期验收和办理合同款项支付手续的,甲方应按逾期付款总额</w:t>
      </w:r>
      <w:r>
        <w:rPr>
          <w:rFonts w:hint="eastAsia" w:ascii="宋体" w:hAnsi="宋体" w:cs="宋体"/>
          <w:color w:val="000000"/>
          <w:u w:val="single"/>
        </w:rPr>
        <w:t xml:space="preserve">  千分之六  </w:t>
      </w:r>
      <w:r>
        <w:rPr>
          <w:rFonts w:hint="eastAsia" w:ascii="宋体" w:hAnsi="宋体" w:cs="宋体"/>
          <w:color w:val="000000"/>
        </w:rPr>
        <w:t>每日向乙方支付违约金。</w:t>
      </w:r>
    </w:p>
    <w:p w14:paraId="4ADD01E7">
      <w:pPr>
        <w:pStyle w:val="14"/>
        <w:spacing w:before="120" w:after="120"/>
        <w:outlineLvl w:val="9"/>
        <w:rPr>
          <w:rFonts w:ascii="宋体" w:hAnsi="宋体" w:cs="宋体"/>
          <w:color w:val="000000"/>
        </w:rPr>
      </w:pPr>
      <w:r>
        <w:rPr>
          <w:rFonts w:hint="eastAsia" w:ascii="宋体" w:hAnsi="宋体" w:cs="宋体"/>
          <w:color w:val="000000"/>
        </w:rPr>
        <w:t>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cs="宋体"/>
          <w:color w:val="000000"/>
          <w:u w:val="single"/>
        </w:rPr>
        <w:t xml:space="preserve"> 5%  </w:t>
      </w:r>
      <w:r>
        <w:rPr>
          <w:rFonts w:hint="eastAsia" w:ascii="宋体" w:hAnsi="宋体" w:cs="宋体"/>
          <w:color w:val="000000"/>
        </w:rPr>
        <w:t xml:space="preserve">的违约金，如造成甲方损失超过违约金的，超出部分由乙方继续承担赔偿责任。 </w:t>
      </w:r>
    </w:p>
    <w:p w14:paraId="72762638">
      <w:pPr>
        <w:pStyle w:val="14"/>
        <w:spacing w:before="120" w:after="120"/>
        <w:outlineLvl w:val="9"/>
        <w:rPr>
          <w:rFonts w:ascii="宋体" w:hAnsi="宋体" w:cs="宋体"/>
          <w:color w:val="000000"/>
        </w:rPr>
      </w:pPr>
      <w:r>
        <w:rPr>
          <w:rFonts w:hint="eastAsia" w:ascii="宋体" w:hAnsi="宋体" w:cs="宋体"/>
          <w:color w:val="000000"/>
        </w:rPr>
        <w:t>11.4乙方所提供服务的标准不符合合同规定及招标文件规定标准的，甲方有权拒绝接受服务，并可单方面解除合同。</w:t>
      </w:r>
    </w:p>
    <w:p w14:paraId="1528D23D">
      <w:pPr>
        <w:pStyle w:val="14"/>
        <w:spacing w:before="120" w:beforeAutospacing="0" w:after="120" w:afterAutospacing="0"/>
        <w:jc w:val="both"/>
        <w:outlineLvl w:val="9"/>
        <w:rPr>
          <w:rFonts w:ascii="宋体" w:hAnsi="宋体"/>
        </w:rPr>
      </w:pPr>
      <w:r>
        <w:rPr>
          <w:rFonts w:hint="eastAsia" w:ascii="宋体" w:hAnsi="宋体" w:cs="宋体"/>
          <w:b/>
          <w:color w:val="000000"/>
        </w:rPr>
        <w:t>十二、不可抗力事件处理</w:t>
      </w:r>
    </w:p>
    <w:p w14:paraId="34D427CA">
      <w:pPr>
        <w:pStyle w:val="14"/>
        <w:spacing w:before="120" w:beforeAutospacing="0" w:after="120" w:afterAutospacing="0"/>
        <w:ind w:left="480" w:hanging="480"/>
        <w:jc w:val="both"/>
        <w:outlineLvl w:val="9"/>
        <w:rPr>
          <w:rFonts w:ascii="宋体" w:hAnsi="宋体" w:cs="宋体"/>
          <w:color w:val="000000"/>
        </w:rPr>
      </w:pPr>
      <w:r>
        <w:rPr>
          <w:rFonts w:hint="eastAsia" w:ascii="宋体" w:hAnsi="宋体" w:cs="宋体"/>
          <w:color w:val="000000"/>
        </w:rPr>
        <w:t>12.1 在合同有效期内，任何一方因不可抗力事件导致不能履行合同，则合同履行</w:t>
      </w:r>
    </w:p>
    <w:p w14:paraId="5FE1F7DE">
      <w:pPr>
        <w:pStyle w:val="14"/>
        <w:spacing w:before="120" w:beforeAutospacing="0" w:after="120" w:afterAutospacing="0"/>
        <w:ind w:left="480" w:hanging="480"/>
        <w:jc w:val="both"/>
        <w:outlineLvl w:val="9"/>
        <w:rPr>
          <w:rFonts w:ascii="宋体" w:hAnsi="宋体"/>
        </w:rPr>
      </w:pPr>
      <w:r>
        <w:rPr>
          <w:rFonts w:hint="eastAsia" w:ascii="宋体" w:hAnsi="宋体" w:cs="宋体"/>
          <w:color w:val="000000"/>
        </w:rPr>
        <w:t>期可延长，其延长期与不可抗力影响期相同。</w:t>
      </w:r>
    </w:p>
    <w:p w14:paraId="1E8EFF09">
      <w:pPr>
        <w:pStyle w:val="14"/>
        <w:spacing w:before="120" w:beforeAutospacing="0" w:after="120" w:afterAutospacing="0"/>
        <w:jc w:val="both"/>
        <w:outlineLvl w:val="9"/>
        <w:rPr>
          <w:rFonts w:ascii="宋体" w:hAnsi="宋体"/>
        </w:rPr>
      </w:pPr>
      <w:r>
        <w:rPr>
          <w:rFonts w:hint="eastAsia" w:ascii="宋体" w:hAnsi="宋体" w:cs="宋体"/>
          <w:color w:val="000000"/>
        </w:rPr>
        <w:t>12.2 不可抗力事件发生后，应立即通知对方，并寄送有关权威机构出具的证明。</w:t>
      </w:r>
    </w:p>
    <w:p w14:paraId="151D987A">
      <w:pPr>
        <w:pStyle w:val="14"/>
        <w:spacing w:before="120" w:beforeAutospacing="0" w:after="120" w:afterAutospacing="0"/>
        <w:jc w:val="both"/>
        <w:outlineLvl w:val="9"/>
        <w:rPr>
          <w:rFonts w:ascii="宋体" w:hAnsi="宋体"/>
        </w:rPr>
      </w:pPr>
      <w:r>
        <w:rPr>
          <w:rFonts w:hint="eastAsia" w:ascii="宋体" w:hAnsi="宋体" w:cs="宋体"/>
          <w:color w:val="000000"/>
        </w:rPr>
        <w:t>12.3 不可抗力事件延续120天以上，双方应通过友好协商，确定是否继续履行合同。</w:t>
      </w:r>
    </w:p>
    <w:p w14:paraId="64251B63">
      <w:pPr>
        <w:pStyle w:val="14"/>
        <w:spacing w:before="120" w:beforeAutospacing="0" w:after="120" w:afterAutospacing="0"/>
        <w:jc w:val="both"/>
        <w:outlineLvl w:val="9"/>
        <w:rPr>
          <w:rFonts w:ascii="宋体" w:hAnsi="宋体"/>
        </w:rPr>
      </w:pPr>
      <w:r>
        <w:rPr>
          <w:rFonts w:hint="eastAsia" w:ascii="宋体" w:hAnsi="宋体" w:cs="宋体"/>
          <w:b/>
          <w:color w:val="000000"/>
        </w:rPr>
        <w:t>十三、解决争议的方法</w:t>
      </w:r>
    </w:p>
    <w:p w14:paraId="23BEB8AF">
      <w:pPr>
        <w:pStyle w:val="14"/>
        <w:spacing w:before="120" w:beforeAutospacing="0" w:after="120" w:afterAutospacing="0"/>
        <w:ind w:left="480" w:hanging="480"/>
        <w:jc w:val="both"/>
        <w:outlineLvl w:val="9"/>
        <w:rPr>
          <w:rFonts w:ascii="宋体" w:hAnsi="宋体" w:cs="宋体"/>
          <w:color w:val="000000"/>
        </w:rPr>
      </w:pPr>
      <w:r>
        <w:rPr>
          <w:rFonts w:hint="eastAsia" w:ascii="宋体" w:hAnsi="宋体" w:cs="宋体"/>
          <w:color w:val="000000"/>
        </w:rPr>
        <w:t>13.1甲乙双方因合同签订、履行而发生的一切争议，应通过友好协商解决。如协商</w:t>
      </w:r>
    </w:p>
    <w:p w14:paraId="7B583A24">
      <w:pPr>
        <w:pStyle w:val="14"/>
        <w:spacing w:before="120" w:beforeAutospacing="0" w:after="120" w:afterAutospacing="0"/>
        <w:ind w:left="480" w:hanging="480"/>
        <w:jc w:val="both"/>
        <w:outlineLvl w:val="9"/>
        <w:rPr>
          <w:rFonts w:ascii="宋体" w:hAnsi="宋体"/>
        </w:rPr>
      </w:pPr>
      <w:r>
        <w:rPr>
          <w:rFonts w:hint="eastAsia" w:ascii="宋体" w:hAnsi="宋体" w:cs="宋体"/>
          <w:color w:val="000000"/>
        </w:rPr>
        <w:t>不成由甲方住所地人民法院管辖。</w:t>
      </w:r>
    </w:p>
    <w:p w14:paraId="4FD70ABF">
      <w:pPr>
        <w:pStyle w:val="14"/>
        <w:spacing w:before="120" w:beforeAutospacing="0" w:after="120" w:afterAutospacing="0"/>
        <w:jc w:val="both"/>
        <w:outlineLvl w:val="9"/>
        <w:rPr>
          <w:rFonts w:ascii="宋体" w:hAnsi="宋体"/>
        </w:rPr>
      </w:pPr>
      <w:r>
        <w:rPr>
          <w:rFonts w:hint="eastAsia" w:ascii="宋体" w:hAnsi="宋体" w:cs="宋体"/>
          <w:b/>
          <w:color w:val="000000"/>
        </w:rPr>
        <w:t>十四、合同生效及其它</w:t>
      </w:r>
    </w:p>
    <w:p w14:paraId="2D0A3FAA">
      <w:pPr>
        <w:pStyle w:val="14"/>
        <w:spacing w:before="120" w:beforeAutospacing="0" w:after="120" w:afterAutospacing="0"/>
        <w:jc w:val="both"/>
        <w:outlineLvl w:val="9"/>
        <w:rPr>
          <w:rFonts w:ascii="宋体" w:hAnsi="宋体"/>
        </w:rPr>
      </w:pPr>
      <w:r>
        <w:rPr>
          <w:rFonts w:hint="eastAsia" w:ascii="宋体" w:hAnsi="宋体" w:cs="宋体"/>
          <w:color w:val="000000"/>
        </w:rPr>
        <w:t>14.1 合同经双方法定代表人或授权委托代表人签字并加盖单位公章后生效。</w:t>
      </w:r>
    </w:p>
    <w:p w14:paraId="4D8E5FF2">
      <w:pPr>
        <w:pStyle w:val="14"/>
        <w:spacing w:before="120" w:beforeAutospacing="0" w:after="120" w:afterAutospacing="0"/>
        <w:jc w:val="both"/>
        <w:outlineLvl w:val="9"/>
        <w:rPr>
          <w:rFonts w:ascii="宋体" w:hAnsi="宋体"/>
        </w:rPr>
      </w:pPr>
      <w:r>
        <w:rPr>
          <w:rFonts w:hint="eastAsia" w:ascii="宋体" w:hAnsi="宋体" w:cs="宋体"/>
          <w:color w:val="000000"/>
        </w:rPr>
        <w:t>14.2本合同未尽事宜，遵照《民法典》、《政府采购法》有关条文执行。</w:t>
      </w:r>
    </w:p>
    <w:p w14:paraId="6316115F">
      <w:pPr>
        <w:pStyle w:val="14"/>
        <w:spacing w:before="120" w:beforeAutospacing="0" w:after="120" w:afterAutospacing="0"/>
        <w:ind w:left="480" w:hanging="480"/>
        <w:jc w:val="both"/>
        <w:outlineLvl w:val="9"/>
        <w:rPr>
          <w:rFonts w:ascii="宋体" w:hAnsi="宋体"/>
        </w:rPr>
      </w:pPr>
      <w:r>
        <w:rPr>
          <w:rFonts w:hint="eastAsia" w:ascii="宋体" w:hAnsi="宋体" w:cs="宋体"/>
          <w:color w:val="000000"/>
        </w:rPr>
        <w:t>14.3 本合同正本一式四份，具有同等法律效力，甲方二份、乙方一份、采购中心一份。</w:t>
      </w:r>
    </w:p>
    <w:p w14:paraId="6F1DCD6E">
      <w:pPr>
        <w:pStyle w:val="14"/>
        <w:spacing w:before="120" w:beforeAutospacing="0" w:after="120" w:afterAutospacing="0" w:line="0" w:lineRule="atLeast"/>
        <w:ind w:left="480" w:hanging="480"/>
        <w:jc w:val="both"/>
        <w:outlineLvl w:val="9"/>
        <w:rPr>
          <w:rFonts w:ascii="宋体" w:hAnsi="宋体"/>
        </w:rPr>
      </w:pPr>
      <w:r>
        <w:rPr>
          <w:rFonts w:hint="eastAsia" w:ascii="宋体" w:hAnsi="宋体" w:cs="宋体"/>
          <w:color w:val="000000"/>
        </w:rPr>
        <w:t xml:space="preserve">  甲方：                        乙方： </w:t>
      </w:r>
    </w:p>
    <w:p w14:paraId="1A94BAE0">
      <w:pPr>
        <w:pStyle w:val="14"/>
        <w:spacing w:before="120" w:beforeAutospacing="0" w:after="120" w:afterAutospacing="0" w:line="0" w:lineRule="atLeast"/>
        <w:jc w:val="both"/>
        <w:outlineLvl w:val="9"/>
        <w:rPr>
          <w:rFonts w:ascii="宋体" w:hAnsi="宋体"/>
        </w:rPr>
      </w:pPr>
      <w:r>
        <w:rPr>
          <w:rFonts w:hint="eastAsia" w:ascii="宋体" w:hAnsi="宋体" w:cs="宋体"/>
          <w:color w:val="000000"/>
        </w:rPr>
        <w:t xml:space="preserve">  地址：                        地址： </w:t>
      </w:r>
    </w:p>
    <w:p w14:paraId="441B7522">
      <w:pPr>
        <w:pStyle w:val="14"/>
        <w:spacing w:before="120" w:beforeAutospacing="0" w:after="120" w:afterAutospacing="0" w:line="0" w:lineRule="atLeast"/>
        <w:jc w:val="both"/>
        <w:outlineLvl w:val="9"/>
        <w:rPr>
          <w:rFonts w:ascii="宋体" w:hAnsi="宋体"/>
        </w:rPr>
      </w:pPr>
      <w:r>
        <w:rPr>
          <w:rFonts w:hint="eastAsia" w:ascii="宋体" w:hAnsi="宋体" w:cs="宋体"/>
          <w:color w:val="000000"/>
        </w:rPr>
        <w:t>  法定代表人或授权代表：        法定代表人或授权代表：</w:t>
      </w:r>
    </w:p>
    <w:p w14:paraId="75E2F572">
      <w:pPr>
        <w:pStyle w:val="14"/>
        <w:spacing w:before="120" w:beforeAutospacing="0" w:after="120" w:afterAutospacing="0" w:line="0" w:lineRule="atLeast"/>
        <w:ind w:firstLine="480"/>
        <w:jc w:val="both"/>
        <w:outlineLvl w:val="9"/>
        <w:rPr>
          <w:rFonts w:ascii="宋体" w:hAnsi="宋体"/>
        </w:rPr>
      </w:pPr>
      <w:r>
        <w:rPr>
          <w:rFonts w:hint="eastAsia" w:ascii="宋体" w:hAnsi="宋体" w:cs="宋体"/>
          <w:color w:val="000000"/>
        </w:rPr>
        <w:t xml:space="preserve">联系电话：                      联系电话：    </w:t>
      </w:r>
    </w:p>
    <w:p w14:paraId="192DD4BE">
      <w:pPr>
        <w:pStyle w:val="14"/>
        <w:spacing w:before="120" w:beforeAutospacing="0" w:after="120" w:afterAutospacing="0" w:line="0" w:lineRule="atLeast"/>
        <w:jc w:val="center"/>
        <w:outlineLvl w:val="9"/>
        <w:rPr>
          <w:rFonts w:ascii="宋体" w:hAnsi="宋体"/>
        </w:rPr>
      </w:pPr>
      <w:r>
        <w:rPr>
          <w:rFonts w:hint="eastAsia" w:ascii="宋体" w:hAnsi="宋体" w:cs="宋体"/>
          <w:color w:val="000000"/>
          <w:sz w:val="21"/>
          <w:szCs w:val="21"/>
        </w:rPr>
        <w:t xml:space="preserve">                 </w:t>
      </w:r>
      <w:r>
        <w:rPr>
          <w:rFonts w:hint="eastAsia" w:ascii="宋体" w:hAnsi="宋体" w:cs="宋体"/>
          <w:color w:val="000000"/>
        </w:rPr>
        <w:t xml:space="preserve">   </w:t>
      </w:r>
    </w:p>
    <w:p w14:paraId="23C3DA3E">
      <w:pPr>
        <w:pStyle w:val="14"/>
        <w:spacing w:before="120" w:beforeAutospacing="0" w:after="120" w:afterAutospacing="0" w:line="0" w:lineRule="atLeast"/>
        <w:jc w:val="center"/>
        <w:outlineLvl w:val="9"/>
        <w:rPr>
          <w:rFonts w:ascii="宋体" w:hAnsi="宋体"/>
        </w:rPr>
      </w:pPr>
      <w:r>
        <w:rPr>
          <w:rFonts w:ascii="宋体" w:hAnsi="宋体"/>
        </w:rPr>
        <w:t> </w:t>
      </w:r>
    </w:p>
    <w:p w14:paraId="3FD58F4C">
      <w:pPr>
        <w:outlineLvl w:val="9"/>
        <w:rPr>
          <w:rFonts w:hint="eastAsia" w:ascii="宋体" w:hAnsi="宋体" w:cs="宋体"/>
          <w:color w:val="000000"/>
        </w:rPr>
      </w:pPr>
      <w:r>
        <w:rPr>
          <w:rFonts w:hint="eastAsia" w:ascii="宋体" w:hAnsi="宋体" w:cs="宋体"/>
          <w:color w:val="000000"/>
        </w:rPr>
        <w:t>                 签订日期：      年    月   日</w:t>
      </w:r>
    </w:p>
    <w:p w14:paraId="256AB70A">
      <w:pPr>
        <w:outlineLvl w:val="9"/>
        <w:rPr>
          <w:rFonts w:hint="eastAsia" w:ascii="宋体" w:hAnsi="宋体" w:cs="黑体"/>
          <w:color w:val="000000"/>
          <w:sz w:val="44"/>
          <w:szCs w:val="44"/>
        </w:rPr>
      </w:pPr>
      <w:r>
        <w:rPr>
          <w:rFonts w:hint="eastAsia" w:ascii="宋体" w:hAnsi="宋体" w:cs="黑体"/>
          <w:color w:val="000000"/>
          <w:sz w:val="44"/>
          <w:szCs w:val="44"/>
        </w:rPr>
        <w:br w:type="page" w:clear="all"/>
      </w:r>
    </w:p>
    <w:p w14:paraId="53DFFA85">
      <w:pPr>
        <w:pStyle w:val="14"/>
        <w:spacing w:beforeAutospacing="0" w:afterAutospacing="0"/>
        <w:ind w:right="0" w:rightChars="0"/>
        <w:jc w:val="center"/>
        <w:outlineLvl w:val="0"/>
        <w:rPr>
          <w:rFonts w:hint="eastAsia" w:ascii="宋体" w:hAnsi="宋体" w:eastAsia="宋体" w:cs="黑体"/>
          <w:b/>
          <w:color w:val="000000"/>
          <w:sz w:val="44"/>
          <w:szCs w:val="44"/>
        </w:rPr>
      </w:pPr>
      <w:bookmarkStart w:id="156" w:name="_Hlt16619369"/>
      <w:bookmarkEnd w:id="156"/>
      <w:bookmarkStart w:id="157" w:name="_Toc20677"/>
      <w:bookmarkStart w:id="158" w:name="_Toc26554093"/>
      <w:bookmarkStart w:id="159" w:name="_Toc462564139"/>
      <w:bookmarkStart w:id="160" w:name="_Toc49090575"/>
      <w:bookmarkStart w:id="161" w:name="_Toc479757211"/>
      <w:r>
        <w:rPr>
          <w:rFonts w:hint="eastAsia" w:ascii="宋体" w:hAnsi="宋体" w:eastAsia="宋体" w:cs="黑体"/>
          <w:b/>
          <w:color w:val="000000"/>
          <w:sz w:val="44"/>
          <w:szCs w:val="44"/>
        </w:rPr>
        <w:t>第四章</w:t>
      </w:r>
      <w:r>
        <w:rPr>
          <w:rFonts w:hint="eastAsia" w:ascii="宋体" w:hAnsi="宋体" w:eastAsia="宋体" w:cs="黑体"/>
          <w:b/>
          <w:color w:val="000000"/>
          <w:sz w:val="44"/>
          <w:szCs w:val="44"/>
          <w:lang w:val="en-US" w:eastAsia="zh-CN"/>
        </w:rPr>
        <w:t xml:space="preserve">   </w:t>
      </w:r>
      <w:r>
        <w:rPr>
          <w:rFonts w:hint="eastAsia" w:ascii="宋体" w:hAnsi="宋体" w:eastAsia="宋体" w:cs="黑体"/>
          <w:b/>
          <w:color w:val="000000"/>
          <w:sz w:val="44"/>
          <w:szCs w:val="44"/>
        </w:rPr>
        <w:t>采购需求</w:t>
      </w:r>
      <w:bookmarkEnd w:id="157"/>
    </w:p>
    <w:p w14:paraId="48EF2E13">
      <w:pPr>
        <w:keepNext w:val="0"/>
        <w:keepLines w:val="0"/>
        <w:pageBreakBefore w:val="0"/>
        <w:widowControl w:val="0"/>
        <w:numPr>
          <w:ilvl w:val="0"/>
          <w:numId w:val="0"/>
        </w:numPr>
        <w:spacing w:line="360" w:lineRule="auto"/>
        <w:ind w:firstLine="482" w:firstLineChars="200"/>
        <w:outlineLvl w:val="9"/>
        <w:rPr>
          <w:rFonts w:hint="eastAsia" w:ascii="宋体" w:hAnsi="宋体" w:cs="宋体"/>
          <w:b/>
          <w:bCs/>
          <w:color w:val="auto"/>
          <w:sz w:val="24"/>
          <w:szCs w:val="24"/>
          <w:highlight w:val="none"/>
          <w:lang w:val="en-US" w:eastAsia="zh-CN" w:bidi="ar-SA"/>
        </w:rPr>
      </w:pPr>
    </w:p>
    <w:p w14:paraId="57579DCF">
      <w:pPr>
        <w:keepNext w:val="0"/>
        <w:keepLines w:val="0"/>
        <w:pageBreakBefore w:val="0"/>
        <w:widowControl w:val="0"/>
        <w:numPr>
          <w:ilvl w:val="0"/>
          <w:numId w:val="0"/>
        </w:numPr>
        <w:spacing w:line="360" w:lineRule="auto"/>
        <w:outlineLvl w:val="9"/>
        <w:rPr>
          <w:rFonts w:hint="default" w:ascii="宋体" w:hAnsi="宋体" w:eastAsia="宋体" w:cs="宋体"/>
          <w:b/>
          <w:bCs/>
          <w:color w:val="auto"/>
          <w:sz w:val="28"/>
          <w:szCs w:val="28"/>
          <w:highlight w:val="none"/>
          <w:lang w:val="en-US" w:eastAsia="zh-CN" w:bidi="ar-SA"/>
        </w:rPr>
      </w:pPr>
      <w:r>
        <w:rPr>
          <w:rFonts w:hint="eastAsia" w:ascii="宋体" w:hAnsi="宋体" w:cs="宋体"/>
          <w:b/>
          <w:bCs/>
          <w:color w:val="auto"/>
          <w:sz w:val="28"/>
          <w:szCs w:val="28"/>
          <w:highlight w:val="none"/>
          <w:lang w:val="en-US" w:eastAsia="zh-CN" w:bidi="ar-SA"/>
        </w:rPr>
        <w:t>一、建设清单及</w:t>
      </w:r>
      <w:r>
        <w:rPr>
          <w:rFonts w:hint="default" w:ascii="宋体" w:hAnsi="宋体" w:eastAsia="宋体" w:cs="宋体"/>
          <w:b/>
          <w:bCs/>
          <w:color w:val="auto"/>
          <w:sz w:val="28"/>
          <w:szCs w:val="28"/>
          <w:highlight w:val="none"/>
          <w:lang w:val="en-US" w:eastAsia="zh-CN" w:bidi="ar-SA"/>
        </w:rPr>
        <w:t>配置要求</w:t>
      </w:r>
    </w:p>
    <w:tbl>
      <w:tblPr>
        <w:tblStyle w:val="7"/>
        <w:tblW w:w="9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44"/>
        <w:gridCol w:w="929"/>
        <w:gridCol w:w="1418"/>
        <w:gridCol w:w="1109"/>
        <w:gridCol w:w="4818"/>
      </w:tblGrid>
      <w:tr w14:paraId="2507A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44" w:type="dxa"/>
            <w:shd w:val="clear" w:color="auto" w:fill="auto"/>
            <w:vAlign w:val="center"/>
          </w:tcPr>
          <w:p w14:paraId="2CD0DF45">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系统</w:t>
            </w:r>
          </w:p>
        </w:tc>
        <w:tc>
          <w:tcPr>
            <w:tcW w:w="929" w:type="dxa"/>
            <w:shd w:val="clear" w:color="auto" w:fill="auto"/>
            <w:vAlign w:val="center"/>
          </w:tcPr>
          <w:p w14:paraId="4584D4C7">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模块</w:t>
            </w:r>
          </w:p>
        </w:tc>
        <w:tc>
          <w:tcPr>
            <w:tcW w:w="1418" w:type="dxa"/>
            <w:shd w:val="clear" w:color="auto" w:fill="auto"/>
            <w:vAlign w:val="center"/>
          </w:tcPr>
          <w:p w14:paraId="61B99B9F">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一级功能</w:t>
            </w:r>
          </w:p>
        </w:tc>
        <w:tc>
          <w:tcPr>
            <w:tcW w:w="1109" w:type="dxa"/>
            <w:shd w:val="clear" w:color="auto" w:fill="auto"/>
            <w:noWrap/>
            <w:vAlign w:val="center"/>
          </w:tcPr>
          <w:p w14:paraId="11D01E1D">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二级功能</w:t>
            </w:r>
          </w:p>
        </w:tc>
        <w:tc>
          <w:tcPr>
            <w:tcW w:w="4818" w:type="dxa"/>
            <w:shd w:val="clear" w:color="auto" w:fill="auto"/>
            <w:noWrap/>
            <w:vAlign w:val="center"/>
          </w:tcPr>
          <w:p w14:paraId="767FDCBD">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功能描述</w:t>
            </w:r>
          </w:p>
        </w:tc>
      </w:tr>
      <w:tr w14:paraId="79082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844" w:type="dxa"/>
            <w:vMerge w:val="restart"/>
            <w:shd w:val="clear" w:color="auto" w:fill="auto"/>
            <w:vAlign w:val="center"/>
          </w:tcPr>
          <w:p w14:paraId="1F02E30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一、智慧教师管理系统</w:t>
            </w:r>
          </w:p>
        </w:tc>
        <w:tc>
          <w:tcPr>
            <w:tcW w:w="929" w:type="dxa"/>
            <w:vMerge w:val="restart"/>
            <w:shd w:val="clear" w:color="auto" w:fill="auto"/>
            <w:vAlign w:val="center"/>
          </w:tcPr>
          <w:p w14:paraId="55F9783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教师信息管理</w:t>
            </w:r>
          </w:p>
        </w:tc>
        <w:tc>
          <w:tcPr>
            <w:tcW w:w="1418" w:type="dxa"/>
            <w:shd w:val="clear" w:color="auto" w:fill="auto"/>
            <w:vAlign w:val="center"/>
          </w:tcPr>
          <w:p w14:paraId="3A5FE92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基本信息管理</w:t>
            </w:r>
          </w:p>
        </w:tc>
        <w:tc>
          <w:tcPr>
            <w:tcW w:w="1109" w:type="dxa"/>
            <w:shd w:val="clear" w:color="auto" w:fill="auto"/>
            <w:noWrap/>
            <w:vAlign w:val="center"/>
          </w:tcPr>
          <w:p w14:paraId="2188E3C6">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35340F7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★包括个人信息，部门信息，职称（正高级教师、高级教师、一级教师、二级教师、三级教师），职务等信息。</w:t>
            </w:r>
          </w:p>
        </w:tc>
      </w:tr>
      <w:tr w14:paraId="7783D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3BDDB19B">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0EFFA63E">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725BF2A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获奖信息管理</w:t>
            </w:r>
          </w:p>
        </w:tc>
        <w:tc>
          <w:tcPr>
            <w:tcW w:w="1109" w:type="dxa"/>
            <w:shd w:val="clear" w:color="auto" w:fill="auto"/>
            <w:vAlign w:val="center"/>
          </w:tcPr>
          <w:p w14:paraId="3752D016">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451121F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对老师的获奖信息进行管理。</w:t>
            </w:r>
          </w:p>
        </w:tc>
      </w:tr>
      <w:tr w14:paraId="2C9C5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6A4E0427">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4867B19D">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3D9F812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处罚信息管理</w:t>
            </w:r>
          </w:p>
        </w:tc>
        <w:tc>
          <w:tcPr>
            <w:tcW w:w="1109" w:type="dxa"/>
            <w:shd w:val="clear" w:color="auto" w:fill="auto"/>
            <w:vAlign w:val="center"/>
          </w:tcPr>
          <w:p w14:paraId="36420B57">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04B553F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对老师的处罚信息进行管理。</w:t>
            </w:r>
          </w:p>
        </w:tc>
      </w:tr>
      <w:tr w14:paraId="4300F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7" w:hRule="atLeast"/>
          <w:jc w:val="center"/>
        </w:trPr>
        <w:tc>
          <w:tcPr>
            <w:tcW w:w="844" w:type="dxa"/>
            <w:vMerge w:val="continue"/>
            <w:shd w:val="clear" w:color="auto" w:fill="auto"/>
            <w:vAlign w:val="center"/>
          </w:tcPr>
          <w:p w14:paraId="78F03D51">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6E63C4AF">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4901EF8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教学成果信息管理</w:t>
            </w:r>
          </w:p>
        </w:tc>
        <w:tc>
          <w:tcPr>
            <w:tcW w:w="1109" w:type="dxa"/>
            <w:shd w:val="clear" w:color="auto" w:fill="auto"/>
            <w:noWrap/>
            <w:vAlign w:val="center"/>
          </w:tcPr>
          <w:p w14:paraId="50A66669">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38EE310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对老师教学成果进行管理，包括日常教学信息，考试成绩信息等。</w:t>
            </w:r>
          </w:p>
        </w:tc>
      </w:tr>
      <w:tr w14:paraId="6F97E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486392BA">
            <w:pPr>
              <w:jc w:val="center"/>
              <w:rPr>
                <w:rFonts w:hint="eastAsia" w:ascii="宋体" w:hAnsi="宋体" w:eastAsia="宋体" w:cs="宋体"/>
                <w:i w:val="0"/>
                <w:iCs w:val="0"/>
                <w:color w:val="auto"/>
                <w:sz w:val="22"/>
                <w:szCs w:val="22"/>
                <w:highlight w:val="none"/>
                <w:u w:val="none"/>
              </w:rPr>
            </w:pPr>
          </w:p>
        </w:tc>
        <w:tc>
          <w:tcPr>
            <w:tcW w:w="929" w:type="dxa"/>
            <w:vMerge w:val="restart"/>
            <w:shd w:val="clear" w:color="auto" w:fill="auto"/>
            <w:vAlign w:val="center"/>
          </w:tcPr>
          <w:p w14:paraId="40FAF87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教师发展管理</w:t>
            </w:r>
          </w:p>
        </w:tc>
        <w:tc>
          <w:tcPr>
            <w:tcW w:w="1418" w:type="dxa"/>
            <w:shd w:val="clear" w:color="auto" w:fill="auto"/>
            <w:vAlign w:val="center"/>
          </w:tcPr>
          <w:p w14:paraId="5A87C94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教师级别</w:t>
            </w:r>
          </w:p>
        </w:tc>
        <w:tc>
          <w:tcPr>
            <w:tcW w:w="1109" w:type="dxa"/>
            <w:shd w:val="clear" w:color="auto" w:fill="auto"/>
            <w:vAlign w:val="center"/>
          </w:tcPr>
          <w:p w14:paraId="5FFB0723">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6DC503C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对应国家专业技术岗位级别。</w:t>
            </w:r>
          </w:p>
        </w:tc>
      </w:tr>
      <w:tr w14:paraId="4618C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7" w:hRule="atLeast"/>
          <w:jc w:val="center"/>
        </w:trPr>
        <w:tc>
          <w:tcPr>
            <w:tcW w:w="844" w:type="dxa"/>
            <w:vMerge w:val="continue"/>
            <w:shd w:val="clear" w:color="auto" w:fill="auto"/>
            <w:vAlign w:val="center"/>
          </w:tcPr>
          <w:p w14:paraId="792814D7">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230054F3">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259F7FA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学术职称管理</w:t>
            </w:r>
          </w:p>
        </w:tc>
        <w:tc>
          <w:tcPr>
            <w:tcW w:w="1109" w:type="dxa"/>
            <w:shd w:val="clear" w:color="auto" w:fill="auto"/>
            <w:vAlign w:val="center"/>
          </w:tcPr>
          <w:p w14:paraId="3BF7C995">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26FBFDF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对老师的专业学科进行定级，分为：学科带头、学科骨干、学科新秀、难忘教师。</w:t>
            </w:r>
          </w:p>
        </w:tc>
      </w:tr>
      <w:tr w14:paraId="1BD50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44" w:type="dxa"/>
            <w:vMerge w:val="continue"/>
            <w:shd w:val="clear" w:color="auto" w:fill="auto"/>
            <w:vAlign w:val="center"/>
          </w:tcPr>
          <w:p w14:paraId="3FD14A7A">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6DCBC99C">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3C268ED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发展通道</w:t>
            </w:r>
          </w:p>
        </w:tc>
        <w:tc>
          <w:tcPr>
            <w:tcW w:w="1109" w:type="dxa"/>
            <w:shd w:val="clear" w:color="auto" w:fill="auto"/>
            <w:vAlign w:val="center"/>
          </w:tcPr>
          <w:p w14:paraId="05220E4F">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1DA8FA1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对教师的发展通道进行管理。包括教学发展通道，管理通道，晋升要求等。</w:t>
            </w:r>
          </w:p>
        </w:tc>
      </w:tr>
      <w:tr w14:paraId="7BDF5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44" w:type="dxa"/>
            <w:vMerge w:val="continue"/>
            <w:shd w:val="clear" w:color="auto" w:fill="auto"/>
            <w:vAlign w:val="center"/>
          </w:tcPr>
          <w:p w14:paraId="40B7A32F">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61B2E7FD">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3EFF597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发展建议</w:t>
            </w:r>
          </w:p>
        </w:tc>
        <w:tc>
          <w:tcPr>
            <w:tcW w:w="1109" w:type="dxa"/>
            <w:shd w:val="clear" w:color="auto" w:fill="auto"/>
            <w:vAlign w:val="center"/>
          </w:tcPr>
          <w:p w14:paraId="3F18F3B8">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41C5DEF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根据教师的教育经历、个人爱好、家庭情况、职业发展等因素，对教师发展进行建议。</w:t>
            </w:r>
          </w:p>
        </w:tc>
      </w:tr>
      <w:tr w14:paraId="5505C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jc w:val="center"/>
        </w:trPr>
        <w:tc>
          <w:tcPr>
            <w:tcW w:w="844" w:type="dxa"/>
            <w:vMerge w:val="continue"/>
            <w:shd w:val="clear" w:color="auto" w:fill="auto"/>
            <w:vAlign w:val="center"/>
          </w:tcPr>
          <w:p w14:paraId="69F1998D">
            <w:pPr>
              <w:jc w:val="center"/>
              <w:rPr>
                <w:rFonts w:hint="eastAsia" w:ascii="宋体" w:hAnsi="宋体" w:eastAsia="宋体" w:cs="宋体"/>
                <w:i w:val="0"/>
                <w:iCs w:val="0"/>
                <w:color w:val="auto"/>
                <w:sz w:val="22"/>
                <w:szCs w:val="22"/>
                <w:highlight w:val="none"/>
                <w:u w:val="none"/>
              </w:rPr>
            </w:pPr>
          </w:p>
        </w:tc>
        <w:tc>
          <w:tcPr>
            <w:tcW w:w="929" w:type="dxa"/>
            <w:vMerge w:val="restart"/>
            <w:shd w:val="clear" w:color="auto" w:fill="auto"/>
            <w:vAlign w:val="center"/>
          </w:tcPr>
          <w:p w14:paraId="7C0D05A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教师画像和教师评价</w:t>
            </w:r>
          </w:p>
        </w:tc>
        <w:tc>
          <w:tcPr>
            <w:tcW w:w="1418" w:type="dxa"/>
            <w:shd w:val="clear" w:color="auto" w:fill="auto"/>
            <w:vAlign w:val="center"/>
          </w:tcPr>
          <w:p w14:paraId="1E935A3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教师职能画像</w:t>
            </w:r>
          </w:p>
        </w:tc>
        <w:tc>
          <w:tcPr>
            <w:tcW w:w="1109" w:type="dxa"/>
            <w:shd w:val="clear" w:color="auto" w:fill="auto"/>
            <w:vAlign w:val="center"/>
          </w:tcPr>
          <w:p w14:paraId="4DFDD0D4">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3580A15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对老师的办公记录、教学记录、教学成功等要素进行智能分析，形成教师的综合能力画像，并根据特点进行称谓建议，分为：学习者、研究者、教学者、教育者、传播者、示范者、共育者、汇聚者、管理者。</w:t>
            </w:r>
          </w:p>
        </w:tc>
      </w:tr>
      <w:tr w14:paraId="6847A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31" w:hRule="atLeast"/>
          <w:jc w:val="center"/>
        </w:trPr>
        <w:tc>
          <w:tcPr>
            <w:tcW w:w="844" w:type="dxa"/>
            <w:vMerge w:val="continue"/>
            <w:shd w:val="clear" w:color="auto" w:fill="auto"/>
            <w:vAlign w:val="center"/>
          </w:tcPr>
          <w:p w14:paraId="5F3772A6">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5C1D28D6">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65EEC4E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教师工作画像</w:t>
            </w:r>
          </w:p>
        </w:tc>
        <w:tc>
          <w:tcPr>
            <w:tcW w:w="1109" w:type="dxa"/>
            <w:shd w:val="clear" w:color="auto" w:fill="auto"/>
            <w:noWrap/>
            <w:vAlign w:val="center"/>
          </w:tcPr>
          <w:p w14:paraId="2BA7498D">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646D709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通过历年所教学科、班级、年级学生整体和个体发展情况（包括：是否开展针对特殊学生的性格、爱好和特长，开展个性化教学记录)，对教师的工作进行画像。</w:t>
            </w:r>
          </w:p>
        </w:tc>
      </w:tr>
      <w:tr w14:paraId="14EA6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844" w:type="dxa"/>
            <w:vMerge w:val="continue"/>
            <w:shd w:val="clear" w:color="auto" w:fill="auto"/>
            <w:vAlign w:val="center"/>
          </w:tcPr>
          <w:p w14:paraId="376EE2FD">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37A54125">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6D3E39C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教师德育画像</w:t>
            </w:r>
          </w:p>
        </w:tc>
        <w:tc>
          <w:tcPr>
            <w:tcW w:w="1109" w:type="dxa"/>
            <w:shd w:val="clear" w:color="auto" w:fill="auto"/>
            <w:noWrap/>
            <w:vAlign w:val="center"/>
          </w:tcPr>
          <w:p w14:paraId="15E268B9">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49DB994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聚焦师德师风（政治素质、师德师范、学术道德）方面的具体工作，汇总整理：互联网信息采集与评价、学校内部匿名调研表等。</w:t>
            </w:r>
          </w:p>
        </w:tc>
      </w:tr>
      <w:tr w14:paraId="07AF6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844" w:type="dxa"/>
            <w:vMerge w:val="continue"/>
            <w:shd w:val="clear" w:color="auto" w:fill="auto"/>
            <w:vAlign w:val="center"/>
          </w:tcPr>
          <w:p w14:paraId="03CFB0FD">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542D3181">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6187472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教师活力画像</w:t>
            </w:r>
          </w:p>
        </w:tc>
        <w:tc>
          <w:tcPr>
            <w:tcW w:w="1109" w:type="dxa"/>
            <w:shd w:val="clear" w:color="auto" w:fill="auto"/>
            <w:noWrap/>
            <w:vAlign w:val="center"/>
          </w:tcPr>
          <w:p w14:paraId="01A79CA1">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586AF13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聚焦课程教学、教学改革、学生指导、教学创新、成果转化五个方面的具体工作,汇总整理各类信息，如：学科备课、研讨课、公开课等。</w:t>
            </w:r>
          </w:p>
        </w:tc>
      </w:tr>
      <w:tr w14:paraId="1CDFF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04" w:hRule="atLeast"/>
          <w:jc w:val="center"/>
        </w:trPr>
        <w:tc>
          <w:tcPr>
            <w:tcW w:w="844" w:type="dxa"/>
            <w:vMerge w:val="continue"/>
            <w:shd w:val="clear" w:color="auto" w:fill="auto"/>
            <w:vAlign w:val="center"/>
          </w:tcPr>
          <w:p w14:paraId="75EC78DA">
            <w:pPr>
              <w:jc w:val="center"/>
              <w:rPr>
                <w:rFonts w:hint="eastAsia" w:ascii="宋体" w:hAnsi="宋体" w:eastAsia="宋体" w:cs="宋体"/>
                <w:i w:val="0"/>
                <w:iCs w:val="0"/>
                <w:color w:val="auto"/>
                <w:sz w:val="22"/>
                <w:szCs w:val="22"/>
                <w:highlight w:val="none"/>
                <w:u w:val="none"/>
              </w:rPr>
            </w:pPr>
          </w:p>
        </w:tc>
        <w:tc>
          <w:tcPr>
            <w:tcW w:w="929" w:type="dxa"/>
            <w:shd w:val="clear" w:color="auto" w:fill="auto"/>
            <w:vAlign w:val="center"/>
          </w:tcPr>
          <w:p w14:paraId="53E7E40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综合查询</w:t>
            </w:r>
          </w:p>
        </w:tc>
        <w:tc>
          <w:tcPr>
            <w:tcW w:w="1418" w:type="dxa"/>
            <w:shd w:val="clear" w:color="auto" w:fill="auto"/>
            <w:vAlign w:val="center"/>
          </w:tcPr>
          <w:p w14:paraId="4ABEDED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教师标签</w:t>
            </w:r>
          </w:p>
        </w:tc>
        <w:tc>
          <w:tcPr>
            <w:tcW w:w="1109" w:type="dxa"/>
            <w:shd w:val="clear" w:color="auto" w:fill="auto"/>
            <w:noWrap/>
            <w:vAlign w:val="center"/>
          </w:tcPr>
          <w:p w14:paraId="65E499A6">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57C5B62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对老师的姓名、职称(5类)、职务(2类)、职能(9类)、级别（9类）、等级（4类）、四有好教师等设置查询条件，可以检索出所有的相关信息，并进行详情查询。支持对教师进行标签管理，并支持筛选。</w:t>
            </w:r>
          </w:p>
        </w:tc>
      </w:tr>
      <w:tr w14:paraId="2FE18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44" w:type="dxa"/>
            <w:vMerge w:val="continue"/>
            <w:shd w:val="clear" w:color="auto" w:fill="auto"/>
            <w:vAlign w:val="center"/>
          </w:tcPr>
          <w:p w14:paraId="7F67BF59">
            <w:pPr>
              <w:jc w:val="center"/>
              <w:rPr>
                <w:rFonts w:hint="eastAsia" w:ascii="宋体" w:hAnsi="宋体" w:eastAsia="宋体" w:cs="宋体"/>
                <w:i w:val="0"/>
                <w:iCs w:val="0"/>
                <w:color w:val="auto"/>
                <w:sz w:val="22"/>
                <w:szCs w:val="22"/>
                <w:highlight w:val="none"/>
                <w:u w:val="none"/>
              </w:rPr>
            </w:pPr>
          </w:p>
        </w:tc>
        <w:tc>
          <w:tcPr>
            <w:tcW w:w="929" w:type="dxa"/>
            <w:vMerge w:val="restart"/>
            <w:shd w:val="clear" w:color="auto" w:fill="auto"/>
            <w:vAlign w:val="center"/>
          </w:tcPr>
          <w:p w14:paraId="6794653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四有好教师团队</w:t>
            </w:r>
          </w:p>
        </w:tc>
        <w:tc>
          <w:tcPr>
            <w:tcW w:w="1418" w:type="dxa"/>
            <w:shd w:val="clear" w:color="auto" w:fill="auto"/>
            <w:vAlign w:val="center"/>
          </w:tcPr>
          <w:p w14:paraId="0EDC002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团队管理</w:t>
            </w:r>
          </w:p>
        </w:tc>
        <w:tc>
          <w:tcPr>
            <w:tcW w:w="1109" w:type="dxa"/>
            <w:shd w:val="clear" w:color="auto" w:fill="auto"/>
            <w:noWrap/>
            <w:vAlign w:val="center"/>
          </w:tcPr>
          <w:p w14:paraId="17DF362F">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114B273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记录四有好教师团队信息，包括：成员、联系方式、好名师工作室信息、研修平台信息等。</w:t>
            </w:r>
          </w:p>
        </w:tc>
      </w:tr>
      <w:tr w14:paraId="32022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4" w:type="dxa"/>
            <w:vMerge w:val="continue"/>
            <w:shd w:val="clear" w:color="auto" w:fill="auto"/>
            <w:vAlign w:val="center"/>
          </w:tcPr>
          <w:p w14:paraId="40470A08">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029D4F21">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254DD79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团队宣传</w:t>
            </w:r>
          </w:p>
        </w:tc>
        <w:tc>
          <w:tcPr>
            <w:tcW w:w="1109" w:type="dxa"/>
            <w:shd w:val="clear" w:color="auto" w:fill="auto"/>
            <w:noWrap/>
            <w:vAlign w:val="center"/>
          </w:tcPr>
          <w:p w14:paraId="5E9F254E">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469BB7D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通过校级、县级公共媒体对外宣传，通过系统管理所有已发布的文章链接网址（有理想信念、有道德情操、有扎实学识、有仁爱之心）。</w:t>
            </w:r>
          </w:p>
        </w:tc>
      </w:tr>
      <w:tr w14:paraId="34D15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31" w:hRule="atLeast"/>
          <w:jc w:val="center"/>
        </w:trPr>
        <w:tc>
          <w:tcPr>
            <w:tcW w:w="844" w:type="dxa"/>
            <w:vMerge w:val="restart"/>
            <w:shd w:val="clear" w:color="auto" w:fill="auto"/>
            <w:vAlign w:val="center"/>
          </w:tcPr>
          <w:p w14:paraId="11363CE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二、智慧办公系统</w:t>
            </w:r>
          </w:p>
        </w:tc>
        <w:tc>
          <w:tcPr>
            <w:tcW w:w="929" w:type="dxa"/>
            <w:vMerge w:val="restart"/>
            <w:shd w:val="clear" w:color="auto" w:fill="auto"/>
            <w:vAlign w:val="center"/>
          </w:tcPr>
          <w:p w14:paraId="35618AE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通讯录</w:t>
            </w:r>
          </w:p>
        </w:tc>
        <w:tc>
          <w:tcPr>
            <w:tcW w:w="1418" w:type="dxa"/>
            <w:shd w:val="clear" w:color="auto" w:fill="auto"/>
            <w:vAlign w:val="center"/>
          </w:tcPr>
          <w:p w14:paraId="608D89D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校内通讯录</w:t>
            </w:r>
          </w:p>
        </w:tc>
        <w:tc>
          <w:tcPr>
            <w:tcW w:w="1109" w:type="dxa"/>
            <w:shd w:val="clear" w:color="auto" w:fill="auto"/>
            <w:vAlign w:val="center"/>
          </w:tcPr>
          <w:p w14:paraId="04171EEC">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71B3C70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支持添加/导入、编辑、删除/批量删除联系人，包括：各教职工基本信息，如：姓名、手机号码、家庭住址、应急联系人、应急联系电话等。</w:t>
            </w:r>
          </w:p>
        </w:tc>
      </w:tr>
      <w:tr w14:paraId="485A8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04" w:hRule="atLeast"/>
          <w:jc w:val="center"/>
        </w:trPr>
        <w:tc>
          <w:tcPr>
            <w:tcW w:w="844" w:type="dxa"/>
            <w:vMerge w:val="continue"/>
            <w:shd w:val="clear" w:color="auto" w:fill="auto"/>
            <w:vAlign w:val="center"/>
          </w:tcPr>
          <w:p w14:paraId="3E153FED">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3B67A044">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52240EF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家长通讯录</w:t>
            </w:r>
          </w:p>
        </w:tc>
        <w:tc>
          <w:tcPr>
            <w:tcW w:w="1109" w:type="dxa"/>
            <w:shd w:val="clear" w:color="auto" w:fill="auto"/>
            <w:vAlign w:val="center"/>
          </w:tcPr>
          <w:p w14:paraId="4CEF3AE6">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1B092C6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支持、添加/导入、编辑、删除/批量删除联系人，包括：各学生家长的基本信息，如：学生学籍号、学生姓名、学生手机号码、家庭住址、家庭联系人、家庭联系人关系、家庭联系电话等。</w:t>
            </w:r>
          </w:p>
        </w:tc>
      </w:tr>
      <w:tr w14:paraId="01781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6A0EFFAE">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192B3D22">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76CE491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往届家长通讯录</w:t>
            </w:r>
          </w:p>
        </w:tc>
        <w:tc>
          <w:tcPr>
            <w:tcW w:w="1109" w:type="dxa"/>
            <w:shd w:val="clear" w:color="auto" w:fill="auto"/>
            <w:vAlign w:val="center"/>
          </w:tcPr>
          <w:p w14:paraId="2F386E2B">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061F763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学生毕业后自动进入往届家长通讯录。</w:t>
            </w:r>
          </w:p>
        </w:tc>
      </w:tr>
      <w:tr w14:paraId="452C9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7" w:hRule="atLeast"/>
          <w:jc w:val="center"/>
        </w:trPr>
        <w:tc>
          <w:tcPr>
            <w:tcW w:w="844" w:type="dxa"/>
            <w:vMerge w:val="continue"/>
            <w:shd w:val="clear" w:color="auto" w:fill="auto"/>
            <w:vAlign w:val="center"/>
          </w:tcPr>
          <w:p w14:paraId="47702FB1">
            <w:pPr>
              <w:jc w:val="center"/>
              <w:rPr>
                <w:rFonts w:hint="eastAsia" w:ascii="宋体" w:hAnsi="宋体" w:eastAsia="宋体" w:cs="宋体"/>
                <w:i w:val="0"/>
                <w:iCs w:val="0"/>
                <w:color w:val="auto"/>
                <w:sz w:val="22"/>
                <w:szCs w:val="22"/>
                <w:highlight w:val="none"/>
                <w:u w:val="none"/>
              </w:rPr>
            </w:pPr>
          </w:p>
        </w:tc>
        <w:tc>
          <w:tcPr>
            <w:tcW w:w="929" w:type="dxa"/>
            <w:vMerge w:val="restart"/>
            <w:shd w:val="clear" w:color="auto" w:fill="auto"/>
            <w:vAlign w:val="center"/>
          </w:tcPr>
          <w:p w14:paraId="2B40D44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OA办公</w:t>
            </w:r>
          </w:p>
        </w:tc>
        <w:tc>
          <w:tcPr>
            <w:tcW w:w="1418" w:type="dxa"/>
            <w:shd w:val="clear" w:color="auto" w:fill="auto"/>
            <w:vAlign w:val="center"/>
          </w:tcPr>
          <w:p w14:paraId="4A5B760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日常工作事项的申请和审批</w:t>
            </w:r>
          </w:p>
        </w:tc>
        <w:tc>
          <w:tcPr>
            <w:tcW w:w="1109" w:type="dxa"/>
            <w:shd w:val="clear" w:color="auto" w:fill="auto"/>
            <w:noWrap/>
            <w:vAlign w:val="center"/>
          </w:tcPr>
          <w:p w14:paraId="1FD73AD6">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1A45C3E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▲审批事项包括请假、场地使用，支持其它事项的自定义流程审批设置。</w:t>
            </w:r>
          </w:p>
        </w:tc>
      </w:tr>
      <w:tr w14:paraId="327B4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151E5669">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58FB72C5">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275108F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流程引擎</w:t>
            </w:r>
          </w:p>
        </w:tc>
        <w:tc>
          <w:tcPr>
            <w:tcW w:w="1109" w:type="dxa"/>
            <w:shd w:val="clear" w:color="auto" w:fill="auto"/>
            <w:noWrap/>
            <w:vAlign w:val="center"/>
          </w:tcPr>
          <w:p w14:paraId="74FF9B7C">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17C22FA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▲支持审批流程的自定义设置。</w:t>
            </w:r>
          </w:p>
        </w:tc>
      </w:tr>
      <w:tr w14:paraId="0134A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249D80E5">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4E3E5296">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4888597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表单管理</w:t>
            </w:r>
          </w:p>
        </w:tc>
        <w:tc>
          <w:tcPr>
            <w:tcW w:w="1109" w:type="dxa"/>
            <w:shd w:val="clear" w:color="auto" w:fill="auto"/>
            <w:noWrap/>
            <w:vAlign w:val="center"/>
          </w:tcPr>
          <w:p w14:paraId="3F06AA26">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13BAC00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▲支持审批事项表单的自定义。</w:t>
            </w:r>
          </w:p>
        </w:tc>
      </w:tr>
      <w:tr w14:paraId="6AA76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75D5094E">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68C936CF">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138CC84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发起申请</w:t>
            </w:r>
          </w:p>
        </w:tc>
        <w:tc>
          <w:tcPr>
            <w:tcW w:w="1109" w:type="dxa"/>
            <w:shd w:val="clear" w:color="auto" w:fill="auto"/>
            <w:noWrap/>
            <w:vAlign w:val="center"/>
          </w:tcPr>
          <w:p w14:paraId="357EDE75">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399970F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支持发起事项申请，如：老师请假。</w:t>
            </w:r>
          </w:p>
        </w:tc>
      </w:tr>
      <w:tr w14:paraId="25ABA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027A1C47">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0D5CA75B">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0B42314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事项审批</w:t>
            </w:r>
          </w:p>
        </w:tc>
        <w:tc>
          <w:tcPr>
            <w:tcW w:w="1109" w:type="dxa"/>
            <w:shd w:val="clear" w:color="auto" w:fill="auto"/>
            <w:noWrap/>
            <w:vAlign w:val="center"/>
          </w:tcPr>
          <w:p w14:paraId="27260133">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34AF432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根据流程引擎的配置，支持审批人对事项的审批。</w:t>
            </w:r>
          </w:p>
        </w:tc>
      </w:tr>
      <w:tr w14:paraId="5C473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2765FAA2">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567F611F">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50DAAA6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待办事项</w:t>
            </w:r>
          </w:p>
        </w:tc>
        <w:tc>
          <w:tcPr>
            <w:tcW w:w="1109" w:type="dxa"/>
            <w:shd w:val="clear" w:color="auto" w:fill="auto"/>
            <w:noWrap/>
            <w:vAlign w:val="center"/>
          </w:tcPr>
          <w:p w14:paraId="4F872B72">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2E842E0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支持对待办事项的查看。</w:t>
            </w:r>
          </w:p>
        </w:tc>
      </w:tr>
      <w:tr w14:paraId="65FBD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2A05E527">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6B34B33F">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4ADEA14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通知管理</w:t>
            </w:r>
          </w:p>
        </w:tc>
        <w:tc>
          <w:tcPr>
            <w:tcW w:w="1109" w:type="dxa"/>
            <w:shd w:val="clear" w:color="auto" w:fill="auto"/>
            <w:noWrap/>
            <w:vAlign w:val="center"/>
          </w:tcPr>
          <w:p w14:paraId="1A06EAA3">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607FA8B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对待办事项，审批事项进行通知。</w:t>
            </w:r>
          </w:p>
        </w:tc>
      </w:tr>
      <w:tr w14:paraId="04045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44" w:type="dxa"/>
            <w:vMerge w:val="continue"/>
            <w:shd w:val="clear" w:color="auto" w:fill="auto"/>
            <w:vAlign w:val="center"/>
          </w:tcPr>
          <w:p w14:paraId="15EF8768">
            <w:pPr>
              <w:jc w:val="center"/>
              <w:rPr>
                <w:rFonts w:hint="eastAsia" w:ascii="宋体" w:hAnsi="宋体" w:eastAsia="宋体" w:cs="宋体"/>
                <w:i w:val="0"/>
                <w:iCs w:val="0"/>
                <w:color w:val="auto"/>
                <w:sz w:val="22"/>
                <w:szCs w:val="22"/>
                <w:highlight w:val="none"/>
                <w:u w:val="none"/>
              </w:rPr>
            </w:pPr>
          </w:p>
        </w:tc>
        <w:tc>
          <w:tcPr>
            <w:tcW w:w="929" w:type="dxa"/>
            <w:vMerge w:val="restart"/>
            <w:shd w:val="clear" w:color="auto" w:fill="auto"/>
            <w:vAlign w:val="center"/>
          </w:tcPr>
          <w:p w14:paraId="623D882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教职工考勤管理</w:t>
            </w:r>
          </w:p>
        </w:tc>
        <w:tc>
          <w:tcPr>
            <w:tcW w:w="1418" w:type="dxa"/>
            <w:vMerge w:val="restart"/>
            <w:shd w:val="clear" w:color="auto" w:fill="auto"/>
            <w:vAlign w:val="center"/>
          </w:tcPr>
          <w:p w14:paraId="40DA9A3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人工考勤</w:t>
            </w:r>
          </w:p>
        </w:tc>
        <w:tc>
          <w:tcPr>
            <w:tcW w:w="1109" w:type="dxa"/>
            <w:shd w:val="clear" w:color="auto" w:fill="auto"/>
            <w:vAlign w:val="center"/>
          </w:tcPr>
          <w:p w14:paraId="718C90E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考勤上传</w:t>
            </w:r>
          </w:p>
        </w:tc>
        <w:tc>
          <w:tcPr>
            <w:tcW w:w="4818" w:type="dxa"/>
            <w:shd w:val="clear" w:color="auto" w:fill="auto"/>
            <w:vAlign w:val="center"/>
          </w:tcPr>
          <w:p w14:paraId="7E1D82F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上传制定格式的电子表格，支持按姓名、日期（年、月、日）等进行考勤查询。</w:t>
            </w:r>
          </w:p>
        </w:tc>
      </w:tr>
      <w:tr w14:paraId="40812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1FB1E4FA">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17CDC7D2">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024B1638">
            <w:pPr>
              <w:jc w:val="center"/>
              <w:rPr>
                <w:rFonts w:hint="eastAsia" w:ascii="宋体" w:hAnsi="宋体" w:eastAsia="宋体" w:cs="宋体"/>
                <w:i w:val="0"/>
                <w:iCs w:val="0"/>
                <w:color w:val="auto"/>
                <w:sz w:val="22"/>
                <w:szCs w:val="22"/>
                <w:highlight w:val="none"/>
                <w:u w:val="none"/>
              </w:rPr>
            </w:pPr>
          </w:p>
        </w:tc>
        <w:tc>
          <w:tcPr>
            <w:tcW w:w="1109" w:type="dxa"/>
            <w:shd w:val="clear" w:color="auto" w:fill="auto"/>
            <w:vAlign w:val="center"/>
          </w:tcPr>
          <w:p w14:paraId="279CB3E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考勤异常通知</w:t>
            </w:r>
          </w:p>
        </w:tc>
        <w:tc>
          <w:tcPr>
            <w:tcW w:w="4818" w:type="dxa"/>
            <w:shd w:val="clear" w:color="auto" w:fill="auto"/>
            <w:vAlign w:val="center"/>
          </w:tcPr>
          <w:p w14:paraId="3DB3DDC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上传成功后，对异常考勤进行着重提示和优先排序。</w:t>
            </w:r>
          </w:p>
        </w:tc>
      </w:tr>
      <w:tr w14:paraId="77C6B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5B63287E">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4DDCBE47">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74CBAC32">
            <w:pPr>
              <w:jc w:val="center"/>
              <w:rPr>
                <w:rFonts w:hint="eastAsia" w:ascii="宋体" w:hAnsi="宋体" w:eastAsia="宋体" w:cs="宋体"/>
                <w:i w:val="0"/>
                <w:iCs w:val="0"/>
                <w:color w:val="auto"/>
                <w:sz w:val="22"/>
                <w:szCs w:val="22"/>
                <w:highlight w:val="none"/>
                <w:u w:val="none"/>
              </w:rPr>
            </w:pPr>
          </w:p>
        </w:tc>
        <w:tc>
          <w:tcPr>
            <w:tcW w:w="1109" w:type="dxa"/>
            <w:shd w:val="clear" w:color="auto" w:fill="auto"/>
            <w:vAlign w:val="center"/>
          </w:tcPr>
          <w:p w14:paraId="2844449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考勤标注</w:t>
            </w:r>
          </w:p>
        </w:tc>
        <w:tc>
          <w:tcPr>
            <w:tcW w:w="4818" w:type="dxa"/>
            <w:shd w:val="clear" w:color="auto" w:fill="auto"/>
            <w:vAlign w:val="center"/>
          </w:tcPr>
          <w:p w14:paraId="4D6126E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通过日历形式标注是否完成当天的考勤。</w:t>
            </w:r>
          </w:p>
        </w:tc>
      </w:tr>
      <w:tr w14:paraId="747CC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44" w:type="dxa"/>
            <w:vMerge w:val="continue"/>
            <w:shd w:val="clear" w:color="auto" w:fill="auto"/>
            <w:vAlign w:val="center"/>
          </w:tcPr>
          <w:p w14:paraId="43DE49D7">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2824473E">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0D807008">
            <w:pPr>
              <w:jc w:val="center"/>
              <w:rPr>
                <w:rFonts w:hint="eastAsia" w:ascii="宋体" w:hAnsi="宋体" w:eastAsia="宋体" w:cs="宋体"/>
                <w:i w:val="0"/>
                <w:iCs w:val="0"/>
                <w:color w:val="auto"/>
                <w:sz w:val="22"/>
                <w:szCs w:val="22"/>
                <w:highlight w:val="none"/>
                <w:u w:val="none"/>
              </w:rPr>
            </w:pPr>
          </w:p>
        </w:tc>
        <w:tc>
          <w:tcPr>
            <w:tcW w:w="1109" w:type="dxa"/>
            <w:shd w:val="clear" w:color="auto" w:fill="auto"/>
            <w:vAlign w:val="center"/>
          </w:tcPr>
          <w:p w14:paraId="3EAAE53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考勤统计</w:t>
            </w:r>
          </w:p>
        </w:tc>
        <w:tc>
          <w:tcPr>
            <w:tcW w:w="4818" w:type="dxa"/>
            <w:shd w:val="clear" w:color="auto" w:fill="auto"/>
            <w:vAlign w:val="center"/>
          </w:tcPr>
          <w:p w14:paraId="0D4D3DE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统计当天的总人数、缺勤人数；当月的考勤趋势；本年度的考勤趋势。</w:t>
            </w:r>
          </w:p>
        </w:tc>
      </w:tr>
      <w:tr w14:paraId="5C66E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8" w:hRule="atLeast"/>
          <w:jc w:val="center"/>
        </w:trPr>
        <w:tc>
          <w:tcPr>
            <w:tcW w:w="844" w:type="dxa"/>
            <w:vMerge w:val="restart"/>
            <w:shd w:val="clear" w:color="auto" w:fill="auto"/>
            <w:vAlign w:val="center"/>
          </w:tcPr>
          <w:p w14:paraId="4F07D37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三、智慧教务管理系统</w:t>
            </w:r>
          </w:p>
        </w:tc>
        <w:tc>
          <w:tcPr>
            <w:tcW w:w="929" w:type="dxa"/>
            <w:vMerge w:val="restart"/>
            <w:shd w:val="clear" w:color="auto" w:fill="auto"/>
            <w:vAlign w:val="center"/>
          </w:tcPr>
          <w:p w14:paraId="6374491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班级管理</w:t>
            </w:r>
          </w:p>
        </w:tc>
        <w:tc>
          <w:tcPr>
            <w:tcW w:w="1418" w:type="dxa"/>
            <w:shd w:val="clear" w:color="auto" w:fill="auto"/>
            <w:vAlign w:val="center"/>
          </w:tcPr>
          <w:p w14:paraId="6C86F6A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年级信息管理</w:t>
            </w:r>
          </w:p>
        </w:tc>
        <w:tc>
          <w:tcPr>
            <w:tcW w:w="1109" w:type="dxa"/>
            <w:shd w:val="clear" w:color="auto" w:fill="auto"/>
            <w:vAlign w:val="center"/>
          </w:tcPr>
          <w:p w14:paraId="5FC2CF5C">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736C900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支持按照学校实际情况，勾选相应年级。</w:t>
            </w:r>
          </w:p>
        </w:tc>
      </w:tr>
      <w:tr w14:paraId="14BB8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44" w:type="dxa"/>
            <w:vMerge w:val="continue"/>
            <w:shd w:val="clear" w:color="auto" w:fill="auto"/>
            <w:vAlign w:val="center"/>
          </w:tcPr>
          <w:p w14:paraId="65EA9547">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335488E9">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7B30BEF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行政班级管理</w:t>
            </w:r>
          </w:p>
        </w:tc>
        <w:tc>
          <w:tcPr>
            <w:tcW w:w="1109" w:type="dxa"/>
            <w:shd w:val="clear" w:color="auto" w:fill="auto"/>
            <w:vAlign w:val="center"/>
          </w:tcPr>
          <w:p w14:paraId="51A1AA81">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530C2BC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支持一次性创建一个年级的所有班级；支持单个班级的创建，如普通班、提高班、创新班。</w:t>
            </w:r>
          </w:p>
        </w:tc>
      </w:tr>
      <w:tr w14:paraId="1A3B2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44" w:type="dxa"/>
            <w:vMerge w:val="continue"/>
            <w:shd w:val="clear" w:color="auto" w:fill="auto"/>
            <w:vAlign w:val="center"/>
          </w:tcPr>
          <w:p w14:paraId="6E071A9C">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3F93F785">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2490B2A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专业班级管理</w:t>
            </w:r>
          </w:p>
        </w:tc>
        <w:tc>
          <w:tcPr>
            <w:tcW w:w="1109" w:type="dxa"/>
            <w:shd w:val="clear" w:color="auto" w:fill="auto"/>
            <w:vAlign w:val="center"/>
          </w:tcPr>
          <w:p w14:paraId="3FE0C6DB">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06AD522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支持一键创建课程；支持自由创建课程排班；针对学科快捷创建对应的教研组。</w:t>
            </w:r>
          </w:p>
        </w:tc>
      </w:tr>
      <w:tr w14:paraId="4E051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99" w:hRule="atLeast"/>
          <w:jc w:val="center"/>
        </w:trPr>
        <w:tc>
          <w:tcPr>
            <w:tcW w:w="844" w:type="dxa"/>
            <w:vMerge w:val="continue"/>
            <w:shd w:val="clear" w:color="auto" w:fill="auto"/>
            <w:vAlign w:val="center"/>
          </w:tcPr>
          <w:p w14:paraId="586566C7">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59884D18">
            <w:pPr>
              <w:jc w:val="center"/>
              <w:rPr>
                <w:rFonts w:hint="eastAsia" w:ascii="宋体" w:hAnsi="宋体" w:eastAsia="宋体" w:cs="宋体"/>
                <w:i w:val="0"/>
                <w:iCs w:val="0"/>
                <w:color w:val="auto"/>
                <w:sz w:val="22"/>
                <w:szCs w:val="22"/>
                <w:highlight w:val="none"/>
                <w:u w:val="none"/>
              </w:rPr>
            </w:pPr>
          </w:p>
        </w:tc>
        <w:tc>
          <w:tcPr>
            <w:tcW w:w="1418" w:type="dxa"/>
            <w:vMerge w:val="restart"/>
            <w:shd w:val="clear" w:color="auto" w:fill="auto"/>
            <w:vAlign w:val="center"/>
          </w:tcPr>
          <w:p w14:paraId="01B613B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智能排班管理</w:t>
            </w:r>
          </w:p>
        </w:tc>
        <w:tc>
          <w:tcPr>
            <w:tcW w:w="1109" w:type="dxa"/>
            <w:shd w:val="clear" w:color="auto" w:fill="auto"/>
            <w:vAlign w:val="center"/>
          </w:tcPr>
          <w:p w14:paraId="3939DE1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自动排班</w:t>
            </w:r>
          </w:p>
        </w:tc>
        <w:tc>
          <w:tcPr>
            <w:tcW w:w="4818" w:type="dxa"/>
            <w:shd w:val="clear" w:color="auto" w:fill="auto"/>
            <w:vAlign w:val="center"/>
          </w:tcPr>
          <w:p w14:paraId="488E012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分班时，系统自动创建数量不等的班级类组织，并自动设置为走班班级。</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自动分班后，通过直观图形分辨班级生源，支持调整学生的班级。</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选科分班完成后，根据学校习惯给各个走班班级重新命名并合理排序。</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1、系统参数设置提供如下功能：当前学年学期最多选读课程数量；周六日否排课；是否设置升旗日；未选科学生是否安排合格考组班；学生在选课有效期间可否更改科目；走班班级默认人数及上下浮动人数；上课时长；下午从第节课开始。</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2、学期课程计划可直接复制，并能修改。</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3、教师课时计划支持按教研组批量复制功能。</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4、学期课表支持一键复制。</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★5、支持老师提前强制选科：</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在学生正式选科开始前，老师可以强制选科，强制某个学生选择某门课程，强制选择的课程学生本人在选科时段内不能退选。</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6、支持学生网上自由选科：</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系统支持3+3，3+1+2等多种可以自定义的选科方案。</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7、具有模拟学生选课和清除所有选课数据功能。</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8、具有选课人数统计图：</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可看到每门等级考科目的选中人数及分成几个走班班级，点进去任一个等级考科目，都能图形化显示至少四个维度的选课及分班信息，包括：</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1）分班列表，能一键选中某班或某人进行调班；</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2）行政班统计生源图；</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3）课程组合人数统计分析图；</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4）选课学生列表。</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9、支持选科结果微调。</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★10、具有提前排专项课功能：</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对体育课、劳技课等非常规课程，在正式智能排课前，支持手动插课的方式提前将这些特殊的课程优先排好。</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11、具有走班课和行政课分别排课的功能。</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12、具有手动安排部分课程的功能。</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13、支持课表进行微调。</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14、支持从四个维度进行课表查询：班级课表、教师课表、学生课表、教室课表。</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15、支持针对每节课进行上课点名，并能输入文字，评论学生本节课课堂表现。</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16、上课请假：</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学生可以针对任意一节课提交请假申请，方便师生协同，系统自动记录所有请假和旷课数据，用于后期的上课出勤分析。</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17、可视化调课：</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 xml:space="preserve">具有可视化拖拽式调课功能,支持临时调课和长期调课，调课成功后，系统能自动发出调课通知给所有相关人员。 </w:t>
            </w:r>
          </w:p>
        </w:tc>
      </w:tr>
      <w:tr w14:paraId="06A8E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844" w:type="dxa"/>
            <w:vMerge w:val="continue"/>
            <w:shd w:val="clear" w:color="auto" w:fill="auto"/>
            <w:vAlign w:val="center"/>
          </w:tcPr>
          <w:p w14:paraId="5CBD3A4C">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5F66E57C">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62F74CA2">
            <w:pPr>
              <w:jc w:val="center"/>
              <w:rPr>
                <w:rFonts w:hint="eastAsia" w:ascii="宋体" w:hAnsi="宋体" w:eastAsia="宋体" w:cs="宋体"/>
                <w:i w:val="0"/>
                <w:iCs w:val="0"/>
                <w:color w:val="auto"/>
                <w:sz w:val="22"/>
                <w:szCs w:val="22"/>
                <w:highlight w:val="none"/>
                <w:u w:val="none"/>
              </w:rPr>
            </w:pPr>
          </w:p>
        </w:tc>
        <w:tc>
          <w:tcPr>
            <w:tcW w:w="1109" w:type="dxa"/>
            <w:shd w:val="clear" w:color="auto" w:fill="auto"/>
            <w:vAlign w:val="center"/>
          </w:tcPr>
          <w:p w14:paraId="787F756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人工排班</w:t>
            </w:r>
          </w:p>
        </w:tc>
        <w:tc>
          <w:tcPr>
            <w:tcW w:w="4818" w:type="dxa"/>
            <w:shd w:val="clear" w:color="auto" w:fill="auto"/>
            <w:vAlign w:val="center"/>
          </w:tcPr>
          <w:p w14:paraId="41CE8A9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选科时间截止，系统提供选科数据图表供教务管理员老师分析，管理员可根据数据以及学校需求调整部分学生的选科排班，例如：将无法组班的极少数科目做出调整、班内极个别的选科组合做出更改等。</w:t>
            </w:r>
          </w:p>
        </w:tc>
      </w:tr>
      <w:tr w14:paraId="10274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78" w:hRule="atLeast"/>
          <w:jc w:val="center"/>
        </w:trPr>
        <w:tc>
          <w:tcPr>
            <w:tcW w:w="844" w:type="dxa"/>
            <w:vMerge w:val="continue"/>
            <w:shd w:val="clear" w:color="auto" w:fill="auto"/>
            <w:vAlign w:val="center"/>
          </w:tcPr>
          <w:p w14:paraId="018DFA61">
            <w:pPr>
              <w:jc w:val="center"/>
              <w:rPr>
                <w:rFonts w:hint="eastAsia" w:ascii="宋体" w:hAnsi="宋体" w:eastAsia="宋体" w:cs="宋体"/>
                <w:i w:val="0"/>
                <w:iCs w:val="0"/>
                <w:color w:val="auto"/>
                <w:sz w:val="22"/>
                <w:szCs w:val="22"/>
                <w:highlight w:val="none"/>
                <w:u w:val="none"/>
              </w:rPr>
            </w:pPr>
          </w:p>
        </w:tc>
        <w:tc>
          <w:tcPr>
            <w:tcW w:w="929" w:type="dxa"/>
            <w:shd w:val="clear" w:color="auto" w:fill="auto"/>
            <w:vAlign w:val="center"/>
          </w:tcPr>
          <w:p w14:paraId="2E0EC9D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学生选科走班</w:t>
            </w:r>
          </w:p>
        </w:tc>
        <w:tc>
          <w:tcPr>
            <w:tcW w:w="1418" w:type="dxa"/>
            <w:shd w:val="clear" w:color="auto" w:fill="auto"/>
            <w:vAlign w:val="center"/>
          </w:tcPr>
          <w:p w14:paraId="644DA5A7">
            <w:pPr>
              <w:jc w:val="center"/>
              <w:rPr>
                <w:rFonts w:hint="eastAsia" w:ascii="宋体" w:hAnsi="宋体" w:eastAsia="宋体" w:cs="宋体"/>
                <w:i w:val="0"/>
                <w:iCs w:val="0"/>
                <w:color w:val="auto"/>
                <w:sz w:val="22"/>
                <w:szCs w:val="22"/>
                <w:highlight w:val="none"/>
                <w:u w:val="none"/>
              </w:rPr>
            </w:pPr>
          </w:p>
        </w:tc>
        <w:tc>
          <w:tcPr>
            <w:tcW w:w="1109" w:type="dxa"/>
            <w:shd w:val="clear" w:color="auto" w:fill="auto"/>
            <w:vAlign w:val="center"/>
          </w:tcPr>
          <w:p w14:paraId="5D8E46F1">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08F51A2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选科活动规定的起止时间段内，学生可以按照本人的意愿自由选择高考课程。</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系统支持3+3，3+1+2等多种选科方案。</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在学生正式选科开始之前，老师可强制选科，强制某个学生选择某门课程，强制选择的课程学生本人在选科时段内不能退选。</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支持查看每门等级考科目的选中人数及班级情况，任一个等级考科目都支持图形化显示至少四个维度的选课及分班信息。</w:t>
            </w:r>
          </w:p>
        </w:tc>
      </w:tr>
      <w:tr w14:paraId="25F57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04" w:hRule="atLeast"/>
          <w:jc w:val="center"/>
        </w:trPr>
        <w:tc>
          <w:tcPr>
            <w:tcW w:w="844" w:type="dxa"/>
            <w:vMerge w:val="continue"/>
            <w:shd w:val="clear" w:color="auto" w:fill="auto"/>
            <w:vAlign w:val="center"/>
          </w:tcPr>
          <w:p w14:paraId="325022D3">
            <w:pPr>
              <w:jc w:val="center"/>
              <w:rPr>
                <w:rFonts w:hint="eastAsia" w:ascii="宋体" w:hAnsi="宋体" w:eastAsia="宋体" w:cs="宋体"/>
                <w:i w:val="0"/>
                <w:iCs w:val="0"/>
                <w:color w:val="auto"/>
                <w:sz w:val="22"/>
                <w:szCs w:val="22"/>
                <w:highlight w:val="none"/>
                <w:u w:val="none"/>
              </w:rPr>
            </w:pPr>
          </w:p>
        </w:tc>
        <w:tc>
          <w:tcPr>
            <w:tcW w:w="929" w:type="dxa"/>
            <w:shd w:val="clear" w:color="auto" w:fill="auto"/>
            <w:vAlign w:val="center"/>
          </w:tcPr>
          <w:p w14:paraId="179D938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校本课程选课</w:t>
            </w:r>
          </w:p>
        </w:tc>
        <w:tc>
          <w:tcPr>
            <w:tcW w:w="1418" w:type="dxa"/>
            <w:shd w:val="clear" w:color="auto" w:fill="auto"/>
            <w:vAlign w:val="center"/>
          </w:tcPr>
          <w:p w14:paraId="666F482E">
            <w:pPr>
              <w:jc w:val="center"/>
              <w:rPr>
                <w:rFonts w:hint="eastAsia" w:ascii="宋体" w:hAnsi="宋体" w:eastAsia="宋体" w:cs="宋体"/>
                <w:i w:val="0"/>
                <w:iCs w:val="0"/>
                <w:color w:val="auto"/>
                <w:sz w:val="22"/>
                <w:szCs w:val="22"/>
                <w:highlight w:val="none"/>
                <w:u w:val="none"/>
              </w:rPr>
            </w:pPr>
          </w:p>
        </w:tc>
        <w:tc>
          <w:tcPr>
            <w:tcW w:w="1109" w:type="dxa"/>
            <w:shd w:val="clear" w:color="auto" w:fill="auto"/>
            <w:noWrap/>
            <w:vAlign w:val="center"/>
          </w:tcPr>
          <w:p w14:paraId="5E319D0A">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3F7E409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支持老师查看学生的校本课程填报情况，包括：班级、学号、姓名、选择的校本课程信息等。</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对校本课选课统计、对校本课选课管理、对校本选选课发布。</w:t>
            </w:r>
          </w:p>
        </w:tc>
      </w:tr>
      <w:tr w14:paraId="0F50B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jc w:val="center"/>
        </w:trPr>
        <w:tc>
          <w:tcPr>
            <w:tcW w:w="844" w:type="dxa"/>
            <w:vMerge w:val="continue"/>
            <w:shd w:val="clear" w:color="auto" w:fill="auto"/>
            <w:vAlign w:val="center"/>
          </w:tcPr>
          <w:p w14:paraId="23A25A33">
            <w:pPr>
              <w:jc w:val="center"/>
              <w:rPr>
                <w:rFonts w:hint="eastAsia" w:ascii="宋体" w:hAnsi="宋体" w:eastAsia="宋体" w:cs="宋体"/>
                <w:i w:val="0"/>
                <w:iCs w:val="0"/>
                <w:color w:val="auto"/>
                <w:sz w:val="22"/>
                <w:szCs w:val="22"/>
                <w:highlight w:val="none"/>
                <w:u w:val="none"/>
              </w:rPr>
            </w:pPr>
          </w:p>
        </w:tc>
        <w:tc>
          <w:tcPr>
            <w:tcW w:w="929" w:type="dxa"/>
            <w:shd w:val="clear" w:color="auto" w:fill="auto"/>
            <w:vAlign w:val="center"/>
          </w:tcPr>
          <w:p w14:paraId="26555A7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学生社团选课</w:t>
            </w:r>
          </w:p>
        </w:tc>
        <w:tc>
          <w:tcPr>
            <w:tcW w:w="1418" w:type="dxa"/>
            <w:shd w:val="clear" w:color="auto" w:fill="auto"/>
            <w:vAlign w:val="center"/>
          </w:tcPr>
          <w:p w14:paraId="33DF629C">
            <w:pPr>
              <w:jc w:val="center"/>
              <w:rPr>
                <w:rFonts w:hint="eastAsia" w:ascii="宋体" w:hAnsi="宋体" w:eastAsia="宋体" w:cs="宋体"/>
                <w:i w:val="0"/>
                <w:iCs w:val="0"/>
                <w:color w:val="auto"/>
                <w:sz w:val="22"/>
                <w:szCs w:val="22"/>
                <w:highlight w:val="none"/>
                <w:u w:val="none"/>
              </w:rPr>
            </w:pPr>
          </w:p>
        </w:tc>
        <w:tc>
          <w:tcPr>
            <w:tcW w:w="1109" w:type="dxa"/>
            <w:shd w:val="clear" w:color="auto" w:fill="auto"/>
            <w:noWrap/>
            <w:vAlign w:val="center"/>
          </w:tcPr>
          <w:p w14:paraId="54F3726F">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03FD0E0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★支持老师查看学生的学生社团填报情况，包括：班级、学号、姓名、选择的学生社团信息等。</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对社团选课统计、对社团选课班级安排、对社团选课课务安排、对社团选课发布。</w:t>
            </w:r>
          </w:p>
        </w:tc>
      </w:tr>
      <w:tr w14:paraId="13B02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8" w:hRule="atLeast"/>
          <w:jc w:val="center"/>
        </w:trPr>
        <w:tc>
          <w:tcPr>
            <w:tcW w:w="844" w:type="dxa"/>
            <w:vMerge w:val="continue"/>
            <w:shd w:val="clear" w:color="auto" w:fill="auto"/>
            <w:vAlign w:val="center"/>
          </w:tcPr>
          <w:p w14:paraId="2B608537">
            <w:pPr>
              <w:jc w:val="center"/>
              <w:rPr>
                <w:rFonts w:hint="eastAsia" w:ascii="宋体" w:hAnsi="宋体" w:eastAsia="宋体" w:cs="宋体"/>
                <w:i w:val="0"/>
                <w:iCs w:val="0"/>
                <w:color w:val="auto"/>
                <w:sz w:val="22"/>
                <w:szCs w:val="22"/>
                <w:highlight w:val="none"/>
                <w:u w:val="none"/>
              </w:rPr>
            </w:pPr>
          </w:p>
        </w:tc>
        <w:tc>
          <w:tcPr>
            <w:tcW w:w="929" w:type="dxa"/>
            <w:vMerge w:val="restart"/>
            <w:shd w:val="clear" w:color="auto" w:fill="auto"/>
            <w:vAlign w:val="center"/>
          </w:tcPr>
          <w:p w14:paraId="51B40BC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考试(及成绩)管理</w:t>
            </w:r>
          </w:p>
        </w:tc>
        <w:tc>
          <w:tcPr>
            <w:tcW w:w="1418" w:type="dxa"/>
            <w:vMerge w:val="restart"/>
            <w:shd w:val="clear" w:color="auto" w:fill="auto"/>
            <w:vAlign w:val="center"/>
          </w:tcPr>
          <w:p w14:paraId="3CD4565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成绩管理</w:t>
            </w:r>
          </w:p>
        </w:tc>
        <w:tc>
          <w:tcPr>
            <w:tcW w:w="1109" w:type="dxa"/>
            <w:shd w:val="clear" w:color="auto" w:fill="auto"/>
            <w:noWrap/>
            <w:vAlign w:val="center"/>
          </w:tcPr>
          <w:p w14:paraId="065CCB2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成绩录入 </w:t>
            </w:r>
          </w:p>
        </w:tc>
        <w:tc>
          <w:tcPr>
            <w:tcW w:w="4818" w:type="dxa"/>
            <w:shd w:val="clear" w:color="auto" w:fill="auto"/>
            <w:vAlign w:val="center"/>
          </w:tcPr>
          <w:p w14:paraId="3C59D0E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★支持多种考分录入方式：按考场录分、按班级录分。</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支持在线录入和批量用模板导入。</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支持技术接口开发服务跟第三方阅卷系统对接，实现自动化录分。</w:t>
            </w:r>
          </w:p>
        </w:tc>
      </w:tr>
      <w:tr w14:paraId="70F70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7" w:hRule="atLeast"/>
          <w:jc w:val="center"/>
        </w:trPr>
        <w:tc>
          <w:tcPr>
            <w:tcW w:w="844" w:type="dxa"/>
            <w:vMerge w:val="continue"/>
            <w:shd w:val="clear" w:color="auto" w:fill="auto"/>
            <w:vAlign w:val="center"/>
          </w:tcPr>
          <w:p w14:paraId="7A4E0B63">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4F69574B">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782C1083">
            <w:pPr>
              <w:jc w:val="center"/>
              <w:rPr>
                <w:rFonts w:hint="eastAsia" w:ascii="宋体" w:hAnsi="宋体" w:eastAsia="宋体" w:cs="宋体"/>
                <w:i w:val="0"/>
                <w:iCs w:val="0"/>
                <w:color w:val="auto"/>
                <w:sz w:val="22"/>
                <w:szCs w:val="22"/>
                <w:highlight w:val="none"/>
                <w:u w:val="none"/>
              </w:rPr>
            </w:pPr>
          </w:p>
        </w:tc>
        <w:tc>
          <w:tcPr>
            <w:tcW w:w="1109" w:type="dxa"/>
            <w:shd w:val="clear" w:color="auto" w:fill="auto"/>
            <w:noWrap/>
            <w:vAlign w:val="center"/>
          </w:tcPr>
          <w:p w14:paraId="4E7AF07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成绩查询</w:t>
            </w:r>
          </w:p>
        </w:tc>
        <w:tc>
          <w:tcPr>
            <w:tcW w:w="4818" w:type="dxa"/>
            <w:shd w:val="clear" w:color="auto" w:fill="auto"/>
            <w:vAlign w:val="center"/>
          </w:tcPr>
          <w:p w14:paraId="71675CC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支持按考试科目、班级、学生等维度查询成绩，支持数据保密，可设置成绩查询的权限。</w:t>
            </w:r>
          </w:p>
        </w:tc>
      </w:tr>
      <w:tr w14:paraId="4DAA8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48" w:hRule="atLeast"/>
          <w:jc w:val="center"/>
        </w:trPr>
        <w:tc>
          <w:tcPr>
            <w:tcW w:w="844" w:type="dxa"/>
            <w:vMerge w:val="continue"/>
            <w:shd w:val="clear" w:color="auto" w:fill="auto"/>
            <w:vAlign w:val="center"/>
          </w:tcPr>
          <w:p w14:paraId="74F464DC">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5CDE6467">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20832874">
            <w:pPr>
              <w:jc w:val="center"/>
              <w:rPr>
                <w:rFonts w:hint="eastAsia" w:ascii="宋体" w:hAnsi="宋体" w:eastAsia="宋体" w:cs="宋体"/>
                <w:i w:val="0"/>
                <w:iCs w:val="0"/>
                <w:color w:val="auto"/>
                <w:sz w:val="22"/>
                <w:szCs w:val="22"/>
                <w:highlight w:val="none"/>
                <w:u w:val="none"/>
              </w:rPr>
            </w:pPr>
          </w:p>
        </w:tc>
        <w:tc>
          <w:tcPr>
            <w:tcW w:w="1109" w:type="dxa"/>
            <w:shd w:val="clear" w:color="auto" w:fill="auto"/>
            <w:noWrap/>
            <w:vAlign w:val="center"/>
          </w:tcPr>
          <w:p w14:paraId="222442D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成绩统计</w:t>
            </w:r>
          </w:p>
        </w:tc>
        <w:tc>
          <w:tcPr>
            <w:tcW w:w="4818" w:type="dxa"/>
            <w:shd w:val="clear" w:color="auto" w:fill="auto"/>
            <w:vAlign w:val="center"/>
          </w:tcPr>
          <w:p w14:paraId="75E5E7F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1、学年成绩：</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支持查询学生的学年总成绩，包括：学科总成绩分值、等第、全校位次等。</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2、学期成绩：</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支持查询学生的学期总成绩，包括：学科总成绩分值、等第、全校位次等。</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3、一次考试成绩，学生标准成绩：</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支持学生本次考试的标准成绩单，包括：成绩分值、等第、班级位次、全校位次等。</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★4、一次考试成绩，学生全科成绩单：</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支持学生本次考试的全科成绩单，在标准成绩单的基础上，支持查看“班级最低分，班级最高分，班级平均分，班级标准差，各科总分”5项。</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5、学生各科目的成绩趋势图：</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支持学生成绩趋势图集，每张图展现考生一门考试科目的成绩趋势图，每张趋势图都包含这个学生的“考试成绩，标准分，班内名次，校内名次，校内区段”5种折线图，能从这5种折线图种任选一种或者多种指标单独分析。</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6、一次考试成绩，班级之间的基础指标对比：</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具有各个班级“应考，实考，最低分，最高分，平均分，标准差”基础性指标对比分析。</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7、一次考试成绩，班级之间的等第人数对比：</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支持对各个班级“A+,A,B+,B,B-,C+,C,C-,D+,D,E”等第人数进行对比分析。</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8、一次考试成绩，班级之间的区间人数对比：</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支持对各个班级“前5%,前15%,前25%,前35%,前50%,后5%,后15%,后25%,后35%,后50%”区间人数进行对比分析。</w:t>
            </w:r>
          </w:p>
        </w:tc>
      </w:tr>
      <w:tr w14:paraId="378CC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844" w:type="dxa"/>
            <w:vMerge w:val="continue"/>
            <w:shd w:val="clear" w:color="auto" w:fill="auto"/>
            <w:vAlign w:val="center"/>
          </w:tcPr>
          <w:p w14:paraId="137C02DD">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56D26CCE">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31252922">
            <w:pPr>
              <w:jc w:val="center"/>
              <w:rPr>
                <w:rFonts w:hint="eastAsia" w:ascii="宋体" w:hAnsi="宋体" w:eastAsia="宋体" w:cs="宋体"/>
                <w:i w:val="0"/>
                <w:iCs w:val="0"/>
                <w:color w:val="auto"/>
                <w:sz w:val="22"/>
                <w:szCs w:val="22"/>
                <w:highlight w:val="none"/>
                <w:u w:val="none"/>
              </w:rPr>
            </w:pPr>
          </w:p>
        </w:tc>
        <w:tc>
          <w:tcPr>
            <w:tcW w:w="1109" w:type="dxa"/>
            <w:shd w:val="clear" w:color="auto" w:fill="auto"/>
            <w:noWrap/>
            <w:vAlign w:val="center"/>
          </w:tcPr>
          <w:p w14:paraId="2BFAAC9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成绩汇总</w:t>
            </w:r>
          </w:p>
        </w:tc>
        <w:tc>
          <w:tcPr>
            <w:tcW w:w="4818" w:type="dxa"/>
            <w:shd w:val="clear" w:color="auto" w:fill="auto"/>
            <w:vAlign w:val="center"/>
          </w:tcPr>
          <w:p w14:paraId="753A58D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能按照“学期汇总成绩=期中考试成绩*占比%+期末考试成绩*占比%+平时考试平均成绩*占比%”公式计算每一位学生的各门考试科目的学期汇总成绩，期中，平时成绩是多次平时考试成绩的平均值。</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1）学期成绩查询：</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支持选择任何学年和任何学期，查询考生各门考试科目的学期成绩，学期成绩项有“学期成绩/等第，成绩位次，成绩所处区段”。</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2）学年成绩计算：</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能按照“学年汇总成绩=第一学期汇总成绩*占比%+第二学期汇总成绩*占比%”公式计算每一位学生的各门考试科目的学年汇总成绩。</w:t>
            </w:r>
          </w:p>
        </w:tc>
      </w:tr>
      <w:tr w14:paraId="1891F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3854E9F0">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18E19045">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254E16A6">
            <w:pPr>
              <w:jc w:val="center"/>
              <w:rPr>
                <w:rFonts w:hint="eastAsia" w:ascii="宋体" w:hAnsi="宋体" w:eastAsia="宋体" w:cs="宋体"/>
                <w:i w:val="0"/>
                <w:iCs w:val="0"/>
                <w:color w:val="auto"/>
                <w:sz w:val="22"/>
                <w:szCs w:val="22"/>
                <w:highlight w:val="none"/>
                <w:u w:val="none"/>
              </w:rPr>
            </w:pPr>
          </w:p>
        </w:tc>
        <w:tc>
          <w:tcPr>
            <w:tcW w:w="1109" w:type="dxa"/>
            <w:shd w:val="clear" w:color="auto" w:fill="auto"/>
            <w:noWrap/>
            <w:vAlign w:val="center"/>
          </w:tcPr>
          <w:p w14:paraId="3F960B6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成绩导出</w:t>
            </w:r>
          </w:p>
        </w:tc>
        <w:tc>
          <w:tcPr>
            <w:tcW w:w="4818" w:type="dxa"/>
            <w:shd w:val="clear" w:color="auto" w:fill="auto"/>
            <w:vAlign w:val="center"/>
          </w:tcPr>
          <w:p w14:paraId="2CCD8EA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支持成绩查询和汇总的报表导出。</w:t>
            </w:r>
          </w:p>
        </w:tc>
      </w:tr>
      <w:tr w14:paraId="70245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7" w:hRule="atLeast"/>
          <w:jc w:val="center"/>
        </w:trPr>
        <w:tc>
          <w:tcPr>
            <w:tcW w:w="844" w:type="dxa"/>
            <w:vMerge w:val="continue"/>
            <w:shd w:val="clear" w:color="auto" w:fill="auto"/>
            <w:vAlign w:val="center"/>
          </w:tcPr>
          <w:p w14:paraId="3302F777">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2139FFC5">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40FAB03B">
            <w:pPr>
              <w:jc w:val="center"/>
              <w:rPr>
                <w:rFonts w:hint="eastAsia" w:ascii="宋体" w:hAnsi="宋体" w:eastAsia="宋体" w:cs="宋体"/>
                <w:i w:val="0"/>
                <w:iCs w:val="0"/>
                <w:color w:val="auto"/>
                <w:sz w:val="22"/>
                <w:szCs w:val="22"/>
                <w:highlight w:val="none"/>
                <w:u w:val="none"/>
              </w:rPr>
            </w:pPr>
          </w:p>
        </w:tc>
        <w:tc>
          <w:tcPr>
            <w:tcW w:w="1109" w:type="dxa"/>
            <w:shd w:val="clear" w:color="auto" w:fill="auto"/>
            <w:noWrap/>
            <w:vAlign w:val="center"/>
          </w:tcPr>
          <w:p w14:paraId="4DDD15A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成绩管理权限控制</w:t>
            </w:r>
          </w:p>
        </w:tc>
        <w:tc>
          <w:tcPr>
            <w:tcW w:w="4818" w:type="dxa"/>
            <w:shd w:val="clear" w:color="auto" w:fill="auto"/>
            <w:vAlign w:val="center"/>
          </w:tcPr>
          <w:p w14:paraId="09AF20A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可根据用户角色设置不同的权限，例如老师可查看本班级的成绩，管理员可查看所有班级成绩。</w:t>
            </w:r>
          </w:p>
        </w:tc>
      </w:tr>
      <w:tr w14:paraId="0EECF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7" w:hRule="atLeast"/>
          <w:jc w:val="center"/>
        </w:trPr>
        <w:tc>
          <w:tcPr>
            <w:tcW w:w="844" w:type="dxa"/>
            <w:vMerge w:val="continue"/>
            <w:shd w:val="clear" w:color="auto" w:fill="auto"/>
            <w:vAlign w:val="center"/>
          </w:tcPr>
          <w:p w14:paraId="7C70BA4C">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1F0FFA2E">
            <w:pPr>
              <w:jc w:val="center"/>
              <w:rPr>
                <w:rFonts w:hint="eastAsia" w:ascii="宋体" w:hAnsi="宋体" w:eastAsia="宋体" w:cs="宋体"/>
                <w:i w:val="0"/>
                <w:iCs w:val="0"/>
                <w:color w:val="auto"/>
                <w:sz w:val="22"/>
                <w:szCs w:val="22"/>
                <w:highlight w:val="none"/>
                <w:u w:val="none"/>
              </w:rPr>
            </w:pPr>
          </w:p>
        </w:tc>
        <w:tc>
          <w:tcPr>
            <w:tcW w:w="1418" w:type="dxa"/>
            <w:vMerge w:val="restart"/>
            <w:shd w:val="clear" w:color="auto" w:fill="auto"/>
            <w:vAlign w:val="center"/>
          </w:tcPr>
          <w:p w14:paraId="4560ABB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成绩智能分析</w:t>
            </w:r>
          </w:p>
        </w:tc>
        <w:tc>
          <w:tcPr>
            <w:tcW w:w="1109" w:type="dxa"/>
            <w:shd w:val="clear" w:color="auto" w:fill="auto"/>
            <w:noWrap/>
            <w:vAlign w:val="center"/>
          </w:tcPr>
          <w:p w14:paraId="7B9E3EB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班级分析</w:t>
            </w:r>
          </w:p>
        </w:tc>
        <w:tc>
          <w:tcPr>
            <w:tcW w:w="4818" w:type="dxa"/>
            <w:shd w:val="clear" w:color="auto" w:fill="auto"/>
            <w:vAlign w:val="center"/>
          </w:tcPr>
          <w:p w14:paraId="75568DB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对班级整体成绩进行分析，生成班级成绩排名、学生成绩分布、薄弱环节分析等报告。</w:t>
            </w:r>
          </w:p>
        </w:tc>
      </w:tr>
      <w:tr w14:paraId="3B029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52" w:hRule="atLeast"/>
          <w:jc w:val="center"/>
        </w:trPr>
        <w:tc>
          <w:tcPr>
            <w:tcW w:w="844" w:type="dxa"/>
            <w:vMerge w:val="continue"/>
            <w:shd w:val="clear" w:color="auto" w:fill="auto"/>
            <w:vAlign w:val="center"/>
          </w:tcPr>
          <w:p w14:paraId="398284C0">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06CDDB2E">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48F5F781">
            <w:pPr>
              <w:jc w:val="center"/>
              <w:rPr>
                <w:rFonts w:hint="eastAsia" w:ascii="宋体" w:hAnsi="宋体" w:eastAsia="宋体" w:cs="宋体"/>
                <w:i w:val="0"/>
                <w:iCs w:val="0"/>
                <w:color w:val="auto"/>
                <w:sz w:val="22"/>
                <w:szCs w:val="22"/>
                <w:highlight w:val="none"/>
                <w:u w:val="none"/>
              </w:rPr>
            </w:pPr>
          </w:p>
        </w:tc>
        <w:tc>
          <w:tcPr>
            <w:tcW w:w="1109" w:type="dxa"/>
            <w:shd w:val="clear" w:color="auto" w:fill="auto"/>
            <w:noWrap/>
            <w:vAlign w:val="center"/>
          </w:tcPr>
          <w:p w14:paraId="00040EC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学生分析</w:t>
            </w:r>
          </w:p>
        </w:tc>
        <w:tc>
          <w:tcPr>
            <w:tcW w:w="4818" w:type="dxa"/>
            <w:shd w:val="clear" w:color="auto" w:fill="auto"/>
            <w:vAlign w:val="center"/>
          </w:tcPr>
          <w:p w14:paraId="657E74D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具有学生成绩趋势图集，每张图展现考生一门考试科目的成绩趋势图，每张趋势图都应包含这个学生的“考试成绩，标准分，班内名次，校内名次，校内区段”5种折线图，能从这5种折线图种任选一种或者多种指标单独分析。支持查询一次考试成绩；支持班级之间的基础指标对比。</w:t>
            </w:r>
          </w:p>
        </w:tc>
      </w:tr>
      <w:tr w14:paraId="34929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7" w:hRule="atLeast"/>
          <w:jc w:val="center"/>
        </w:trPr>
        <w:tc>
          <w:tcPr>
            <w:tcW w:w="844" w:type="dxa"/>
            <w:vMerge w:val="continue"/>
            <w:shd w:val="clear" w:color="auto" w:fill="auto"/>
            <w:vAlign w:val="center"/>
          </w:tcPr>
          <w:p w14:paraId="0A43F017">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41BF3B11">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1D9C88F7">
            <w:pPr>
              <w:jc w:val="center"/>
              <w:rPr>
                <w:rFonts w:hint="eastAsia" w:ascii="宋体" w:hAnsi="宋体" w:eastAsia="宋体" w:cs="宋体"/>
                <w:i w:val="0"/>
                <w:iCs w:val="0"/>
                <w:color w:val="auto"/>
                <w:sz w:val="22"/>
                <w:szCs w:val="22"/>
                <w:highlight w:val="none"/>
                <w:u w:val="none"/>
              </w:rPr>
            </w:pPr>
          </w:p>
        </w:tc>
        <w:tc>
          <w:tcPr>
            <w:tcW w:w="1109" w:type="dxa"/>
            <w:shd w:val="clear" w:color="auto" w:fill="auto"/>
            <w:noWrap/>
            <w:vAlign w:val="center"/>
          </w:tcPr>
          <w:p w14:paraId="340BEB9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成绩预警</w:t>
            </w:r>
          </w:p>
        </w:tc>
        <w:tc>
          <w:tcPr>
            <w:tcW w:w="4818" w:type="dxa"/>
            <w:shd w:val="clear" w:color="auto" w:fill="auto"/>
            <w:vAlign w:val="center"/>
          </w:tcPr>
          <w:p w14:paraId="121096F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根据分析结果，对成绩偏低的学生或班级进行预警，并提供相应的学习建议。</w:t>
            </w:r>
          </w:p>
        </w:tc>
      </w:tr>
      <w:tr w14:paraId="23B46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31" w:hRule="atLeast"/>
          <w:jc w:val="center"/>
        </w:trPr>
        <w:tc>
          <w:tcPr>
            <w:tcW w:w="844" w:type="dxa"/>
            <w:vMerge w:val="restart"/>
            <w:shd w:val="clear" w:color="auto" w:fill="auto"/>
            <w:vAlign w:val="center"/>
          </w:tcPr>
          <w:p w14:paraId="1EE78CB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四、智慧教学系统</w:t>
            </w:r>
          </w:p>
        </w:tc>
        <w:tc>
          <w:tcPr>
            <w:tcW w:w="929" w:type="dxa"/>
            <w:vMerge w:val="restart"/>
            <w:shd w:val="clear" w:color="auto" w:fill="auto"/>
            <w:vAlign w:val="center"/>
          </w:tcPr>
          <w:p w14:paraId="45F52BC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教学资源库</w:t>
            </w:r>
          </w:p>
        </w:tc>
        <w:tc>
          <w:tcPr>
            <w:tcW w:w="1418" w:type="dxa"/>
            <w:shd w:val="clear" w:color="auto" w:fill="auto"/>
            <w:vAlign w:val="center"/>
          </w:tcPr>
          <w:p w14:paraId="576D7A5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外部资源管理</w:t>
            </w:r>
          </w:p>
        </w:tc>
        <w:tc>
          <w:tcPr>
            <w:tcW w:w="1109" w:type="dxa"/>
            <w:shd w:val="clear" w:color="auto" w:fill="auto"/>
            <w:vAlign w:val="center"/>
          </w:tcPr>
          <w:p w14:paraId="562E51B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网络教学资源</w:t>
            </w:r>
          </w:p>
        </w:tc>
        <w:tc>
          <w:tcPr>
            <w:tcW w:w="4818" w:type="dxa"/>
            <w:shd w:val="clear" w:color="auto" w:fill="auto"/>
            <w:vAlign w:val="center"/>
          </w:tcPr>
          <w:p w14:paraId="1956BF3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针对各类学习内容提供链接地址和点击量统计，包括：射阳智慧教育云平台、盐城市智慧教育云平台、江苏智慧教育平台、国家中小学智慧教育平台等。</w:t>
            </w:r>
          </w:p>
        </w:tc>
      </w:tr>
      <w:tr w14:paraId="64956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8" w:hRule="atLeast"/>
          <w:jc w:val="center"/>
        </w:trPr>
        <w:tc>
          <w:tcPr>
            <w:tcW w:w="844" w:type="dxa"/>
            <w:vMerge w:val="continue"/>
            <w:shd w:val="clear" w:color="auto" w:fill="auto"/>
            <w:vAlign w:val="center"/>
          </w:tcPr>
          <w:p w14:paraId="061EA2C5">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7361769B">
            <w:pPr>
              <w:jc w:val="center"/>
              <w:rPr>
                <w:rFonts w:hint="eastAsia" w:ascii="宋体" w:hAnsi="宋体" w:eastAsia="宋体" w:cs="宋体"/>
                <w:i w:val="0"/>
                <w:iCs w:val="0"/>
                <w:color w:val="auto"/>
                <w:sz w:val="22"/>
                <w:szCs w:val="22"/>
                <w:highlight w:val="none"/>
                <w:u w:val="none"/>
              </w:rPr>
            </w:pPr>
          </w:p>
        </w:tc>
        <w:tc>
          <w:tcPr>
            <w:tcW w:w="1418" w:type="dxa"/>
            <w:vMerge w:val="restart"/>
            <w:shd w:val="clear" w:color="auto" w:fill="auto"/>
            <w:vAlign w:val="center"/>
          </w:tcPr>
          <w:p w14:paraId="4CB2F2A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内部资源管理</w:t>
            </w:r>
          </w:p>
        </w:tc>
        <w:tc>
          <w:tcPr>
            <w:tcW w:w="1109" w:type="dxa"/>
            <w:shd w:val="clear" w:color="auto" w:fill="auto"/>
            <w:vAlign w:val="center"/>
          </w:tcPr>
          <w:p w14:paraId="1123CF3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资源处理与上传模块</w:t>
            </w:r>
          </w:p>
        </w:tc>
        <w:tc>
          <w:tcPr>
            <w:tcW w:w="4818" w:type="dxa"/>
            <w:shd w:val="clear" w:color="auto" w:fill="auto"/>
            <w:vAlign w:val="center"/>
          </w:tcPr>
          <w:p w14:paraId="0B7FCBD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资源库管理员针对已经在资源库服务器上的现有资源进行批量入库，就是将资源的检索信息批量地加入到数据库资源中心。资源上传过程还通过智能化操作，自动生成缩略图、动画截图、视频关键帧，以及自动分类。</w:t>
            </w:r>
          </w:p>
        </w:tc>
      </w:tr>
      <w:tr w14:paraId="6F1A1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844" w:type="dxa"/>
            <w:vMerge w:val="continue"/>
            <w:shd w:val="clear" w:color="auto" w:fill="auto"/>
            <w:vAlign w:val="center"/>
          </w:tcPr>
          <w:p w14:paraId="32BBDFDC">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4F7C5BEE">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761E750D">
            <w:pPr>
              <w:jc w:val="center"/>
              <w:rPr>
                <w:rFonts w:hint="eastAsia" w:ascii="宋体" w:hAnsi="宋体" w:eastAsia="宋体" w:cs="宋体"/>
                <w:i w:val="0"/>
                <w:iCs w:val="0"/>
                <w:color w:val="auto"/>
                <w:sz w:val="22"/>
                <w:szCs w:val="22"/>
                <w:highlight w:val="none"/>
                <w:u w:val="none"/>
              </w:rPr>
            </w:pPr>
          </w:p>
        </w:tc>
        <w:tc>
          <w:tcPr>
            <w:tcW w:w="1109" w:type="dxa"/>
            <w:shd w:val="clear" w:color="auto" w:fill="auto"/>
            <w:vAlign w:val="center"/>
          </w:tcPr>
          <w:p w14:paraId="6BC90EA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资源管理模块</w:t>
            </w:r>
          </w:p>
        </w:tc>
        <w:tc>
          <w:tcPr>
            <w:tcW w:w="4818" w:type="dxa"/>
            <w:shd w:val="clear" w:color="auto" w:fill="auto"/>
            <w:vAlign w:val="center"/>
          </w:tcPr>
          <w:p w14:paraId="5547DA4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对教学资源进行资源管理，比如设置资源星级、适用范围、下载点数、资源发布、评价管理、日志管理等，资源编目的导入/导出，以及资源的清理、删除等。</w:t>
            </w:r>
          </w:p>
        </w:tc>
      </w:tr>
      <w:tr w14:paraId="1B5DB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17358C87">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65ECBD32">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311C0A87">
            <w:pPr>
              <w:jc w:val="center"/>
              <w:rPr>
                <w:rFonts w:hint="eastAsia" w:ascii="宋体" w:hAnsi="宋体" w:eastAsia="宋体" w:cs="宋体"/>
                <w:i w:val="0"/>
                <w:iCs w:val="0"/>
                <w:color w:val="auto"/>
                <w:sz w:val="22"/>
                <w:szCs w:val="22"/>
                <w:highlight w:val="none"/>
                <w:u w:val="none"/>
              </w:rPr>
            </w:pPr>
          </w:p>
        </w:tc>
        <w:tc>
          <w:tcPr>
            <w:tcW w:w="1109" w:type="dxa"/>
            <w:shd w:val="clear" w:color="auto" w:fill="auto"/>
            <w:vAlign w:val="center"/>
          </w:tcPr>
          <w:p w14:paraId="3741000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资源共享模块</w:t>
            </w:r>
          </w:p>
        </w:tc>
        <w:tc>
          <w:tcPr>
            <w:tcW w:w="4818" w:type="dxa"/>
            <w:shd w:val="clear" w:color="auto" w:fill="auto"/>
            <w:vAlign w:val="center"/>
          </w:tcPr>
          <w:p w14:paraId="04D1F90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对学生或老师提供资源共享。</w:t>
            </w:r>
          </w:p>
        </w:tc>
      </w:tr>
      <w:tr w14:paraId="18FF1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44" w:type="dxa"/>
            <w:vMerge w:val="continue"/>
            <w:shd w:val="clear" w:color="auto" w:fill="auto"/>
            <w:vAlign w:val="center"/>
          </w:tcPr>
          <w:p w14:paraId="1706A441">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630654C0">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57A72881">
            <w:pPr>
              <w:jc w:val="center"/>
              <w:rPr>
                <w:rFonts w:hint="eastAsia" w:ascii="宋体" w:hAnsi="宋体" w:eastAsia="宋体" w:cs="宋体"/>
                <w:i w:val="0"/>
                <w:iCs w:val="0"/>
                <w:color w:val="auto"/>
                <w:sz w:val="22"/>
                <w:szCs w:val="22"/>
                <w:highlight w:val="none"/>
                <w:u w:val="none"/>
              </w:rPr>
            </w:pPr>
          </w:p>
        </w:tc>
        <w:tc>
          <w:tcPr>
            <w:tcW w:w="1109" w:type="dxa"/>
            <w:shd w:val="clear" w:color="auto" w:fill="auto"/>
            <w:vAlign w:val="center"/>
          </w:tcPr>
          <w:p w14:paraId="55861F6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资源浏览及内容检索模块</w:t>
            </w:r>
          </w:p>
        </w:tc>
        <w:tc>
          <w:tcPr>
            <w:tcW w:w="4818" w:type="dxa"/>
            <w:shd w:val="clear" w:color="auto" w:fill="auto"/>
            <w:vAlign w:val="center"/>
          </w:tcPr>
          <w:p w14:paraId="415FA38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通过资源检索（关键字搜索、全文检索、高级搜索、关联搜索）发现自己需要的资源，进行在线预览，在线点播、资源下载，并可以资源评价。</w:t>
            </w:r>
          </w:p>
        </w:tc>
      </w:tr>
      <w:tr w14:paraId="2B651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844" w:type="dxa"/>
            <w:vMerge w:val="restart"/>
            <w:shd w:val="clear" w:color="auto" w:fill="auto"/>
            <w:vAlign w:val="center"/>
          </w:tcPr>
          <w:p w14:paraId="3B614F6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五、智慧学生管理系统</w:t>
            </w:r>
          </w:p>
        </w:tc>
        <w:tc>
          <w:tcPr>
            <w:tcW w:w="929" w:type="dxa"/>
            <w:shd w:val="clear" w:color="auto" w:fill="auto"/>
            <w:vAlign w:val="center"/>
          </w:tcPr>
          <w:p w14:paraId="1ED5F99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基于学籍档案的信息管理</w:t>
            </w:r>
          </w:p>
        </w:tc>
        <w:tc>
          <w:tcPr>
            <w:tcW w:w="1418" w:type="dxa"/>
            <w:shd w:val="clear" w:color="auto" w:fill="auto"/>
            <w:vAlign w:val="center"/>
          </w:tcPr>
          <w:p w14:paraId="6370126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学生基本信息管理</w:t>
            </w:r>
          </w:p>
        </w:tc>
        <w:tc>
          <w:tcPr>
            <w:tcW w:w="1109" w:type="dxa"/>
            <w:shd w:val="clear" w:color="auto" w:fill="auto"/>
            <w:noWrap/>
            <w:vAlign w:val="center"/>
          </w:tcPr>
          <w:p w14:paraId="115DFBD0">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69C3B34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包括学生个人信息、入学考试登记、学籍注册、学籍移动、奖励、处分、学生在校考试成绩、毕业和结业管理。</w:t>
            </w:r>
          </w:p>
        </w:tc>
      </w:tr>
      <w:tr w14:paraId="6D10D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78" w:hRule="atLeast"/>
          <w:jc w:val="center"/>
        </w:trPr>
        <w:tc>
          <w:tcPr>
            <w:tcW w:w="844" w:type="dxa"/>
            <w:vMerge w:val="continue"/>
            <w:shd w:val="clear" w:color="auto" w:fill="auto"/>
            <w:vAlign w:val="center"/>
          </w:tcPr>
          <w:p w14:paraId="688724E4">
            <w:pPr>
              <w:jc w:val="center"/>
              <w:rPr>
                <w:rFonts w:hint="eastAsia" w:ascii="宋体" w:hAnsi="宋体" w:eastAsia="宋体" w:cs="宋体"/>
                <w:i w:val="0"/>
                <w:iCs w:val="0"/>
                <w:color w:val="auto"/>
                <w:sz w:val="22"/>
                <w:szCs w:val="22"/>
                <w:highlight w:val="none"/>
                <w:u w:val="none"/>
              </w:rPr>
            </w:pPr>
          </w:p>
        </w:tc>
        <w:tc>
          <w:tcPr>
            <w:tcW w:w="929" w:type="dxa"/>
            <w:vMerge w:val="restart"/>
            <w:shd w:val="clear" w:color="auto" w:fill="auto"/>
            <w:vAlign w:val="center"/>
          </w:tcPr>
          <w:p w14:paraId="5C8ED10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学生综合素质评价应用</w:t>
            </w:r>
          </w:p>
        </w:tc>
        <w:tc>
          <w:tcPr>
            <w:tcW w:w="1418" w:type="dxa"/>
            <w:vMerge w:val="restart"/>
            <w:shd w:val="clear" w:color="auto" w:fill="auto"/>
            <w:vAlign w:val="center"/>
          </w:tcPr>
          <w:p w14:paraId="74D746E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日常老师评价</w:t>
            </w:r>
          </w:p>
        </w:tc>
        <w:tc>
          <w:tcPr>
            <w:tcW w:w="1109" w:type="dxa"/>
            <w:shd w:val="clear" w:color="auto" w:fill="auto"/>
            <w:noWrap/>
            <w:vAlign w:val="center"/>
          </w:tcPr>
          <w:p w14:paraId="72DF6A2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线上评价</w:t>
            </w:r>
          </w:p>
        </w:tc>
        <w:tc>
          <w:tcPr>
            <w:tcW w:w="4818" w:type="dxa"/>
            <w:shd w:val="clear" w:color="auto" w:fill="auto"/>
            <w:vAlign w:val="center"/>
          </w:tcPr>
          <w:p w14:paraId="7E7DDB7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评价人在有效的评价时间段内给被评对象按照量表要求逐条给出评价选项和评价文字。</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评价期间，系统管理员可以监控评价进度，给评价人发出催促评价的通知，需要评价人积极配合按时完成投票评价工作。</w:t>
            </w:r>
          </w:p>
        </w:tc>
      </w:tr>
      <w:tr w14:paraId="715EB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47" w:hRule="atLeast"/>
          <w:jc w:val="center"/>
        </w:trPr>
        <w:tc>
          <w:tcPr>
            <w:tcW w:w="844" w:type="dxa"/>
            <w:vMerge w:val="continue"/>
            <w:shd w:val="clear" w:color="auto" w:fill="auto"/>
            <w:vAlign w:val="center"/>
          </w:tcPr>
          <w:p w14:paraId="22A7C49D">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2B868748">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523C941C">
            <w:pPr>
              <w:jc w:val="center"/>
              <w:rPr>
                <w:rFonts w:hint="eastAsia" w:ascii="宋体" w:hAnsi="宋体" w:eastAsia="宋体" w:cs="宋体"/>
                <w:i w:val="0"/>
                <w:iCs w:val="0"/>
                <w:color w:val="auto"/>
                <w:sz w:val="22"/>
                <w:szCs w:val="22"/>
                <w:highlight w:val="none"/>
                <w:u w:val="none"/>
              </w:rPr>
            </w:pPr>
          </w:p>
        </w:tc>
        <w:tc>
          <w:tcPr>
            <w:tcW w:w="1109" w:type="dxa"/>
            <w:shd w:val="clear" w:color="auto" w:fill="auto"/>
            <w:noWrap/>
            <w:vAlign w:val="center"/>
          </w:tcPr>
          <w:p w14:paraId="0A153FC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上传书面评价</w:t>
            </w:r>
          </w:p>
        </w:tc>
        <w:tc>
          <w:tcPr>
            <w:tcW w:w="4818" w:type="dxa"/>
            <w:shd w:val="clear" w:color="auto" w:fill="auto"/>
            <w:vAlign w:val="center"/>
          </w:tcPr>
          <w:p w14:paraId="1E33BC5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1、系统提供被评价人“过程性佐证材料”功能，评价人在充分考量被评价人相关佐证材料后，才能更客观的给予评价。</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2、评价人在有效的评价时间段内给被评对象按照量表要求逐条给出评价选项和评价文字，且可以设置是否匿名评价，即：是否隐藏评价人的真实名字，保护评价人真实姓名不暴露给被评人。</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3、评价期间，系统管理员可以监控评价进度，给评价人发出催促评价的通知，需要评价人积极配合按时完成投票评价工作。</w:t>
            </w:r>
          </w:p>
        </w:tc>
      </w:tr>
      <w:tr w14:paraId="2E386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31" w:hRule="atLeast"/>
          <w:jc w:val="center"/>
        </w:trPr>
        <w:tc>
          <w:tcPr>
            <w:tcW w:w="844" w:type="dxa"/>
            <w:vMerge w:val="continue"/>
            <w:shd w:val="clear" w:color="auto" w:fill="auto"/>
            <w:vAlign w:val="center"/>
          </w:tcPr>
          <w:p w14:paraId="61CB1E14">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7510F9D7">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4D5372D9">
            <w:pPr>
              <w:jc w:val="center"/>
              <w:rPr>
                <w:rFonts w:hint="eastAsia" w:ascii="宋体" w:hAnsi="宋体" w:eastAsia="宋体" w:cs="宋体"/>
                <w:i w:val="0"/>
                <w:iCs w:val="0"/>
                <w:color w:val="auto"/>
                <w:sz w:val="22"/>
                <w:szCs w:val="22"/>
                <w:highlight w:val="none"/>
                <w:u w:val="none"/>
              </w:rPr>
            </w:pPr>
          </w:p>
        </w:tc>
        <w:tc>
          <w:tcPr>
            <w:tcW w:w="1109" w:type="dxa"/>
            <w:shd w:val="clear" w:color="auto" w:fill="auto"/>
            <w:noWrap/>
            <w:vAlign w:val="center"/>
          </w:tcPr>
          <w:p w14:paraId="7BDC075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评价分数统计</w:t>
            </w:r>
          </w:p>
        </w:tc>
        <w:tc>
          <w:tcPr>
            <w:tcW w:w="4818" w:type="dxa"/>
            <w:shd w:val="clear" w:color="auto" w:fill="auto"/>
            <w:vAlign w:val="center"/>
          </w:tcPr>
          <w:p w14:paraId="302B758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评价截止后，系统管理员可以查看评价详情、评价排名、导出评价报表、分析各题得票率等评价活动的总结性工作。</w:t>
            </w:r>
          </w:p>
        </w:tc>
      </w:tr>
      <w:tr w14:paraId="54EA7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52" w:hRule="atLeast"/>
          <w:jc w:val="center"/>
        </w:trPr>
        <w:tc>
          <w:tcPr>
            <w:tcW w:w="844" w:type="dxa"/>
            <w:vMerge w:val="continue"/>
            <w:shd w:val="clear" w:color="auto" w:fill="auto"/>
            <w:vAlign w:val="center"/>
          </w:tcPr>
          <w:p w14:paraId="6F999BFC">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3C84CBBA">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2549DCF1">
            <w:pPr>
              <w:jc w:val="center"/>
              <w:rPr>
                <w:rFonts w:hint="eastAsia" w:ascii="宋体" w:hAnsi="宋体" w:eastAsia="宋体" w:cs="宋体"/>
                <w:i w:val="0"/>
                <w:iCs w:val="0"/>
                <w:color w:val="auto"/>
                <w:sz w:val="22"/>
                <w:szCs w:val="22"/>
                <w:highlight w:val="none"/>
                <w:u w:val="none"/>
              </w:rPr>
            </w:pPr>
          </w:p>
        </w:tc>
        <w:tc>
          <w:tcPr>
            <w:tcW w:w="1109" w:type="dxa"/>
            <w:shd w:val="clear" w:color="auto" w:fill="auto"/>
            <w:noWrap/>
            <w:vAlign w:val="center"/>
          </w:tcPr>
          <w:p w14:paraId="7338042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评语分类统计</w:t>
            </w:r>
          </w:p>
        </w:tc>
        <w:tc>
          <w:tcPr>
            <w:tcW w:w="4818" w:type="dxa"/>
            <w:shd w:val="clear" w:color="auto" w:fill="auto"/>
            <w:vAlign w:val="center"/>
          </w:tcPr>
          <w:p w14:paraId="164CE57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1、评价活动截止后，系统管理员可查看评价详情、评价排名（需要显示：总分、评价人数、平均分）、导出评价报表、分析各题得票率等评价活动的总结性工作。</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2、能够列出单个评价维度的平均排名图和整体评价维度的分布图。</w:t>
            </w:r>
          </w:p>
        </w:tc>
      </w:tr>
      <w:tr w14:paraId="709CF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09A6675D">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284DFC98">
            <w:pPr>
              <w:jc w:val="center"/>
              <w:rPr>
                <w:rFonts w:hint="eastAsia" w:ascii="宋体" w:hAnsi="宋体" w:eastAsia="宋体" w:cs="宋体"/>
                <w:i w:val="0"/>
                <w:iCs w:val="0"/>
                <w:color w:val="auto"/>
                <w:sz w:val="22"/>
                <w:szCs w:val="22"/>
                <w:highlight w:val="none"/>
                <w:u w:val="none"/>
              </w:rPr>
            </w:pPr>
          </w:p>
        </w:tc>
        <w:tc>
          <w:tcPr>
            <w:tcW w:w="1418" w:type="dxa"/>
            <w:vMerge w:val="restart"/>
            <w:shd w:val="clear" w:color="auto" w:fill="auto"/>
            <w:vAlign w:val="center"/>
          </w:tcPr>
          <w:p w14:paraId="65336CC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智慧评价</w:t>
            </w:r>
          </w:p>
        </w:tc>
        <w:tc>
          <w:tcPr>
            <w:tcW w:w="1109" w:type="dxa"/>
            <w:vMerge w:val="restart"/>
            <w:shd w:val="clear" w:color="auto" w:fill="auto"/>
            <w:noWrap/>
            <w:vAlign w:val="center"/>
          </w:tcPr>
          <w:p w14:paraId="77FA254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学习投入</w:t>
            </w:r>
          </w:p>
        </w:tc>
        <w:tc>
          <w:tcPr>
            <w:tcW w:w="4818" w:type="dxa"/>
            <w:vMerge w:val="restart"/>
            <w:shd w:val="clear" w:color="auto" w:fill="auto"/>
            <w:vAlign w:val="center"/>
          </w:tcPr>
          <w:p w14:paraId="6E31CB0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1、学习网络课程分析，包括：课程总数，推荐课程数，待学课程数，在学课程数，已学课程数，实际学习时长，已学知识点个数，学习笔记个数，参与学习讨论次数。</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2、学习效果分析，包括：应答题总数、实际答题总数、答对总数、答错总数、错题率以及错题集。错题集包括：题目内容、我的答案、正确答案、老师对该题正确答案的解释、在这个题目上跟老师的互动次数。</w:t>
            </w:r>
          </w:p>
        </w:tc>
      </w:tr>
      <w:tr w14:paraId="2C778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5DA7ECEC">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04FCC91E">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42A76C95">
            <w:pPr>
              <w:jc w:val="center"/>
              <w:rPr>
                <w:rFonts w:hint="eastAsia" w:ascii="宋体" w:hAnsi="宋体" w:eastAsia="宋体" w:cs="宋体"/>
                <w:i w:val="0"/>
                <w:iCs w:val="0"/>
                <w:color w:val="auto"/>
                <w:sz w:val="22"/>
                <w:szCs w:val="22"/>
                <w:highlight w:val="none"/>
                <w:u w:val="none"/>
              </w:rPr>
            </w:pPr>
          </w:p>
        </w:tc>
        <w:tc>
          <w:tcPr>
            <w:tcW w:w="1109" w:type="dxa"/>
            <w:vMerge w:val="continue"/>
            <w:shd w:val="clear" w:color="auto" w:fill="auto"/>
            <w:noWrap/>
            <w:vAlign w:val="center"/>
          </w:tcPr>
          <w:p w14:paraId="2B940E9A">
            <w:pPr>
              <w:jc w:val="center"/>
              <w:rPr>
                <w:rFonts w:hint="eastAsia" w:ascii="宋体" w:hAnsi="宋体" w:eastAsia="宋体" w:cs="宋体"/>
                <w:i w:val="0"/>
                <w:iCs w:val="0"/>
                <w:color w:val="auto"/>
                <w:sz w:val="22"/>
                <w:szCs w:val="22"/>
                <w:highlight w:val="none"/>
                <w:u w:val="none"/>
              </w:rPr>
            </w:pPr>
          </w:p>
        </w:tc>
        <w:tc>
          <w:tcPr>
            <w:tcW w:w="4818" w:type="dxa"/>
            <w:vMerge w:val="continue"/>
            <w:shd w:val="clear" w:color="auto" w:fill="auto"/>
            <w:vAlign w:val="center"/>
          </w:tcPr>
          <w:p w14:paraId="7553DA6E">
            <w:pPr>
              <w:rPr>
                <w:rFonts w:hint="eastAsia" w:ascii="宋体" w:hAnsi="宋体" w:eastAsia="宋体" w:cs="宋体"/>
                <w:i w:val="0"/>
                <w:iCs w:val="0"/>
                <w:color w:val="auto"/>
                <w:sz w:val="22"/>
                <w:szCs w:val="22"/>
                <w:highlight w:val="none"/>
                <w:u w:val="none"/>
              </w:rPr>
            </w:pPr>
          </w:p>
        </w:tc>
      </w:tr>
      <w:tr w14:paraId="2DFB2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78" w:hRule="atLeast"/>
          <w:jc w:val="center"/>
        </w:trPr>
        <w:tc>
          <w:tcPr>
            <w:tcW w:w="844" w:type="dxa"/>
            <w:vMerge w:val="continue"/>
            <w:shd w:val="clear" w:color="auto" w:fill="auto"/>
            <w:vAlign w:val="center"/>
          </w:tcPr>
          <w:p w14:paraId="7C53AE54">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0253EA7B">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4D8612B5">
            <w:pPr>
              <w:jc w:val="center"/>
              <w:rPr>
                <w:rFonts w:hint="eastAsia" w:ascii="宋体" w:hAnsi="宋体" w:eastAsia="宋体" w:cs="宋体"/>
                <w:i w:val="0"/>
                <w:iCs w:val="0"/>
                <w:color w:val="auto"/>
                <w:sz w:val="22"/>
                <w:szCs w:val="22"/>
                <w:highlight w:val="none"/>
                <w:u w:val="none"/>
              </w:rPr>
            </w:pPr>
          </w:p>
        </w:tc>
        <w:tc>
          <w:tcPr>
            <w:tcW w:w="1109" w:type="dxa"/>
            <w:vMerge w:val="continue"/>
            <w:shd w:val="clear" w:color="auto" w:fill="auto"/>
            <w:noWrap/>
            <w:vAlign w:val="center"/>
          </w:tcPr>
          <w:p w14:paraId="4CC61261">
            <w:pPr>
              <w:jc w:val="center"/>
              <w:rPr>
                <w:rFonts w:hint="eastAsia" w:ascii="宋体" w:hAnsi="宋体" w:eastAsia="宋体" w:cs="宋体"/>
                <w:i w:val="0"/>
                <w:iCs w:val="0"/>
                <w:color w:val="auto"/>
                <w:sz w:val="22"/>
                <w:szCs w:val="22"/>
                <w:highlight w:val="none"/>
                <w:u w:val="none"/>
              </w:rPr>
            </w:pPr>
          </w:p>
        </w:tc>
        <w:tc>
          <w:tcPr>
            <w:tcW w:w="4818" w:type="dxa"/>
            <w:vMerge w:val="continue"/>
            <w:shd w:val="clear" w:color="auto" w:fill="auto"/>
            <w:vAlign w:val="center"/>
          </w:tcPr>
          <w:p w14:paraId="10F0E8AD">
            <w:pPr>
              <w:rPr>
                <w:rFonts w:hint="eastAsia" w:ascii="宋体" w:hAnsi="宋体" w:eastAsia="宋体" w:cs="宋体"/>
                <w:i w:val="0"/>
                <w:iCs w:val="0"/>
                <w:color w:val="auto"/>
                <w:sz w:val="22"/>
                <w:szCs w:val="22"/>
                <w:highlight w:val="none"/>
                <w:u w:val="none"/>
              </w:rPr>
            </w:pPr>
          </w:p>
        </w:tc>
      </w:tr>
      <w:tr w14:paraId="2E98C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738BE778">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197E346F">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5BACFF4F">
            <w:pPr>
              <w:jc w:val="center"/>
              <w:rPr>
                <w:rFonts w:hint="eastAsia" w:ascii="宋体" w:hAnsi="宋体" w:eastAsia="宋体" w:cs="宋体"/>
                <w:i w:val="0"/>
                <w:iCs w:val="0"/>
                <w:color w:val="auto"/>
                <w:sz w:val="22"/>
                <w:szCs w:val="22"/>
                <w:highlight w:val="none"/>
                <w:u w:val="none"/>
              </w:rPr>
            </w:pPr>
          </w:p>
        </w:tc>
        <w:tc>
          <w:tcPr>
            <w:tcW w:w="1109" w:type="dxa"/>
            <w:vMerge w:val="restart"/>
            <w:shd w:val="clear" w:color="auto" w:fill="auto"/>
            <w:noWrap/>
            <w:vAlign w:val="center"/>
          </w:tcPr>
          <w:p w14:paraId="2AB3594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学习习惯</w:t>
            </w:r>
          </w:p>
        </w:tc>
        <w:tc>
          <w:tcPr>
            <w:tcW w:w="4818" w:type="dxa"/>
            <w:vMerge w:val="restart"/>
            <w:shd w:val="clear" w:color="auto" w:fill="auto"/>
            <w:vAlign w:val="center"/>
          </w:tcPr>
          <w:p w14:paraId="5ABFDF1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以“人”为中心，通过整合档案定制、表单设计、记录对象管理、数据源管理、统一输入和输出等多项技术，提供一个用途广泛的可视化档案管理解决方案，适合构建教职工档案系统和学生综合素质评价系统等各种人员档案管理系统。</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1、制表：</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1) 创建选择源：</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具有“新建”和“从代码库中引入”两种创建数据选择源的方式。</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 创建表单元素：</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每张表单都是由不同的表单元素构成的，每个表单元素都是一个数据输入组件，控制着填表时的数据录入。</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表单元素需有“文本、单选、多选”三种输入方式以及“是否启用附件”选项，启用附件的能上传照片等文件作为附件。</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创建表单：</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每一个单元格都能绑定一个表单元素，能对单元格进行“可读/可写”两种权限设置，并能按需分别授予“本人、学生家长、指定角色”共三类操作人员。</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3) 创建档案：</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档案是一组记录指定人员信息的表单集合，由一张或多张表单按照一定的顺序组合而成。记录对象选项应包括：“所有学生、所有教工、特定人员”。</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为了适应不同需求，需要能对表单的填写次数进行规定，至少有如下选项：“没有限制”、“限1次”、“每学年”、“每学期”、“每月”、“每周”、“每天”以及“每节课”。</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2、填表：</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1) 选择人：</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提供教师按“教研组，年级组”方式找人；学生按“班级”方式找人。</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2) 选择档案/表单：</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能呈现个人档案列表，可以选择其中任何一个档案或者档案的一张表单查看。</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3、报表：</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报表子系统提供数据抓取功能，方便管理者从众多档案表单内抓取感兴趣的数据，能通过二维表格的方式来呈现、打印和导出，创建报表的过程就是数据抓取的全过程。</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4、档案自定义：</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支持从现有表单库中任意抽取一张或多张表单按照一定顺序组建一份新的档案。</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5、档案导入导出：</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支持XML档案模版的批量导入和导出，降低档案制表工作量。</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6、表单可共享：</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可视化设计表单，所见即所得；表单可以被多个档案引用。</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7、元素可共享：</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表单元素作为统一的数据录入控件，每个元素都可以被多个单元格引用。</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8、数据导入、导出及抓取：</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支持用户数据批量数据导入与导出，支持自定义数据抓取并保存为报表。</w:t>
            </w:r>
          </w:p>
        </w:tc>
      </w:tr>
      <w:tr w14:paraId="5F541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7254A152">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4E333436">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59F13606">
            <w:pPr>
              <w:jc w:val="center"/>
              <w:rPr>
                <w:rFonts w:hint="eastAsia" w:ascii="宋体" w:hAnsi="宋体" w:eastAsia="宋体" w:cs="宋体"/>
                <w:i w:val="0"/>
                <w:iCs w:val="0"/>
                <w:color w:val="auto"/>
                <w:sz w:val="22"/>
                <w:szCs w:val="22"/>
                <w:highlight w:val="none"/>
                <w:u w:val="none"/>
              </w:rPr>
            </w:pPr>
          </w:p>
        </w:tc>
        <w:tc>
          <w:tcPr>
            <w:tcW w:w="1109" w:type="dxa"/>
            <w:vMerge w:val="continue"/>
            <w:shd w:val="clear" w:color="auto" w:fill="auto"/>
            <w:noWrap/>
            <w:vAlign w:val="center"/>
          </w:tcPr>
          <w:p w14:paraId="30EF3549">
            <w:pPr>
              <w:jc w:val="center"/>
              <w:rPr>
                <w:rFonts w:hint="eastAsia" w:ascii="宋体" w:hAnsi="宋体" w:eastAsia="宋体" w:cs="宋体"/>
                <w:i w:val="0"/>
                <w:iCs w:val="0"/>
                <w:color w:val="auto"/>
                <w:sz w:val="22"/>
                <w:szCs w:val="22"/>
                <w:highlight w:val="none"/>
                <w:u w:val="none"/>
              </w:rPr>
            </w:pPr>
          </w:p>
        </w:tc>
        <w:tc>
          <w:tcPr>
            <w:tcW w:w="4818" w:type="dxa"/>
            <w:vMerge w:val="continue"/>
            <w:shd w:val="clear" w:color="auto" w:fill="auto"/>
            <w:vAlign w:val="center"/>
          </w:tcPr>
          <w:p w14:paraId="397AAA0E">
            <w:pPr>
              <w:rPr>
                <w:rFonts w:hint="eastAsia" w:ascii="宋体" w:hAnsi="宋体" w:eastAsia="宋体" w:cs="宋体"/>
                <w:i w:val="0"/>
                <w:iCs w:val="0"/>
                <w:color w:val="auto"/>
                <w:sz w:val="22"/>
                <w:szCs w:val="22"/>
                <w:highlight w:val="none"/>
                <w:u w:val="none"/>
              </w:rPr>
            </w:pPr>
          </w:p>
        </w:tc>
      </w:tr>
      <w:tr w14:paraId="1C4E4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0160CBD6">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7B5AB231">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324C020E">
            <w:pPr>
              <w:jc w:val="center"/>
              <w:rPr>
                <w:rFonts w:hint="eastAsia" w:ascii="宋体" w:hAnsi="宋体" w:eastAsia="宋体" w:cs="宋体"/>
                <w:i w:val="0"/>
                <w:iCs w:val="0"/>
                <w:color w:val="auto"/>
                <w:sz w:val="22"/>
                <w:szCs w:val="22"/>
                <w:highlight w:val="none"/>
                <w:u w:val="none"/>
              </w:rPr>
            </w:pPr>
          </w:p>
        </w:tc>
        <w:tc>
          <w:tcPr>
            <w:tcW w:w="1109" w:type="dxa"/>
            <w:shd w:val="clear" w:color="auto" w:fill="auto"/>
            <w:noWrap/>
            <w:vAlign w:val="center"/>
          </w:tcPr>
          <w:p w14:paraId="3AE5473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自主学习</w:t>
            </w:r>
          </w:p>
        </w:tc>
        <w:tc>
          <w:tcPr>
            <w:tcW w:w="4818" w:type="dxa"/>
            <w:vMerge w:val="continue"/>
            <w:shd w:val="clear" w:color="auto" w:fill="auto"/>
            <w:vAlign w:val="center"/>
          </w:tcPr>
          <w:p w14:paraId="195D485A">
            <w:pPr>
              <w:rPr>
                <w:rFonts w:hint="eastAsia" w:ascii="宋体" w:hAnsi="宋体" w:eastAsia="宋体" w:cs="宋体"/>
                <w:i w:val="0"/>
                <w:iCs w:val="0"/>
                <w:color w:val="auto"/>
                <w:sz w:val="22"/>
                <w:szCs w:val="22"/>
                <w:highlight w:val="none"/>
                <w:u w:val="none"/>
              </w:rPr>
            </w:pPr>
          </w:p>
        </w:tc>
      </w:tr>
      <w:tr w14:paraId="76913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475CE91A">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3029C405">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60FBA720">
            <w:pPr>
              <w:jc w:val="center"/>
              <w:rPr>
                <w:rFonts w:hint="eastAsia" w:ascii="宋体" w:hAnsi="宋体" w:eastAsia="宋体" w:cs="宋体"/>
                <w:i w:val="0"/>
                <w:iCs w:val="0"/>
                <w:color w:val="auto"/>
                <w:sz w:val="22"/>
                <w:szCs w:val="22"/>
                <w:highlight w:val="none"/>
                <w:u w:val="none"/>
              </w:rPr>
            </w:pPr>
          </w:p>
        </w:tc>
        <w:tc>
          <w:tcPr>
            <w:tcW w:w="1109" w:type="dxa"/>
            <w:shd w:val="clear" w:color="auto" w:fill="auto"/>
            <w:noWrap/>
            <w:vAlign w:val="center"/>
          </w:tcPr>
          <w:p w14:paraId="60022F9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思想品德</w:t>
            </w:r>
          </w:p>
        </w:tc>
        <w:tc>
          <w:tcPr>
            <w:tcW w:w="4818" w:type="dxa"/>
            <w:vMerge w:val="continue"/>
            <w:shd w:val="clear" w:color="auto" w:fill="auto"/>
            <w:vAlign w:val="center"/>
          </w:tcPr>
          <w:p w14:paraId="3B49680E">
            <w:pPr>
              <w:rPr>
                <w:rFonts w:hint="eastAsia" w:ascii="宋体" w:hAnsi="宋体" w:eastAsia="宋体" w:cs="宋体"/>
                <w:i w:val="0"/>
                <w:iCs w:val="0"/>
                <w:color w:val="auto"/>
                <w:sz w:val="22"/>
                <w:szCs w:val="22"/>
                <w:highlight w:val="none"/>
                <w:u w:val="none"/>
              </w:rPr>
            </w:pPr>
          </w:p>
        </w:tc>
      </w:tr>
      <w:tr w14:paraId="580FD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1F60959B">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36D9090C">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66EF022A">
            <w:pPr>
              <w:jc w:val="center"/>
              <w:rPr>
                <w:rFonts w:hint="eastAsia" w:ascii="宋体" w:hAnsi="宋体" w:eastAsia="宋体" w:cs="宋体"/>
                <w:i w:val="0"/>
                <w:iCs w:val="0"/>
                <w:color w:val="auto"/>
                <w:sz w:val="22"/>
                <w:szCs w:val="22"/>
                <w:highlight w:val="none"/>
                <w:u w:val="none"/>
              </w:rPr>
            </w:pPr>
          </w:p>
        </w:tc>
        <w:tc>
          <w:tcPr>
            <w:tcW w:w="1109" w:type="dxa"/>
            <w:vMerge w:val="restart"/>
            <w:shd w:val="clear" w:color="auto" w:fill="auto"/>
            <w:noWrap/>
            <w:vAlign w:val="center"/>
          </w:tcPr>
          <w:p w14:paraId="7536243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身心健康</w:t>
            </w:r>
          </w:p>
        </w:tc>
        <w:tc>
          <w:tcPr>
            <w:tcW w:w="4818" w:type="dxa"/>
            <w:vMerge w:val="continue"/>
            <w:shd w:val="clear" w:color="auto" w:fill="auto"/>
            <w:vAlign w:val="center"/>
          </w:tcPr>
          <w:p w14:paraId="7CC5A47F">
            <w:pPr>
              <w:rPr>
                <w:rFonts w:hint="eastAsia" w:ascii="宋体" w:hAnsi="宋体" w:eastAsia="宋体" w:cs="宋体"/>
                <w:i w:val="0"/>
                <w:iCs w:val="0"/>
                <w:color w:val="auto"/>
                <w:sz w:val="22"/>
                <w:szCs w:val="22"/>
                <w:highlight w:val="none"/>
                <w:u w:val="none"/>
              </w:rPr>
            </w:pPr>
          </w:p>
        </w:tc>
      </w:tr>
      <w:tr w14:paraId="00021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56F3067A">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03048A30">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5399FF42">
            <w:pPr>
              <w:jc w:val="center"/>
              <w:rPr>
                <w:rFonts w:hint="eastAsia" w:ascii="宋体" w:hAnsi="宋体" w:eastAsia="宋体" w:cs="宋体"/>
                <w:i w:val="0"/>
                <w:iCs w:val="0"/>
                <w:color w:val="auto"/>
                <w:sz w:val="22"/>
                <w:szCs w:val="22"/>
                <w:highlight w:val="none"/>
                <w:u w:val="none"/>
              </w:rPr>
            </w:pPr>
          </w:p>
        </w:tc>
        <w:tc>
          <w:tcPr>
            <w:tcW w:w="1109" w:type="dxa"/>
            <w:vMerge w:val="continue"/>
            <w:shd w:val="clear" w:color="auto" w:fill="auto"/>
            <w:noWrap/>
            <w:vAlign w:val="center"/>
          </w:tcPr>
          <w:p w14:paraId="51A17791">
            <w:pPr>
              <w:jc w:val="center"/>
              <w:rPr>
                <w:rFonts w:hint="eastAsia" w:ascii="宋体" w:hAnsi="宋体" w:eastAsia="宋体" w:cs="宋体"/>
                <w:i w:val="0"/>
                <w:iCs w:val="0"/>
                <w:color w:val="auto"/>
                <w:sz w:val="22"/>
                <w:szCs w:val="22"/>
                <w:highlight w:val="none"/>
                <w:u w:val="none"/>
              </w:rPr>
            </w:pPr>
          </w:p>
        </w:tc>
        <w:tc>
          <w:tcPr>
            <w:tcW w:w="4818" w:type="dxa"/>
            <w:vMerge w:val="continue"/>
            <w:shd w:val="clear" w:color="auto" w:fill="auto"/>
            <w:vAlign w:val="center"/>
          </w:tcPr>
          <w:p w14:paraId="359BDD91">
            <w:pPr>
              <w:rPr>
                <w:rFonts w:hint="eastAsia" w:ascii="宋体" w:hAnsi="宋体" w:eastAsia="宋体" w:cs="宋体"/>
                <w:i w:val="0"/>
                <w:iCs w:val="0"/>
                <w:color w:val="auto"/>
                <w:sz w:val="22"/>
                <w:szCs w:val="22"/>
                <w:highlight w:val="none"/>
                <w:u w:val="none"/>
              </w:rPr>
            </w:pPr>
          </w:p>
        </w:tc>
      </w:tr>
      <w:tr w14:paraId="3A963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4CCD3DBD">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1DC9F8BB">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6934EA55">
            <w:pPr>
              <w:jc w:val="center"/>
              <w:rPr>
                <w:rFonts w:hint="eastAsia" w:ascii="宋体" w:hAnsi="宋体" w:eastAsia="宋体" w:cs="宋体"/>
                <w:i w:val="0"/>
                <w:iCs w:val="0"/>
                <w:color w:val="auto"/>
                <w:sz w:val="22"/>
                <w:szCs w:val="22"/>
                <w:highlight w:val="none"/>
                <w:u w:val="none"/>
              </w:rPr>
            </w:pPr>
          </w:p>
        </w:tc>
        <w:tc>
          <w:tcPr>
            <w:tcW w:w="1109" w:type="dxa"/>
            <w:shd w:val="clear" w:color="auto" w:fill="auto"/>
            <w:noWrap/>
            <w:vAlign w:val="center"/>
          </w:tcPr>
          <w:p w14:paraId="2658D8A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艺术修养</w:t>
            </w:r>
          </w:p>
        </w:tc>
        <w:tc>
          <w:tcPr>
            <w:tcW w:w="4818" w:type="dxa"/>
            <w:vMerge w:val="continue"/>
            <w:shd w:val="clear" w:color="auto" w:fill="auto"/>
            <w:vAlign w:val="center"/>
          </w:tcPr>
          <w:p w14:paraId="444A2416">
            <w:pPr>
              <w:rPr>
                <w:rFonts w:hint="eastAsia" w:ascii="宋体" w:hAnsi="宋体" w:eastAsia="宋体" w:cs="宋体"/>
                <w:i w:val="0"/>
                <w:iCs w:val="0"/>
                <w:color w:val="auto"/>
                <w:sz w:val="22"/>
                <w:szCs w:val="22"/>
                <w:highlight w:val="none"/>
                <w:u w:val="none"/>
              </w:rPr>
            </w:pPr>
          </w:p>
        </w:tc>
      </w:tr>
      <w:tr w14:paraId="63A69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32922204">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5D67DAA6">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7B27354E">
            <w:pPr>
              <w:jc w:val="center"/>
              <w:rPr>
                <w:rFonts w:hint="eastAsia" w:ascii="宋体" w:hAnsi="宋体" w:eastAsia="宋体" w:cs="宋体"/>
                <w:i w:val="0"/>
                <w:iCs w:val="0"/>
                <w:color w:val="auto"/>
                <w:sz w:val="22"/>
                <w:szCs w:val="22"/>
                <w:highlight w:val="none"/>
                <w:u w:val="none"/>
              </w:rPr>
            </w:pPr>
          </w:p>
        </w:tc>
        <w:tc>
          <w:tcPr>
            <w:tcW w:w="1109" w:type="dxa"/>
            <w:shd w:val="clear" w:color="auto" w:fill="auto"/>
            <w:noWrap/>
            <w:vAlign w:val="center"/>
          </w:tcPr>
          <w:p w14:paraId="11AEB9E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社会实践情况</w:t>
            </w:r>
          </w:p>
        </w:tc>
        <w:tc>
          <w:tcPr>
            <w:tcW w:w="4818" w:type="dxa"/>
            <w:vMerge w:val="continue"/>
            <w:shd w:val="clear" w:color="auto" w:fill="auto"/>
            <w:vAlign w:val="center"/>
          </w:tcPr>
          <w:p w14:paraId="57FA3236">
            <w:pPr>
              <w:rPr>
                <w:rFonts w:hint="eastAsia" w:ascii="宋体" w:hAnsi="宋体" w:eastAsia="宋体" w:cs="宋体"/>
                <w:i w:val="0"/>
                <w:iCs w:val="0"/>
                <w:color w:val="auto"/>
                <w:sz w:val="22"/>
                <w:szCs w:val="22"/>
                <w:highlight w:val="none"/>
                <w:u w:val="none"/>
              </w:rPr>
            </w:pPr>
          </w:p>
        </w:tc>
      </w:tr>
      <w:tr w14:paraId="7C759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7F6F227C">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08CF180F">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4F746121">
            <w:pPr>
              <w:jc w:val="center"/>
              <w:rPr>
                <w:rFonts w:hint="eastAsia" w:ascii="宋体" w:hAnsi="宋体" w:eastAsia="宋体" w:cs="宋体"/>
                <w:i w:val="0"/>
                <w:iCs w:val="0"/>
                <w:color w:val="auto"/>
                <w:sz w:val="22"/>
                <w:szCs w:val="22"/>
                <w:highlight w:val="none"/>
                <w:u w:val="none"/>
              </w:rPr>
            </w:pPr>
          </w:p>
        </w:tc>
        <w:tc>
          <w:tcPr>
            <w:tcW w:w="1109" w:type="dxa"/>
            <w:shd w:val="clear" w:color="auto" w:fill="auto"/>
            <w:noWrap/>
            <w:vAlign w:val="center"/>
          </w:tcPr>
          <w:p w14:paraId="715009E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表彰情况</w:t>
            </w:r>
          </w:p>
        </w:tc>
        <w:tc>
          <w:tcPr>
            <w:tcW w:w="4818" w:type="dxa"/>
            <w:vMerge w:val="continue"/>
            <w:shd w:val="clear" w:color="auto" w:fill="auto"/>
            <w:vAlign w:val="center"/>
          </w:tcPr>
          <w:p w14:paraId="2FCA7034">
            <w:pPr>
              <w:rPr>
                <w:rFonts w:hint="eastAsia" w:ascii="宋体" w:hAnsi="宋体" w:eastAsia="宋体" w:cs="宋体"/>
                <w:i w:val="0"/>
                <w:iCs w:val="0"/>
                <w:color w:val="auto"/>
                <w:sz w:val="22"/>
                <w:szCs w:val="22"/>
                <w:highlight w:val="none"/>
                <w:u w:val="none"/>
              </w:rPr>
            </w:pPr>
          </w:p>
        </w:tc>
      </w:tr>
      <w:tr w14:paraId="03ED6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2EC14A8C">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435E3393">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77DD758F">
            <w:pPr>
              <w:jc w:val="center"/>
              <w:rPr>
                <w:rFonts w:hint="eastAsia" w:ascii="宋体" w:hAnsi="宋体" w:eastAsia="宋体" w:cs="宋体"/>
                <w:i w:val="0"/>
                <w:iCs w:val="0"/>
                <w:color w:val="auto"/>
                <w:sz w:val="22"/>
                <w:szCs w:val="22"/>
                <w:highlight w:val="none"/>
                <w:u w:val="none"/>
              </w:rPr>
            </w:pPr>
          </w:p>
        </w:tc>
        <w:tc>
          <w:tcPr>
            <w:tcW w:w="1109" w:type="dxa"/>
            <w:shd w:val="clear" w:color="auto" w:fill="auto"/>
            <w:noWrap/>
            <w:vAlign w:val="center"/>
          </w:tcPr>
          <w:p w14:paraId="3976687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获奖情况</w:t>
            </w:r>
          </w:p>
        </w:tc>
        <w:tc>
          <w:tcPr>
            <w:tcW w:w="4818" w:type="dxa"/>
            <w:vMerge w:val="continue"/>
            <w:shd w:val="clear" w:color="auto" w:fill="auto"/>
            <w:vAlign w:val="center"/>
          </w:tcPr>
          <w:p w14:paraId="330C45CD">
            <w:pPr>
              <w:rPr>
                <w:rFonts w:hint="eastAsia" w:ascii="宋体" w:hAnsi="宋体" w:eastAsia="宋体" w:cs="宋体"/>
                <w:i w:val="0"/>
                <w:iCs w:val="0"/>
                <w:color w:val="auto"/>
                <w:sz w:val="22"/>
                <w:szCs w:val="22"/>
                <w:highlight w:val="none"/>
                <w:u w:val="none"/>
              </w:rPr>
            </w:pPr>
          </w:p>
        </w:tc>
      </w:tr>
      <w:tr w14:paraId="0C5D5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1710D75C">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204622F7">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7B10EDA0">
            <w:pPr>
              <w:jc w:val="center"/>
              <w:rPr>
                <w:rFonts w:hint="eastAsia" w:ascii="宋体" w:hAnsi="宋体" w:eastAsia="宋体" w:cs="宋体"/>
                <w:i w:val="0"/>
                <w:iCs w:val="0"/>
                <w:color w:val="auto"/>
                <w:sz w:val="22"/>
                <w:szCs w:val="22"/>
                <w:highlight w:val="none"/>
                <w:u w:val="none"/>
              </w:rPr>
            </w:pPr>
          </w:p>
        </w:tc>
        <w:tc>
          <w:tcPr>
            <w:tcW w:w="1109" w:type="dxa"/>
            <w:vMerge w:val="restart"/>
            <w:shd w:val="clear" w:color="auto" w:fill="auto"/>
            <w:noWrap/>
            <w:vAlign w:val="center"/>
          </w:tcPr>
          <w:p w14:paraId="2E891E2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处罚情况</w:t>
            </w:r>
          </w:p>
        </w:tc>
        <w:tc>
          <w:tcPr>
            <w:tcW w:w="4818" w:type="dxa"/>
            <w:vMerge w:val="continue"/>
            <w:shd w:val="clear" w:color="auto" w:fill="auto"/>
            <w:vAlign w:val="center"/>
          </w:tcPr>
          <w:p w14:paraId="6DC19EE6">
            <w:pPr>
              <w:rPr>
                <w:rFonts w:hint="eastAsia" w:ascii="宋体" w:hAnsi="宋体" w:eastAsia="宋体" w:cs="宋体"/>
                <w:i w:val="0"/>
                <w:iCs w:val="0"/>
                <w:color w:val="auto"/>
                <w:sz w:val="22"/>
                <w:szCs w:val="22"/>
                <w:highlight w:val="none"/>
                <w:u w:val="none"/>
              </w:rPr>
            </w:pPr>
          </w:p>
        </w:tc>
      </w:tr>
      <w:tr w14:paraId="4648D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45" w:hRule="atLeast"/>
          <w:jc w:val="center"/>
        </w:trPr>
        <w:tc>
          <w:tcPr>
            <w:tcW w:w="844" w:type="dxa"/>
            <w:vMerge w:val="continue"/>
            <w:shd w:val="clear" w:color="auto" w:fill="auto"/>
            <w:vAlign w:val="center"/>
          </w:tcPr>
          <w:p w14:paraId="4DA80E79">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6260D52B">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6568266D">
            <w:pPr>
              <w:jc w:val="center"/>
              <w:rPr>
                <w:rFonts w:hint="eastAsia" w:ascii="宋体" w:hAnsi="宋体" w:eastAsia="宋体" w:cs="宋体"/>
                <w:i w:val="0"/>
                <w:iCs w:val="0"/>
                <w:color w:val="auto"/>
                <w:sz w:val="22"/>
                <w:szCs w:val="22"/>
                <w:highlight w:val="none"/>
                <w:u w:val="none"/>
              </w:rPr>
            </w:pPr>
          </w:p>
        </w:tc>
        <w:tc>
          <w:tcPr>
            <w:tcW w:w="1109" w:type="dxa"/>
            <w:vMerge w:val="continue"/>
            <w:shd w:val="clear" w:color="auto" w:fill="auto"/>
            <w:noWrap/>
            <w:vAlign w:val="center"/>
          </w:tcPr>
          <w:p w14:paraId="3EDD22CF">
            <w:pPr>
              <w:jc w:val="center"/>
              <w:rPr>
                <w:rFonts w:hint="eastAsia" w:ascii="宋体" w:hAnsi="宋体" w:eastAsia="宋体" w:cs="宋体"/>
                <w:i w:val="0"/>
                <w:iCs w:val="0"/>
                <w:color w:val="auto"/>
                <w:sz w:val="22"/>
                <w:szCs w:val="22"/>
                <w:highlight w:val="none"/>
                <w:u w:val="none"/>
              </w:rPr>
            </w:pPr>
          </w:p>
        </w:tc>
        <w:tc>
          <w:tcPr>
            <w:tcW w:w="4818" w:type="dxa"/>
            <w:vMerge w:val="continue"/>
            <w:shd w:val="clear" w:color="auto" w:fill="auto"/>
            <w:vAlign w:val="center"/>
          </w:tcPr>
          <w:p w14:paraId="1FDA1C88">
            <w:pPr>
              <w:rPr>
                <w:rFonts w:hint="eastAsia" w:ascii="宋体" w:hAnsi="宋体" w:eastAsia="宋体" w:cs="宋体"/>
                <w:i w:val="0"/>
                <w:iCs w:val="0"/>
                <w:color w:val="auto"/>
                <w:sz w:val="22"/>
                <w:szCs w:val="22"/>
                <w:highlight w:val="none"/>
                <w:u w:val="none"/>
              </w:rPr>
            </w:pPr>
          </w:p>
        </w:tc>
      </w:tr>
      <w:tr w14:paraId="34473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7" w:hRule="atLeast"/>
          <w:jc w:val="center"/>
        </w:trPr>
        <w:tc>
          <w:tcPr>
            <w:tcW w:w="844" w:type="dxa"/>
            <w:vMerge w:val="continue"/>
            <w:shd w:val="clear" w:color="auto" w:fill="auto"/>
            <w:vAlign w:val="center"/>
          </w:tcPr>
          <w:p w14:paraId="15BE5826">
            <w:pPr>
              <w:jc w:val="center"/>
              <w:rPr>
                <w:rFonts w:hint="eastAsia" w:ascii="宋体" w:hAnsi="宋体" w:eastAsia="宋体" w:cs="宋体"/>
                <w:i w:val="0"/>
                <w:iCs w:val="0"/>
                <w:color w:val="auto"/>
                <w:sz w:val="22"/>
                <w:szCs w:val="22"/>
                <w:highlight w:val="none"/>
                <w:u w:val="none"/>
              </w:rPr>
            </w:pPr>
          </w:p>
        </w:tc>
        <w:tc>
          <w:tcPr>
            <w:tcW w:w="929" w:type="dxa"/>
            <w:vMerge w:val="restart"/>
            <w:shd w:val="clear" w:color="auto" w:fill="auto"/>
            <w:vAlign w:val="center"/>
          </w:tcPr>
          <w:p w14:paraId="50C20A5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学生劳动教育实践</w:t>
            </w:r>
          </w:p>
        </w:tc>
        <w:tc>
          <w:tcPr>
            <w:tcW w:w="1418" w:type="dxa"/>
            <w:shd w:val="clear" w:color="auto" w:fill="auto"/>
            <w:vAlign w:val="center"/>
          </w:tcPr>
          <w:p w14:paraId="4024941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劳动课程</w:t>
            </w:r>
          </w:p>
        </w:tc>
        <w:tc>
          <w:tcPr>
            <w:tcW w:w="1109" w:type="dxa"/>
            <w:shd w:val="clear" w:color="auto" w:fill="auto"/>
            <w:noWrap/>
            <w:vAlign w:val="center"/>
          </w:tcPr>
          <w:p w14:paraId="527A1C50">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09EE3F8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制定劳动课程、内容、范围（包括学校劳动、家庭劳动、基地和社会劳动活动等）。</w:t>
            </w:r>
          </w:p>
        </w:tc>
      </w:tr>
      <w:tr w14:paraId="53A92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44" w:type="dxa"/>
            <w:vMerge w:val="continue"/>
            <w:shd w:val="clear" w:color="auto" w:fill="auto"/>
            <w:vAlign w:val="center"/>
          </w:tcPr>
          <w:p w14:paraId="1ACFE988">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44AC969D">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674B2E5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劳动计划（排课）</w:t>
            </w:r>
          </w:p>
        </w:tc>
        <w:tc>
          <w:tcPr>
            <w:tcW w:w="1109" w:type="dxa"/>
            <w:shd w:val="clear" w:color="auto" w:fill="auto"/>
            <w:noWrap/>
            <w:vAlign w:val="center"/>
          </w:tcPr>
          <w:p w14:paraId="6FEADCCC">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2D38AA3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对劳动教育进行计划和排课，包括：任课老师、计划日期、学生。</w:t>
            </w:r>
          </w:p>
        </w:tc>
      </w:tr>
      <w:tr w14:paraId="514D4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7" w:hRule="atLeast"/>
          <w:jc w:val="center"/>
        </w:trPr>
        <w:tc>
          <w:tcPr>
            <w:tcW w:w="844" w:type="dxa"/>
            <w:vMerge w:val="continue"/>
            <w:shd w:val="clear" w:color="auto" w:fill="auto"/>
            <w:vAlign w:val="center"/>
          </w:tcPr>
          <w:p w14:paraId="450F9EEC">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25BBF74C">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5B5F80F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劳动活动</w:t>
            </w:r>
          </w:p>
        </w:tc>
        <w:tc>
          <w:tcPr>
            <w:tcW w:w="1109" w:type="dxa"/>
            <w:shd w:val="clear" w:color="auto" w:fill="auto"/>
            <w:noWrap/>
            <w:vAlign w:val="center"/>
          </w:tcPr>
          <w:p w14:paraId="6FF48172">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696E92B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对劳动活动进行管理，支持上传学生劳动分工安排计划、任课老师检验计划。</w:t>
            </w:r>
          </w:p>
        </w:tc>
      </w:tr>
      <w:tr w14:paraId="7C890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3D8B017D">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38B0A47E">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5FE4545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劳动成果</w:t>
            </w:r>
          </w:p>
        </w:tc>
        <w:tc>
          <w:tcPr>
            <w:tcW w:w="1109" w:type="dxa"/>
            <w:shd w:val="clear" w:color="auto" w:fill="auto"/>
            <w:noWrap/>
            <w:vAlign w:val="center"/>
          </w:tcPr>
          <w:p w14:paraId="589409CB">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0CAC108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对劳动成果进行管理，填报整体劳动成果说明。</w:t>
            </w:r>
          </w:p>
        </w:tc>
      </w:tr>
      <w:tr w14:paraId="26A6B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7" w:hRule="atLeast"/>
          <w:jc w:val="center"/>
        </w:trPr>
        <w:tc>
          <w:tcPr>
            <w:tcW w:w="844" w:type="dxa"/>
            <w:vMerge w:val="continue"/>
            <w:shd w:val="clear" w:color="auto" w:fill="auto"/>
            <w:vAlign w:val="center"/>
          </w:tcPr>
          <w:p w14:paraId="61F4D5E2">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34D29868">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6EF61D8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学生评估</w:t>
            </w:r>
          </w:p>
        </w:tc>
        <w:tc>
          <w:tcPr>
            <w:tcW w:w="1109" w:type="dxa"/>
            <w:shd w:val="clear" w:color="auto" w:fill="auto"/>
            <w:noWrap/>
            <w:vAlign w:val="center"/>
          </w:tcPr>
          <w:p w14:paraId="4C8E5751">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2B06976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对学生的劳动积极性、完成性、成果等进行评分和评价。</w:t>
            </w:r>
          </w:p>
        </w:tc>
      </w:tr>
      <w:tr w14:paraId="50FE4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7" w:hRule="atLeast"/>
          <w:jc w:val="center"/>
        </w:trPr>
        <w:tc>
          <w:tcPr>
            <w:tcW w:w="844" w:type="dxa"/>
            <w:vMerge w:val="continue"/>
            <w:shd w:val="clear" w:color="auto" w:fill="auto"/>
            <w:vAlign w:val="center"/>
          </w:tcPr>
          <w:p w14:paraId="0E8A57C1">
            <w:pPr>
              <w:jc w:val="center"/>
              <w:rPr>
                <w:rFonts w:hint="eastAsia" w:ascii="宋体" w:hAnsi="宋体" w:eastAsia="宋体" w:cs="宋体"/>
                <w:i w:val="0"/>
                <w:iCs w:val="0"/>
                <w:color w:val="auto"/>
                <w:sz w:val="22"/>
                <w:szCs w:val="22"/>
                <w:highlight w:val="none"/>
                <w:u w:val="none"/>
              </w:rPr>
            </w:pPr>
          </w:p>
        </w:tc>
        <w:tc>
          <w:tcPr>
            <w:tcW w:w="929" w:type="dxa"/>
            <w:vMerge w:val="restart"/>
            <w:shd w:val="clear" w:color="auto" w:fill="auto"/>
            <w:vAlign w:val="center"/>
          </w:tcPr>
          <w:p w14:paraId="7A5B978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学生社团活动</w:t>
            </w:r>
          </w:p>
        </w:tc>
        <w:tc>
          <w:tcPr>
            <w:tcW w:w="1418" w:type="dxa"/>
            <w:shd w:val="clear" w:color="auto" w:fill="auto"/>
            <w:vAlign w:val="center"/>
          </w:tcPr>
          <w:p w14:paraId="3EE0607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社团活动课程</w:t>
            </w:r>
          </w:p>
        </w:tc>
        <w:tc>
          <w:tcPr>
            <w:tcW w:w="1109" w:type="dxa"/>
            <w:shd w:val="clear" w:color="auto" w:fill="auto"/>
            <w:noWrap/>
            <w:vAlign w:val="center"/>
          </w:tcPr>
          <w:p w14:paraId="6A61821C">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5EE3049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制定社团的课程、内容、分类、目标，支持excel电子表格的批量导入/导出。</w:t>
            </w:r>
          </w:p>
        </w:tc>
      </w:tr>
      <w:tr w14:paraId="7C95C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7E7E7049">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5299345F">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3BA6BC5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社团活动成员</w:t>
            </w:r>
          </w:p>
        </w:tc>
        <w:tc>
          <w:tcPr>
            <w:tcW w:w="1109" w:type="dxa"/>
            <w:shd w:val="clear" w:color="auto" w:fill="auto"/>
            <w:noWrap/>
            <w:vAlign w:val="center"/>
          </w:tcPr>
          <w:p w14:paraId="4E2BC2C4">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08BD6E8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记录各班级学生信息，指导老师信息。</w:t>
            </w:r>
          </w:p>
        </w:tc>
      </w:tr>
      <w:tr w14:paraId="29483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44" w:type="dxa"/>
            <w:vMerge w:val="continue"/>
            <w:shd w:val="clear" w:color="auto" w:fill="auto"/>
            <w:vAlign w:val="center"/>
          </w:tcPr>
          <w:p w14:paraId="30EEC8E9">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32B40B31">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77BC93A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社团活动安排</w:t>
            </w:r>
          </w:p>
        </w:tc>
        <w:tc>
          <w:tcPr>
            <w:tcW w:w="1109" w:type="dxa"/>
            <w:shd w:val="clear" w:color="auto" w:fill="auto"/>
            <w:noWrap/>
            <w:vAlign w:val="center"/>
          </w:tcPr>
          <w:p w14:paraId="20FF8D23">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470757A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通过日历表记录各个社团计划开展活动的日期和时间；通过表格记录社团已开展活动的日期和时间。</w:t>
            </w:r>
          </w:p>
        </w:tc>
      </w:tr>
      <w:tr w14:paraId="7AFFF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1846B002">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3FF9575F">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78A8D44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社团活动成果</w:t>
            </w:r>
          </w:p>
        </w:tc>
        <w:tc>
          <w:tcPr>
            <w:tcW w:w="1109" w:type="dxa"/>
            <w:shd w:val="clear" w:color="auto" w:fill="auto"/>
            <w:noWrap/>
            <w:vAlign w:val="center"/>
          </w:tcPr>
          <w:p w14:paraId="748BD165">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393A057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记录社团学生的活动成果，上传图片和评分、评价。</w:t>
            </w:r>
          </w:p>
        </w:tc>
      </w:tr>
      <w:tr w14:paraId="19DE2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7" w:hRule="atLeast"/>
          <w:jc w:val="center"/>
        </w:trPr>
        <w:tc>
          <w:tcPr>
            <w:tcW w:w="844" w:type="dxa"/>
            <w:vMerge w:val="continue"/>
            <w:shd w:val="clear" w:color="auto" w:fill="auto"/>
            <w:vAlign w:val="center"/>
          </w:tcPr>
          <w:p w14:paraId="169298CC">
            <w:pPr>
              <w:jc w:val="center"/>
              <w:rPr>
                <w:rFonts w:hint="eastAsia" w:ascii="宋体" w:hAnsi="宋体" w:eastAsia="宋体" w:cs="宋体"/>
                <w:i w:val="0"/>
                <w:iCs w:val="0"/>
                <w:color w:val="auto"/>
                <w:sz w:val="22"/>
                <w:szCs w:val="22"/>
                <w:highlight w:val="none"/>
                <w:u w:val="none"/>
              </w:rPr>
            </w:pPr>
          </w:p>
        </w:tc>
        <w:tc>
          <w:tcPr>
            <w:tcW w:w="929" w:type="dxa"/>
            <w:vMerge w:val="restart"/>
            <w:shd w:val="clear" w:color="auto" w:fill="auto"/>
            <w:vAlign w:val="center"/>
          </w:tcPr>
          <w:p w14:paraId="2895753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学生考勤管理</w:t>
            </w:r>
          </w:p>
        </w:tc>
        <w:tc>
          <w:tcPr>
            <w:tcW w:w="1418" w:type="dxa"/>
            <w:shd w:val="clear" w:color="auto" w:fill="auto"/>
            <w:vAlign w:val="top"/>
          </w:tcPr>
          <w:p w14:paraId="6018D3EB">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注册与身份验证</w:t>
            </w:r>
          </w:p>
        </w:tc>
        <w:tc>
          <w:tcPr>
            <w:tcW w:w="1109" w:type="dxa"/>
            <w:shd w:val="clear" w:color="auto" w:fill="auto"/>
            <w:noWrap/>
            <w:vAlign w:val="center"/>
          </w:tcPr>
          <w:p w14:paraId="413E4D02">
            <w:pPr>
              <w:jc w:val="left"/>
              <w:rPr>
                <w:rFonts w:hint="eastAsia" w:ascii="宋体" w:hAnsi="宋体" w:eastAsia="宋体" w:cs="宋体"/>
                <w:i w:val="0"/>
                <w:iCs w:val="0"/>
                <w:color w:val="auto"/>
                <w:sz w:val="22"/>
                <w:szCs w:val="22"/>
                <w:highlight w:val="none"/>
                <w:u w:val="none"/>
              </w:rPr>
            </w:pPr>
          </w:p>
        </w:tc>
        <w:tc>
          <w:tcPr>
            <w:tcW w:w="4818" w:type="dxa"/>
            <w:shd w:val="clear" w:color="auto" w:fill="auto"/>
            <w:vAlign w:val="top"/>
          </w:tcPr>
          <w:p w14:paraId="0F21BC71">
            <w:pPr>
              <w:keepNext w:val="0"/>
              <w:keepLines w:val="0"/>
              <w:widowControl/>
              <w:suppressLineNumbers w:val="0"/>
              <w:jc w:val="left"/>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实现学生使用学号信息进行注册，集成人脸识别模块，将人脸信息与学生信息关联。</w:t>
            </w:r>
          </w:p>
        </w:tc>
      </w:tr>
      <w:tr w14:paraId="322BD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844" w:type="dxa"/>
            <w:vMerge w:val="continue"/>
            <w:shd w:val="clear" w:color="auto" w:fill="auto"/>
            <w:vAlign w:val="center"/>
          </w:tcPr>
          <w:p w14:paraId="5AFE71D8">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64457484">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top"/>
          </w:tcPr>
          <w:p w14:paraId="21548DF9">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考勤组管理</w:t>
            </w:r>
          </w:p>
        </w:tc>
        <w:tc>
          <w:tcPr>
            <w:tcW w:w="1109" w:type="dxa"/>
            <w:shd w:val="clear" w:color="auto" w:fill="auto"/>
            <w:noWrap/>
            <w:vAlign w:val="center"/>
          </w:tcPr>
          <w:p w14:paraId="7B8C8017">
            <w:pPr>
              <w:jc w:val="left"/>
              <w:rPr>
                <w:rFonts w:hint="eastAsia" w:ascii="宋体" w:hAnsi="宋体" w:eastAsia="宋体" w:cs="宋体"/>
                <w:i w:val="0"/>
                <w:iCs w:val="0"/>
                <w:color w:val="auto"/>
                <w:sz w:val="22"/>
                <w:szCs w:val="22"/>
                <w:highlight w:val="none"/>
                <w:u w:val="none"/>
              </w:rPr>
            </w:pPr>
          </w:p>
        </w:tc>
        <w:tc>
          <w:tcPr>
            <w:tcW w:w="4818" w:type="dxa"/>
            <w:shd w:val="clear" w:color="auto" w:fill="auto"/>
            <w:vAlign w:val="top"/>
          </w:tcPr>
          <w:p w14:paraId="0BF9ABDC">
            <w:pPr>
              <w:keepNext w:val="0"/>
              <w:keepLines w:val="0"/>
              <w:widowControl/>
              <w:suppressLineNumbers w:val="0"/>
              <w:jc w:val="left"/>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对考勤组及考勤计划进行管理，实现分组分时间段考勤，实现不同年纪学生的不同时段考勤要求，动态可配置。</w:t>
            </w:r>
          </w:p>
        </w:tc>
      </w:tr>
      <w:tr w14:paraId="304E0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31" w:hRule="atLeast"/>
          <w:jc w:val="center"/>
        </w:trPr>
        <w:tc>
          <w:tcPr>
            <w:tcW w:w="844" w:type="dxa"/>
            <w:vMerge w:val="continue"/>
            <w:shd w:val="clear" w:color="auto" w:fill="auto"/>
            <w:vAlign w:val="center"/>
          </w:tcPr>
          <w:p w14:paraId="24056047">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11145BB1">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top"/>
          </w:tcPr>
          <w:p w14:paraId="383D5E74">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考勤</w:t>
            </w:r>
          </w:p>
        </w:tc>
        <w:tc>
          <w:tcPr>
            <w:tcW w:w="1109" w:type="dxa"/>
            <w:shd w:val="clear" w:color="auto" w:fill="auto"/>
            <w:noWrap/>
            <w:vAlign w:val="center"/>
          </w:tcPr>
          <w:p w14:paraId="497EADEA">
            <w:pPr>
              <w:jc w:val="left"/>
              <w:rPr>
                <w:rFonts w:hint="eastAsia" w:ascii="宋体" w:hAnsi="宋体" w:eastAsia="宋体" w:cs="宋体"/>
                <w:i w:val="0"/>
                <w:iCs w:val="0"/>
                <w:color w:val="auto"/>
                <w:sz w:val="22"/>
                <w:szCs w:val="22"/>
                <w:highlight w:val="none"/>
                <w:u w:val="none"/>
              </w:rPr>
            </w:pPr>
          </w:p>
        </w:tc>
        <w:tc>
          <w:tcPr>
            <w:tcW w:w="4818" w:type="dxa"/>
            <w:shd w:val="clear" w:color="auto" w:fill="auto"/>
            <w:vAlign w:val="top"/>
          </w:tcPr>
          <w:p w14:paraId="7F78DC60">
            <w:pPr>
              <w:keepNext w:val="0"/>
              <w:keepLines w:val="0"/>
              <w:widowControl/>
              <w:suppressLineNumbers w:val="0"/>
              <w:jc w:val="left"/>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学生通过识别区域时，设备主动扫描识别学生信息，并根据学生的考勤计划组规则，识别学生的考勤是否正常。</w:t>
            </w:r>
          </w:p>
        </w:tc>
      </w:tr>
      <w:tr w14:paraId="1FB99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844" w:type="dxa"/>
            <w:vMerge w:val="continue"/>
            <w:shd w:val="clear" w:color="auto" w:fill="auto"/>
            <w:vAlign w:val="center"/>
          </w:tcPr>
          <w:p w14:paraId="560FE157">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438484DF">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top"/>
          </w:tcPr>
          <w:p w14:paraId="685EBE3E">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考勤推送</w:t>
            </w:r>
          </w:p>
        </w:tc>
        <w:tc>
          <w:tcPr>
            <w:tcW w:w="1109" w:type="dxa"/>
            <w:shd w:val="clear" w:color="auto" w:fill="auto"/>
            <w:noWrap/>
            <w:vAlign w:val="center"/>
          </w:tcPr>
          <w:p w14:paraId="7875CE98">
            <w:pPr>
              <w:rPr>
                <w:rFonts w:hint="eastAsia" w:ascii="宋体" w:hAnsi="宋体" w:eastAsia="宋体" w:cs="宋体"/>
                <w:i w:val="0"/>
                <w:iCs w:val="0"/>
                <w:color w:val="auto"/>
                <w:sz w:val="22"/>
                <w:szCs w:val="22"/>
                <w:highlight w:val="none"/>
                <w:u w:val="none"/>
              </w:rPr>
            </w:pPr>
          </w:p>
        </w:tc>
        <w:tc>
          <w:tcPr>
            <w:tcW w:w="4818" w:type="dxa"/>
            <w:shd w:val="clear" w:color="auto" w:fill="auto"/>
            <w:vAlign w:val="top"/>
          </w:tcPr>
          <w:p w14:paraId="78331519">
            <w:pPr>
              <w:keepNext w:val="0"/>
              <w:keepLines w:val="0"/>
              <w:widowControl/>
              <w:suppressLineNumbers w:val="0"/>
              <w:jc w:val="left"/>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对考勤异常（如缺考、迟到等）相关数据进行责任人（如班主任、年纪主任）推送，使学校相关负责人实时准确地掌握学生到校的状态。</w:t>
            </w:r>
          </w:p>
        </w:tc>
      </w:tr>
      <w:tr w14:paraId="68999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31" w:hRule="atLeast"/>
          <w:jc w:val="center"/>
        </w:trPr>
        <w:tc>
          <w:tcPr>
            <w:tcW w:w="844" w:type="dxa"/>
            <w:vMerge w:val="continue"/>
            <w:shd w:val="clear" w:color="auto" w:fill="auto"/>
            <w:vAlign w:val="center"/>
          </w:tcPr>
          <w:p w14:paraId="4F7F034A">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2C200DAF">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top"/>
          </w:tcPr>
          <w:p w14:paraId="7C4EBD91">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考勤统计</w:t>
            </w:r>
          </w:p>
        </w:tc>
        <w:tc>
          <w:tcPr>
            <w:tcW w:w="1109" w:type="dxa"/>
            <w:shd w:val="clear" w:color="auto" w:fill="auto"/>
            <w:noWrap/>
            <w:vAlign w:val="center"/>
          </w:tcPr>
          <w:p w14:paraId="49126C40">
            <w:pPr>
              <w:jc w:val="left"/>
              <w:rPr>
                <w:rFonts w:hint="eastAsia" w:ascii="宋体" w:hAnsi="宋体" w:eastAsia="宋体" w:cs="宋体"/>
                <w:i w:val="0"/>
                <w:iCs w:val="0"/>
                <w:color w:val="auto"/>
                <w:sz w:val="22"/>
                <w:szCs w:val="22"/>
                <w:highlight w:val="none"/>
                <w:u w:val="none"/>
              </w:rPr>
            </w:pPr>
          </w:p>
        </w:tc>
        <w:tc>
          <w:tcPr>
            <w:tcW w:w="4818" w:type="dxa"/>
            <w:shd w:val="clear" w:color="auto" w:fill="auto"/>
            <w:vAlign w:val="top"/>
          </w:tcPr>
          <w:p w14:paraId="05D9F1D4">
            <w:pPr>
              <w:keepNext w:val="0"/>
              <w:keepLines w:val="0"/>
              <w:widowControl/>
              <w:suppressLineNumbers w:val="0"/>
              <w:jc w:val="left"/>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对学生的考勤状态信息进行统计，为学校管理提供数据支持和实时信息。包括按年纪统计、按班级统计、按时间统计、按趋势统计等。</w:t>
            </w:r>
          </w:p>
        </w:tc>
      </w:tr>
      <w:tr w14:paraId="766D2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04" w:hRule="atLeast"/>
          <w:jc w:val="center"/>
        </w:trPr>
        <w:tc>
          <w:tcPr>
            <w:tcW w:w="844" w:type="dxa"/>
            <w:vMerge w:val="continue"/>
            <w:shd w:val="clear" w:color="auto" w:fill="auto"/>
            <w:vAlign w:val="center"/>
          </w:tcPr>
          <w:p w14:paraId="5674F3D5">
            <w:pPr>
              <w:jc w:val="center"/>
              <w:rPr>
                <w:rFonts w:hint="eastAsia" w:ascii="宋体" w:hAnsi="宋体" w:eastAsia="宋体" w:cs="宋体"/>
                <w:i w:val="0"/>
                <w:iCs w:val="0"/>
                <w:color w:val="auto"/>
                <w:sz w:val="22"/>
                <w:szCs w:val="22"/>
                <w:highlight w:val="none"/>
                <w:u w:val="none"/>
              </w:rPr>
            </w:pPr>
          </w:p>
        </w:tc>
        <w:tc>
          <w:tcPr>
            <w:tcW w:w="929" w:type="dxa"/>
            <w:vMerge w:val="restart"/>
            <w:shd w:val="clear" w:color="auto" w:fill="auto"/>
            <w:vAlign w:val="center"/>
          </w:tcPr>
          <w:p w14:paraId="4D6D49D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住宿考勤管理</w:t>
            </w:r>
          </w:p>
        </w:tc>
        <w:tc>
          <w:tcPr>
            <w:tcW w:w="1418" w:type="dxa"/>
            <w:shd w:val="clear" w:color="auto" w:fill="auto"/>
            <w:vAlign w:val="top"/>
          </w:tcPr>
          <w:p w14:paraId="6A4DC522">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数字宿舍管理</w:t>
            </w:r>
          </w:p>
        </w:tc>
        <w:tc>
          <w:tcPr>
            <w:tcW w:w="1109" w:type="dxa"/>
            <w:shd w:val="clear" w:color="auto" w:fill="auto"/>
            <w:noWrap/>
            <w:vAlign w:val="center"/>
          </w:tcPr>
          <w:p w14:paraId="5B611FE5">
            <w:pPr>
              <w:jc w:val="left"/>
              <w:rPr>
                <w:rFonts w:hint="eastAsia" w:ascii="宋体" w:hAnsi="宋体" w:eastAsia="宋体" w:cs="宋体"/>
                <w:i w:val="0"/>
                <w:iCs w:val="0"/>
                <w:color w:val="auto"/>
                <w:sz w:val="22"/>
                <w:szCs w:val="22"/>
                <w:highlight w:val="none"/>
                <w:u w:val="none"/>
              </w:rPr>
            </w:pPr>
          </w:p>
        </w:tc>
        <w:tc>
          <w:tcPr>
            <w:tcW w:w="4818" w:type="dxa"/>
            <w:shd w:val="clear" w:color="auto" w:fill="auto"/>
            <w:vAlign w:val="top"/>
          </w:tcPr>
          <w:p w14:paraId="3F30A40E">
            <w:pPr>
              <w:keepNext w:val="0"/>
              <w:keepLines w:val="0"/>
              <w:widowControl/>
              <w:suppressLineNumbers w:val="0"/>
              <w:jc w:val="left"/>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对宿舍进行数字化管理，包括宿舍的基本信息，男/女宿舍分类、可入住人数、床铺类型、有无室内洗手间等，同时对入住信息进行管理，包括当前学生、所属班级、姓名等。</w:t>
            </w:r>
          </w:p>
        </w:tc>
      </w:tr>
      <w:tr w14:paraId="148F8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66" w:hRule="atLeast"/>
          <w:jc w:val="center"/>
        </w:trPr>
        <w:tc>
          <w:tcPr>
            <w:tcW w:w="844" w:type="dxa"/>
            <w:vMerge w:val="continue"/>
            <w:shd w:val="clear" w:color="auto" w:fill="auto"/>
            <w:vAlign w:val="center"/>
          </w:tcPr>
          <w:p w14:paraId="74BFCF57">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431B38F0">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top"/>
          </w:tcPr>
          <w:p w14:paraId="57A31AA4">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考勤组管理</w:t>
            </w:r>
          </w:p>
        </w:tc>
        <w:tc>
          <w:tcPr>
            <w:tcW w:w="1109" w:type="dxa"/>
            <w:shd w:val="clear" w:color="auto" w:fill="auto"/>
            <w:noWrap/>
            <w:vAlign w:val="center"/>
          </w:tcPr>
          <w:p w14:paraId="5194DE74">
            <w:pPr>
              <w:jc w:val="left"/>
              <w:rPr>
                <w:rFonts w:hint="eastAsia" w:ascii="宋体" w:hAnsi="宋体" w:eastAsia="宋体" w:cs="宋体"/>
                <w:i w:val="0"/>
                <w:iCs w:val="0"/>
                <w:color w:val="auto"/>
                <w:sz w:val="22"/>
                <w:szCs w:val="22"/>
                <w:highlight w:val="none"/>
                <w:u w:val="none"/>
              </w:rPr>
            </w:pPr>
          </w:p>
        </w:tc>
        <w:tc>
          <w:tcPr>
            <w:tcW w:w="4818" w:type="dxa"/>
            <w:shd w:val="clear" w:color="auto" w:fill="auto"/>
            <w:vAlign w:val="top"/>
          </w:tcPr>
          <w:p w14:paraId="1388768E">
            <w:pPr>
              <w:keepNext w:val="0"/>
              <w:keepLines w:val="0"/>
              <w:widowControl/>
              <w:suppressLineNumbers w:val="0"/>
              <w:jc w:val="left"/>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实现学生按年纪进行不同考勤组管理，不同考勤组实现配置不同的考勤时间段，实现差异化管理，动态可配。</w:t>
            </w:r>
          </w:p>
        </w:tc>
      </w:tr>
      <w:tr w14:paraId="5698C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844" w:type="dxa"/>
            <w:vMerge w:val="continue"/>
            <w:shd w:val="clear" w:color="auto" w:fill="auto"/>
            <w:vAlign w:val="center"/>
          </w:tcPr>
          <w:p w14:paraId="484112B9">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629B1B37">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top"/>
          </w:tcPr>
          <w:p w14:paraId="20038C63">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考勤</w:t>
            </w:r>
          </w:p>
        </w:tc>
        <w:tc>
          <w:tcPr>
            <w:tcW w:w="1109" w:type="dxa"/>
            <w:shd w:val="clear" w:color="auto" w:fill="auto"/>
            <w:noWrap/>
            <w:vAlign w:val="center"/>
          </w:tcPr>
          <w:p w14:paraId="4DF1CC26">
            <w:pPr>
              <w:jc w:val="left"/>
              <w:rPr>
                <w:rFonts w:hint="eastAsia" w:ascii="宋体" w:hAnsi="宋体" w:eastAsia="宋体" w:cs="宋体"/>
                <w:i w:val="0"/>
                <w:iCs w:val="0"/>
                <w:color w:val="auto"/>
                <w:sz w:val="22"/>
                <w:szCs w:val="22"/>
                <w:highlight w:val="none"/>
                <w:u w:val="none"/>
              </w:rPr>
            </w:pPr>
          </w:p>
        </w:tc>
        <w:tc>
          <w:tcPr>
            <w:tcW w:w="4818" w:type="dxa"/>
            <w:shd w:val="clear" w:color="auto" w:fill="auto"/>
            <w:vAlign w:val="top"/>
          </w:tcPr>
          <w:p w14:paraId="69C66866">
            <w:pPr>
              <w:keepNext w:val="0"/>
              <w:keepLines w:val="0"/>
              <w:widowControl/>
              <w:suppressLineNumbers w:val="0"/>
              <w:jc w:val="left"/>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建设考勤区域，对考勤区域进行双向监测，对经过考勤区域的学生进行进和出的监测和考勤，精准检测学生归寝情况，避免考勤后外出。</w:t>
            </w:r>
          </w:p>
        </w:tc>
      </w:tr>
      <w:tr w14:paraId="0A4CE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844" w:type="dxa"/>
            <w:vMerge w:val="continue"/>
            <w:shd w:val="clear" w:color="auto" w:fill="auto"/>
            <w:vAlign w:val="center"/>
          </w:tcPr>
          <w:p w14:paraId="13DB9011">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76D50EF3">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055B6286">
            <w:pPr>
              <w:keepNext w:val="0"/>
              <w:keepLines w:val="0"/>
              <w:widowControl/>
              <w:suppressLineNumbers w:val="0"/>
              <w:jc w:val="both"/>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外出监测</w:t>
            </w:r>
          </w:p>
        </w:tc>
        <w:tc>
          <w:tcPr>
            <w:tcW w:w="1109" w:type="dxa"/>
            <w:shd w:val="clear" w:color="auto" w:fill="auto"/>
            <w:noWrap/>
            <w:vAlign w:val="center"/>
          </w:tcPr>
          <w:p w14:paraId="1731EDF2">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6604C13A">
            <w:pPr>
              <w:keepNext w:val="0"/>
              <w:keepLines w:val="0"/>
              <w:widowControl/>
              <w:suppressLineNumbers w:val="0"/>
              <w:jc w:val="both"/>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通过AI技术，在夜间就寝时间段对宿舍建立禁入区域，识别是否有学生夜间外出的行为，同时监测外部人员夜间闯入的行为进行预警，保障学生安全。</w:t>
            </w:r>
          </w:p>
        </w:tc>
      </w:tr>
      <w:tr w14:paraId="103FB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844" w:type="dxa"/>
            <w:vMerge w:val="continue"/>
            <w:shd w:val="clear" w:color="auto" w:fill="auto"/>
            <w:vAlign w:val="center"/>
          </w:tcPr>
          <w:p w14:paraId="6E9B88CF">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72E868D5">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top"/>
          </w:tcPr>
          <w:p w14:paraId="550F68C2">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考勤推送</w:t>
            </w:r>
          </w:p>
        </w:tc>
        <w:tc>
          <w:tcPr>
            <w:tcW w:w="1109" w:type="dxa"/>
            <w:shd w:val="clear" w:color="auto" w:fill="auto"/>
            <w:noWrap/>
            <w:vAlign w:val="center"/>
          </w:tcPr>
          <w:p w14:paraId="6942465F">
            <w:pPr>
              <w:jc w:val="left"/>
              <w:rPr>
                <w:rFonts w:hint="eastAsia" w:ascii="宋体" w:hAnsi="宋体" w:eastAsia="宋体" w:cs="宋体"/>
                <w:i w:val="0"/>
                <w:iCs w:val="0"/>
                <w:color w:val="auto"/>
                <w:sz w:val="22"/>
                <w:szCs w:val="22"/>
                <w:highlight w:val="none"/>
                <w:u w:val="none"/>
              </w:rPr>
            </w:pPr>
          </w:p>
        </w:tc>
        <w:tc>
          <w:tcPr>
            <w:tcW w:w="4818" w:type="dxa"/>
            <w:shd w:val="clear" w:color="auto" w:fill="auto"/>
            <w:vAlign w:val="top"/>
          </w:tcPr>
          <w:p w14:paraId="24EC766C">
            <w:pPr>
              <w:keepNext w:val="0"/>
              <w:keepLines w:val="0"/>
              <w:widowControl/>
              <w:suppressLineNumbers w:val="0"/>
              <w:jc w:val="left"/>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在考勤时间段内，对住宿未考勤的学生、寝室信息进行实时推送，便于相关责任人及时处置，保障学生安全。</w:t>
            </w:r>
          </w:p>
        </w:tc>
      </w:tr>
      <w:tr w14:paraId="114FB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7" w:hRule="atLeast"/>
          <w:jc w:val="center"/>
        </w:trPr>
        <w:tc>
          <w:tcPr>
            <w:tcW w:w="844" w:type="dxa"/>
            <w:vMerge w:val="continue"/>
            <w:shd w:val="clear" w:color="auto" w:fill="auto"/>
            <w:vAlign w:val="center"/>
          </w:tcPr>
          <w:p w14:paraId="6798945A">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6F309B44">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top"/>
          </w:tcPr>
          <w:p w14:paraId="5B9C64DF">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考勤统计</w:t>
            </w:r>
          </w:p>
        </w:tc>
        <w:tc>
          <w:tcPr>
            <w:tcW w:w="1109" w:type="dxa"/>
            <w:shd w:val="clear" w:color="auto" w:fill="auto"/>
            <w:noWrap/>
            <w:vAlign w:val="center"/>
          </w:tcPr>
          <w:p w14:paraId="07A5C0EA">
            <w:pPr>
              <w:jc w:val="left"/>
              <w:rPr>
                <w:rFonts w:hint="eastAsia" w:ascii="宋体" w:hAnsi="宋体" w:eastAsia="宋体" w:cs="宋体"/>
                <w:i w:val="0"/>
                <w:iCs w:val="0"/>
                <w:color w:val="auto"/>
                <w:sz w:val="22"/>
                <w:szCs w:val="22"/>
                <w:highlight w:val="none"/>
                <w:u w:val="none"/>
              </w:rPr>
            </w:pPr>
          </w:p>
        </w:tc>
        <w:tc>
          <w:tcPr>
            <w:tcW w:w="4818" w:type="dxa"/>
            <w:shd w:val="clear" w:color="auto" w:fill="auto"/>
            <w:vAlign w:val="top"/>
          </w:tcPr>
          <w:p w14:paraId="2DDEB4CE">
            <w:pPr>
              <w:keepNext w:val="0"/>
              <w:keepLines w:val="0"/>
              <w:widowControl/>
              <w:suppressLineNumbers w:val="0"/>
              <w:jc w:val="left"/>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对考勤请假、异常等情况进行统计，为学校管理提供实时数据。</w:t>
            </w:r>
          </w:p>
        </w:tc>
      </w:tr>
      <w:tr w14:paraId="197D2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844" w:type="dxa"/>
            <w:vMerge w:val="continue"/>
            <w:shd w:val="clear" w:color="auto" w:fill="auto"/>
            <w:vAlign w:val="center"/>
          </w:tcPr>
          <w:p w14:paraId="4D2BBD58">
            <w:pPr>
              <w:jc w:val="center"/>
              <w:rPr>
                <w:rFonts w:hint="eastAsia" w:ascii="宋体" w:hAnsi="宋体" w:eastAsia="宋体" w:cs="宋体"/>
                <w:i w:val="0"/>
                <w:iCs w:val="0"/>
                <w:color w:val="auto"/>
                <w:sz w:val="22"/>
                <w:szCs w:val="22"/>
                <w:highlight w:val="none"/>
                <w:u w:val="none"/>
              </w:rPr>
            </w:pPr>
          </w:p>
        </w:tc>
        <w:tc>
          <w:tcPr>
            <w:tcW w:w="929" w:type="dxa"/>
            <w:vMerge w:val="restart"/>
            <w:shd w:val="clear" w:color="auto" w:fill="auto"/>
            <w:vAlign w:val="center"/>
          </w:tcPr>
          <w:p w14:paraId="79E2426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贫困生人文关怀</w:t>
            </w:r>
          </w:p>
        </w:tc>
        <w:tc>
          <w:tcPr>
            <w:tcW w:w="1418" w:type="dxa"/>
            <w:shd w:val="clear" w:color="auto" w:fill="auto"/>
            <w:vAlign w:val="center"/>
          </w:tcPr>
          <w:p w14:paraId="2CC884C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贫困生管理规定</w:t>
            </w:r>
          </w:p>
        </w:tc>
        <w:tc>
          <w:tcPr>
            <w:tcW w:w="1109" w:type="dxa"/>
            <w:shd w:val="clear" w:color="auto" w:fill="auto"/>
            <w:noWrap/>
            <w:vAlign w:val="center"/>
          </w:tcPr>
          <w:p w14:paraId="0E4AE890">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1460306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显示省级、市级、县级贫困生管理规定的文件列表，包括贫困生的认定标准、资助方式和标准、管理办法等内容。</w:t>
            </w:r>
          </w:p>
        </w:tc>
      </w:tr>
      <w:tr w14:paraId="72430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31" w:hRule="atLeast"/>
          <w:jc w:val="center"/>
        </w:trPr>
        <w:tc>
          <w:tcPr>
            <w:tcW w:w="844" w:type="dxa"/>
            <w:vMerge w:val="continue"/>
            <w:shd w:val="clear" w:color="auto" w:fill="auto"/>
            <w:vAlign w:val="center"/>
          </w:tcPr>
          <w:p w14:paraId="1173FCE1">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306EDF54">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2F2615D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贫困生爱心捐款</w:t>
            </w:r>
          </w:p>
        </w:tc>
        <w:tc>
          <w:tcPr>
            <w:tcW w:w="1109" w:type="dxa"/>
            <w:shd w:val="clear" w:color="auto" w:fill="auto"/>
            <w:noWrap/>
            <w:vAlign w:val="center"/>
          </w:tcPr>
          <w:p w14:paraId="04A9E7EA">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3EBFC74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显示学生、教师、企业家协会、商会、公益基金等帮扶组织，对捐款的资金类型进行统计，包括：募捐金额、募捐日期。</w:t>
            </w:r>
          </w:p>
        </w:tc>
      </w:tr>
      <w:tr w14:paraId="72411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7" w:hRule="atLeast"/>
          <w:jc w:val="center"/>
        </w:trPr>
        <w:tc>
          <w:tcPr>
            <w:tcW w:w="844" w:type="dxa"/>
            <w:vMerge w:val="continue"/>
            <w:shd w:val="clear" w:color="auto" w:fill="auto"/>
            <w:vAlign w:val="center"/>
          </w:tcPr>
          <w:p w14:paraId="7DC2E6CA">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74A33BCD">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1296494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贫困生资助</w:t>
            </w:r>
          </w:p>
        </w:tc>
        <w:tc>
          <w:tcPr>
            <w:tcW w:w="1109" w:type="dxa"/>
            <w:shd w:val="clear" w:color="auto" w:fill="auto"/>
            <w:noWrap/>
            <w:vAlign w:val="center"/>
          </w:tcPr>
          <w:p w14:paraId="6F82835E">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043381A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显示历年受资助的贫困生名单，关联：支出日期、支出金额、文件附件等。</w:t>
            </w:r>
          </w:p>
        </w:tc>
      </w:tr>
      <w:tr w14:paraId="15C9C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44" w:type="dxa"/>
            <w:vMerge w:val="continue"/>
            <w:shd w:val="clear" w:color="auto" w:fill="auto"/>
            <w:vAlign w:val="center"/>
          </w:tcPr>
          <w:p w14:paraId="4F8F7EBC">
            <w:pPr>
              <w:jc w:val="center"/>
              <w:rPr>
                <w:rFonts w:hint="eastAsia" w:ascii="宋体" w:hAnsi="宋体" w:eastAsia="宋体" w:cs="宋体"/>
                <w:i w:val="0"/>
                <w:iCs w:val="0"/>
                <w:color w:val="auto"/>
                <w:sz w:val="22"/>
                <w:szCs w:val="22"/>
                <w:highlight w:val="none"/>
                <w:u w:val="none"/>
              </w:rPr>
            </w:pPr>
          </w:p>
        </w:tc>
        <w:tc>
          <w:tcPr>
            <w:tcW w:w="929" w:type="dxa"/>
            <w:vMerge w:val="restart"/>
            <w:shd w:val="clear" w:color="auto" w:fill="auto"/>
            <w:vAlign w:val="center"/>
          </w:tcPr>
          <w:p w14:paraId="3128280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学生卡预警分析</w:t>
            </w:r>
          </w:p>
        </w:tc>
        <w:tc>
          <w:tcPr>
            <w:tcW w:w="1418" w:type="dxa"/>
            <w:shd w:val="clear" w:color="auto" w:fill="auto"/>
            <w:vAlign w:val="center"/>
          </w:tcPr>
          <w:p w14:paraId="086C5E8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贫困生保障预警</w:t>
            </w:r>
          </w:p>
        </w:tc>
        <w:tc>
          <w:tcPr>
            <w:tcW w:w="1109" w:type="dxa"/>
            <w:shd w:val="clear" w:color="auto" w:fill="auto"/>
            <w:noWrap/>
            <w:vAlign w:val="center"/>
          </w:tcPr>
          <w:p w14:paraId="3E53491E">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401F1B4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通过分析学生卡低频消费趋势，识别家庭和生活困难学生。</w:t>
            </w:r>
          </w:p>
        </w:tc>
      </w:tr>
      <w:tr w14:paraId="352E6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7" w:hRule="atLeast"/>
          <w:jc w:val="center"/>
        </w:trPr>
        <w:tc>
          <w:tcPr>
            <w:tcW w:w="844" w:type="dxa"/>
            <w:vMerge w:val="continue"/>
            <w:shd w:val="clear" w:color="auto" w:fill="auto"/>
            <w:vAlign w:val="center"/>
          </w:tcPr>
          <w:p w14:paraId="1D044874">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1F12D4EC">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47F8979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学生被欺凌预警</w:t>
            </w:r>
          </w:p>
        </w:tc>
        <w:tc>
          <w:tcPr>
            <w:tcW w:w="1109" w:type="dxa"/>
            <w:shd w:val="clear" w:color="auto" w:fill="auto"/>
            <w:noWrap/>
            <w:vAlign w:val="center"/>
          </w:tcPr>
          <w:p w14:paraId="6571FB85">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4BB35D0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通过分析学生卡高频消费趋势，识别发现有被欺凌风险学生。</w:t>
            </w:r>
          </w:p>
        </w:tc>
      </w:tr>
      <w:tr w14:paraId="7B865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844" w:type="dxa"/>
            <w:vMerge w:val="restart"/>
            <w:shd w:val="clear" w:color="auto" w:fill="auto"/>
            <w:vAlign w:val="center"/>
          </w:tcPr>
          <w:p w14:paraId="58D9551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六、数据调度中心</w:t>
            </w:r>
          </w:p>
        </w:tc>
        <w:tc>
          <w:tcPr>
            <w:tcW w:w="929" w:type="dxa"/>
            <w:vMerge w:val="restart"/>
            <w:shd w:val="clear" w:color="auto" w:fill="auto"/>
            <w:vAlign w:val="center"/>
          </w:tcPr>
          <w:p w14:paraId="3050C03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数据接入</w:t>
            </w:r>
          </w:p>
        </w:tc>
        <w:tc>
          <w:tcPr>
            <w:tcW w:w="1418" w:type="dxa"/>
            <w:vMerge w:val="restart"/>
            <w:shd w:val="clear" w:color="auto" w:fill="auto"/>
            <w:vAlign w:val="center"/>
          </w:tcPr>
          <w:p w14:paraId="7DCF734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多源数据连接</w:t>
            </w:r>
          </w:p>
        </w:tc>
        <w:tc>
          <w:tcPr>
            <w:tcW w:w="1109" w:type="dxa"/>
            <w:shd w:val="clear" w:color="auto" w:fill="auto"/>
            <w:vAlign w:val="center"/>
          </w:tcPr>
          <w:p w14:paraId="2B807B9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数据库连接</w:t>
            </w:r>
          </w:p>
        </w:tc>
        <w:tc>
          <w:tcPr>
            <w:tcW w:w="4818" w:type="dxa"/>
            <w:shd w:val="clear" w:color="auto" w:fill="auto"/>
            <w:vAlign w:val="center"/>
          </w:tcPr>
          <w:p w14:paraId="4FBEA0A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配置连接字符串，依据不同数据库类型加载对应驱动，实现与各类关系型数据库的连接，确保数据稳定传输。</w:t>
            </w:r>
          </w:p>
        </w:tc>
      </w:tr>
      <w:tr w14:paraId="18A09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44" w:type="dxa"/>
            <w:vMerge w:val="continue"/>
            <w:shd w:val="clear" w:color="auto" w:fill="auto"/>
            <w:vAlign w:val="center"/>
          </w:tcPr>
          <w:p w14:paraId="0CD488C4">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300F2C1B">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34ADC08E">
            <w:pPr>
              <w:jc w:val="center"/>
              <w:rPr>
                <w:rFonts w:hint="eastAsia" w:ascii="宋体" w:hAnsi="宋体" w:eastAsia="宋体" w:cs="宋体"/>
                <w:i w:val="0"/>
                <w:iCs w:val="0"/>
                <w:color w:val="auto"/>
                <w:sz w:val="22"/>
                <w:szCs w:val="22"/>
                <w:highlight w:val="none"/>
                <w:u w:val="none"/>
              </w:rPr>
            </w:pPr>
          </w:p>
        </w:tc>
        <w:tc>
          <w:tcPr>
            <w:tcW w:w="1109" w:type="dxa"/>
            <w:shd w:val="clear" w:color="auto" w:fill="auto"/>
            <w:vAlign w:val="center"/>
          </w:tcPr>
          <w:p w14:paraId="10C8A17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API 接口连接</w:t>
            </w:r>
          </w:p>
        </w:tc>
        <w:tc>
          <w:tcPr>
            <w:tcW w:w="4818" w:type="dxa"/>
            <w:shd w:val="clear" w:color="auto" w:fill="auto"/>
            <w:vAlign w:val="center"/>
          </w:tcPr>
          <w:p w14:paraId="3D5BAE5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基于 HTTP 协议，采用相应的 RESTful 客户端库调用外部 API，精准获取数据并传输至数据中台。</w:t>
            </w:r>
          </w:p>
        </w:tc>
      </w:tr>
      <w:tr w14:paraId="5C69E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31" w:hRule="atLeast"/>
          <w:jc w:val="center"/>
        </w:trPr>
        <w:tc>
          <w:tcPr>
            <w:tcW w:w="844" w:type="dxa"/>
            <w:vMerge w:val="continue"/>
            <w:shd w:val="clear" w:color="auto" w:fill="auto"/>
            <w:vAlign w:val="center"/>
          </w:tcPr>
          <w:p w14:paraId="5A0663BD">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4BB774E9">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6E24283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数据抽取</w:t>
            </w:r>
          </w:p>
        </w:tc>
        <w:tc>
          <w:tcPr>
            <w:tcW w:w="1109" w:type="dxa"/>
            <w:shd w:val="clear" w:color="auto" w:fill="auto"/>
            <w:noWrap/>
            <w:vAlign w:val="center"/>
          </w:tcPr>
          <w:p w14:paraId="0BFFED88">
            <w:pPr>
              <w:jc w:val="center"/>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49DBC8D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编写全面的 SQL 查询语句获取整个表的数据，或者运用数据库自带的数据导出工具进行全量数据提取，确保数据完整性。</w:t>
            </w:r>
          </w:p>
        </w:tc>
      </w:tr>
      <w:tr w14:paraId="6B6F1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844" w:type="dxa"/>
            <w:vMerge w:val="continue"/>
            <w:shd w:val="clear" w:color="auto" w:fill="auto"/>
            <w:vAlign w:val="center"/>
          </w:tcPr>
          <w:p w14:paraId="292235AC">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02E5E6CC">
            <w:pPr>
              <w:jc w:val="center"/>
              <w:rPr>
                <w:rFonts w:hint="eastAsia" w:ascii="宋体" w:hAnsi="宋体" w:eastAsia="宋体" w:cs="宋体"/>
                <w:i w:val="0"/>
                <w:iCs w:val="0"/>
                <w:color w:val="auto"/>
                <w:sz w:val="22"/>
                <w:szCs w:val="22"/>
                <w:highlight w:val="none"/>
                <w:u w:val="none"/>
              </w:rPr>
            </w:pPr>
          </w:p>
        </w:tc>
        <w:tc>
          <w:tcPr>
            <w:tcW w:w="1418" w:type="dxa"/>
            <w:vMerge w:val="restart"/>
            <w:shd w:val="clear" w:color="auto" w:fill="auto"/>
            <w:vAlign w:val="center"/>
          </w:tcPr>
          <w:p w14:paraId="38644E4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数据转换</w:t>
            </w:r>
          </w:p>
        </w:tc>
        <w:tc>
          <w:tcPr>
            <w:tcW w:w="1109" w:type="dxa"/>
            <w:shd w:val="clear" w:color="auto" w:fill="auto"/>
            <w:noWrap/>
            <w:vAlign w:val="center"/>
          </w:tcPr>
          <w:p w14:paraId="0352BA5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数据清洗</w:t>
            </w:r>
          </w:p>
        </w:tc>
        <w:tc>
          <w:tcPr>
            <w:tcW w:w="4818" w:type="dxa"/>
            <w:shd w:val="clear" w:color="auto" w:fill="auto"/>
            <w:vAlign w:val="center"/>
          </w:tcPr>
          <w:p w14:paraId="7224596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▲编写数据清洗逻辑，例如使用 filter 函数依据特定条件去除重复数据，处理缺失值（填充或删除）等操作，提升数据质量。</w:t>
            </w:r>
          </w:p>
        </w:tc>
      </w:tr>
      <w:tr w14:paraId="016BE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844" w:type="dxa"/>
            <w:vMerge w:val="continue"/>
            <w:shd w:val="clear" w:color="auto" w:fill="auto"/>
            <w:vAlign w:val="center"/>
          </w:tcPr>
          <w:p w14:paraId="094BE851">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4DF8D161">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47A2F3E8">
            <w:pPr>
              <w:jc w:val="center"/>
              <w:rPr>
                <w:rFonts w:hint="eastAsia" w:ascii="宋体" w:hAnsi="宋体" w:eastAsia="宋体" w:cs="宋体"/>
                <w:i w:val="0"/>
                <w:iCs w:val="0"/>
                <w:color w:val="auto"/>
                <w:sz w:val="22"/>
                <w:szCs w:val="22"/>
                <w:highlight w:val="none"/>
                <w:u w:val="none"/>
              </w:rPr>
            </w:pPr>
          </w:p>
        </w:tc>
        <w:tc>
          <w:tcPr>
            <w:tcW w:w="1109" w:type="dxa"/>
            <w:shd w:val="clear" w:color="auto" w:fill="auto"/>
            <w:noWrap/>
            <w:vAlign w:val="center"/>
          </w:tcPr>
          <w:p w14:paraId="2B6C3D9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数据格式转换</w:t>
            </w:r>
          </w:p>
        </w:tc>
        <w:tc>
          <w:tcPr>
            <w:tcW w:w="4818" w:type="dxa"/>
            <w:shd w:val="clear" w:color="auto" w:fill="auto"/>
            <w:vAlign w:val="center"/>
          </w:tcPr>
          <w:p w14:paraId="33AC553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▲在数据处理流程中，使用数据库或数据处理框架提供的数据类型转换函数（如在 SQL 中使用 CAST 函数进行数据类型转换）进行格式转换，使数据格式统一。</w:t>
            </w:r>
          </w:p>
        </w:tc>
      </w:tr>
      <w:tr w14:paraId="34E45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31" w:hRule="atLeast"/>
          <w:jc w:val="center"/>
        </w:trPr>
        <w:tc>
          <w:tcPr>
            <w:tcW w:w="844" w:type="dxa"/>
            <w:vMerge w:val="continue"/>
            <w:shd w:val="clear" w:color="auto" w:fill="auto"/>
            <w:vAlign w:val="center"/>
          </w:tcPr>
          <w:p w14:paraId="330C61DA">
            <w:pPr>
              <w:jc w:val="center"/>
              <w:rPr>
                <w:rFonts w:hint="eastAsia" w:ascii="宋体" w:hAnsi="宋体" w:eastAsia="宋体" w:cs="宋体"/>
                <w:i w:val="0"/>
                <w:iCs w:val="0"/>
                <w:color w:val="auto"/>
                <w:sz w:val="22"/>
                <w:szCs w:val="22"/>
                <w:highlight w:val="none"/>
                <w:u w:val="none"/>
              </w:rPr>
            </w:pPr>
          </w:p>
        </w:tc>
        <w:tc>
          <w:tcPr>
            <w:tcW w:w="929" w:type="dxa"/>
            <w:vMerge w:val="restart"/>
            <w:shd w:val="clear" w:color="auto" w:fill="auto"/>
            <w:vAlign w:val="center"/>
          </w:tcPr>
          <w:p w14:paraId="66185D2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数据存储</w:t>
            </w:r>
          </w:p>
        </w:tc>
        <w:tc>
          <w:tcPr>
            <w:tcW w:w="1418" w:type="dxa"/>
            <w:vMerge w:val="restart"/>
            <w:shd w:val="clear" w:color="auto" w:fill="auto"/>
            <w:vAlign w:val="center"/>
          </w:tcPr>
          <w:p w14:paraId="48F8F2B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数据仓库</w:t>
            </w:r>
          </w:p>
        </w:tc>
        <w:tc>
          <w:tcPr>
            <w:tcW w:w="1109" w:type="dxa"/>
            <w:shd w:val="clear" w:color="auto" w:fill="auto"/>
            <w:vAlign w:val="center"/>
          </w:tcPr>
          <w:p w14:paraId="500FE5E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数据架构设计</w:t>
            </w:r>
          </w:p>
        </w:tc>
        <w:tc>
          <w:tcPr>
            <w:tcW w:w="4818" w:type="dxa"/>
            <w:shd w:val="clear" w:color="auto" w:fill="auto"/>
            <w:vAlign w:val="center"/>
          </w:tcPr>
          <w:p w14:paraId="1D5873D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依据业务需求和数据特点，进行数据仓库架构设计，确定数据分层（如 ODS 原始数据层、DWD 明细数据层、DWS 汇总数据层等）和维度建模方式。</w:t>
            </w:r>
          </w:p>
        </w:tc>
      </w:tr>
      <w:tr w14:paraId="4A4AB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844" w:type="dxa"/>
            <w:vMerge w:val="continue"/>
            <w:shd w:val="clear" w:color="auto" w:fill="auto"/>
            <w:vAlign w:val="center"/>
          </w:tcPr>
          <w:p w14:paraId="251F6AD1">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41D4DF0C">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20A7BA2B">
            <w:pPr>
              <w:jc w:val="center"/>
              <w:rPr>
                <w:rFonts w:hint="eastAsia" w:ascii="宋体" w:hAnsi="宋体" w:eastAsia="宋体" w:cs="宋体"/>
                <w:i w:val="0"/>
                <w:iCs w:val="0"/>
                <w:color w:val="auto"/>
                <w:sz w:val="22"/>
                <w:szCs w:val="22"/>
                <w:highlight w:val="none"/>
                <w:u w:val="none"/>
              </w:rPr>
            </w:pPr>
          </w:p>
        </w:tc>
        <w:tc>
          <w:tcPr>
            <w:tcW w:w="1109" w:type="dxa"/>
            <w:shd w:val="clear" w:color="auto" w:fill="auto"/>
            <w:vAlign w:val="center"/>
          </w:tcPr>
          <w:p w14:paraId="4F6CCA0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数据分层存储</w:t>
            </w:r>
          </w:p>
        </w:tc>
        <w:tc>
          <w:tcPr>
            <w:tcW w:w="4818" w:type="dxa"/>
            <w:shd w:val="clear" w:color="auto" w:fill="auto"/>
            <w:vAlign w:val="center"/>
          </w:tcPr>
          <w:p w14:paraId="178979F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使用 SQL DDL 创建不同层次的数据表（如在数据库中创建 ODS 表用于存储原始数据），通过工具将数据从数据源抽取并加载到相应的数据层。</w:t>
            </w:r>
          </w:p>
        </w:tc>
      </w:tr>
      <w:tr w14:paraId="1E95D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44" w:type="dxa"/>
            <w:vMerge w:val="continue"/>
            <w:shd w:val="clear" w:color="auto" w:fill="auto"/>
            <w:vAlign w:val="center"/>
          </w:tcPr>
          <w:p w14:paraId="0A35AE0B">
            <w:pPr>
              <w:jc w:val="center"/>
              <w:rPr>
                <w:rFonts w:hint="eastAsia" w:ascii="宋体" w:hAnsi="宋体" w:eastAsia="宋体" w:cs="宋体"/>
                <w:i w:val="0"/>
                <w:iCs w:val="0"/>
                <w:color w:val="auto"/>
                <w:sz w:val="22"/>
                <w:szCs w:val="22"/>
                <w:highlight w:val="none"/>
                <w:u w:val="none"/>
              </w:rPr>
            </w:pPr>
          </w:p>
        </w:tc>
        <w:tc>
          <w:tcPr>
            <w:tcW w:w="929" w:type="dxa"/>
            <w:vMerge w:val="restart"/>
            <w:shd w:val="clear" w:color="auto" w:fill="auto"/>
            <w:vAlign w:val="center"/>
          </w:tcPr>
          <w:p w14:paraId="28C1D94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数据管理</w:t>
            </w:r>
          </w:p>
        </w:tc>
        <w:tc>
          <w:tcPr>
            <w:tcW w:w="1418" w:type="dxa"/>
            <w:vMerge w:val="restart"/>
            <w:shd w:val="clear" w:color="auto" w:fill="auto"/>
            <w:vAlign w:val="center"/>
          </w:tcPr>
          <w:p w14:paraId="6C89E05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元数据管理</w:t>
            </w:r>
          </w:p>
        </w:tc>
        <w:tc>
          <w:tcPr>
            <w:tcW w:w="1109" w:type="dxa"/>
            <w:shd w:val="clear" w:color="auto" w:fill="auto"/>
            <w:vAlign w:val="center"/>
          </w:tcPr>
          <w:p w14:paraId="356EB16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元数据采集</w:t>
            </w:r>
          </w:p>
        </w:tc>
        <w:tc>
          <w:tcPr>
            <w:tcW w:w="4818" w:type="dxa"/>
            <w:shd w:val="clear" w:color="auto" w:fill="auto"/>
            <w:vAlign w:val="center"/>
          </w:tcPr>
          <w:p w14:paraId="7DAC271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使用元数据采集工具，从数据源、数据仓库等环节自动采集元数据信息，构建元数据仓库。</w:t>
            </w:r>
          </w:p>
        </w:tc>
      </w:tr>
      <w:tr w14:paraId="057C6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31" w:hRule="atLeast"/>
          <w:jc w:val="center"/>
        </w:trPr>
        <w:tc>
          <w:tcPr>
            <w:tcW w:w="844" w:type="dxa"/>
            <w:vMerge w:val="continue"/>
            <w:shd w:val="clear" w:color="auto" w:fill="auto"/>
            <w:vAlign w:val="center"/>
          </w:tcPr>
          <w:p w14:paraId="5A88F286">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5F7AFAA8">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25CD8D17">
            <w:pPr>
              <w:jc w:val="center"/>
              <w:rPr>
                <w:rFonts w:hint="eastAsia" w:ascii="宋体" w:hAnsi="宋体" w:eastAsia="宋体" w:cs="宋体"/>
                <w:i w:val="0"/>
                <w:iCs w:val="0"/>
                <w:color w:val="auto"/>
                <w:sz w:val="22"/>
                <w:szCs w:val="22"/>
                <w:highlight w:val="none"/>
                <w:u w:val="none"/>
              </w:rPr>
            </w:pPr>
          </w:p>
        </w:tc>
        <w:tc>
          <w:tcPr>
            <w:tcW w:w="1109" w:type="dxa"/>
            <w:shd w:val="clear" w:color="auto" w:fill="auto"/>
            <w:vAlign w:val="center"/>
          </w:tcPr>
          <w:p w14:paraId="670BEF5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元数据存储</w:t>
            </w:r>
          </w:p>
        </w:tc>
        <w:tc>
          <w:tcPr>
            <w:tcW w:w="4818" w:type="dxa"/>
            <w:shd w:val="clear" w:color="auto" w:fill="auto"/>
            <w:vAlign w:val="center"/>
          </w:tcPr>
          <w:p w14:paraId="4F7676D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将采集到的元数据存储在关系型数据库（便于简单查询和管理）或图数据库中，以便进行高效的查询和管理。</w:t>
            </w:r>
          </w:p>
        </w:tc>
      </w:tr>
      <w:tr w14:paraId="6A2F8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78" w:hRule="atLeast"/>
          <w:jc w:val="center"/>
        </w:trPr>
        <w:tc>
          <w:tcPr>
            <w:tcW w:w="844" w:type="dxa"/>
            <w:vMerge w:val="continue"/>
            <w:shd w:val="clear" w:color="auto" w:fill="auto"/>
            <w:vAlign w:val="center"/>
          </w:tcPr>
          <w:p w14:paraId="2E55D8CA">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4012ECAC">
            <w:pPr>
              <w:jc w:val="center"/>
              <w:rPr>
                <w:rFonts w:hint="eastAsia" w:ascii="宋体" w:hAnsi="宋体" w:eastAsia="宋体" w:cs="宋体"/>
                <w:i w:val="0"/>
                <w:iCs w:val="0"/>
                <w:color w:val="auto"/>
                <w:sz w:val="22"/>
                <w:szCs w:val="22"/>
                <w:highlight w:val="none"/>
                <w:u w:val="none"/>
              </w:rPr>
            </w:pPr>
          </w:p>
        </w:tc>
        <w:tc>
          <w:tcPr>
            <w:tcW w:w="1418" w:type="dxa"/>
            <w:vMerge w:val="restart"/>
            <w:shd w:val="clear" w:color="auto" w:fill="auto"/>
            <w:vAlign w:val="center"/>
          </w:tcPr>
          <w:p w14:paraId="532CEC6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数据质量管理</w:t>
            </w:r>
          </w:p>
        </w:tc>
        <w:tc>
          <w:tcPr>
            <w:tcW w:w="1109" w:type="dxa"/>
            <w:shd w:val="clear" w:color="auto" w:fill="auto"/>
            <w:vAlign w:val="center"/>
          </w:tcPr>
          <w:p w14:paraId="4ABB9E8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质量规则设定</w:t>
            </w:r>
          </w:p>
        </w:tc>
        <w:tc>
          <w:tcPr>
            <w:tcW w:w="4818" w:type="dxa"/>
            <w:shd w:val="clear" w:color="auto" w:fill="auto"/>
            <w:vAlign w:val="center"/>
          </w:tcPr>
          <w:p w14:paraId="6F0FC95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使用数据质量规则引擎定义数据准确性（如数据值是否在合理范围内）、完整性（如必填字段是否有值）、一致性（如不同表中相同字段数据是否一致）等质量规则，如设置字段非空约束、数据格式规范等规则，并可进行规则的组合与嵌套。</w:t>
            </w:r>
          </w:p>
        </w:tc>
      </w:tr>
      <w:tr w14:paraId="00E7F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78" w:hRule="atLeast"/>
          <w:jc w:val="center"/>
        </w:trPr>
        <w:tc>
          <w:tcPr>
            <w:tcW w:w="844" w:type="dxa"/>
            <w:vMerge w:val="continue"/>
            <w:shd w:val="clear" w:color="auto" w:fill="auto"/>
            <w:vAlign w:val="center"/>
          </w:tcPr>
          <w:p w14:paraId="75660A75">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2369B422">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111BEF42">
            <w:pPr>
              <w:jc w:val="center"/>
              <w:rPr>
                <w:rFonts w:hint="eastAsia" w:ascii="宋体" w:hAnsi="宋体" w:eastAsia="宋体" w:cs="宋体"/>
                <w:i w:val="0"/>
                <w:iCs w:val="0"/>
                <w:color w:val="auto"/>
                <w:sz w:val="22"/>
                <w:szCs w:val="22"/>
                <w:highlight w:val="none"/>
                <w:u w:val="none"/>
              </w:rPr>
            </w:pPr>
          </w:p>
        </w:tc>
        <w:tc>
          <w:tcPr>
            <w:tcW w:w="1109" w:type="dxa"/>
            <w:shd w:val="clear" w:color="auto" w:fill="auto"/>
            <w:vAlign w:val="center"/>
          </w:tcPr>
          <w:p w14:paraId="1C1F2D5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质量监控与评估</w:t>
            </w:r>
          </w:p>
        </w:tc>
        <w:tc>
          <w:tcPr>
            <w:tcW w:w="4818" w:type="dxa"/>
            <w:shd w:val="clear" w:color="auto" w:fill="auto"/>
            <w:vAlign w:val="center"/>
          </w:tcPr>
          <w:p w14:paraId="18035DC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运用数据质量监控工具（如定期对数据进行抽样检查）结合数据统计分析库（如计算数据的准确率、完整率等指标）对数据质量指标进行统计和评估，如通过数据统计分析库中的函数计算特定时间段内数据的准确率（正确数据量与总数据量之比）。</w:t>
            </w:r>
          </w:p>
        </w:tc>
      </w:tr>
      <w:tr w14:paraId="1F892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52" w:hRule="atLeast"/>
          <w:jc w:val="center"/>
        </w:trPr>
        <w:tc>
          <w:tcPr>
            <w:tcW w:w="844" w:type="dxa"/>
            <w:vMerge w:val="continue"/>
            <w:shd w:val="clear" w:color="auto" w:fill="auto"/>
            <w:vAlign w:val="center"/>
          </w:tcPr>
          <w:p w14:paraId="548B28D7">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5178CFC5">
            <w:pPr>
              <w:jc w:val="center"/>
              <w:rPr>
                <w:rFonts w:hint="eastAsia" w:ascii="宋体" w:hAnsi="宋体" w:eastAsia="宋体" w:cs="宋体"/>
                <w:i w:val="0"/>
                <w:iCs w:val="0"/>
                <w:color w:val="auto"/>
                <w:sz w:val="22"/>
                <w:szCs w:val="22"/>
                <w:highlight w:val="none"/>
                <w:u w:val="none"/>
              </w:rPr>
            </w:pPr>
          </w:p>
        </w:tc>
        <w:tc>
          <w:tcPr>
            <w:tcW w:w="1418" w:type="dxa"/>
            <w:vMerge w:val="restart"/>
            <w:shd w:val="clear" w:color="auto" w:fill="auto"/>
            <w:vAlign w:val="center"/>
          </w:tcPr>
          <w:p w14:paraId="3857483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数据安全管理</w:t>
            </w:r>
          </w:p>
        </w:tc>
        <w:tc>
          <w:tcPr>
            <w:tcW w:w="1109" w:type="dxa"/>
            <w:shd w:val="clear" w:color="auto" w:fill="auto"/>
            <w:vAlign w:val="center"/>
          </w:tcPr>
          <w:p w14:paraId="533EF34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权限控制</w:t>
            </w:r>
          </w:p>
        </w:tc>
        <w:tc>
          <w:tcPr>
            <w:tcW w:w="4818" w:type="dxa"/>
            <w:shd w:val="clear" w:color="auto" w:fill="auto"/>
            <w:vAlign w:val="center"/>
          </w:tcPr>
          <w:p w14:paraId="7C40329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实施 RBAC 框架，在数据中台的各个层面（如数据存储、数据服务等）设置角色（如数据管理员、数据开发人员、普通用户）和对应的权限（如数据管理员可进行数据修改和删除，普通用户仅可查询数据），对用户访问数据进行严格控制，通过权限验证机制确保用户只能访问其被授权的数据。</w:t>
            </w:r>
          </w:p>
        </w:tc>
      </w:tr>
      <w:tr w14:paraId="71487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44" w:type="dxa"/>
            <w:vMerge w:val="continue"/>
            <w:shd w:val="clear" w:color="auto" w:fill="auto"/>
            <w:vAlign w:val="center"/>
          </w:tcPr>
          <w:p w14:paraId="26AE07CC">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644FB11F">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12141E6F">
            <w:pPr>
              <w:jc w:val="center"/>
              <w:rPr>
                <w:rFonts w:hint="eastAsia" w:ascii="宋体" w:hAnsi="宋体" w:eastAsia="宋体" w:cs="宋体"/>
                <w:i w:val="0"/>
                <w:iCs w:val="0"/>
                <w:color w:val="auto"/>
                <w:sz w:val="22"/>
                <w:szCs w:val="22"/>
                <w:highlight w:val="none"/>
                <w:u w:val="none"/>
              </w:rPr>
            </w:pPr>
          </w:p>
        </w:tc>
        <w:tc>
          <w:tcPr>
            <w:tcW w:w="1109" w:type="dxa"/>
            <w:shd w:val="clear" w:color="auto" w:fill="auto"/>
            <w:vAlign w:val="center"/>
          </w:tcPr>
          <w:p w14:paraId="6236FEE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数据加密</w:t>
            </w:r>
          </w:p>
        </w:tc>
        <w:tc>
          <w:tcPr>
            <w:tcW w:w="4818" w:type="dxa"/>
            <w:shd w:val="clear" w:color="auto" w:fill="auto"/>
            <w:vAlign w:val="center"/>
          </w:tcPr>
          <w:p w14:paraId="50A2895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使用加密算法对敏感数据进行加密存储和传输，保障数据在存储与网络传输过程中的安全性。</w:t>
            </w:r>
          </w:p>
        </w:tc>
      </w:tr>
      <w:tr w14:paraId="6ACEC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8" w:hRule="atLeast"/>
          <w:jc w:val="center"/>
        </w:trPr>
        <w:tc>
          <w:tcPr>
            <w:tcW w:w="844" w:type="dxa"/>
            <w:vMerge w:val="continue"/>
            <w:shd w:val="clear" w:color="auto" w:fill="auto"/>
            <w:vAlign w:val="center"/>
          </w:tcPr>
          <w:p w14:paraId="63BAB1BB">
            <w:pPr>
              <w:jc w:val="center"/>
              <w:rPr>
                <w:rFonts w:hint="eastAsia" w:ascii="宋体" w:hAnsi="宋体" w:eastAsia="宋体" w:cs="宋体"/>
                <w:i w:val="0"/>
                <w:iCs w:val="0"/>
                <w:color w:val="auto"/>
                <w:sz w:val="22"/>
                <w:szCs w:val="22"/>
                <w:highlight w:val="none"/>
                <w:u w:val="none"/>
              </w:rPr>
            </w:pPr>
          </w:p>
        </w:tc>
        <w:tc>
          <w:tcPr>
            <w:tcW w:w="929" w:type="dxa"/>
            <w:vMerge w:val="restart"/>
            <w:shd w:val="clear" w:color="auto" w:fill="auto"/>
            <w:vAlign w:val="center"/>
          </w:tcPr>
          <w:p w14:paraId="6A74E04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数据服务</w:t>
            </w:r>
          </w:p>
        </w:tc>
        <w:tc>
          <w:tcPr>
            <w:tcW w:w="1418" w:type="dxa"/>
            <w:vMerge w:val="restart"/>
            <w:shd w:val="clear" w:color="auto" w:fill="auto"/>
            <w:vAlign w:val="center"/>
          </w:tcPr>
          <w:p w14:paraId="2F7FED8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API 开发与管理</w:t>
            </w:r>
          </w:p>
        </w:tc>
        <w:tc>
          <w:tcPr>
            <w:tcW w:w="1109" w:type="dxa"/>
            <w:shd w:val="clear" w:color="auto" w:fill="auto"/>
            <w:vAlign w:val="center"/>
          </w:tcPr>
          <w:p w14:paraId="24D89FB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API 设计与开发</w:t>
            </w:r>
          </w:p>
        </w:tc>
        <w:tc>
          <w:tcPr>
            <w:tcW w:w="4818" w:type="dxa"/>
            <w:shd w:val="clear" w:color="auto" w:fill="auto"/>
            <w:vAlign w:val="center"/>
          </w:tcPr>
          <w:p w14:paraId="0203DDA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使用 Spring Boot 或 Flask 等 Web 开发框架开发数据服务 API，定义 API 接口规范（如接口名称、请求方法、参数类型和格式）、请求参数（如查询数据的条件参数）和响应格式（如返回数据的结构和数据类型）等，确保 API 的易用性和规范性。</w:t>
            </w:r>
          </w:p>
        </w:tc>
      </w:tr>
      <w:tr w14:paraId="5A7CD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2" w:hRule="atLeast"/>
          <w:jc w:val="center"/>
        </w:trPr>
        <w:tc>
          <w:tcPr>
            <w:tcW w:w="844" w:type="dxa"/>
            <w:vMerge w:val="continue"/>
            <w:shd w:val="clear" w:color="auto" w:fill="auto"/>
            <w:vAlign w:val="center"/>
          </w:tcPr>
          <w:p w14:paraId="2789082B">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750EBFD6">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0A516413">
            <w:pPr>
              <w:jc w:val="center"/>
              <w:rPr>
                <w:rFonts w:hint="eastAsia" w:ascii="宋体" w:hAnsi="宋体" w:eastAsia="宋体" w:cs="宋体"/>
                <w:i w:val="0"/>
                <w:iCs w:val="0"/>
                <w:color w:val="auto"/>
                <w:sz w:val="22"/>
                <w:szCs w:val="22"/>
                <w:highlight w:val="none"/>
                <w:u w:val="none"/>
              </w:rPr>
            </w:pPr>
          </w:p>
        </w:tc>
        <w:tc>
          <w:tcPr>
            <w:tcW w:w="1109" w:type="dxa"/>
            <w:shd w:val="clear" w:color="auto" w:fill="auto"/>
            <w:vAlign w:val="center"/>
          </w:tcPr>
          <w:p w14:paraId="6E0F127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API 调用监控与限流</w:t>
            </w:r>
          </w:p>
        </w:tc>
        <w:tc>
          <w:tcPr>
            <w:tcW w:w="4818" w:type="dxa"/>
            <w:shd w:val="clear" w:color="auto" w:fill="auto"/>
            <w:vAlign w:val="center"/>
          </w:tcPr>
          <w:p w14:paraId="3824B8A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利用 API 监控工具实时监测 API 的调用情况，如调用次数（统计每分钟或每小时的调用次数）、响应时间（记录每个 API 请求的处理时长）等，通过实现限流算法（如令牌桶算法控制单位时间内的请求数量，漏桶算法平滑请求流量）对 API 调用进行流量控制，防止恶意调用或系统过载，保障 API 服务的稳定性。</w:t>
            </w:r>
          </w:p>
        </w:tc>
      </w:tr>
      <w:tr w14:paraId="20CAE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2" w:hRule="atLeast"/>
          <w:jc w:val="center"/>
        </w:trPr>
        <w:tc>
          <w:tcPr>
            <w:tcW w:w="844" w:type="dxa"/>
            <w:vMerge w:val="continue"/>
            <w:shd w:val="clear" w:color="auto" w:fill="auto"/>
            <w:vAlign w:val="center"/>
          </w:tcPr>
          <w:p w14:paraId="447EAF23">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40A35A59">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1A95ECA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数据共享</w:t>
            </w:r>
          </w:p>
        </w:tc>
        <w:tc>
          <w:tcPr>
            <w:tcW w:w="1109" w:type="dxa"/>
            <w:shd w:val="clear" w:color="auto" w:fill="auto"/>
            <w:vAlign w:val="center"/>
          </w:tcPr>
          <w:p w14:paraId="1168FEB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数据集市构建</w:t>
            </w:r>
          </w:p>
        </w:tc>
        <w:tc>
          <w:tcPr>
            <w:tcW w:w="4818" w:type="dxa"/>
            <w:shd w:val="clear" w:color="auto" w:fill="auto"/>
            <w:vAlign w:val="center"/>
          </w:tcPr>
          <w:p w14:paraId="4A3ABB3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根据不同业务部门的需求，使用 SQL 查询和视图创建技术（如创建特定业务需求的数据库视图）构建数据集市，通过数据可视化工具将数据集市中的数据进行可视化展示（如生成业务部门关注的销售趋势图、用户分布地图等），方便业务部门使用，提高数据的可理解性和决策支持能力。</w:t>
            </w:r>
          </w:p>
        </w:tc>
      </w:tr>
      <w:tr w14:paraId="1E911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2" w:hRule="atLeast"/>
          <w:jc w:val="center"/>
        </w:trPr>
        <w:tc>
          <w:tcPr>
            <w:tcW w:w="844" w:type="dxa"/>
            <w:vMerge w:val="continue"/>
            <w:shd w:val="clear" w:color="auto" w:fill="auto"/>
            <w:vAlign w:val="center"/>
          </w:tcPr>
          <w:p w14:paraId="49D7BFE1">
            <w:pPr>
              <w:jc w:val="center"/>
              <w:rPr>
                <w:rFonts w:hint="eastAsia" w:ascii="宋体" w:hAnsi="宋体" w:eastAsia="宋体" w:cs="宋体"/>
                <w:i w:val="0"/>
                <w:iCs w:val="0"/>
                <w:color w:val="auto"/>
                <w:sz w:val="22"/>
                <w:szCs w:val="22"/>
                <w:highlight w:val="none"/>
                <w:u w:val="none"/>
              </w:rPr>
            </w:pPr>
          </w:p>
        </w:tc>
        <w:tc>
          <w:tcPr>
            <w:tcW w:w="929" w:type="dxa"/>
            <w:vMerge w:val="restart"/>
            <w:shd w:val="clear" w:color="auto" w:fill="auto"/>
            <w:vAlign w:val="center"/>
          </w:tcPr>
          <w:p w14:paraId="52E3A36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任务调度</w:t>
            </w:r>
          </w:p>
        </w:tc>
        <w:tc>
          <w:tcPr>
            <w:tcW w:w="1418" w:type="dxa"/>
            <w:shd w:val="clear" w:color="auto" w:fill="auto"/>
            <w:vAlign w:val="center"/>
          </w:tcPr>
          <w:p w14:paraId="667E120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定时调度</w:t>
            </w:r>
          </w:p>
        </w:tc>
        <w:tc>
          <w:tcPr>
            <w:tcW w:w="1109" w:type="dxa"/>
            <w:shd w:val="clear" w:color="auto" w:fill="auto"/>
            <w:vAlign w:val="center"/>
          </w:tcPr>
          <w:p w14:paraId="596C673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时间表达式设置</w:t>
            </w:r>
          </w:p>
        </w:tc>
        <w:tc>
          <w:tcPr>
            <w:tcW w:w="4818" w:type="dxa"/>
            <w:shd w:val="clear" w:color="auto" w:fill="auto"/>
            <w:vAlign w:val="center"/>
          </w:tcPr>
          <w:p w14:paraId="1F9722D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使用 Cron 表达式设置任务的执行时间计划，如在任务调度工具中配置每天凌晨 2 点执行数据备份任务的 Cron 表达式为 “0 0 2 * * *”，可精确设置任务的执行时间，包括年、月、日、时、分、秒等维度，满足各种定时任务需求。</w:t>
            </w:r>
          </w:p>
        </w:tc>
      </w:tr>
      <w:tr w14:paraId="7398B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7" w:hRule="atLeast"/>
          <w:jc w:val="center"/>
        </w:trPr>
        <w:tc>
          <w:tcPr>
            <w:tcW w:w="844" w:type="dxa"/>
            <w:vMerge w:val="continue"/>
            <w:shd w:val="clear" w:color="auto" w:fill="auto"/>
            <w:vAlign w:val="center"/>
          </w:tcPr>
          <w:p w14:paraId="0081D1C5">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4A23FB46">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7ED15BE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任务监控</w:t>
            </w:r>
          </w:p>
        </w:tc>
        <w:tc>
          <w:tcPr>
            <w:tcW w:w="1109" w:type="dxa"/>
            <w:shd w:val="clear" w:color="auto" w:fill="auto"/>
            <w:vAlign w:val="center"/>
          </w:tcPr>
          <w:p w14:paraId="4AABDF7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监控指标采集</w:t>
            </w:r>
          </w:p>
        </w:tc>
        <w:tc>
          <w:tcPr>
            <w:tcW w:w="4818" w:type="dxa"/>
            <w:shd w:val="clear" w:color="auto" w:fill="auto"/>
            <w:vAlign w:val="center"/>
          </w:tcPr>
          <w:p w14:paraId="4C374CE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在数据中台的各个节点部署监控代理，采集任务执行过程中的各种监控指标，为任务监控提供数据基础。</w:t>
            </w:r>
          </w:p>
        </w:tc>
      </w:tr>
      <w:tr w14:paraId="1FEDD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2" w:hRule="atLeast"/>
          <w:jc w:val="center"/>
        </w:trPr>
        <w:tc>
          <w:tcPr>
            <w:tcW w:w="844" w:type="dxa"/>
            <w:vMerge w:val="continue"/>
            <w:shd w:val="clear" w:color="auto" w:fill="auto"/>
            <w:vAlign w:val="center"/>
          </w:tcPr>
          <w:p w14:paraId="657B526B">
            <w:pPr>
              <w:jc w:val="center"/>
              <w:rPr>
                <w:rFonts w:hint="eastAsia" w:ascii="宋体" w:hAnsi="宋体" w:eastAsia="宋体" w:cs="宋体"/>
                <w:i w:val="0"/>
                <w:iCs w:val="0"/>
                <w:color w:val="auto"/>
                <w:sz w:val="22"/>
                <w:szCs w:val="22"/>
                <w:highlight w:val="none"/>
                <w:u w:val="none"/>
              </w:rPr>
            </w:pPr>
          </w:p>
        </w:tc>
        <w:tc>
          <w:tcPr>
            <w:tcW w:w="929" w:type="dxa"/>
            <w:vMerge w:val="restart"/>
            <w:shd w:val="clear" w:color="auto" w:fill="auto"/>
            <w:vAlign w:val="center"/>
          </w:tcPr>
          <w:p w14:paraId="7350AA4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运维管理</w:t>
            </w:r>
          </w:p>
        </w:tc>
        <w:tc>
          <w:tcPr>
            <w:tcW w:w="1418" w:type="dxa"/>
            <w:vMerge w:val="restart"/>
            <w:shd w:val="clear" w:color="auto" w:fill="auto"/>
            <w:vAlign w:val="center"/>
          </w:tcPr>
          <w:p w14:paraId="03C8120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资源管理与规划</w:t>
            </w:r>
          </w:p>
        </w:tc>
        <w:tc>
          <w:tcPr>
            <w:tcW w:w="1109" w:type="dxa"/>
            <w:shd w:val="clear" w:color="auto" w:fill="auto"/>
            <w:vAlign w:val="center"/>
          </w:tcPr>
          <w:p w14:paraId="30C9FBF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资源监控与统计</w:t>
            </w:r>
          </w:p>
        </w:tc>
        <w:tc>
          <w:tcPr>
            <w:tcW w:w="4818" w:type="dxa"/>
            <w:shd w:val="clear" w:color="auto" w:fill="auto"/>
            <w:vAlign w:val="center"/>
          </w:tcPr>
          <w:p w14:paraId="4554E2A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使用资源监控工具对数据中台的计算资源（CPU、内存、存储等）和网络资源进行实时监控和统计，收集资源使用情况的数据，如每台服务器的 CPU 负载平均值、内存使用量、磁盘空间剩余量，网络接口的流量速率等，以图表或报表形式展示资源使用历史趋势和当前状态，为资源分配和规划提供数据基础。</w:t>
            </w:r>
          </w:p>
        </w:tc>
      </w:tr>
      <w:tr w14:paraId="3CC01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9" w:hRule="atLeast"/>
          <w:jc w:val="center"/>
        </w:trPr>
        <w:tc>
          <w:tcPr>
            <w:tcW w:w="844" w:type="dxa"/>
            <w:vMerge w:val="continue"/>
            <w:shd w:val="clear" w:color="auto" w:fill="auto"/>
            <w:vAlign w:val="center"/>
          </w:tcPr>
          <w:p w14:paraId="045C767A">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0DF16F5E">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025833A0">
            <w:pPr>
              <w:jc w:val="center"/>
              <w:rPr>
                <w:rFonts w:hint="eastAsia" w:ascii="宋体" w:hAnsi="宋体" w:eastAsia="宋体" w:cs="宋体"/>
                <w:i w:val="0"/>
                <w:iCs w:val="0"/>
                <w:color w:val="auto"/>
                <w:sz w:val="22"/>
                <w:szCs w:val="22"/>
                <w:highlight w:val="none"/>
                <w:u w:val="none"/>
              </w:rPr>
            </w:pPr>
          </w:p>
        </w:tc>
        <w:tc>
          <w:tcPr>
            <w:tcW w:w="1109" w:type="dxa"/>
            <w:shd w:val="clear" w:color="auto" w:fill="auto"/>
            <w:vAlign w:val="center"/>
          </w:tcPr>
          <w:p w14:paraId="4A676C8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资源分配策略</w:t>
            </w:r>
          </w:p>
        </w:tc>
        <w:tc>
          <w:tcPr>
            <w:tcW w:w="4818" w:type="dxa"/>
            <w:shd w:val="clear" w:color="auto" w:fill="auto"/>
            <w:vAlign w:val="center"/>
          </w:tcPr>
          <w:p w14:paraId="22CC890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基于资源监控数据，运用资源调度算法（如根据任务优先级和资源需求进行动态分配，优先保障关键任务资源）和资源配额管理（为不同业务部门或应用设置资源使用上限）机制，根据业务需求（如业务高峰期和低谷期资源需求不同）和系统负载情况（当前资源剩余和使用情况），合理分配资源给不同的数据处理任务和应用系统，确保资源的高效利用，避免资源浪费和竞争冲突。</w:t>
            </w:r>
          </w:p>
        </w:tc>
      </w:tr>
      <w:tr w14:paraId="5A84D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7" w:hRule="atLeast"/>
          <w:jc w:val="center"/>
        </w:trPr>
        <w:tc>
          <w:tcPr>
            <w:tcW w:w="844" w:type="dxa"/>
            <w:vMerge w:val="continue"/>
            <w:shd w:val="clear" w:color="auto" w:fill="auto"/>
            <w:vAlign w:val="center"/>
          </w:tcPr>
          <w:p w14:paraId="2C2D0E5B">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1E22ACDA">
            <w:pPr>
              <w:jc w:val="center"/>
              <w:rPr>
                <w:rFonts w:hint="eastAsia" w:ascii="宋体" w:hAnsi="宋体" w:eastAsia="宋体" w:cs="宋体"/>
                <w:i w:val="0"/>
                <w:iCs w:val="0"/>
                <w:color w:val="auto"/>
                <w:sz w:val="22"/>
                <w:szCs w:val="22"/>
                <w:highlight w:val="none"/>
                <w:u w:val="none"/>
              </w:rPr>
            </w:pPr>
          </w:p>
        </w:tc>
        <w:tc>
          <w:tcPr>
            <w:tcW w:w="1418" w:type="dxa"/>
            <w:vMerge w:val="continue"/>
            <w:shd w:val="clear" w:color="auto" w:fill="auto"/>
            <w:vAlign w:val="center"/>
          </w:tcPr>
          <w:p w14:paraId="479D8CC2">
            <w:pPr>
              <w:jc w:val="center"/>
              <w:rPr>
                <w:rFonts w:hint="eastAsia" w:ascii="宋体" w:hAnsi="宋体" w:eastAsia="宋体" w:cs="宋体"/>
                <w:i w:val="0"/>
                <w:iCs w:val="0"/>
                <w:color w:val="auto"/>
                <w:sz w:val="22"/>
                <w:szCs w:val="22"/>
                <w:highlight w:val="none"/>
                <w:u w:val="none"/>
              </w:rPr>
            </w:pPr>
          </w:p>
        </w:tc>
        <w:tc>
          <w:tcPr>
            <w:tcW w:w="1109" w:type="dxa"/>
            <w:shd w:val="clear" w:color="auto" w:fill="auto"/>
            <w:vAlign w:val="center"/>
          </w:tcPr>
          <w:p w14:paraId="626108D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资源扩容规划</w:t>
            </w:r>
          </w:p>
        </w:tc>
        <w:tc>
          <w:tcPr>
            <w:tcW w:w="4818" w:type="dxa"/>
            <w:shd w:val="clear" w:color="auto" w:fill="auto"/>
            <w:vAlign w:val="center"/>
          </w:tcPr>
          <w:p w14:paraId="5073CF0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建立容量规划模型，结合业务增长预测算法（如基于历史业务数据采用时间序列分析、回归分析等方法预测未来业务量增长），根据历史业务数据（如过去一年的数据处理量、用户数量增长）和市场趋势（行业发展趋势、市场份额变化）预测未来业务增长对资源的需求，提前规划资源扩容方案，如确定何时需要增加服务器（根据计算资源需求预测确定服务器数量和配置）、扩展存储容量（根据数据量增长预测规划存储扩容时间和容量）等，保障系统能够满足未来业务发展需求。</w:t>
            </w:r>
          </w:p>
        </w:tc>
      </w:tr>
      <w:tr w14:paraId="6D45C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44" w:type="dxa"/>
            <w:vMerge w:val="restart"/>
            <w:shd w:val="clear" w:color="auto" w:fill="auto"/>
            <w:vAlign w:val="center"/>
          </w:tcPr>
          <w:p w14:paraId="2E6AAA0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七、智慧后勤管理</w:t>
            </w:r>
          </w:p>
        </w:tc>
        <w:tc>
          <w:tcPr>
            <w:tcW w:w="929" w:type="dxa"/>
            <w:vMerge w:val="restart"/>
            <w:shd w:val="clear" w:color="auto" w:fill="auto"/>
            <w:noWrap/>
            <w:vAlign w:val="center"/>
          </w:tcPr>
          <w:p w14:paraId="39B9D94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报修管理</w:t>
            </w:r>
          </w:p>
        </w:tc>
        <w:tc>
          <w:tcPr>
            <w:tcW w:w="1418" w:type="dxa"/>
            <w:shd w:val="clear" w:color="auto" w:fill="auto"/>
            <w:vAlign w:val="center"/>
          </w:tcPr>
          <w:p w14:paraId="32783ED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报修申请</w:t>
            </w:r>
          </w:p>
        </w:tc>
        <w:tc>
          <w:tcPr>
            <w:tcW w:w="1109" w:type="dxa"/>
            <w:shd w:val="clear" w:color="auto" w:fill="auto"/>
            <w:noWrap/>
            <w:vAlign w:val="center"/>
          </w:tcPr>
          <w:p w14:paraId="7CF7E42F">
            <w:pPr>
              <w:jc w:val="both"/>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4B77E83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▲填写设备故障信息表，提交报修。</w:t>
            </w:r>
          </w:p>
        </w:tc>
      </w:tr>
      <w:tr w14:paraId="3837B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2209B0B1">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noWrap/>
            <w:vAlign w:val="center"/>
          </w:tcPr>
          <w:p w14:paraId="361C80E3">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55147F1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报修受理</w:t>
            </w:r>
          </w:p>
        </w:tc>
        <w:tc>
          <w:tcPr>
            <w:tcW w:w="1109" w:type="dxa"/>
            <w:shd w:val="clear" w:color="auto" w:fill="auto"/>
            <w:noWrap/>
            <w:vAlign w:val="center"/>
          </w:tcPr>
          <w:p w14:paraId="211AAFD5">
            <w:pPr>
              <w:jc w:val="both"/>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5BAE0ED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▲受理报修申请，填写修改记录信息。</w:t>
            </w:r>
          </w:p>
        </w:tc>
      </w:tr>
      <w:tr w14:paraId="708F5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63767711">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noWrap/>
            <w:vAlign w:val="center"/>
          </w:tcPr>
          <w:p w14:paraId="351F6EBC">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2CD5FA0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报修统计</w:t>
            </w:r>
          </w:p>
        </w:tc>
        <w:tc>
          <w:tcPr>
            <w:tcW w:w="1109" w:type="dxa"/>
            <w:shd w:val="clear" w:color="auto" w:fill="auto"/>
            <w:noWrap/>
            <w:vAlign w:val="center"/>
          </w:tcPr>
          <w:p w14:paraId="0F8F0C01">
            <w:pPr>
              <w:jc w:val="both"/>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0459B5B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按部门统计报修记录。</w:t>
            </w:r>
          </w:p>
        </w:tc>
      </w:tr>
      <w:tr w14:paraId="114CD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683350D3">
            <w:pPr>
              <w:jc w:val="center"/>
              <w:rPr>
                <w:rFonts w:hint="eastAsia" w:ascii="宋体" w:hAnsi="宋体" w:eastAsia="宋体" w:cs="宋体"/>
                <w:i w:val="0"/>
                <w:iCs w:val="0"/>
                <w:color w:val="auto"/>
                <w:sz w:val="22"/>
                <w:szCs w:val="22"/>
                <w:highlight w:val="none"/>
                <w:u w:val="none"/>
              </w:rPr>
            </w:pPr>
          </w:p>
        </w:tc>
        <w:tc>
          <w:tcPr>
            <w:tcW w:w="929" w:type="dxa"/>
            <w:vMerge w:val="restart"/>
            <w:shd w:val="clear" w:color="auto" w:fill="auto"/>
            <w:vAlign w:val="center"/>
          </w:tcPr>
          <w:p w14:paraId="5FB8C2F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物品管理</w:t>
            </w:r>
          </w:p>
        </w:tc>
        <w:tc>
          <w:tcPr>
            <w:tcW w:w="1418" w:type="dxa"/>
            <w:shd w:val="clear" w:color="auto" w:fill="auto"/>
            <w:vAlign w:val="center"/>
          </w:tcPr>
          <w:p w14:paraId="6512867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物品分类</w:t>
            </w:r>
          </w:p>
        </w:tc>
        <w:tc>
          <w:tcPr>
            <w:tcW w:w="1109" w:type="dxa"/>
            <w:shd w:val="clear" w:color="auto" w:fill="auto"/>
            <w:noWrap/>
            <w:vAlign w:val="center"/>
          </w:tcPr>
          <w:p w14:paraId="5C03E522">
            <w:pPr>
              <w:jc w:val="both"/>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61D2562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支持添加物品管理分类，可设置一级类别和二级类别。</w:t>
            </w:r>
          </w:p>
        </w:tc>
      </w:tr>
      <w:tr w14:paraId="6CC09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7A60F934">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2B60A317">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06BB0C7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物品信息管理</w:t>
            </w:r>
          </w:p>
        </w:tc>
        <w:tc>
          <w:tcPr>
            <w:tcW w:w="1109" w:type="dxa"/>
            <w:shd w:val="clear" w:color="auto" w:fill="auto"/>
            <w:noWrap/>
            <w:vAlign w:val="center"/>
          </w:tcPr>
          <w:p w14:paraId="4956EE42">
            <w:pPr>
              <w:jc w:val="both"/>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74C612C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物品信息的增加、删除、修改等功能。</w:t>
            </w:r>
          </w:p>
        </w:tc>
      </w:tr>
      <w:tr w14:paraId="6E67D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7" w:hRule="atLeast"/>
          <w:jc w:val="center"/>
        </w:trPr>
        <w:tc>
          <w:tcPr>
            <w:tcW w:w="844" w:type="dxa"/>
            <w:vMerge w:val="continue"/>
            <w:shd w:val="clear" w:color="auto" w:fill="auto"/>
            <w:vAlign w:val="center"/>
          </w:tcPr>
          <w:p w14:paraId="55CE8745">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1735B51F">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3F1A6C2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物品流转信息</w:t>
            </w:r>
          </w:p>
        </w:tc>
        <w:tc>
          <w:tcPr>
            <w:tcW w:w="1109" w:type="dxa"/>
            <w:shd w:val="clear" w:color="auto" w:fill="auto"/>
            <w:noWrap/>
            <w:vAlign w:val="center"/>
          </w:tcPr>
          <w:p w14:paraId="2D2CEBF9">
            <w:pPr>
              <w:jc w:val="both"/>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3583559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支持编辑物品流转记录，包括领用人名称、领用时间以及所在位置。</w:t>
            </w:r>
          </w:p>
        </w:tc>
      </w:tr>
      <w:tr w14:paraId="07999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44" w:type="dxa"/>
            <w:vMerge w:val="continue"/>
            <w:shd w:val="clear" w:color="auto" w:fill="auto"/>
            <w:vAlign w:val="center"/>
          </w:tcPr>
          <w:p w14:paraId="1F933194">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313153F6">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598C2A3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物品信息统计</w:t>
            </w:r>
          </w:p>
        </w:tc>
        <w:tc>
          <w:tcPr>
            <w:tcW w:w="1109" w:type="dxa"/>
            <w:shd w:val="clear" w:color="auto" w:fill="auto"/>
            <w:noWrap/>
            <w:vAlign w:val="center"/>
          </w:tcPr>
          <w:p w14:paraId="3F75D8B2">
            <w:pPr>
              <w:jc w:val="both"/>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469EB91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支持为每个部门提供物品统计报表，包括物品分类统计、物品状态占比等统计功能。</w:t>
            </w:r>
          </w:p>
        </w:tc>
      </w:tr>
      <w:tr w14:paraId="4A634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618EA4B4">
            <w:pPr>
              <w:jc w:val="center"/>
              <w:rPr>
                <w:rFonts w:hint="eastAsia" w:ascii="宋体" w:hAnsi="宋体" w:eastAsia="宋体" w:cs="宋体"/>
                <w:i w:val="0"/>
                <w:iCs w:val="0"/>
                <w:color w:val="auto"/>
                <w:sz w:val="22"/>
                <w:szCs w:val="22"/>
                <w:highlight w:val="none"/>
                <w:u w:val="none"/>
              </w:rPr>
            </w:pPr>
          </w:p>
        </w:tc>
        <w:tc>
          <w:tcPr>
            <w:tcW w:w="929" w:type="dxa"/>
            <w:vMerge w:val="restart"/>
            <w:shd w:val="clear" w:color="auto" w:fill="auto"/>
            <w:vAlign w:val="center"/>
          </w:tcPr>
          <w:p w14:paraId="2A34D6B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耗材管理</w:t>
            </w:r>
          </w:p>
        </w:tc>
        <w:tc>
          <w:tcPr>
            <w:tcW w:w="1418" w:type="dxa"/>
            <w:shd w:val="clear" w:color="auto" w:fill="auto"/>
            <w:vAlign w:val="center"/>
          </w:tcPr>
          <w:p w14:paraId="34F5C74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耗材分类</w:t>
            </w:r>
          </w:p>
        </w:tc>
        <w:tc>
          <w:tcPr>
            <w:tcW w:w="1109" w:type="dxa"/>
            <w:shd w:val="clear" w:color="auto" w:fill="auto"/>
            <w:noWrap/>
            <w:vAlign w:val="center"/>
          </w:tcPr>
          <w:p w14:paraId="27CF287F">
            <w:pPr>
              <w:jc w:val="both"/>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7D55823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支持添加耗材管理分类，可设置一级类别和二级类别。</w:t>
            </w:r>
          </w:p>
        </w:tc>
      </w:tr>
      <w:tr w14:paraId="0E2E1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5277EDC6">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2B472521">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35D5703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耗材信息管理</w:t>
            </w:r>
          </w:p>
        </w:tc>
        <w:tc>
          <w:tcPr>
            <w:tcW w:w="1109" w:type="dxa"/>
            <w:shd w:val="clear" w:color="auto" w:fill="auto"/>
            <w:noWrap/>
            <w:vAlign w:val="center"/>
          </w:tcPr>
          <w:p w14:paraId="4D8EE87E">
            <w:pPr>
              <w:jc w:val="both"/>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358F350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耗材信息的增加、删除、修改等功能。</w:t>
            </w:r>
          </w:p>
        </w:tc>
      </w:tr>
      <w:tr w14:paraId="63AA9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44" w:type="dxa"/>
            <w:vMerge w:val="continue"/>
            <w:shd w:val="clear" w:color="auto" w:fill="auto"/>
            <w:vAlign w:val="center"/>
          </w:tcPr>
          <w:p w14:paraId="30A86727">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06FFA880">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032FDF6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耗材领用</w:t>
            </w:r>
          </w:p>
        </w:tc>
        <w:tc>
          <w:tcPr>
            <w:tcW w:w="1109" w:type="dxa"/>
            <w:shd w:val="clear" w:color="auto" w:fill="auto"/>
            <w:noWrap/>
            <w:vAlign w:val="center"/>
          </w:tcPr>
          <w:p w14:paraId="4642F9E3">
            <w:pPr>
              <w:jc w:val="both"/>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3818B59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支持添加耗材领用记录，包括领用人名称、领用时间、领用数量等。</w:t>
            </w:r>
          </w:p>
        </w:tc>
      </w:tr>
      <w:tr w14:paraId="45B29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8" w:hRule="atLeast"/>
          <w:jc w:val="center"/>
        </w:trPr>
        <w:tc>
          <w:tcPr>
            <w:tcW w:w="844" w:type="dxa"/>
            <w:vMerge w:val="continue"/>
            <w:shd w:val="clear" w:color="auto" w:fill="auto"/>
            <w:vAlign w:val="center"/>
          </w:tcPr>
          <w:p w14:paraId="2700071A">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274890DB">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0804ABA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耗材统计</w:t>
            </w:r>
          </w:p>
        </w:tc>
        <w:tc>
          <w:tcPr>
            <w:tcW w:w="1109" w:type="dxa"/>
            <w:shd w:val="clear" w:color="auto" w:fill="auto"/>
            <w:noWrap/>
            <w:vAlign w:val="center"/>
          </w:tcPr>
          <w:p w14:paraId="3E9DD6B2">
            <w:pPr>
              <w:jc w:val="both"/>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2E83C11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支持按部门生成耗材报表，统计耗材领用情况。</w:t>
            </w:r>
          </w:p>
        </w:tc>
      </w:tr>
      <w:tr w14:paraId="339AC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844" w:type="dxa"/>
            <w:vMerge w:val="restart"/>
            <w:shd w:val="clear" w:color="auto" w:fill="auto"/>
            <w:vAlign w:val="center"/>
          </w:tcPr>
          <w:p w14:paraId="55C83B8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八、文件资源库</w:t>
            </w:r>
          </w:p>
        </w:tc>
        <w:tc>
          <w:tcPr>
            <w:tcW w:w="929" w:type="dxa"/>
            <w:vMerge w:val="restart"/>
            <w:shd w:val="clear" w:color="auto" w:fill="auto"/>
            <w:vAlign w:val="center"/>
          </w:tcPr>
          <w:p w14:paraId="0C2524B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在线网盘</w:t>
            </w:r>
          </w:p>
        </w:tc>
        <w:tc>
          <w:tcPr>
            <w:tcW w:w="1418" w:type="dxa"/>
            <w:shd w:val="clear" w:color="auto" w:fill="auto"/>
            <w:vAlign w:val="center"/>
          </w:tcPr>
          <w:p w14:paraId="498202F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基础功能</w:t>
            </w:r>
          </w:p>
        </w:tc>
        <w:tc>
          <w:tcPr>
            <w:tcW w:w="1109" w:type="dxa"/>
            <w:shd w:val="clear" w:color="auto" w:fill="auto"/>
            <w:noWrap/>
            <w:vAlign w:val="center"/>
          </w:tcPr>
          <w:p w14:paraId="6EAF4678">
            <w:pPr>
              <w:jc w:val="both"/>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3760F36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用于学校文件资源云端管理，包括建立文件目录、文件存储、文件共享查看、文件收集、文件统计和权限设置等功能。</w:t>
            </w:r>
          </w:p>
        </w:tc>
      </w:tr>
      <w:tr w14:paraId="0DF3E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7" w:hRule="atLeast"/>
          <w:jc w:val="center"/>
        </w:trPr>
        <w:tc>
          <w:tcPr>
            <w:tcW w:w="844" w:type="dxa"/>
            <w:vMerge w:val="continue"/>
            <w:shd w:val="clear" w:color="auto" w:fill="auto"/>
            <w:vAlign w:val="center"/>
          </w:tcPr>
          <w:p w14:paraId="75C7F4A5">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63268FE0">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3640B9E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文件夹管理</w:t>
            </w:r>
          </w:p>
        </w:tc>
        <w:tc>
          <w:tcPr>
            <w:tcW w:w="1109" w:type="dxa"/>
            <w:shd w:val="clear" w:color="auto" w:fill="auto"/>
            <w:noWrap/>
            <w:vAlign w:val="center"/>
          </w:tcPr>
          <w:p w14:paraId="5BE2D4D6">
            <w:pPr>
              <w:jc w:val="both"/>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74B710F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支持创建文件夹，支持在文件夹上传单个文件或多个文件，支持将上传的文件共享给指定老师。</w:t>
            </w:r>
          </w:p>
        </w:tc>
      </w:tr>
      <w:tr w14:paraId="6C8E3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7" w:hRule="atLeast"/>
          <w:jc w:val="center"/>
        </w:trPr>
        <w:tc>
          <w:tcPr>
            <w:tcW w:w="844" w:type="dxa"/>
            <w:vMerge w:val="continue"/>
            <w:shd w:val="clear" w:color="auto" w:fill="auto"/>
            <w:vAlign w:val="center"/>
          </w:tcPr>
          <w:p w14:paraId="7089E245">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4FB20E19">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392D072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共享管理</w:t>
            </w:r>
          </w:p>
        </w:tc>
        <w:tc>
          <w:tcPr>
            <w:tcW w:w="1109" w:type="dxa"/>
            <w:shd w:val="clear" w:color="auto" w:fill="auto"/>
            <w:noWrap/>
            <w:vAlign w:val="center"/>
          </w:tcPr>
          <w:p w14:paraId="0D9A3460">
            <w:pPr>
              <w:jc w:val="both"/>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3C0CF41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支持查看共享给教师的所有文件及文件夹，支持文件下载和取消共享。</w:t>
            </w:r>
          </w:p>
        </w:tc>
      </w:tr>
      <w:tr w14:paraId="31CD0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13" w:hRule="atLeast"/>
          <w:jc w:val="center"/>
        </w:trPr>
        <w:tc>
          <w:tcPr>
            <w:tcW w:w="844" w:type="dxa"/>
            <w:vMerge w:val="continue"/>
            <w:shd w:val="clear" w:color="auto" w:fill="auto"/>
            <w:vAlign w:val="center"/>
          </w:tcPr>
          <w:p w14:paraId="7E4F5EA3">
            <w:pPr>
              <w:jc w:val="center"/>
              <w:rPr>
                <w:rFonts w:hint="eastAsia" w:ascii="宋体" w:hAnsi="宋体" w:eastAsia="宋体" w:cs="宋体"/>
                <w:i w:val="0"/>
                <w:iCs w:val="0"/>
                <w:color w:val="auto"/>
                <w:sz w:val="22"/>
                <w:szCs w:val="22"/>
                <w:highlight w:val="none"/>
                <w:u w:val="none"/>
              </w:rPr>
            </w:pPr>
          </w:p>
        </w:tc>
        <w:tc>
          <w:tcPr>
            <w:tcW w:w="929" w:type="dxa"/>
            <w:vMerge w:val="continue"/>
            <w:shd w:val="clear" w:color="auto" w:fill="auto"/>
            <w:vAlign w:val="center"/>
          </w:tcPr>
          <w:p w14:paraId="3C2D0363">
            <w:pPr>
              <w:jc w:val="center"/>
              <w:rPr>
                <w:rFonts w:hint="eastAsia" w:ascii="宋体" w:hAnsi="宋体" w:eastAsia="宋体" w:cs="宋体"/>
                <w:i w:val="0"/>
                <w:iCs w:val="0"/>
                <w:color w:val="auto"/>
                <w:sz w:val="22"/>
                <w:szCs w:val="22"/>
                <w:highlight w:val="none"/>
                <w:u w:val="none"/>
              </w:rPr>
            </w:pPr>
          </w:p>
        </w:tc>
        <w:tc>
          <w:tcPr>
            <w:tcW w:w="1418" w:type="dxa"/>
            <w:shd w:val="clear" w:color="auto" w:fill="auto"/>
            <w:vAlign w:val="center"/>
          </w:tcPr>
          <w:p w14:paraId="18907E1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文件统计</w:t>
            </w:r>
          </w:p>
        </w:tc>
        <w:tc>
          <w:tcPr>
            <w:tcW w:w="1109" w:type="dxa"/>
            <w:shd w:val="clear" w:color="auto" w:fill="auto"/>
            <w:noWrap/>
            <w:vAlign w:val="center"/>
          </w:tcPr>
          <w:p w14:paraId="04B87654">
            <w:pPr>
              <w:jc w:val="both"/>
              <w:rPr>
                <w:rFonts w:hint="eastAsia" w:ascii="宋体" w:hAnsi="宋体" w:eastAsia="宋体" w:cs="宋体"/>
                <w:i w:val="0"/>
                <w:iCs w:val="0"/>
                <w:color w:val="auto"/>
                <w:sz w:val="22"/>
                <w:szCs w:val="22"/>
                <w:highlight w:val="none"/>
                <w:u w:val="none"/>
              </w:rPr>
            </w:pPr>
          </w:p>
        </w:tc>
        <w:tc>
          <w:tcPr>
            <w:tcW w:w="4818" w:type="dxa"/>
            <w:shd w:val="clear" w:color="auto" w:fill="auto"/>
            <w:vAlign w:val="center"/>
          </w:tcPr>
          <w:p w14:paraId="0EBB6C7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支持文件的数据统计，包括：共享、下载的使用资数等统计功能。</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支持管理人员对指定教师配置文件夹的查看和编辑权限配置。</w:t>
            </w:r>
          </w:p>
        </w:tc>
      </w:tr>
    </w:tbl>
    <w:p w14:paraId="4FFD6488">
      <w:pPr>
        <w:rPr>
          <w:rFonts w:hint="eastAsia" w:ascii="宋体" w:hAnsi="宋体" w:eastAsia="宋体" w:cs="宋体"/>
          <w:b/>
          <w:bCs/>
          <w:color w:val="auto"/>
          <w:sz w:val="28"/>
          <w:szCs w:val="36"/>
          <w:highlight w:val="none"/>
          <w:lang w:val="en-US" w:eastAsia="zh-CN"/>
        </w:rPr>
      </w:pPr>
      <w:r>
        <w:rPr>
          <w:rFonts w:hint="eastAsia" w:ascii="宋体" w:hAnsi="宋体" w:cs="宋体"/>
          <w:b/>
          <w:bCs/>
          <w:color w:val="auto"/>
          <w:sz w:val="28"/>
          <w:szCs w:val="36"/>
          <w:highlight w:val="none"/>
          <w:lang w:val="en-US" w:eastAsia="zh-CN"/>
        </w:rPr>
        <w:t>二、</w:t>
      </w:r>
      <w:r>
        <w:rPr>
          <w:rFonts w:hint="eastAsia" w:ascii="宋体" w:hAnsi="宋体" w:eastAsia="宋体" w:cs="宋体"/>
          <w:b/>
          <w:bCs/>
          <w:color w:val="auto"/>
          <w:sz w:val="28"/>
          <w:szCs w:val="36"/>
          <w:highlight w:val="none"/>
          <w:lang w:val="en-US" w:eastAsia="zh-CN"/>
        </w:rPr>
        <w:t>项目具体要求</w:t>
      </w:r>
    </w:p>
    <w:p w14:paraId="44C29522">
      <w:pPr>
        <w:numPr>
          <w:ilvl w:val="0"/>
          <w:numId w:val="0"/>
        </w:numPr>
        <w:spacing w:line="360" w:lineRule="auto"/>
        <w:ind w:firstLine="480" w:firstLineChars="200"/>
        <w:rPr>
          <w:rFonts w:hint="eastAsia" w:hAnsi="宋体" w:cs="华文中宋"/>
          <w:color w:val="auto"/>
          <w:sz w:val="24"/>
          <w:szCs w:val="22"/>
          <w:highlight w:val="none"/>
          <w:lang w:val="en-US" w:eastAsia="zh-CN" w:bidi="ar-SA"/>
        </w:rPr>
      </w:pPr>
      <w:r>
        <w:rPr>
          <w:rFonts w:hint="eastAsia" w:hAnsi="宋体" w:cs="华文中宋"/>
          <w:color w:val="auto"/>
          <w:sz w:val="24"/>
          <w:szCs w:val="22"/>
          <w:highlight w:val="none"/>
          <w:lang w:val="en-US" w:eastAsia="zh-CN" w:bidi="ar-SA"/>
        </w:rPr>
        <w:t>1、系统对接（实质性条款）要求：投标文件中提供承诺函，格式不限但须包括：投标方应承诺与学校现有设施完成对接，构建并实现系统中的 “学生考勤管理” 及 “住宿考勤管理” 功能；系统对接中涉及的相关手续、端口及费用由投标人自行与采购人对接。中标后如被发现不能实现系统对接，则取消中标资格。</w:t>
      </w:r>
    </w:p>
    <w:p w14:paraId="56E9DA43">
      <w:pPr>
        <w:spacing w:line="360" w:lineRule="auto"/>
        <w:ind w:firstLine="480"/>
        <w:rPr>
          <w:rFonts w:hint="eastAsia" w:ascii="Calibri" w:hAnsi="宋体" w:eastAsia="宋体" w:cs="华文中宋"/>
          <w:color w:val="auto"/>
          <w:sz w:val="24"/>
          <w:szCs w:val="22"/>
          <w:highlight w:val="yellow"/>
          <w:lang w:val="en-US" w:eastAsia="zh-CN" w:bidi="ar-SA"/>
        </w:rPr>
      </w:pPr>
      <w:r>
        <w:rPr>
          <w:rFonts w:hint="eastAsia" w:hAnsi="宋体" w:cs="华文中宋"/>
          <w:color w:val="auto"/>
          <w:sz w:val="24"/>
          <w:szCs w:val="22"/>
          <w:highlight w:val="none"/>
          <w:lang w:val="en-US" w:eastAsia="zh-CN" w:bidi="ar-SA"/>
        </w:rPr>
        <w:t>2、</w:t>
      </w:r>
      <w:r>
        <w:rPr>
          <w:rFonts w:hint="eastAsia" w:ascii="Calibri" w:hAnsi="宋体" w:eastAsia="宋体" w:cs="华文中宋"/>
          <w:color w:val="auto"/>
          <w:sz w:val="24"/>
          <w:szCs w:val="22"/>
          <w:highlight w:val="none"/>
          <w:lang w:val="en-US" w:eastAsia="zh-CN" w:bidi="ar-SA"/>
        </w:rPr>
        <w:t>项目中涉及到软件平台建设部署，鉴于项目的综合性和技术复杂性，为保障项目建设质量和合同的按时履行，投标人拟投入本项目团队应不少于</w:t>
      </w:r>
      <w:r>
        <w:rPr>
          <w:rFonts w:hint="eastAsia" w:hAnsi="宋体" w:cs="华文中宋"/>
          <w:color w:val="auto"/>
          <w:sz w:val="24"/>
          <w:szCs w:val="22"/>
          <w:highlight w:val="none"/>
          <w:lang w:val="en-US" w:eastAsia="zh-CN" w:bidi="ar-SA"/>
        </w:rPr>
        <w:t>4</w:t>
      </w:r>
      <w:r>
        <w:rPr>
          <w:rFonts w:hint="eastAsia" w:ascii="Calibri" w:hAnsi="宋体" w:eastAsia="宋体" w:cs="华文中宋"/>
          <w:color w:val="auto"/>
          <w:sz w:val="24"/>
          <w:szCs w:val="22"/>
          <w:highlight w:val="none"/>
          <w:lang w:val="en-US" w:eastAsia="zh-CN" w:bidi="ar-SA"/>
        </w:rPr>
        <w:t>人，项目团队成员应具有履行本项目的专业技术能力（包括但不限于：信息系统项目的管理、系统规划</w:t>
      </w:r>
      <w:r>
        <w:rPr>
          <w:rFonts w:hint="eastAsia" w:hAnsi="宋体" w:cs="华文中宋"/>
          <w:color w:val="auto"/>
          <w:sz w:val="24"/>
          <w:szCs w:val="22"/>
          <w:highlight w:val="none"/>
          <w:lang w:val="en-US" w:eastAsia="zh-CN" w:bidi="ar-SA"/>
        </w:rPr>
        <w:t>与管理、信息安全、</w:t>
      </w:r>
      <w:r>
        <w:rPr>
          <w:rFonts w:hint="eastAsia" w:ascii="Calibri" w:hAnsi="宋体" w:eastAsia="宋体" w:cs="华文中宋"/>
          <w:color w:val="auto"/>
          <w:sz w:val="24"/>
          <w:szCs w:val="22"/>
          <w:highlight w:val="none"/>
          <w:lang w:val="en-US" w:eastAsia="zh-CN" w:bidi="ar-SA"/>
        </w:rPr>
        <w:t>网络规划设计</w:t>
      </w:r>
      <w:r>
        <w:rPr>
          <w:rFonts w:hint="eastAsia" w:hAnsi="宋体" w:cs="华文中宋"/>
          <w:color w:val="auto"/>
          <w:sz w:val="24"/>
          <w:szCs w:val="22"/>
          <w:highlight w:val="none"/>
          <w:lang w:val="en-US" w:eastAsia="zh-CN" w:bidi="ar-SA"/>
        </w:rPr>
        <w:t>、系统分析、系统集成项目管理</w:t>
      </w:r>
      <w:r>
        <w:rPr>
          <w:rFonts w:hint="eastAsia" w:ascii="Calibri" w:hAnsi="宋体" w:eastAsia="宋体" w:cs="华文中宋"/>
          <w:color w:val="auto"/>
          <w:sz w:val="24"/>
          <w:szCs w:val="22"/>
          <w:highlight w:val="none"/>
          <w:lang w:val="en-US" w:eastAsia="zh-CN" w:bidi="ar-SA"/>
        </w:rPr>
        <w:t>等方面）。</w:t>
      </w:r>
    </w:p>
    <w:p w14:paraId="12AA4867">
      <w:pPr>
        <w:rPr>
          <w:rFonts w:ascii="宋体" w:hAnsi="宋体" w:eastAsia="宋体" w:cs="宋体"/>
          <w:b/>
          <w:bCs/>
          <w:color w:val="auto"/>
          <w:sz w:val="28"/>
          <w:szCs w:val="36"/>
          <w:highlight w:val="none"/>
        </w:rPr>
      </w:pPr>
      <w:r>
        <w:rPr>
          <w:rFonts w:hint="eastAsia" w:ascii="宋体" w:hAnsi="宋体" w:cs="宋体"/>
          <w:b/>
          <w:bCs/>
          <w:color w:val="auto"/>
          <w:sz w:val="28"/>
          <w:szCs w:val="36"/>
          <w:highlight w:val="none"/>
          <w:lang w:val="en-US" w:eastAsia="zh-CN"/>
        </w:rPr>
        <w:t>三、</w:t>
      </w:r>
      <w:r>
        <w:rPr>
          <w:rFonts w:hint="eastAsia" w:ascii="宋体" w:hAnsi="宋体" w:eastAsia="宋体" w:cs="宋体"/>
          <w:b/>
          <w:bCs/>
          <w:color w:val="auto"/>
          <w:sz w:val="28"/>
          <w:szCs w:val="36"/>
          <w:highlight w:val="none"/>
        </w:rPr>
        <w:t>演示要求</w:t>
      </w:r>
    </w:p>
    <w:p w14:paraId="7EEFA49F">
      <w:pPr>
        <w:pStyle w:val="14"/>
        <w:spacing w:beforeAutospacing="0" w:afterAutospacing="0" w:line="360" w:lineRule="auto"/>
        <w:ind w:firstLine="480"/>
        <w:jc w:val="both"/>
        <w:rPr>
          <w:rFonts w:ascii="宋体" w:hAnsi="宋体" w:cs="宋体"/>
          <w:color w:val="auto"/>
          <w:highlight w:val="none"/>
        </w:rPr>
      </w:pPr>
      <w:r>
        <w:rPr>
          <w:rFonts w:hint="eastAsia" w:ascii="宋体" w:hAnsi="宋体" w:eastAsia="宋体" w:cs="宋体"/>
          <w:color w:val="auto"/>
          <w:highlight w:val="none"/>
        </w:rPr>
        <w:t>1、</w:t>
      </w:r>
      <w:r>
        <w:rPr>
          <w:rFonts w:hint="eastAsia" w:ascii="宋体" w:hAnsi="宋体" w:cs="宋体"/>
          <w:color w:val="auto"/>
          <w:highlight w:val="none"/>
        </w:rPr>
        <w:t>本项目采用现场演示的方式，投标人演示人员和设备需在评标前到达射阳县市民中心（盐城市射阳县幸福大道16号）九楼等候区。按照苏采云系统安排的顺序进行现场演示，演示需按照招标文件的规定和评标委员会的要求进行，时间不超过</w:t>
      </w:r>
      <w:r>
        <w:rPr>
          <w:rFonts w:hint="eastAsia" w:ascii="宋体" w:hAnsi="宋体" w:cs="宋体"/>
          <w:color w:val="auto"/>
          <w:highlight w:val="yellow"/>
          <w:lang w:val="en-US" w:eastAsia="zh-CN"/>
        </w:rPr>
        <w:t>15</w:t>
      </w:r>
      <w:r>
        <w:rPr>
          <w:rFonts w:hint="eastAsia" w:ascii="宋体" w:hAnsi="宋体" w:cs="宋体"/>
          <w:color w:val="auto"/>
          <w:highlight w:val="none"/>
        </w:rPr>
        <w:t>分钟。</w:t>
      </w:r>
    </w:p>
    <w:p w14:paraId="3E42FD4B">
      <w:pPr>
        <w:pStyle w:val="11"/>
        <w:spacing w:line="360" w:lineRule="auto"/>
        <w:ind w:firstLine="480"/>
        <w:rPr>
          <w:rFonts w:ascii="宋体" w:hAnsi="宋体" w:eastAsia="宋体" w:cs="宋体"/>
          <w:color w:val="auto"/>
          <w:sz w:val="24"/>
          <w:highlight w:val="none"/>
        </w:rPr>
      </w:pPr>
      <w:r>
        <w:rPr>
          <w:rFonts w:hint="eastAsia" w:ascii="宋体" w:hAnsi="宋体" w:cs="宋体"/>
          <w:color w:val="auto"/>
          <w:sz w:val="24"/>
          <w:highlight w:val="none"/>
        </w:rPr>
        <w:t>投标人自行准备演示所需设备，未能提供演示或不符合演示功能的认定为负偏离</w:t>
      </w:r>
      <w:r>
        <w:rPr>
          <w:rFonts w:hint="eastAsia" w:ascii="宋体" w:hAnsi="宋体" w:cs="宋体"/>
          <w:color w:val="auto"/>
          <w:sz w:val="24"/>
          <w:highlight w:val="none"/>
          <w:lang w:eastAsia="zh-CN"/>
        </w:rPr>
        <w:t>，</w:t>
      </w:r>
      <w:r>
        <w:rPr>
          <w:rFonts w:hint="eastAsia" w:ascii="宋体" w:hAnsi="宋体" w:cs="宋体"/>
          <w:color w:val="auto"/>
          <w:sz w:val="24"/>
          <w:highlight w:val="none"/>
        </w:rPr>
        <w:t>演示环节须现场实际操作。</w:t>
      </w:r>
    </w:p>
    <w:p w14:paraId="2F008C82">
      <w:pPr>
        <w:pStyle w:val="11"/>
        <w:spacing w:line="360" w:lineRule="auto"/>
        <w:ind w:firstLine="480"/>
        <w:rPr>
          <w:rFonts w:ascii="宋体" w:hAnsi="宋体" w:eastAsia="宋体" w:cs="宋体"/>
          <w:color w:val="auto"/>
          <w:sz w:val="24"/>
          <w:szCs w:val="32"/>
          <w:highlight w:val="none"/>
        </w:rPr>
      </w:pPr>
      <w:r>
        <w:rPr>
          <w:rFonts w:hint="eastAsia" w:ascii="宋体" w:hAnsi="宋体" w:eastAsia="宋体" w:cs="宋体"/>
          <w:color w:val="auto"/>
          <w:sz w:val="24"/>
          <w:szCs w:val="32"/>
          <w:highlight w:val="none"/>
        </w:rPr>
        <w:t>演示内容：具体见评标办法</w:t>
      </w:r>
    </w:p>
    <w:p w14:paraId="55C15CAB">
      <w:pPr>
        <w:pStyle w:val="11"/>
        <w:spacing w:line="360" w:lineRule="auto"/>
        <w:ind w:firstLine="480"/>
        <w:rPr>
          <w:rFonts w:ascii="宋体" w:hAnsi="宋体" w:eastAsia="宋体" w:cs="宋体"/>
          <w:color w:val="auto"/>
          <w:sz w:val="24"/>
          <w:szCs w:val="32"/>
          <w:highlight w:val="none"/>
        </w:rPr>
      </w:pPr>
      <w:r>
        <w:rPr>
          <w:rFonts w:hint="eastAsia" w:ascii="宋体" w:hAnsi="宋体" w:eastAsia="宋体" w:cs="宋体"/>
          <w:color w:val="auto"/>
          <w:sz w:val="24"/>
          <w:szCs w:val="32"/>
          <w:highlight w:val="none"/>
        </w:rPr>
        <w:t>2、投标人需在“法人授权书”中注明进行现场演示的人员姓名及身份证号，不接受非注明的人员进入评审现场进行演示。投标人进入评审现场的人员应出示有效身份证件</w:t>
      </w:r>
      <w:r>
        <w:rPr>
          <w:rFonts w:hint="eastAsia" w:ascii="宋体" w:hAnsi="宋体" w:cs="宋体"/>
          <w:color w:val="auto"/>
          <w:sz w:val="24"/>
          <w:szCs w:val="32"/>
          <w:highlight w:val="yellow"/>
          <w:lang w:val="en-US" w:eastAsia="zh-CN"/>
        </w:rPr>
        <w:t>原件</w:t>
      </w:r>
      <w:r>
        <w:rPr>
          <w:rFonts w:hint="eastAsia" w:ascii="宋体" w:hAnsi="宋体" w:eastAsia="宋体" w:cs="宋体"/>
          <w:color w:val="auto"/>
          <w:sz w:val="24"/>
          <w:szCs w:val="32"/>
          <w:highlight w:val="none"/>
        </w:rPr>
        <w:t>。</w:t>
      </w:r>
    </w:p>
    <w:p w14:paraId="33B34578">
      <w:pPr>
        <w:rPr>
          <w:rFonts w:hint="eastAsia" w:ascii="宋体" w:hAnsi="宋体" w:eastAsia="宋体" w:cs="宋体"/>
          <w:bCs/>
          <w:color w:val="auto"/>
          <w:sz w:val="44"/>
          <w:szCs w:val="28"/>
          <w:highlight w:val="none"/>
        </w:rPr>
      </w:pPr>
      <w:bookmarkStart w:id="162" w:name="_Toc120614281"/>
      <w:r>
        <w:rPr>
          <w:rFonts w:hint="eastAsia" w:ascii="宋体" w:hAnsi="宋体" w:eastAsia="宋体" w:cs="宋体"/>
          <w:bCs/>
          <w:color w:val="auto"/>
          <w:sz w:val="44"/>
          <w:szCs w:val="28"/>
          <w:highlight w:val="none"/>
        </w:rPr>
        <w:br w:type="page"/>
      </w:r>
    </w:p>
    <w:p w14:paraId="18D5E17C">
      <w:pPr>
        <w:pStyle w:val="14"/>
        <w:spacing w:beforeAutospacing="0" w:afterAutospacing="0"/>
        <w:ind w:right="0" w:rightChars="0"/>
        <w:jc w:val="center"/>
        <w:outlineLvl w:val="0"/>
        <w:rPr>
          <w:rFonts w:hint="eastAsia" w:ascii="宋体" w:hAnsi="宋体" w:eastAsia="宋体" w:cs="黑体"/>
          <w:b/>
          <w:color w:val="000000"/>
          <w:sz w:val="44"/>
          <w:szCs w:val="44"/>
        </w:rPr>
      </w:pPr>
      <w:bookmarkStart w:id="163" w:name="_Toc23384"/>
      <w:r>
        <w:rPr>
          <w:rFonts w:hint="eastAsia" w:ascii="宋体" w:hAnsi="宋体" w:eastAsia="宋体" w:cs="黑体"/>
          <w:b/>
          <w:color w:val="000000"/>
          <w:sz w:val="44"/>
          <w:szCs w:val="44"/>
        </w:rPr>
        <w:t>第五章  评标方法与评标标准</w:t>
      </w:r>
      <w:bookmarkEnd w:id="163"/>
    </w:p>
    <w:p w14:paraId="3A0E9534">
      <w:pPr>
        <w:pStyle w:val="14"/>
        <w:spacing w:beforeAutospacing="0" w:afterAutospacing="0"/>
        <w:jc w:val="both"/>
        <w:rPr>
          <w:rFonts w:ascii="宋体" w:hAnsi="宋体"/>
        </w:rPr>
      </w:pPr>
      <w:r>
        <w:rPr>
          <w:rFonts w:ascii="宋体" w:hAnsi="宋体"/>
        </w:rPr>
        <w:t> </w:t>
      </w:r>
    </w:p>
    <w:p w14:paraId="7AE9E1C6">
      <w:pPr>
        <w:pStyle w:val="14"/>
        <w:spacing w:before="120" w:beforeAutospacing="0" w:after="120" w:afterAutospacing="0" w:line="360" w:lineRule="auto"/>
        <w:ind w:firstLine="439"/>
        <w:rPr>
          <w:rFonts w:ascii="宋体" w:hAnsi="宋体"/>
        </w:rPr>
      </w:pPr>
      <w:r>
        <w:rPr>
          <w:rFonts w:ascii="宋体" w:hAnsi="宋体" w:cs="Arial"/>
          <w:color w:val="000000"/>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p>
    <w:p w14:paraId="10020DD6">
      <w:pPr>
        <w:pStyle w:val="14"/>
        <w:spacing w:before="120" w:beforeAutospacing="0" w:after="120" w:afterAutospacing="0" w:line="360" w:lineRule="auto"/>
        <w:ind w:firstLine="441"/>
        <w:rPr>
          <w:rFonts w:ascii="宋体" w:hAnsi="宋体"/>
        </w:rPr>
      </w:pPr>
      <w:r>
        <w:rPr>
          <w:rFonts w:hint="eastAsia" w:ascii="宋体" w:hAnsi="宋体" w:cs="宋体"/>
          <w:b/>
          <w:color w:val="000000"/>
        </w:rPr>
        <w:t>政府采购政策功能落实</w:t>
      </w:r>
    </w:p>
    <w:p w14:paraId="0DD1D503">
      <w:pPr>
        <w:pStyle w:val="14"/>
        <w:spacing w:before="120" w:beforeAutospacing="0" w:after="120" w:afterAutospacing="0" w:line="0" w:lineRule="atLeast"/>
        <w:ind w:firstLine="480"/>
        <w:rPr>
          <w:rFonts w:ascii="宋体" w:hAnsi="宋体"/>
        </w:rPr>
      </w:pPr>
      <w:r>
        <w:rPr>
          <w:rFonts w:hint="eastAsia" w:ascii="宋体" w:hAnsi="宋体" w:cs="宋体"/>
          <w:color w:val="000000"/>
        </w:rPr>
        <w:t>1、小微型企业价格扣除</w:t>
      </w:r>
    </w:p>
    <w:p w14:paraId="346D02F1">
      <w:pPr>
        <w:pStyle w:val="14"/>
        <w:spacing w:before="120" w:beforeAutospacing="0" w:after="120" w:afterAutospacing="0" w:line="0" w:lineRule="atLeast"/>
        <w:ind w:firstLine="360"/>
        <w:rPr>
          <w:rFonts w:ascii="宋体" w:hAnsi="宋体" w:cs="宋体"/>
          <w:color w:val="000000"/>
        </w:rPr>
      </w:pPr>
      <w:r>
        <w:rPr>
          <w:rFonts w:hint="eastAsia" w:ascii="宋体" w:hAnsi="宋体" w:cs="宋体"/>
          <w:color w:val="000000"/>
        </w:rPr>
        <w:t>（1）本项目对小型和微型企业产品给予20%的扣除价格，用扣除后的价格参与评审。</w:t>
      </w:r>
    </w:p>
    <w:p w14:paraId="54CD2EB3">
      <w:pPr>
        <w:pStyle w:val="14"/>
        <w:spacing w:before="120" w:beforeAutospacing="0" w:after="120" w:afterAutospacing="0" w:line="0" w:lineRule="atLeast"/>
        <w:ind w:firstLine="360"/>
        <w:rPr>
          <w:rFonts w:ascii="宋体" w:hAnsi="宋体" w:cs="宋体"/>
          <w:color w:val="000000"/>
        </w:rPr>
      </w:pPr>
      <w:r>
        <w:rPr>
          <w:rFonts w:hint="eastAsia" w:ascii="宋体" w:hAnsi="宋体" w:cs="宋体"/>
          <w:color w:val="000000"/>
        </w:rPr>
        <w:t>（2）供应商需按照采购文件的要求提供相应的《小微企业声明函》。</w:t>
      </w:r>
    </w:p>
    <w:p w14:paraId="2F91B64B">
      <w:pPr>
        <w:pStyle w:val="14"/>
        <w:spacing w:before="120" w:beforeAutospacing="0" w:after="120" w:afterAutospacing="0" w:line="0" w:lineRule="atLeast"/>
        <w:ind w:firstLine="360"/>
        <w:rPr>
          <w:rFonts w:ascii="宋体" w:hAnsi="宋体" w:cs="宋体"/>
          <w:color w:val="000000"/>
        </w:rPr>
      </w:pPr>
      <w:r>
        <w:rPr>
          <w:rFonts w:hint="eastAsia" w:ascii="宋体" w:hAnsi="宋体" w:cs="宋体"/>
          <w:color w:val="000000"/>
        </w:rPr>
        <w:t>（3）企业标准请参照《关于印发中小企业划型标准规定的通知》（工信部联企业[2011]300号）文件规定自行填写。</w:t>
      </w:r>
    </w:p>
    <w:p w14:paraId="097FE78C">
      <w:pPr>
        <w:pStyle w:val="14"/>
        <w:spacing w:before="120" w:beforeAutospacing="0" w:after="120" w:afterAutospacing="0" w:line="0" w:lineRule="atLeast"/>
        <w:ind w:firstLine="480"/>
        <w:rPr>
          <w:rFonts w:ascii="宋体" w:hAnsi="宋体" w:cs="宋体"/>
          <w:color w:val="000000"/>
        </w:rPr>
      </w:pPr>
      <w:r>
        <w:rPr>
          <w:rFonts w:hint="eastAsia" w:ascii="宋体" w:hAnsi="宋体" w:cs="宋体"/>
          <w:color w:val="000000"/>
        </w:rPr>
        <w:t>2、残疾人福利单位价格扣除</w:t>
      </w:r>
    </w:p>
    <w:p w14:paraId="7D01C809">
      <w:pPr>
        <w:pStyle w:val="14"/>
        <w:spacing w:before="120" w:beforeAutospacing="0" w:after="120" w:afterAutospacing="0" w:line="0" w:lineRule="atLeast"/>
        <w:ind w:left="120" w:firstLine="360"/>
        <w:rPr>
          <w:rFonts w:ascii="宋体" w:hAnsi="宋体" w:cs="宋体"/>
          <w:color w:val="000000"/>
        </w:rPr>
      </w:pPr>
      <w:r>
        <w:rPr>
          <w:rFonts w:hint="eastAsia" w:ascii="宋体" w:hAnsi="宋体" w:cs="宋体"/>
          <w:color w:val="000000"/>
        </w:rPr>
        <w:t>（1）本项目对残疾人福利性单位视同小型、微型企业，给予20%</w:t>
      </w:r>
    </w:p>
    <w:p w14:paraId="66905A88">
      <w:pPr>
        <w:pStyle w:val="14"/>
        <w:spacing w:before="120" w:beforeAutospacing="0" w:after="120" w:afterAutospacing="0" w:line="0" w:lineRule="atLeast"/>
        <w:ind w:left="120" w:firstLine="360"/>
        <w:rPr>
          <w:rFonts w:ascii="宋体" w:hAnsi="宋体" w:cs="宋体"/>
          <w:color w:val="000000"/>
        </w:rPr>
      </w:pPr>
      <w:r>
        <w:rPr>
          <w:rFonts w:hint="eastAsia" w:ascii="宋体" w:hAnsi="宋体" w:cs="宋体"/>
          <w:color w:val="000000"/>
        </w:rPr>
        <w:t>（2）残疾人福利单位需按照采购文件的要求提供《残疾人福利性单位声明函》。</w:t>
      </w:r>
    </w:p>
    <w:p w14:paraId="0BE7FD2E">
      <w:pPr>
        <w:pStyle w:val="14"/>
        <w:spacing w:before="120" w:beforeAutospacing="0" w:after="120" w:afterAutospacing="0" w:line="0" w:lineRule="atLeast"/>
        <w:ind w:left="120" w:firstLine="360"/>
        <w:rPr>
          <w:rFonts w:ascii="宋体" w:hAnsi="宋体" w:cs="宋体"/>
          <w:color w:val="000000"/>
        </w:rPr>
      </w:pPr>
      <w:r>
        <w:rPr>
          <w:rFonts w:hint="eastAsia" w:ascii="宋体" w:hAnsi="宋体" w:cs="宋体"/>
          <w:color w:val="000000"/>
        </w:rPr>
        <w:t>（3）残疾人福利单位标准请参照《关于促进残疾人就业政府采购政策的通知》（财库〔2017〕141号）。</w:t>
      </w:r>
    </w:p>
    <w:p w14:paraId="1E94FA49">
      <w:pPr>
        <w:pStyle w:val="14"/>
        <w:spacing w:before="120" w:beforeAutospacing="0" w:after="120" w:afterAutospacing="0" w:line="0" w:lineRule="atLeast"/>
        <w:ind w:firstLine="480"/>
        <w:rPr>
          <w:rFonts w:ascii="宋体" w:hAnsi="宋体" w:cs="宋体"/>
          <w:color w:val="000000"/>
        </w:rPr>
      </w:pPr>
      <w:r>
        <w:rPr>
          <w:rFonts w:hint="eastAsia" w:ascii="宋体" w:hAnsi="宋体" w:cs="宋体"/>
          <w:color w:val="000000"/>
        </w:rPr>
        <w:t>3、监狱和戒毒企业价格扣除</w:t>
      </w:r>
    </w:p>
    <w:p w14:paraId="309D713D">
      <w:pPr>
        <w:pStyle w:val="14"/>
        <w:spacing w:before="120" w:beforeAutospacing="0" w:after="120" w:afterAutospacing="0" w:line="0" w:lineRule="atLeast"/>
        <w:ind w:firstLine="480"/>
        <w:rPr>
          <w:rFonts w:ascii="宋体" w:hAnsi="宋体" w:cs="宋体"/>
          <w:color w:val="000000"/>
          <w:u w:val="single"/>
        </w:rPr>
      </w:pPr>
      <w:r>
        <w:rPr>
          <w:rFonts w:hint="eastAsia" w:ascii="宋体" w:hAnsi="宋体" w:cs="宋体"/>
          <w:color w:val="000000"/>
        </w:rPr>
        <w:t>（1）本项目对监狱和戒毒企业（简称监狱企业）视同小型、微型企业，给予</w:t>
      </w:r>
      <w:r>
        <w:rPr>
          <w:rFonts w:hint="eastAsia" w:ascii="宋体" w:hAnsi="宋体" w:cs="宋体"/>
          <w:color w:val="000000"/>
          <w:u w:val="single"/>
        </w:rPr>
        <w:t>20%</w:t>
      </w:r>
    </w:p>
    <w:p w14:paraId="0AAD16F3">
      <w:pPr>
        <w:pStyle w:val="14"/>
        <w:spacing w:before="120" w:beforeAutospacing="0" w:after="120" w:afterAutospacing="0" w:line="0" w:lineRule="atLeast"/>
        <w:ind w:firstLine="480"/>
        <w:rPr>
          <w:rFonts w:ascii="宋体" w:hAnsi="宋体"/>
        </w:rPr>
      </w:pPr>
      <w:r>
        <w:rPr>
          <w:rFonts w:hint="eastAsia" w:ascii="宋体" w:hAnsi="宋体" w:cs="宋体"/>
          <w:color w:val="000000"/>
        </w:rPr>
        <w:t>（2）监狱企业参加政府采购活动时，需提供由省级以上监狱管理局、戒毒管理局(含新疆生产建设兵团)出具的属于监狱企业的证明文件。供应商如不提供上述证明文件，价格将不做相应扣除。</w:t>
      </w:r>
    </w:p>
    <w:p w14:paraId="01093E43">
      <w:pPr>
        <w:pStyle w:val="14"/>
        <w:spacing w:before="120" w:beforeAutospacing="0" w:after="120" w:afterAutospacing="0" w:line="0" w:lineRule="atLeast"/>
        <w:ind w:firstLine="480"/>
        <w:rPr>
          <w:rFonts w:ascii="宋体" w:hAnsi="宋体"/>
        </w:rPr>
      </w:pPr>
      <w:r>
        <w:rPr>
          <w:rFonts w:hint="eastAsia" w:ascii="宋体" w:hAnsi="宋体" w:cs="宋体"/>
          <w:color w:val="000000"/>
        </w:rPr>
        <w:t>（3）监狱企业标准请参照《关于政府采购支持监狱企业发展有关问题的通知》（财库[2014]68号）。</w:t>
      </w:r>
    </w:p>
    <w:p w14:paraId="0DE2853F">
      <w:pPr>
        <w:pStyle w:val="14"/>
        <w:spacing w:before="120" w:beforeAutospacing="0" w:after="120" w:afterAutospacing="0" w:line="0" w:lineRule="atLeast"/>
        <w:ind w:firstLine="480"/>
        <w:rPr>
          <w:rFonts w:ascii="宋体" w:hAnsi="宋体"/>
        </w:rPr>
      </w:pPr>
      <w:r>
        <w:rPr>
          <w:rFonts w:hint="eastAsia" w:ascii="宋体" w:hAnsi="宋体" w:cs="宋体"/>
          <w:color w:val="000000"/>
        </w:rPr>
        <w:t>4、残疾人福利单位、监狱企业属于小型、微型企业的，不重复享受政策。</w:t>
      </w:r>
    </w:p>
    <w:p w14:paraId="10B39563">
      <w:pPr>
        <w:ind w:firstLine="480"/>
        <w:rPr>
          <w:rFonts w:ascii="宋体" w:hAnsi="宋体" w:cs="宋体"/>
          <w:color w:val="FF0000"/>
          <w:sz w:val="24"/>
        </w:rPr>
      </w:pPr>
      <w:r>
        <w:rPr>
          <w:rFonts w:ascii="宋体" w:hAnsi="宋体" w:cs="宋体"/>
          <w:color w:val="FF0000"/>
          <w:sz w:val="24"/>
        </w:rPr>
        <w:t>5</w:t>
      </w:r>
      <w:r>
        <w:rPr>
          <w:rFonts w:hint="eastAsia" w:ascii="宋体" w:hAnsi="宋体" w:cs="宋体"/>
          <w:color w:val="FF0000"/>
          <w:sz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FF0000"/>
          <w:sz w:val="24"/>
        </w:rPr>
        <w:t>如属政府强制采购产品未提供认证证书的或认证证书提供不全的将视为未实质性响应采购要求</w:t>
      </w:r>
      <w:r>
        <w:rPr>
          <w:rFonts w:hint="eastAsia" w:ascii="宋体" w:hAnsi="宋体" w:cs="宋体"/>
          <w:i/>
          <w:color w:val="FF0000"/>
          <w:sz w:val="24"/>
        </w:rPr>
        <w:t>。</w:t>
      </w:r>
      <w:r>
        <w:rPr>
          <w:rFonts w:hint="eastAsia" w:ascii="宋体" w:hAnsi="宋体" w:cs="宋体"/>
          <w:color w:val="FF0000"/>
          <w:sz w:val="24"/>
        </w:rPr>
        <w:t>其他条件相同情况下，应当优先采购节能产品、环境标志产品。</w:t>
      </w:r>
    </w:p>
    <w:p w14:paraId="0720169E">
      <w:pPr>
        <w:ind w:firstLine="480"/>
        <w:rPr>
          <w:rFonts w:ascii="宋体" w:hAnsi="宋体" w:cs="宋体"/>
          <w:color w:val="FF0000"/>
          <w:sz w:val="24"/>
        </w:rPr>
      </w:pPr>
      <w:r>
        <w:rPr>
          <w:rFonts w:hint="eastAsia" w:ascii="宋体" w:hAnsi="宋体" w:cs="宋体"/>
          <w:color w:val="FF0000"/>
          <w:sz w:val="24"/>
        </w:rPr>
        <w:t>6、供应商对于投标产品的商品包装、快递包装应按照《关于印发《商品包装政府采购需求标准（试行）》、《快递包装政府采购需求标准（试行）》的通知》（财办库〔2020〕123号）执行。</w:t>
      </w:r>
    </w:p>
    <w:p w14:paraId="69547741">
      <w:pPr>
        <w:ind w:firstLine="480"/>
        <w:rPr>
          <w:rFonts w:ascii="宋体" w:hAnsi="宋体" w:cs="宋体"/>
          <w:color w:val="FF0000"/>
          <w:sz w:val="24"/>
        </w:rPr>
      </w:pPr>
      <w:r>
        <w:rPr>
          <w:rFonts w:hint="eastAsia" w:ascii="宋体" w:hAnsi="宋体" w:cs="宋体"/>
          <w:color w:val="FF0000"/>
          <w:sz w:val="24"/>
        </w:rPr>
        <w:t>7、本文件中若涉及到数据中心采购，应按照《&lt;绿色数据中心政府采购需求标准（试行）&gt;的通知》（财库〔2023〕7号）执行。</w:t>
      </w:r>
    </w:p>
    <w:p w14:paraId="05FE0D36">
      <w:pPr>
        <w:pStyle w:val="14"/>
        <w:spacing w:before="120" w:beforeAutospacing="0" w:after="120" w:afterAutospacing="0" w:line="0" w:lineRule="atLeast"/>
        <w:ind w:firstLine="473"/>
      </w:pPr>
      <w:r>
        <w:rPr>
          <w:rFonts w:hint="eastAsia" w:ascii="宋体" w:hAnsi="宋体" w:cs="宋体"/>
          <w:color w:val="000000"/>
        </w:rPr>
        <w:t>8、根据《江苏省政府采购信用管理暂行办法》的规定，供应商信用评价结果为三星的扣2分，评价结果为二星的扣3分，评价结果为一星的扣4分。</w:t>
      </w:r>
    </w:p>
    <w:p w14:paraId="4A11A4B3">
      <w:pPr>
        <w:ind w:firstLine="422"/>
        <w:rPr>
          <w:rFonts w:ascii="宋体" w:hAnsi="宋体" w:cs="宋体"/>
          <w:b/>
          <w:color w:val="000000"/>
        </w:rPr>
      </w:pPr>
      <w:r>
        <w:rPr>
          <w:rFonts w:hint="eastAsia" w:ascii="宋体" w:hAnsi="宋体" w:cs="宋体"/>
          <w:b/>
          <w:color w:val="000000"/>
        </w:rPr>
        <w:t>评标方法与评标标准</w:t>
      </w:r>
    </w:p>
    <w:tbl>
      <w:tblPr>
        <w:tblStyle w:val="7"/>
        <w:tblW w:w="907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93"/>
        <w:gridCol w:w="1323"/>
        <w:gridCol w:w="1071"/>
        <w:gridCol w:w="5891"/>
      </w:tblGrid>
      <w:tr w14:paraId="2E1A2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4"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25F21">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3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D1501">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评分项目</w:t>
            </w:r>
          </w:p>
        </w:tc>
        <w:tc>
          <w:tcPr>
            <w:tcW w:w="10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25110">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满分值</w:t>
            </w:r>
          </w:p>
        </w:tc>
        <w:tc>
          <w:tcPr>
            <w:tcW w:w="5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09984">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评分标准</w:t>
            </w:r>
          </w:p>
        </w:tc>
      </w:tr>
      <w:tr w14:paraId="190BF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4"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7E7D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3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36A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价格评分</w:t>
            </w:r>
          </w:p>
        </w:tc>
        <w:tc>
          <w:tcPr>
            <w:tcW w:w="10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4FA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10分</w:t>
            </w:r>
          </w:p>
        </w:tc>
        <w:tc>
          <w:tcPr>
            <w:tcW w:w="5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A00F3">
            <w:pPr>
              <w:keepNext w:val="0"/>
              <w:keepLines w:val="0"/>
              <w:widowControl/>
              <w:suppressLineNumbers w:val="0"/>
              <w:spacing w:line="240" w:lineRule="auto"/>
              <w:ind w:firstLine="480" w:firstLineChars="20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本项目采用低价优先法计算，即满足招标文件要求且投标价格最低的投标报价为评标基准价，其价格分为满分：1</w:t>
            </w:r>
            <w:r>
              <w:rPr>
                <w:rFonts w:hint="eastAsia" w:ascii="宋体" w:hAnsi="宋体" w:cs="宋体"/>
                <w:i w:val="0"/>
                <w:iCs w:val="0"/>
                <w:color w:val="auto"/>
                <w:sz w:val="24"/>
                <w:szCs w:val="24"/>
                <w:highlight w:val="none"/>
                <w:u w:val="none"/>
                <w:lang w:val="en-US" w:eastAsia="zh-CN"/>
              </w:rPr>
              <w:t>0</w:t>
            </w:r>
            <w:r>
              <w:rPr>
                <w:rFonts w:hint="eastAsia" w:ascii="宋体" w:hAnsi="宋体" w:eastAsia="宋体" w:cs="宋体"/>
                <w:i w:val="0"/>
                <w:iCs w:val="0"/>
                <w:color w:val="auto"/>
                <w:sz w:val="24"/>
                <w:szCs w:val="24"/>
                <w:highlight w:val="none"/>
                <w:u w:val="none"/>
              </w:rPr>
              <w:t>分。</w:t>
            </w:r>
          </w:p>
          <w:p w14:paraId="26D3610A">
            <w:pPr>
              <w:keepNext w:val="0"/>
              <w:keepLines w:val="0"/>
              <w:widowControl/>
              <w:suppressLineNumbers w:val="0"/>
              <w:spacing w:line="240" w:lineRule="auto"/>
              <w:ind w:firstLine="480" w:firstLineChars="20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其他投标人的价格分统一按照下列公式计算：投标报价得分=(评标基准价／投标报价)×1</w:t>
            </w:r>
            <w:r>
              <w:rPr>
                <w:rFonts w:hint="eastAsia" w:ascii="宋体" w:hAnsi="宋体" w:cs="宋体"/>
                <w:i w:val="0"/>
                <w:iCs w:val="0"/>
                <w:color w:val="auto"/>
                <w:sz w:val="24"/>
                <w:szCs w:val="24"/>
                <w:highlight w:val="none"/>
                <w:u w:val="none"/>
                <w:lang w:val="en-US" w:eastAsia="zh-CN"/>
              </w:rPr>
              <w:t>0</w:t>
            </w:r>
            <w:r>
              <w:rPr>
                <w:rFonts w:hint="eastAsia" w:ascii="宋体" w:hAnsi="宋体" w:eastAsia="宋体" w:cs="宋体"/>
                <w:i w:val="0"/>
                <w:iCs w:val="0"/>
                <w:color w:val="auto"/>
                <w:sz w:val="24"/>
                <w:szCs w:val="24"/>
                <w:highlight w:val="none"/>
                <w:u w:val="none"/>
              </w:rPr>
              <w:t>（按四舍五入取至小数点后两位）。</w:t>
            </w:r>
          </w:p>
        </w:tc>
      </w:tr>
      <w:tr w14:paraId="1B127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831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3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771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技术参数响应</w:t>
            </w:r>
          </w:p>
        </w:tc>
        <w:tc>
          <w:tcPr>
            <w:tcW w:w="10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5C2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r>
              <w:rPr>
                <w:rFonts w:hint="eastAsia" w:ascii="宋体" w:hAnsi="宋体" w:cs="宋体"/>
                <w:i w:val="0"/>
                <w:iCs w:val="0"/>
                <w:color w:val="auto"/>
                <w:kern w:val="0"/>
                <w:sz w:val="24"/>
                <w:szCs w:val="24"/>
                <w:highlight w:val="none"/>
                <w:u w:val="none"/>
                <w:lang w:val="en-US" w:eastAsia="zh-CN" w:bidi="ar"/>
              </w:rPr>
              <w:t>1</w:t>
            </w:r>
            <w:r>
              <w:rPr>
                <w:rFonts w:hint="eastAsia" w:ascii="宋体" w:hAnsi="宋体" w:eastAsia="宋体" w:cs="宋体"/>
                <w:i w:val="0"/>
                <w:iCs w:val="0"/>
                <w:color w:val="auto"/>
                <w:kern w:val="0"/>
                <w:sz w:val="24"/>
                <w:szCs w:val="24"/>
                <w:highlight w:val="none"/>
                <w:u w:val="none"/>
                <w:lang w:val="en-US" w:eastAsia="zh-CN" w:bidi="ar"/>
              </w:rPr>
              <w:t>分</w:t>
            </w:r>
          </w:p>
        </w:tc>
        <w:tc>
          <w:tcPr>
            <w:tcW w:w="5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F2C7D">
            <w:pPr>
              <w:keepNext w:val="0"/>
              <w:keepLines w:val="0"/>
              <w:widowControl/>
              <w:suppressLineNumbers w:val="0"/>
              <w:spacing w:line="240" w:lineRule="auto"/>
              <w:ind w:firstLine="480" w:firstLineChars="20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完全响应招标文件第四章第三项-</w:t>
            </w:r>
            <w:r>
              <w:rPr>
                <w:rFonts w:hint="eastAsia" w:ascii="宋体" w:hAnsi="宋体" w:eastAsia="宋体" w:cs="宋体"/>
                <w:b/>
                <w:bCs/>
                <w:color w:val="auto"/>
                <w:sz w:val="24"/>
                <w:szCs w:val="24"/>
                <w:highlight w:val="none"/>
                <w:lang w:val="en-US" w:eastAsia="zh-CN" w:bidi="ar-SA"/>
              </w:rPr>
              <w:t>建设清单及配置要求</w:t>
            </w:r>
            <w:r>
              <w:rPr>
                <w:rFonts w:hint="eastAsia" w:ascii="宋体" w:hAnsi="宋体" w:eastAsia="宋体" w:cs="宋体"/>
                <w:i w:val="0"/>
                <w:iCs w:val="0"/>
                <w:color w:val="auto"/>
                <w:sz w:val="24"/>
                <w:szCs w:val="24"/>
                <w:highlight w:val="none"/>
                <w:u w:val="none"/>
              </w:rPr>
              <w:t>的得满分2</w:t>
            </w:r>
            <w:r>
              <w:rPr>
                <w:rFonts w:hint="eastAsia" w:ascii="宋体" w:hAnsi="宋体" w:cs="宋体"/>
                <w:i w:val="0"/>
                <w:iCs w:val="0"/>
                <w:color w:val="auto"/>
                <w:sz w:val="24"/>
                <w:szCs w:val="24"/>
                <w:highlight w:val="none"/>
                <w:u w:val="none"/>
                <w:lang w:val="en-US" w:eastAsia="zh-CN"/>
              </w:rPr>
              <w:t>1</w:t>
            </w:r>
            <w:r>
              <w:rPr>
                <w:rFonts w:hint="eastAsia" w:ascii="宋体" w:hAnsi="宋体" w:eastAsia="宋体" w:cs="宋体"/>
                <w:i w:val="0"/>
                <w:iCs w:val="0"/>
                <w:color w:val="auto"/>
                <w:sz w:val="24"/>
                <w:szCs w:val="24"/>
                <w:highlight w:val="none"/>
                <w:u w:val="none"/>
              </w:rPr>
              <w:t>分(不含带“▲”项）。</w:t>
            </w:r>
          </w:p>
          <w:p w14:paraId="68B85D10">
            <w:pPr>
              <w:keepNext w:val="0"/>
              <w:keepLines w:val="0"/>
              <w:widowControl/>
              <w:suppressLineNumbers w:val="0"/>
              <w:spacing w:line="240" w:lineRule="auto"/>
              <w:ind w:firstLine="480" w:firstLineChars="200"/>
              <w:jc w:val="left"/>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的技术</w:t>
            </w:r>
            <w:r>
              <w:rPr>
                <w:rFonts w:hint="eastAsia" w:ascii="宋体" w:hAnsi="宋体" w:eastAsia="宋体" w:cs="宋体"/>
                <w:color w:val="auto"/>
                <w:sz w:val="24"/>
                <w:szCs w:val="24"/>
                <w:highlight w:val="none"/>
              </w:rPr>
              <w:t>参数</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功能描述部分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每负偏离一项扣</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带“★”的参数须提供</w:t>
            </w:r>
            <w:r>
              <w:rPr>
                <w:rFonts w:hint="eastAsia" w:ascii="宋体" w:hAnsi="宋体" w:eastAsia="宋体" w:cs="宋体"/>
                <w:b w:val="0"/>
                <w:bCs w:val="0"/>
                <w:color w:val="auto"/>
                <w:sz w:val="24"/>
                <w:szCs w:val="24"/>
                <w:highlight w:val="none"/>
              </w:rPr>
              <w:t>功能界面截图证明材料，未提供认定为负偏离</w:t>
            </w:r>
            <w:r>
              <w:rPr>
                <w:rFonts w:hint="eastAsia" w:ascii="宋体" w:hAnsi="宋体" w:eastAsia="宋体" w:cs="宋体"/>
                <w:b w:val="0"/>
                <w:bCs w:val="0"/>
                <w:color w:val="auto"/>
                <w:sz w:val="24"/>
                <w:szCs w:val="24"/>
                <w:highlight w:val="none"/>
                <w:lang w:eastAsia="zh-CN"/>
              </w:rPr>
              <w:t>。）</w:t>
            </w:r>
          </w:p>
          <w:p w14:paraId="776A226A">
            <w:pPr>
              <w:keepNext w:val="0"/>
              <w:keepLines w:val="0"/>
              <w:widowControl/>
              <w:suppressLineNumbers w:val="0"/>
              <w:spacing w:line="240" w:lineRule="auto"/>
              <w:ind w:firstLine="480" w:firstLineChars="200"/>
              <w:jc w:val="left"/>
              <w:textAlignment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未带“★和▲”的</w:t>
            </w:r>
            <w:r>
              <w:rPr>
                <w:rFonts w:hint="eastAsia" w:ascii="宋体" w:hAnsi="宋体" w:eastAsia="宋体" w:cs="宋体"/>
                <w:color w:val="auto"/>
                <w:sz w:val="24"/>
                <w:szCs w:val="24"/>
                <w:highlight w:val="none"/>
                <w:lang w:val="en-US" w:eastAsia="zh-CN"/>
              </w:rPr>
              <w:t>技术</w:t>
            </w:r>
            <w:r>
              <w:rPr>
                <w:rFonts w:hint="eastAsia" w:ascii="宋体" w:hAnsi="宋体" w:eastAsia="宋体" w:cs="宋体"/>
                <w:color w:val="auto"/>
                <w:sz w:val="24"/>
                <w:szCs w:val="24"/>
                <w:highlight w:val="none"/>
              </w:rPr>
              <w:t>参数</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功能描述部分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每负偏离1-3项扣3分，负偏离4-6项扣6分，负偏离7-9项扣9分，负偏离超过10项（含10项）及以上按无效标处理。</w:t>
            </w:r>
          </w:p>
        </w:tc>
      </w:tr>
      <w:tr w14:paraId="162B7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3"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AE00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3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623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平台功能演 示</w:t>
            </w:r>
          </w:p>
        </w:tc>
        <w:tc>
          <w:tcPr>
            <w:tcW w:w="10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7656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21</w:t>
            </w:r>
            <w:r>
              <w:rPr>
                <w:rFonts w:hint="eastAsia" w:ascii="宋体" w:hAnsi="宋体" w:eastAsia="宋体" w:cs="宋体"/>
                <w:i w:val="0"/>
                <w:iCs w:val="0"/>
                <w:color w:val="auto"/>
                <w:kern w:val="0"/>
                <w:sz w:val="24"/>
                <w:szCs w:val="24"/>
                <w:highlight w:val="none"/>
                <w:u w:val="none"/>
                <w:lang w:val="en-US" w:eastAsia="zh-CN" w:bidi="ar"/>
              </w:rPr>
              <w:t>分</w:t>
            </w:r>
          </w:p>
        </w:tc>
        <w:tc>
          <w:tcPr>
            <w:tcW w:w="5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E75A1">
            <w:pPr>
              <w:keepNext w:val="0"/>
              <w:keepLines w:val="0"/>
              <w:pageBreakBefore w:val="0"/>
              <w:widowControl w:val="0"/>
              <w:numPr>
                <w:ilvl w:val="0"/>
                <w:numId w:val="0"/>
              </w:num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w:t>
            </w:r>
            <w:r>
              <w:rPr>
                <w:rFonts w:hint="eastAsia" w:ascii="宋体" w:hAnsi="宋体" w:eastAsia="宋体" w:cs="宋体"/>
                <w:i w:val="0"/>
                <w:iCs w:val="0"/>
                <w:color w:val="auto"/>
                <w:sz w:val="24"/>
                <w:szCs w:val="24"/>
                <w:highlight w:val="none"/>
                <w:u w:val="none"/>
              </w:rPr>
              <w:t>招标文件第四章第三项-</w:t>
            </w:r>
            <w:r>
              <w:rPr>
                <w:rFonts w:hint="eastAsia" w:ascii="宋体" w:hAnsi="宋体" w:eastAsia="宋体" w:cs="宋体"/>
                <w:b/>
                <w:bCs/>
                <w:color w:val="auto"/>
                <w:sz w:val="24"/>
                <w:szCs w:val="24"/>
                <w:highlight w:val="none"/>
                <w:lang w:val="en-US" w:eastAsia="zh-CN" w:bidi="ar-SA"/>
              </w:rPr>
              <w:t>建设清单及配置要求</w:t>
            </w:r>
            <w:r>
              <w:rPr>
                <w:rFonts w:hint="eastAsia" w:ascii="宋体" w:hAnsi="宋体" w:eastAsia="宋体" w:cs="宋体"/>
                <w:color w:val="auto"/>
                <w:sz w:val="24"/>
                <w:szCs w:val="24"/>
                <w:highlight w:val="none"/>
              </w:rPr>
              <w:t>带“▲”的技术参数为功能演示项，须采用</w:t>
            </w:r>
            <w:r>
              <w:rPr>
                <w:rFonts w:hint="eastAsia" w:ascii="宋体" w:hAnsi="宋体" w:eastAsia="宋体" w:cs="宋体"/>
                <w:color w:val="auto"/>
                <w:sz w:val="24"/>
                <w:szCs w:val="24"/>
                <w:highlight w:val="none"/>
                <w:lang w:val="en-US" w:eastAsia="zh-CN"/>
              </w:rPr>
              <w:t>线下现场</w:t>
            </w:r>
            <w:r>
              <w:rPr>
                <w:rFonts w:hint="eastAsia" w:ascii="宋体" w:hAnsi="宋体" w:eastAsia="宋体" w:cs="宋体"/>
                <w:color w:val="auto"/>
                <w:sz w:val="24"/>
                <w:szCs w:val="24"/>
                <w:highlight w:val="none"/>
              </w:rPr>
              <w:t>演示方式。</w:t>
            </w:r>
          </w:p>
          <w:p w14:paraId="53EEA50B">
            <w:pPr>
              <w:keepNext w:val="0"/>
              <w:keepLines w:val="0"/>
              <w:pageBreakBefore w:val="0"/>
              <w:widowControl w:val="0"/>
              <w:numPr>
                <w:ilvl w:val="0"/>
                <w:numId w:val="0"/>
              </w:numPr>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w:t>
            </w:r>
            <w:r>
              <w:rPr>
                <w:rFonts w:hint="eastAsia" w:ascii="宋体" w:hAnsi="宋体" w:cs="宋体"/>
                <w:color w:val="auto"/>
                <w:sz w:val="24"/>
                <w:szCs w:val="24"/>
                <w:highlight w:val="none"/>
                <w:lang w:val="en-US" w:eastAsia="zh-CN"/>
              </w:rPr>
              <w:t>真实平台</w:t>
            </w:r>
            <w:r>
              <w:rPr>
                <w:rFonts w:hint="eastAsia" w:ascii="宋体" w:hAnsi="宋体" w:eastAsia="宋体" w:cs="宋体"/>
                <w:color w:val="auto"/>
                <w:sz w:val="24"/>
                <w:szCs w:val="24"/>
                <w:highlight w:val="none"/>
              </w:rPr>
              <w:t>演示，符合演示要求每项得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分；采用PPT</w:t>
            </w:r>
            <w:r>
              <w:rPr>
                <w:rFonts w:hint="eastAsia" w:ascii="宋体" w:hAnsi="宋体" w:eastAsia="宋体" w:cs="宋体"/>
                <w:color w:val="auto"/>
                <w:sz w:val="24"/>
                <w:szCs w:val="24"/>
                <w:highlight w:val="none"/>
                <w:lang w:val="en-US" w:eastAsia="zh-CN"/>
              </w:rPr>
              <w:t>或Demo或原型图</w:t>
            </w:r>
            <w:r>
              <w:rPr>
                <w:rFonts w:hint="eastAsia" w:ascii="宋体" w:hAnsi="宋体" w:eastAsia="宋体" w:cs="宋体"/>
                <w:color w:val="auto"/>
                <w:sz w:val="24"/>
                <w:szCs w:val="24"/>
                <w:highlight w:val="none"/>
              </w:rPr>
              <w:t>演示，符合演示要求每项得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分。本项最多得</w:t>
            </w:r>
            <w:r>
              <w:rPr>
                <w:rFonts w:hint="eastAsia" w:ascii="宋体" w:hAnsi="宋体" w:cs="宋体"/>
                <w:color w:val="auto"/>
                <w:sz w:val="24"/>
                <w:szCs w:val="24"/>
                <w:highlight w:val="none"/>
                <w:lang w:val="en-US" w:eastAsia="zh-CN"/>
              </w:rPr>
              <w:t>21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未演示不得分。</w:t>
            </w:r>
          </w:p>
          <w:p w14:paraId="13DE3217">
            <w:pPr>
              <w:keepNext w:val="0"/>
              <w:keepLines w:val="0"/>
              <w:pageBreakBefore w:val="0"/>
              <w:widowControl w:val="0"/>
              <w:numPr>
                <w:ilvl w:val="0"/>
                <w:numId w:val="0"/>
              </w:numPr>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注：演示环节由投标人自行准备相关设备，演示时长不超过</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分钟。</w:t>
            </w:r>
          </w:p>
        </w:tc>
      </w:tr>
      <w:tr w14:paraId="284A9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1"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35F49">
            <w:pPr>
              <w:keepNext w:val="0"/>
              <w:keepLines w:val="0"/>
              <w:widowControl/>
              <w:suppressLineNumbers w:val="0"/>
              <w:jc w:val="center"/>
              <w:textAlignment w:val="center"/>
              <w:rPr>
                <w:rFonts w:hint="eastAsia" w:ascii="宋体" w:hAnsi="宋体" w:eastAsia="宋体" w:cs="宋体"/>
                <w:i w:val="0"/>
                <w:iCs w:val="0"/>
                <w:strike/>
                <w:dstrike w:val="0"/>
                <w:color w:val="auto"/>
                <w:sz w:val="24"/>
                <w:szCs w:val="24"/>
                <w:highlight w:val="none"/>
                <w:u w:val="none"/>
              </w:rPr>
            </w:pPr>
            <w:r>
              <w:rPr>
                <w:rFonts w:hint="eastAsia" w:ascii="宋体" w:hAnsi="宋体" w:eastAsia="宋体" w:cs="宋体"/>
                <w:i w:val="0"/>
                <w:iCs w:val="0"/>
                <w:strike/>
                <w:dstrike w:val="0"/>
                <w:color w:val="auto"/>
                <w:kern w:val="0"/>
                <w:sz w:val="24"/>
                <w:szCs w:val="24"/>
                <w:highlight w:val="none"/>
                <w:u w:val="none"/>
                <w:lang w:val="en-US" w:eastAsia="zh-CN" w:bidi="ar"/>
              </w:rPr>
              <w:t>4</w:t>
            </w:r>
          </w:p>
        </w:tc>
        <w:tc>
          <w:tcPr>
            <w:tcW w:w="13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1B84E">
            <w:pPr>
              <w:keepNext w:val="0"/>
              <w:keepLines w:val="0"/>
              <w:widowControl/>
              <w:suppressLineNumbers w:val="0"/>
              <w:jc w:val="center"/>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投标人资质</w:t>
            </w:r>
          </w:p>
        </w:tc>
        <w:tc>
          <w:tcPr>
            <w:tcW w:w="10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EEBEC">
            <w:pPr>
              <w:keepNext w:val="0"/>
              <w:keepLines w:val="0"/>
              <w:widowControl/>
              <w:suppressLineNumbers w:val="0"/>
              <w:jc w:val="center"/>
              <w:textAlignment w:val="center"/>
              <w:rPr>
                <w:rFonts w:hint="eastAsia" w:ascii="宋体" w:hAnsi="宋体" w:eastAsia="宋体" w:cs="宋体"/>
                <w:i w:val="0"/>
                <w:iCs w:val="0"/>
                <w:strike w:val="0"/>
                <w:dstrike w:val="0"/>
                <w:color w:val="auto"/>
                <w:sz w:val="24"/>
                <w:szCs w:val="24"/>
                <w:highlight w:val="none"/>
                <w:u w:val="none"/>
              </w:rPr>
            </w:pPr>
            <w:r>
              <w:rPr>
                <w:rFonts w:hint="eastAsia" w:ascii="宋体" w:hAnsi="宋体" w:eastAsia="宋体" w:cs="宋体"/>
                <w:i w:val="0"/>
                <w:iCs w:val="0"/>
                <w:strike w:val="0"/>
                <w:dstrike w:val="0"/>
                <w:color w:val="auto"/>
                <w:kern w:val="0"/>
                <w:sz w:val="24"/>
                <w:szCs w:val="24"/>
                <w:highlight w:val="none"/>
                <w:u w:val="none"/>
                <w:lang w:val="en-US" w:eastAsia="zh-CN" w:bidi="ar"/>
              </w:rPr>
              <w:t>1</w:t>
            </w:r>
            <w:r>
              <w:rPr>
                <w:rFonts w:hint="eastAsia" w:ascii="宋体" w:hAnsi="宋体" w:cs="宋体"/>
                <w:i w:val="0"/>
                <w:iCs w:val="0"/>
                <w:strike w:val="0"/>
                <w:dstrike w:val="0"/>
                <w:color w:val="auto"/>
                <w:kern w:val="0"/>
                <w:sz w:val="24"/>
                <w:szCs w:val="24"/>
                <w:highlight w:val="none"/>
                <w:u w:val="none"/>
                <w:lang w:val="en-US" w:eastAsia="zh-CN" w:bidi="ar"/>
              </w:rPr>
              <w:t>2</w:t>
            </w:r>
            <w:r>
              <w:rPr>
                <w:rFonts w:hint="eastAsia" w:ascii="宋体" w:hAnsi="宋体" w:eastAsia="宋体" w:cs="宋体"/>
                <w:i w:val="0"/>
                <w:iCs w:val="0"/>
                <w:strike w:val="0"/>
                <w:dstrike w:val="0"/>
                <w:color w:val="auto"/>
                <w:kern w:val="0"/>
                <w:sz w:val="24"/>
                <w:szCs w:val="24"/>
                <w:highlight w:val="none"/>
                <w:u w:val="none"/>
                <w:lang w:val="en-US" w:eastAsia="zh-CN" w:bidi="ar"/>
              </w:rPr>
              <w:t>分</w:t>
            </w:r>
          </w:p>
        </w:tc>
        <w:tc>
          <w:tcPr>
            <w:tcW w:w="5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36280">
            <w:pPr>
              <w:spacing w:line="240" w:lineRule="auto"/>
              <w:ind w:firstLine="480" w:firstLineChars="200"/>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rPr>
              <w:t>1、投标人具有信息安全服务</w:t>
            </w:r>
            <w:r>
              <w:rPr>
                <w:rFonts w:hint="eastAsia" w:ascii="宋体" w:hAnsi="宋体" w:eastAsia="宋体" w:cs="宋体"/>
                <w:strike w:val="0"/>
                <w:dstrike w:val="0"/>
                <w:color w:val="auto"/>
                <w:sz w:val="24"/>
                <w:szCs w:val="24"/>
                <w:highlight w:val="none"/>
                <w:lang w:val="en-US" w:eastAsia="zh-CN"/>
              </w:rPr>
              <w:t>资质</w:t>
            </w:r>
            <w:r>
              <w:rPr>
                <w:rFonts w:hint="eastAsia" w:ascii="宋体" w:hAnsi="宋体" w:eastAsia="宋体" w:cs="宋体"/>
                <w:strike w:val="0"/>
                <w:dstrike w:val="0"/>
                <w:color w:val="auto"/>
                <w:sz w:val="24"/>
                <w:szCs w:val="24"/>
                <w:highlight w:val="none"/>
              </w:rPr>
              <w:t>认证证书(认证服务的种类包括：软件安全开发一级的得</w:t>
            </w:r>
            <w:r>
              <w:rPr>
                <w:rFonts w:hint="eastAsia" w:ascii="宋体" w:hAnsi="宋体" w:eastAsia="宋体" w:cs="宋体"/>
                <w:strike w:val="0"/>
                <w:dstrike w:val="0"/>
                <w:color w:val="auto"/>
                <w:sz w:val="24"/>
                <w:szCs w:val="24"/>
                <w:highlight w:val="none"/>
                <w:lang w:val="en-US" w:eastAsia="zh-CN"/>
              </w:rPr>
              <w:t>2</w:t>
            </w:r>
            <w:r>
              <w:rPr>
                <w:rFonts w:hint="eastAsia" w:ascii="宋体" w:hAnsi="宋体" w:eastAsia="宋体" w:cs="宋体"/>
                <w:strike w:val="0"/>
                <w:dstrike w:val="0"/>
                <w:color w:val="auto"/>
                <w:sz w:val="24"/>
                <w:szCs w:val="24"/>
                <w:highlight w:val="none"/>
              </w:rPr>
              <w:t>分、二级及其它的得</w:t>
            </w:r>
            <w:r>
              <w:rPr>
                <w:rFonts w:hint="eastAsia" w:ascii="宋体" w:hAnsi="宋体" w:eastAsia="宋体" w:cs="宋体"/>
                <w:strike w:val="0"/>
                <w:dstrike w:val="0"/>
                <w:color w:val="auto"/>
                <w:sz w:val="24"/>
                <w:szCs w:val="24"/>
                <w:highlight w:val="none"/>
                <w:lang w:val="en-US" w:eastAsia="zh-CN"/>
              </w:rPr>
              <w:t>1</w:t>
            </w:r>
            <w:r>
              <w:rPr>
                <w:rFonts w:hint="eastAsia" w:ascii="宋体" w:hAnsi="宋体" w:eastAsia="宋体" w:cs="宋体"/>
                <w:strike w:val="0"/>
                <w:dstrike w:val="0"/>
                <w:color w:val="auto"/>
                <w:sz w:val="24"/>
                <w:szCs w:val="24"/>
                <w:highlight w:val="none"/>
              </w:rPr>
              <w:t>分、不提供不得分；信息安全风险评估一级的得</w:t>
            </w:r>
            <w:r>
              <w:rPr>
                <w:rFonts w:hint="eastAsia" w:ascii="宋体" w:hAnsi="宋体" w:eastAsia="宋体" w:cs="宋体"/>
                <w:strike w:val="0"/>
                <w:dstrike w:val="0"/>
                <w:color w:val="auto"/>
                <w:sz w:val="24"/>
                <w:szCs w:val="24"/>
                <w:highlight w:val="none"/>
                <w:lang w:val="en-US" w:eastAsia="zh-CN"/>
              </w:rPr>
              <w:t>2</w:t>
            </w:r>
            <w:r>
              <w:rPr>
                <w:rFonts w:hint="eastAsia" w:ascii="宋体" w:hAnsi="宋体" w:eastAsia="宋体" w:cs="宋体"/>
                <w:strike w:val="0"/>
                <w:dstrike w:val="0"/>
                <w:color w:val="auto"/>
                <w:sz w:val="24"/>
                <w:szCs w:val="24"/>
                <w:highlight w:val="none"/>
              </w:rPr>
              <w:t>分、二级及其它的得</w:t>
            </w:r>
            <w:r>
              <w:rPr>
                <w:rFonts w:hint="eastAsia" w:ascii="宋体" w:hAnsi="宋体" w:eastAsia="宋体" w:cs="宋体"/>
                <w:strike w:val="0"/>
                <w:dstrike w:val="0"/>
                <w:color w:val="auto"/>
                <w:sz w:val="24"/>
                <w:szCs w:val="24"/>
                <w:highlight w:val="none"/>
                <w:lang w:val="en-US" w:eastAsia="zh-CN"/>
              </w:rPr>
              <w:t>1</w:t>
            </w:r>
            <w:r>
              <w:rPr>
                <w:rFonts w:hint="eastAsia" w:ascii="宋体" w:hAnsi="宋体" w:eastAsia="宋体" w:cs="宋体"/>
                <w:strike w:val="0"/>
                <w:dstrike w:val="0"/>
                <w:color w:val="auto"/>
                <w:sz w:val="24"/>
                <w:szCs w:val="24"/>
                <w:highlight w:val="none"/>
              </w:rPr>
              <w:t>分、不提供不得分；信息安全应急处理一级的得</w:t>
            </w:r>
            <w:r>
              <w:rPr>
                <w:rFonts w:hint="eastAsia" w:ascii="宋体" w:hAnsi="宋体" w:eastAsia="宋体" w:cs="宋体"/>
                <w:strike w:val="0"/>
                <w:dstrike w:val="0"/>
                <w:color w:val="auto"/>
                <w:sz w:val="24"/>
                <w:szCs w:val="24"/>
                <w:highlight w:val="none"/>
                <w:lang w:val="en-US" w:eastAsia="zh-CN"/>
              </w:rPr>
              <w:t>2</w:t>
            </w:r>
            <w:r>
              <w:rPr>
                <w:rFonts w:hint="eastAsia" w:ascii="宋体" w:hAnsi="宋体" w:eastAsia="宋体" w:cs="宋体"/>
                <w:strike w:val="0"/>
                <w:dstrike w:val="0"/>
                <w:color w:val="auto"/>
                <w:sz w:val="24"/>
                <w:szCs w:val="24"/>
                <w:highlight w:val="none"/>
              </w:rPr>
              <w:t>分、二级及其它的得</w:t>
            </w:r>
            <w:r>
              <w:rPr>
                <w:rFonts w:hint="eastAsia" w:ascii="宋体" w:hAnsi="宋体" w:eastAsia="宋体" w:cs="宋体"/>
                <w:strike w:val="0"/>
                <w:dstrike w:val="0"/>
                <w:color w:val="auto"/>
                <w:sz w:val="24"/>
                <w:szCs w:val="24"/>
                <w:highlight w:val="none"/>
                <w:lang w:val="en-US" w:eastAsia="zh-CN"/>
              </w:rPr>
              <w:t>1</w:t>
            </w:r>
            <w:r>
              <w:rPr>
                <w:rFonts w:hint="eastAsia" w:ascii="宋体" w:hAnsi="宋体" w:eastAsia="宋体" w:cs="宋体"/>
                <w:strike w:val="0"/>
                <w:dstrike w:val="0"/>
                <w:color w:val="auto"/>
                <w:sz w:val="24"/>
                <w:szCs w:val="24"/>
                <w:highlight w:val="none"/>
              </w:rPr>
              <w:t>分、不提供不得分；信息系统安全集成一级的得</w:t>
            </w:r>
            <w:r>
              <w:rPr>
                <w:rFonts w:hint="eastAsia" w:ascii="宋体" w:hAnsi="宋体" w:eastAsia="宋体" w:cs="宋体"/>
                <w:strike w:val="0"/>
                <w:dstrike w:val="0"/>
                <w:color w:val="auto"/>
                <w:sz w:val="24"/>
                <w:szCs w:val="24"/>
                <w:highlight w:val="none"/>
                <w:lang w:val="en-US" w:eastAsia="zh-CN"/>
              </w:rPr>
              <w:t>2</w:t>
            </w:r>
            <w:r>
              <w:rPr>
                <w:rFonts w:hint="eastAsia" w:ascii="宋体" w:hAnsi="宋体" w:eastAsia="宋体" w:cs="宋体"/>
                <w:strike w:val="0"/>
                <w:dstrike w:val="0"/>
                <w:color w:val="auto"/>
                <w:sz w:val="24"/>
                <w:szCs w:val="24"/>
                <w:highlight w:val="none"/>
              </w:rPr>
              <w:t>分、二级及其它的得</w:t>
            </w:r>
            <w:r>
              <w:rPr>
                <w:rFonts w:hint="eastAsia" w:ascii="宋体" w:hAnsi="宋体" w:eastAsia="宋体" w:cs="宋体"/>
                <w:strike w:val="0"/>
                <w:dstrike w:val="0"/>
                <w:color w:val="auto"/>
                <w:sz w:val="24"/>
                <w:szCs w:val="24"/>
                <w:highlight w:val="none"/>
                <w:lang w:val="en-US" w:eastAsia="zh-CN"/>
              </w:rPr>
              <w:t>1</w:t>
            </w:r>
            <w:r>
              <w:rPr>
                <w:rFonts w:hint="eastAsia" w:ascii="宋体" w:hAnsi="宋体" w:eastAsia="宋体" w:cs="宋体"/>
                <w:strike w:val="0"/>
                <w:dstrike w:val="0"/>
                <w:color w:val="auto"/>
                <w:sz w:val="24"/>
                <w:szCs w:val="24"/>
                <w:highlight w:val="none"/>
              </w:rPr>
              <w:t>分、不提供不得分；信息系统安全运维一级的得</w:t>
            </w:r>
            <w:r>
              <w:rPr>
                <w:rFonts w:hint="eastAsia" w:ascii="宋体" w:hAnsi="宋体" w:eastAsia="宋体" w:cs="宋体"/>
                <w:strike w:val="0"/>
                <w:dstrike w:val="0"/>
                <w:color w:val="auto"/>
                <w:sz w:val="24"/>
                <w:szCs w:val="24"/>
                <w:highlight w:val="none"/>
                <w:lang w:val="en-US" w:eastAsia="zh-CN"/>
              </w:rPr>
              <w:t>2</w:t>
            </w:r>
            <w:r>
              <w:rPr>
                <w:rFonts w:hint="eastAsia" w:ascii="宋体" w:hAnsi="宋体" w:eastAsia="宋体" w:cs="宋体"/>
                <w:strike w:val="0"/>
                <w:dstrike w:val="0"/>
                <w:color w:val="auto"/>
                <w:sz w:val="24"/>
                <w:szCs w:val="24"/>
                <w:highlight w:val="none"/>
              </w:rPr>
              <w:t>分、二级及其它的得</w:t>
            </w:r>
            <w:r>
              <w:rPr>
                <w:rFonts w:hint="eastAsia" w:ascii="宋体" w:hAnsi="宋体" w:eastAsia="宋体" w:cs="宋体"/>
                <w:strike w:val="0"/>
                <w:dstrike w:val="0"/>
                <w:color w:val="auto"/>
                <w:sz w:val="24"/>
                <w:szCs w:val="24"/>
                <w:highlight w:val="none"/>
                <w:lang w:val="en-US" w:eastAsia="zh-CN"/>
              </w:rPr>
              <w:t>1</w:t>
            </w:r>
            <w:r>
              <w:rPr>
                <w:rFonts w:hint="eastAsia" w:ascii="宋体" w:hAnsi="宋体" w:eastAsia="宋体" w:cs="宋体"/>
                <w:strike w:val="0"/>
                <w:dstrike w:val="0"/>
                <w:color w:val="auto"/>
                <w:sz w:val="24"/>
                <w:szCs w:val="24"/>
                <w:highlight w:val="none"/>
              </w:rPr>
              <w:t>分、不提供不得分；信息系统灾难备份与恢复一级的得</w:t>
            </w:r>
            <w:r>
              <w:rPr>
                <w:rFonts w:hint="eastAsia" w:ascii="宋体" w:hAnsi="宋体" w:eastAsia="宋体" w:cs="宋体"/>
                <w:strike w:val="0"/>
                <w:dstrike w:val="0"/>
                <w:color w:val="auto"/>
                <w:sz w:val="24"/>
                <w:szCs w:val="24"/>
                <w:highlight w:val="none"/>
                <w:lang w:val="en-US" w:eastAsia="zh-CN"/>
              </w:rPr>
              <w:t>2</w:t>
            </w:r>
            <w:r>
              <w:rPr>
                <w:rFonts w:hint="eastAsia" w:ascii="宋体" w:hAnsi="宋体" w:eastAsia="宋体" w:cs="宋体"/>
                <w:strike w:val="0"/>
                <w:dstrike w:val="0"/>
                <w:color w:val="auto"/>
                <w:sz w:val="24"/>
                <w:szCs w:val="24"/>
                <w:highlight w:val="none"/>
              </w:rPr>
              <w:t>分、二级及其它的得</w:t>
            </w:r>
            <w:r>
              <w:rPr>
                <w:rFonts w:hint="eastAsia" w:ascii="宋体" w:hAnsi="宋体" w:eastAsia="宋体" w:cs="宋体"/>
                <w:strike w:val="0"/>
                <w:dstrike w:val="0"/>
                <w:color w:val="auto"/>
                <w:sz w:val="24"/>
                <w:szCs w:val="24"/>
                <w:highlight w:val="none"/>
                <w:lang w:val="en-US" w:eastAsia="zh-CN"/>
              </w:rPr>
              <w:t>1</w:t>
            </w:r>
            <w:r>
              <w:rPr>
                <w:rFonts w:hint="eastAsia" w:ascii="宋体" w:hAnsi="宋体" w:eastAsia="宋体" w:cs="宋体"/>
                <w:strike w:val="0"/>
                <w:dstrike w:val="0"/>
                <w:color w:val="auto"/>
                <w:sz w:val="24"/>
                <w:szCs w:val="24"/>
                <w:highlight w:val="none"/>
              </w:rPr>
              <w:t>分、不提供不得分)。（投标时提供证书复印件并加盖投标人公章，未提供的不得分)</w:t>
            </w:r>
          </w:p>
          <w:p w14:paraId="2002630A">
            <w:pPr>
              <w:keepNext w:val="0"/>
              <w:keepLines w:val="0"/>
              <w:widowControl/>
              <w:suppressLineNumbers w:val="0"/>
              <w:spacing w:line="240" w:lineRule="auto"/>
              <w:ind w:firstLine="480" w:firstLineChars="200"/>
              <w:jc w:val="left"/>
              <w:textAlignment w:val="center"/>
              <w:rPr>
                <w:rFonts w:hint="eastAsia" w:ascii="宋体" w:hAnsi="宋体" w:eastAsia="宋体" w:cs="宋体"/>
                <w:i w:val="0"/>
                <w:iCs w:val="0"/>
                <w:strike w:val="0"/>
                <w:color w:val="auto"/>
                <w:sz w:val="24"/>
                <w:szCs w:val="24"/>
                <w:highlight w:val="none"/>
                <w:u w:val="none"/>
              </w:rPr>
            </w:pPr>
          </w:p>
        </w:tc>
      </w:tr>
      <w:tr w14:paraId="4A3D5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5"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8274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3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995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服务团队</w:t>
            </w:r>
          </w:p>
        </w:tc>
        <w:tc>
          <w:tcPr>
            <w:tcW w:w="10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28E0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7分</w:t>
            </w:r>
          </w:p>
        </w:tc>
        <w:tc>
          <w:tcPr>
            <w:tcW w:w="5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6788F">
            <w:pPr>
              <w:spacing w:line="240" w:lineRule="auto"/>
              <w:ind w:firstLine="480" w:firstLineChars="200"/>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rPr>
              <w:t>项目负责人（1名）：具备信息系统项目管理师证书、系统架构</w:t>
            </w:r>
            <w:r>
              <w:rPr>
                <w:rFonts w:hint="eastAsia" w:ascii="宋体" w:hAnsi="宋体" w:eastAsia="宋体" w:cs="宋体"/>
                <w:strike w:val="0"/>
                <w:dstrike w:val="0"/>
                <w:color w:val="auto"/>
                <w:sz w:val="24"/>
                <w:szCs w:val="24"/>
                <w:highlight w:val="none"/>
                <w:lang w:val="en-US" w:eastAsia="zh-CN"/>
              </w:rPr>
              <w:t>设计</w:t>
            </w:r>
            <w:r>
              <w:rPr>
                <w:rFonts w:hint="eastAsia" w:ascii="宋体" w:hAnsi="宋体" w:eastAsia="宋体" w:cs="宋体"/>
                <w:strike w:val="0"/>
                <w:dstrike w:val="0"/>
                <w:color w:val="auto"/>
                <w:sz w:val="24"/>
                <w:szCs w:val="24"/>
                <w:highlight w:val="none"/>
              </w:rPr>
              <w:t>师证书、系统规划与管理师证书、</w:t>
            </w:r>
            <w:r>
              <w:rPr>
                <w:rFonts w:hint="eastAsia" w:ascii="宋体" w:hAnsi="宋体" w:eastAsia="宋体" w:cs="宋体"/>
                <w:strike w:val="0"/>
                <w:dstrike w:val="0"/>
                <w:color w:val="auto"/>
                <w:sz w:val="24"/>
                <w:szCs w:val="24"/>
                <w:highlight w:val="none"/>
                <w:lang w:val="en-US" w:eastAsia="zh-CN"/>
              </w:rPr>
              <w:t>信息</w:t>
            </w:r>
            <w:r>
              <w:rPr>
                <w:rFonts w:hint="eastAsia" w:ascii="宋体" w:hAnsi="宋体" w:eastAsia="宋体" w:cs="宋体"/>
                <w:strike w:val="0"/>
                <w:dstrike w:val="0"/>
                <w:color w:val="auto"/>
                <w:sz w:val="24"/>
                <w:szCs w:val="24"/>
                <w:highlight w:val="none"/>
              </w:rPr>
              <w:t>安全工程师证书。每提供一个证书得</w:t>
            </w:r>
            <w:r>
              <w:rPr>
                <w:rFonts w:hint="eastAsia" w:ascii="宋体" w:hAnsi="宋体" w:eastAsia="宋体" w:cs="宋体"/>
                <w:strike w:val="0"/>
                <w:dstrike w:val="0"/>
                <w:color w:val="auto"/>
                <w:sz w:val="24"/>
                <w:szCs w:val="24"/>
                <w:highlight w:val="none"/>
                <w:lang w:val="en-US" w:eastAsia="zh-CN"/>
              </w:rPr>
              <w:t>1</w:t>
            </w:r>
            <w:r>
              <w:rPr>
                <w:rFonts w:hint="eastAsia" w:ascii="宋体" w:hAnsi="宋体" w:eastAsia="宋体" w:cs="宋体"/>
                <w:strike w:val="0"/>
                <w:dstrike w:val="0"/>
                <w:color w:val="auto"/>
                <w:sz w:val="24"/>
                <w:szCs w:val="24"/>
                <w:highlight w:val="none"/>
              </w:rPr>
              <w:t>分，最多得</w:t>
            </w:r>
            <w:r>
              <w:rPr>
                <w:rFonts w:hint="eastAsia" w:ascii="宋体" w:hAnsi="宋体" w:eastAsia="宋体" w:cs="宋体"/>
                <w:strike w:val="0"/>
                <w:dstrike w:val="0"/>
                <w:color w:val="auto"/>
                <w:sz w:val="24"/>
                <w:szCs w:val="24"/>
                <w:highlight w:val="none"/>
                <w:lang w:val="en-US" w:eastAsia="zh-CN"/>
              </w:rPr>
              <w:t>4</w:t>
            </w:r>
            <w:r>
              <w:rPr>
                <w:rFonts w:hint="eastAsia" w:ascii="宋体" w:hAnsi="宋体" w:eastAsia="宋体" w:cs="宋体"/>
                <w:strike w:val="0"/>
                <w:dstrike w:val="0"/>
                <w:color w:val="auto"/>
                <w:sz w:val="24"/>
                <w:szCs w:val="24"/>
                <w:highlight w:val="none"/>
              </w:rPr>
              <w:t>分，未提供不得分。</w:t>
            </w:r>
          </w:p>
          <w:p w14:paraId="7EB887BC">
            <w:pPr>
              <w:spacing w:line="240" w:lineRule="auto"/>
              <w:ind w:firstLine="480" w:firstLineChars="200"/>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rPr>
              <w:t>拟投入本项目的项目团队成员（不含项目负责人）分别具有网络规划设计师证书、</w:t>
            </w:r>
            <w:r>
              <w:rPr>
                <w:rFonts w:hint="eastAsia" w:ascii="宋体" w:hAnsi="宋体" w:eastAsia="宋体" w:cs="宋体"/>
                <w:strike w:val="0"/>
                <w:dstrike w:val="0"/>
                <w:color w:val="auto"/>
                <w:sz w:val="24"/>
                <w:szCs w:val="24"/>
                <w:highlight w:val="none"/>
                <w:lang w:val="en-US" w:eastAsia="zh-CN"/>
              </w:rPr>
              <w:t>系统分析师证书</w:t>
            </w:r>
            <w:r>
              <w:rPr>
                <w:rFonts w:hint="eastAsia" w:ascii="宋体" w:hAnsi="宋体" w:eastAsia="宋体" w:cs="宋体"/>
                <w:strike w:val="0"/>
                <w:dstrike w:val="0"/>
                <w:color w:val="auto"/>
                <w:sz w:val="24"/>
                <w:szCs w:val="24"/>
                <w:highlight w:val="none"/>
              </w:rPr>
              <w:t>、系统集成项目管理工程师证书，每提供一个人员证书，得</w:t>
            </w:r>
            <w:r>
              <w:rPr>
                <w:rFonts w:hint="eastAsia" w:ascii="宋体" w:hAnsi="宋体" w:eastAsia="宋体" w:cs="宋体"/>
                <w:strike w:val="0"/>
                <w:dstrike w:val="0"/>
                <w:color w:val="auto"/>
                <w:sz w:val="24"/>
                <w:szCs w:val="24"/>
                <w:highlight w:val="none"/>
                <w:lang w:val="en-US" w:eastAsia="zh-CN"/>
              </w:rPr>
              <w:t>1</w:t>
            </w:r>
            <w:r>
              <w:rPr>
                <w:rFonts w:hint="eastAsia" w:ascii="宋体" w:hAnsi="宋体" w:eastAsia="宋体" w:cs="宋体"/>
                <w:strike w:val="0"/>
                <w:dstrike w:val="0"/>
                <w:color w:val="auto"/>
                <w:sz w:val="24"/>
                <w:szCs w:val="24"/>
                <w:highlight w:val="none"/>
              </w:rPr>
              <w:t>分，本项最高得</w:t>
            </w:r>
            <w:r>
              <w:rPr>
                <w:rFonts w:hint="eastAsia" w:ascii="宋体" w:hAnsi="宋体" w:eastAsia="宋体" w:cs="宋体"/>
                <w:strike w:val="0"/>
                <w:dstrike w:val="0"/>
                <w:color w:val="auto"/>
                <w:sz w:val="24"/>
                <w:szCs w:val="24"/>
                <w:highlight w:val="none"/>
                <w:lang w:val="en-US" w:eastAsia="zh-CN"/>
              </w:rPr>
              <w:t>3</w:t>
            </w:r>
            <w:r>
              <w:rPr>
                <w:rFonts w:hint="eastAsia" w:ascii="宋体" w:hAnsi="宋体" w:eastAsia="宋体" w:cs="宋体"/>
                <w:strike w:val="0"/>
                <w:dstrike w:val="0"/>
                <w:color w:val="auto"/>
                <w:sz w:val="24"/>
                <w:szCs w:val="24"/>
                <w:highlight w:val="none"/>
              </w:rPr>
              <w:t>分；</w:t>
            </w:r>
          </w:p>
          <w:p w14:paraId="06080EA8">
            <w:pPr>
              <w:spacing w:line="240" w:lineRule="auto"/>
              <w:ind w:firstLine="480" w:firstLineChars="200"/>
              <w:rPr>
                <w:rFonts w:hint="eastAsia" w:ascii="宋体" w:hAnsi="宋体" w:eastAsia="宋体" w:cs="宋体"/>
                <w:strike w:val="0"/>
                <w:dstrike w:val="0"/>
                <w:color w:val="auto"/>
                <w:sz w:val="24"/>
                <w:szCs w:val="24"/>
                <w:highlight w:val="none"/>
                <w:lang w:val="en-US" w:eastAsia="zh-CN"/>
              </w:rPr>
            </w:pPr>
            <w:r>
              <w:rPr>
                <w:rFonts w:hint="eastAsia" w:ascii="宋体" w:hAnsi="宋体" w:eastAsia="宋体" w:cs="宋体"/>
                <w:strike w:val="0"/>
                <w:dstrike w:val="0"/>
                <w:color w:val="auto"/>
                <w:sz w:val="24"/>
                <w:szCs w:val="24"/>
                <w:highlight w:val="none"/>
                <w:lang w:val="en-US" w:eastAsia="zh-CN"/>
              </w:rPr>
              <w:t>注</w:t>
            </w:r>
            <w:r>
              <w:rPr>
                <w:rFonts w:hint="eastAsia" w:ascii="宋体" w:hAnsi="宋体" w:cs="宋体"/>
                <w:strike w:val="0"/>
                <w:dstrike w:val="0"/>
                <w:color w:val="auto"/>
                <w:sz w:val="24"/>
                <w:szCs w:val="24"/>
                <w:highlight w:val="none"/>
                <w:lang w:val="en-US" w:eastAsia="zh-CN"/>
              </w:rPr>
              <w:t>：</w:t>
            </w:r>
            <w:r>
              <w:rPr>
                <w:rFonts w:hint="eastAsia" w:ascii="宋体" w:hAnsi="宋体" w:eastAsia="宋体" w:cs="宋体"/>
                <w:strike w:val="0"/>
                <w:dstrike w:val="0"/>
                <w:color w:val="auto"/>
                <w:sz w:val="24"/>
                <w:szCs w:val="24"/>
                <w:highlight w:val="none"/>
                <w:lang w:val="en-US" w:eastAsia="zh-CN"/>
              </w:rPr>
              <w:t>（1）除项目负责人外，同一人证书不重复得分，同一类型证书不重复计分；</w:t>
            </w:r>
          </w:p>
          <w:p w14:paraId="52D1A56A">
            <w:pPr>
              <w:spacing w:line="240" w:lineRule="auto"/>
              <w:ind w:firstLine="480" w:firstLineChars="200"/>
              <w:rPr>
                <w:rFonts w:hint="eastAsia" w:ascii="宋体" w:hAnsi="宋体" w:eastAsia="宋体" w:cs="宋体"/>
                <w:i w:val="0"/>
                <w:iCs w:val="0"/>
                <w:color w:val="auto"/>
                <w:sz w:val="24"/>
                <w:szCs w:val="24"/>
                <w:highlight w:val="none"/>
                <w:u w:val="none"/>
              </w:rPr>
            </w:pPr>
            <w:r>
              <w:rPr>
                <w:rFonts w:hint="eastAsia" w:ascii="宋体" w:hAnsi="宋体" w:cs="宋体"/>
                <w:strike w:val="0"/>
                <w:dstrike w:val="0"/>
                <w:color w:val="auto"/>
                <w:sz w:val="24"/>
                <w:szCs w:val="24"/>
                <w:highlight w:val="none"/>
                <w:lang w:val="en-US" w:eastAsia="zh-CN"/>
              </w:rPr>
              <w:t>（</w:t>
            </w:r>
            <w:r>
              <w:rPr>
                <w:rFonts w:hint="eastAsia" w:ascii="宋体" w:hAnsi="宋体" w:eastAsia="宋体" w:cs="宋体"/>
                <w:strike w:val="0"/>
                <w:dstrike w:val="0"/>
                <w:color w:val="auto"/>
                <w:sz w:val="24"/>
                <w:szCs w:val="24"/>
                <w:highlight w:val="none"/>
                <w:lang w:val="en-US" w:eastAsia="zh-CN"/>
              </w:rPr>
              <w:t>2）以提供证书原件彩色扫描件加盖投标人公章和本单位为</w:t>
            </w:r>
            <w:r>
              <w:rPr>
                <w:rFonts w:hint="eastAsia" w:ascii="宋体" w:hAnsi="宋体" w:cs="宋体"/>
                <w:strike w:val="0"/>
                <w:dstrike w:val="0"/>
                <w:color w:val="auto"/>
                <w:sz w:val="24"/>
                <w:szCs w:val="24"/>
                <w:highlight w:val="yellow"/>
                <w:lang w:val="en-US" w:eastAsia="zh-CN"/>
              </w:rPr>
              <w:t>证书人员</w:t>
            </w:r>
            <w:r>
              <w:rPr>
                <w:rFonts w:hint="eastAsia" w:ascii="宋体" w:hAnsi="宋体" w:eastAsia="宋体" w:cs="宋体"/>
                <w:strike w:val="0"/>
                <w:dstrike w:val="0"/>
                <w:color w:val="auto"/>
                <w:sz w:val="24"/>
                <w:szCs w:val="24"/>
                <w:highlight w:val="none"/>
                <w:lang w:val="en-US" w:eastAsia="zh-CN"/>
              </w:rPr>
              <w:t>缴纳的从投标截止日当月向前3个月中的任意一个月的社保证明材料为准</w:t>
            </w:r>
            <w:r>
              <w:rPr>
                <w:rFonts w:hint="eastAsia" w:ascii="宋体" w:hAnsi="宋体" w:cs="宋体"/>
                <w:strike w:val="0"/>
                <w:dstrike w:val="0"/>
                <w:color w:val="auto"/>
                <w:sz w:val="24"/>
                <w:szCs w:val="24"/>
                <w:highlight w:val="none"/>
                <w:lang w:val="en-US" w:eastAsia="zh-CN"/>
              </w:rPr>
              <w:t>。</w:t>
            </w:r>
          </w:p>
        </w:tc>
      </w:tr>
      <w:tr w14:paraId="42A72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51"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9EC3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6</w:t>
            </w:r>
          </w:p>
        </w:tc>
        <w:tc>
          <w:tcPr>
            <w:tcW w:w="13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D21C9">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项目组织及实施方案</w:t>
            </w:r>
          </w:p>
        </w:tc>
        <w:tc>
          <w:tcPr>
            <w:tcW w:w="10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E059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6分</w:t>
            </w:r>
          </w:p>
        </w:tc>
        <w:tc>
          <w:tcPr>
            <w:tcW w:w="589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ED91222">
            <w:pPr>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项目组织实施方案应根据具体实施内容编制，包括：需求分析、编制依据，人员安排（人员名单及联系电话）</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总体工期安排和实施方案等</w:t>
            </w:r>
            <w:r>
              <w:rPr>
                <w:rFonts w:hint="eastAsia" w:ascii="宋体" w:hAnsi="宋体" w:eastAsia="宋体" w:cs="宋体"/>
                <w:b/>
                <w:bCs/>
                <w:color w:val="auto"/>
                <w:sz w:val="24"/>
                <w:szCs w:val="24"/>
                <w:highlight w:val="none"/>
                <w:lang w:eastAsia="zh-CN"/>
              </w:rPr>
              <w:t>；</w:t>
            </w:r>
          </w:p>
          <w:p w14:paraId="4CE37D8A">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（1）投标供应商须针对每条内容进行阐述，</w:t>
            </w:r>
            <w:r>
              <w:rPr>
                <w:rFonts w:hint="eastAsia" w:ascii="宋体" w:hAnsi="宋体" w:eastAsia="宋体" w:cs="宋体"/>
                <w:color w:val="auto"/>
                <w:sz w:val="24"/>
                <w:szCs w:val="24"/>
                <w:highlight w:val="none"/>
                <w:lang w:val="en-US" w:eastAsia="zh-CN"/>
              </w:rPr>
              <w:t>方案要点完整</w:t>
            </w:r>
            <w:r>
              <w:rPr>
                <w:rFonts w:hint="eastAsia" w:ascii="宋体" w:hAnsi="宋体" w:eastAsia="宋体" w:cs="宋体"/>
                <w:color w:val="auto"/>
                <w:sz w:val="24"/>
                <w:szCs w:val="24"/>
                <w:highlight w:val="none"/>
              </w:rPr>
              <w:t>、内容</w:t>
            </w:r>
            <w:r>
              <w:rPr>
                <w:rFonts w:hint="eastAsia" w:ascii="宋体" w:hAnsi="宋体" w:eastAsia="宋体" w:cs="宋体"/>
                <w:color w:val="auto"/>
                <w:sz w:val="24"/>
                <w:szCs w:val="24"/>
                <w:highlight w:val="none"/>
                <w:lang w:val="en-US" w:eastAsia="zh-CN"/>
              </w:rPr>
              <w:t>充实、符合项目实际情况，</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6DF8250E">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方案要点完整、</w:t>
            </w:r>
            <w:r>
              <w:rPr>
                <w:rFonts w:hint="eastAsia" w:ascii="宋体" w:hAnsi="宋体" w:eastAsia="宋体" w:cs="宋体"/>
                <w:color w:val="auto"/>
                <w:sz w:val="24"/>
                <w:szCs w:val="24"/>
                <w:highlight w:val="none"/>
              </w:rPr>
              <w:t>但内容相对简单，缺少关键细节，得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5EA4168F">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（3）方案</w:t>
            </w:r>
            <w:r>
              <w:rPr>
                <w:rFonts w:hint="eastAsia" w:ascii="宋体" w:hAnsi="宋体" w:eastAsia="宋体" w:cs="宋体"/>
                <w:color w:val="auto"/>
                <w:sz w:val="24"/>
                <w:szCs w:val="24"/>
                <w:highlight w:val="none"/>
                <w:lang w:val="en-US" w:eastAsia="zh-CN"/>
              </w:rPr>
              <w:t>要点</w:t>
            </w:r>
            <w:r>
              <w:rPr>
                <w:rFonts w:hint="eastAsia" w:ascii="宋体" w:hAnsi="宋体" w:eastAsia="宋体" w:cs="宋体"/>
                <w:color w:val="auto"/>
                <w:sz w:val="24"/>
                <w:szCs w:val="24"/>
                <w:highlight w:val="none"/>
              </w:rPr>
              <w:t>不完整，套用其他方案，凭空编造，有逻辑漏洞的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1DC1D805">
            <w:pP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（4）未提供本项内容的本项不得分。</w:t>
            </w:r>
          </w:p>
        </w:tc>
      </w:tr>
      <w:tr w14:paraId="0D95A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1"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F0C2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7</w:t>
            </w:r>
          </w:p>
        </w:tc>
        <w:tc>
          <w:tcPr>
            <w:tcW w:w="13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E84DA">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color w:val="auto"/>
                <w:sz w:val="24"/>
                <w:szCs w:val="24"/>
                <w:highlight w:val="none"/>
              </w:rPr>
              <w:t>进度计划</w:t>
            </w:r>
            <w:r>
              <w:rPr>
                <w:rFonts w:hint="eastAsia" w:ascii="宋体" w:hAnsi="宋体" w:eastAsia="宋体" w:cs="宋体"/>
                <w:b w:val="0"/>
                <w:bCs w:val="0"/>
                <w:i w:val="0"/>
                <w:iCs w:val="0"/>
                <w:color w:val="auto"/>
                <w:kern w:val="0"/>
                <w:sz w:val="24"/>
                <w:szCs w:val="24"/>
                <w:highlight w:val="none"/>
                <w:u w:val="none"/>
                <w:lang w:val="en-US" w:eastAsia="zh-CN" w:bidi="ar"/>
              </w:rPr>
              <w:t>方案</w:t>
            </w:r>
          </w:p>
        </w:tc>
        <w:tc>
          <w:tcPr>
            <w:tcW w:w="10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4BCE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6分</w:t>
            </w:r>
          </w:p>
        </w:tc>
        <w:tc>
          <w:tcPr>
            <w:tcW w:w="589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2E931131">
            <w:pP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进度计划方案包括：1、计划总体说明，计划进度目标等；2、项目总进度计划表（图）、实施日期及里程碑节点等。</w:t>
            </w:r>
          </w:p>
          <w:p w14:paraId="74EFC439">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（1）投标供应商须针对每条内容进行阐述，方案要点完整、内容充实、符合项目实际情况，得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200B5F4D">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（2）方案要点完整、但内容相对简单，缺少关键细节，得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60B9A331">
            <w:pP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（3）方案要点不完整，套用其他方案，凭空编造，有逻辑漏洞的，得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215B652B">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（4）未提供本项内容的本项不得分。</w:t>
            </w:r>
          </w:p>
        </w:tc>
      </w:tr>
      <w:tr w14:paraId="0EE75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5F50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8</w:t>
            </w:r>
          </w:p>
        </w:tc>
        <w:tc>
          <w:tcPr>
            <w:tcW w:w="13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685E2">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color w:val="auto"/>
                <w:sz w:val="24"/>
                <w:szCs w:val="24"/>
                <w:highlight w:val="none"/>
              </w:rPr>
              <w:t>信息安全措施</w:t>
            </w:r>
            <w:r>
              <w:rPr>
                <w:rFonts w:hint="eastAsia" w:ascii="宋体" w:hAnsi="宋体" w:eastAsia="宋体" w:cs="宋体"/>
                <w:b w:val="0"/>
                <w:bCs w:val="0"/>
                <w:i w:val="0"/>
                <w:iCs w:val="0"/>
                <w:color w:val="auto"/>
                <w:kern w:val="0"/>
                <w:sz w:val="24"/>
                <w:szCs w:val="24"/>
                <w:highlight w:val="none"/>
                <w:u w:val="none"/>
                <w:lang w:val="en-US" w:eastAsia="zh-CN" w:bidi="ar"/>
              </w:rPr>
              <w:t>方案</w:t>
            </w:r>
          </w:p>
        </w:tc>
        <w:tc>
          <w:tcPr>
            <w:tcW w:w="10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8876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6分</w:t>
            </w:r>
          </w:p>
        </w:tc>
        <w:tc>
          <w:tcPr>
            <w:tcW w:w="589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660976C1">
            <w:pP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明确的信息安全措施（信息安全技术措施以及相关信息安全技术交底等）内容描述详细的信息安全措施合理可行，针对性强。</w:t>
            </w:r>
          </w:p>
          <w:p w14:paraId="4B1BC418">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（1）投标供应商须针对每条内容进行阐述，方案要点完整、内容充实、符合项目实际情况，得</w:t>
            </w: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分；</w:t>
            </w:r>
          </w:p>
          <w:p w14:paraId="73818414">
            <w:pP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（2）方案要点完整、但内容相对简单，缺少关键细节，得</w:t>
            </w: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分；</w:t>
            </w:r>
          </w:p>
          <w:p w14:paraId="32023914">
            <w:pPr>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（3）方案要点不完整，套用其他方案，凭空编造，有逻辑漏洞的，得</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分</w:t>
            </w:r>
            <w:r>
              <w:rPr>
                <w:rFonts w:hint="eastAsia" w:ascii="宋体" w:hAnsi="宋体" w:eastAsia="宋体" w:cs="宋体"/>
                <w:b w:val="0"/>
                <w:bCs w:val="0"/>
                <w:color w:val="auto"/>
                <w:sz w:val="24"/>
                <w:szCs w:val="24"/>
                <w:highlight w:val="none"/>
                <w:lang w:eastAsia="zh-CN"/>
              </w:rPr>
              <w:t>。</w:t>
            </w:r>
          </w:p>
          <w:p w14:paraId="39AA3FA9">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（4）未提供本项内容的本项不得分。</w:t>
            </w:r>
          </w:p>
        </w:tc>
      </w:tr>
      <w:tr w14:paraId="260B6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54"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F029E">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9</w:t>
            </w:r>
          </w:p>
        </w:tc>
        <w:tc>
          <w:tcPr>
            <w:tcW w:w="13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FA641">
            <w:pPr>
              <w:keepNext w:val="0"/>
              <w:keepLines w:val="0"/>
              <w:widowControl/>
              <w:suppressLineNumbers w:val="0"/>
              <w:jc w:val="center"/>
              <w:textAlignment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售后服务</w:t>
            </w:r>
            <w:r>
              <w:rPr>
                <w:rFonts w:hint="eastAsia" w:ascii="宋体" w:hAnsi="宋体" w:eastAsia="宋体" w:cs="宋体"/>
                <w:b w:val="0"/>
                <w:bCs w:val="0"/>
                <w:i w:val="0"/>
                <w:iCs w:val="0"/>
                <w:color w:val="auto"/>
                <w:kern w:val="0"/>
                <w:sz w:val="24"/>
                <w:szCs w:val="24"/>
                <w:highlight w:val="none"/>
                <w:u w:val="none"/>
                <w:lang w:val="en-US" w:eastAsia="zh-CN" w:bidi="ar"/>
              </w:rPr>
              <w:t>方案</w:t>
            </w:r>
          </w:p>
        </w:tc>
        <w:tc>
          <w:tcPr>
            <w:tcW w:w="10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8CBAC">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6</w:t>
            </w:r>
            <w:r>
              <w:rPr>
                <w:rFonts w:hint="eastAsia" w:ascii="宋体" w:hAnsi="宋体" w:eastAsia="宋体" w:cs="宋体"/>
                <w:i w:val="0"/>
                <w:iCs w:val="0"/>
                <w:color w:val="auto"/>
                <w:kern w:val="0"/>
                <w:sz w:val="24"/>
                <w:szCs w:val="24"/>
                <w:highlight w:val="none"/>
                <w:u w:val="none"/>
                <w:lang w:val="en-US" w:eastAsia="zh-CN" w:bidi="ar"/>
              </w:rPr>
              <w:t>分</w:t>
            </w:r>
          </w:p>
        </w:tc>
        <w:tc>
          <w:tcPr>
            <w:tcW w:w="589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6BDB059">
            <w:pPr>
              <w:spacing w:line="3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售后服务方案包括：1、售后服务体系完备（包括但不限于售后部门组织结构图、售后服务制度、售后人员名单及联系电话等）；2、后续继续提供技术支撑和系统维护升级方案合理（包括但不限于技术支撑和系统维护升级方案、技术处理人员名单、职称及联系方式等）。</w:t>
            </w:r>
          </w:p>
          <w:p w14:paraId="2ACF6B2E">
            <w:pPr>
              <w:spacing w:line="3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（1）投标供应商须针对每条内容进行阐述，方案要点完整、内容充实、符合项目实际情况，得</w:t>
            </w: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分；</w:t>
            </w:r>
          </w:p>
          <w:p w14:paraId="0E35A085">
            <w:pPr>
              <w:spacing w:line="3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（2）方案要点完整、但内容相对简单，缺少关键细节，得</w:t>
            </w: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分；</w:t>
            </w:r>
          </w:p>
          <w:p w14:paraId="210C5C3F">
            <w:pPr>
              <w:spacing w:line="32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（3）方案要点不完整，套用其他方案，凭空编造，有逻辑漏洞的，得</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分</w:t>
            </w:r>
            <w:r>
              <w:rPr>
                <w:rFonts w:hint="eastAsia" w:ascii="宋体" w:hAnsi="宋体" w:eastAsia="宋体" w:cs="宋体"/>
                <w:b w:val="0"/>
                <w:bCs w:val="0"/>
                <w:color w:val="auto"/>
                <w:sz w:val="24"/>
                <w:szCs w:val="24"/>
                <w:highlight w:val="none"/>
                <w:lang w:eastAsia="zh-CN"/>
              </w:rPr>
              <w:t>。</w:t>
            </w:r>
          </w:p>
          <w:p w14:paraId="3A095F32">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（4）未提供本项内容的本项不得分。</w:t>
            </w:r>
          </w:p>
        </w:tc>
      </w:tr>
      <w:tr w14:paraId="2BD7A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54"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811D5">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10</w:t>
            </w:r>
          </w:p>
        </w:tc>
        <w:tc>
          <w:tcPr>
            <w:tcW w:w="13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9D86C">
            <w:pPr>
              <w:keepNext w:val="0"/>
              <w:keepLines w:val="0"/>
              <w:widowControl/>
              <w:suppressLineNumbers w:val="0"/>
              <w:tabs>
                <w:tab w:val="left" w:pos="345"/>
              </w:tabs>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color w:val="auto"/>
                <w:sz w:val="24"/>
                <w:szCs w:val="24"/>
                <w:highlight w:val="none"/>
              </w:rPr>
              <w:t>技术培训</w:t>
            </w:r>
            <w:r>
              <w:rPr>
                <w:rFonts w:hint="eastAsia" w:ascii="宋体" w:hAnsi="宋体" w:eastAsia="宋体" w:cs="宋体"/>
                <w:b w:val="0"/>
                <w:bCs w:val="0"/>
                <w:i w:val="0"/>
                <w:iCs w:val="0"/>
                <w:color w:val="auto"/>
                <w:kern w:val="0"/>
                <w:sz w:val="24"/>
                <w:szCs w:val="24"/>
                <w:highlight w:val="none"/>
                <w:u w:val="none"/>
                <w:lang w:val="en-US" w:eastAsia="zh-CN" w:bidi="ar"/>
              </w:rPr>
              <w:t>方案</w:t>
            </w:r>
          </w:p>
        </w:tc>
        <w:tc>
          <w:tcPr>
            <w:tcW w:w="10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B4F4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5</w:t>
            </w:r>
            <w:r>
              <w:rPr>
                <w:rFonts w:hint="eastAsia" w:ascii="宋体" w:hAnsi="宋体" w:eastAsia="宋体" w:cs="宋体"/>
                <w:i w:val="0"/>
                <w:iCs w:val="0"/>
                <w:color w:val="auto"/>
                <w:kern w:val="0"/>
                <w:sz w:val="24"/>
                <w:szCs w:val="24"/>
                <w:highlight w:val="none"/>
                <w:u w:val="none"/>
                <w:lang w:val="en-US" w:eastAsia="zh-CN" w:bidi="ar"/>
              </w:rPr>
              <w:t>分</w:t>
            </w:r>
          </w:p>
        </w:tc>
        <w:tc>
          <w:tcPr>
            <w:tcW w:w="589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AED9E0C">
            <w:pP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培训方案包括：1、培训人员名单及联系方式、健全的培训管理制度及技术交底措施等；2、操作规程、人员教育培训措施等。</w:t>
            </w:r>
          </w:p>
          <w:p w14:paraId="2A1D618A">
            <w:pPr>
              <w:spacing w:line="3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（1）投标供应商须针对每条内容进行阐述，方案要点完整、内容充实、符合项目实际情况，得</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分；</w:t>
            </w:r>
          </w:p>
          <w:p w14:paraId="34E1C5EB">
            <w:pPr>
              <w:spacing w:line="3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（2）方案要点完整、但内容相对简单，缺少关键细节，得</w:t>
            </w: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分；</w:t>
            </w:r>
          </w:p>
          <w:p w14:paraId="69954869">
            <w:pPr>
              <w:spacing w:line="32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（3）方案要点不完整，套用其他方案，凭空编造，有逻辑漏洞的，得</w:t>
            </w: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分</w:t>
            </w:r>
            <w:r>
              <w:rPr>
                <w:rFonts w:hint="eastAsia" w:ascii="宋体" w:hAnsi="宋体" w:eastAsia="宋体" w:cs="宋体"/>
                <w:b w:val="0"/>
                <w:bCs w:val="0"/>
                <w:color w:val="auto"/>
                <w:sz w:val="24"/>
                <w:szCs w:val="24"/>
                <w:highlight w:val="none"/>
                <w:lang w:eastAsia="zh-CN"/>
              </w:rPr>
              <w:t>。</w:t>
            </w:r>
          </w:p>
          <w:p w14:paraId="1918B130">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（4）未提供本项内容的本项不得分。</w:t>
            </w:r>
          </w:p>
        </w:tc>
      </w:tr>
      <w:bookmarkEnd w:id="158"/>
      <w:bookmarkEnd w:id="159"/>
      <w:bookmarkEnd w:id="160"/>
      <w:bookmarkEnd w:id="161"/>
      <w:bookmarkEnd w:id="162"/>
    </w:tbl>
    <w:p w14:paraId="7EEC6355">
      <w:pPr>
        <w:rPr>
          <w:rFonts w:hint="eastAsia" w:ascii="宋体" w:hAnsi="宋体" w:eastAsia="宋体" w:cs="宋体"/>
          <w:color w:val="auto"/>
          <w:szCs w:val="21"/>
          <w:highlight w:val="none"/>
        </w:rPr>
      </w:pPr>
    </w:p>
    <w:p w14:paraId="2F67B3CA">
      <w:pPr>
        <w:rPr>
          <w:rFonts w:hint="eastAsia" w:ascii="宋体" w:hAnsi="宋体" w:eastAsia="宋体" w:cs="宋体"/>
          <w:color w:val="000000"/>
          <w:sz w:val="44"/>
          <w:szCs w:val="44"/>
        </w:rPr>
      </w:pPr>
      <w:r>
        <w:rPr>
          <w:rFonts w:hint="eastAsia" w:ascii="宋体" w:hAnsi="宋体" w:cs="黑体"/>
          <w:color w:val="000000"/>
          <w:sz w:val="44"/>
          <w:szCs w:val="44"/>
        </w:rPr>
        <w:br w:type="page" w:clear="all"/>
      </w:r>
    </w:p>
    <w:p w14:paraId="53650D51">
      <w:pPr>
        <w:pStyle w:val="14"/>
        <w:spacing w:beforeAutospacing="0" w:afterAutospacing="0"/>
        <w:ind w:right="0" w:rightChars="0"/>
        <w:jc w:val="center"/>
        <w:outlineLvl w:val="0"/>
        <w:rPr>
          <w:rFonts w:hint="eastAsia" w:ascii="宋体" w:hAnsi="宋体" w:eastAsia="宋体" w:cs="黑体"/>
          <w:b/>
          <w:color w:val="000000"/>
          <w:sz w:val="44"/>
          <w:szCs w:val="44"/>
        </w:rPr>
      </w:pPr>
      <w:bookmarkStart w:id="164" w:name="_Toc16660"/>
      <w:r>
        <w:rPr>
          <w:rFonts w:hint="eastAsia" w:ascii="宋体" w:hAnsi="宋体" w:eastAsia="宋体" w:cs="黑体"/>
          <w:b/>
          <w:color w:val="000000"/>
          <w:sz w:val="44"/>
          <w:szCs w:val="44"/>
        </w:rPr>
        <w:t>第六章  投标文件格式</w:t>
      </w:r>
      <w:bookmarkEnd w:id="164"/>
      <w:r>
        <w:rPr>
          <w:rFonts w:hint="eastAsia" w:ascii="宋体" w:hAnsi="宋体" w:eastAsia="宋体" w:cs="黑体"/>
          <w:b/>
          <w:color w:val="000000"/>
          <w:sz w:val="44"/>
          <w:szCs w:val="44"/>
        </w:rPr>
        <w:t xml:space="preserve"> </w:t>
      </w:r>
    </w:p>
    <w:p w14:paraId="53C2380B">
      <w:pPr>
        <w:pStyle w:val="9"/>
        <w:keepNext/>
        <w:spacing w:beforeAutospacing="0" w:afterAutospacing="0" w:line="480" w:lineRule="auto"/>
        <w:jc w:val="center"/>
        <w:outlineLvl w:val="9"/>
        <w:rPr>
          <w:rFonts w:ascii="宋体" w:hAnsi="宋体" w:eastAsia="宋体" w:cs="宋体"/>
          <w:color w:val="000000"/>
          <w:sz w:val="44"/>
          <w:szCs w:val="44"/>
        </w:rPr>
      </w:pPr>
    </w:p>
    <w:p w14:paraId="2A7BDB71">
      <w:pPr>
        <w:pStyle w:val="9"/>
        <w:spacing w:beforeAutospacing="0" w:afterAutospacing="0" w:line="480" w:lineRule="auto"/>
        <w:jc w:val="center"/>
        <w:outlineLvl w:val="9"/>
        <w:rPr>
          <w:rFonts w:ascii="宋体" w:hAnsi="宋体" w:eastAsia="宋体" w:cs="宋体"/>
        </w:rPr>
      </w:pPr>
      <w:bookmarkStart w:id="165" w:name="_Toc26554094"/>
      <w:bookmarkEnd w:id="165"/>
      <w:bookmarkStart w:id="166" w:name="_Hlt26671244"/>
      <w:bookmarkEnd w:id="166"/>
      <w:bookmarkStart w:id="167" w:name="_Hlt26955039"/>
      <w:bookmarkEnd w:id="167"/>
      <w:bookmarkStart w:id="168" w:name="_Toc49090576"/>
      <w:bookmarkStart w:id="169" w:name="_Toc120614282"/>
      <w:r>
        <w:rPr>
          <w:rFonts w:hint="eastAsia" w:ascii="宋体" w:hAnsi="宋体" w:eastAsia="宋体" w:cs="宋体"/>
          <w:b/>
          <w:color w:val="000000"/>
          <w:sz w:val="72"/>
          <w:szCs w:val="72"/>
        </w:rPr>
        <w:t>投  标  文  件</w:t>
      </w:r>
    </w:p>
    <w:p w14:paraId="537D7A44">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p w14:paraId="20132BE7">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p w14:paraId="2A5D3063">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p w14:paraId="0FF33FED">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p w14:paraId="7F364E8F">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p w14:paraId="7E12CBDC">
      <w:pPr>
        <w:pStyle w:val="9"/>
        <w:spacing w:beforeAutospacing="0" w:afterAutospacing="0" w:line="440" w:lineRule="exact"/>
        <w:ind w:firstLine="1084"/>
        <w:jc w:val="both"/>
        <w:outlineLvl w:val="9"/>
        <w:rPr>
          <w:rFonts w:ascii="宋体" w:hAnsi="宋体" w:eastAsia="宋体" w:cs="宋体"/>
        </w:rPr>
      </w:pPr>
      <w:r>
        <w:rPr>
          <w:rFonts w:hint="eastAsia" w:ascii="宋体" w:hAnsi="宋体" w:eastAsia="宋体" w:cs="宋体"/>
          <w:b/>
          <w:color w:val="000000"/>
          <w:sz w:val="36"/>
          <w:szCs w:val="36"/>
        </w:rPr>
        <w:t>项目 名 称：</w:t>
      </w:r>
      <w:r>
        <w:rPr>
          <w:rFonts w:hint="eastAsia" w:ascii="宋体" w:hAnsi="宋体" w:eastAsia="宋体" w:cs="宋体"/>
          <w:b/>
          <w:color w:val="000000"/>
          <w:sz w:val="36"/>
          <w:szCs w:val="36"/>
          <w:u w:val="single"/>
        </w:rPr>
        <w:t xml:space="preserve">               </w:t>
      </w:r>
    </w:p>
    <w:p w14:paraId="14DA0756">
      <w:pPr>
        <w:pStyle w:val="9"/>
        <w:spacing w:beforeAutospacing="0" w:afterAutospacing="0" w:line="440" w:lineRule="exact"/>
        <w:ind w:firstLine="1084"/>
        <w:jc w:val="both"/>
        <w:outlineLvl w:val="9"/>
        <w:rPr>
          <w:rFonts w:ascii="宋体" w:hAnsi="宋体" w:eastAsia="宋体" w:cs="宋体"/>
        </w:rPr>
      </w:pPr>
      <w:r>
        <w:rPr>
          <w:rFonts w:hint="eastAsia" w:ascii="宋体" w:hAnsi="宋体" w:eastAsia="宋体" w:cs="宋体"/>
          <w:b/>
          <w:color w:val="000000"/>
          <w:sz w:val="36"/>
          <w:szCs w:val="36"/>
        </w:rPr>
        <w:t>项目 编 号：</w:t>
      </w:r>
      <w:r>
        <w:rPr>
          <w:rFonts w:hint="eastAsia" w:ascii="宋体" w:hAnsi="宋体" w:eastAsia="宋体" w:cs="宋体"/>
          <w:b/>
          <w:color w:val="000000"/>
          <w:sz w:val="36"/>
          <w:szCs w:val="36"/>
          <w:u w:val="single"/>
        </w:rPr>
        <w:t xml:space="preserve">               </w:t>
      </w:r>
    </w:p>
    <w:p w14:paraId="2FFDD113">
      <w:pPr>
        <w:pStyle w:val="9"/>
        <w:spacing w:beforeAutospacing="0" w:afterAutospacing="0" w:line="440" w:lineRule="exact"/>
        <w:jc w:val="both"/>
        <w:outlineLvl w:val="9"/>
        <w:rPr>
          <w:rFonts w:ascii="宋体" w:hAnsi="宋体" w:eastAsia="宋体" w:cs="宋体"/>
        </w:rPr>
      </w:pPr>
      <w:r>
        <w:rPr>
          <w:rFonts w:hint="eastAsia" w:ascii="宋体" w:hAnsi="宋体" w:eastAsia="宋体" w:cs="宋体"/>
          <w:b/>
          <w:color w:val="000000"/>
          <w:sz w:val="36"/>
          <w:szCs w:val="36"/>
        </w:rPr>
        <w:t>   投标人名称 ：</w:t>
      </w:r>
      <w:r>
        <w:rPr>
          <w:rFonts w:hint="eastAsia" w:ascii="宋体" w:hAnsi="宋体" w:eastAsia="宋体" w:cs="宋体"/>
          <w:b/>
          <w:color w:val="000000"/>
          <w:sz w:val="36"/>
          <w:szCs w:val="36"/>
          <w:u w:val="single"/>
        </w:rPr>
        <w:t xml:space="preserve">（加盖CA电子公章）        </w:t>
      </w:r>
    </w:p>
    <w:p w14:paraId="604BDB0D">
      <w:pPr>
        <w:pStyle w:val="9"/>
        <w:spacing w:beforeAutospacing="0" w:afterAutospacing="0" w:line="440" w:lineRule="exact"/>
        <w:jc w:val="both"/>
        <w:outlineLvl w:val="9"/>
        <w:rPr>
          <w:rFonts w:ascii="宋体" w:hAnsi="宋体" w:eastAsia="宋体" w:cs="宋体"/>
        </w:rPr>
      </w:pPr>
      <w:r>
        <w:rPr>
          <w:rFonts w:hint="eastAsia" w:ascii="宋体" w:hAnsi="宋体" w:eastAsia="宋体" w:cs="宋体"/>
          <w:b/>
          <w:color w:val="000000"/>
          <w:sz w:val="36"/>
          <w:szCs w:val="36"/>
        </w:rPr>
        <w:t>   日   期 ：</w:t>
      </w:r>
      <w:r>
        <w:rPr>
          <w:rFonts w:hint="eastAsia" w:ascii="宋体" w:hAnsi="宋体" w:eastAsia="宋体" w:cs="宋体"/>
          <w:b/>
          <w:color w:val="000000"/>
          <w:sz w:val="36"/>
          <w:szCs w:val="36"/>
          <w:u w:val="single"/>
        </w:rPr>
        <w:t>                     </w:t>
      </w:r>
    </w:p>
    <w:p w14:paraId="1BA4777A">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p w14:paraId="39ADECDC">
      <w:pPr>
        <w:pStyle w:val="9"/>
        <w:spacing w:beforeAutospacing="0" w:afterAutospacing="0" w:line="440" w:lineRule="exact"/>
        <w:jc w:val="both"/>
        <w:outlineLvl w:val="9"/>
        <w:rPr>
          <w:rFonts w:ascii="宋体" w:hAnsi="宋体" w:eastAsia="宋体" w:cs="宋体"/>
        </w:rPr>
      </w:pPr>
      <w:r>
        <w:rPr>
          <w:rFonts w:hint="eastAsia" w:ascii="宋体" w:hAnsi="宋体" w:eastAsia="宋体" w:cs="宋体"/>
        </w:rPr>
        <w:t> </w:t>
      </w:r>
    </w:p>
    <w:p w14:paraId="1E33B90A">
      <w:pPr>
        <w:pStyle w:val="9"/>
        <w:spacing w:beforeAutospacing="0" w:afterAutospacing="0" w:line="440" w:lineRule="exact"/>
        <w:jc w:val="center"/>
        <w:outlineLvl w:val="9"/>
        <w:rPr>
          <w:rFonts w:ascii="宋体" w:hAnsi="宋体" w:eastAsia="宋体" w:cs="宋体"/>
          <w:b/>
          <w:color w:val="000000"/>
          <w:sz w:val="36"/>
          <w:szCs w:val="36"/>
          <w:u w:val="single"/>
        </w:rPr>
      </w:pPr>
    </w:p>
    <w:p w14:paraId="5FE990E9">
      <w:pPr>
        <w:pStyle w:val="9"/>
        <w:spacing w:beforeAutospacing="0" w:afterAutospacing="0" w:line="440" w:lineRule="exact"/>
        <w:jc w:val="center"/>
        <w:outlineLvl w:val="9"/>
        <w:rPr>
          <w:rFonts w:ascii="宋体" w:hAnsi="宋体" w:eastAsia="宋体" w:cs="宋体"/>
          <w:b/>
          <w:color w:val="000000"/>
          <w:sz w:val="36"/>
          <w:szCs w:val="36"/>
          <w:u w:val="single"/>
        </w:rPr>
      </w:pPr>
    </w:p>
    <w:p w14:paraId="01DB27BD">
      <w:pPr>
        <w:pStyle w:val="9"/>
        <w:spacing w:beforeAutospacing="0" w:afterAutospacing="0" w:line="440" w:lineRule="exact"/>
        <w:jc w:val="center"/>
        <w:outlineLvl w:val="9"/>
        <w:rPr>
          <w:rFonts w:ascii="宋体" w:hAnsi="宋体" w:eastAsia="宋体" w:cs="宋体"/>
          <w:b/>
          <w:color w:val="000000"/>
          <w:sz w:val="36"/>
          <w:szCs w:val="36"/>
          <w:u w:val="single"/>
        </w:rPr>
      </w:pPr>
    </w:p>
    <w:p w14:paraId="7B2A2DFF">
      <w:pPr>
        <w:pStyle w:val="9"/>
        <w:spacing w:beforeAutospacing="0" w:afterAutospacing="0" w:line="440" w:lineRule="exact"/>
        <w:jc w:val="center"/>
        <w:outlineLvl w:val="9"/>
        <w:rPr>
          <w:rFonts w:ascii="宋体" w:hAnsi="宋体" w:eastAsia="宋体" w:cs="宋体"/>
          <w:b/>
          <w:color w:val="000000"/>
          <w:sz w:val="36"/>
          <w:szCs w:val="36"/>
          <w:u w:val="single"/>
        </w:rPr>
      </w:pPr>
    </w:p>
    <w:p w14:paraId="001BDB05">
      <w:pPr>
        <w:pStyle w:val="9"/>
        <w:spacing w:beforeAutospacing="0" w:afterAutospacing="0" w:line="440" w:lineRule="exact"/>
        <w:jc w:val="center"/>
        <w:outlineLvl w:val="9"/>
        <w:rPr>
          <w:rFonts w:ascii="宋体" w:hAnsi="宋体" w:eastAsia="宋体" w:cs="宋体"/>
          <w:b/>
          <w:color w:val="000000"/>
          <w:sz w:val="36"/>
          <w:szCs w:val="36"/>
          <w:u w:val="single"/>
        </w:rPr>
      </w:pPr>
    </w:p>
    <w:p w14:paraId="3D9246E2">
      <w:pPr>
        <w:pStyle w:val="9"/>
        <w:spacing w:beforeAutospacing="0" w:afterAutospacing="0" w:line="440" w:lineRule="exact"/>
        <w:jc w:val="both"/>
        <w:outlineLvl w:val="9"/>
        <w:rPr>
          <w:rFonts w:ascii="宋体" w:hAnsi="宋体" w:eastAsia="宋体" w:cs="宋体"/>
          <w:b/>
          <w:color w:val="000000"/>
          <w:sz w:val="36"/>
          <w:szCs w:val="36"/>
          <w:u w:val="single"/>
        </w:rPr>
      </w:pPr>
    </w:p>
    <w:p w14:paraId="0F11D28B">
      <w:pPr>
        <w:pStyle w:val="9"/>
        <w:spacing w:beforeAutospacing="0" w:afterAutospacing="0" w:line="440" w:lineRule="exact"/>
        <w:jc w:val="center"/>
        <w:outlineLvl w:val="9"/>
        <w:rPr>
          <w:rFonts w:ascii="宋体" w:hAnsi="宋体" w:eastAsia="宋体" w:cs="宋体"/>
          <w:b/>
          <w:color w:val="000000"/>
          <w:sz w:val="36"/>
          <w:szCs w:val="36"/>
          <w:u w:val="single"/>
        </w:rPr>
      </w:pPr>
    </w:p>
    <w:p w14:paraId="65C5176D">
      <w:pPr>
        <w:pStyle w:val="9"/>
        <w:spacing w:beforeAutospacing="0" w:afterAutospacing="0" w:line="440" w:lineRule="exact"/>
        <w:jc w:val="center"/>
        <w:outlineLvl w:val="9"/>
        <w:rPr>
          <w:rFonts w:ascii="宋体" w:hAnsi="宋体" w:eastAsia="宋体" w:cs="宋体"/>
          <w:b/>
          <w:color w:val="000000"/>
          <w:sz w:val="36"/>
          <w:szCs w:val="36"/>
          <w:u w:val="single"/>
        </w:rPr>
      </w:pPr>
    </w:p>
    <w:p w14:paraId="5B2EC5B4">
      <w:pPr>
        <w:pStyle w:val="9"/>
        <w:spacing w:beforeAutospacing="0" w:afterAutospacing="0" w:line="440" w:lineRule="exact"/>
        <w:jc w:val="center"/>
        <w:outlineLvl w:val="9"/>
        <w:rPr>
          <w:rFonts w:ascii="宋体" w:hAnsi="宋体" w:eastAsia="宋体" w:cs="宋体"/>
          <w:b/>
          <w:color w:val="000000"/>
          <w:sz w:val="36"/>
          <w:szCs w:val="36"/>
          <w:u w:val="single"/>
        </w:rPr>
      </w:pPr>
    </w:p>
    <w:p w14:paraId="0DF8EF6D">
      <w:pPr>
        <w:pStyle w:val="9"/>
        <w:spacing w:beforeAutospacing="0" w:afterAutospacing="0" w:line="440" w:lineRule="exact"/>
        <w:jc w:val="center"/>
        <w:outlineLvl w:val="9"/>
        <w:rPr>
          <w:rFonts w:ascii="宋体" w:hAnsi="宋体" w:eastAsia="宋体" w:cs="宋体"/>
          <w:b/>
          <w:color w:val="000000"/>
          <w:sz w:val="36"/>
          <w:szCs w:val="36"/>
          <w:u w:val="single"/>
        </w:rPr>
      </w:pPr>
    </w:p>
    <w:p w14:paraId="5D713AD3">
      <w:pPr>
        <w:pStyle w:val="9"/>
        <w:spacing w:beforeAutospacing="0" w:afterAutospacing="0" w:line="440" w:lineRule="exact"/>
        <w:jc w:val="both"/>
        <w:outlineLvl w:val="9"/>
        <w:rPr>
          <w:rFonts w:ascii="宋体" w:hAnsi="宋体" w:eastAsia="宋体" w:cs="宋体"/>
          <w:b/>
          <w:color w:val="000000"/>
          <w:sz w:val="36"/>
          <w:szCs w:val="36"/>
          <w:u w:val="single"/>
        </w:rPr>
      </w:pPr>
    </w:p>
    <w:bookmarkEnd w:id="168"/>
    <w:bookmarkEnd w:id="169"/>
    <w:p w14:paraId="00E24C4E">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r>
    </w:p>
    <w:p w14:paraId="050C972F">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b/>
          <w:color w:val="000000"/>
          <w:sz w:val="32"/>
          <w:szCs w:val="32"/>
        </w:rPr>
        <w:t>投标文件目录</w:t>
      </w:r>
    </w:p>
    <w:p w14:paraId="525E1596">
      <w:pPr>
        <w:pStyle w:val="9"/>
        <w:spacing w:beforeAutospacing="0" w:afterAutospacing="0" w:line="440" w:lineRule="exact"/>
        <w:jc w:val="center"/>
        <w:outlineLvl w:val="9"/>
        <w:rPr>
          <w:rFonts w:ascii="宋体" w:hAnsi="宋体" w:eastAsia="宋体" w:cs="宋体"/>
          <w:i/>
          <w:iCs/>
          <w:sz w:val="28"/>
          <w:szCs w:val="28"/>
        </w:rPr>
      </w:pPr>
      <w:r>
        <w:rPr>
          <w:rFonts w:hint="eastAsia" w:ascii="宋体" w:hAnsi="宋体" w:eastAsia="宋体" w:cs="宋体"/>
          <w:i/>
          <w:iCs/>
          <w:sz w:val="28"/>
          <w:szCs w:val="28"/>
        </w:rPr>
        <w:t> </w:t>
      </w:r>
    </w:p>
    <w:p w14:paraId="0A4B75D3">
      <w:pPr>
        <w:pStyle w:val="9"/>
        <w:spacing w:beforeAutospacing="0" w:afterAutospacing="0" w:line="440" w:lineRule="exact"/>
        <w:ind w:left="480"/>
        <w:jc w:val="both"/>
        <w:outlineLvl w:val="9"/>
        <w:rPr>
          <w:rFonts w:ascii="宋体" w:hAnsi="宋体" w:eastAsia="宋体" w:cs="宋体"/>
          <w:i/>
          <w:iCs/>
          <w:sz w:val="28"/>
          <w:szCs w:val="28"/>
          <w:u w:val="single"/>
        </w:rPr>
      </w:pPr>
      <w:r>
        <w:rPr>
          <w:rFonts w:hint="eastAsia" w:ascii="宋体" w:hAnsi="宋体" w:eastAsia="宋体" w:cs="宋体"/>
          <w:i/>
          <w:iCs/>
          <w:sz w:val="28"/>
          <w:szCs w:val="28"/>
          <w:u w:val="single"/>
        </w:rPr>
        <w:t>一、法人或者其他组织的营业执照等证明文件，自然人的身份证明</w:t>
      </w:r>
    </w:p>
    <w:p w14:paraId="5BE455E2">
      <w:pPr>
        <w:tabs>
          <w:tab w:val="left" w:pos="1331"/>
        </w:tabs>
        <w:spacing w:line="440" w:lineRule="exact"/>
        <w:ind w:firstLine="560"/>
        <w:jc w:val="left"/>
        <w:outlineLvl w:val="9"/>
        <w:rPr>
          <w:rFonts w:ascii="宋体" w:hAnsi="宋体" w:eastAsia="宋体" w:cs="宋体"/>
          <w:i/>
          <w:iCs/>
          <w:sz w:val="28"/>
          <w:szCs w:val="28"/>
          <w:u w:val="single"/>
        </w:rPr>
      </w:pPr>
      <w:r>
        <w:rPr>
          <w:rFonts w:hint="eastAsia" w:ascii="宋体" w:hAnsi="宋体" w:eastAsia="宋体" w:cs="宋体"/>
          <w:i/>
          <w:iCs/>
          <w:sz w:val="28"/>
          <w:szCs w:val="28"/>
          <w:u w:val="single"/>
        </w:rPr>
        <w:t>二、上一年度的财务状况报表（至少提供资产负债表、利润表、现金流量表，投标人成立不满一年无需提供）</w:t>
      </w:r>
    </w:p>
    <w:p w14:paraId="24FFAEB1">
      <w:pPr>
        <w:pStyle w:val="9"/>
        <w:spacing w:beforeAutospacing="0" w:afterAutospacing="0" w:line="440" w:lineRule="exact"/>
        <w:ind w:left="480"/>
        <w:jc w:val="both"/>
        <w:outlineLvl w:val="9"/>
        <w:rPr>
          <w:rFonts w:ascii="宋体" w:hAnsi="宋体" w:eastAsia="宋体" w:cs="宋体"/>
          <w:i/>
          <w:iCs/>
          <w:sz w:val="28"/>
          <w:szCs w:val="28"/>
          <w:u w:val="single"/>
        </w:rPr>
      </w:pPr>
      <w:r>
        <w:rPr>
          <w:rFonts w:hint="eastAsia" w:ascii="宋体" w:hAnsi="宋体" w:eastAsia="宋体" w:cs="宋体"/>
          <w:i/>
          <w:iCs/>
          <w:sz w:val="28"/>
          <w:szCs w:val="28"/>
          <w:u w:val="single"/>
        </w:rPr>
        <w:t>三、具备履行合同所必需的设备和专业技术能力的书面声明</w:t>
      </w:r>
    </w:p>
    <w:p w14:paraId="1A72136D">
      <w:pPr>
        <w:pStyle w:val="9"/>
        <w:spacing w:beforeAutospacing="0" w:afterAutospacing="0" w:line="440" w:lineRule="exact"/>
        <w:ind w:left="480"/>
        <w:jc w:val="both"/>
        <w:outlineLvl w:val="9"/>
        <w:rPr>
          <w:rFonts w:ascii="宋体" w:hAnsi="宋体" w:eastAsia="宋体" w:cs="宋体"/>
          <w:i/>
          <w:iCs/>
          <w:sz w:val="28"/>
          <w:szCs w:val="28"/>
          <w:u w:val="single"/>
        </w:rPr>
      </w:pPr>
      <w:r>
        <w:rPr>
          <w:rFonts w:hint="eastAsia" w:ascii="宋体" w:hAnsi="宋体" w:eastAsia="宋体" w:cs="宋体"/>
          <w:i/>
          <w:iCs/>
          <w:sz w:val="28"/>
          <w:szCs w:val="28"/>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3E7D0BB9">
      <w:pPr>
        <w:pStyle w:val="9"/>
        <w:spacing w:beforeAutospacing="0" w:afterAutospacing="0" w:line="440" w:lineRule="exact"/>
        <w:ind w:left="480"/>
        <w:jc w:val="both"/>
        <w:outlineLvl w:val="9"/>
        <w:rPr>
          <w:rFonts w:ascii="宋体" w:hAnsi="宋体" w:eastAsia="宋体" w:cs="宋体"/>
          <w:i/>
          <w:iCs/>
          <w:sz w:val="28"/>
          <w:szCs w:val="28"/>
          <w:u w:val="single"/>
        </w:rPr>
      </w:pPr>
      <w:r>
        <w:rPr>
          <w:rFonts w:hint="eastAsia" w:ascii="宋体" w:hAnsi="宋体" w:eastAsia="宋体" w:cs="宋体"/>
          <w:i/>
          <w:iCs/>
          <w:sz w:val="28"/>
          <w:szCs w:val="28"/>
          <w:u w:val="single"/>
        </w:rPr>
        <w:t>五、参加政府采购活动前 3 年内在经营活动中没有重大违法记录的书面声明</w:t>
      </w:r>
    </w:p>
    <w:p w14:paraId="130CAFAC">
      <w:pPr>
        <w:pStyle w:val="9"/>
        <w:spacing w:beforeAutospacing="0" w:afterAutospacing="0" w:line="440" w:lineRule="exact"/>
        <w:ind w:left="480"/>
        <w:jc w:val="both"/>
        <w:outlineLvl w:val="9"/>
        <w:rPr>
          <w:rFonts w:ascii="宋体" w:hAnsi="宋体" w:eastAsia="宋体" w:cs="宋体"/>
          <w:i/>
          <w:iCs/>
          <w:sz w:val="28"/>
          <w:szCs w:val="28"/>
          <w:u w:val="single"/>
        </w:rPr>
      </w:pPr>
      <w:r>
        <w:rPr>
          <w:rFonts w:hint="eastAsia" w:ascii="宋体" w:hAnsi="宋体" w:eastAsia="宋体" w:cs="宋体"/>
          <w:i/>
          <w:iCs/>
          <w:sz w:val="28"/>
          <w:szCs w:val="28"/>
          <w:u w:val="single"/>
        </w:rPr>
        <w:t>六、特定资格要求的证明文件（如果本项目设置特定资格要求，则需要提供）</w:t>
      </w:r>
    </w:p>
    <w:p w14:paraId="47ADED8E">
      <w:pPr>
        <w:pStyle w:val="9"/>
        <w:spacing w:beforeAutospacing="0" w:afterAutospacing="0" w:line="440" w:lineRule="exact"/>
        <w:ind w:left="480"/>
        <w:jc w:val="both"/>
        <w:outlineLvl w:val="9"/>
        <w:rPr>
          <w:rFonts w:ascii="宋体" w:hAnsi="宋体" w:eastAsia="宋体" w:cs="宋体"/>
          <w:i/>
          <w:iCs/>
          <w:sz w:val="28"/>
          <w:szCs w:val="28"/>
          <w:u w:val="single"/>
        </w:rPr>
      </w:pPr>
      <w:r>
        <w:rPr>
          <w:rFonts w:hint="eastAsia" w:ascii="宋体" w:hAnsi="宋体" w:eastAsia="宋体" w:cs="宋体"/>
          <w:i/>
          <w:iCs/>
          <w:sz w:val="28"/>
          <w:szCs w:val="28"/>
          <w:u w:val="single"/>
        </w:rPr>
        <w:t>七、法人授权书</w:t>
      </w:r>
    </w:p>
    <w:p w14:paraId="7136952C">
      <w:pPr>
        <w:pStyle w:val="9"/>
        <w:spacing w:beforeAutospacing="0" w:afterAutospacing="0" w:line="440" w:lineRule="exact"/>
        <w:ind w:left="480"/>
        <w:jc w:val="both"/>
        <w:outlineLvl w:val="9"/>
        <w:rPr>
          <w:rFonts w:ascii="宋体" w:hAnsi="宋体" w:eastAsia="宋体" w:cs="宋体"/>
          <w:i/>
          <w:iCs/>
          <w:sz w:val="28"/>
          <w:szCs w:val="28"/>
          <w:u w:val="single"/>
        </w:rPr>
      </w:pPr>
      <w:r>
        <w:rPr>
          <w:rFonts w:hint="eastAsia" w:ascii="宋体" w:hAnsi="宋体" w:eastAsia="宋体" w:cs="宋体"/>
          <w:i/>
          <w:iCs/>
          <w:sz w:val="28"/>
          <w:szCs w:val="28"/>
          <w:u w:val="single"/>
        </w:rPr>
        <w:t>八、投标函</w:t>
      </w:r>
    </w:p>
    <w:p w14:paraId="39D37082">
      <w:pPr>
        <w:pStyle w:val="9"/>
        <w:spacing w:beforeAutospacing="0" w:afterAutospacing="0" w:line="440" w:lineRule="exact"/>
        <w:ind w:firstLine="480"/>
        <w:jc w:val="both"/>
        <w:outlineLvl w:val="9"/>
        <w:rPr>
          <w:rFonts w:ascii="宋体" w:hAnsi="宋体" w:eastAsia="宋体" w:cs="宋体"/>
          <w:iCs/>
          <w:sz w:val="28"/>
          <w:szCs w:val="28"/>
        </w:rPr>
      </w:pPr>
      <w:r>
        <w:rPr>
          <w:rFonts w:hint="eastAsia" w:ascii="宋体" w:hAnsi="宋体" w:eastAsia="宋体" w:cs="宋体"/>
          <w:iCs/>
          <w:sz w:val="28"/>
          <w:szCs w:val="28"/>
        </w:rPr>
        <w:t>九、小微企业声明函</w:t>
      </w:r>
    </w:p>
    <w:p w14:paraId="6055BCA9">
      <w:pPr>
        <w:pStyle w:val="9"/>
        <w:spacing w:beforeAutospacing="0" w:afterAutospacing="0" w:line="440" w:lineRule="exact"/>
        <w:ind w:firstLine="480"/>
        <w:jc w:val="both"/>
        <w:outlineLvl w:val="9"/>
        <w:rPr>
          <w:rFonts w:ascii="宋体" w:hAnsi="宋体" w:eastAsia="宋体" w:cs="宋体"/>
          <w:iCs/>
          <w:sz w:val="28"/>
          <w:szCs w:val="28"/>
        </w:rPr>
      </w:pPr>
      <w:r>
        <w:rPr>
          <w:rFonts w:hint="eastAsia" w:ascii="宋体" w:hAnsi="宋体" w:eastAsia="宋体" w:cs="宋体"/>
          <w:iCs/>
          <w:sz w:val="28"/>
          <w:szCs w:val="28"/>
        </w:rPr>
        <w:t>十、残疾人福利性单位声明函</w:t>
      </w:r>
    </w:p>
    <w:p w14:paraId="67ADA6B1">
      <w:pPr>
        <w:pStyle w:val="9"/>
        <w:spacing w:beforeAutospacing="0" w:afterAutospacing="0" w:line="440" w:lineRule="exact"/>
        <w:ind w:firstLine="480"/>
        <w:jc w:val="both"/>
        <w:outlineLvl w:val="9"/>
        <w:rPr>
          <w:rFonts w:ascii="宋体" w:hAnsi="宋体" w:eastAsia="宋体" w:cs="宋体"/>
          <w:iCs/>
          <w:sz w:val="28"/>
          <w:szCs w:val="28"/>
        </w:rPr>
      </w:pPr>
      <w:r>
        <w:rPr>
          <w:rFonts w:hint="eastAsia" w:ascii="宋体" w:hAnsi="宋体" w:eastAsia="宋体" w:cs="宋体"/>
          <w:iCs/>
          <w:sz w:val="28"/>
          <w:szCs w:val="28"/>
        </w:rPr>
        <w:t>十一、投标分项报价表</w:t>
      </w:r>
    </w:p>
    <w:p w14:paraId="19BF4782">
      <w:pPr>
        <w:pStyle w:val="9"/>
        <w:spacing w:beforeAutospacing="0" w:afterAutospacing="0" w:line="440" w:lineRule="exact"/>
        <w:ind w:firstLine="480"/>
        <w:jc w:val="both"/>
        <w:outlineLvl w:val="9"/>
        <w:rPr>
          <w:rFonts w:ascii="宋体" w:hAnsi="宋体" w:eastAsia="宋体" w:cs="宋体"/>
          <w:iCs/>
          <w:sz w:val="28"/>
          <w:szCs w:val="28"/>
        </w:rPr>
      </w:pPr>
      <w:r>
        <w:rPr>
          <w:rFonts w:hint="eastAsia" w:ascii="宋体" w:hAnsi="宋体" w:eastAsia="宋体" w:cs="宋体"/>
          <w:iCs/>
          <w:sz w:val="28"/>
          <w:szCs w:val="28"/>
        </w:rPr>
        <w:t>十二、技术要求响应及偏离表</w:t>
      </w:r>
    </w:p>
    <w:p w14:paraId="062B1E9F">
      <w:pPr>
        <w:pStyle w:val="9"/>
        <w:spacing w:beforeAutospacing="0" w:afterAutospacing="0" w:line="440" w:lineRule="exact"/>
        <w:ind w:firstLine="480"/>
        <w:jc w:val="both"/>
        <w:outlineLvl w:val="9"/>
        <w:rPr>
          <w:rFonts w:ascii="宋体" w:hAnsi="宋体" w:eastAsia="宋体" w:cs="宋体"/>
          <w:iCs/>
          <w:sz w:val="28"/>
          <w:szCs w:val="28"/>
        </w:rPr>
      </w:pPr>
      <w:r>
        <w:rPr>
          <w:rFonts w:hint="eastAsia" w:ascii="宋体" w:hAnsi="宋体" w:eastAsia="宋体" w:cs="宋体"/>
          <w:iCs/>
          <w:sz w:val="28"/>
          <w:szCs w:val="28"/>
        </w:rPr>
        <w:t>十三、商务要求响应及偏离表</w:t>
      </w:r>
    </w:p>
    <w:p w14:paraId="00AAAB62">
      <w:pPr>
        <w:pStyle w:val="9"/>
        <w:spacing w:beforeAutospacing="0" w:afterAutospacing="0" w:line="440" w:lineRule="exact"/>
        <w:ind w:left="480"/>
        <w:jc w:val="both"/>
        <w:outlineLvl w:val="9"/>
        <w:rPr>
          <w:rFonts w:ascii="宋体" w:hAnsi="宋体" w:eastAsia="宋体" w:cs="宋体"/>
          <w:i/>
          <w:color w:val="000000"/>
          <w:sz w:val="28"/>
          <w:szCs w:val="28"/>
          <w:u w:val="single"/>
        </w:rPr>
      </w:pPr>
      <w:r>
        <w:rPr>
          <w:rFonts w:hint="eastAsia" w:ascii="宋体" w:hAnsi="宋体" w:eastAsia="宋体" w:cs="宋体"/>
          <w:i/>
          <w:color w:val="000000"/>
          <w:sz w:val="28"/>
          <w:szCs w:val="28"/>
          <w:u w:val="single"/>
        </w:rPr>
        <w:t>十四、开标一览表</w:t>
      </w:r>
    </w:p>
    <w:p w14:paraId="3787629B">
      <w:pPr>
        <w:widowControl/>
        <w:spacing w:before="50" w:after="50" w:line="440" w:lineRule="exact"/>
        <w:ind w:firstLine="560"/>
        <w:outlineLvl w:val="9"/>
        <w:rPr>
          <w:rFonts w:ascii="宋体" w:hAnsi="宋体" w:eastAsia="宋体" w:cs="宋体"/>
          <w:color w:val="000000"/>
          <w:sz w:val="28"/>
          <w:szCs w:val="28"/>
        </w:rPr>
      </w:pPr>
      <w:r>
        <w:rPr>
          <w:rFonts w:hint="eastAsia" w:ascii="宋体" w:hAnsi="宋体" w:eastAsia="宋体" w:cs="宋体"/>
          <w:color w:val="000000"/>
          <w:sz w:val="28"/>
          <w:szCs w:val="28"/>
        </w:rPr>
        <w:t>十五、技术方案、服务承诺、培训承诺等</w:t>
      </w:r>
    </w:p>
    <w:p w14:paraId="48C16573">
      <w:pPr>
        <w:widowControl/>
        <w:spacing w:before="50" w:after="50" w:line="440" w:lineRule="exact"/>
        <w:ind w:firstLine="560"/>
        <w:outlineLvl w:val="9"/>
        <w:rPr>
          <w:rFonts w:ascii="宋体" w:hAnsi="宋体" w:eastAsia="宋体" w:cs="宋体"/>
          <w:color w:val="000000"/>
          <w:sz w:val="28"/>
          <w:szCs w:val="28"/>
        </w:rPr>
      </w:pPr>
      <w:r>
        <w:rPr>
          <w:rFonts w:hint="eastAsia" w:ascii="宋体" w:hAnsi="宋体" w:eastAsia="宋体" w:cs="宋体"/>
          <w:color w:val="000000"/>
          <w:sz w:val="28"/>
          <w:szCs w:val="28"/>
        </w:rPr>
        <w:t>十六、投标人认为需要提供的其他材料</w:t>
      </w:r>
    </w:p>
    <w:p w14:paraId="555F90BD">
      <w:pPr>
        <w:pStyle w:val="9"/>
        <w:spacing w:beforeAutospacing="0" w:afterAutospacing="0" w:line="440" w:lineRule="exact"/>
        <w:ind w:firstLine="560"/>
        <w:jc w:val="both"/>
        <w:outlineLvl w:val="9"/>
        <w:rPr>
          <w:rFonts w:ascii="宋体" w:hAnsi="宋体" w:eastAsia="宋体" w:cs="宋体"/>
          <w:color w:val="000000"/>
          <w:sz w:val="28"/>
          <w:szCs w:val="28"/>
        </w:rPr>
      </w:pPr>
      <w:r>
        <w:rPr>
          <w:rFonts w:hint="eastAsia" w:ascii="宋体" w:hAnsi="宋体" w:eastAsia="宋体" w:cs="宋体"/>
          <w:color w:val="000000"/>
          <w:sz w:val="28"/>
          <w:szCs w:val="28"/>
        </w:rPr>
        <w:t>十七、盐城市政府采购事前信用承诺书</w:t>
      </w:r>
    </w:p>
    <w:p w14:paraId="0FEF958D">
      <w:pPr>
        <w:pStyle w:val="9"/>
        <w:spacing w:beforeAutospacing="0" w:afterAutospacing="0" w:line="440" w:lineRule="exact"/>
        <w:ind w:firstLine="480"/>
        <w:jc w:val="both"/>
        <w:outlineLvl w:val="9"/>
        <w:rPr>
          <w:rFonts w:ascii="宋体" w:hAnsi="宋体" w:eastAsia="宋体" w:cs="宋体"/>
          <w:color w:val="000000"/>
        </w:rPr>
      </w:pPr>
    </w:p>
    <w:p w14:paraId="2EFA3D12">
      <w:pPr>
        <w:pStyle w:val="9"/>
        <w:spacing w:beforeAutospacing="0" w:afterAutospacing="0" w:line="440" w:lineRule="exact"/>
        <w:ind w:firstLine="480"/>
        <w:jc w:val="both"/>
        <w:outlineLvl w:val="9"/>
        <w:rPr>
          <w:rFonts w:ascii="宋体" w:hAnsi="宋体" w:eastAsia="宋体" w:cs="宋体"/>
          <w:color w:val="000000"/>
        </w:rPr>
      </w:pPr>
    </w:p>
    <w:p w14:paraId="594FCBB1">
      <w:pPr>
        <w:pStyle w:val="9"/>
        <w:spacing w:beforeAutospacing="0" w:afterAutospacing="0" w:line="440" w:lineRule="exact"/>
        <w:ind w:firstLine="480"/>
        <w:jc w:val="both"/>
        <w:outlineLvl w:val="9"/>
        <w:rPr>
          <w:rFonts w:ascii="宋体" w:hAnsi="宋体" w:eastAsia="宋体" w:cs="宋体"/>
        </w:rPr>
      </w:pPr>
      <w:r>
        <w:rPr>
          <w:rFonts w:hint="eastAsia" w:ascii="宋体" w:hAnsi="宋体" w:eastAsia="宋体" w:cs="宋体"/>
        </w:rPr>
        <w:t> </w:t>
      </w:r>
    </w:p>
    <w:p w14:paraId="47FA9A69">
      <w:pPr>
        <w:pStyle w:val="9"/>
        <w:spacing w:beforeAutospacing="0" w:afterAutospacing="0" w:line="440" w:lineRule="exact"/>
        <w:ind w:firstLine="480"/>
        <w:jc w:val="both"/>
        <w:outlineLvl w:val="9"/>
        <w:rPr>
          <w:rFonts w:ascii="宋体" w:hAnsi="宋体" w:eastAsia="宋体" w:cs="宋体"/>
        </w:rPr>
      </w:pPr>
      <w:r>
        <w:rPr>
          <w:rFonts w:hint="eastAsia" w:ascii="宋体" w:hAnsi="宋体" w:eastAsia="宋体" w:cs="宋体"/>
        </w:rPr>
        <w:t> </w:t>
      </w:r>
    </w:p>
    <w:p w14:paraId="65D3C785">
      <w:pPr>
        <w:pStyle w:val="9"/>
        <w:spacing w:beforeAutospacing="0" w:afterAutospacing="0" w:line="440" w:lineRule="exact"/>
        <w:ind w:firstLine="480"/>
        <w:jc w:val="both"/>
        <w:outlineLvl w:val="9"/>
        <w:rPr>
          <w:rFonts w:ascii="宋体" w:hAnsi="宋体" w:eastAsia="宋体" w:cs="宋体"/>
        </w:rPr>
      </w:pPr>
      <w:r>
        <w:rPr>
          <w:rFonts w:hint="eastAsia" w:ascii="宋体" w:hAnsi="宋体" w:eastAsia="宋体" w:cs="宋体"/>
        </w:rPr>
        <w:t> </w:t>
      </w:r>
    </w:p>
    <w:p w14:paraId="2AAA866C">
      <w:pPr>
        <w:pStyle w:val="9"/>
        <w:spacing w:beforeAutospacing="0" w:afterAutospacing="0" w:line="440" w:lineRule="exact"/>
        <w:ind w:firstLine="480"/>
        <w:jc w:val="both"/>
        <w:outlineLvl w:val="9"/>
        <w:rPr>
          <w:rFonts w:ascii="宋体" w:hAnsi="宋体" w:eastAsia="宋体" w:cs="宋体"/>
        </w:rPr>
      </w:pPr>
      <w:r>
        <w:rPr>
          <w:rFonts w:hint="eastAsia" w:ascii="宋体" w:hAnsi="宋体" w:eastAsia="宋体" w:cs="宋体"/>
        </w:rPr>
        <w:t>  </w:t>
      </w:r>
    </w:p>
    <w:p w14:paraId="1783AE07">
      <w:pPr>
        <w:outlineLvl w:val="9"/>
        <w:rPr>
          <w:rFonts w:hint="eastAsia" w:ascii="宋体" w:hAnsi="宋体" w:eastAsia="宋体" w:cs="宋体"/>
          <w:i/>
          <w:sz w:val="32"/>
          <w:szCs w:val="32"/>
          <w:u w:val="single"/>
        </w:rPr>
      </w:pPr>
      <w:r>
        <w:rPr>
          <w:rFonts w:hint="eastAsia" w:ascii="宋体" w:hAnsi="宋体" w:eastAsia="宋体" w:cs="宋体"/>
          <w:i/>
          <w:sz w:val="32"/>
          <w:szCs w:val="32"/>
          <w:u w:val="single"/>
        </w:rPr>
        <w:br w:type="page"/>
      </w:r>
    </w:p>
    <w:p w14:paraId="68A9B0E7">
      <w:pPr>
        <w:pStyle w:val="9"/>
        <w:spacing w:beforeAutospacing="0" w:afterAutospacing="0" w:line="440" w:lineRule="exact"/>
        <w:jc w:val="both"/>
        <w:outlineLvl w:val="9"/>
        <w:rPr>
          <w:rFonts w:ascii="宋体" w:hAnsi="宋体" w:eastAsia="宋体" w:cs="宋体"/>
          <w:i/>
        </w:rPr>
      </w:pPr>
      <w:r>
        <w:rPr>
          <w:rFonts w:hint="eastAsia" w:ascii="宋体" w:hAnsi="宋体" w:eastAsia="宋体" w:cs="宋体"/>
          <w:i/>
          <w:sz w:val="32"/>
          <w:szCs w:val="32"/>
          <w:u w:val="single"/>
        </w:rPr>
        <w:t>一、法人或者其他组织的营业执照等证明文件，自然人的身份证明</w:t>
      </w:r>
    </w:p>
    <w:p w14:paraId="174F8C55">
      <w:pPr>
        <w:pStyle w:val="9"/>
        <w:spacing w:beforeAutospacing="0" w:afterAutospacing="0" w:line="440" w:lineRule="exact"/>
        <w:ind w:firstLine="480"/>
        <w:jc w:val="both"/>
        <w:outlineLvl w:val="9"/>
        <w:rPr>
          <w:rFonts w:ascii="宋体" w:hAnsi="宋体" w:eastAsia="宋体" w:cs="宋体"/>
          <w:iCs/>
        </w:rPr>
      </w:pPr>
      <w:r>
        <w:rPr>
          <w:rFonts w:hint="eastAsia" w:ascii="宋体" w:hAnsi="宋体" w:eastAsia="宋体" w:cs="宋体"/>
          <w:iCs/>
        </w:rPr>
        <w:t> </w:t>
      </w:r>
    </w:p>
    <w:p w14:paraId="21D737F3">
      <w:pPr>
        <w:pStyle w:val="9"/>
        <w:spacing w:beforeAutospacing="0" w:afterAutospacing="0" w:line="440" w:lineRule="exact"/>
        <w:jc w:val="both"/>
        <w:outlineLvl w:val="9"/>
        <w:rPr>
          <w:rFonts w:ascii="宋体" w:hAnsi="宋体" w:eastAsia="宋体" w:cs="宋体"/>
          <w:i/>
        </w:rPr>
      </w:pPr>
      <w:r>
        <w:rPr>
          <w:rFonts w:hint="eastAsia" w:ascii="宋体" w:hAnsi="宋体" w:eastAsia="宋体" w:cs="宋体"/>
          <w:i/>
          <w:sz w:val="32"/>
          <w:szCs w:val="32"/>
          <w:u w:val="single"/>
        </w:rPr>
        <w:t>二、上一年度的财务状况报表</w:t>
      </w:r>
    </w:p>
    <w:p w14:paraId="048F5BC0">
      <w:pPr>
        <w:pStyle w:val="9"/>
        <w:spacing w:beforeAutospacing="0" w:afterAutospacing="0" w:line="440" w:lineRule="exact"/>
        <w:ind w:firstLine="480"/>
        <w:jc w:val="both"/>
        <w:outlineLvl w:val="9"/>
        <w:rPr>
          <w:rFonts w:ascii="宋体" w:hAnsi="宋体" w:eastAsia="宋体" w:cs="宋体"/>
          <w:iCs/>
        </w:rPr>
      </w:pPr>
      <w:r>
        <w:rPr>
          <w:rFonts w:hint="eastAsia" w:ascii="宋体" w:hAnsi="宋体" w:eastAsia="宋体" w:cs="宋体"/>
          <w:iCs/>
        </w:rPr>
        <w:t>投标人成立不满一年不需提供</w:t>
      </w:r>
    </w:p>
    <w:p w14:paraId="7DA486E7">
      <w:pPr>
        <w:pStyle w:val="9"/>
        <w:spacing w:beforeAutospacing="0" w:afterAutospacing="0" w:line="440" w:lineRule="exact"/>
        <w:jc w:val="both"/>
        <w:outlineLvl w:val="9"/>
        <w:rPr>
          <w:rFonts w:ascii="宋体" w:hAnsi="宋体" w:eastAsia="宋体" w:cs="宋体"/>
          <w:iCs/>
        </w:rPr>
      </w:pPr>
      <w:r>
        <w:rPr>
          <w:rFonts w:hint="eastAsia" w:ascii="宋体" w:hAnsi="宋体" w:eastAsia="宋体" w:cs="宋体"/>
          <w:iCs/>
        </w:rPr>
        <w:t> </w:t>
      </w:r>
    </w:p>
    <w:p w14:paraId="60F71C19">
      <w:pPr>
        <w:pStyle w:val="9"/>
        <w:spacing w:beforeAutospacing="0" w:afterAutospacing="0" w:line="440" w:lineRule="exact"/>
        <w:jc w:val="both"/>
        <w:outlineLvl w:val="9"/>
        <w:rPr>
          <w:rFonts w:ascii="宋体" w:hAnsi="宋体" w:eastAsia="宋体" w:cs="宋体"/>
          <w:i/>
        </w:rPr>
      </w:pPr>
      <w:r>
        <w:rPr>
          <w:rFonts w:hint="eastAsia" w:ascii="宋体" w:hAnsi="宋体" w:eastAsia="宋体" w:cs="宋体"/>
          <w:i/>
          <w:sz w:val="32"/>
          <w:szCs w:val="32"/>
          <w:u w:val="single"/>
        </w:rPr>
        <w:t>三、具备履行合同所必需的设备和专业技术能力的书面声明</w:t>
      </w:r>
    </w:p>
    <w:p w14:paraId="02E80AD4">
      <w:pPr>
        <w:pStyle w:val="9"/>
        <w:spacing w:beforeAutospacing="0" w:afterAutospacing="0" w:line="440" w:lineRule="exact"/>
        <w:ind w:firstLine="492"/>
        <w:jc w:val="both"/>
        <w:outlineLvl w:val="9"/>
        <w:rPr>
          <w:rFonts w:ascii="宋体" w:hAnsi="宋体" w:eastAsia="宋体" w:cs="宋体"/>
          <w:iCs/>
        </w:rPr>
      </w:pPr>
      <w:r>
        <w:rPr>
          <w:rFonts w:hint="eastAsia" w:ascii="宋体" w:hAnsi="宋体" w:eastAsia="宋体" w:cs="宋体"/>
          <w:iCs/>
        </w:rPr>
        <w:t>我单位郑重声明：我单位具备履行本项采购合同所必需的设备和专业技术能力，为履行本项采购合同我公司具备如下主要设备和主要专业技术能力：</w:t>
      </w:r>
    </w:p>
    <w:p w14:paraId="773C721C">
      <w:pPr>
        <w:pStyle w:val="9"/>
        <w:spacing w:beforeAutospacing="0" w:afterAutospacing="0" w:line="440" w:lineRule="exact"/>
        <w:ind w:firstLine="492"/>
        <w:jc w:val="both"/>
        <w:outlineLvl w:val="9"/>
        <w:rPr>
          <w:rFonts w:ascii="宋体" w:hAnsi="宋体" w:eastAsia="宋体" w:cs="宋体"/>
          <w:iCs/>
        </w:rPr>
      </w:pPr>
      <w:r>
        <w:rPr>
          <w:rFonts w:hint="eastAsia" w:ascii="宋体" w:hAnsi="宋体" w:eastAsia="宋体" w:cs="宋体"/>
          <w:iCs/>
        </w:rPr>
        <w:t>主要设备有：</w:t>
      </w:r>
      <w:r>
        <w:rPr>
          <w:rFonts w:hint="eastAsia" w:ascii="宋体" w:hAnsi="宋体" w:eastAsia="宋体" w:cs="宋体"/>
          <w:iCs/>
          <w:u w:val="single"/>
        </w:rPr>
        <w:t xml:space="preserve">                     </w:t>
      </w:r>
      <w:r>
        <w:rPr>
          <w:rFonts w:hint="eastAsia" w:ascii="宋体" w:hAnsi="宋体" w:eastAsia="宋体" w:cs="宋体"/>
          <w:iCs/>
        </w:rPr>
        <w:t>。</w:t>
      </w:r>
    </w:p>
    <w:p w14:paraId="4321E796">
      <w:pPr>
        <w:pStyle w:val="9"/>
        <w:spacing w:beforeAutospacing="0" w:afterAutospacing="0" w:line="440" w:lineRule="exact"/>
        <w:ind w:firstLine="480"/>
        <w:jc w:val="both"/>
        <w:outlineLvl w:val="9"/>
        <w:rPr>
          <w:rFonts w:ascii="宋体" w:hAnsi="宋体" w:eastAsia="宋体" w:cs="宋体"/>
          <w:iCs/>
        </w:rPr>
      </w:pPr>
      <w:r>
        <w:rPr>
          <w:rFonts w:hint="eastAsia" w:ascii="宋体" w:hAnsi="宋体" w:eastAsia="宋体" w:cs="宋体"/>
          <w:iCs/>
        </w:rPr>
        <w:t>主要专业技术能力有：</w:t>
      </w:r>
      <w:r>
        <w:rPr>
          <w:rFonts w:hint="eastAsia" w:ascii="宋体" w:hAnsi="宋体" w:eastAsia="宋体" w:cs="宋体"/>
          <w:iCs/>
          <w:u w:val="single"/>
        </w:rPr>
        <w:t xml:space="preserve">             </w:t>
      </w:r>
      <w:r>
        <w:rPr>
          <w:rFonts w:hint="eastAsia" w:ascii="宋体" w:hAnsi="宋体" w:eastAsia="宋体" w:cs="宋体"/>
          <w:iCs/>
        </w:rPr>
        <w:t>。</w:t>
      </w:r>
    </w:p>
    <w:p w14:paraId="4D94908E">
      <w:pPr>
        <w:pStyle w:val="9"/>
        <w:spacing w:beforeAutospacing="0" w:afterAutospacing="0" w:line="440" w:lineRule="exact"/>
        <w:jc w:val="both"/>
        <w:outlineLvl w:val="9"/>
        <w:rPr>
          <w:rFonts w:ascii="宋体" w:hAnsi="宋体" w:eastAsia="宋体" w:cs="宋体"/>
          <w:i/>
        </w:rPr>
      </w:pPr>
      <w:r>
        <w:rPr>
          <w:rFonts w:hint="eastAsia" w:ascii="宋体" w:hAnsi="宋体" w:eastAsia="宋体" w:cs="宋体"/>
          <w:i/>
          <w:sz w:val="32"/>
          <w:szCs w:val="32"/>
          <w:u w:val="single"/>
        </w:rPr>
        <w:t>四、依法缴纳税收和社会保障资金的相关材料</w:t>
      </w:r>
    </w:p>
    <w:p w14:paraId="58BFB79B">
      <w:pPr>
        <w:pStyle w:val="9"/>
        <w:spacing w:beforeAutospacing="0" w:afterAutospacing="0" w:line="440" w:lineRule="exact"/>
        <w:ind w:firstLine="480"/>
        <w:jc w:val="both"/>
        <w:outlineLvl w:val="9"/>
        <w:rPr>
          <w:rFonts w:ascii="宋体" w:hAnsi="宋体" w:eastAsia="宋体" w:cs="宋体"/>
          <w:iCs/>
        </w:rPr>
      </w:pPr>
      <w:bookmarkStart w:id="170" w:name="_Toc120614284"/>
      <w:r>
        <w:rPr>
          <w:rFonts w:hint="eastAsia" w:ascii="宋体" w:hAnsi="宋体" w:eastAsia="宋体" w:cs="宋体"/>
          <w:iCs/>
        </w:rPr>
        <w:t>提供提交投标文件截止时间前一年内至少一个月依法缴纳税收及缴纳社会保障资金的证明材料。投标人依法享受缓缴、免缴税收、社会保障资金的提供证明材料。</w:t>
      </w:r>
      <w:bookmarkEnd w:id="170"/>
    </w:p>
    <w:p w14:paraId="46CA1D48">
      <w:pPr>
        <w:pStyle w:val="9"/>
        <w:spacing w:beforeAutospacing="0" w:afterAutospacing="0" w:line="440" w:lineRule="exact"/>
        <w:jc w:val="both"/>
        <w:outlineLvl w:val="9"/>
        <w:rPr>
          <w:rFonts w:ascii="宋体" w:hAnsi="宋体" w:eastAsia="宋体" w:cs="宋体"/>
          <w:iCs/>
        </w:rPr>
      </w:pPr>
      <w:r>
        <w:rPr>
          <w:rFonts w:hint="eastAsia" w:ascii="宋体" w:hAnsi="宋体" w:eastAsia="宋体" w:cs="宋体"/>
          <w:i/>
          <w:sz w:val="32"/>
          <w:szCs w:val="32"/>
          <w:u w:val="single"/>
        </w:rPr>
        <w:t>五、参加政府采购活动前 3 年内在经营活动中没有重大违法记录的书面声明</w:t>
      </w:r>
    </w:p>
    <w:p w14:paraId="55AF3B8D">
      <w:pPr>
        <w:pStyle w:val="9"/>
        <w:spacing w:beforeAutospacing="0" w:afterAutospacing="0" w:line="440" w:lineRule="exact"/>
        <w:jc w:val="both"/>
        <w:outlineLvl w:val="9"/>
        <w:rPr>
          <w:rFonts w:ascii="宋体" w:hAnsi="宋体" w:eastAsia="宋体" w:cs="宋体"/>
          <w:iCs/>
        </w:rPr>
      </w:pPr>
      <w:r>
        <w:rPr>
          <w:rFonts w:hint="eastAsia" w:ascii="宋体" w:hAnsi="宋体" w:eastAsia="宋体" w:cs="宋体"/>
          <w:b/>
          <w:iCs/>
          <w:sz w:val="44"/>
          <w:szCs w:val="44"/>
        </w:rPr>
        <w:t>       声  明</w:t>
      </w:r>
    </w:p>
    <w:p w14:paraId="3A854BFA">
      <w:pPr>
        <w:pStyle w:val="9"/>
        <w:spacing w:beforeAutospacing="0" w:afterAutospacing="0" w:line="440" w:lineRule="exact"/>
        <w:jc w:val="both"/>
        <w:outlineLvl w:val="9"/>
        <w:rPr>
          <w:rFonts w:ascii="宋体" w:hAnsi="宋体" w:eastAsia="宋体" w:cs="宋体"/>
          <w:iCs/>
        </w:rPr>
      </w:pPr>
      <w:r>
        <w:rPr>
          <w:rFonts w:hint="eastAsia" w:ascii="宋体" w:hAnsi="宋体" w:eastAsia="宋体" w:cs="宋体"/>
          <w:b/>
          <w:iCs/>
        </w:rPr>
        <w:t>  </w:t>
      </w:r>
      <w:r>
        <w:rPr>
          <w:rFonts w:hint="eastAsia" w:ascii="宋体" w:hAnsi="宋体" w:eastAsia="宋体" w:cs="宋体"/>
          <w:iCs/>
        </w:rPr>
        <w:t>我单位郑重声明：参加本次政府采购活动前 3 年内，我单位在经营活动中没有因违法经营受到刑事处罚或者责令停产停业、吊销许可证或者执照、较大数额罚款等行政处罚。</w:t>
      </w:r>
    </w:p>
    <w:p w14:paraId="523A2D90">
      <w:pPr>
        <w:pStyle w:val="9"/>
        <w:spacing w:beforeAutospacing="0" w:afterAutospacing="0" w:line="440" w:lineRule="exact"/>
        <w:jc w:val="both"/>
        <w:outlineLvl w:val="9"/>
        <w:rPr>
          <w:rFonts w:ascii="宋体" w:hAnsi="宋体" w:eastAsia="宋体" w:cs="宋体"/>
          <w:iCs/>
        </w:rPr>
      </w:pPr>
      <w:r>
        <w:rPr>
          <w:rFonts w:hint="eastAsia" w:ascii="宋体" w:hAnsi="宋体" w:eastAsia="宋体" w:cs="宋体"/>
          <w:iCs/>
        </w:rPr>
        <w:t> </w:t>
      </w:r>
    </w:p>
    <w:p w14:paraId="485D0BE1">
      <w:pPr>
        <w:pStyle w:val="9"/>
        <w:spacing w:beforeAutospacing="0" w:afterAutospacing="0" w:line="440" w:lineRule="exact"/>
        <w:jc w:val="both"/>
        <w:outlineLvl w:val="9"/>
        <w:rPr>
          <w:rFonts w:ascii="宋体" w:hAnsi="宋体" w:eastAsia="宋体" w:cs="宋体"/>
          <w:i/>
        </w:rPr>
      </w:pPr>
      <w:r>
        <w:rPr>
          <w:rFonts w:hint="eastAsia" w:ascii="宋体" w:hAnsi="宋体" w:eastAsia="宋体" w:cs="宋体"/>
          <w:i/>
          <w:sz w:val="32"/>
          <w:szCs w:val="32"/>
          <w:u w:val="single"/>
        </w:rPr>
        <w:t>六、特定资格要求的证明文件</w:t>
      </w:r>
    </w:p>
    <w:p w14:paraId="7116F3A8">
      <w:pPr>
        <w:pStyle w:val="9"/>
        <w:spacing w:beforeAutospacing="0" w:afterAutospacing="0" w:line="440" w:lineRule="exact"/>
        <w:jc w:val="both"/>
        <w:outlineLvl w:val="9"/>
        <w:rPr>
          <w:rFonts w:ascii="宋体" w:hAnsi="宋体" w:eastAsia="宋体" w:cs="宋体"/>
          <w:iCs/>
        </w:rPr>
      </w:pPr>
      <w:r>
        <w:rPr>
          <w:rFonts w:hint="eastAsia" w:ascii="宋体" w:hAnsi="宋体" w:eastAsia="宋体" w:cs="宋体"/>
          <w:iCs/>
        </w:rPr>
        <w:t>  如果本项目申请人的特定资格要求中要求提供的，必须提供。</w:t>
      </w:r>
    </w:p>
    <w:p w14:paraId="4DB015FD">
      <w:pPr>
        <w:pStyle w:val="9"/>
        <w:spacing w:beforeAutospacing="0" w:afterAutospacing="0" w:line="440" w:lineRule="exact"/>
        <w:jc w:val="both"/>
        <w:outlineLvl w:val="9"/>
        <w:rPr>
          <w:rFonts w:ascii="宋体" w:hAnsi="宋体" w:eastAsia="宋体" w:cs="宋体"/>
          <w:iCs/>
          <w:sz w:val="32"/>
          <w:szCs w:val="32"/>
          <w:u w:val="single"/>
        </w:rPr>
      </w:pPr>
      <w:r>
        <w:rPr>
          <w:rFonts w:hint="eastAsia" w:ascii="宋体" w:hAnsi="宋体" w:eastAsia="宋体" w:cs="宋体"/>
          <w:iCs/>
        </w:rPr>
        <w:t> </w:t>
      </w:r>
    </w:p>
    <w:p w14:paraId="61FF4C0D">
      <w:pPr>
        <w:pStyle w:val="9"/>
        <w:spacing w:beforeAutospacing="0" w:afterAutospacing="0" w:line="440" w:lineRule="exact"/>
        <w:jc w:val="center"/>
        <w:outlineLvl w:val="9"/>
        <w:rPr>
          <w:rFonts w:ascii="宋体" w:hAnsi="宋体" w:eastAsia="宋体" w:cs="宋体"/>
          <w:iCs/>
          <w:sz w:val="32"/>
          <w:szCs w:val="32"/>
          <w:u w:val="single"/>
        </w:rPr>
      </w:pPr>
    </w:p>
    <w:p w14:paraId="445A5E05">
      <w:pPr>
        <w:pStyle w:val="9"/>
        <w:spacing w:beforeAutospacing="0" w:afterAutospacing="0" w:line="440" w:lineRule="exact"/>
        <w:jc w:val="both"/>
        <w:outlineLvl w:val="9"/>
        <w:rPr>
          <w:rFonts w:ascii="宋体" w:hAnsi="宋体" w:eastAsia="宋体" w:cs="宋体"/>
          <w:i/>
        </w:rPr>
      </w:pPr>
      <w:r>
        <w:rPr>
          <w:rFonts w:hint="eastAsia" w:ascii="宋体" w:hAnsi="宋体" w:eastAsia="宋体" w:cs="宋体"/>
          <w:i/>
          <w:sz w:val="32"/>
          <w:szCs w:val="32"/>
          <w:u w:val="single"/>
        </w:rPr>
        <w:t>七、法人授权书</w:t>
      </w:r>
    </w:p>
    <w:p w14:paraId="470DF66F">
      <w:pPr>
        <w:pStyle w:val="9"/>
        <w:tabs>
          <w:tab w:val="left" w:pos="360"/>
        </w:tabs>
        <w:spacing w:beforeAutospacing="0" w:afterAutospacing="0" w:line="440" w:lineRule="exact"/>
        <w:ind w:firstLine="480"/>
        <w:jc w:val="both"/>
        <w:outlineLvl w:val="9"/>
        <w:rPr>
          <w:rFonts w:ascii="宋体" w:hAnsi="宋体" w:eastAsia="宋体" w:cs="宋体"/>
          <w:iCs/>
        </w:rPr>
      </w:pPr>
      <w:r>
        <w:rPr>
          <w:rFonts w:hint="eastAsia" w:ascii="宋体" w:hAnsi="宋体" w:eastAsia="宋体" w:cs="宋体"/>
          <w:iCs/>
        </w:rPr>
        <w:t>本授权书声明：</w:t>
      </w:r>
      <w:r>
        <w:rPr>
          <w:rFonts w:hint="eastAsia" w:ascii="宋体" w:hAnsi="宋体" w:eastAsia="宋体" w:cs="宋体"/>
          <w:iCs/>
          <w:u w:val="single"/>
        </w:rPr>
        <w:t xml:space="preserve">           </w:t>
      </w:r>
      <w:r>
        <w:rPr>
          <w:rFonts w:hint="eastAsia" w:ascii="宋体" w:hAnsi="宋体" w:eastAsia="宋体" w:cs="宋体"/>
          <w:iCs/>
        </w:rPr>
        <w:t>（投标人名称）授权</w:t>
      </w:r>
      <w:r>
        <w:rPr>
          <w:rFonts w:hint="eastAsia" w:ascii="宋体" w:hAnsi="宋体" w:eastAsia="宋体" w:cs="宋体"/>
          <w:iCs/>
          <w:u w:val="single"/>
        </w:rPr>
        <w:t xml:space="preserve">            </w:t>
      </w:r>
      <w:r>
        <w:rPr>
          <w:rFonts w:hint="eastAsia" w:ascii="宋体" w:hAnsi="宋体" w:eastAsia="宋体" w:cs="宋体"/>
          <w:iCs/>
        </w:rPr>
        <w:t>（被授权人的姓名）为我方就JSZC-</w:t>
      </w:r>
      <w:r>
        <w:rPr>
          <w:rFonts w:hint="eastAsia" w:ascii="宋体" w:hAnsi="宋体" w:eastAsia="宋体" w:cs="宋体"/>
          <w:iCs/>
          <w:u w:val="single"/>
        </w:rPr>
        <w:t xml:space="preserve">        </w:t>
      </w:r>
      <w:r>
        <w:rPr>
          <w:rFonts w:hint="eastAsia" w:ascii="宋体" w:hAnsi="宋体" w:eastAsia="宋体" w:cs="宋体"/>
          <w:iCs/>
        </w:rPr>
        <w:t>号项目采购活动的合法代理人，以本单位名义全权处理一切与该项目采购有关的事务。</w:t>
      </w:r>
    </w:p>
    <w:p w14:paraId="3A308663">
      <w:pPr>
        <w:pStyle w:val="9"/>
        <w:tabs>
          <w:tab w:val="left" w:pos="360"/>
        </w:tabs>
        <w:spacing w:beforeAutospacing="0" w:afterAutospacing="0" w:line="440" w:lineRule="exact"/>
        <w:ind w:firstLine="480"/>
        <w:jc w:val="both"/>
        <w:outlineLvl w:val="9"/>
        <w:rPr>
          <w:rFonts w:ascii="宋体" w:hAnsi="宋体" w:eastAsia="宋体" w:cs="宋体"/>
          <w:iCs/>
        </w:rPr>
      </w:pPr>
      <w:r>
        <w:rPr>
          <w:rFonts w:hint="eastAsia" w:ascii="宋体" w:hAnsi="宋体" w:eastAsia="宋体" w:cs="宋体"/>
          <w:iCs/>
        </w:rPr>
        <w:t>本授权书于______年____月____日起生效，特此声明。</w:t>
      </w:r>
    </w:p>
    <w:p w14:paraId="2937798B">
      <w:pPr>
        <w:pStyle w:val="9"/>
        <w:tabs>
          <w:tab w:val="left" w:pos="360"/>
        </w:tabs>
        <w:spacing w:beforeAutospacing="0" w:afterAutospacing="0" w:line="440" w:lineRule="exact"/>
        <w:jc w:val="both"/>
        <w:outlineLvl w:val="9"/>
        <w:rPr>
          <w:rFonts w:ascii="宋体" w:hAnsi="宋体" w:eastAsia="宋体" w:cs="宋体"/>
          <w:iCs/>
          <w:u w:val="single"/>
        </w:rPr>
      </w:pPr>
      <w:r>
        <w:rPr>
          <w:rFonts w:hint="eastAsia" w:ascii="宋体" w:hAnsi="宋体" w:eastAsia="宋体" w:cs="宋体"/>
          <w:iCs/>
        </w:rPr>
        <w:t>被授权人身份证号码：</w:t>
      </w:r>
      <w:r>
        <w:rPr>
          <w:rFonts w:hint="eastAsia" w:ascii="宋体" w:hAnsi="宋体" w:eastAsia="宋体" w:cs="宋体"/>
          <w:iCs/>
          <w:u w:val="single"/>
        </w:rPr>
        <w:t>                            </w:t>
      </w:r>
    </w:p>
    <w:p w14:paraId="29AB9699">
      <w:pPr>
        <w:pStyle w:val="9"/>
        <w:tabs>
          <w:tab w:val="left" w:pos="360"/>
        </w:tabs>
        <w:spacing w:beforeAutospacing="0" w:afterAutospacing="0" w:line="440" w:lineRule="exact"/>
        <w:jc w:val="both"/>
        <w:outlineLvl w:val="9"/>
        <w:rPr>
          <w:rFonts w:ascii="宋体" w:hAnsi="宋体" w:eastAsia="宋体" w:cs="宋体"/>
          <w:iCs/>
          <w:u w:val="single"/>
        </w:rPr>
      </w:pPr>
      <w:r>
        <w:rPr>
          <w:rFonts w:hint="eastAsia" w:ascii="宋体" w:hAnsi="宋体" w:eastAsia="宋体" w:cs="宋体"/>
          <w:iCs/>
        </w:rPr>
        <w:t>被授权人联系电话：（手机）</w:t>
      </w:r>
      <w:r>
        <w:rPr>
          <w:rFonts w:hint="eastAsia" w:ascii="宋体" w:hAnsi="宋体" w:eastAsia="宋体" w:cs="宋体"/>
          <w:iCs/>
          <w:u w:val="single"/>
        </w:rPr>
        <w:t xml:space="preserve">                         </w:t>
      </w:r>
    </w:p>
    <w:p w14:paraId="0AFE217D">
      <w:pPr>
        <w:pStyle w:val="9"/>
        <w:tabs>
          <w:tab w:val="left" w:pos="360"/>
        </w:tabs>
        <w:spacing w:beforeAutospacing="0" w:afterAutospacing="0" w:line="440" w:lineRule="exact"/>
        <w:jc w:val="both"/>
        <w:outlineLvl w:val="9"/>
        <w:rPr>
          <w:rFonts w:ascii="宋体" w:hAnsi="宋体" w:eastAsia="宋体" w:cs="宋体"/>
          <w:iCs/>
          <w:u w:val="single"/>
        </w:rPr>
      </w:pPr>
    </w:p>
    <w:p w14:paraId="5BBEA0EC">
      <w:pPr>
        <w:pStyle w:val="9"/>
        <w:tabs>
          <w:tab w:val="left" w:pos="360"/>
        </w:tabs>
        <w:spacing w:beforeAutospacing="0" w:afterAutospacing="0" w:line="440" w:lineRule="exact"/>
        <w:jc w:val="right"/>
        <w:outlineLvl w:val="9"/>
        <w:rPr>
          <w:rFonts w:ascii="宋体" w:hAnsi="宋体" w:eastAsia="宋体" w:cs="宋体"/>
          <w:iCs/>
        </w:rPr>
      </w:pPr>
      <w:r>
        <w:rPr>
          <w:rFonts w:hint="eastAsia" w:ascii="宋体" w:hAnsi="宋体" w:eastAsia="宋体" w:cs="宋体"/>
          <w:iCs/>
        </w:rPr>
        <w:t>授权单位名称：</w:t>
      </w:r>
      <w:r>
        <w:rPr>
          <w:rFonts w:hint="eastAsia" w:ascii="宋体" w:hAnsi="宋体" w:eastAsia="宋体" w:cs="宋体"/>
          <w:iCs/>
          <w:u w:val="single"/>
        </w:rPr>
        <w:t>（加盖CA电子公章）</w:t>
      </w:r>
    </w:p>
    <w:p w14:paraId="70D176E7">
      <w:pPr>
        <w:pStyle w:val="9"/>
        <w:tabs>
          <w:tab w:val="left" w:pos="360"/>
        </w:tabs>
        <w:spacing w:beforeAutospacing="0" w:afterAutospacing="0" w:line="440" w:lineRule="exact"/>
        <w:ind w:firstLine="480"/>
        <w:jc w:val="right"/>
        <w:outlineLvl w:val="9"/>
        <w:rPr>
          <w:rFonts w:ascii="宋体" w:hAnsi="宋体" w:eastAsia="宋体" w:cs="宋体"/>
          <w:iCs/>
        </w:rPr>
      </w:pPr>
      <w:r>
        <w:rPr>
          <w:rFonts w:hint="eastAsia" w:ascii="宋体" w:hAnsi="宋体" w:eastAsia="宋体" w:cs="宋体"/>
          <w:iCs/>
        </w:rPr>
        <w:t>单位地址：</w:t>
      </w:r>
      <w:r>
        <w:rPr>
          <w:rFonts w:hint="eastAsia" w:ascii="宋体" w:hAnsi="宋体" w:eastAsia="宋体" w:cs="宋体"/>
          <w:iCs/>
          <w:u w:val="single"/>
        </w:rPr>
        <w:t>                       </w:t>
      </w:r>
    </w:p>
    <w:p w14:paraId="11F45976">
      <w:pPr>
        <w:pStyle w:val="9"/>
        <w:tabs>
          <w:tab w:val="left" w:pos="360"/>
        </w:tabs>
        <w:spacing w:beforeAutospacing="0" w:afterAutospacing="0" w:line="440" w:lineRule="exact"/>
        <w:ind w:firstLine="480"/>
        <w:jc w:val="right"/>
        <w:outlineLvl w:val="9"/>
        <w:rPr>
          <w:rFonts w:ascii="宋体" w:hAnsi="宋体" w:eastAsia="宋体" w:cs="宋体"/>
          <w:iCs/>
        </w:rPr>
      </w:pPr>
      <w:r>
        <w:rPr>
          <w:rFonts w:hint="eastAsia" w:ascii="宋体" w:hAnsi="宋体" w:eastAsia="宋体" w:cs="宋体"/>
          <w:iCs/>
        </w:rPr>
        <w:t> 日期：</w:t>
      </w:r>
      <w:bookmarkStart w:id="171" w:name="_格式3__银行出具的资信证明"/>
      <w:bookmarkStart w:id="172" w:name="_Hlt26671380"/>
      <w:bookmarkStart w:id="173" w:name="_Hlt26955070"/>
      <w:r>
        <w:rPr>
          <w:rFonts w:hint="eastAsia" w:ascii="宋体" w:hAnsi="宋体" w:eastAsia="宋体" w:cs="宋体"/>
          <w:iCs/>
          <w:u w:val="single"/>
        </w:rPr>
        <w:t>                        </w:t>
      </w:r>
    </w:p>
    <w:p w14:paraId="77DA03C3">
      <w:pPr>
        <w:pStyle w:val="9"/>
        <w:spacing w:beforeAutospacing="0" w:afterAutospacing="0" w:line="440" w:lineRule="exact"/>
        <w:ind w:firstLine="420"/>
        <w:jc w:val="right"/>
        <w:outlineLvl w:val="9"/>
        <w:rPr>
          <w:rFonts w:ascii="宋体" w:hAnsi="宋体" w:eastAsia="宋体" w:cs="宋体"/>
          <w:iCs/>
        </w:rPr>
      </w:pPr>
      <w:r>
        <w:rPr>
          <w:rFonts w:hint="eastAsia" w:ascii="宋体" w:hAnsi="宋体" w:eastAsia="宋体" w:cs="宋体"/>
          <w:iCs/>
        </w:rPr>
        <w:t> </w:t>
      </w:r>
    </w:p>
    <w:p w14:paraId="62FE5C3D">
      <w:pPr>
        <w:pStyle w:val="9"/>
        <w:spacing w:beforeAutospacing="0" w:afterAutospacing="0" w:line="440" w:lineRule="exact"/>
        <w:jc w:val="both"/>
        <w:outlineLvl w:val="9"/>
        <w:rPr>
          <w:rFonts w:ascii="宋体" w:hAnsi="宋体" w:eastAsia="宋体" w:cs="宋体"/>
          <w:iCs/>
        </w:rPr>
      </w:pPr>
      <w:r>
        <w:rPr>
          <w:rFonts w:hint="eastAsia" w:ascii="宋体" w:hAnsi="宋体" w:eastAsia="宋体" w:cs="宋体"/>
          <w:iCs/>
        </w:rPr>
        <w:t> </w:t>
      </w:r>
    </w:p>
    <w:p w14:paraId="2F9D0970">
      <w:pPr>
        <w:pStyle w:val="9"/>
        <w:spacing w:beforeAutospacing="0" w:afterAutospacing="0" w:line="440" w:lineRule="exact"/>
        <w:jc w:val="both"/>
        <w:outlineLvl w:val="9"/>
        <w:rPr>
          <w:rFonts w:ascii="宋体" w:hAnsi="宋体" w:eastAsia="宋体" w:cs="宋体"/>
          <w:iCs/>
        </w:rPr>
      </w:pPr>
      <w:r>
        <w:rPr>
          <w:rFonts w:hint="eastAsia" w:ascii="宋体" w:hAnsi="宋体" w:eastAsia="宋体" w:cs="宋体"/>
          <w:iCs/>
        </w:rPr>
        <w:t> </w:t>
      </w:r>
    </w:p>
    <w:p w14:paraId="4DADDD08">
      <w:pPr>
        <w:pStyle w:val="9"/>
        <w:spacing w:beforeAutospacing="0" w:afterAutospacing="0" w:line="440" w:lineRule="exact"/>
        <w:ind w:firstLine="360"/>
        <w:jc w:val="both"/>
        <w:outlineLvl w:val="9"/>
        <w:rPr>
          <w:rFonts w:ascii="宋体" w:hAnsi="宋体" w:eastAsia="宋体" w:cs="宋体"/>
          <w:iCs/>
        </w:rPr>
      </w:pPr>
      <w:r>
        <w:rPr>
          <w:rFonts w:hint="eastAsia" w:ascii="宋体" w:hAnsi="宋体" w:eastAsia="宋体" w:cs="宋体"/>
          <w:iCs/>
          <w:shd w:val="clear" w:color="auto" w:fill="FFFF00"/>
        </w:rPr>
        <w:t>备注 我公司（单位）委托进行现场演示的人员为</w:t>
      </w:r>
      <w:r>
        <w:rPr>
          <w:rFonts w:hint="eastAsia" w:ascii="宋体" w:hAnsi="宋体" w:eastAsia="宋体" w:cs="宋体"/>
          <w:iCs/>
          <w:u w:val="single"/>
          <w:shd w:val="clear" w:color="auto" w:fill="FFFF00"/>
        </w:rPr>
        <w:t>（人员姓名）</w:t>
      </w:r>
      <w:r>
        <w:rPr>
          <w:rFonts w:hint="eastAsia" w:ascii="宋体" w:hAnsi="宋体" w:eastAsia="宋体" w:cs="宋体"/>
          <w:iCs/>
          <w:shd w:val="clear" w:color="auto" w:fill="FFFF00"/>
        </w:rPr>
        <w:t>，身份证号</w:t>
      </w:r>
      <w:r>
        <w:rPr>
          <w:rFonts w:hint="eastAsia" w:ascii="宋体" w:hAnsi="宋体" w:eastAsia="宋体" w:cs="宋体"/>
          <w:iCs/>
          <w:u w:val="single"/>
          <w:shd w:val="clear" w:color="auto" w:fill="FFFF00"/>
        </w:rPr>
        <w:t xml:space="preserve">          </w:t>
      </w:r>
      <w:r>
        <w:rPr>
          <w:rFonts w:hint="eastAsia" w:ascii="宋体" w:hAnsi="宋体" w:eastAsia="宋体" w:cs="宋体"/>
          <w:iCs/>
          <w:shd w:val="clear" w:color="auto" w:fill="FFFF00"/>
        </w:rPr>
        <w:t>。</w:t>
      </w:r>
    </w:p>
    <w:p w14:paraId="7EF61F87">
      <w:pPr>
        <w:pStyle w:val="9"/>
        <w:spacing w:beforeAutospacing="0" w:afterAutospacing="0" w:line="440" w:lineRule="exact"/>
        <w:jc w:val="both"/>
        <w:outlineLvl w:val="9"/>
        <w:rPr>
          <w:rFonts w:ascii="宋体" w:hAnsi="宋体" w:eastAsia="宋体" w:cs="宋体"/>
          <w:iCs/>
        </w:rPr>
      </w:pPr>
      <w:r>
        <w:rPr>
          <w:rFonts w:hint="eastAsia" w:ascii="宋体" w:hAnsi="宋体" w:eastAsia="宋体" w:cs="宋体"/>
          <w:iCs/>
          <w:shd w:val="clear" w:color="auto" w:fill="FFFF00"/>
        </w:rPr>
        <w:t>        ……</w:t>
      </w:r>
    </w:p>
    <w:p w14:paraId="508E8415">
      <w:pPr>
        <w:pStyle w:val="9"/>
        <w:spacing w:beforeAutospacing="0" w:afterAutospacing="0" w:line="440" w:lineRule="exact"/>
        <w:jc w:val="both"/>
        <w:outlineLvl w:val="9"/>
        <w:rPr>
          <w:rFonts w:ascii="宋体" w:hAnsi="宋体" w:eastAsia="宋体" w:cs="宋体"/>
          <w:iCs/>
        </w:rPr>
      </w:pPr>
      <w:r>
        <w:rPr>
          <w:rFonts w:hint="eastAsia" w:ascii="宋体" w:hAnsi="宋体" w:eastAsia="宋体" w:cs="宋体"/>
          <w:iCs/>
        </w:rPr>
        <w:t> </w:t>
      </w:r>
    </w:p>
    <w:p w14:paraId="5FDD0E0A">
      <w:pPr>
        <w:pStyle w:val="9"/>
        <w:keepNext/>
        <w:keepLines/>
        <w:spacing w:before="260" w:beforeAutospacing="0" w:after="260" w:afterAutospacing="0" w:line="440" w:lineRule="exact"/>
        <w:ind w:firstLine="3390"/>
        <w:jc w:val="both"/>
        <w:outlineLvl w:val="9"/>
        <w:rPr>
          <w:rFonts w:ascii="宋体" w:hAnsi="宋体" w:eastAsia="宋体" w:cs="宋体"/>
          <w:b/>
          <w:color w:val="000000"/>
          <w:sz w:val="32"/>
          <w:szCs w:val="32"/>
        </w:rPr>
      </w:pPr>
      <w:r>
        <w:rPr>
          <w:rFonts w:hint="eastAsia" w:ascii="宋体" w:hAnsi="宋体" w:eastAsia="宋体" w:cs="宋体"/>
          <w:b/>
          <w:iCs/>
        </w:rPr>
        <w:br w:type="page" w:clear="all"/>
      </w:r>
      <w:r>
        <w:rPr>
          <w:rFonts w:hint="eastAsia" w:ascii="宋体" w:hAnsi="宋体" w:eastAsia="宋体" w:cs="宋体"/>
          <w:b/>
          <w:i/>
          <w:iCs/>
          <w:color w:val="000000"/>
          <w:u w:val="single"/>
        </w:rPr>
        <w:t> </w:t>
      </w:r>
      <w:r>
        <w:rPr>
          <w:rFonts w:hint="eastAsia" w:ascii="宋体" w:hAnsi="宋体" w:eastAsia="宋体" w:cs="宋体"/>
          <w:b/>
          <w:i/>
          <w:iCs/>
          <w:color w:val="000000"/>
          <w:sz w:val="32"/>
          <w:szCs w:val="32"/>
          <w:u w:val="single"/>
        </w:rPr>
        <w:t>八、投标函</w:t>
      </w:r>
    </w:p>
    <w:p w14:paraId="20AD8FA7">
      <w:pPr>
        <w:pStyle w:val="9"/>
        <w:spacing w:beforeAutospacing="0" w:afterAutospacing="0" w:line="440" w:lineRule="exact"/>
        <w:outlineLvl w:val="9"/>
        <w:rPr>
          <w:rFonts w:ascii="宋体" w:hAnsi="宋体" w:eastAsia="宋体" w:cs="宋体"/>
        </w:rPr>
      </w:pPr>
      <w:r>
        <w:rPr>
          <w:rFonts w:hint="eastAsia" w:ascii="宋体" w:hAnsi="宋体" w:eastAsia="宋体" w:cs="宋体"/>
          <w:color w:val="000000"/>
        </w:rPr>
        <w:t>致：采购中心</w:t>
      </w:r>
    </w:p>
    <w:p w14:paraId="12D6FCDF">
      <w:pPr>
        <w:pStyle w:val="9"/>
        <w:spacing w:beforeAutospacing="0" w:afterAutospacing="0" w:line="440" w:lineRule="exact"/>
        <w:ind w:firstLine="480"/>
        <w:outlineLvl w:val="9"/>
        <w:rPr>
          <w:rFonts w:ascii="宋体" w:hAnsi="宋体" w:eastAsia="宋体" w:cs="宋体"/>
        </w:rPr>
      </w:pPr>
      <w:r>
        <w:rPr>
          <w:rFonts w:hint="eastAsia" w:ascii="宋体" w:hAnsi="宋体" w:eastAsia="宋体" w:cs="宋体"/>
          <w:color w:val="000000"/>
        </w:rPr>
        <w:t>根据贵方的JSZC-</w:t>
      </w:r>
      <w:r>
        <w:rPr>
          <w:rFonts w:hint="eastAsia" w:ascii="宋体" w:hAnsi="宋体" w:eastAsia="宋体" w:cs="宋体"/>
          <w:color w:val="000000"/>
          <w:u w:val="single"/>
        </w:rPr>
        <w:t xml:space="preserve">         </w:t>
      </w:r>
      <w:r>
        <w:rPr>
          <w:rFonts w:hint="eastAsia" w:ascii="宋体" w:hAnsi="宋体" w:eastAsia="宋体" w:cs="宋体"/>
          <w:color w:val="000000"/>
        </w:rPr>
        <w:t>号招标文件，正式授权下述签字人_____(姓名)代表我方_____________（投标人的名称），全权处理本次项目投标的有关事宜。</w:t>
      </w:r>
    </w:p>
    <w:p w14:paraId="7D3D9077">
      <w:pPr>
        <w:pStyle w:val="9"/>
        <w:spacing w:beforeAutospacing="0" w:afterAutospacing="0" w:line="440" w:lineRule="exact"/>
        <w:ind w:firstLine="480"/>
        <w:outlineLvl w:val="9"/>
        <w:rPr>
          <w:rFonts w:ascii="宋体" w:hAnsi="宋体" w:eastAsia="宋体" w:cs="宋体"/>
        </w:rPr>
      </w:pPr>
      <w:r>
        <w:rPr>
          <w:rFonts w:hint="eastAsia" w:ascii="宋体" w:hAnsi="宋体" w:eastAsia="宋体" w:cs="宋体"/>
          <w:color w:val="000000"/>
        </w:rPr>
        <w:t>据此函，__________签字人兹宣布同意如下：</w:t>
      </w:r>
    </w:p>
    <w:p w14:paraId="654BA65C">
      <w:pPr>
        <w:pStyle w:val="9"/>
        <w:spacing w:beforeAutospacing="0" w:afterAutospacing="0" w:line="440" w:lineRule="exact"/>
        <w:ind w:firstLine="480"/>
        <w:outlineLvl w:val="9"/>
        <w:rPr>
          <w:rFonts w:ascii="宋体" w:hAnsi="宋体" w:eastAsia="宋体" w:cs="宋体"/>
        </w:rPr>
      </w:pPr>
      <w:r>
        <w:rPr>
          <w:rFonts w:hint="eastAsia" w:ascii="宋体" w:hAnsi="宋体" w:eastAsia="宋体" w:cs="宋体"/>
          <w:color w:val="000000"/>
        </w:rPr>
        <w:t>1.按招标文件规定的各项要求，向买方提供所需服务（包含与服务相关的货物）。</w:t>
      </w:r>
    </w:p>
    <w:p w14:paraId="4DC67059">
      <w:pPr>
        <w:pStyle w:val="9"/>
        <w:spacing w:beforeAutospacing="0" w:afterAutospacing="0" w:line="440" w:lineRule="exact"/>
        <w:ind w:firstLine="480"/>
        <w:outlineLvl w:val="9"/>
        <w:rPr>
          <w:rFonts w:ascii="宋体" w:hAnsi="宋体" w:eastAsia="宋体" w:cs="宋体"/>
        </w:rPr>
      </w:pPr>
      <w:r>
        <w:rPr>
          <w:rFonts w:hint="eastAsia" w:ascii="宋体" w:hAnsi="宋体" w:eastAsia="宋体" w:cs="宋体"/>
          <w:color w:val="000000"/>
        </w:rPr>
        <w:t>2.我们完全理解贵方不一定将合同授予最低报价的投标人。</w:t>
      </w:r>
    </w:p>
    <w:p w14:paraId="40206317">
      <w:pPr>
        <w:pStyle w:val="9"/>
        <w:spacing w:beforeAutospacing="0" w:afterAutospacing="0" w:line="440" w:lineRule="exact"/>
        <w:ind w:firstLine="480"/>
        <w:outlineLvl w:val="9"/>
        <w:rPr>
          <w:rFonts w:ascii="宋体" w:hAnsi="宋体" w:eastAsia="宋体" w:cs="宋体"/>
        </w:rPr>
      </w:pPr>
      <w:r>
        <w:rPr>
          <w:rFonts w:hint="eastAsia" w:ascii="宋体" w:hAnsi="宋体" w:eastAsia="宋体" w:cs="宋体"/>
          <w:color w:val="000000"/>
        </w:rPr>
        <w:t>3.我们已详细审核全部招标文件及其有效补充文件，我们知道必须放弃提出含糊不清或误解问题的权利。</w:t>
      </w:r>
    </w:p>
    <w:p w14:paraId="2EDBE6EB">
      <w:pPr>
        <w:pStyle w:val="9"/>
        <w:spacing w:beforeAutospacing="0" w:afterAutospacing="0" w:line="440" w:lineRule="exact"/>
        <w:ind w:firstLine="480"/>
        <w:outlineLvl w:val="9"/>
        <w:rPr>
          <w:rFonts w:ascii="宋体" w:hAnsi="宋体" w:eastAsia="宋体" w:cs="宋体"/>
        </w:rPr>
      </w:pPr>
      <w:r>
        <w:rPr>
          <w:rFonts w:hint="eastAsia" w:ascii="宋体" w:hAnsi="宋体" w:eastAsia="宋体" w:cs="宋体"/>
          <w:color w:val="000000"/>
        </w:rPr>
        <w:t>4.我们同意从规定的开标日期起遵循本投标文件，并在规定的投标有效期期满之前均具有约束力。</w:t>
      </w:r>
    </w:p>
    <w:p w14:paraId="0E79A8F0">
      <w:pPr>
        <w:pStyle w:val="9"/>
        <w:spacing w:beforeAutospacing="0" w:afterAutospacing="0" w:line="440" w:lineRule="exact"/>
        <w:ind w:firstLine="480"/>
        <w:outlineLvl w:val="9"/>
        <w:rPr>
          <w:rFonts w:ascii="宋体" w:hAnsi="宋体" w:eastAsia="宋体" w:cs="宋体"/>
        </w:rPr>
      </w:pPr>
      <w:r>
        <w:rPr>
          <w:rFonts w:hint="eastAsia" w:ascii="宋体" w:hAnsi="宋体" w:eastAsia="宋体" w:cs="宋体"/>
          <w:color w:val="000000"/>
        </w:rPr>
        <w:t>5.同意向贵方提供贵方可能另外要求的与投标有关的任何证据或资料，并保证我方已提供和将要提供的文件是真实的、准确的。</w:t>
      </w:r>
    </w:p>
    <w:p w14:paraId="258C83B5">
      <w:pPr>
        <w:pStyle w:val="9"/>
        <w:spacing w:beforeAutospacing="0" w:afterAutospacing="0" w:line="440" w:lineRule="exact"/>
        <w:ind w:firstLine="480"/>
        <w:outlineLvl w:val="9"/>
        <w:rPr>
          <w:rFonts w:ascii="宋体" w:hAnsi="宋体" w:eastAsia="宋体" w:cs="宋体"/>
        </w:rPr>
      </w:pPr>
      <w:r>
        <w:rPr>
          <w:rFonts w:hint="eastAsia" w:ascii="宋体" w:hAnsi="宋体" w:eastAsia="宋体" w:cs="宋体"/>
          <w:color w:val="000000"/>
        </w:rPr>
        <w:t>6.一旦我方中标,我方将根据招标文件的规定，严格履行合同的责任和义务,并保证在招标文件规定的时间完成项目，交付买方验收、使用。</w:t>
      </w:r>
    </w:p>
    <w:p w14:paraId="2304AA5E">
      <w:pPr>
        <w:pStyle w:val="9"/>
        <w:spacing w:beforeAutospacing="0" w:afterAutospacing="0" w:line="440" w:lineRule="exact"/>
        <w:ind w:firstLine="480"/>
        <w:outlineLvl w:val="9"/>
        <w:rPr>
          <w:rFonts w:ascii="宋体" w:hAnsi="宋体" w:eastAsia="宋体" w:cs="宋体"/>
        </w:rPr>
      </w:pPr>
      <w:r>
        <w:rPr>
          <w:rFonts w:hint="eastAsia" w:ascii="宋体" w:hAnsi="宋体" w:eastAsia="宋体" w:cs="宋体"/>
          <w:color w:val="000000"/>
        </w:rPr>
        <w:t>7.与本投标有关的正式通讯地址为：</w:t>
      </w:r>
    </w:p>
    <w:p w14:paraId="471BD341">
      <w:pPr>
        <w:pStyle w:val="9"/>
        <w:spacing w:beforeAutospacing="0" w:afterAutospacing="0" w:line="440" w:lineRule="exact"/>
        <w:ind w:left="420" w:firstLine="480"/>
        <w:outlineLvl w:val="9"/>
        <w:rPr>
          <w:rFonts w:ascii="宋体" w:hAnsi="宋体" w:eastAsia="宋体" w:cs="宋体"/>
        </w:rPr>
      </w:pPr>
      <w:r>
        <w:rPr>
          <w:rFonts w:hint="eastAsia" w:ascii="宋体" w:hAnsi="宋体" w:eastAsia="宋体" w:cs="宋体"/>
          <w:color w:val="000000"/>
        </w:rPr>
        <w:t>地          址：</w:t>
      </w:r>
    </w:p>
    <w:p w14:paraId="555E3C10">
      <w:pPr>
        <w:pStyle w:val="9"/>
        <w:spacing w:beforeAutospacing="0" w:afterAutospacing="0" w:line="440" w:lineRule="exact"/>
        <w:ind w:left="420" w:firstLine="480"/>
        <w:outlineLvl w:val="9"/>
        <w:rPr>
          <w:rFonts w:ascii="宋体" w:hAnsi="宋体" w:eastAsia="宋体" w:cs="宋体"/>
        </w:rPr>
      </w:pPr>
      <w:r>
        <w:rPr>
          <w:rFonts w:hint="eastAsia" w:ascii="宋体" w:hAnsi="宋体" w:eastAsia="宋体" w:cs="宋体"/>
          <w:color w:val="000000"/>
        </w:rPr>
        <w:t>邮          编：</w:t>
      </w:r>
    </w:p>
    <w:p w14:paraId="42F164FB">
      <w:pPr>
        <w:pStyle w:val="9"/>
        <w:spacing w:beforeAutospacing="0" w:afterAutospacing="0" w:line="440" w:lineRule="exact"/>
        <w:ind w:left="420" w:firstLine="480"/>
        <w:outlineLvl w:val="9"/>
        <w:rPr>
          <w:rFonts w:ascii="宋体" w:hAnsi="宋体" w:eastAsia="宋体" w:cs="宋体"/>
        </w:rPr>
      </w:pPr>
      <w:r>
        <w:rPr>
          <w:rFonts w:hint="eastAsia" w:ascii="宋体" w:hAnsi="宋体" w:eastAsia="宋体" w:cs="宋体"/>
          <w:color w:val="000000"/>
        </w:rPr>
        <w:t>电          话：</w:t>
      </w:r>
    </w:p>
    <w:p w14:paraId="791C5662">
      <w:pPr>
        <w:pStyle w:val="9"/>
        <w:spacing w:beforeAutospacing="0" w:afterAutospacing="0" w:line="440" w:lineRule="exact"/>
        <w:ind w:left="420" w:firstLine="480"/>
        <w:outlineLvl w:val="9"/>
        <w:rPr>
          <w:rFonts w:ascii="宋体" w:hAnsi="宋体" w:eastAsia="宋体" w:cs="宋体"/>
        </w:rPr>
      </w:pPr>
      <w:r>
        <w:rPr>
          <w:rFonts w:hint="eastAsia" w:ascii="宋体" w:hAnsi="宋体" w:eastAsia="宋体" w:cs="宋体"/>
          <w:color w:val="000000"/>
        </w:rPr>
        <w:t>传          真：</w:t>
      </w:r>
    </w:p>
    <w:p w14:paraId="1BBFD5C5">
      <w:pPr>
        <w:pStyle w:val="9"/>
        <w:spacing w:beforeAutospacing="0" w:afterAutospacing="0" w:line="440" w:lineRule="exact"/>
        <w:ind w:left="420" w:firstLine="480"/>
        <w:outlineLvl w:val="9"/>
        <w:rPr>
          <w:rFonts w:ascii="宋体" w:hAnsi="宋体" w:eastAsia="宋体" w:cs="宋体"/>
        </w:rPr>
      </w:pPr>
      <w:r>
        <w:rPr>
          <w:rFonts w:hint="eastAsia" w:ascii="宋体" w:hAnsi="宋体" w:eastAsia="宋体" w:cs="宋体"/>
          <w:color w:val="000000"/>
        </w:rPr>
        <w:t>投标人开户行：</w:t>
      </w:r>
    </w:p>
    <w:p w14:paraId="50C5DA3B">
      <w:pPr>
        <w:pStyle w:val="9"/>
        <w:spacing w:beforeAutospacing="0" w:afterAutospacing="0" w:line="440" w:lineRule="exact"/>
        <w:ind w:left="420" w:firstLine="480"/>
        <w:outlineLvl w:val="9"/>
        <w:rPr>
          <w:rFonts w:ascii="宋体" w:hAnsi="宋体" w:eastAsia="宋体" w:cs="宋体"/>
        </w:rPr>
      </w:pPr>
      <w:r>
        <w:rPr>
          <w:rFonts w:hint="eastAsia" w:ascii="宋体" w:hAnsi="宋体" w:eastAsia="宋体" w:cs="宋体"/>
          <w:color w:val="000000"/>
        </w:rPr>
        <w:t xml:space="preserve">账          号： </w:t>
      </w:r>
    </w:p>
    <w:p w14:paraId="1CA63B6C">
      <w:pPr>
        <w:pStyle w:val="9"/>
        <w:spacing w:beforeAutospacing="0" w:afterAutospacing="0" w:line="440" w:lineRule="exact"/>
        <w:ind w:left="420" w:firstLine="480"/>
        <w:outlineLvl w:val="9"/>
        <w:rPr>
          <w:rFonts w:ascii="宋体" w:hAnsi="宋体" w:eastAsia="宋体" w:cs="宋体"/>
        </w:rPr>
      </w:pPr>
      <w:r>
        <w:rPr>
          <w:rFonts w:hint="eastAsia" w:ascii="宋体" w:hAnsi="宋体" w:eastAsia="宋体" w:cs="宋体"/>
          <w:color w:val="000000"/>
        </w:rPr>
        <w:t>日           期：________年____月____日</w:t>
      </w:r>
    </w:p>
    <w:p w14:paraId="633E38F2">
      <w:pPr>
        <w:pStyle w:val="9"/>
        <w:spacing w:beforeAutospacing="0" w:afterAutospacing="0" w:line="440" w:lineRule="exact"/>
        <w:ind w:firstLine="240"/>
        <w:jc w:val="center"/>
        <w:outlineLvl w:val="9"/>
        <w:rPr>
          <w:rFonts w:ascii="宋体" w:hAnsi="宋体" w:eastAsia="宋体" w:cs="宋体"/>
        </w:rPr>
      </w:pPr>
      <w:r>
        <w:rPr>
          <w:rFonts w:hint="eastAsia" w:ascii="宋体" w:hAnsi="宋体" w:eastAsia="宋体" w:cs="宋体"/>
        </w:rPr>
        <w:t> </w:t>
      </w:r>
    </w:p>
    <w:p w14:paraId="65E03172">
      <w:pPr>
        <w:pStyle w:val="9"/>
        <w:spacing w:beforeAutospacing="0" w:afterAutospacing="0" w:line="440" w:lineRule="exact"/>
        <w:ind w:right="180" w:firstLine="360"/>
        <w:jc w:val="right"/>
        <w:outlineLvl w:val="9"/>
        <w:rPr>
          <w:rFonts w:ascii="宋体" w:hAnsi="宋体" w:eastAsia="宋体" w:cs="宋体"/>
        </w:rPr>
      </w:pPr>
      <w:r>
        <w:rPr>
          <w:rFonts w:hint="eastAsia" w:ascii="宋体" w:hAnsi="宋体" w:eastAsia="宋体" w:cs="宋体"/>
        </w:rPr>
        <w:t> </w:t>
      </w:r>
      <w:r>
        <w:rPr>
          <w:rFonts w:hint="eastAsia" w:ascii="宋体" w:hAnsi="宋体" w:eastAsia="宋体" w:cs="宋体"/>
          <w:color w:val="000000"/>
        </w:rPr>
        <w:t>企业名称（加盖CA电子公章）：</w:t>
      </w:r>
    </w:p>
    <w:p w14:paraId="01B27FA7">
      <w:pPr>
        <w:pStyle w:val="9"/>
        <w:spacing w:beforeAutospacing="0" w:afterAutospacing="0" w:line="440" w:lineRule="exact"/>
        <w:ind w:firstLine="240"/>
        <w:jc w:val="center"/>
        <w:outlineLvl w:val="9"/>
        <w:rPr>
          <w:rFonts w:ascii="宋体" w:hAnsi="宋体" w:eastAsia="宋体" w:cs="宋体"/>
        </w:rPr>
      </w:pPr>
    </w:p>
    <w:p w14:paraId="4ED4C122">
      <w:pPr>
        <w:pStyle w:val="9"/>
        <w:spacing w:beforeAutospacing="0" w:afterAutospacing="0" w:line="440" w:lineRule="exact"/>
        <w:ind w:firstLine="240"/>
        <w:jc w:val="center"/>
        <w:outlineLvl w:val="9"/>
        <w:rPr>
          <w:rFonts w:ascii="宋体" w:hAnsi="宋体" w:eastAsia="宋体" w:cs="宋体"/>
        </w:rPr>
      </w:pPr>
    </w:p>
    <w:p w14:paraId="6FEF3E40">
      <w:pPr>
        <w:pStyle w:val="9"/>
        <w:spacing w:beforeAutospacing="0" w:afterAutospacing="0" w:line="440" w:lineRule="exact"/>
        <w:ind w:firstLine="240"/>
        <w:jc w:val="center"/>
        <w:outlineLvl w:val="9"/>
        <w:rPr>
          <w:rFonts w:ascii="宋体" w:hAnsi="宋体" w:eastAsia="宋体" w:cs="宋体"/>
        </w:rPr>
      </w:pPr>
      <w:r>
        <w:rPr>
          <w:rFonts w:hint="eastAsia" w:ascii="宋体" w:hAnsi="宋体" w:eastAsia="宋体" w:cs="宋体"/>
        </w:rPr>
        <w:t> </w:t>
      </w:r>
    </w:p>
    <w:p w14:paraId="022D9F51">
      <w:pPr>
        <w:pStyle w:val="9"/>
        <w:spacing w:beforeAutospacing="0" w:afterAutospacing="0" w:line="440" w:lineRule="exact"/>
        <w:ind w:firstLine="240"/>
        <w:jc w:val="center"/>
        <w:outlineLvl w:val="9"/>
        <w:rPr>
          <w:rFonts w:ascii="宋体" w:hAnsi="宋体" w:eastAsia="宋体" w:cs="宋体"/>
        </w:rPr>
      </w:pPr>
      <w:r>
        <w:rPr>
          <w:rFonts w:hint="eastAsia" w:ascii="宋体" w:hAnsi="宋体" w:eastAsia="宋体" w:cs="宋体"/>
        </w:rPr>
        <w:t> </w:t>
      </w:r>
    </w:p>
    <w:p w14:paraId="1773944B">
      <w:pPr>
        <w:outlineLvl w:val="9"/>
        <w:rPr>
          <w:rFonts w:hint="eastAsia" w:ascii="宋体" w:hAnsi="宋体" w:eastAsia="宋体" w:cs="宋体"/>
          <w:b/>
          <w:color w:val="000000"/>
          <w:sz w:val="32"/>
          <w:szCs w:val="32"/>
          <w:lang w:val="en-US" w:eastAsia="zh-CN" w:bidi="ar-SA"/>
        </w:rPr>
      </w:pPr>
      <w:r>
        <w:rPr>
          <w:rFonts w:hint="eastAsia" w:ascii="宋体" w:hAnsi="宋体" w:eastAsia="宋体" w:cs="宋体"/>
          <w:b/>
          <w:color w:val="000000"/>
          <w:sz w:val="32"/>
          <w:szCs w:val="32"/>
          <w:lang w:val="en-US" w:eastAsia="zh-CN" w:bidi="ar-SA"/>
        </w:rPr>
        <w:br w:type="page"/>
      </w:r>
    </w:p>
    <w:p w14:paraId="6FDA3434">
      <w:pPr>
        <w:pStyle w:val="9"/>
        <w:numPr>
          <w:ilvl w:val="0"/>
          <w:numId w:val="0"/>
        </w:numPr>
        <w:spacing w:beforeAutospacing="0" w:afterAutospacing="0" w:line="440" w:lineRule="exact"/>
        <w:jc w:val="center"/>
        <w:outlineLvl w:val="9"/>
        <w:rPr>
          <w:rFonts w:ascii="宋体" w:hAnsi="宋体" w:eastAsia="宋体" w:cs="宋体"/>
          <w:b/>
          <w:color w:val="000000"/>
          <w:sz w:val="32"/>
          <w:szCs w:val="32"/>
        </w:rPr>
      </w:pPr>
      <w:r>
        <w:rPr>
          <w:rFonts w:hint="eastAsia" w:ascii="宋体" w:hAnsi="宋体" w:eastAsia="宋体" w:cs="宋体"/>
          <w:b/>
          <w:color w:val="000000"/>
          <w:sz w:val="32"/>
          <w:szCs w:val="32"/>
          <w:lang w:val="en-US" w:eastAsia="zh-CN" w:bidi="ar-SA"/>
        </w:rPr>
        <w:t>九、</w:t>
      </w:r>
      <w:r>
        <w:rPr>
          <w:rFonts w:hint="eastAsia" w:ascii="宋体" w:hAnsi="宋体" w:eastAsia="宋体" w:cs="宋体"/>
          <w:b/>
          <w:color w:val="000000"/>
          <w:sz w:val="32"/>
          <w:szCs w:val="32"/>
        </w:rPr>
        <w:t>小微企业声明函（服务）</w:t>
      </w:r>
    </w:p>
    <w:p w14:paraId="07EF4D73">
      <w:pPr>
        <w:pStyle w:val="9"/>
        <w:spacing w:beforeAutospacing="0" w:afterAutospacing="0" w:line="440" w:lineRule="exact"/>
        <w:jc w:val="both"/>
        <w:outlineLvl w:val="9"/>
        <w:rPr>
          <w:rFonts w:ascii="宋体" w:hAnsi="宋体" w:eastAsia="宋体" w:cs="宋体"/>
          <w:b/>
          <w:color w:val="000000"/>
          <w:sz w:val="32"/>
          <w:szCs w:val="32"/>
        </w:rPr>
      </w:pPr>
    </w:p>
    <w:p w14:paraId="02CD5603">
      <w:pPr>
        <w:pStyle w:val="9"/>
        <w:spacing w:beforeAutospacing="0" w:afterAutospacing="0" w:line="440" w:lineRule="exact"/>
        <w:ind w:firstLine="360"/>
        <w:jc w:val="both"/>
        <w:outlineLvl w:val="9"/>
        <w:rPr>
          <w:rFonts w:ascii="宋体" w:hAnsi="宋体" w:eastAsia="宋体" w:cs="宋体"/>
        </w:rPr>
      </w:pPr>
      <w:r>
        <w:rPr>
          <w:rFonts w:hint="eastAsia" w:ascii="宋体" w:hAnsi="宋体" w:eastAsia="宋体" w:cs="宋体"/>
          <w:color w:val="000000"/>
        </w:rPr>
        <w:t>本公司（联合体）郑重声明，根据《政府采购促进中小企业发展管理办法》(财库[2020]46号)的规定，本公司（联合体）参加采购中心组织的</w:t>
      </w:r>
      <w:r>
        <w:rPr>
          <w:rFonts w:hint="eastAsia" w:ascii="宋体" w:hAnsi="宋体" w:eastAsia="宋体" w:cs="宋体"/>
          <w:color w:val="000000"/>
          <w:u w:val="single"/>
        </w:rPr>
        <w:t>（单位名称）</w:t>
      </w:r>
      <w:r>
        <w:rPr>
          <w:rFonts w:hint="eastAsia" w:ascii="宋体" w:hAnsi="宋体" w:eastAsia="宋体" w:cs="宋体"/>
          <w:color w:val="000000"/>
        </w:rPr>
        <w:t>采购编号为</w:t>
      </w:r>
      <w:r>
        <w:rPr>
          <w:rFonts w:hint="eastAsia" w:ascii="宋体" w:hAnsi="宋体" w:eastAsia="宋体" w:cs="宋体"/>
          <w:color w:val="000000"/>
          <w:u w:val="single"/>
        </w:rPr>
        <w:t xml:space="preserve">            </w:t>
      </w:r>
      <w:r>
        <w:rPr>
          <w:rFonts w:hint="eastAsia" w:ascii="宋体" w:hAnsi="宋体" w:eastAsia="宋体" w:cs="宋体"/>
          <w:color w:val="000000"/>
        </w:rPr>
        <w:t>，</w:t>
      </w:r>
      <w:r>
        <w:rPr>
          <w:rFonts w:hint="eastAsia" w:ascii="宋体" w:hAnsi="宋体" w:eastAsia="宋体" w:cs="宋体"/>
          <w:color w:val="000000"/>
          <w:u w:val="single"/>
        </w:rPr>
        <w:t xml:space="preserve">（项目名称） </w:t>
      </w:r>
      <w:r>
        <w:rPr>
          <w:rFonts w:hint="eastAsia" w:ascii="宋体" w:hAnsi="宋体" w:eastAsia="宋体" w:cs="宋体"/>
          <w:color w:val="000000"/>
        </w:rPr>
        <w:t>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24D71AD7">
      <w:pPr>
        <w:pStyle w:val="9"/>
        <w:spacing w:beforeAutospacing="0" w:afterAutospacing="0" w:line="440" w:lineRule="exact"/>
        <w:ind w:firstLine="360"/>
        <w:jc w:val="both"/>
        <w:outlineLvl w:val="9"/>
        <w:rPr>
          <w:rFonts w:ascii="宋体" w:hAnsi="宋体" w:eastAsia="宋体" w:cs="宋体"/>
        </w:rPr>
      </w:pPr>
      <w:r>
        <w:rPr>
          <w:rFonts w:hint="eastAsia" w:ascii="宋体" w:hAnsi="宋体" w:eastAsia="宋体" w:cs="宋体"/>
          <w:color w:val="000000"/>
        </w:rPr>
        <w:t>1.</w:t>
      </w:r>
      <w:r>
        <w:rPr>
          <w:rFonts w:hint="eastAsia" w:ascii="宋体" w:hAnsi="宋体" w:eastAsia="宋体" w:cs="宋体"/>
          <w:color w:val="000000"/>
          <w:u w:val="single"/>
        </w:rPr>
        <w:t>（标的名称）</w:t>
      </w:r>
      <w:r>
        <w:rPr>
          <w:rFonts w:hint="eastAsia" w:ascii="宋体" w:hAnsi="宋体" w:eastAsia="宋体" w:cs="宋体"/>
          <w:i/>
          <w:color w:val="000000"/>
        </w:rPr>
        <w:t>，</w:t>
      </w:r>
      <w:r>
        <w:rPr>
          <w:rFonts w:hint="eastAsia" w:ascii="宋体" w:hAnsi="宋体" w:eastAsia="宋体" w:cs="宋体"/>
          <w:color w:val="000000"/>
        </w:rPr>
        <w:t>属于</w:t>
      </w:r>
      <w:r>
        <w:rPr>
          <w:rFonts w:hint="eastAsia" w:ascii="宋体" w:hAnsi="宋体" w:eastAsia="宋体" w:cs="宋体"/>
          <w:color w:val="000000"/>
          <w:u w:val="single"/>
        </w:rPr>
        <w:t xml:space="preserve">       </w:t>
      </w:r>
      <w:r>
        <w:rPr>
          <w:rFonts w:hint="eastAsia" w:ascii="宋体" w:hAnsi="宋体" w:eastAsia="宋体" w:cs="宋体"/>
          <w:color w:val="000000"/>
        </w:rPr>
        <w:t>行业；承接企业为</w:t>
      </w:r>
      <w:r>
        <w:rPr>
          <w:rFonts w:hint="eastAsia" w:ascii="宋体" w:hAnsi="宋体" w:eastAsia="宋体" w:cs="宋体"/>
          <w:color w:val="000000"/>
          <w:u w:val="single"/>
        </w:rPr>
        <w:t>（企业名称）</w:t>
      </w:r>
      <w:r>
        <w:rPr>
          <w:rFonts w:hint="eastAsia" w:ascii="宋体" w:hAnsi="宋体" w:eastAsia="宋体" w:cs="宋体"/>
          <w:color w:val="000000"/>
        </w:rPr>
        <w:t>，从业人员</w:t>
      </w:r>
      <w:r>
        <w:rPr>
          <w:rFonts w:hint="eastAsia" w:ascii="宋体" w:hAnsi="宋体" w:eastAsia="宋体" w:cs="宋体"/>
          <w:color w:val="000000"/>
          <w:u w:val="single"/>
        </w:rPr>
        <w:t xml:space="preserve">      </w:t>
      </w:r>
      <w:r>
        <w:rPr>
          <w:rFonts w:hint="eastAsia" w:ascii="宋体" w:hAnsi="宋体" w:eastAsia="宋体" w:cs="宋体"/>
          <w:color w:val="000000"/>
        </w:rPr>
        <w:t>人，营业收入为</w:t>
      </w:r>
      <w:r>
        <w:rPr>
          <w:rFonts w:hint="eastAsia" w:ascii="宋体" w:hAnsi="宋体" w:eastAsia="宋体" w:cs="宋体"/>
          <w:color w:val="000000"/>
          <w:u w:val="single"/>
        </w:rPr>
        <w:t xml:space="preserve">     </w:t>
      </w:r>
      <w:r>
        <w:rPr>
          <w:rFonts w:hint="eastAsia" w:ascii="宋体" w:hAnsi="宋体" w:eastAsia="宋体" w:cs="宋体"/>
          <w:color w:val="000000"/>
        </w:rPr>
        <w:t>万元，资产总额为</w:t>
      </w:r>
      <w:r>
        <w:rPr>
          <w:rFonts w:hint="eastAsia" w:ascii="宋体" w:hAnsi="宋体" w:eastAsia="宋体" w:cs="宋体"/>
          <w:color w:val="000000"/>
          <w:u w:val="single"/>
        </w:rPr>
        <w:t xml:space="preserve">      </w:t>
      </w:r>
      <w:r>
        <w:rPr>
          <w:rFonts w:hint="eastAsia" w:ascii="宋体" w:hAnsi="宋体" w:eastAsia="宋体" w:cs="宋体"/>
          <w:color w:val="000000"/>
        </w:rPr>
        <w:t>万元</w:t>
      </w:r>
      <w:r>
        <w:rPr>
          <w:rFonts w:hint="eastAsia" w:ascii="宋体" w:hAnsi="宋体" w:eastAsia="宋体" w:cs="宋体"/>
          <w:color w:val="000000"/>
          <w:vertAlign w:val="superscript"/>
        </w:rPr>
        <w:t>1</w:t>
      </w:r>
      <w:r>
        <w:rPr>
          <w:rFonts w:hint="eastAsia" w:ascii="宋体" w:hAnsi="宋体" w:eastAsia="宋体" w:cs="宋体"/>
          <w:color w:val="000000"/>
        </w:rPr>
        <w:t>，属于</w:t>
      </w:r>
      <w:r>
        <w:rPr>
          <w:rFonts w:hint="eastAsia" w:ascii="宋体" w:hAnsi="宋体" w:eastAsia="宋体" w:cs="宋体"/>
          <w:color w:val="000000"/>
          <w:u w:val="single"/>
        </w:rPr>
        <w:t>（小型企业、微型企业）；</w:t>
      </w:r>
    </w:p>
    <w:p w14:paraId="7CFAFD32">
      <w:pPr>
        <w:pStyle w:val="9"/>
        <w:spacing w:beforeAutospacing="0" w:afterAutospacing="0" w:line="440" w:lineRule="exact"/>
        <w:ind w:firstLine="360"/>
        <w:jc w:val="both"/>
        <w:outlineLvl w:val="9"/>
        <w:rPr>
          <w:rFonts w:ascii="宋体" w:hAnsi="宋体" w:eastAsia="宋体" w:cs="宋体"/>
        </w:rPr>
      </w:pPr>
      <w:r>
        <w:rPr>
          <w:rFonts w:hint="eastAsia" w:ascii="宋体" w:hAnsi="宋体" w:eastAsia="宋体" w:cs="宋体"/>
          <w:color w:val="000000"/>
        </w:rPr>
        <w:t>2.</w:t>
      </w:r>
      <w:r>
        <w:rPr>
          <w:rFonts w:hint="eastAsia" w:ascii="宋体" w:hAnsi="宋体" w:eastAsia="宋体" w:cs="宋体"/>
          <w:color w:val="000000"/>
          <w:u w:val="single"/>
        </w:rPr>
        <w:t>（标的名称）</w:t>
      </w:r>
      <w:r>
        <w:rPr>
          <w:rFonts w:hint="eastAsia" w:ascii="宋体" w:hAnsi="宋体" w:eastAsia="宋体" w:cs="宋体"/>
          <w:i/>
          <w:color w:val="000000"/>
        </w:rPr>
        <w:t>，</w:t>
      </w:r>
      <w:r>
        <w:rPr>
          <w:rFonts w:hint="eastAsia" w:ascii="宋体" w:hAnsi="宋体" w:eastAsia="宋体" w:cs="宋体"/>
          <w:color w:val="000000"/>
        </w:rPr>
        <w:t>属于</w:t>
      </w:r>
      <w:r>
        <w:rPr>
          <w:rFonts w:hint="eastAsia" w:ascii="宋体" w:hAnsi="宋体" w:eastAsia="宋体" w:cs="宋体"/>
          <w:color w:val="000000"/>
          <w:u w:val="single"/>
        </w:rPr>
        <w:t xml:space="preserve">       </w:t>
      </w:r>
      <w:r>
        <w:rPr>
          <w:rFonts w:hint="eastAsia" w:ascii="宋体" w:hAnsi="宋体" w:eastAsia="宋体" w:cs="宋体"/>
          <w:color w:val="000000"/>
        </w:rPr>
        <w:t>行业；承接企业为</w:t>
      </w:r>
      <w:r>
        <w:rPr>
          <w:rFonts w:hint="eastAsia" w:ascii="宋体" w:hAnsi="宋体" w:eastAsia="宋体" w:cs="宋体"/>
          <w:color w:val="000000"/>
          <w:u w:val="single"/>
        </w:rPr>
        <w:t>（企业名称）</w:t>
      </w:r>
      <w:r>
        <w:rPr>
          <w:rFonts w:hint="eastAsia" w:ascii="宋体" w:hAnsi="宋体" w:eastAsia="宋体" w:cs="宋体"/>
          <w:color w:val="000000"/>
        </w:rPr>
        <w:t>，从业人员</w:t>
      </w:r>
      <w:r>
        <w:rPr>
          <w:rFonts w:hint="eastAsia" w:ascii="宋体" w:hAnsi="宋体" w:eastAsia="宋体" w:cs="宋体"/>
          <w:color w:val="000000"/>
          <w:u w:val="single"/>
        </w:rPr>
        <w:t xml:space="preserve">      </w:t>
      </w:r>
      <w:r>
        <w:rPr>
          <w:rFonts w:hint="eastAsia" w:ascii="宋体" w:hAnsi="宋体" w:eastAsia="宋体" w:cs="宋体"/>
          <w:color w:val="000000"/>
        </w:rPr>
        <w:t>人，营业收入为</w:t>
      </w:r>
      <w:r>
        <w:rPr>
          <w:rFonts w:hint="eastAsia" w:ascii="宋体" w:hAnsi="宋体" w:eastAsia="宋体" w:cs="宋体"/>
          <w:color w:val="000000"/>
          <w:u w:val="single"/>
        </w:rPr>
        <w:t xml:space="preserve">     </w:t>
      </w:r>
      <w:r>
        <w:rPr>
          <w:rFonts w:hint="eastAsia" w:ascii="宋体" w:hAnsi="宋体" w:eastAsia="宋体" w:cs="宋体"/>
          <w:color w:val="000000"/>
        </w:rPr>
        <w:t>万元，资产总额为</w:t>
      </w:r>
      <w:r>
        <w:rPr>
          <w:rFonts w:hint="eastAsia" w:ascii="宋体" w:hAnsi="宋体" w:eastAsia="宋体" w:cs="宋体"/>
          <w:color w:val="000000"/>
          <w:u w:val="single"/>
        </w:rPr>
        <w:t xml:space="preserve">      </w:t>
      </w:r>
      <w:r>
        <w:rPr>
          <w:rFonts w:hint="eastAsia" w:ascii="宋体" w:hAnsi="宋体" w:eastAsia="宋体" w:cs="宋体"/>
          <w:color w:val="000000"/>
        </w:rPr>
        <w:t>万元</w:t>
      </w:r>
      <w:r>
        <w:rPr>
          <w:rFonts w:hint="eastAsia" w:ascii="宋体" w:hAnsi="宋体" w:eastAsia="宋体" w:cs="宋体"/>
          <w:color w:val="000000"/>
          <w:vertAlign w:val="superscript"/>
        </w:rPr>
        <w:t>1</w:t>
      </w:r>
      <w:r>
        <w:rPr>
          <w:rFonts w:hint="eastAsia" w:ascii="宋体" w:hAnsi="宋体" w:eastAsia="宋体" w:cs="宋体"/>
          <w:color w:val="000000"/>
        </w:rPr>
        <w:t>，属于</w:t>
      </w:r>
      <w:r>
        <w:rPr>
          <w:rFonts w:hint="eastAsia" w:ascii="宋体" w:hAnsi="宋体" w:eastAsia="宋体" w:cs="宋体"/>
          <w:color w:val="000000"/>
          <w:u w:val="single"/>
        </w:rPr>
        <w:t>（小型企业、微型企业）；</w:t>
      </w:r>
    </w:p>
    <w:p w14:paraId="46064402">
      <w:pPr>
        <w:pStyle w:val="9"/>
        <w:spacing w:beforeAutospacing="0" w:afterAutospacing="0" w:line="440" w:lineRule="exact"/>
        <w:ind w:firstLine="360"/>
        <w:jc w:val="both"/>
        <w:outlineLvl w:val="9"/>
        <w:rPr>
          <w:rFonts w:ascii="宋体" w:hAnsi="宋体" w:eastAsia="宋体" w:cs="宋体"/>
        </w:rPr>
      </w:pPr>
      <w:r>
        <w:rPr>
          <w:rFonts w:hint="eastAsia" w:ascii="宋体" w:hAnsi="宋体" w:eastAsia="宋体" w:cs="宋体"/>
          <w:color w:val="000000"/>
        </w:rPr>
        <w:t>……</w:t>
      </w:r>
    </w:p>
    <w:p w14:paraId="19D35B97">
      <w:pPr>
        <w:pStyle w:val="9"/>
        <w:spacing w:beforeAutospacing="0" w:afterAutospacing="0" w:line="440" w:lineRule="exact"/>
        <w:ind w:firstLine="360"/>
        <w:jc w:val="both"/>
        <w:outlineLvl w:val="9"/>
        <w:rPr>
          <w:rFonts w:ascii="宋体" w:hAnsi="宋体" w:eastAsia="宋体" w:cs="宋体"/>
        </w:rPr>
      </w:pPr>
      <w:r>
        <w:rPr>
          <w:rFonts w:hint="eastAsia" w:ascii="宋体" w:hAnsi="宋体" w:eastAsia="宋体" w:cs="宋体"/>
          <w:color w:val="000000"/>
        </w:rPr>
        <w:t>以上企业，不属于大企业的分支机构，不存在控股股东为大企业的情形，也不存在与大企业的负责人为同一人的情形。</w:t>
      </w:r>
    </w:p>
    <w:p w14:paraId="58B3C6B3">
      <w:pPr>
        <w:pStyle w:val="9"/>
        <w:spacing w:beforeAutospacing="0" w:afterAutospacing="0" w:line="440" w:lineRule="exact"/>
        <w:ind w:firstLine="360"/>
        <w:jc w:val="both"/>
        <w:outlineLvl w:val="9"/>
        <w:rPr>
          <w:rFonts w:ascii="宋体" w:hAnsi="宋体" w:eastAsia="宋体" w:cs="宋体"/>
        </w:rPr>
      </w:pPr>
      <w:r>
        <w:rPr>
          <w:rFonts w:hint="eastAsia" w:ascii="宋体" w:hAnsi="宋体" w:eastAsia="宋体" w:cs="宋体"/>
          <w:color w:val="000000"/>
        </w:rPr>
        <w:t>本企业对上述声明内容的真实性负责。如有虚假，将依法承担相应责任</w:t>
      </w:r>
    </w:p>
    <w:p w14:paraId="2E9321A5">
      <w:pPr>
        <w:pStyle w:val="9"/>
        <w:spacing w:beforeAutospacing="0" w:afterAutospacing="0" w:line="440" w:lineRule="exact"/>
        <w:ind w:right="720"/>
        <w:jc w:val="both"/>
        <w:outlineLvl w:val="9"/>
        <w:rPr>
          <w:rFonts w:ascii="宋体" w:hAnsi="宋体" w:eastAsia="宋体" w:cs="宋体"/>
        </w:rPr>
      </w:pPr>
      <w:r>
        <w:rPr>
          <w:rFonts w:hint="eastAsia" w:ascii="宋体" w:hAnsi="宋体" w:eastAsia="宋体" w:cs="宋体"/>
        </w:rPr>
        <w:t> </w:t>
      </w:r>
    </w:p>
    <w:p w14:paraId="71831D79">
      <w:pPr>
        <w:pStyle w:val="9"/>
        <w:spacing w:beforeAutospacing="0" w:afterAutospacing="0" w:line="440" w:lineRule="exact"/>
        <w:ind w:right="180" w:firstLine="360"/>
        <w:jc w:val="right"/>
        <w:outlineLvl w:val="9"/>
        <w:rPr>
          <w:rFonts w:ascii="宋体" w:hAnsi="宋体" w:eastAsia="宋体" w:cs="宋体"/>
        </w:rPr>
      </w:pPr>
      <w:r>
        <w:rPr>
          <w:rFonts w:hint="eastAsia" w:ascii="宋体" w:hAnsi="宋体" w:eastAsia="宋体" w:cs="宋体"/>
          <w:color w:val="000000"/>
        </w:rPr>
        <w:t>企业名称（加盖CA电子公章）：</w:t>
      </w:r>
    </w:p>
    <w:p w14:paraId="30FF9E04">
      <w:pPr>
        <w:pStyle w:val="9"/>
        <w:spacing w:beforeAutospacing="0" w:afterAutospacing="0" w:line="440" w:lineRule="exact"/>
        <w:ind w:right="480" w:firstLine="5400"/>
        <w:jc w:val="both"/>
        <w:outlineLvl w:val="9"/>
        <w:rPr>
          <w:rFonts w:ascii="宋体" w:hAnsi="宋体" w:eastAsia="宋体" w:cs="宋体"/>
        </w:rPr>
      </w:pPr>
      <w:r>
        <w:rPr>
          <w:rFonts w:hint="eastAsia" w:ascii="宋体" w:hAnsi="宋体" w:eastAsia="宋体" w:cs="宋体"/>
          <w:color w:val="000000"/>
        </w:rPr>
        <w:t>日  期：</w:t>
      </w:r>
    </w:p>
    <w:p w14:paraId="657B03E6">
      <w:pPr>
        <w:pStyle w:val="9"/>
        <w:spacing w:beforeAutospacing="0" w:afterAutospacing="0" w:line="440" w:lineRule="exact"/>
        <w:ind w:firstLine="240"/>
        <w:jc w:val="both"/>
        <w:outlineLvl w:val="9"/>
        <w:rPr>
          <w:rFonts w:ascii="宋体" w:hAnsi="宋体" w:eastAsia="宋体" w:cs="宋体"/>
        </w:rPr>
      </w:pPr>
      <w:r>
        <w:rPr>
          <w:rFonts w:hint="eastAsia" w:ascii="宋体" w:hAnsi="宋体" w:eastAsia="宋体" w:cs="宋体"/>
        </w:rPr>
        <w:t> </w:t>
      </w:r>
    </w:p>
    <w:p w14:paraId="1D941621">
      <w:pPr>
        <w:pStyle w:val="9"/>
        <w:spacing w:beforeAutospacing="0" w:afterAutospacing="0" w:line="440" w:lineRule="exact"/>
        <w:ind w:firstLine="480"/>
        <w:jc w:val="both"/>
        <w:outlineLvl w:val="9"/>
        <w:rPr>
          <w:rFonts w:ascii="宋体" w:hAnsi="宋体" w:eastAsia="宋体" w:cs="宋体"/>
        </w:rPr>
      </w:pPr>
      <w:r>
        <w:rPr>
          <w:rFonts w:hint="eastAsia" w:ascii="宋体" w:hAnsi="宋体" w:eastAsia="宋体" w:cs="宋体"/>
          <w:color w:val="000000"/>
        </w:rPr>
        <w:t>备注1：从业人员、营业收入、资产总额填报上一年度数据，无上一年度数据的新成立企业可不填报。</w:t>
      </w:r>
    </w:p>
    <w:p w14:paraId="36C303C2">
      <w:pPr>
        <w:pStyle w:val="9"/>
        <w:spacing w:beforeAutospacing="0" w:afterAutospacing="0" w:line="440" w:lineRule="exact"/>
        <w:ind w:firstLine="480"/>
        <w:jc w:val="both"/>
        <w:outlineLvl w:val="9"/>
        <w:rPr>
          <w:rFonts w:ascii="宋体" w:hAnsi="宋体" w:eastAsia="宋体" w:cs="宋体"/>
        </w:rPr>
      </w:pPr>
      <w:r>
        <w:rPr>
          <w:rFonts w:hint="eastAsia" w:ascii="宋体" w:hAnsi="宋体" w:eastAsia="宋体" w:cs="宋体"/>
          <w:color w:val="000000"/>
        </w:rPr>
        <w:t>备注2：供应商如不提供此声明函，价格将不做相应扣除。</w:t>
      </w:r>
    </w:p>
    <w:p w14:paraId="500BDE33">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b/>
          <w:color w:val="000000"/>
          <w:sz w:val="32"/>
          <w:szCs w:val="32"/>
        </w:rPr>
        <w:br w:type="page" w:clear="all"/>
      </w:r>
      <w:r>
        <w:rPr>
          <w:rFonts w:hint="eastAsia" w:ascii="宋体" w:hAnsi="宋体" w:eastAsia="宋体" w:cs="宋体"/>
          <w:b/>
          <w:color w:val="000000"/>
          <w:sz w:val="32"/>
          <w:szCs w:val="32"/>
        </w:rPr>
        <w:t> 十、残疾人福利性单位声明函（如有）</w:t>
      </w:r>
    </w:p>
    <w:p w14:paraId="2BE416A7">
      <w:pPr>
        <w:pStyle w:val="9"/>
        <w:spacing w:beforeAutospacing="0" w:afterAutospacing="0" w:line="440" w:lineRule="exact"/>
        <w:ind w:firstLine="480"/>
        <w:jc w:val="both"/>
        <w:outlineLvl w:val="9"/>
        <w:rPr>
          <w:rFonts w:ascii="宋体" w:hAnsi="宋体" w:eastAsia="宋体" w:cs="宋体"/>
        </w:rPr>
      </w:pPr>
      <w:r>
        <w:rPr>
          <w:rFonts w:hint="eastAsia" w:ascii="宋体" w:hAnsi="宋体" w:eastAsia="宋体" w:cs="宋体"/>
          <w:color w:val="000000"/>
        </w:rPr>
        <w:t>本单位郑重声明，根据《财政部 民政部 中国残疾人联合会关于促进残疾人就业政府采购政策的通知》（财库〔2017〕 141号）的规定，本单位为符合条件的残疾人福利性单位，且本单位参加______单位的采购文件编号为_____的</w:t>
      </w:r>
      <w:r>
        <w:rPr>
          <w:rFonts w:hint="eastAsia" w:ascii="宋体" w:hAnsi="宋体" w:eastAsia="宋体" w:cs="宋体"/>
          <w:color w:val="000000"/>
          <w:u w:val="single"/>
        </w:rPr>
        <w:t xml:space="preserve">       </w:t>
      </w:r>
      <w:r>
        <w:rPr>
          <w:rFonts w:hint="eastAsia" w:ascii="宋体" w:hAnsi="宋体" w:eastAsia="宋体" w:cs="宋体"/>
          <w:color w:val="000000"/>
        </w:rPr>
        <w:t>项目采购活动由本单位提供服务。</w:t>
      </w:r>
    </w:p>
    <w:p w14:paraId="3CE77E7F">
      <w:pPr>
        <w:pStyle w:val="9"/>
        <w:spacing w:beforeAutospacing="0" w:afterAutospacing="0" w:line="440" w:lineRule="exact"/>
        <w:ind w:firstLine="480"/>
        <w:jc w:val="both"/>
        <w:outlineLvl w:val="9"/>
        <w:rPr>
          <w:rFonts w:ascii="宋体" w:hAnsi="宋体" w:eastAsia="宋体" w:cs="宋体"/>
        </w:rPr>
      </w:pPr>
      <w:r>
        <w:rPr>
          <w:rFonts w:hint="eastAsia" w:ascii="宋体" w:hAnsi="宋体" w:eastAsia="宋体" w:cs="宋体"/>
          <w:color w:val="000000"/>
        </w:rPr>
        <w:t>本单位对上述声明的真实性负责。如有虚假，将依法承担相应责任。</w:t>
      </w:r>
    </w:p>
    <w:p w14:paraId="103C8053">
      <w:pPr>
        <w:pStyle w:val="9"/>
        <w:spacing w:beforeAutospacing="0" w:afterAutospacing="0" w:line="440" w:lineRule="exact"/>
        <w:ind w:firstLine="480"/>
        <w:jc w:val="both"/>
        <w:outlineLvl w:val="9"/>
        <w:rPr>
          <w:rFonts w:ascii="宋体" w:hAnsi="宋体" w:eastAsia="宋体" w:cs="宋体"/>
        </w:rPr>
      </w:pPr>
      <w:r>
        <w:rPr>
          <w:rFonts w:hint="eastAsia" w:ascii="宋体" w:hAnsi="宋体" w:eastAsia="宋体" w:cs="宋体"/>
        </w:rPr>
        <w:t> </w:t>
      </w:r>
    </w:p>
    <w:p w14:paraId="5ED5CF54">
      <w:pPr>
        <w:pStyle w:val="9"/>
        <w:spacing w:beforeAutospacing="0" w:afterAutospacing="0" w:line="440" w:lineRule="exact"/>
        <w:ind w:firstLine="480"/>
        <w:jc w:val="both"/>
        <w:outlineLvl w:val="9"/>
        <w:rPr>
          <w:rFonts w:ascii="宋体" w:hAnsi="宋体" w:eastAsia="宋体" w:cs="宋体"/>
        </w:rPr>
      </w:pPr>
      <w:r>
        <w:rPr>
          <w:rFonts w:hint="eastAsia" w:ascii="宋体" w:hAnsi="宋体" w:eastAsia="宋体" w:cs="宋体"/>
          <w:color w:val="000000"/>
        </w:rPr>
        <w:t>（备注：1、供应商如不提供此声明函，价格将不做相应扣除。2、中标人为残疾人福利单位的，此声明函将随中标结果同时公告，接受社会监督）</w:t>
      </w:r>
    </w:p>
    <w:p w14:paraId="581E69CD">
      <w:pPr>
        <w:pStyle w:val="9"/>
        <w:spacing w:beforeAutospacing="0" w:afterAutospacing="0" w:line="440" w:lineRule="exact"/>
        <w:ind w:firstLine="624"/>
        <w:jc w:val="both"/>
        <w:outlineLvl w:val="9"/>
        <w:rPr>
          <w:rFonts w:ascii="宋体" w:hAnsi="宋体" w:eastAsia="宋体" w:cs="宋体"/>
        </w:rPr>
      </w:pPr>
      <w:r>
        <w:rPr>
          <w:rFonts w:hint="eastAsia" w:ascii="宋体" w:hAnsi="宋体" w:eastAsia="宋体" w:cs="宋体"/>
        </w:rPr>
        <w:t> </w:t>
      </w:r>
    </w:p>
    <w:p w14:paraId="1A17B502">
      <w:pPr>
        <w:pStyle w:val="9"/>
        <w:tabs>
          <w:tab w:val="left" w:pos="4864"/>
        </w:tabs>
        <w:spacing w:beforeAutospacing="0" w:afterAutospacing="0" w:line="440" w:lineRule="exact"/>
        <w:ind w:right="1560" w:firstLine="624"/>
        <w:jc w:val="center"/>
        <w:outlineLvl w:val="9"/>
        <w:rPr>
          <w:rFonts w:ascii="宋体" w:hAnsi="宋体" w:eastAsia="宋体" w:cs="宋体"/>
        </w:rPr>
      </w:pPr>
      <w:r>
        <w:rPr>
          <w:rFonts w:hint="eastAsia" w:ascii="宋体" w:hAnsi="宋体" w:eastAsia="宋体" w:cs="宋体"/>
          <w:color w:val="000000"/>
        </w:rPr>
        <w:t>供应商全称（加盖CA电子公章）：</w:t>
      </w:r>
    </w:p>
    <w:p w14:paraId="4440D363">
      <w:pPr>
        <w:pStyle w:val="9"/>
        <w:tabs>
          <w:tab w:val="left" w:pos="4864"/>
        </w:tabs>
        <w:spacing w:beforeAutospacing="0" w:afterAutospacing="0" w:line="440" w:lineRule="exact"/>
        <w:ind w:right="1560" w:firstLine="480"/>
        <w:jc w:val="center"/>
        <w:outlineLvl w:val="9"/>
        <w:rPr>
          <w:rFonts w:ascii="宋体" w:hAnsi="宋体" w:eastAsia="宋体" w:cs="宋体"/>
        </w:rPr>
      </w:pPr>
      <w:r>
        <w:rPr>
          <w:rFonts w:hint="eastAsia" w:ascii="宋体" w:hAnsi="宋体" w:eastAsia="宋体" w:cs="宋体"/>
          <w:color w:val="000000"/>
        </w:rPr>
        <w:t>        日  期：</w:t>
      </w:r>
    </w:p>
    <w:p w14:paraId="0DDCCE0E">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p w14:paraId="7CC424CF">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p w14:paraId="644802C4">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p w14:paraId="32EADC92">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p w14:paraId="430E0AE6">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p w14:paraId="3F7A0E10">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p w14:paraId="0C7CB32C">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p w14:paraId="09839708">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p w14:paraId="2B6735C6">
      <w:pPr>
        <w:pStyle w:val="9"/>
        <w:spacing w:beforeAutospacing="0" w:afterAutospacing="0" w:line="440" w:lineRule="exact"/>
        <w:jc w:val="center"/>
        <w:outlineLvl w:val="9"/>
        <w:rPr>
          <w:rFonts w:ascii="宋体" w:hAnsi="宋体" w:eastAsia="宋体" w:cs="宋体"/>
        </w:rPr>
      </w:pPr>
    </w:p>
    <w:p w14:paraId="0305BC51">
      <w:pPr>
        <w:pStyle w:val="9"/>
        <w:spacing w:beforeAutospacing="0" w:afterAutospacing="0" w:line="440" w:lineRule="exact"/>
        <w:jc w:val="center"/>
        <w:outlineLvl w:val="9"/>
        <w:rPr>
          <w:rFonts w:ascii="宋体" w:hAnsi="宋体" w:eastAsia="宋体" w:cs="宋体"/>
        </w:rPr>
      </w:pPr>
    </w:p>
    <w:p w14:paraId="48FF5C33">
      <w:pPr>
        <w:pStyle w:val="9"/>
        <w:spacing w:beforeAutospacing="0" w:afterAutospacing="0" w:line="440" w:lineRule="exact"/>
        <w:jc w:val="center"/>
        <w:outlineLvl w:val="9"/>
        <w:rPr>
          <w:rFonts w:ascii="宋体" w:hAnsi="宋体" w:eastAsia="宋体" w:cs="宋体"/>
        </w:rPr>
      </w:pPr>
    </w:p>
    <w:p w14:paraId="42FE3959">
      <w:pPr>
        <w:pStyle w:val="9"/>
        <w:spacing w:beforeAutospacing="0" w:afterAutospacing="0" w:line="440" w:lineRule="exact"/>
        <w:jc w:val="center"/>
        <w:outlineLvl w:val="9"/>
        <w:rPr>
          <w:rFonts w:ascii="宋体" w:hAnsi="宋体" w:eastAsia="宋体" w:cs="宋体"/>
        </w:rPr>
      </w:pPr>
    </w:p>
    <w:p w14:paraId="39F68751">
      <w:pPr>
        <w:pStyle w:val="9"/>
        <w:spacing w:beforeAutospacing="0" w:afterAutospacing="0" w:line="440" w:lineRule="exact"/>
        <w:jc w:val="center"/>
        <w:outlineLvl w:val="9"/>
        <w:rPr>
          <w:rFonts w:ascii="宋体" w:hAnsi="宋体" w:eastAsia="宋体" w:cs="宋体"/>
        </w:rPr>
      </w:pPr>
    </w:p>
    <w:p w14:paraId="56D5EC21">
      <w:pPr>
        <w:pStyle w:val="9"/>
        <w:spacing w:beforeAutospacing="0" w:afterAutospacing="0" w:line="440" w:lineRule="exact"/>
        <w:jc w:val="center"/>
        <w:outlineLvl w:val="9"/>
        <w:rPr>
          <w:rFonts w:ascii="宋体" w:hAnsi="宋体" w:eastAsia="宋体" w:cs="宋体"/>
        </w:rPr>
      </w:pPr>
    </w:p>
    <w:p w14:paraId="10F3D104">
      <w:pPr>
        <w:pStyle w:val="9"/>
        <w:spacing w:beforeAutospacing="0" w:afterAutospacing="0" w:line="440" w:lineRule="exact"/>
        <w:jc w:val="center"/>
        <w:outlineLvl w:val="9"/>
        <w:rPr>
          <w:rFonts w:ascii="宋体" w:hAnsi="宋体" w:eastAsia="宋体" w:cs="宋体"/>
        </w:rPr>
      </w:pPr>
    </w:p>
    <w:p w14:paraId="1D0064CB">
      <w:pPr>
        <w:pStyle w:val="9"/>
        <w:spacing w:beforeAutospacing="0" w:afterAutospacing="0" w:line="440" w:lineRule="exact"/>
        <w:jc w:val="center"/>
        <w:outlineLvl w:val="9"/>
        <w:rPr>
          <w:rFonts w:ascii="宋体" w:hAnsi="宋体" w:eastAsia="宋体" w:cs="宋体"/>
        </w:rPr>
      </w:pPr>
    </w:p>
    <w:p w14:paraId="6C90667F">
      <w:pPr>
        <w:pStyle w:val="9"/>
        <w:spacing w:beforeAutospacing="0" w:afterAutospacing="0" w:line="440" w:lineRule="exact"/>
        <w:jc w:val="center"/>
        <w:outlineLvl w:val="9"/>
        <w:rPr>
          <w:rFonts w:ascii="宋体" w:hAnsi="宋体" w:eastAsia="宋体" w:cs="宋体"/>
        </w:rPr>
      </w:pPr>
    </w:p>
    <w:p w14:paraId="48A46567">
      <w:pPr>
        <w:pStyle w:val="9"/>
        <w:spacing w:beforeAutospacing="0" w:afterAutospacing="0" w:line="440" w:lineRule="exact"/>
        <w:jc w:val="center"/>
        <w:outlineLvl w:val="9"/>
        <w:rPr>
          <w:rFonts w:ascii="宋体" w:hAnsi="宋体" w:eastAsia="宋体" w:cs="宋体"/>
        </w:rPr>
      </w:pPr>
    </w:p>
    <w:p w14:paraId="6399C562">
      <w:pPr>
        <w:pStyle w:val="9"/>
        <w:spacing w:beforeAutospacing="0" w:afterAutospacing="0" w:line="440" w:lineRule="exact"/>
        <w:jc w:val="both"/>
        <w:outlineLvl w:val="9"/>
        <w:rPr>
          <w:rFonts w:ascii="宋体" w:hAnsi="宋体" w:eastAsia="宋体" w:cs="宋体"/>
        </w:rPr>
      </w:pPr>
    </w:p>
    <w:p w14:paraId="66AEAF75">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b/>
          <w:color w:val="000000"/>
          <w:sz w:val="32"/>
          <w:szCs w:val="32"/>
        </w:rPr>
        <w:t>十一、投标分项报价表</w:t>
      </w:r>
    </w:p>
    <w:tbl>
      <w:tblPr>
        <w:tblStyle w:val="7"/>
        <w:tblW w:w="8518" w:type="dxa"/>
        <w:tblCellSpacing w:w="0" w:type="dxa"/>
        <w:tblInd w:w="-108" w:type="dxa"/>
        <w:tblLayout w:type="fixed"/>
        <w:tblCellMar>
          <w:top w:w="0" w:type="dxa"/>
          <w:left w:w="108" w:type="dxa"/>
          <w:bottom w:w="0" w:type="dxa"/>
          <w:right w:w="108" w:type="dxa"/>
        </w:tblCellMar>
      </w:tblPr>
      <w:tblGrid>
        <w:gridCol w:w="924"/>
        <w:gridCol w:w="1217"/>
        <w:gridCol w:w="1205"/>
        <w:gridCol w:w="878"/>
        <w:gridCol w:w="1129"/>
        <w:gridCol w:w="1502"/>
        <w:gridCol w:w="1663"/>
      </w:tblGrid>
      <w:tr w14:paraId="3F34C298">
        <w:tblPrEx>
          <w:tblCellMar>
            <w:top w:w="0" w:type="dxa"/>
            <w:left w:w="108" w:type="dxa"/>
            <w:bottom w:w="0" w:type="dxa"/>
            <w:right w:w="108" w:type="dxa"/>
          </w:tblCellMar>
        </w:tblPrEx>
        <w:trPr>
          <w:trHeight w:val="544" w:hRule="atLeast"/>
          <w:tblCellSpacing w:w="0" w:type="dxa"/>
        </w:trPr>
        <w:tc>
          <w:tcPr>
            <w:tcW w:w="924" w:type="dxa"/>
            <w:vMerge w:val="restart"/>
            <w:tcBorders>
              <w:top w:val="single" w:color="000000" w:sz="4" w:space="0"/>
              <w:left w:val="single" w:color="000000" w:sz="4" w:space="0"/>
              <w:bottom w:val="single" w:color="000000" w:sz="4" w:space="0"/>
              <w:right w:val="single" w:color="000000" w:sz="4" w:space="0"/>
            </w:tcBorders>
            <w:noWrap w:val="0"/>
            <w:vAlign w:val="center"/>
          </w:tcPr>
          <w:p w14:paraId="45B94222">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color w:val="000000"/>
              </w:rPr>
              <w:t>序号</w:t>
            </w:r>
          </w:p>
        </w:tc>
        <w:tc>
          <w:tcPr>
            <w:tcW w:w="1217" w:type="dxa"/>
            <w:tcBorders>
              <w:top w:val="single" w:color="000000" w:sz="4" w:space="0"/>
              <w:left w:val="single" w:color="000000" w:sz="4" w:space="0"/>
              <w:bottom w:val="single" w:color="000000" w:sz="4" w:space="0"/>
              <w:right w:val="single" w:color="000000" w:sz="4" w:space="0"/>
            </w:tcBorders>
            <w:noWrap w:val="0"/>
            <w:vAlign w:val="center"/>
          </w:tcPr>
          <w:p w14:paraId="13B10D35">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color w:val="000000"/>
              </w:rPr>
              <w:t>1</w:t>
            </w: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1FB89F29">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color w:val="000000"/>
              </w:rPr>
              <w:t>2</w:t>
            </w:r>
          </w:p>
        </w:tc>
        <w:tc>
          <w:tcPr>
            <w:tcW w:w="878" w:type="dxa"/>
            <w:tcBorders>
              <w:top w:val="single" w:color="000000" w:sz="4" w:space="0"/>
              <w:left w:val="single" w:color="000000" w:sz="4" w:space="0"/>
              <w:bottom w:val="single" w:color="000000" w:sz="4" w:space="0"/>
              <w:right w:val="single" w:color="000000" w:sz="4" w:space="0"/>
            </w:tcBorders>
            <w:noWrap w:val="0"/>
            <w:vAlign w:val="center"/>
          </w:tcPr>
          <w:p w14:paraId="61DE127C">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color w:val="000000"/>
              </w:rPr>
              <w:t>3</w:t>
            </w:r>
          </w:p>
        </w:tc>
        <w:tc>
          <w:tcPr>
            <w:tcW w:w="1129" w:type="dxa"/>
            <w:tcBorders>
              <w:top w:val="single" w:color="000000" w:sz="4" w:space="0"/>
              <w:left w:val="single" w:color="000000" w:sz="4" w:space="0"/>
              <w:bottom w:val="single" w:color="000000" w:sz="4" w:space="0"/>
              <w:right w:val="single" w:color="000000" w:sz="4" w:space="0"/>
            </w:tcBorders>
            <w:noWrap w:val="0"/>
            <w:vAlign w:val="center"/>
          </w:tcPr>
          <w:p w14:paraId="3BD4E190">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color w:val="000000"/>
              </w:rPr>
              <w:t>4</w:t>
            </w:r>
          </w:p>
        </w:tc>
        <w:tc>
          <w:tcPr>
            <w:tcW w:w="1502" w:type="dxa"/>
            <w:tcBorders>
              <w:top w:val="single" w:color="000000" w:sz="4" w:space="0"/>
              <w:left w:val="single" w:color="000000" w:sz="4" w:space="0"/>
              <w:bottom w:val="single" w:color="000000" w:sz="4" w:space="0"/>
              <w:right w:val="single" w:color="000000" w:sz="4" w:space="0"/>
            </w:tcBorders>
            <w:noWrap w:val="0"/>
            <w:vAlign w:val="center"/>
          </w:tcPr>
          <w:p w14:paraId="7C309C99">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color w:val="000000"/>
              </w:rPr>
              <w:t>5</w:t>
            </w:r>
          </w:p>
        </w:tc>
        <w:tc>
          <w:tcPr>
            <w:tcW w:w="1663" w:type="dxa"/>
            <w:tcBorders>
              <w:top w:val="single" w:color="000000" w:sz="4" w:space="0"/>
              <w:left w:val="single" w:color="000000" w:sz="4" w:space="0"/>
              <w:bottom w:val="single" w:color="000000" w:sz="4" w:space="0"/>
              <w:right w:val="single" w:color="000000" w:sz="4" w:space="0"/>
            </w:tcBorders>
            <w:noWrap w:val="0"/>
            <w:vAlign w:val="center"/>
          </w:tcPr>
          <w:p w14:paraId="37170C18">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color w:val="000000"/>
              </w:rPr>
              <w:t>6</w:t>
            </w:r>
          </w:p>
        </w:tc>
      </w:tr>
      <w:tr w14:paraId="30D903B1">
        <w:tblPrEx>
          <w:tblCellMar>
            <w:top w:w="0" w:type="dxa"/>
            <w:left w:w="108" w:type="dxa"/>
            <w:bottom w:w="0" w:type="dxa"/>
            <w:right w:w="108" w:type="dxa"/>
          </w:tblCellMar>
        </w:tblPrEx>
        <w:trPr>
          <w:trHeight w:val="294" w:hRule="atLeast"/>
          <w:tblCellSpacing w:w="0" w:type="dxa"/>
        </w:trPr>
        <w:tc>
          <w:tcPr>
            <w:tcW w:w="9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144A88">
            <w:pPr>
              <w:spacing w:line="440" w:lineRule="exact"/>
              <w:outlineLvl w:val="9"/>
              <w:rPr>
                <w:rFonts w:ascii="宋体" w:hAnsi="宋体" w:eastAsia="宋体" w:cs="宋体"/>
                <w:sz w:val="24"/>
              </w:rPr>
            </w:pPr>
          </w:p>
        </w:tc>
        <w:tc>
          <w:tcPr>
            <w:tcW w:w="1217" w:type="dxa"/>
            <w:tcBorders>
              <w:top w:val="single" w:color="000000" w:sz="4" w:space="0"/>
              <w:left w:val="single" w:color="000000" w:sz="4" w:space="0"/>
              <w:bottom w:val="single" w:color="000000" w:sz="4" w:space="0"/>
              <w:right w:val="single" w:color="000000" w:sz="4" w:space="0"/>
            </w:tcBorders>
            <w:noWrap w:val="0"/>
            <w:vAlign w:val="center"/>
          </w:tcPr>
          <w:p w14:paraId="7F606622">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color w:val="000000"/>
              </w:rPr>
              <w:t>分项服务名称</w:t>
            </w: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008D9CEE">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color w:val="000000"/>
              </w:rPr>
              <w:t>交付期</w:t>
            </w:r>
          </w:p>
        </w:tc>
        <w:tc>
          <w:tcPr>
            <w:tcW w:w="878" w:type="dxa"/>
            <w:tcBorders>
              <w:top w:val="single" w:color="000000" w:sz="4" w:space="0"/>
              <w:left w:val="single" w:color="000000" w:sz="4" w:space="0"/>
              <w:bottom w:val="single" w:color="000000" w:sz="4" w:space="0"/>
              <w:right w:val="single" w:color="000000" w:sz="4" w:space="0"/>
            </w:tcBorders>
            <w:noWrap w:val="0"/>
            <w:vAlign w:val="center"/>
          </w:tcPr>
          <w:p w14:paraId="2CA10BB6">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color w:val="000000"/>
              </w:rPr>
              <w:t>分项单位</w:t>
            </w:r>
          </w:p>
        </w:tc>
        <w:tc>
          <w:tcPr>
            <w:tcW w:w="1129" w:type="dxa"/>
            <w:tcBorders>
              <w:top w:val="single" w:color="000000" w:sz="4" w:space="0"/>
              <w:left w:val="single" w:color="000000" w:sz="4" w:space="0"/>
              <w:bottom w:val="single" w:color="000000" w:sz="4" w:space="0"/>
              <w:right w:val="single" w:color="000000" w:sz="4" w:space="0"/>
            </w:tcBorders>
            <w:noWrap w:val="0"/>
            <w:vAlign w:val="center"/>
          </w:tcPr>
          <w:p w14:paraId="5DF54683">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color w:val="000000"/>
              </w:rPr>
              <w:t>数量</w:t>
            </w:r>
          </w:p>
        </w:tc>
        <w:tc>
          <w:tcPr>
            <w:tcW w:w="1502" w:type="dxa"/>
            <w:tcBorders>
              <w:top w:val="single" w:color="000000" w:sz="4" w:space="0"/>
              <w:left w:val="single" w:color="000000" w:sz="4" w:space="0"/>
              <w:bottom w:val="single" w:color="000000" w:sz="4" w:space="0"/>
              <w:right w:val="single" w:color="000000" w:sz="4" w:space="0"/>
            </w:tcBorders>
            <w:noWrap w:val="0"/>
            <w:vAlign w:val="center"/>
          </w:tcPr>
          <w:p w14:paraId="741740F0">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color w:val="000000"/>
              </w:rPr>
              <w:t>分项</w:t>
            </w:r>
          </w:p>
          <w:p w14:paraId="29E89140">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color w:val="000000"/>
              </w:rPr>
              <w:t>单价</w:t>
            </w:r>
          </w:p>
        </w:tc>
        <w:tc>
          <w:tcPr>
            <w:tcW w:w="1663" w:type="dxa"/>
            <w:tcBorders>
              <w:top w:val="single" w:color="000000" w:sz="4" w:space="0"/>
              <w:left w:val="single" w:color="000000" w:sz="4" w:space="0"/>
              <w:bottom w:val="single" w:color="000000" w:sz="4" w:space="0"/>
              <w:right w:val="single" w:color="000000" w:sz="4" w:space="0"/>
            </w:tcBorders>
            <w:noWrap w:val="0"/>
            <w:vAlign w:val="center"/>
          </w:tcPr>
          <w:p w14:paraId="4014E91E">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color w:val="000000"/>
              </w:rPr>
              <w:t>分项</w:t>
            </w:r>
          </w:p>
          <w:p w14:paraId="298998E6">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color w:val="000000"/>
              </w:rPr>
              <w:t>总价</w:t>
            </w:r>
          </w:p>
        </w:tc>
      </w:tr>
      <w:tr w14:paraId="34BE3248">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noWrap w:val="0"/>
            <w:vAlign w:val="center"/>
          </w:tcPr>
          <w:p w14:paraId="4B4A8CB6">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color w:val="000000"/>
              </w:rPr>
              <w:t>1</w:t>
            </w:r>
          </w:p>
        </w:tc>
        <w:tc>
          <w:tcPr>
            <w:tcW w:w="1217" w:type="dxa"/>
            <w:tcBorders>
              <w:top w:val="single" w:color="000000" w:sz="4" w:space="0"/>
              <w:left w:val="single" w:color="000000" w:sz="4" w:space="0"/>
              <w:bottom w:val="single" w:color="000000" w:sz="4" w:space="0"/>
              <w:right w:val="single" w:color="000000" w:sz="4" w:space="0"/>
            </w:tcBorders>
            <w:noWrap w:val="0"/>
            <w:vAlign w:val="center"/>
          </w:tcPr>
          <w:p w14:paraId="753AB3E3">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1AFDF450">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878" w:type="dxa"/>
            <w:tcBorders>
              <w:top w:val="single" w:color="000000" w:sz="4" w:space="0"/>
              <w:left w:val="single" w:color="000000" w:sz="4" w:space="0"/>
              <w:bottom w:val="single" w:color="000000" w:sz="4" w:space="0"/>
              <w:right w:val="single" w:color="000000" w:sz="4" w:space="0"/>
            </w:tcBorders>
            <w:noWrap w:val="0"/>
            <w:vAlign w:val="center"/>
          </w:tcPr>
          <w:p w14:paraId="3CE2E2EE">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129" w:type="dxa"/>
            <w:tcBorders>
              <w:top w:val="single" w:color="000000" w:sz="4" w:space="0"/>
              <w:left w:val="single" w:color="000000" w:sz="4" w:space="0"/>
              <w:bottom w:val="single" w:color="000000" w:sz="4" w:space="0"/>
              <w:right w:val="single" w:color="000000" w:sz="4" w:space="0"/>
            </w:tcBorders>
            <w:noWrap w:val="0"/>
            <w:vAlign w:val="center"/>
          </w:tcPr>
          <w:p w14:paraId="13615FAC">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502" w:type="dxa"/>
            <w:tcBorders>
              <w:top w:val="single" w:color="000000" w:sz="4" w:space="0"/>
              <w:left w:val="single" w:color="000000" w:sz="4" w:space="0"/>
              <w:bottom w:val="single" w:color="000000" w:sz="4" w:space="0"/>
              <w:right w:val="single" w:color="000000" w:sz="4" w:space="0"/>
            </w:tcBorders>
            <w:noWrap w:val="0"/>
            <w:vAlign w:val="center"/>
          </w:tcPr>
          <w:p w14:paraId="3C802034">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663" w:type="dxa"/>
            <w:tcBorders>
              <w:top w:val="single" w:color="000000" w:sz="4" w:space="0"/>
              <w:left w:val="single" w:color="000000" w:sz="4" w:space="0"/>
              <w:bottom w:val="single" w:color="000000" w:sz="4" w:space="0"/>
              <w:right w:val="single" w:color="000000" w:sz="4" w:space="0"/>
            </w:tcBorders>
            <w:noWrap w:val="0"/>
            <w:vAlign w:val="center"/>
          </w:tcPr>
          <w:p w14:paraId="0021284E">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r>
      <w:tr w14:paraId="0568E4FF">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noWrap w:val="0"/>
            <w:vAlign w:val="center"/>
          </w:tcPr>
          <w:p w14:paraId="3152A402">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color w:val="000000"/>
              </w:rPr>
              <w:t>2</w:t>
            </w:r>
          </w:p>
        </w:tc>
        <w:tc>
          <w:tcPr>
            <w:tcW w:w="1217" w:type="dxa"/>
            <w:tcBorders>
              <w:top w:val="single" w:color="000000" w:sz="4" w:space="0"/>
              <w:left w:val="single" w:color="000000" w:sz="4" w:space="0"/>
              <w:bottom w:val="single" w:color="000000" w:sz="4" w:space="0"/>
              <w:right w:val="single" w:color="000000" w:sz="4" w:space="0"/>
            </w:tcBorders>
            <w:noWrap w:val="0"/>
            <w:vAlign w:val="center"/>
          </w:tcPr>
          <w:p w14:paraId="607FCF0D">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0293BAE6">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878" w:type="dxa"/>
            <w:tcBorders>
              <w:top w:val="single" w:color="000000" w:sz="4" w:space="0"/>
              <w:left w:val="single" w:color="000000" w:sz="4" w:space="0"/>
              <w:bottom w:val="single" w:color="000000" w:sz="4" w:space="0"/>
              <w:right w:val="single" w:color="000000" w:sz="4" w:space="0"/>
            </w:tcBorders>
            <w:noWrap w:val="0"/>
            <w:vAlign w:val="center"/>
          </w:tcPr>
          <w:p w14:paraId="0E1256E5">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129" w:type="dxa"/>
            <w:tcBorders>
              <w:top w:val="single" w:color="000000" w:sz="4" w:space="0"/>
              <w:left w:val="single" w:color="000000" w:sz="4" w:space="0"/>
              <w:bottom w:val="single" w:color="000000" w:sz="4" w:space="0"/>
              <w:right w:val="single" w:color="000000" w:sz="4" w:space="0"/>
            </w:tcBorders>
            <w:noWrap w:val="0"/>
            <w:vAlign w:val="center"/>
          </w:tcPr>
          <w:p w14:paraId="5641E372">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502" w:type="dxa"/>
            <w:tcBorders>
              <w:top w:val="single" w:color="000000" w:sz="4" w:space="0"/>
              <w:left w:val="single" w:color="000000" w:sz="4" w:space="0"/>
              <w:bottom w:val="single" w:color="000000" w:sz="4" w:space="0"/>
              <w:right w:val="single" w:color="000000" w:sz="4" w:space="0"/>
            </w:tcBorders>
            <w:noWrap w:val="0"/>
            <w:vAlign w:val="center"/>
          </w:tcPr>
          <w:p w14:paraId="1AF59E49">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663" w:type="dxa"/>
            <w:tcBorders>
              <w:top w:val="single" w:color="000000" w:sz="4" w:space="0"/>
              <w:left w:val="single" w:color="000000" w:sz="4" w:space="0"/>
              <w:bottom w:val="single" w:color="000000" w:sz="4" w:space="0"/>
              <w:right w:val="single" w:color="000000" w:sz="4" w:space="0"/>
            </w:tcBorders>
            <w:noWrap w:val="0"/>
            <w:vAlign w:val="center"/>
          </w:tcPr>
          <w:p w14:paraId="2B409F42">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r>
      <w:tr w14:paraId="735170C6">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noWrap w:val="0"/>
            <w:vAlign w:val="center"/>
          </w:tcPr>
          <w:p w14:paraId="1C08275A">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color w:val="000000"/>
              </w:rPr>
              <w:t>3</w:t>
            </w:r>
          </w:p>
        </w:tc>
        <w:tc>
          <w:tcPr>
            <w:tcW w:w="1217" w:type="dxa"/>
            <w:tcBorders>
              <w:top w:val="single" w:color="000000" w:sz="4" w:space="0"/>
              <w:left w:val="single" w:color="000000" w:sz="4" w:space="0"/>
              <w:bottom w:val="single" w:color="000000" w:sz="4" w:space="0"/>
              <w:right w:val="single" w:color="000000" w:sz="4" w:space="0"/>
            </w:tcBorders>
            <w:noWrap w:val="0"/>
            <w:vAlign w:val="center"/>
          </w:tcPr>
          <w:p w14:paraId="3006F3EA">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1D036A2C">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878" w:type="dxa"/>
            <w:tcBorders>
              <w:top w:val="single" w:color="000000" w:sz="4" w:space="0"/>
              <w:left w:val="single" w:color="000000" w:sz="4" w:space="0"/>
              <w:bottom w:val="single" w:color="000000" w:sz="4" w:space="0"/>
              <w:right w:val="single" w:color="000000" w:sz="4" w:space="0"/>
            </w:tcBorders>
            <w:noWrap w:val="0"/>
            <w:vAlign w:val="center"/>
          </w:tcPr>
          <w:p w14:paraId="2E76C5FE">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129" w:type="dxa"/>
            <w:tcBorders>
              <w:top w:val="single" w:color="000000" w:sz="4" w:space="0"/>
              <w:left w:val="single" w:color="000000" w:sz="4" w:space="0"/>
              <w:bottom w:val="single" w:color="000000" w:sz="4" w:space="0"/>
              <w:right w:val="single" w:color="000000" w:sz="4" w:space="0"/>
            </w:tcBorders>
            <w:noWrap w:val="0"/>
            <w:vAlign w:val="center"/>
          </w:tcPr>
          <w:p w14:paraId="60CE113C">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502" w:type="dxa"/>
            <w:tcBorders>
              <w:top w:val="single" w:color="000000" w:sz="4" w:space="0"/>
              <w:left w:val="single" w:color="000000" w:sz="4" w:space="0"/>
              <w:bottom w:val="single" w:color="000000" w:sz="4" w:space="0"/>
              <w:right w:val="single" w:color="000000" w:sz="4" w:space="0"/>
            </w:tcBorders>
            <w:noWrap w:val="0"/>
            <w:vAlign w:val="center"/>
          </w:tcPr>
          <w:p w14:paraId="34D2360C">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663" w:type="dxa"/>
            <w:tcBorders>
              <w:top w:val="single" w:color="000000" w:sz="4" w:space="0"/>
              <w:left w:val="single" w:color="000000" w:sz="4" w:space="0"/>
              <w:bottom w:val="single" w:color="000000" w:sz="4" w:space="0"/>
              <w:right w:val="single" w:color="000000" w:sz="4" w:space="0"/>
            </w:tcBorders>
            <w:noWrap w:val="0"/>
            <w:vAlign w:val="center"/>
          </w:tcPr>
          <w:p w14:paraId="3E11FE42">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r>
      <w:tr w14:paraId="2FAD1AF9">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noWrap w:val="0"/>
            <w:vAlign w:val="center"/>
          </w:tcPr>
          <w:p w14:paraId="1C33472F">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color w:val="000000"/>
              </w:rPr>
              <w:t>……</w:t>
            </w:r>
          </w:p>
        </w:tc>
        <w:tc>
          <w:tcPr>
            <w:tcW w:w="1217" w:type="dxa"/>
            <w:tcBorders>
              <w:top w:val="single" w:color="000000" w:sz="4" w:space="0"/>
              <w:left w:val="single" w:color="000000" w:sz="4" w:space="0"/>
              <w:bottom w:val="single" w:color="000000" w:sz="4" w:space="0"/>
              <w:right w:val="single" w:color="000000" w:sz="4" w:space="0"/>
            </w:tcBorders>
            <w:noWrap w:val="0"/>
            <w:vAlign w:val="center"/>
          </w:tcPr>
          <w:p w14:paraId="532609AD">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color w:val="000000"/>
              </w:rPr>
              <w:t>……</w:t>
            </w: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5DD3DC52">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878" w:type="dxa"/>
            <w:tcBorders>
              <w:top w:val="single" w:color="000000" w:sz="4" w:space="0"/>
              <w:left w:val="single" w:color="000000" w:sz="4" w:space="0"/>
              <w:bottom w:val="single" w:color="000000" w:sz="4" w:space="0"/>
              <w:right w:val="single" w:color="000000" w:sz="4" w:space="0"/>
            </w:tcBorders>
            <w:noWrap w:val="0"/>
            <w:vAlign w:val="center"/>
          </w:tcPr>
          <w:p w14:paraId="1D77630B">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129" w:type="dxa"/>
            <w:tcBorders>
              <w:top w:val="single" w:color="000000" w:sz="4" w:space="0"/>
              <w:left w:val="single" w:color="000000" w:sz="4" w:space="0"/>
              <w:bottom w:val="single" w:color="000000" w:sz="4" w:space="0"/>
              <w:right w:val="single" w:color="000000" w:sz="4" w:space="0"/>
            </w:tcBorders>
            <w:noWrap w:val="0"/>
            <w:vAlign w:val="center"/>
          </w:tcPr>
          <w:p w14:paraId="4EA1BCC3">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502" w:type="dxa"/>
            <w:tcBorders>
              <w:top w:val="single" w:color="000000" w:sz="4" w:space="0"/>
              <w:left w:val="single" w:color="000000" w:sz="4" w:space="0"/>
              <w:bottom w:val="single" w:color="000000" w:sz="4" w:space="0"/>
              <w:right w:val="single" w:color="000000" w:sz="4" w:space="0"/>
            </w:tcBorders>
            <w:noWrap w:val="0"/>
            <w:vAlign w:val="center"/>
          </w:tcPr>
          <w:p w14:paraId="6FC1E0EE">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663" w:type="dxa"/>
            <w:tcBorders>
              <w:top w:val="single" w:color="000000" w:sz="4" w:space="0"/>
              <w:left w:val="single" w:color="000000" w:sz="4" w:space="0"/>
              <w:bottom w:val="single" w:color="000000" w:sz="4" w:space="0"/>
              <w:right w:val="single" w:color="000000" w:sz="4" w:space="0"/>
            </w:tcBorders>
            <w:noWrap w:val="0"/>
            <w:vAlign w:val="center"/>
          </w:tcPr>
          <w:p w14:paraId="78ADD63F">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r>
      <w:tr w14:paraId="10ED4320">
        <w:tblPrEx>
          <w:tblCellMar>
            <w:top w:w="0" w:type="dxa"/>
            <w:left w:w="108" w:type="dxa"/>
            <w:bottom w:w="0" w:type="dxa"/>
            <w:right w:w="108" w:type="dxa"/>
          </w:tblCellMar>
        </w:tblPrEx>
        <w:trPr>
          <w:trHeight w:val="487" w:hRule="atLeast"/>
          <w:tblCellSpacing w:w="0" w:type="dxa"/>
        </w:trPr>
        <w:tc>
          <w:tcPr>
            <w:tcW w:w="6855" w:type="dxa"/>
            <w:gridSpan w:val="6"/>
            <w:tcBorders>
              <w:top w:val="single" w:color="000000" w:sz="4" w:space="0"/>
              <w:left w:val="single" w:color="000000" w:sz="4" w:space="0"/>
              <w:bottom w:val="single" w:color="000000" w:sz="4" w:space="0"/>
              <w:right w:val="single" w:color="000000" w:sz="4" w:space="0"/>
            </w:tcBorders>
            <w:noWrap w:val="0"/>
            <w:vAlign w:val="center"/>
          </w:tcPr>
          <w:p w14:paraId="5A35B111">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color w:val="000000"/>
              </w:rPr>
              <w:t>投标总报价（人民币：元）</w:t>
            </w:r>
          </w:p>
        </w:tc>
        <w:tc>
          <w:tcPr>
            <w:tcW w:w="1663" w:type="dxa"/>
            <w:tcBorders>
              <w:top w:val="single" w:color="000000" w:sz="4" w:space="0"/>
              <w:left w:val="single" w:color="000000" w:sz="4" w:space="0"/>
              <w:bottom w:val="single" w:color="000000" w:sz="4" w:space="0"/>
              <w:right w:val="single" w:color="000000" w:sz="4" w:space="0"/>
            </w:tcBorders>
            <w:noWrap w:val="0"/>
            <w:vAlign w:val="center"/>
          </w:tcPr>
          <w:p w14:paraId="703D07B7">
            <w:pPr>
              <w:pStyle w:val="9"/>
              <w:spacing w:beforeAutospacing="0" w:afterAutospacing="0" w:line="440" w:lineRule="exact"/>
              <w:jc w:val="both"/>
              <w:outlineLvl w:val="9"/>
              <w:rPr>
                <w:rFonts w:ascii="宋体" w:hAnsi="宋体" w:eastAsia="宋体" w:cs="宋体"/>
              </w:rPr>
            </w:pPr>
            <w:r>
              <w:rPr>
                <w:rFonts w:hint="eastAsia" w:ascii="宋体" w:hAnsi="宋体" w:eastAsia="宋体" w:cs="宋体"/>
              </w:rPr>
              <w:t> </w:t>
            </w:r>
          </w:p>
        </w:tc>
      </w:tr>
    </w:tbl>
    <w:p w14:paraId="78D985F8">
      <w:pPr>
        <w:pStyle w:val="9"/>
        <w:spacing w:beforeAutospacing="0" w:afterAutospacing="0" w:line="440" w:lineRule="exact"/>
        <w:jc w:val="both"/>
        <w:outlineLvl w:val="9"/>
        <w:rPr>
          <w:rFonts w:ascii="宋体" w:hAnsi="宋体" w:eastAsia="宋体" w:cs="宋体"/>
        </w:rPr>
      </w:pPr>
      <w:r>
        <w:rPr>
          <w:rFonts w:hint="eastAsia" w:ascii="宋体" w:hAnsi="宋体" w:eastAsia="宋体" w:cs="宋体"/>
          <w:color w:val="000000"/>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p>
    <w:p w14:paraId="20702535">
      <w:pPr>
        <w:pStyle w:val="9"/>
        <w:spacing w:beforeAutospacing="0" w:afterAutospacing="0" w:line="440" w:lineRule="exact"/>
        <w:jc w:val="center"/>
        <w:outlineLvl w:val="9"/>
        <w:rPr>
          <w:rFonts w:ascii="宋体" w:hAnsi="宋体" w:eastAsia="宋体" w:cs="宋体"/>
        </w:rPr>
      </w:pPr>
    </w:p>
    <w:p w14:paraId="0A0FA393">
      <w:pPr>
        <w:pStyle w:val="9"/>
        <w:spacing w:beforeAutospacing="0" w:afterAutospacing="0" w:line="440" w:lineRule="exact"/>
        <w:jc w:val="center"/>
        <w:outlineLvl w:val="9"/>
        <w:rPr>
          <w:rFonts w:ascii="宋体" w:hAnsi="宋体" w:eastAsia="宋体" w:cs="宋体"/>
        </w:rPr>
      </w:pPr>
    </w:p>
    <w:p w14:paraId="79DB017D">
      <w:pPr>
        <w:pStyle w:val="9"/>
        <w:spacing w:beforeAutospacing="0" w:afterAutospacing="0" w:line="440" w:lineRule="exact"/>
        <w:jc w:val="center"/>
        <w:outlineLvl w:val="9"/>
        <w:rPr>
          <w:rFonts w:ascii="宋体" w:hAnsi="宋体" w:eastAsia="宋体" w:cs="宋体"/>
        </w:rPr>
      </w:pPr>
    </w:p>
    <w:p w14:paraId="267D9E74">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p w14:paraId="08BEA904">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p w14:paraId="7141C630">
      <w:pPr>
        <w:pStyle w:val="9"/>
        <w:tabs>
          <w:tab w:val="left" w:pos="4864"/>
        </w:tabs>
        <w:spacing w:beforeAutospacing="0" w:afterAutospacing="0" w:line="440" w:lineRule="exact"/>
        <w:ind w:right="1560" w:firstLine="624"/>
        <w:jc w:val="center"/>
        <w:outlineLvl w:val="9"/>
        <w:rPr>
          <w:rFonts w:ascii="宋体" w:hAnsi="宋体" w:eastAsia="宋体" w:cs="宋体"/>
        </w:rPr>
      </w:pPr>
      <w:r>
        <w:rPr>
          <w:rFonts w:hint="eastAsia" w:ascii="宋体" w:hAnsi="宋体" w:eastAsia="宋体" w:cs="宋体"/>
        </w:rPr>
        <w:t> </w:t>
      </w:r>
      <w:r>
        <w:rPr>
          <w:rFonts w:hint="eastAsia" w:ascii="宋体" w:hAnsi="宋体" w:eastAsia="宋体" w:cs="宋体"/>
          <w:color w:val="000000"/>
        </w:rPr>
        <w:t>供应商全称（加盖CA电子公章）：</w:t>
      </w:r>
    </w:p>
    <w:p w14:paraId="5F87C71C">
      <w:pPr>
        <w:pStyle w:val="9"/>
        <w:tabs>
          <w:tab w:val="left" w:pos="4864"/>
        </w:tabs>
        <w:spacing w:beforeAutospacing="0" w:afterAutospacing="0" w:line="440" w:lineRule="exact"/>
        <w:ind w:right="1560" w:firstLine="480"/>
        <w:jc w:val="center"/>
        <w:outlineLvl w:val="9"/>
        <w:rPr>
          <w:rFonts w:ascii="宋体" w:hAnsi="宋体" w:eastAsia="宋体" w:cs="宋体"/>
        </w:rPr>
      </w:pPr>
      <w:r>
        <w:rPr>
          <w:rFonts w:hint="eastAsia" w:ascii="宋体" w:hAnsi="宋体" w:eastAsia="宋体" w:cs="宋体"/>
          <w:color w:val="000000"/>
        </w:rPr>
        <w:t>        日  期：</w:t>
      </w:r>
    </w:p>
    <w:p w14:paraId="58B826F9">
      <w:pPr>
        <w:pStyle w:val="9"/>
        <w:spacing w:beforeAutospacing="0" w:afterAutospacing="0" w:line="440" w:lineRule="exact"/>
        <w:jc w:val="center"/>
        <w:outlineLvl w:val="9"/>
        <w:rPr>
          <w:rFonts w:ascii="宋体" w:hAnsi="宋体" w:eastAsia="宋体" w:cs="宋体"/>
        </w:rPr>
      </w:pPr>
    </w:p>
    <w:p w14:paraId="03EA1736">
      <w:pPr>
        <w:pStyle w:val="9"/>
        <w:spacing w:beforeAutospacing="0" w:afterAutospacing="0" w:line="440" w:lineRule="exact"/>
        <w:jc w:val="center"/>
        <w:outlineLvl w:val="9"/>
        <w:rPr>
          <w:rFonts w:ascii="宋体" w:hAnsi="宋体" w:eastAsia="宋体" w:cs="宋体"/>
        </w:rPr>
      </w:pPr>
    </w:p>
    <w:p w14:paraId="6EF4248E">
      <w:pPr>
        <w:pStyle w:val="9"/>
        <w:spacing w:beforeAutospacing="0" w:afterAutospacing="0" w:line="440" w:lineRule="exact"/>
        <w:jc w:val="center"/>
        <w:outlineLvl w:val="9"/>
        <w:rPr>
          <w:rFonts w:ascii="宋体" w:hAnsi="宋体" w:eastAsia="宋体" w:cs="宋体"/>
        </w:rPr>
      </w:pPr>
    </w:p>
    <w:p w14:paraId="5384B398">
      <w:pPr>
        <w:pStyle w:val="9"/>
        <w:spacing w:beforeAutospacing="0" w:afterAutospacing="0" w:line="440" w:lineRule="exact"/>
        <w:jc w:val="center"/>
        <w:outlineLvl w:val="9"/>
        <w:rPr>
          <w:rFonts w:ascii="宋体" w:hAnsi="宋体" w:eastAsia="宋体" w:cs="宋体"/>
        </w:rPr>
      </w:pPr>
    </w:p>
    <w:p w14:paraId="6B8D00D2">
      <w:pPr>
        <w:pStyle w:val="9"/>
        <w:spacing w:beforeAutospacing="0" w:afterAutospacing="0" w:line="440" w:lineRule="exact"/>
        <w:jc w:val="center"/>
        <w:outlineLvl w:val="9"/>
        <w:rPr>
          <w:rFonts w:ascii="宋体" w:hAnsi="宋体" w:eastAsia="宋体" w:cs="宋体"/>
        </w:rPr>
      </w:pPr>
    </w:p>
    <w:p w14:paraId="3CC257E0">
      <w:pPr>
        <w:pStyle w:val="9"/>
        <w:spacing w:beforeAutospacing="0" w:afterAutospacing="0" w:line="440" w:lineRule="exact"/>
        <w:jc w:val="center"/>
        <w:outlineLvl w:val="9"/>
        <w:rPr>
          <w:rFonts w:ascii="宋体" w:hAnsi="宋体" w:eastAsia="宋体" w:cs="宋体"/>
        </w:rPr>
      </w:pPr>
    </w:p>
    <w:p w14:paraId="7D786395">
      <w:pPr>
        <w:pStyle w:val="9"/>
        <w:spacing w:beforeAutospacing="0" w:afterAutospacing="0" w:line="440" w:lineRule="exact"/>
        <w:jc w:val="center"/>
        <w:outlineLvl w:val="9"/>
        <w:rPr>
          <w:rFonts w:ascii="宋体" w:hAnsi="宋体" w:eastAsia="宋体" w:cs="宋体"/>
        </w:rPr>
      </w:pPr>
    </w:p>
    <w:p w14:paraId="0D5C94EA">
      <w:pPr>
        <w:pStyle w:val="9"/>
        <w:spacing w:beforeAutospacing="0" w:afterAutospacing="0" w:line="440" w:lineRule="exact"/>
        <w:jc w:val="center"/>
        <w:outlineLvl w:val="9"/>
        <w:rPr>
          <w:rFonts w:ascii="宋体" w:hAnsi="宋体" w:eastAsia="宋体" w:cs="宋体"/>
        </w:rPr>
      </w:pPr>
    </w:p>
    <w:p w14:paraId="2B84E1EA">
      <w:pPr>
        <w:pStyle w:val="9"/>
        <w:spacing w:beforeAutospacing="0" w:afterAutospacing="0" w:line="440" w:lineRule="exact"/>
        <w:jc w:val="both"/>
        <w:outlineLvl w:val="9"/>
        <w:rPr>
          <w:rFonts w:ascii="宋体" w:hAnsi="宋体" w:eastAsia="宋体" w:cs="宋体"/>
        </w:rPr>
      </w:pPr>
    </w:p>
    <w:p w14:paraId="1EDFE923">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b/>
          <w:color w:val="000000"/>
          <w:sz w:val="32"/>
          <w:szCs w:val="32"/>
        </w:rPr>
        <w:t>十二、技术要求响应及偏离表</w:t>
      </w:r>
    </w:p>
    <w:tbl>
      <w:tblPr>
        <w:tblStyle w:val="7"/>
        <w:tblW w:w="8520" w:type="dxa"/>
        <w:tblCellSpacing w:w="0" w:type="dxa"/>
        <w:tblInd w:w="-108" w:type="dxa"/>
        <w:tblLayout w:type="fixed"/>
        <w:tblCellMar>
          <w:top w:w="0" w:type="dxa"/>
          <w:left w:w="108" w:type="dxa"/>
          <w:bottom w:w="0" w:type="dxa"/>
          <w:right w:w="108" w:type="dxa"/>
        </w:tblCellMar>
      </w:tblPr>
      <w:tblGrid>
        <w:gridCol w:w="538"/>
        <w:gridCol w:w="3026"/>
        <w:gridCol w:w="2608"/>
        <w:gridCol w:w="1247"/>
        <w:gridCol w:w="1101"/>
      </w:tblGrid>
      <w:tr w14:paraId="7663981C">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45FF6189">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color w:val="000000"/>
              </w:rPr>
              <w:t>序号</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84D1C97">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color w:val="000000"/>
              </w:rPr>
              <w:t>招标文件要求</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308179D">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color w:val="000000"/>
              </w:rPr>
              <w:t>投标响应情况</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424C478">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color w:val="000000"/>
              </w:rPr>
              <w:t>超出、符合或偏离</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D00EA89">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color w:val="000000"/>
              </w:rPr>
              <w:t>证明</w:t>
            </w:r>
          </w:p>
          <w:p w14:paraId="71B4DCC0">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color w:val="000000"/>
              </w:rPr>
              <w:t>材料</w:t>
            </w:r>
          </w:p>
        </w:tc>
      </w:tr>
      <w:tr w14:paraId="7BE70BA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1B70F06">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6BE5F68B">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8289A91">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5E276DB8">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45D81A57">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r>
      <w:tr w14:paraId="46214D8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0AC2490D">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68F8F30D">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616D2CF9">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FF35356">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C3FF758">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r>
      <w:tr w14:paraId="0F6DDD9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B67AEE0">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62E9AC03">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60B78FFC">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FF822BC">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4376BB87">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r>
      <w:tr w14:paraId="54D0752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43A8AB4">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6A0D3A79">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2BED3F5F">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D8DC169">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7E2C7B4">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r>
      <w:tr w14:paraId="1F70410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1E90B99C">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1849DFA4">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2F269D97">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5D45B14">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16A71F4">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r>
      <w:tr w14:paraId="2144BFB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4C033719">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46C01E44">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3FC1A45">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3EDEE40C">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EA87E9E">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r>
      <w:tr w14:paraId="5423350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4F518332">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37B452C2">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587D3C2A">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A488F88">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0B8EBCD">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r>
      <w:tr w14:paraId="005C5D3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0ADAC40C">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34F0C322">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color w:val="000000"/>
              </w:rPr>
              <w:t>……</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2A591C38">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4058647">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5467FC0">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r>
    </w:tbl>
    <w:p w14:paraId="2789A236">
      <w:pPr>
        <w:pStyle w:val="9"/>
        <w:spacing w:beforeAutospacing="0" w:afterAutospacing="0" w:line="440" w:lineRule="exact"/>
        <w:jc w:val="both"/>
        <w:outlineLvl w:val="9"/>
        <w:rPr>
          <w:rFonts w:ascii="宋体" w:hAnsi="宋体" w:eastAsia="宋体" w:cs="宋体"/>
        </w:rPr>
      </w:pPr>
      <w:r>
        <w:rPr>
          <w:rFonts w:hint="eastAsia" w:ascii="宋体" w:hAnsi="宋体" w:eastAsia="宋体" w:cs="宋体"/>
          <w:color w:val="000000"/>
        </w:rPr>
        <w:t>注： 行数不够，可自行添加。</w:t>
      </w:r>
    </w:p>
    <w:p w14:paraId="521FF4A0">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p w14:paraId="6156D909">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p w14:paraId="0009AD44">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p w14:paraId="7AD0CA35">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p w14:paraId="76B65EC3">
      <w:pPr>
        <w:pStyle w:val="9"/>
        <w:spacing w:beforeAutospacing="0" w:afterAutospacing="0" w:line="440" w:lineRule="exact"/>
        <w:jc w:val="both"/>
        <w:outlineLvl w:val="9"/>
        <w:rPr>
          <w:rFonts w:ascii="宋体" w:hAnsi="宋体" w:eastAsia="宋体" w:cs="宋体"/>
        </w:rPr>
      </w:pPr>
      <w:r>
        <w:rPr>
          <w:rFonts w:hint="eastAsia" w:ascii="宋体" w:hAnsi="宋体" w:eastAsia="宋体" w:cs="宋体"/>
        </w:rPr>
        <w:t> </w:t>
      </w:r>
    </w:p>
    <w:p w14:paraId="01C0137C">
      <w:pPr>
        <w:pStyle w:val="9"/>
        <w:tabs>
          <w:tab w:val="left" w:pos="4864"/>
        </w:tabs>
        <w:spacing w:beforeAutospacing="0" w:afterAutospacing="0" w:line="440" w:lineRule="exact"/>
        <w:ind w:right="1560" w:firstLine="624"/>
        <w:jc w:val="center"/>
        <w:outlineLvl w:val="9"/>
        <w:rPr>
          <w:rFonts w:ascii="宋体" w:hAnsi="宋体" w:eastAsia="宋体" w:cs="宋体"/>
        </w:rPr>
      </w:pPr>
      <w:r>
        <w:rPr>
          <w:rFonts w:hint="eastAsia" w:ascii="宋体" w:hAnsi="宋体" w:eastAsia="宋体" w:cs="宋体"/>
        </w:rPr>
        <w:t> </w:t>
      </w:r>
      <w:r>
        <w:rPr>
          <w:rFonts w:hint="eastAsia" w:ascii="宋体" w:hAnsi="宋体" w:eastAsia="宋体" w:cs="宋体"/>
          <w:color w:val="000000"/>
        </w:rPr>
        <w:t>供应商全称（加盖CA电子公章）：</w:t>
      </w:r>
    </w:p>
    <w:p w14:paraId="0B876C4E">
      <w:pPr>
        <w:pStyle w:val="9"/>
        <w:tabs>
          <w:tab w:val="left" w:pos="4864"/>
        </w:tabs>
        <w:spacing w:beforeAutospacing="0" w:afterAutospacing="0" w:line="440" w:lineRule="exact"/>
        <w:ind w:right="1560" w:firstLine="480"/>
        <w:jc w:val="center"/>
        <w:outlineLvl w:val="9"/>
        <w:rPr>
          <w:rFonts w:ascii="宋体" w:hAnsi="宋体" w:eastAsia="宋体" w:cs="宋体"/>
        </w:rPr>
      </w:pPr>
      <w:r>
        <w:rPr>
          <w:rFonts w:hint="eastAsia" w:ascii="宋体" w:hAnsi="宋体" w:eastAsia="宋体" w:cs="宋体"/>
          <w:color w:val="000000"/>
        </w:rPr>
        <w:t>        日  期：</w:t>
      </w:r>
    </w:p>
    <w:p w14:paraId="4A9D42A0">
      <w:pPr>
        <w:pStyle w:val="9"/>
        <w:spacing w:beforeAutospacing="0" w:afterAutospacing="0" w:line="440" w:lineRule="exact"/>
        <w:jc w:val="both"/>
        <w:outlineLvl w:val="9"/>
        <w:rPr>
          <w:rFonts w:ascii="宋体" w:hAnsi="宋体" w:eastAsia="宋体" w:cs="宋体"/>
        </w:rPr>
      </w:pPr>
    </w:p>
    <w:p w14:paraId="72D377C5">
      <w:pPr>
        <w:pStyle w:val="9"/>
        <w:spacing w:beforeAutospacing="0" w:afterAutospacing="0" w:line="440" w:lineRule="exact"/>
        <w:jc w:val="both"/>
        <w:outlineLvl w:val="9"/>
        <w:rPr>
          <w:rFonts w:ascii="宋体" w:hAnsi="宋体" w:eastAsia="宋体" w:cs="宋体"/>
        </w:rPr>
      </w:pPr>
      <w:r>
        <w:rPr>
          <w:rFonts w:hint="eastAsia" w:ascii="宋体" w:hAnsi="宋体" w:eastAsia="宋体" w:cs="宋体"/>
        </w:rPr>
        <w:t> </w:t>
      </w:r>
    </w:p>
    <w:p w14:paraId="74A025C9">
      <w:pPr>
        <w:pStyle w:val="9"/>
        <w:spacing w:beforeAutospacing="0" w:afterAutospacing="0" w:line="440" w:lineRule="exact"/>
        <w:jc w:val="both"/>
        <w:outlineLvl w:val="9"/>
        <w:rPr>
          <w:rFonts w:ascii="宋体" w:hAnsi="宋体" w:eastAsia="宋体" w:cs="宋体"/>
        </w:rPr>
      </w:pPr>
      <w:r>
        <w:rPr>
          <w:rFonts w:hint="eastAsia" w:ascii="宋体" w:hAnsi="宋体" w:eastAsia="宋体" w:cs="宋体"/>
        </w:rPr>
        <w:t> </w:t>
      </w:r>
    </w:p>
    <w:p w14:paraId="72D479AB">
      <w:pPr>
        <w:pStyle w:val="9"/>
        <w:spacing w:beforeAutospacing="0" w:afterAutospacing="0" w:line="440" w:lineRule="exact"/>
        <w:jc w:val="both"/>
        <w:outlineLvl w:val="9"/>
        <w:rPr>
          <w:rFonts w:ascii="宋体" w:hAnsi="宋体" w:eastAsia="宋体" w:cs="宋体"/>
        </w:rPr>
      </w:pPr>
    </w:p>
    <w:p w14:paraId="6F32BF20">
      <w:pPr>
        <w:pStyle w:val="9"/>
        <w:spacing w:beforeAutospacing="0" w:afterAutospacing="0" w:line="440" w:lineRule="exact"/>
        <w:jc w:val="both"/>
        <w:outlineLvl w:val="9"/>
        <w:rPr>
          <w:rFonts w:ascii="宋体" w:hAnsi="宋体" w:eastAsia="宋体" w:cs="宋体"/>
        </w:rPr>
      </w:pPr>
    </w:p>
    <w:p w14:paraId="48C98A9C">
      <w:pPr>
        <w:pStyle w:val="9"/>
        <w:spacing w:beforeAutospacing="0" w:afterAutospacing="0" w:line="440" w:lineRule="exact"/>
        <w:jc w:val="both"/>
        <w:outlineLvl w:val="9"/>
        <w:rPr>
          <w:rFonts w:ascii="宋体" w:hAnsi="宋体" w:eastAsia="宋体" w:cs="宋体"/>
        </w:rPr>
      </w:pPr>
    </w:p>
    <w:p w14:paraId="1FB4853B">
      <w:pPr>
        <w:pStyle w:val="9"/>
        <w:spacing w:beforeAutospacing="0" w:afterAutospacing="0" w:line="440" w:lineRule="exact"/>
        <w:jc w:val="both"/>
        <w:outlineLvl w:val="9"/>
        <w:rPr>
          <w:rFonts w:ascii="宋体" w:hAnsi="宋体" w:eastAsia="宋体" w:cs="宋体"/>
        </w:rPr>
      </w:pPr>
      <w:r>
        <w:rPr>
          <w:rFonts w:hint="eastAsia" w:ascii="宋体" w:hAnsi="宋体" w:eastAsia="宋体" w:cs="宋体"/>
        </w:rPr>
        <w:t> </w:t>
      </w:r>
    </w:p>
    <w:p w14:paraId="16C9C70A">
      <w:pPr>
        <w:pStyle w:val="9"/>
        <w:spacing w:beforeAutospacing="0" w:afterAutospacing="0" w:line="440" w:lineRule="exact"/>
        <w:jc w:val="center"/>
        <w:outlineLvl w:val="9"/>
        <w:rPr>
          <w:rFonts w:ascii="宋体" w:hAnsi="宋体" w:eastAsia="宋体" w:cs="宋体"/>
        </w:rPr>
      </w:pPr>
      <w:bookmarkStart w:id="174" w:name="_Hlt26955054"/>
      <w:r>
        <w:rPr>
          <w:rFonts w:hint="eastAsia" w:ascii="宋体" w:hAnsi="宋体" w:eastAsia="宋体" w:cs="宋体"/>
          <w:b/>
          <w:color w:val="000000"/>
          <w:sz w:val="32"/>
          <w:szCs w:val="32"/>
        </w:rPr>
        <w:t>十三、商务要求响应及偏离表</w:t>
      </w:r>
    </w:p>
    <w:tbl>
      <w:tblPr>
        <w:tblStyle w:val="7"/>
        <w:tblW w:w="8520" w:type="dxa"/>
        <w:tblCellSpacing w:w="0" w:type="dxa"/>
        <w:tblInd w:w="-108" w:type="dxa"/>
        <w:tblLayout w:type="fixed"/>
        <w:tblCellMar>
          <w:top w:w="0" w:type="dxa"/>
          <w:left w:w="108" w:type="dxa"/>
          <w:bottom w:w="0" w:type="dxa"/>
          <w:right w:w="108" w:type="dxa"/>
        </w:tblCellMar>
      </w:tblPr>
      <w:tblGrid>
        <w:gridCol w:w="661"/>
        <w:gridCol w:w="2469"/>
        <w:gridCol w:w="2645"/>
        <w:gridCol w:w="1244"/>
        <w:gridCol w:w="1501"/>
      </w:tblGrid>
      <w:tr w14:paraId="45E55D6E">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54A85AE9">
            <w:pPr>
              <w:pStyle w:val="9"/>
              <w:spacing w:beforeAutospacing="0" w:afterAutospacing="0" w:line="440" w:lineRule="exact"/>
              <w:jc w:val="center"/>
              <w:outlineLvl w:val="9"/>
              <w:rPr>
                <w:rFonts w:ascii="宋体" w:hAnsi="宋体" w:eastAsia="宋体" w:cs="宋体"/>
              </w:rPr>
            </w:pPr>
            <w:bookmarkStart w:id="175" w:name="_Hlt26955056"/>
            <w:bookmarkStart w:id="176" w:name="_Hlt26955064"/>
            <w:bookmarkStart w:id="177" w:name="_Hlt24879081"/>
            <w:bookmarkStart w:id="178" w:name="_Hlt26609391"/>
            <w:bookmarkStart w:id="179" w:name="_Hlt26671343"/>
            <w:bookmarkStart w:id="180" w:name="_Hlt26782999"/>
            <w:bookmarkStart w:id="181" w:name="_Hlt26580838"/>
            <w:bookmarkStart w:id="182" w:name="_Hlt26671372"/>
            <w:r>
              <w:rPr>
                <w:rFonts w:hint="eastAsia" w:ascii="宋体" w:hAnsi="宋体" w:eastAsia="宋体" w:cs="宋体"/>
                <w:color w:val="000000"/>
              </w:rPr>
              <w:t>序号</w:t>
            </w:r>
          </w:p>
          <w:bookmarkEnd w:id="175"/>
          <w:bookmarkEnd w:id="176"/>
          <w:bookmarkEnd w:id="177"/>
          <w:bookmarkEnd w:id="178"/>
          <w:bookmarkEnd w:id="179"/>
          <w:bookmarkEnd w:id="180"/>
          <w:bookmarkEnd w:id="181"/>
          <w:bookmarkEnd w:id="182"/>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2E7DD60E">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color w:val="000000"/>
              </w:rPr>
              <w:t>招标文件要求</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6B7A9592">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color w:val="000000"/>
              </w:rPr>
              <w:t>投标响应情况</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10068AD0">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color w:val="000000"/>
              </w:rPr>
              <w:t>超出、符合或偏离</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4D4DC197">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color w:val="000000"/>
              </w:rPr>
              <w:t>证明</w:t>
            </w:r>
          </w:p>
          <w:p w14:paraId="5FB1262A">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color w:val="000000"/>
              </w:rPr>
              <w:t>材料</w:t>
            </w:r>
          </w:p>
        </w:tc>
      </w:tr>
      <w:tr w14:paraId="505BABE5">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473B58A9">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6B32B690">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38280E51">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7A1EF4B1">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1A9E5E2C">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r>
      <w:tr w14:paraId="2F0EE0FD">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54A45225">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75138F0B">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5F61D3F5">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0FDAE817">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7D4A0102">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r>
      <w:tr w14:paraId="1B62A42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23090A98">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4089A101">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4BEAC013">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5B65E19F">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57B129B3">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r>
      <w:tr w14:paraId="1FA497B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0A4CFA54">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58158362">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348C89C6">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28ED0BEA">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2CEC93B1">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r>
      <w:tr w14:paraId="62A2126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05293A40">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7065D1DC">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6744FC68">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008F81D4">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0C0D812C">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r>
      <w:tr w14:paraId="2EBD3B7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4F0D90DE">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2D4DE633">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54EFECB4">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577D955C">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343B6A80">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r>
      <w:tr w14:paraId="27B495D1">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244AC5C6">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5477C704">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1720670D">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65003007">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26F215D0">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r>
      <w:tr w14:paraId="3827AD1D">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0551C853">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7B2B4C2A">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4A247C9D">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2E66ED5F">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772D629B">
            <w:pPr>
              <w:pStyle w:val="9"/>
              <w:spacing w:beforeAutospacing="0" w:afterAutospacing="0" w:line="440" w:lineRule="exact"/>
              <w:jc w:val="center"/>
              <w:outlineLvl w:val="9"/>
              <w:rPr>
                <w:rFonts w:ascii="宋体" w:hAnsi="宋体" w:eastAsia="宋体" w:cs="宋体"/>
              </w:rPr>
            </w:pPr>
            <w:r>
              <w:rPr>
                <w:rFonts w:hint="eastAsia" w:ascii="宋体" w:hAnsi="宋体" w:eastAsia="宋体" w:cs="宋体"/>
              </w:rPr>
              <w:t> </w:t>
            </w:r>
          </w:p>
        </w:tc>
      </w:tr>
    </w:tbl>
    <w:p w14:paraId="6BE3B342">
      <w:pPr>
        <w:pStyle w:val="9"/>
        <w:spacing w:beforeAutospacing="0" w:afterAutospacing="0" w:line="440" w:lineRule="exact"/>
        <w:jc w:val="both"/>
        <w:outlineLvl w:val="9"/>
        <w:rPr>
          <w:rFonts w:ascii="宋体" w:hAnsi="宋体" w:eastAsia="宋体" w:cs="宋体"/>
        </w:rPr>
      </w:pPr>
      <w:r>
        <w:rPr>
          <w:rFonts w:hint="eastAsia" w:ascii="宋体" w:hAnsi="宋体" w:eastAsia="宋体" w:cs="宋体"/>
          <w:color w:val="000000"/>
        </w:rPr>
        <w:t>注： 行数不够，可自行添加。</w:t>
      </w:r>
    </w:p>
    <w:p w14:paraId="59E79029">
      <w:pPr>
        <w:pStyle w:val="9"/>
        <w:spacing w:beforeAutospacing="0" w:afterAutospacing="0" w:line="440" w:lineRule="exact"/>
        <w:jc w:val="both"/>
        <w:outlineLvl w:val="9"/>
        <w:rPr>
          <w:rFonts w:ascii="宋体" w:hAnsi="宋体" w:eastAsia="宋体" w:cs="宋体"/>
        </w:rPr>
      </w:pPr>
      <w:r>
        <w:rPr>
          <w:rFonts w:hint="eastAsia" w:ascii="宋体" w:hAnsi="宋体" w:eastAsia="宋体" w:cs="宋体"/>
        </w:rPr>
        <w:t> </w:t>
      </w:r>
    </w:p>
    <w:p w14:paraId="7CB724AD">
      <w:pPr>
        <w:pStyle w:val="9"/>
        <w:spacing w:beforeAutospacing="0" w:afterAutospacing="0" w:line="440" w:lineRule="exact"/>
        <w:jc w:val="both"/>
        <w:outlineLvl w:val="9"/>
        <w:rPr>
          <w:rFonts w:ascii="宋体" w:hAnsi="宋体" w:eastAsia="宋体" w:cs="宋体"/>
        </w:rPr>
      </w:pPr>
      <w:r>
        <w:rPr>
          <w:rFonts w:hint="eastAsia" w:ascii="宋体" w:hAnsi="宋体" w:eastAsia="宋体" w:cs="宋体"/>
        </w:rPr>
        <w:t> </w:t>
      </w:r>
    </w:p>
    <w:p w14:paraId="4E022380">
      <w:pPr>
        <w:pStyle w:val="9"/>
        <w:spacing w:beforeAutospacing="0" w:afterAutospacing="0" w:line="440" w:lineRule="exact"/>
        <w:jc w:val="center"/>
        <w:outlineLvl w:val="9"/>
        <w:rPr>
          <w:rFonts w:ascii="宋体" w:hAnsi="宋体" w:eastAsia="宋体" w:cs="宋体"/>
        </w:rPr>
      </w:pPr>
      <w:bookmarkStart w:id="183" w:name="_Hlt26955066"/>
      <w:bookmarkStart w:id="184" w:name="_Toc462564146"/>
      <w:bookmarkStart w:id="185" w:name="_Hlt26609389"/>
      <w:bookmarkStart w:id="186" w:name="_Hlt26671374"/>
      <w:bookmarkStart w:id="187" w:name="_格式2__法定代表人授权书"/>
      <w:r>
        <w:rPr>
          <w:rFonts w:hint="eastAsia" w:ascii="宋体" w:hAnsi="宋体" w:eastAsia="宋体" w:cs="宋体"/>
        </w:rPr>
        <w:t> </w:t>
      </w:r>
    </w:p>
    <w:p w14:paraId="247BDBE7">
      <w:pPr>
        <w:pStyle w:val="9"/>
        <w:spacing w:beforeAutospacing="0" w:afterAutospacing="0" w:line="440" w:lineRule="exact"/>
        <w:jc w:val="both"/>
        <w:outlineLvl w:val="9"/>
        <w:rPr>
          <w:rFonts w:ascii="宋体" w:hAnsi="宋体" w:eastAsia="宋体" w:cs="宋体"/>
        </w:rPr>
      </w:pPr>
      <w:r>
        <w:rPr>
          <w:rFonts w:hint="eastAsia" w:ascii="宋体" w:hAnsi="宋体" w:eastAsia="宋体" w:cs="宋体"/>
        </w:rPr>
        <w:t> </w:t>
      </w:r>
    </w:p>
    <w:p w14:paraId="01FB7CFA">
      <w:pPr>
        <w:pStyle w:val="9"/>
        <w:tabs>
          <w:tab w:val="left" w:pos="4864"/>
        </w:tabs>
        <w:spacing w:beforeAutospacing="0" w:afterAutospacing="0" w:line="440" w:lineRule="exact"/>
        <w:ind w:right="1560" w:firstLine="624"/>
        <w:jc w:val="center"/>
        <w:outlineLvl w:val="9"/>
        <w:rPr>
          <w:rFonts w:ascii="宋体" w:hAnsi="宋体" w:eastAsia="宋体" w:cs="宋体"/>
        </w:rPr>
      </w:pPr>
      <w:r>
        <w:rPr>
          <w:rFonts w:hint="eastAsia" w:ascii="宋体" w:hAnsi="宋体" w:eastAsia="宋体" w:cs="宋体"/>
        </w:rPr>
        <w:t> </w:t>
      </w:r>
      <w:r>
        <w:rPr>
          <w:rFonts w:hint="eastAsia" w:ascii="宋体" w:hAnsi="宋体" w:eastAsia="宋体" w:cs="宋体"/>
          <w:color w:val="000000"/>
        </w:rPr>
        <w:t>供应商全称（加盖CA电子公章）：</w:t>
      </w:r>
    </w:p>
    <w:p w14:paraId="6424A9AB">
      <w:pPr>
        <w:pStyle w:val="9"/>
        <w:tabs>
          <w:tab w:val="left" w:pos="4864"/>
        </w:tabs>
        <w:spacing w:beforeAutospacing="0" w:afterAutospacing="0" w:line="440" w:lineRule="exact"/>
        <w:ind w:right="1560" w:firstLine="480"/>
        <w:jc w:val="center"/>
        <w:outlineLvl w:val="9"/>
        <w:rPr>
          <w:rFonts w:ascii="宋体" w:hAnsi="宋体" w:eastAsia="宋体" w:cs="宋体"/>
        </w:rPr>
      </w:pPr>
      <w:r>
        <w:rPr>
          <w:rFonts w:hint="eastAsia" w:ascii="宋体" w:hAnsi="宋体" w:eastAsia="宋体" w:cs="宋体"/>
          <w:color w:val="000000"/>
        </w:rPr>
        <w:t>        日  期：</w:t>
      </w:r>
    </w:p>
    <w:p w14:paraId="396BE181">
      <w:pPr>
        <w:pStyle w:val="9"/>
        <w:spacing w:beforeAutospacing="0" w:afterAutospacing="0" w:line="440" w:lineRule="exact"/>
        <w:jc w:val="both"/>
        <w:outlineLvl w:val="9"/>
        <w:rPr>
          <w:rFonts w:ascii="宋体" w:hAnsi="宋体" w:eastAsia="宋体" w:cs="宋体"/>
        </w:rPr>
      </w:pPr>
    </w:p>
    <w:p w14:paraId="6D3602E0">
      <w:pPr>
        <w:pStyle w:val="9"/>
        <w:spacing w:beforeAutospacing="0" w:afterAutospacing="0" w:line="440" w:lineRule="exact"/>
        <w:jc w:val="both"/>
        <w:outlineLvl w:val="9"/>
        <w:rPr>
          <w:rFonts w:ascii="宋体" w:hAnsi="宋体" w:eastAsia="宋体" w:cs="宋体"/>
        </w:rPr>
      </w:pPr>
    </w:p>
    <w:p w14:paraId="6BE211A0">
      <w:pPr>
        <w:pStyle w:val="9"/>
        <w:spacing w:beforeAutospacing="0" w:afterAutospacing="0" w:line="440" w:lineRule="exact"/>
        <w:jc w:val="both"/>
        <w:outlineLvl w:val="9"/>
        <w:rPr>
          <w:rFonts w:ascii="宋体" w:hAnsi="宋体" w:eastAsia="宋体" w:cs="宋体"/>
        </w:rPr>
      </w:pPr>
    </w:p>
    <w:p w14:paraId="1F7FAC5D">
      <w:pPr>
        <w:pStyle w:val="9"/>
        <w:spacing w:beforeAutospacing="0" w:afterAutospacing="0" w:line="440" w:lineRule="exact"/>
        <w:jc w:val="both"/>
        <w:outlineLvl w:val="9"/>
        <w:rPr>
          <w:rFonts w:ascii="宋体" w:hAnsi="宋体" w:eastAsia="宋体" w:cs="宋体"/>
        </w:rPr>
      </w:pPr>
    </w:p>
    <w:p w14:paraId="2C940AAA">
      <w:pPr>
        <w:pStyle w:val="9"/>
        <w:spacing w:beforeAutospacing="0" w:afterAutospacing="0" w:line="440" w:lineRule="exact"/>
        <w:jc w:val="both"/>
        <w:outlineLvl w:val="9"/>
        <w:rPr>
          <w:rFonts w:ascii="宋体" w:hAnsi="宋体" w:eastAsia="宋体" w:cs="宋体"/>
        </w:rPr>
      </w:pPr>
    </w:p>
    <w:p w14:paraId="4C634294">
      <w:pPr>
        <w:pStyle w:val="9"/>
        <w:spacing w:beforeAutospacing="0" w:afterAutospacing="0" w:line="440" w:lineRule="exact"/>
        <w:jc w:val="both"/>
        <w:outlineLvl w:val="9"/>
        <w:rPr>
          <w:rFonts w:ascii="宋体" w:hAnsi="宋体" w:eastAsia="宋体" w:cs="宋体"/>
        </w:rPr>
      </w:pPr>
    </w:p>
    <w:p w14:paraId="0584AC65">
      <w:pPr>
        <w:pStyle w:val="9"/>
        <w:spacing w:beforeAutospacing="0" w:afterAutospacing="0" w:line="440" w:lineRule="exact"/>
        <w:jc w:val="both"/>
        <w:outlineLvl w:val="9"/>
        <w:rPr>
          <w:rFonts w:ascii="宋体" w:hAnsi="宋体" w:eastAsia="宋体" w:cs="宋体"/>
        </w:rPr>
      </w:pPr>
    </w:p>
    <w:p w14:paraId="6113F044">
      <w:pPr>
        <w:pStyle w:val="9"/>
        <w:spacing w:beforeAutospacing="0" w:afterAutospacing="0" w:line="440" w:lineRule="exact"/>
        <w:jc w:val="both"/>
        <w:outlineLvl w:val="9"/>
        <w:rPr>
          <w:rFonts w:ascii="宋体" w:hAnsi="宋体" w:eastAsia="宋体" w:cs="宋体"/>
        </w:rPr>
      </w:pPr>
    </w:p>
    <w:p w14:paraId="365C9725">
      <w:pPr>
        <w:pStyle w:val="9"/>
        <w:spacing w:beforeAutospacing="0" w:afterAutospacing="0" w:line="440" w:lineRule="exact"/>
        <w:jc w:val="both"/>
        <w:outlineLvl w:val="9"/>
        <w:rPr>
          <w:rFonts w:ascii="宋体" w:hAnsi="宋体" w:eastAsia="宋体" w:cs="宋体"/>
        </w:rPr>
      </w:pPr>
    </w:p>
    <w:p w14:paraId="61ED69DC">
      <w:pPr>
        <w:pStyle w:val="9"/>
        <w:spacing w:beforeAutospacing="0" w:afterAutospacing="0" w:line="440" w:lineRule="exact"/>
        <w:jc w:val="both"/>
        <w:outlineLvl w:val="9"/>
        <w:rPr>
          <w:rFonts w:ascii="宋体" w:hAnsi="宋体" w:eastAsia="宋体" w:cs="宋体"/>
          <w:i/>
        </w:rPr>
      </w:pPr>
      <w:r>
        <w:rPr>
          <w:rFonts w:hint="eastAsia" w:ascii="宋体" w:hAnsi="宋体" w:eastAsia="宋体" w:cs="宋体"/>
          <w:b/>
          <w:i/>
          <w:color w:val="000000"/>
          <w:sz w:val="32"/>
          <w:szCs w:val="32"/>
          <w:u w:val="single"/>
        </w:rPr>
        <w:t>十四、开标一览表</w:t>
      </w:r>
    </w:p>
    <w:p w14:paraId="4A701CAC">
      <w:pPr>
        <w:pStyle w:val="9"/>
        <w:spacing w:beforeAutospacing="0" w:afterAutospacing="0" w:line="440" w:lineRule="exact"/>
        <w:ind w:firstLine="480"/>
        <w:jc w:val="both"/>
        <w:outlineLvl w:val="9"/>
        <w:rPr>
          <w:rFonts w:ascii="宋体" w:hAnsi="宋体" w:eastAsia="宋体" w:cs="宋体"/>
        </w:rPr>
      </w:pPr>
      <w:r>
        <w:rPr>
          <w:rFonts w:hint="eastAsia" w:ascii="宋体" w:hAnsi="宋体" w:eastAsia="宋体" w:cs="宋体"/>
          <w:color w:val="000000"/>
        </w:rPr>
        <w:t>投标人全称（加盖CA电子签章）：</w:t>
      </w:r>
    </w:p>
    <w:p w14:paraId="38330C71">
      <w:pPr>
        <w:pStyle w:val="9"/>
        <w:spacing w:beforeAutospacing="0" w:afterAutospacing="0" w:line="440" w:lineRule="exact"/>
        <w:jc w:val="both"/>
        <w:outlineLvl w:val="9"/>
        <w:rPr>
          <w:rFonts w:ascii="宋体" w:hAnsi="宋体" w:eastAsia="宋体" w:cs="宋体"/>
          <w:color w:val="000000"/>
        </w:rPr>
      </w:pPr>
      <w:r>
        <w:rPr>
          <w:rFonts w:hint="eastAsia" w:ascii="宋体" w:hAnsi="宋体" w:eastAsia="宋体" w:cs="宋体"/>
          <w:color w:val="000000"/>
        </w:rPr>
        <w:t>项目名称：</w:t>
      </w:r>
    </w:p>
    <w:p w14:paraId="25D70473">
      <w:pPr>
        <w:pStyle w:val="9"/>
        <w:spacing w:beforeAutospacing="0" w:afterAutospacing="0" w:line="440" w:lineRule="exact"/>
        <w:jc w:val="both"/>
        <w:outlineLvl w:val="9"/>
        <w:rPr>
          <w:rFonts w:ascii="宋体" w:hAnsi="宋体" w:eastAsia="宋体" w:cs="宋体"/>
          <w:color w:val="000000"/>
        </w:rPr>
      </w:pPr>
      <w:r>
        <w:rPr>
          <w:rFonts w:hint="eastAsia" w:ascii="宋体" w:hAnsi="宋体" w:eastAsia="宋体" w:cs="宋体"/>
          <w:color w:val="000000"/>
        </w:rPr>
        <w:t>招标编号：</w:t>
      </w:r>
    </w:p>
    <w:p w14:paraId="7E4CEF43">
      <w:pPr>
        <w:pStyle w:val="9"/>
        <w:spacing w:beforeAutospacing="0" w:afterAutospacing="0" w:line="440" w:lineRule="exact"/>
        <w:outlineLvl w:val="9"/>
        <w:rPr>
          <w:rFonts w:ascii="宋体" w:hAnsi="宋体" w:eastAsia="宋体" w:cs="宋体"/>
        </w:rPr>
      </w:pPr>
      <w:r>
        <w:rPr>
          <w:rFonts w:hint="eastAsia" w:ascii="宋体" w:hAnsi="宋体" w:eastAsia="宋体" w:cs="宋体"/>
          <w:color w:val="000000"/>
        </w:rPr>
        <w:t xml:space="preserve">                        </w:t>
      </w:r>
    </w:p>
    <w:tbl>
      <w:tblPr>
        <w:tblStyle w:val="7"/>
        <w:tblW w:w="8206" w:type="dxa"/>
        <w:tblCellSpacing w:w="0" w:type="dxa"/>
        <w:tblInd w:w="0" w:type="dxa"/>
        <w:tblLayout w:type="fixed"/>
        <w:tblCellMar>
          <w:top w:w="0" w:type="dxa"/>
          <w:left w:w="108" w:type="dxa"/>
          <w:bottom w:w="0" w:type="dxa"/>
          <w:right w:w="108" w:type="dxa"/>
        </w:tblCellMar>
      </w:tblPr>
      <w:tblGrid>
        <w:gridCol w:w="8206"/>
      </w:tblGrid>
      <w:tr w14:paraId="35DAB29C">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noWrap w:val="0"/>
            <w:vAlign w:val="center"/>
          </w:tcPr>
          <w:p w14:paraId="42FADD3E">
            <w:pPr>
              <w:pStyle w:val="9"/>
              <w:spacing w:beforeAutospacing="0" w:afterAutospacing="0" w:line="440" w:lineRule="exact"/>
              <w:jc w:val="both"/>
              <w:outlineLvl w:val="9"/>
              <w:rPr>
                <w:rFonts w:ascii="宋体" w:hAnsi="宋体" w:eastAsia="宋体" w:cs="宋体"/>
              </w:rPr>
            </w:pPr>
            <w:r>
              <w:rPr>
                <w:rFonts w:hint="eastAsia" w:ascii="宋体" w:hAnsi="宋体" w:eastAsia="宋体" w:cs="宋体"/>
                <w:color w:val="000000"/>
              </w:rPr>
              <w:t>               投标总报价</w:t>
            </w:r>
          </w:p>
        </w:tc>
      </w:tr>
      <w:tr w14:paraId="111D1FAC">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noWrap w:val="0"/>
            <w:vAlign w:val="center"/>
          </w:tcPr>
          <w:p w14:paraId="47B0A0B7">
            <w:pPr>
              <w:pStyle w:val="9"/>
              <w:spacing w:beforeAutospacing="0" w:afterAutospacing="0" w:line="440" w:lineRule="exact"/>
              <w:ind w:firstLine="480"/>
              <w:outlineLvl w:val="9"/>
              <w:rPr>
                <w:rFonts w:ascii="宋体" w:hAnsi="宋体" w:eastAsia="宋体" w:cs="宋体"/>
              </w:rPr>
            </w:pPr>
            <w:r>
              <w:rPr>
                <w:rFonts w:hint="eastAsia" w:ascii="宋体" w:hAnsi="宋体" w:eastAsia="宋体" w:cs="宋体"/>
                <w:color w:val="000000"/>
              </w:rPr>
              <w:t>大写：           小写         （人民币：元）</w:t>
            </w:r>
          </w:p>
        </w:tc>
      </w:tr>
    </w:tbl>
    <w:p w14:paraId="0643EA50">
      <w:pPr>
        <w:pStyle w:val="9"/>
        <w:spacing w:beforeAutospacing="0" w:afterAutospacing="0" w:line="440" w:lineRule="exact"/>
        <w:jc w:val="both"/>
        <w:outlineLvl w:val="9"/>
        <w:rPr>
          <w:rFonts w:ascii="宋体" w:hAnsi="宋体" w:eastAsia="宋体" w:cs="宋体"/>
        </w:rPr>
      </w:pPr>
      <w:r>
        <w:rPr>
          <w:rFonts w:hint="eastAsia" w:ascii="宋体" w:hAnsi="宋体" w:eastAsia="宋体" w:cs="宋体"/>
        </w:rPr>
        <w:t> </w:t>
      </w:r>
    </w:p>
    <w:p w14:paraId="6EBC6C52">
      <w:pPr>
        <w:pStyle w:val="9"/>
        <w:spacing w:beforeAutospacing="0" w:afterAutospacing="0" w:line="440" w:lineRule="exact"/>
        <w:ind w:firstLine="480"/>
        <w:jc w:val="both"/>
        <w:outlineLvl w:val="9"/>
        <w:rPr>
          <w:rFonts w:ascii="宋体" w:hAnsi="宋体" w:eastAsia="宋体" w:cs="宋体"/>
        </w:rPr>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年</w:t>
      </w:r>
      <w:r>
        <w:rPr>
          <w:rFonts w:hint="eastAsia" w:ascii="宋体" w:hAnsi="宋体" w:eastAsia="宋体" w:cs="宋体"/>
          <w:color w:val="000000"/>
          <w:u w:val="single"/>
        </w:rPr>
        <w:t xml:space="preserve">   </w:t>
      </w:r>
      <w:r>
        <w:rPr>
          <w:rFonts w:hint="eastAsia" w:ascii="宋体" w:hAnsi="宋体" w:eastAsia="宋体" w:cs="宋体"/>
          <w:color w:val="000000"/>
        </w:rPr>
        <w:t>月</w:t>
      </w:r>
      <w:r>
        <w:rPr>
          <w:rFonts w:hint="eastAsia" w:ascii="宋体" w:hAnsi="宋体" w:eastAsia="宋体" w:cs="宋体"/>
          <w:color w:val="000000"/>
          <w:u w:val="single"/>
        </w:rPr>
        <w:t xml:space="preserve">   </w:t>
      </w:r>
      <w:r>
        <w:rPr>
          <w:rFonts w:hint="eastAsia" w:ascii="宋体" w:hAnsi="宋体" w:eastAsia="宋体" w:cs="宋体"/>
          <w:color w:val="000000"/>
        </w:rPr>
        <w:t>日</w:t>
      </w:r>
    </w:p>
    <w:p w14:paraId="7508288F">
      <w:pPr>
        <w:pStyle w:val="9"/>
        <w:spacing w:beforeAutospacing="0" w:afterAutospacing="0" w:line="440" w:lineRule="exact"/>
        <w:ind w:firstLine="480"/>
        <w:jc w:val="both"/>
        <w:outlineLvl w:val="9"/>
        <w:rPr>
          <w:rFonts w:ascii="宋体" w:hAnsi="宋体" w:eastAsia="宋体" w:cs="宋体"/>
        </w:rPr>
      </w:pPr>
      <w:r>
        <w:rPr>
          <w:rFonts w:hint="eastAsia" w:ascii="宋体" w:hAnsi="宋体" w:eastAsia="宋体" w:cs="宋体"/>
        </w:rPr>
        <w:t> </w:t>
      </w:r>
    </w:p>
    <w:p w14:paraId="0021DB91">
      <w:pPr>
        <w:widowControl/>
        <w:spacing w:before="50" w:after="50" w:line="440" w:lineRule="exact"/>
        <w:jc w:val="center"/>
        <w:outlineLvl w:val="9"/>
        <w:rPr>
          <w:rFonts w:ascii="宋体" w:hAnsi="宋体" w:eastAsia="宋体" w:cs="宋体"/>
        </w:rPr>
      </w:pPr>
    </w:p>
    <w:p w14:paraId="382DA572">
      <w:pPr>
        <w:widowControl/>
        <w:spacing w:before="50" w:after="50" w:line="440" w:lineRule="exact"/>
        <w:jc w:val="center"/>
        <w:outlineLvl w:val="9"/>
        <w:rPr>
          <w:rFonts w:ascii="宋体" w:hAnsi="宋体" w:eastAsia="宋体" w:cs="宋体"/>
        </w:rPr>
      </w:pPr>
    </w:p>
    <w:p w14:paraId="5CF6DC8F">
      <w:pPr>
        <w:pStyle w:val="10"/>
        <w:spacing w:line="400" w:lineRule="exact"/>
        <w:outlineLvl w:val="9"/>
        <w:rPr>
          <w:rFonts w:hAnsi="宋体" w:eastAsia="宋体"/>
          <w:sz w:val="24"/>
          <w:szCs w:val="24"/>
        </w:rPr>
      </w:pPr>
      <w:r>
        <w:rPr>
          <w:rFonts w:hAnsi="宋体"/>
          <w:color w:val="FF0000"/>
          <w:sz w:val="24"/>
          <w:szCs w:val="24"/>
        </w:rPr>
        <w:t>注：此文件表格仅供参考，投标人必须按系统生成的开标一览表中规定格式完整、清晰、正确填写。</w:t>
      </w:r>
    </w:p>
    <w:p w14:paraId="4B1E739B">
      <w:pPr>
        <w:widowControl/>
        <w:spacing w:before="50" w:after="50" w:line="440" w:lineRule="exact"/>
        <w:jc w:val="center"/>
        <w:outlineLvl w:val="9"/>
        <w:rPr>
          <w:rFonts w:ascii="宋体" w:hAnsi="宋体" w:eastAsia="宋体" w:cs="宋体"/>
        </w:rPr>
      </w:pPr>
    </w:p>
    <w:p w14:paraId="791B7CAE">
      <w:pPr>
        <w:widowControl/>
        <w:spacing w:before="50" w:after="50" w:line="440" w:lineRule="exact"/>
        <w:jc w:val="center"/>
        <w:outlineLvl w:val="9"/>
        <w:rPr>
          <w:rFonts w:ascii="宋体" w:hAnsi="宋体" w:eastAsia="宋体" w:cs="宋体"/>
        </w:rPr>
      </w:pPr>
    </w:p>
    <w:p w14:paraId="0AD2D36D">
      <w:pPr>
        <w:widowControl/>
        <w:spacing w:before="50" w:after="50" w:line="440" w:lineRule="exact"/>
        <w:jc w:val="center"/>
        <w:outlineLvl w:val="9"/>
        <w:rPr>
          <w:rFonts w:ascii="宋体" w:hAnsi="宋体" w:eastAsia="宋体" w:cs="宋体"/>
        </w:rPr>
      </w:pPr>
    </w:p>
    <w:p w14:paraId="687D29D2">
      <w:pPr>
        <w:widowControl/>
        <w:spacing w:before="50" w:after="50" w:line="440" w:lineRule="exact"/>
        <w:jc w:val="center"/>
        <w:outlineLvl w:val="9"/>
        <w:rPr>
          <w:rFonts w:ascii="宋体" w:hAnsi="宋体" w:eastAsia="宋体" w:cs="宋体"/>
        </w:rPr>
      </w:pPr>
    </w:p>
    <w:p w14:paraId="208F5AC1">
      <w:pPr>
        <w:widowControl/>
        <w:spacing w:before="50" w:after="50" w:line="440" w:lineRule="exact"/>
        <w:jc w:val="center"/>
        <w:outlineLvl w:val="9"/>
        <w:rPr>
          <w:rFonts w:ascii="宋体" w:hAnsi="宋体" w:eastAsia="宋体" w:cs="宋体"/>
        </w:rPr>
      </w:pPr>
    </w:p>
    <w:p w14:paraId="74C5DEF6">
      <w:pPr>
        <w:widowControl/>
        <w:spacing w:before="50" w:after="50" w:line="440" w:lineRule="exact"/>
        <w:jc w:val="center"/>
        <w:outlineLvl w:val="9"/>
        <w:rPr>
          <w:rFonts w:ascii="宋体" w:hAnsi="宋体" w:eastAsia="宋体" w:cs="宋体"/>
        </w:rPr>
      </w:pPr>
    </w:p>
    <w:p w14:paraId="5F24C76A">
      <w:pPr>
        <w:widowControl/>
        <w:spacing w:before="50" w:after="50" w:line="440" w:lineRule="exact"/>
        <w:jc w:val="center"/>
        <w:outlineLvl w:val="9"/>
        <w:rPr>
          <w:rFonts w:ascii="宋体" w:hAnsi="宋体" w:eastAsia="宋体" w:cs="宋体"/>
        </w:rPr>
      </w:pPr>
    </w:p>
    <w:p w14:paraId="59C6ADDC">
      <w:pPr>
        <w:pStyle w:val="11"/>
        <w:outlineLvl w:val="9"/>
        <w:rPr>
          <w:rFonts w:ascii="宋体" w:hAnsi="宋体" w:eastAsia="宋体" w:cs="宋体"/>
        </w:rPr>
      </w:pPr>
    </w:p>
    <w:p w14:paraId="347D1587">
      <w:pPr>
        <w:pStyle w:val="11"/>
        <w:outlineLvl w:val="9"/>
        <w:rPr>
          <w:rFonts w:ascii="宋体" w:hAnsi="宋体" w:eastAsia="宋体" w:cs="宋体"/>
        </w:rPr>
      </w:pPr>
    </w:p>
    <w:p w14:paraId="47B42E11">
      <w:pPr>
        <w:pStyle w:val="11"/>
        <w:outlineLvl w:val="9"/>
        <w:rPr>
          <w:rFonts w:ascii="宋体" w:hAnsi="宋体" w:eastAsia="宋体" w:cs="宋体"/>
        </w:rPr>
      </w:pPr>
    </w:p>
    <w:p w14:paraId="2C427664">
      <w:pPr>
        <w:pStyle w:val="11"/>
        <w:outlineLvl w:val="9"/>
        <w:rPr>
          <w:rFonts w:ascii="宋体" w:hAnsi="宋体" w:eastAsia="宋体" w:cs="宋体"/>
        </w:rPr>
      </w:pPr>
    </w:p>
    <w:p w14:paraId="5FDFD110">
      <w:pPr>
        <w:pStyle w:val="11"/>
        <w:outlineLvl w:val="9"/>
        <w:rPr>
          <w:rFonts w:ascii="宋体" w:hAnsi="宋体" w:eastAsia="宋体" w:cs="宋体"/>
        </w:rPr>
      </w:pPr>
    </w:p>
    <w:p w14:paraId="19B27AA2">
      <w:pPr>
        <w:pStyle w:val="11"/>
        <w:outlineLvl w:val="9"/>
        <w:rPr>
          <w:rFonts w:ascii="宋体" w:hAnsi="宋体" w:eastAsia="宋体" w:cs="宋体"/>
        </w:rPr>
      </w:pPr>
    </w:p>
    <w:p w14:paraId="2FCEDC2C">
      <w:pPr>
        <w:pStyle w:val="11"/>
        <w:outlineLvl w:val="9"/>
        <w:rPr>
          <w:rFonts w:ascii="宋体" w:hAnsi="宋体" w:eastAsia="宋体" w:cs="宋体"/>
        </w:rPr>
      </w:pPr>
    </w:p>
    <w:p w14:paraId="61AB6A3C">
      <w:pPr>
        <w:pStyle w:val="11"/>
        <w:outlineLvl w:val="9"/>
        <w:rPr>
          <w:rFonts w:ascii="宋体" w:hAnsi="宋体" w:eastAsia="宋体" w:cs="宋体"/>
        </w:rPr>
      </w:pPr>
    </w:p>
    <w:p w14:paraId="7D8C58B9">
      <w:pPr>
        <w:pStyle w:val="11"/>
        <w:outlineLvl w:val="9"/>
        <w:rPr>
          <w:rFonts w:ascii="宋体" w:hAnsi="宋体" w:eastAsia="宋体" w:cs="宋体"/>
        </w:rPr>
      </w:pPr>
    </w:p>
    <w:p w14:paraId="380F6BA6">
      <w:pPr>
        <w:pStyle w:val="11"/>
        <w:outlineLvl w:val="9"/>
        <w:rPr>
          <w:rFonts w:ascii="宋体" w:hAnsi="宋体" w:eastAsia="宋体" w:cs="宋体"/>
        </w:rPr>
      </w:pPr>
    </w:p>
    <w:p w14:paraId="6B9E2E92">
      <w:pPr>
        <w:pStyle w:val="11"/>
        <w:ind w:left="0" w:leftChars="0" w:firstLine="0" w:firstLineChars="0"/>
        <w:outlineLvl w:val="9"/>
      </w:pPr>
    </w:p>
    <w:p w14:paraId="27F281C5">
      <w:pPr>
        <w:widowControl/>
        <w:spacing w:before="50" w:after="50" w:line="440" w:lineRule="exact"/>
        <w:jc w:val="center"/>
        <w:outlineLvl w:val="9"/>
        <w:rPr>
          <w:rFonts w:ascii="宋体" w:hAnsi="宋体" w:eastAsia="宋体" w:cs="宋体"/>
          <w:sz w:val="24"/>
        </w:rPr>
      </w:pPr>
      <w:r>
        <w:rPr>
          <w:rFonts w:hint="eastAsia" w:ascii="宋体" w:hAnsi="宋体" w:eastAsia="宋体" w:cs="宋体"/>
          <w:color w:val="000000"/>
          <w:sz w:val="32"/>
          <w:szCs w:val="32"/>
        </w:rPr>
        <w:t>十五、技术方案、服务承诺、培训承诺等</w:t>
      </w:r>
    </w:p>
    <w:p w14:paraId="3291C1B9">
      <w:pPr>
        <w:pStyle w:val="9"/>
        <w:tabs>
          <w:tab w:val="left" w:pos="2160"/>
        </w:tabs>
        <w:spacing w:beforeAutospacing="0" w:afterAutospacing="0" w:line="440" w:lineRule="exact"/>
        <w:jc w:val="both"/>
        <w:outlineLvl w:val="9"/>
        <w:rPr>
          <w:rFonts w:ascii="宋体" w:hAnsi="宋体" w:eastAsia="宋体" w:cs="宋体"/>
        </w:rPr>
      </w:pPr>
    </w:p>
    <w:p w14:paraId="1CA15E07">
      <w:pPr>
        <w:widowControl/>
        <w:spacing w:line="440" w:lineRule="exact"/>
        <w:ind w:firstLine="1600"/>
        <w:outlineLvl w:val="9"/>
        <w:rPr>
          <w:rFonts w:ascii="宋体" w:hAnsi="宋体" w:eastAsia="宋体" w:cs="宋体"/>
          <w:color w:val="000000"/>
          <w:sz w:val="32"/>
          <w:szCs w:val="32"/>
        </w:rPr>
      </w:pPr>
    </w:p>
    <w:p w14:paraId="1A224A0E">
      <w:pPr>
        <w:widowControl/>
        <w:spacing w:line="440" w:lineRule="exact"/>
        <w:outlineLvl w:val="9"/>
        <w:rPr>
          <w:rFonts w:ascii="宋体" w:hAnsi="宋体" w:eastAsia="宋体" w:cs="宋体"/>
          <w:color w:val="000000"/>
          <w:sz w:val="32"/>
          <w:szCs w:val="32"/>
        </w:rPr>
      </w:pPr>
    </w:p>
    <w:p w14:paraId="7314011D">
      <w:pPr>
        <w:widowControl/>
        <w:spacing w:before="50" w:after="50" w:line="440" w:lineRule="exact"/>
        <w:jc w:val="center"/>
        <w:outlineLvl w:val="9"/>
        <w:rPr>
          <w:rFonts w:ascii="宋体" w:hAnsi="宋体" w:eastAsia="宋体" w:cs="宋体"/>
          <w:color w:val="000000"/>
          <w:sz w:val="32"/>
          <w:szCs w:val="32"/>
        </w:rPr>
      </w:pPr>
    </w:p>
    <w:p w14:paraId="40496EAD">
      <w:pPr>
        <w:widowControl/>
        <w:spacing w:before="50" w:after="50" w:line="440" w:lineRule="exact"/>
        <w:jc w:val="center"/>
        <w:outlineLvl w:val="9"/>
        <w:rPr>
          <w:rFonts w:ascii="宋体" w:hAnsi="宋体" w:eastAsia="宋体" w:cs="宋体"/>
          <w:color w:val="000000"/>
          <w:sz w:val="32"/>
          <w:szCs w:val="32"/>
        </w:rPr>
      </w:pPr>
    </w:p>
    <w:p w14:paraId="0C7AE434">
      <w:pPr>
        <w:widowControl/>
        <w:spacing w:before="50" w:after="50" w:line="440" w:lineRule="exact"/>
        <w:jc w:val="center"/>
        <w:outlineLvl w:val="9"/>
        <w:rPr>
          <w:rFonts w:ascii="宋体" w:hAnsi="宋体" w:eastAsia="宋体" w:cs="宋体"/>
          <w:color w:val="000000"/>
          <w:sz w:val="32"/>
          <w:szCs w:val="32"/>
        </w:rPr>
      </w:pPr>
    </w:p>
    <w:p w14:paraId="07A270E5">
      <w:pPr>
        <w:widowControl/>
        <w:spacing w:before="50" w:after="50" w:line="440" w:lineRule="exact"/>
        <w:jc w:val="center"/>
        <w:outlineLvl w:val="9"/>
        <w:rPr>
          <w:rFonts w:ascii="宋体" w:hAnsi="宋体" w:eastAsia="宋体" w:cs="宋体"/>
          <w:color w:val="000000"/>
          <w:sz w:val="32"/>
          <w:szCs w:val="32"/>
        </w:rPr>
      </w:pPr>
    </w:p>
    <w:p w14:paraId="3D782ED6">
      <w:pPr>
        <w:widowControl/>
        <w:spacing w:before="50" w:after="50" w:line="440" w:lineRule="exact"/>
        <w:jc w:val="center"/>
        <w:outlineLvl w:val="9"/>
        <w:rPr>
          <w:rFonts w:ascii="宋体" w:hAnsi="宋体" w:eastAsia="宋体" w:cs="宋体"/>
          <w:color w:val="000000"/>
          <w:sz w:val="32"/>
          <w:szCs w:val="32"/>
        </w:rPr>
      </w:pPr>
    </w:p>
    <w:p w14:paraId="7360EB5A">
      <w:pPr>
        <w:widowControl/>
        <w:spacing w:before="50" w:after="50" w:line="440" w:lineRule="exact"/>
        <w:jc w:val="center"/>
        <w:outlineLvl w:val="9"/>
        <w:rPr>
          <w:rFonts w:ascii="宋体" w:hAnsi="宋体" w:eastAsia="宋体" w:cs="宋体"/>
          <w:color w:val="000000"/>
          <w:sz w:val="32"/>
          <w:szCs w:val="32"/>
        </w:rPr>
      </w:pPr>
    </w:p>
    <w:p w14:paraId="7BFAD15B">
      <w:pPr>
        <w:widowControl/>
        <w:spacing w:before="50" w:after="50" w:line="440" w:lineRule="exact"/>
        <w:jc w:val="center"/>
        <w:outlineLvl w:val="9"/>
        <w:rPr>
          <w:rFonts w:ascii="宋体" w:hAnsi="宋体" w:eastAsia="宋体" w:cs="宋体"/>
          <w:color w:val="000000"/>
          <w:sz w:val="32"/>
          <w:szCs w:val="32"/>
        </w:rPr>
      </w:pPr>
    </w:p>
    <w:p w14:paraId="6F7F0E48">
      <w:pPr>
        <w:widowControl/>
        <w:spacing w:before="50" w:after="50" w:line="440" w:lineRule="exact"/>
        <w:jc w:val="center"/>
        <w:outlineLvl w:val="9"/>
        <w:rPr>
          <w:rFonts w:ascii="宋体" w:hAnsi="宋体" w:eastAsia="宋体" w:cs="宋体"/>
          <w:color w:val="000000"/>
          <w:sz w:val="32"/>
          <w:szCs w:val="32"/>
        </w:rPr>
      </w:pPr>
    </w:p>
    <w:p w14:paraId="7C3C9932">
      <w:pPr>
        <w:widowControl/>
        <w:spacing w:before="50" w:after="50" w:line="440" w:lineRule="exact"/>
        <w:jc w:val="center"/>
        <w:outlineLvl w:val="9"/>
        <w:rPr>
          <w:rFonts w:ascii="宋体" w:hAnsi="宋体" w:eastAsia="宋体" w:cs="宋体"/>
          <w:color w:val="000000"/>
          <w:sz w:val="32"/>
          <w:szCs w:val="32"/>
        </w:rPr>
      </w:pPr>
    </w:p>
    <w:p w14:paraId="0BCB03EE">
      <w:pPr>
        <w:widowControl/>
        <w:spacing w:before="50" w:after="50" w:line="440" w:lineRule="exact"/>
        <w:jc w:val="center"/>
        <w:outlineLvl w:val="9"/>
        <w:rPr>
          <w:rFonts w:ascii="宋体" w:hAnsi="宋体" w:eastAsia="宋体" w:cs="宋体"/>
          <w:color w:val="000000"/>
          <w:sz w:val="32"/>
          <w:szCs w:val="32"/>
        </w:rPr>
      </w:pPr>
    </w:p>
    <w:p w14:paraId="5082B17B">
      <w:pPr>
        <w:widowControl/>
        <w:spacing w:before="50" w:after="50" w:line="440" w:lineRule="exact"/>
        <w:jc w:val="center"/>
        <w:outlineLvl w:val="9"/>
        <w:rPr>
          <w:rFonts w:ascii="宋体" w:hAnsi="宋体" w:eastAsia="宋体" w:cs="宋体"/>
          <w:color w:val="000000"/>
          <w:sz w:val="32"/>
          <w:szCs w:val="32"/>
        </w:rPr>
      </w:pPr>
    </w:p>
    <w:p w14:paraId="0DEAC180">
      <w:pPr>
        <w:widowControl/>
        <w:spacing w:before="50" w:after="50" w:line="440" w:lineRule="exact"/>
        <w:jc w:val="center"/>
        <w:outlineLvl w:val="9"/>
        <w:rPr>
          <w:rFonts w:ascii="宋体" w:hAnsi="宋体" w:eastAsia="宋体" w:cs="宋体"/>
          <w:color w:val="000000"/>
          <w:sz w:val="32"/>
          <w:szCs w:val="32"/>
        </w:rPr>
      </w:pPr>
    </w:p>
    <w:p w14:paraId="1B0F4739">
      <w:pPr>
        <w:widowControl/>
        <w:spacing w:before="50" w:after="50" w:line="440" w:lineRule="exact"/>
        <w:jc w:val="center"/>
        <w:outlineLvl w:val="9"/>
        <w:rPr>
          <w:rFonts w:ascii="宋体" w:hAnsi="宋体" w:eastAsia="宋体" w:cs="宋体"/>
          <w:color w:val="000000"/>
          <w:sz w:val="32"/>
          <w:szCs w:val="32"/>
        </w:rPr>
      </w:pPr>
    </w:p>
    <w:p w14:paraId="48B39A35">
      <w:pPr>
        <w:widowControl/>
        <w:spacing w:before="50" w:after="50" w:line="440" w:lineRule="exact"/>
        <w:jc w:val="center"/>
        <w:outlineLvl w:val="9"/>
        <w:rPr>
          <w:rFonts w:ascii="宋体" w:hAnsi="宋体" w:eastAsia="宋体" w:cs="宋体"/>
          <w:color w:val="000000"/>
          <w:sz w:val="32"/>
          <w:szCs w:val="32"/>
        </w:rPr>
      </w:pPr>
    </w:p>
    <w:p w14:paraId="7DE1D6C7">
      <w:pPr>
        <w:widowControl/>
        <w:spacing w:before="50" w:after="50" w:line="440" w:lineRule="exact"/>
        <w:jc w:val="center"/>
        <w:outlineLvl w:val="9"/>
        <w:rPr>
          <w:rFonts w:ascii="宋体" w:hAnsi="宋体" w:eastAsia="宋体" w:cs="宋体"/>
          <w:color w:val="000000"/>
          <w:sz w:val="32"/>
          <w:szCs w:val="32"/>
        </w:rPr>
      </w:pPr>
    </w:p>
    <w:p w14:paraId="31E47A24">
      <w:pPr>
        <w:widowControl/>
        <w:spacing w:before="50" w:after="50" w:line="440" w:lineRule="exact"/>
        <w:jc w:val="center"/>
        <w:outlineLvl w:val="9"/>
        <w:rPr>
          <w:rFonts w:ascii="宋体" w:hAnsi="宋体" w:eastAsia="宋体" w:cs="宋体"/>
          <w:color w:val="000000"/>
          <w:sz w:val="32"/>
          <w:szCs w:val="32"/>
        </w:rPr>
      </w:pPr>
    </w:p>
    <w:p w14:paraId="6CA251B9">
      <w:pPr>
        <w:widowControl/>
        <w:spacing w:before="50" w:after="50" w:line="440" w:lineRule="exact"/>
        <w:jc w:val="center"/>
        <w:outlineLvl w:val="9"/>
        <w:rPr>
          <w:rFonts w:ascii="宋体" w:hAnsi="宋体" w:eastAsia="宋体" w:cs="宋体"/>
          <w:color w:val="000000"/>
          <w:sz w:val="32"/>
          <w:szCs w:val="32"/>
        </w:rPr>
      </w:pPr>
    </w:p>
    <w:p w14:paraId="5193F519">
      <w:pPr>
        <w:widowControl/>
        <w:spacing w:before="50" w:after="50" w:line="440" w:lineRule="exact"/>
        <w:jc w:val="center"/>
        <w:outlineLvl w:val="9"/>
        <w:rPr>
          <w:rFonts w:ascii="宋体" w:hAnsi="宋体" w:eastAsia="宋体" w:cs="宋体"/>
          <w:color w:val="000000"/>
          <w:sz w:val="32"/>
          <w:szCs w:val="32"/>
        </w:rPr>
      </w:pPr>
    </w:p>
    <w:p w14:paraId="351AB6F3">
      <w:pPr>
        <w:widowControl/>
        <w:spacing w:before="50" w:after="50" w:line="440" w:lineRule="exact"/>
        <w:jc w:val="center"/>
        <w:outlineLvl w:val="9"/>
        <w:rPr>
          <w:rFonts w:ascii="宋体" w:hAnsi="宋体" w:eastAsia="宋体" w:cs="宋体"/>
          <w:color w:val="000000"/>
          <w:sz w:val="32"/>
          <w:szCs w:val="32"/>
        </w:rPr>
      </w:pPr>
    </w:p>
    <w:p w14:paraId="55717A93">
      <w:pPr>
        <w:widowControl/>
        <w:spacing w:before="50" w:after="50" w:line="440" w:lineRule="exact"/>
        <w:jc w:val="center"/>
        <w:outlineLvl w:val="9"/>
        <w:rPr>
          <w:rFonts w:ascii="宋体" w:hAnsi="宋体" w:eastAsia="宋体" w:cs="宋体"/>
          <w:color w:val="000000"/>
          <w:sz w:val="32"/>
          <w:szCs w:val="32"/>
        </w:rPr>
      </w:pPr>
    </w:p>
    <w:p w14:paraId="607ACDBD">
      <w:pPr>
        <w:widowControl/>
        <w:spacing w:before="50" w:after="50" w:line="440" w:lineRule="exact"/>
        <w:jc w:val="center"/>
        <w:outlineLvl w:val="9"/>
        <w:rPr>
          <w:rFonts w:ascii="宋体" w:hAnsi="宋体" w:eastAsia="宋体" w:cs="宋体"/>
          <w:color w:val="000000"/>
          <w:sz w:val="32"/>
          <w:szCs w:val="32"/>
        </w:rPr>
      </w:pPr>
    </w:p>
    <w:p w14:paraId="346F1992">
      <w:pPr>
        <w:widowControl/>
        <w:spacing w:before="50" w:after="50" w:line="440" w:lineRule="exact"/>
        <w:jc w:val="center"/>
        <w:outlineLvl w:val="9"/>
        <w:rPr>
          <w:rFonts w:ascii="宋体" w:hAnsi="宋体" w:eastAsia="宋体" w:cs="宋体"/>
          <w:color w:val="000000"/>
          <w:sz w:val="32"/>
          <w:szCs w:val="32"/>
        </w:rPr>
      </w:pPr>
    </w:p>
    <w:p w14:paraId="5A45034B">
      <w:pPr>
        <w:widowControl/>
        <w:spacing w:before="50" w:after="50" w:line="440" w:lineRule="exact"/>
        <w:jc w:val="center"/>
        <w:outlineLvl w:val="9"/>
        <w:rPr>
          <w:rFonts w:ascii="宋体" w:hAnsi="宋体" w:eastAsia="宋体" w:cs="宋体"/>
          <w:color w:val="000000"/>
          <w:sz w:val="32"/>
          <w:szCs w:val="32"/>
        </w:rPr>
      </w:pPr>
    </w:p>
    <w:p w14:paraId="0DE2EADA">
      <w:pPr>
        <w:widowControl/>
        <w:spacing w:before="50" w:after="50" w:line="440" w:lineRule="exact"/>
        <w:jc w:val="center"/>
        <w:outlineLvl w:val="9"/>
        <w:rPr>
          <w:rFonts w:ascii="宋体" w:hAnsi="宋体" w:eastAsia="宋体" w:cs="宋体"/>
          <w:color w:val="000000"/>
          <w:sz w:val="32"/>
          <w:szCs w:val="32"/>
        </w:rPr>
      </w:pPr>
    </w:p>
    <w:p w14:paraId="1FB11023">
      <w:pPr>
        <w:widowControl/>
        <w:spacing w:before="50" w:after="50" w:line="440" w:lineRule="exact"/>
        <w:jc w:val="center"/>
        <w:outlineLvl w:val="9"/>
        <w:rPr>
          <w:rFonts w:ascii="宋体" w:hAnsi="宋体" w:eastAsia="宋体" w:cs="宋体"/>
          <w:color w:val="000000"/>
          <w:sz w:val="32"/>
          <w:szCs w:val="32"/>
        </w:rPr>
      </w:pPr>
      <w:r>
        <w:rPr>
          <w:rFonts w:hint="eastAsia" w:ascii="宋体" w:hAnsi="宋体" w:eastAsia="宋体" w:cs="宋体"/>
          <w:color w:val="000000"/>
          <w:sz w:val="32"/>
          <w:szCs w:val="32"/>
        </w:rPr>
        <w:t>十六、投标人认为需要提供的其他材料</w:t>
      </w:r>
    </w:p>
    <w:p w14:paraId="5A178ED8">
      <w:pPr>
        <w:widowControl/>
        <w:spacing w:line="440" w:lineRule="exact"/>
        <w:ind w:firstLine="1600"/>
        <w:outlineLvl w:val="9"/>
        <w:rPr>
          <w:rFonts w:ascii="宋体" w:hAnsi="宋体" w:eastAsia="宋体" w:cs="宋体"/>
          <w:color w:val="000000"/>
          <w:sz w:val="32"/>
          <w:szCs w:val="32"/>
        </w:rPr>
      </w:pPr>
    </w:p>
    <w:p w14:paraId="76C46AC1">
      <w:pPr>
        <w:widowControl/>
        <w:spacing w:line="440" w:lineRule="exact"/>
        <w:ind w:firstLine="1600"/>
        <w:outlineLvl w:val="9"/>
        <w:rPr>
          <w:rFonts w:ascii="宋体" w:hAnsi="宋体" w:eastAsia="宋体" w:cs="宋体"/>
          <w:color w:val="000000"/>
          <w:sz w:val="32"/>
          <w:szCs w:val="32"/>
        </w:rPr>
      </w:pPr>
    </w:p>
    <w:p w14:paraId="0A5DD781">
      <w:pPr>
        <w:widowControl/>
        <w:spacing w:line="440" w:lineRule="exact"/>
        <w:ind w:firstLine="1600"/>
        <w:outlineLvl w:val="9"/>
        <w:rPr>
          <w:rFonts w:ascii="宋体" w:hAnsi="宋体" w:eastAsia="宋体" w:cs="宋体"/>
          <w:color w:val="000000"/>
          <w:sz w:val="32"/>
          <w:szCs w:val="32"/>
        </w:rPr>
      </w:pPr>
    </w:p>
    <w:p w14:paraId="79FE1298">
      <w:pPr>
        <w:widowControl/>
        <w:spacing w:line="440" w:lineRule="exact"/>
        <w:ind w:firstLine="1600"/>
        <w:outlineLvl w:val="9"/>
        <w:rPr>
          <w:rFonts w:ascii="宋体" w:hAnsi="宋体" w:eastAsia="宋体" w:cs="宋体"/>
          <w:color w:val="000000"/>
          <w:sz w:val="32"/>
          <w:szCs w:val="32"/>
        </w:rPr>
      </w:pPr>
    </w:p>
    <w:p w14:paraId="0246D367">
      <w:pPr>
        <w:widowControl/>
        <w:spacing w:line="440" w:lineRule="exact"/>
        <w:ind w:firstLine="1600"/>
        <w:outlineLvl w:val="9"/>
        <w:rPr>
          <w:rFonts w:ascii="宋体" w:hAnsi="宋体" w:eastAsia="宋体" w:cs="宋体"/>
          <w:color w:val="000000"/>
          <w:sz w:val="32"/>
          <w:szCs w:val="32"/>
        </w:rPr>
      </w:pPr>
    </w:p>
    <w:p w14:paraId="3EAB62BF">
      <w:pPr>
        <w:widowControl/>
        <w:spacing w:line="440" w:lineRule="exact"/>
        <w:ind w:firstLine="1600"/>
        <w:outlineLvl w:val="9"/>
        <w:rPr>
          <w:rFonts w:ascii="宋体" w:hAnsi="宋体" w:eastAsia="宋体" w:cs="宋体"/>
          <w:color w:val="000000"/>
          <w:sz w:val="32"/>
          <w:szCs w:val="32"/>
        </w:rPr>
      </w:pPr>
    </w:p>
    <w:p w14:paraId="23B64E69">
      <w:pPr>
        <w:widowControl/>
        <w:spacing w:line="440" w:lineRule="exact"/>
        <w:ind w:firstLine="1600"/>
        <w:outlineLvl w:val="9"/>
        <w:rPr>
          <w:rFonts w:ascii="宋体" w:hAnsi="宋体" w:eastAsia="宋体" w:cs="宋体"/>
          <w:color w:val="000000"/>
          <w:sz w:val="32"/>
          <w:szCs w:val="32"/>
        </w:rPr>
      </w:pPr>
    </w:p>
    <w:p w14:paraId="47E02D00">
      <w:pPr>
        <w:widowControl/>
        <w:spacing w:line="440" w:lineRule="exact"/>
        <w:ind w:firstLine="1600"/>
        <w:outlineLvl w:val="9"/>
        <w:rPr>
          <w:rFonts w:ascii="宋体" w:hAnsi="宋体" w:eastAsia="宋体" w:cs="宋体"/>
          <w:color w:val="000000"/>
          <w:sz w:val="32"/>
          <w:szCs w:val="32"/>
        </w:rPr>
      </w:pPr>
    </w:p>
    <w:p w14:paraId="346D6524">
      <w:pPr>
        <w:widowControl/>
        <w:spacing w:line="440" w:lineRule="exact"/>
        <w:ind w:firstLine="1600"/>
        <w:outlineLvl w:val="9"/>
        <w:rPr>
          <w:rFonts w:ascii="宋体" w:hAnsi="宋体" w:eastAsia="宋体" w:cs="宋体"/>
          <w:color w:val="000000"/>
          <w:sz w:val="32"/>
          <w:szCs w:val="32"/>
        </w:rPr>
      </w:pPr>
    </w:p>
    <w:p w14:paraId="42DB1D8A">
      <w:pPr>
        <w:widowControl/>
        <w:spacing w:line="440" w:lineRule="exact"/>
        <w:ind w:firstLine="1600"/>
        <w:outlineLvl w:val="9"/>
        <w:rPr>
          <w:rFonts w:ascii="宋体" w:hAnsi="宋体" w:eastAsia="宋体" w:cs="宋体"/>
          <w:color w:val="000000"/>
          <w:sz w:val="32"/>
          <w:szCs w:val="32"/>
        </w:rPr>
      </w:pPr>
    </w:p>
    <w:p w14:paraId="1EC3021F">
      <w:pPr>
        <w:widowControl/>
        <w:spacing w:line="440" w:lineRule="exact"/>
        <w:ind w:firstLine="1600"/>
        <w:outlineLvl w:val="9"/>
        <w:rPr>
          <w:rFonts w:ascii="宋体" w:hAnsi="宋体" w:eastAsia="宋体" w:cs="宋体"/>
          <w:color w:val="000000"/>
          <w:sz w:val="32"/>
          <w:szCs w:val="32"/>
        </w:rPr>
      </w:pPr>
    </w:p>
    <w:p w14:paraId="5587A390">
      <w:pPr>
        <w:widowControl/>
        <w:spacing w:line="440" w:lineRule="exact"/>
        <w:ind w:firstLine="1600"/>
        <w:outlineLvl w:val="9"/>
        <w:rPr>
          <w:rFonts w:ascii="宋体" w:hAnsi="宋体" w:eastAsia="宋体" w:cs="宋体"/>
          <w:color w:val="000000"/>
          <w:sz w:val="32"/>
          <w:szCs w:val="32"/>
        </w:rPr>
      </w:pPr>
    </w:p>
    <w:p w14:paraId="778D029C">
      <w:pPr>
        <w:widowControl/>
        <w:spacing w:line="440" w:lineRule="exact"/>
        <w:ind w:firstLine="1600"/>
        <w:outlineLvl w:val="9"/>
        <w:rPr>
          <w:rFonts w:ascii="宋体" w:hAnsi="宋体" w:eastAsia="宋体" w:cs="宋体"/>
          <w:color w:val="000000"/>
          <w:sz w:val="32"/>
          <w:szCs w:val="32"/>
        </w:rPr>
      </w:pPr>
    </w:p>
    <w:p w14:paraId="381E09CB">
      <w:pPr>
        <w:widowControl/>
        <w:spacing w:line="440" w:lineRule="exact"/>
        <w:ind w:firstLine="1600"/>
        <w:outlineLvl w:val="9"/>
        <w:rPr>
          <w:rFonts w:ascii="宋体" w:hAnsi="宋体" w:eastAsia="宋体" w:cs="宋体"/>
          <w:color w:val="000000"/>
          <w:sz w:val="32"/>
          <w:szCs w:val="32"/>
        </w:rPr>
      </w:pPr>
    </w:p>
    <w:p w14:paraId="655DDF72">
      <w:pPr>
        <w:widowControl/>
        <w:spacing w:line="440" w:lineRule="exact"/>
        <w:ind w:firstLine="1600"/>
        <w:outlineLvl w:val="9"/>
        <w:rPr>
          <w:rFonts w:ascii="宋体" w:hAnsi="宋体" w:eastAsia="宋体" w:cs="宋体"/>
          <w:color w:val="000000"/>
          <w:sz w:val="32"/>
          <w:szCs w:val="32"/>
        </w:rPr>
      </w:pPr>
    </w:p>
    <w:p w14:paraId="28BF7123">
      <w:pPr>
        <w:widowControl/>
        <w:spacing w:line="440" w:lineRule="exact"/>
        <w:ind w:firstLine="1600"/>
        <w:outlineLvl w:val="9"/>
        <w:rPr>
          <w:rFonts w:ascii="宋体" w:hAnsi="宋体" w:eastAsia="宋体" w:cs="宋体"/>
          <w:color w:val="000000"/>
          <w:sz w:val="32"/>
          <w:szCs w:val="32"/>
        </w:rPr>
      </w:pPr>
    </w:p>
    <w:p w14:paraId="1CD57080">
      <w:pPr>
        <w:widowControl/>
        <w:spacing w:line="440" w:lineRule="exact"/>
        <w:ind w:firstLine="1600"/>
        <w:outlineLvl w:val="9"/>
        <w:rPr>
          <w:rFonts w:ascii="宋体" w:hAnsi="宋体" w:eastAsia="宋体" w:cs="宋体"/>
          <w:color w:val="000000"/>
          <w:sz w:val="32"/>
          <w:szCs w:val="32"/>
        </w:rPr>
      </w:pPr>
    </w:p>
    <w:p w14:paraId="571EDBCB">
      <w:pPr>
        <w:widowControl/>
        <w:spacing w:line="440" w:lineRule="exact"/>
        <w:ind w:firstLine="1600"/>
        <w:outlineLvl w:val="9"/>
        <w:rPr>
          <w:rFonts w:ascii="宋体" w:hAnsi="宋体" w:eastAsia="宋体" w:cs="宋体"/>
          <w:color w:val="000000"/>
          <w:sz w:val="32"/>
          <w:szCs w:val="32"/>
        </w:rPr>
      </w:pPr>
    </w:p>
    <w:p w14:paraId="3AEB1AEA">
      <w:pPr>
        <w:widowControl/>
        <w:spacing w:line="440" w:lineRule="exact"/>
        <w:ind w:firstLine="1600"/>
        <w:outlineLvl w:val="9"/>
        <w:rPr>
          <w:rFonts w:ascii="宋体" w:hAnsi="宋体" w:eastAsia="宋体" w:cs="宋体"/>
          <w:color w:val="000000"/>
          <w:sz w:val="32"/>
          <w:szCs w:val="32"/>
        </w:rPr>
      </w:pPr>
    </w:p>
    <w:p w14:paraId="7BB84D90">
      <w:pPr>
        <w:widowControl/>
        <w:spacing w:line="440" w:lineRule="exact"/>
        <w:ind w:firstLine="1600"/>
        <w:outlineLvl w:val="9"/>
        <w:rPr>
          <w:rFonts w:ascii="宋体" w:hAnsi="宋体" w:eastAsia="宋体" w:cs="宋体"/>
          <w:color w:val="000000"/>
          <w:sz w:val="32"/>
          <w:szCs w:val="32"/>
        </w:rPr>
      </w:pPr>
    </w:p>
    <w:p w14:paraId="2AF03392">
      <w:pPr>
        <w:widowControl/>
        <w:spacing w:line="440" w:lineRule="exact"/>
        <w:ind w:firstLine="1600"/>
        <w:outlineLvl w:val="9"/>
        <w:rPr>
          <w:rFonts w:ascii="宋体" w:hAnsi="宋体" w:eastAsia="宋体" w:cs="宋体"/>
          <w:color w:val="000000"/>
          <w:sz w:val="32"/>
          <w:szCs w:val="32"/>
        </w:rPr>
      </w:pPr>
    </w:p>
    <w:p w14:paraId="71A9831A">
      <w:pPr>
        <w:widowControl/>
        <w:spacing w:line="440" w:lineRule="exact"/>
        <w:ind w:firstLine="1600"/>
        <w:outlineLvl w:val="9"/>
        <w:rPr>
          <w:rFonts w:ascii="宋体" w:hAnsi="宋体" w:eastAsia="宋体" w:cs="宋体"/>
          <w:color w:val="000000"/>
          <w:sz w:val="32"/>
          <w:szCs w:val="32"/>
        </w:rPr>
      </w:pPr>
    </w:p>
    <w:p w14:paraId="53A76EF7">
      <w:pPr>
        <w:widowControl/>
        <w:spacing w:line="440" w:lineRule="exact"/>
        <w:ind w:firstLine="1600"/>
        <w:outlineLvl w:val="9"/>
        <w:rPr>
          <w:rFonts w:ascii="宋体" w:hAnsi="宋体" w:eastAsia="宋体" w:cs="宋体"/>
          <w:color w:val="000000"/>
          <w:sz w:val="32"/>
          <w:szCs w:val="32"/>
        </w:rPr>
      </w:pPr>
    </w:p>
    <w:p w14:paraId="4FF0D6FF">
      <w:pPr>
        <w:widowControl/>
        <w:spacing w:line="440" w:lineRule="exact"/>
        <w:ind w:firstLine="1600"/>
        <w:outlineLvl w:val="9"/>
        <w:rPr>
          <w:rFonts w:ascii="宋体" w:hAnsi="宋体" w:eastAsia="宋体" w:cs="宋体"/>
          <w:color w:val="000000"/>
          <w:sz w:val="32"/>
          <w:szCs w:val="32"/>
        </w:rPr>
      </w:pPr>
    </w:p>
    <w:p w14:paraId="7CA48798">
      <w:pPr>
        <w:widowControl/>
        <w:spacing w:line="440" w:lineRule="exact"/>
        <w:ind w:firstLine="1600"/>
        <w:outlineLvl w:val="9"/>
        <w:rPr>
          <w:rFonts w:ascii="宋体" w:hAnsi="宋体" w:eastAsia="宋体" w:cs="宋体"/>
          <w:color w:val="000000"/>
          <w:sz w:val="32"/>
          <w:szCs w:val="32"/>
        </w:rPr>
      </w:pPr>
    </w:p>
    <w:p w14:paraId="0C03FBBF">
      <w:pPr>
        <w:widowControl/>
        <w:spacing w:line="440" w:lineRule="exact"/>
        <w:ind w:firstLine="1600"/>
        <w:outlineLvl w:val="9"/>
        <w:rPr>
          <w:rFonts w:ascii="宋体" w:hAnsi="宋体" w:eastAsia="宋体" w:cs="宋体"/>
          <w:color w:val="000000"/>
          <w:sz w:val="32"/>
          <w:szCs w:val="32"/>
        </w:rPr>
      </w:pPr>
    </w:p>
    <w:p w14:paraId="7F0F9EA1">
      <w:pPr>
        <w:widowControl/>
        <w:spacing w:line="440" w:lineRule="exact"/>
        <w:ind w:firstLine="1600"/>
        <w:outlineLvl w:val="9"/>
        <w:rPr>
          <w:rFonts w:ascii="宋体" w:hAnsi="宋体" w:eastAsia="宋体" w:cs="宋体"/>
          <w:color w:val="000000"/>
          <w:sz w:val="32"/>
          <w:szCs w:val="32"/>
        </w:rPr>
      </w:pPr>
    </w:p>
    <w:p w14:paraId="4189A3A6">
      <w:pPr>
        <w:widowControl/>
        <w:spacing w:line="440" w:lineRule="exact"/>
        <w:ind w:firstLine="1600"/>
        <w:outlineLvl w:val="9"/>
        <w:rPr>
          <w:rFonts w:ascii="宋体" w:hAnsi="宋体" w:eastAsia="宋体" w:cs="宋体"/>
          <w:color w:val="000000"/>
          <w:sz w:val="32"/>
          <w:szCs w:val="32"/>
        </w:rPr>
      </w:pPr>
    </w:p>
    <w:p w14:paraId="213B4070">
      <w:pPr>
        <w:widowControl/>
        <w:spacing w:line="440" w:lineRule="exact"/>
        <w:ind w:firstLine="1600"/>
        <w:outlineLvl w:val="9"/>
        <w:rPr>
          <w:rFonts w:ascii="宋体" w:hAnsi="宋体" w:eastAsia="宋体" w:cs="宋体"/>
          <w:color w:val="000000"/>
          <w:sz w:val="32"/>
          <w:szCs w:val="32"/>
        </w:rPr>
      </w:pPr>
    </w:p>
    <w:p w14:paraId="43C43B44">
      <w:pPr>
        <w:widowControl/>
        <w:spacing w:line="440" w:lineRule="exact"/>
        <w:ind w:firstLine="1600"/>
        <w:outlineLvl w:val="9"/>
        <w:rPr>
          <w:rFonts w:ascii="宋体" w:hAnsi="宋体" w:eastAsia="宋体" w:cs="宋体"/>
          <w:color w:val="000000"/>
          <w:sz w:val="32"/>
          <w:szCs w:val="32"/>
        </w:rPr>
      </w:pPr>
    </w:p>
    <w:p w14:paraId="363EB6D4">
      <w:pPr>
        <w:widowControl/>
        <w:spacing w:line="440" w:lineRule="exact"/>
        <w:ind w:firstLine="1600"/>
        <w:outlineLvl w:val="9"/>
        <w:rPr>
          <w:rFonts w:ascii="宋体" w:hAnsi="宋体" w:eastAsia="宋体" w:cs="宋体"/>
          <w:sz w:val="24"/>
        </w:rPr>
      </w:pPr>
      <w:r>
        <w:rPr>
          <w:rFonts w:hint="eastAsia" w:ascii="宋体" w:hAnsi="宋体" w:eastAsia="宋体" w:cs="宋体"/>
          <w:color w:val="000000"/>
          <w:sz w:val="32"/>
          <w:szCs w:val="32"/>
        </w:rPr>
        <w:t>十七、盐城市政府采购事前信用承诺书</w:t>
      </w:r>
    </w:p>
    <w:p w14:paraId="0864D88B">
      <w:pPr>
        <w:widowControl/>
        <w:spacing w:line="440" w:lineRule="exact"/>
        <w:ind w:firstLine="640"/>
        <w:jc w:val="left"/>
        <w:outlineLvl w:val="9"/>
        <w:rPr>
          <w:rFonts w:ascii="宋体" w:hAnsi="宋体" w:eastAsia="宋体" w:cs="宋体"/>
          <w:sz w:val="24"/>
        </w:rPr>
      </w:pPr>
      <w:r>
        <w:rPr>
          <w:rFonts w:hint="eastAsia" w:ascii="宋体" w:hAnsi="宋体" w:eastAsia="宋体" w:cs="宋体"/>
          <w:color w:val="000000"/>
          <w:sz w:val="32"/>
          <w:szCs w:val="32"/>
        </w:rPr>
        <w:t> </w:t>
      </w:r>
    </w:p>
    <w:p w14:paraId="2B9E1C86">
      <w:pPr>
        <w:widowControl/>
        <w:spacing w:line="440" w:lineRule="exact"/>
        <w:ind w:firstLine="480"/>
        <w:jc w:val="left"/>
        <w:outlineLvl w:val="9"/>
        <w:rPr>
          <w:rFonts w:ascii="宋体" w:hAnsi="宋体" w:eastAsia="宋体" w:cs="宋体"/>
          <w:sz w:val="24"/>
        </w:rPr>
      </w:pPr>
      <w:r>
        <w:rPr>
          <w:rFonts w:hint="eastAsia" w:ascii="宋体" w:hAnsi="宋体" w:eastAsia="宋体" w:cs="宋体"/>
          <w:color w:val="000000"/>
          <w:sz w:val="24"/>
        </w:rPr>
        <w:t>为营造我市公开、公平、公正、诚实守信的政府采购交易环境，树立诚信守法的投标人形象，本人代表本单位作出以下承诺：</w:t>
      </w:r>
    </w:p>
    <w:p w14:paraId="71FDE507">
      <w:pPr>
        <w:widowControl/>
        <w:spacing w:line="440" w:lineRule="exact"/>
        <w:jc w:val="left"/>
        <w:outlineLvl w:val="9"/>
        <w:rPr>
          <w:rFonts w:ascii="宋体" w:hAnsi="宋体" w:eastAsia="宋体" w:cs="宋体"/>
          <w:sz w:val="24"/>
        </w:rPr>
      </w:pPr>
      <w:r>
        <w:rPr>
          <w:rFonts w:hint="eastAsia" w:ascii="宋体" w:hAnsi="宋体" w:eastAsia="宋体" w:cs="宋体"/>
          <w:color w:val="000000"/>
          <w:sz w:val="24"/>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6421E957">
      <w:pPr>
        <w:widowControl/>
        <w:spacing w:line="440" w:lineRule="exact"/>
        <w:ind w:firstLine="480"/>
        <w:jc w:val="left"/>
        <w:outlineLvl w:val="9"/>
        <w:rPr>
          <w:rFonts w:ascii="宋体" w:hAnsi="宋体" w:eastAsia="宋体" w:cs="宋体"/>
          <w:sz w:val="24"/>
        </w:rPr>
      </w:pPr>
      <w:r>
        <w:rPr>
          <w:rFonts w:hint="eastAsia" w:ascii="宋体" w:hAnsi="宋体" w:eastAsia="宋体" w:cs="宋体"/>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51D43A18">
      <w:pPr>
        <w:widowControl/>
        <w:spacing w:line="440" w:lineRule="exact"/>
        <w:jc w:val="left"/>
        <w:outlineLvl w:val="9"/>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p>
    <w:p w14:paraId="5074E6A7">
      <w:pPr>
        <w:widowControl/>
        <w:spacing w:line="440" w:lineRule="exact"/>
        <w:jc w:val="left"/>
        <w:outlineLvl w:val="9"/>
        <w:rPr>
          <w:rFonts w:ascii="宋体" w:hAnsi="宋体" w:eastAsia="宋体" w:cs="宋体"/>
          <w:sz w:val="24"/>
        </w:rPr>
      </w:pPr>
      <w:r>
        <w:rPr>
          <w:rFonts w:hint="eastAsia" w:ascii="宋体" w:hAnsi="宋体" w:eastAsia="宋体" w:cs="宋体"/>
          <w:color w:val="000000"/>
          <w:sz w:val="24"/>
        </w:rPr>
        <w:t>   （四）严格遵守即时信息公示规定，及时维护和更新维护和更新盐城市政府采购网中与本单位相关的信息；</w:t>
      </w:r>
    </w:p>
    <w:p w14:paraId="18A48529">
      <w:pPr>
        <w:widowControl/>
        <w:spacing w:line="440" w:lineRule="exact"/>
        <w:jc w:val="left"/>
        <w:outlineLvl w:val="9"/>
        <w:rPr>
          <w:rFonts w:ascii="宋体" w:hAnsi="宋体" w:eastAsia="宋体" w:cs="宋体"/>
          <w:sz w:val="24"/>
        </w:rPr>
      </w:pPr>
      <w:r>
        <w:rPr>
          <w:rFonts w:hint="eastAsia" w:ascii="宋体" w:hAnsi="宋体" w:eastAsia="宋体" w:cs="宋体"/>
          <w:color w:val="000000"/>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01F8A83B">
      <w:pPr>
        <w:widowControl/>
        <w:spacing w:line="440" w:lineRule="exact"/>
        <w:jc w:val="left"/>
        <w:outlineLvl w:val="9"/>
        <w:rPr>
          <w:rFonts w:ascii="宋体" w:hAnsi="宋体" w:eastAsia="宋体" w:cs="宋体"/>
          <w:sz w:val="24"/>
        </w:rPr>
      </w:pPr>
      <w:r>
        <w:rPr>
          <w:rFonts w:hint="eastAsia" w:ascii="宋体" w:hAnsi="宋体" w:eastAsia="宋体" w:cs="宋体"/>
          <w:color w:val="000000"/>
          <w:sz w:val="24"/>
        </w:rPr>
        <w:t>   （六）自觉接受政府、行业组织、社会公众、新闻舆论的监督；</w:t>
      </w:r>
    </w:p>
    <w:p w14:paraId="19D90AF4">
      <w:pPr>
        <w:widowControl/>
        <w:spacing w:line="440" w:lineRule="exact"/>
        <w:ind w:firstLine="480"/>
        <w:jc w:val="left"/>
        <w:outlineLvl w:val="9"/>
        <w:rPr>
          <w:rFonts w:ascii="宋体" w:hAnsi="宋体" w:eastAsia="宋体" w:cs="宋体"/>
          <w:sz w:val="24"/>
        </w:rPr>
      </w:pPr>
      <w:r>
        <w:rPr>
          <w:rFonts w:hint="eastAsia" w:ascii="宋体" w:hAnsi="宋体" w:eastAsia="宋体" w:cs="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7695198">
      <w:pPr>
        <w:widowControl/>
        <w:spacing w:line="440" w:lineRule="exact"/>
        <w:jc w:val="left"/>
        <w:outlineLvl w:val="9"/>
        <w:rPr>
          <w:rFonts w:ascii="宋体" w:hAnsi="宋体" w:eastAsia="宋体" w:cs="宋体"/>
          <w:sz w:val="24"/>
        </w:rPr>
      </w:pPr>
      <w:r>
        <w:rPr>
          <w:rFonts w:hint="eastAsia" w:ascii="宋体" w:hAnsi="宋体" w:eastAsia="宋体" w:cs="宋体"/>
          <w:color w:val="000000"/>
          <w:sz w:val="24"/>
        </w:rPr>
        <w:t>   （八）本人已认真阅读了上述承诺，并向本单位员工作了宣传教育。</w:t>
      </w:r>
    </w:p>
    <w:p w14:paraId="328B96F8">
      <w:pPr>
        <w:widowControl/>
        <w:spacing w:line="440" w:lineRule="exact"/>
        <w:jc w:val="left"/>
        <w:outlineLvl w:val="9"/>
        <w:rPr>
          <w:rFonts w:ascii="宋体" w:hAnsi="宋体" w:eastAsia="宋体" w:cs="宋体"/>
          <w:sz w:val="24"/>
        </w:rPr>
      </w:pPr>
      <w:r>
        <w:rPr>
          <w:rFonts w:hint="eastAsia" w:ascii="宋体" w:hAnsi="宋体" w:eastAsia="宋体" w:cs="宋体"/>
          <w:color w:val="000000"/>
          <w:sz w:val="24"/>
        </w:rPr>
        <w:t>                  法定代表人签名：</w:t>
      </w:r>
    </w:p>
    <w:p w14:paraId="75FD5CC5">
      <w:pPr>
        <w:widowControl/>
        <w:spacing w:line="440" w:lineRule="exact"/>
        <w:jc w:val="center"/>
        <w:outlineLvl w:val="9"/>
        <w:rPr>
          <w:rFonts w:ascii="宋体" w:hAnsi="宋体" w:eastAsia="宋体" w:cs="宋体"/>
          <w:sz w:val="24"/>
        </w:rPr>
      </w:pPr>
      <w:r>
        <w:rPr>
          <w:rFonts w:hint="eastAsia" w:ascii="宋体" w:hAnsi="宋体" w:eastAsia="宋体" w:cs="宋体"/>
          <w:color w:val="000000"/>
          <w:sz w:val="24"/>
        </w:rPr>
        <w:t>                   单位名称（盖章）：</w:t>
      </w:r>
    </w:p>
    <w:p w14:paraId="2174F955">
      <w:pPr>
        <w:widowControl/>
        <w:spacing w:line="440" w:lineRule="exact"/>
        <w:jc w:val="center"/>
        <w:outlineLvl w:val="9"/>
        <w:rPr>
          <w:rFonts w:ascii="宋体" w:hAnsi="宋体" w:eastAsia="宋体" w:cs="宋体"/>
          <w:sz w:val="24"/>
        </w:rPr>
      </w:pPr>
      <w:r>
        <w:rPr>
          <w:rFonts w:hint="eastAsia" w:ascii="宋体" w:hAnsi="宋体" w:eastAsia="宋体" w:cs="宋体"/>
          <w:color w:val="000000"/>
          <w:sz w:val="24"/>
        </w:rPr>
        <w:t>                      年月日</w:t>
      </w:r>
    </w:p>
    <w:p w14:paraId="4751D3CE">
      <w:pPr>
        <w:pStyle w:val="9"/>
        <w:spacing w:beforeAutospacing="0" w:afterAutospacing="0" w:line="440" w:lineRule="exact"/>
        <w:jc w:val="center"/>
        <w:outlineLvl w:val="9"/>
        <w:rPr>
          <w:rFonts w:ascii="宋体" w:hAnsi="宋体" w:eastAsia="宋体" w:cs="宋体"/>
        </w:rPr>
      </w:pPr>
    </w:p>
    <w:bookmarkEnd w:id="171"/>
    <w:bookmarkEnd w:id="172"/>
    <w:bookmarkEnd w:id="173"/>
    <w:bookmarkEnd w:id="174"/>
    <w:bookmarkEnd w:id="183"/>
    <w:bookmarkEnd w:id="184"/>
    <w:bookmarkEnd w:id="185"/>
    <w:bookmarkEnd w:id="186"/>
    <w:bookmarkEnd w:id="187"/>
    <w:p w14:paraId="2193BD18">
      <w:pPr>
        <w:spacing w:line="440" w:lineRule="exact"/>
        <w:outlineLvl w:val="9"/>
        <w:rPr>
          <w:rFonts w:ascii="宋体" w:hAnsi="宋体" w:eastAsia="宋体" w:cs="宋体"/>
        </w:rPr>
      </w:pPr>
    </w:p>
    <w:p w14:paraId="1880B736">
      <w:pPr>
        <w:spacing w:line="440" w:lineRule="exact"/>
        <w:outlineLvl w:val="9"/>
        <w:rPr>
          <w:rFonts w:ascii="宋体" w:hAnsi="宋体" w:eastAsia="宋体" w:cs="宋体"/>
        </w:rPr>
      </w:pPr>
    </w:p>
    <w:p w14:paraId="396A5E51">
      <w:pPr>
        <w:spacing w:line="440" w:lineRule="exact"/>
        <w:outlineLvl w:val="9"/>
        <w:rPr>
          <w:rFonts w:ascii="宋体" w:hAnsi="宋体" w:eastAsia="宋体" w:cs="宋体"/>
        </w:rPr>
      </w:pPr>
    </w:p>
    <w:p w14:paraId="41D50170">
      <w:pPr>
        <w:spacing w:line="440" w:lineRule="exact"/>
        <w:outlineLvl w:val="9"/>
        <w:rPr>
          <w:rFonts w:ascii="宋体" w:hAnsi="宋体" w:eastAsia="宋体" w:cs="宋体"/>
        </w:rPr>
      </w:pPr>
    </w:p>
    <w:p w14:paraId="38DE9483">
      <w:pPr>
        <w:outlineLvl w:val="9"/>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r>
    </w:p>
    <w:p w14:paraId="57F8372F">
      <w:pPr>
        <w:pStyle w:val="9"/>
        <w:spacing w:beforeAutospacing="0" w:afterAutospacing="0" w:line="440" w:lineRule="exact"/>
        <w:jc w:val="center"/>
        <w:outlineLvl w:val="9"/>
        <w:rPr>
          <w:rFonts w:ascii="宋体" w:hAnsi="宋体" w:eastAsia="宋体" w:cs="宋体"/>
          <w:b/>
          <w:color w:val="000000"/>
          <w:sz w:val="32"/>
          <w:szCs w:val="32"/>
        </w:rPr>
      </w:pPr>
      <w:r>
        <w:rPr>
          <w:rFonts w:hint="eastAsia" w:ascii="宋体" w:hAnsi="宋体" w:eastAsia="宋体" w:cs="宋体"/>
          <w:b/>
          <w:color w:val="000000"/>
          <w:sz w:val="32"/>
          <w:szCs w:val="32"/>
        </w:rPr>
        <w:t>质疑函范本</w:t>
      </w:r>
    </w:p>
    <w:p w14:paraId="137A1806">
      <w:pPr>
        <w:pStyle w:val="9"/>
        <w:spacing w:before="290" w:beforeAutospacing="0" w:afterAutospacing="0" w:line="440" w:lineRule="exact"/>
        <w:jc w:val="both"/>
        <w:outlineLvl w:val="9"/>
        <w:rPr>
          <w:rFonts w:ascii="宋体" w:hAnsi="宋体" w:eastAsia="宋体" w:cs="宋体"/>
        </w:rPr>
      </w:pPr>
      <w:r>
        <w:rPr>
          <w:rFonts w:hint="eastAsia" w:ascii="宋体" w:hAnsi="宋体" w:eastAsia="宋体" w:cs="宋体"/>
          <w:color w:val="000000"/>
        </w:rPr>
        <w:t>一、质疑供应商基本信息</w:t>
      </w:r>
    </w:p>
    <w:p w14:paraId="5388C61A">
      <w:pPr>
        <w:pStyle w:val="9"/>
        <w:spacing w:beforeAutospacing="0" w:afterAutospacing="0" w:line="440" w:lineRule="exact"/>
        <w:jc w:val="both"/>
        <w:outlineLvl w:val="9"/>
        <w:rPr>
          <w:rFonts w:ascii="宋体" w:hAnsi="宋体" w:eastAsia="宋体" w:cs="宋体"/>
        </w:rPr>
      </w:pPr>
      <w:r>
        <w:rPr>
          <w:rFonts w:hint="eastAsia" w:ascii="宋体" w:hAnsi="宋体" w:eastAsia="宋体" w:cs="宋体"/>
          <w:color w:val="000000"/>
        </w:rPr>
        <w:t>质疑供应商：</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2DF7480B">
      <w:pPr>
        <w:pStyle w:val="9"/>
        <w:spacing w:beforeAutospacing="0" w:afterAutospacing="0" w:line="440" w:lineRule="exact"/>
        <w:jc w:val="both"/>
        <w:outlineLvl w:val="9"/>
        <w:rPr>
          <w:rFonts w:ascii="宋体" w:hAnsi="宋体" w:eastAsia="宋体" w:cs="宋体"/>
          <w:color w:val="000000"/>
          <w:u w:val="single"/>
        </w:rPr>
      </w:pPr>
      <w:r>
        <w:rPr>
          <w:rFonts w:hint="eastAsia" w:ascii="宋体" w:hAnsi="宋体" w:eastAsia="宋体" w:cs="宋体"/>
          <w:color w:val="000000"/>
        </w:rPr>
        <w:t>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699C8566">
      <w:pPr>
        <w:pStyle w:val="9"/>
        <w:spacing w:beforeAutospacing="0" w:afterAutospacing="0" w:line="440" w:lineRule="exact"/>
        <w:jc w:val="both"/>
        <w:outlineLvl w:val="9"/>
        <w:rPr>
          <w:rFonts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635BFFBF">
      <w:pPr>
        <w:pStyle w:val="9"/>
        <w:spacing w:beforeAutospacing="0" w:afterAutospacing="0" w:line="440" w:lineRule="exact"/>
        <w:jc w:val="both"/>
        <w:outlineLvl w:val="9"/>
        <w:rPr>
          <w:rFonts w:ascii="宋体" w:hAnsi="宋体" w:eastAsia="宋体" w:cs="宋体"/>
          <w:color w:val="000000"/>
          <w:u w:val="single"/>
        </w:rPr>
      </w:pPr>
      <w:r>
        <w:rPr>
          <w:rFonts w:hint="eastAsia" w:ascii="宋体" w:hAnsi="宋体" w:eastAsia="宋体" w:cs="宋体"/>
          <w:color w:val="000000"/>
        </w:rPr>
        <w:t>联系人：</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5A8BC0FB">
      <w:pPr>
        <w:pStyle w:val="9"/>
        <w:spacing w:beforeAutospacing="0" w:afterAutospacing="0" w:line="440" w:lineRule="exact"/>
        <w:jc w:val="both"/>
        <w:outlineLvl w:val="9"/>
        <w:rPr>
          <w:rFonts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xml:space="preserve">                                           </w:t>
      </w:r>
    </w:p>
    <w:p w14:paraId="503EB314">
      <w:pPr>
        <w:pStyle w:val="9"/>
        <w:spacing w:beforeAutospacing="0" w:afterAutospacing="0" w:line="440" w:lineRule="exact"/>
        <w:jc w:val="both"/>
        <w:outlineLvl w:val="9"/>
        <w:rPr>
          <w:rFonts w:ascii="宋体" w:hAnsi="宋体" w:eastAsia="宋体" w:cs="宋体"/>
        </w:rPr>
      </w:pPr>
      <w:r>
        <w:rPr>
          <w:rFonts w:hint="eastAsia" w:ascii="宋体" w:hAnsi="宋体" w:eastAsia="宋体" w:cs="宋体"/>
          <w:color w:val="000000"/>
        </w:rPr>
        <w:t>授权代表：</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3F08441D">
      <w:pPr>
        <w:pStyle w:val="9"/>
        <w:spacing w:beforeAutospacing="0" w:afterAutospacing="0" w:line="440" w:lineRule="exact"/>
        <w:jc w:val="both"/>
        <w:outlineLvl w:val="9"/>
        <w:rPr>
          <w:rFonts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392AB349">
      <w:pPr>
        <w:pStyle w:val="9"/>
        <w:spacing w:beforeAutospacing="0" w:afterAutospacing="0" w:line="440" w:lineRule="exact"/>
        <w:jc w:val="both"/>
        <w:outlineLvl w:val="9"/>
        <w:rPr>
          <w:rFonts w:ascii="宋体" w:hAnsi="宋体" w:eastAsia="宋体" w:cs="宋体"/>
          <w:color w:val="000000"/>
          <w:u w:val="single"/>
        </w:rPr>
      </w:pPr>
      <w:r>
        <w:rPr>
          <w:rFonts w:hint="eastAsia" w:ascii="宋体" w:hAnsi="宋体" w:eastAsia="宋体" w:cs="宋体"/>
          <w:color w:val="000000"/>
        </w:rPr>
        <w:t>地址： </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63F0486A">
      <w:pPr>
        <w:pStyle w:val="9"/>
        <w:spacing w:beforeAutospacing="0" w:afterAutospacing="0" w:line="440" w:lineRule="exact"/>
        <w:jc w:val="both"/>
        <w:outlineLvl w:val="9"/>
        <w:rPr>
          <w:rFonts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xml:space="preserve">                                </w:t>
      </w:r>
    </w:p>
    <w:p w14:paraId="70845708">
      <w:pPr>
        <w:pStyle w:val="9"/>
        <w:spacing w:beforeAutospacing="0" w:afterAutospacing="0" w:line="440" w:lineRule="exact"/>
        <w:jc w:val="both"/>
        <w:outlineLvl w:val="9"/>
        <w:rPr>
          <w:rFonts w:ascii="宋体" w:hAnsi="宋体" w:eastAsia="宋体" w:cs="宋体"/>
        </w:rPr>
      </w:pPr>
      <w:r>
        <w:rPr>
          <w:rFonts w:hint="eastAsia" w:ascii="宋体" w:hAnsi="宋体" w:eastAsia="宋体" w:cs="宋体"/>
          <w:color w:val="000000"/>
        </w:rPr>
        <w:t>二、质疑项目基本情况</w:t>
      </w:r>
    </w:p>
    <w:p w14:paraId="38EFBFE4">
      <w:pPr>
        <w:pStyle w:val="9"/>
        <w:spacing w:beforeAutospacing="0" w:afterAutospacing="0" w:line="440" w:lineRule="exact"/>
        <w:jc w:val="both"/>
        <w:outlineLvl w:val="9"/>
        <w:rPr>
          <w:rFonts w:ascii="宋体" w:hAnsi="宋体" w:eastAsia="宋体" w:cs="宋体"/>
        </w:rPr>
      </w:pPr>
      <w:r>
        <w:rPr>
          <w:rFonts w:hint="eastAsia" w:ascii="宋体" w:hAnsi="宋体" w:eastAsia="宋体" w:cs="宋体"/>
          <w:color w:val="000000"/>
        </w:rPr>
        <w:t>质疑项目的名称：</w:t>
      </w:r>
      <w:r>
        <w:rPr>
          <w:rFonts w:hint="eastAsia" w:ascii="宋体" w:hAnsi="宋体" w:eastAsia="宋体" w:cs="宋体"/>
          <w:color w:val="000000"/>
          <w:u w:val="single"/>
        </w:rPr>
        <w:t xml:space="preserve">                            </w:t>
      </w:r>
    </w:p>
    <w:p w14:paraId="66DA6FF2">
      <w:pPr>
        <w:pStyle w:val="9"/>
        <w:spacing w:beforeAutospacing="0" w:afterAutospacing="0" w:line="440" w:lineRule="exact"/>
        <w:jc w:val="both"/>
        <w:outlineLvl w:val="9"/>
        <w:rPr>
          <w:rFonts w:ascii="宋体" w:hAnsi="宋体" w:eastAsia="宋体" w:cs="宋体"/>
          <w:color w:val="000000"/>
          <w:u w:val="single"/>
        </w:rPr>
      </w:pPr>
      <w:r>
        <w:rPr>
          <w:rFonts w:hint="eastAsia" w:ascii="宋体" w:hAnsi="宋体" w:eastAsia="宋体" w:cs="宋体"/>
          <w:color w:val="000000"/>
        </w:rPr>
        <w:t>质疑项目的编号：</w:t>
      </w:r>
      <w:r>
        <w:rPr>
          <w:rFonts w:hint="eastAsia" w:ascii="宋体" w:hAnsi="宋体" w:eastAsia="宋体" w:cs="宋体"/>
          <w:color w:val="000000"/>
          <w:u w:val="single"/>
        </w:rPr>
        <w:t xml:space="preserve">                          </w:t>
      </w:r>
    </w:p>
    <w:p w14:paraId="6977BBBB">
      <w:pPr>
        <w:pStyle w:val="9"/>
        <w:spacing w:beforeAutospacing="0" w:afterAutospacing="0" w:line="440" w:lineRule="exact"/>
        <w:jc w:val="both"/>
        <w:outlineLvl w:val="9"/>
        <w:rPr>
          <w:rFonts w:ascii="宋体" w:hAnsi="宋体" w:eastAsia="宋体" w:cs="宋体"/>
        </w:rPr>
      </w:pPr>
      <w:r>
        <w:rPr>
          <w:rFonts w:hint="eastAsia" w:ascii="宋体" w:hAnsi="宋体" w:eastAsia="宋体" w:cs="宋体"/>
          <w:color w:val="000000"/>
        </w:rPr>
        <w:t>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04A6626E">
      <w:pPr>
        <w:pStyle w:val="9"/>
        <w:spacing w:beforeAutospacing="0" w:afterAutospacing="0" w:line="440" w:lineRule="exact"/>
        <w:jc w:val="both"/>
        <w:outlineLvl w:val="9"/>
        <w:rPr>
          <w:rFonts w:ascii="宋体" w:hAnsi="宋体" w:eastAsia="宋体" w:cs="宋体"/>
        </w:rPr>
      </w:pPr>
      <w:r>
        <w:rPr>
          <w:rFonts w:hint="eastAsia" w:ascii="宋体" w:hAnsi="宋体" w:eastAsia="宋体" w:cs="宋体"/>
          <w:color w:val="000000"/>
        </w:rPr>
        <w:t>采购人名称：</w:t>
      </w:r>
      <w:r>
        <w:rPr>
          <w:rFonts w:hint="eastAsia" w:ascii="宋体" w:hAnsi="宋体" w:eastAsia="宋体" w:cs="宋体"/>
          <w:color w:val="000000"/>
          <w:u w:val="single"/>
        </w:rPr>
        <w:t xml:space="preserve">                            </w:t>
      </w:r>
    </w:p>
    <w:p w14:paraId="20A3D33E">
      <w:pPr>
        <w:pStyle w:val="9"/>
        <w:spacing w:beforeAutospacing="0" w:afterAutospacing="0" w:line="440" w:lineRule="exact"/>
        <w:jc w:val="both"/>
        <w:outlineLvl w:val="9"/>
        <w:rPr>
          <w:rFonts w:ascii="宋体" w:hAnsi="宋体" w:eastAsia="宋体" w:cs="宋体"/>
        </w:rPr>
      </w:pPr>
      <w:r>
        <w:rPr>
          <w:rFonts w:hint="eastAsia" w:ascii="宋体" w:hAnsi="宋体" w:eastAsia="宋体" w:cs="宋体"/>
          <w:color w:val="000000"/>
        </w:rPr>
        <w:t>采购文件获取日期：</w:t>
      </w:r>
      <w:r>
        <w:rPr>
          <w:rFonts w:hint="eastAsia" w:ascii="宋体" w:hAnsi="宋体" w:eastAsia="宋体" w:cs="宋体"/>
          <w:color w:val="000000"/>
          <w:u w:val="single"/>
        </w:rPr>
        <w:t xml:space="preserve">                             </w:t>
      </w:r>
    </w:p>
    <w:p w14:paraId="3CF97931">
      <w:pPr>
        <w:pStyle w:val="9"/>
        <w:spacing w:beforeAutospacing="0" w:afterAutospacing="0" w:line="440" w:lineRule="exact"/>
        <w:jc w:val="both"/>
        <w:outlineLvl w:val="9"/>
        <w:rPr>
          <w:rFonts w:ascii="宋体" w:hAnsi="宋体" w:eastAsia="宋体" w:cs="宋体"/>
        </w:rPr>
      </w:pPr>
      <w:r>
        <w:rPr>
          <w:rFonts w:hint="eastAsia" w:ascii="宋体" w:hAnsi="宋体" w:eastAsia="宋体" w:cs="宋体"/>
          <w:color w:val="000000"/>
        </w:rPr>
        <w:t>三、质疑事项具体内容</w:t>
      </w:r>
    </w:p>
    <w:p w14:paraId="22CCD53B">
      <w:pPr>
        <w:pStyle w:val="9"/>
        <w:spacing w:beforeAutospacing="0" w:afterAutospacing="0" w:line="440" w:lineRule="exact"/>
        <w:jc w:val="both"/>
        <w:outlineLvl w:val="9"/>
        <w:rPr>
          <w:rFonts w:ascii="宋体" w:hAnsi="宋体" w:eastAsia="宋体" w:cs="宋体"/>
        </w:rPr>
      </w:pPr>
      <w:r>
        <w:rPr>
          <w:rFonts w:hint="eastAsia" w:ascii="宋体" w:hAnsi="宋体" w:eastAsia="宋体" w:cs="宋体"/>
          <w:color w:val="000000"/>
        </w:rPr>
        <w:t>质疑事项1：</w:t>
      </w:r>
      <w:r>
        <w:rPr>
          <w:rFonts w:hint="eastAsia" w:ascii="宋体" w:hAnsi="宋体" w:eastAsia="宋体" w:cs="宋体"/>
          <w:color w:val="000000"/>
          <w:u w:val="single"/>
        </w:rPr>
        <w:t xml:space="preserve">                             </w:t>
      </w:r>
    </w:p>
    <w:p w14:paraId="5178BD67">
      <w:pPr>
        <w:pStyle w:val="9"/>
        <w:spacing w:beforeAutospacing="0" w:afterAutospacing="0" w:line="440" w:lineRule="exact"/>
        <w:outlineLvl w:val="9"/>
        <w:rPr>
          <w:rFonts w:ascii="宋体" w:hAnsi="宋体" w:eastAsia="宋体" w:cs="宋体"/>
        </w:rPr>
      </w:pPr>
      <w:r>
        <w:rPr>
          <w:rFonts w:hint="eastAsia" w:ascii="宋体" w:hAnsi="宋体" w:eastAsia="宋体" w:cs="宋体"/>
          <w:color w:val="000000"/>
        </w:rPr>
        <w:t>事实依据：</w:t>
      </w:r>
      <w:r>
        <w:rPr>
          <w:rFonts w:hint="eastAsia" w:ascii="宋体" w:hAnsi="宋体" w:eastAsia="宋体" w:cs="宋体"/>
          <w:color w:val="000000"/>
          <w:u w:val="single"/>
        </w:rPr>
        <w:t xml:space="preserve">                                                   </w:t>
      </w:r>
    </w:p>
    <w:p w14:paraId="50F61DEE">
      <w:pPr>
        <w:pStyle w:val="9"/>
        <w:spacing w:beforeAutospacing="0" w:afterAutospacing="0" w:line="440" w:lineRule="exact"/>
        <w:jc w:val="both"/>
        <w:outlineLvl w:val="9"/>
        <w:rPr>
          <w:rFonts w:ascii="宋体" w:hAnsi="宋体" w:eastAsia="宋体" w:cs="宋体"/>
        </w:rPr>
      </w:pPr>
      <w:r>
        <w:rPr>
          <w:rFonts w:hint="eastAsia" w:ascii="宋体" w:hAnsi="宋体" w:eastAsia="宋体" w:cs="宋体"/>
          <w:color w:val="000000"/>
        </w:rPr>
        <w:t>法律依据：</w:t>
      </w:r>
      <w:r>
        <w:rPr>
          <w:rFonts w:hint="eastAsia" w:ascii="宋体" w:hAnsi="宋体" w:eastAsia="宋体" w:cs="宋体"/>
          <w:color w:val="000000"/>
          <w:u w:val="single"/>
        </w:rPr>
        <w:t xml:space="preserve">                                                    </w:t>
      </w:r>
    </w:p>
    <w:p w14:paraId="01E67A21">
      <w:pPr>
        <w:pStyle w:val="9"/>
        <w:spacing w:beforeAutospacing="0" w:afterAutospacing="0" w:line="440" w:lineRule="exact"/>
        <w:jc w:val="both"/>
        <w:outlineLvl w:val="9"/>
        <w:rPr>
          <w:rFonts w:ascii="宋体" w:hAnsi="宋体" w:eastAsia="宋体" w:cs="宋体"/>
        </w:rPr>
      </w:pPr>
      <w:r>
        <w:rPr>
          <w:rFonts w:hint="eastAsia" w:ascii="宋体" w:hAnsi="宋体" w:eastAsia="宋体" w:cs="宋体"/>
          <w:color w:val="000000"/>
        </w:rPr>
        <w:t>质疑事项2</w:t>
      </w:r>
    </w:p>
    <w:p w14:paraId="227BEC38">
      <w:pPr>
        <w:pStyle w:val="9"/>
        <w:spacing w:beforeAutospacing="0" w:afterAutospacing="0" w:line="440" w:lineRule="exact"/>
        <w:jc w:val="both"/>
        <w:outlineLvl w:val="9"/>
        <w:rPr>
          <w:rFonts w:ascii="宋体" w:hAnsi="宋体" w:eastAsia="宋体" w:cs="宋体"/>
        </w:rPr>
      </w:pPr>
      <w:r>
        <w:rPr>
          <w:rFonts w:hint="eastAsia" w:ascii="宋体" w:hAnsi="宋体" w:eastAsia="宋体" w:cs="宋体"/>
          <w:color w:val="000000"/>
        </w:rPr>
        <w:t>……</w:t>
      </w:r>
    </w:p>
    <w:p w14:paraId="7E6E5BD8">
      <w:pPr>
        <w:pStyle w:val="9"/>
        <w:spacing w:beforeAutospacing="0" w:afterAutospacing="0" w:line="440" w:lineRule="exact"/>
        <w:jc w:val="both"/>
        <w:outlineLvl w:val="9"/>
        <w:rPr>
          <w:rFonts w:ascii="宋体" w:hAnsi="宋体" w:eastAsia="宋体" w:cs="宋体"/>
        </w:rPr>
      </w:pPr>
      <w:r>
        <w:rPr>
          <w:rFonts w:hint="eastAsia" w:ascii="宋体" w:hAnsi="宋体" w:eastAsia="宋体" w:cs="宋体"/>
          <w:color w:val="000000"/>
        </w:rPr>
        <w:t>四、与质疑事项相关的质疑请求</w:t>
      </w:r>
    </w:p>
    <w:p w14:paraId="76B79AA2">
      <w:pPr>
        <w:pStyle w:val="9"/>
        <w:spacing w:beforeAutospacing="0" w:afterAutospacing="0" w:line="440" w:lineRule="exact"/>
        <w:jc w:val="both"/>
        <w:outlineLvl w:val="9"/>
        <w:rPr>
          <w:rFonts w:ascii="宋体" w:hAnsi="宋体" w:eastAsia="宋体" w:cs="宋体"/>
        </w:rPr>
      </w:pPr>
      <w:r>
        <w:rPr>
          <w:rFonts w:hint="eastAsia" w:ascii="宋体" w:hAnsi="宋体" w:eastAsia="宋体" w:cs="宋体"/>
          <w:color w:val="000000"/>
        </w:rPr>
        <w:t>请求：</w:t>
      </w:r>
      <w:r>
        <w:rPr>
          <w:rFonts w:hint="eastAsia" w:ascii="宋体" w:hAnsi="宋体" w:eastAsia="宋体" w:cs="宋体"/>
          <w:color w:val="000000"/>
          <w:u w:val="single"/>
        </w:rPr>
        <w:t xml:space="preserve">                                                          </w:t>
      </w:r>
    </w:p>
    <w:p w14:paraId="71425A9F">
      <w:pPr>
        <w:pStyle w:val="9"/>
        <w:spacing w:beforeAutospacing="0" w:afterAutospacing="0" w:line="440" w:lineRule="exact"/>
        <w:jc w:val="both"/>
        <w:outlineLvl w:val="9"/>
        <w:rPr>
          <w:rFonts w:ascii="宋体" w:hAnsi="宋体" w:eastAsia="宋体" w:cs="宋体"/>
        </w:rPr>
      </w:pPr>
      <w:r>
        <w:rPr>
          <w:rFonts w:hint="eastAsia" w:ascii="宋体" w:hAnsi="宋体" w:eastAsia="宋体" w:cs="宋体"/>
          <w:color w:val="000000"/>
        </w:rPr>
        <w:t xml:space="preserve">签字(签章)：                 公章：               日期：    </w:t>
      </w:r>
    </w:p>
    <w:p w14:paraId="3D8D8FBA">
      <w:pPr>
        <w:pStyle w:val="9"/>
        <w:spacing w:beforeAutospacing="0" w:afterAutospacing="0" w:line="440" w:lineRule="exact"/>
        <w:jc w:val="both"/>
        <w:outlineLvl w:val="9"/>
        <w:rPr>
          <w:rFonts w:ascii="宋体" w:hAnsi="宋体" w:eastAsia="宋体" w:cs="宋体"/>
        </w:rPr>
      </w:pPr>
      <w:r>
        <w:rPr>
          <w:rFonts w:hint="eastAsia" w:ascii="宋体" w:hAnsi="宋体" w:eastAsia="宋体" w:cs="宋体"/>
          <w:b/>
          <w:color w:val="000000"/>
        </w:rPr>
        <w:t>质疑函制作说明：</w:t>
      </w:r>
    </w:p>
    <w:p w14:paraId="365E593E">
      <w:pPr>
        <w:pStyle w:val="9"/>
        <w:widowControl/>
        <w:spacing w:beforeAutospacing="0" w:afterAutospacing="0" w:line="440" w:lineRule="exact"/>
        <w:ind w:firstLine="480"/>
        <w:outlineLvl w:val="9"/>
        <w:rPr>
          <w:rFonts w:ascii="宋体" w:hAnsi="宋体" w:eastAsia="宋体" w:cs="宋体"/>
        </w:rPr>
      </w:pPr>
      <w:r>
        <w:rPr>
          <w:rFonts w:hint="eastAsia" w:ascii="宋体" w:hAnsi="宋体" w:eastAsia="宋体" w:cs="宋体"/>
          <w:color w:val="000000"/>
        </w:rPr>
        <w:t>1.供应商提出质疑时，应提交质疑函和必要的证明材料。</w:t>
      </w:r>
    </w:p>
    <w:p w14:paraId="339679B2">
      <w:pPr>
        <w:pStyle w:val="9"/>
        <w:widowControl/>
        <w:spacing w:beforeAutospacing="0" w:afterAutospacing="0" w:line="440" w:lineRule="exact"/>
        <w:ind w:firstLine="480"/>
        <w:outlineLvl w:val="9"/>
        <w:rPr>
          <w:rFonts w:ascii="宋体" w:hAnsi="宋体" w:eastAsia="宋体" w:cs="宋体"/>
        </w:rPr>
      </w:pPr>
      <w:r>
        <w:rPr>
          <w:rFonts w:hint="eastAsia" w:ascii="宋体" w:hAnsi="宋体" w:eastAsia="宋体" w:cs="宋体"/>
          <w:color w:val="000000"/>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2E412EC">
      <w:pPr>
        <w:pStyle w:val="9"/>
        <w:widowControl/>
        <w:spacing w:beforeAutospacing="0" w:afterAutospacing="0" w:line="440" w:lineRule="exact"/>
        <w:ind w:firstLine="480"/>
        <w:outlineLvl w:val="9"/>
        <w:rPr>
          <w:rFonts w:ascii="宋体" w:hAnsi="宋体" w:eastAsia="宋体" w:cs="宋体"/>
        </w:rPr>
      </w:pPr>
      <w:r>
        <w:rPr>
          <w:rFonts w:hint="eastAsia" w:ascii="宋体" w:hAnsi="宋体" w:eastAsia="宋体" w:cs="宋体"/>
          <w:color w:val="000000"/>
        </w:rPr>
        <w:t>3.质疑供应商若对项目的某一分包进行质疑，质疑函中应列明具体分包号。</w:t>
      </w:r>
    </w:p>
    <w:p w14:paraId="6F713069">
      <w:pPr>
        <w:pStyle w:val="9"/>
        <w:widowControl/>
        <w:spacing w:beforeAutospacing="0" w:afterAutospacing="0" w:line="440" w:lineRule="exact"/>
        <w:ind w:firstLine="480"/>
        <w:outlineLvl w:val="9"/>
        <w:rPr>
          <w:rFonts w:ascii="宋体" w:hAnsi="宋体" w:eastAsia="宋体" w:cs="宋体"/>
        </w:rPr>
      </w:pPr>
      <w:r>
        <w:rPr>
          <w:rFonts w:hint="eastAsia" w:ascii="宋体" w:hAnsi="宋体" w:eastAsia="宋体" w:cs="宋体"/>
          <w:color w:val="000000"/>
        </w:rPr>
        <w:t>4.质疑函的质疑事项应具体、明确，并有必要的事实依据和法律依据。</w:t>
      </w:r>
    </w:p>
    <w:p w14:paraId="01E25465">
      <w:pPr>
        <w:pStyle w:val="9"/>
        <w:widowControl/>
        <w:spacing w:beforeAutospacing="0" w:afterAutospacing="0" w:line="440" w:lineRule="exact"/>
        <w:ind w:firstLine="480"/>
        <w:outlineLvl w:val="9"/>
        <w:rPr>
          <w:rFonts w:ascii="宋体" w:hAnsi="宋体" w:eastAsia="宋体" w:cs="宋体"/>
        </w:rPr>
      </w:pPr>
      <w:r>
        <w:rPr>
          <w:rFonts w:hint="eastAsia" w:ascii="宋体" w:hAnsi="宋体" w:eastAsia="宋体" w:cs="宋体"/>
          <w:color w:val="000000"/>
        </w:rPr>
        <w:t>5.质疑函的质疑请求应与质疑事项相关。</w:t>
      </w:r>
    </w:p>
    <w:p w14:paraId="04A2FFC2">
      <w:pPr>
        <w:pStyle w:val="9"/>
        <w:widowControl/>
        <w:spacing w:beforeAutospacing="0" w:afterAutospacing="0" w:line="440" w:lineRule="exact"/>
        <w:ind w:firstLine="480"/>
        <w:outlineLvl w:val="9"/>
        <w:rPr>
          <w:rFonts w:ascii="宋体" w:hAnsi="宋体" w:eastAsia="宋体" w:cs="宋体"/>
        </w:rPr>
      </w:pPr>
      <w:r>
        <w:rPr>
          <w:rFonts w:hint="eastAsia" w:ascii="宋体" w:hAnsi="宋体" w:eastAsia="宋体" w:cs="宋体"/>
          <w:color w:val="000000"/>
        </w:rPr>
        <w:t>6.质疑供应商为自然人的，质疑函应由本人签字；质疑供应商为法人或者其他组织的，质疑函应由法定代表人、主要负责人，或者其授权代表签字或者盖章，并加盖公章。</w:t>
      </w:r>
    </w:p>
    <w:p w14:paraId="5CA6B00A">
      <w:pPr>
        <w:spacing w:line="440" w:lineRule="exact"/>
        <w:outlineLvl w:val="9"/>
        <w:rPr>
          <w:rFonts w:ascii="宋体" w:hAnsi="宋体" w:eastAsia="宋体" w:cs="宋体"/>
        </w:rPr>
      </w:pPr>
    </w:p>
    <w:p w14:paraId="24B027B0">
      <w:pPr>
        <w:spacing w:line="440" w:lineRule="exact"/>
        <w:outlineLvl w:val="9"/>
        <w:rPr>
          <w:rFonts w:ascii="宋体" w:hAnsi="宋体" w:eastAsia="宋体" w:cs="宋体"/>
        </w:rPr>
      </w:pPr>
    </w:p>
    <w:p w14:paraId="4D092EC4">
      <w:pPr>
        <w:spacing w:line="440" w:lineRule="exact"/>
        <w:outlineLvl w:val="9"/>
        <w:rPr>
          <w:rFonts w:ascii="宋体" w:hAnsi="宋体" w:eastAsia="宋体" w:cs="宋体"/>
        </w:rPr>
      </w:pPr>
    </w:p>
    <w:p w14:paraId="7CFF2C4A">
      <w:pPr>
        <w:spacing w:line="440" w:lineRule="exact"/>
        <w:outlineLvl w:val="9"/>
        <w:rPr>
          <w:rFonts w:ascii="宋体" w:hAnsi="宋体" w:eastAsia="宋体" w:cs="宋体"/>
        </w:rPr>
      </w:pPr>
    </w:p>
    <w:p w14:paraId="788F2576">
      <w:pPr>
        <w:outlineLvl w:val="9"/>
      </w:pPr>
    </w:p>
    <w:sectPr>
      <w:footerReference r:id="rId3" w:type="default"/>
      <w:pgSz w:w="11906" w:h="16838"/>
      <w:pgMar w:top="1440" w:right="1463" w:bottom="1440" w:left="1293"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3273F">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66A3FC76">
                          <w:pPr>
                            <w:pStyle w:val="12"/>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52</w:t>
                          </w:r>
                          <w:r>
                            <w:rPr>
                              <w:rFonts w:hint="eastAsia"/>
                            </w:rPr>
                            <w:fldChar w:fldCharType="end"/>
                          </w:r>
                        </w:p>
                        <w:p w14:paraId="414480A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N99ctTcAQAAsAMAAA4AAAAAAAAA&#10;AQAgAAAAHwEAAGRycy9lMm9Eb2MueG1sUEsFBgAAAAAGAAYAWQEAAG0FAAAAAA==&#10;">
              <v:fill on="f" focussize="0,0"/>
              <v:stroke on="f" weight="0.5pt"/>
              <v:imagedata o:title=""/>
              <o:lock v:ext="edit" aspectratio="f"/>
              <v:textbox inset="0mm,0mm,0mm,0mm" style="mso-fit-shape-to-text:t;">
                <w:txbxContent>
                  <w:p w14:paraId="66A3FC76">
                    <w:pPr>
                      <w:pStyle w:val="12"/>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52</w:t>
                    </w:r>
                    <w:r>
                      <w:rPr>
                        <w:rFonts w:hint="eastAsia"/>
                      </w:rPr>
                      <w:fldChar w:fldCharType="end"/>
                    </w:r>
                  </w:p>
                  <w:p w14:paraId="414480A7"/>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NhY2UwZjc0NTVjZWIwNGUwYmM5OTQxYzM1Y2MzNzcifQ=="/>
  </w:docVars>
  <w:rsids>
    <w:rsidRoot w:val="05E042C1"/>
    <w:rsid w:val="02082DC9"/>
    <w:rsid w:val="040548DD"/>
    <w:rsid w:val="05E042C1"/>
    <w:rsid w:val="1AEE6694"/>
    <w:rsid w:val="2E865E48"/>
    <w:rsid w:val="49611371"/>
    <w:rsid w:val="4D75235E"/>
    <w:rsid w:val="58E17A16"/>
    <w:rsid w:val="797C57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4"/>
      <w:lang w:val="en-US" w:eastAsia="zh-CN" w:bidi="ar-SA"/>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Indent"/>
    <w:basedOn w:val="1"/>
    <w:next w:val="3"/>
    <w:qFormat/>
    <w:uiPriority w:val="0"/>
    <w:pPr>
      <w:spacing w:line="360" w:lineRule="auto"/>
      <w:ind w:firstLine="600"/>
    </w:pPr>
    <w:rPr>
      <w:rFonts w:ascii="仿宋_GB2312" w:eastAsia="仿宋_GB2312"/>
      <w:sz w:val="30"/>
    </w:rPr>
  </w:style>
  <w:style w:type="paragraph" w:styleId="3">
    <w:name w:val="envelope return"/>
    <w:basedOn w:val="1"/>
    <w:qFormat/>
    <w:uiPriority w:val="0"/>
    <w:rPr>
      <w:rFonts w:ascii="Arial" w:hAnsi="Arial"/>
    </w:rPr>
  </w:style>
  <w:style w:type="paragraph" w:styleId="4">
    <w:name w:val="footer"/>
    <w:basedOn w:val="1"/>
    <w:qFormat/>
    <w:uiPriority w:val="0"/>
    <w:pPr>
      <w:tabs>
        <w:tab w:val="center" w:pos="4153"/>
        <w:tab w:val="right" w:pos="8306"/>
      </w:tabs>
      <w:jc w:val="left"/>
    </w:pPr>
    <w:rPr>
      <w:sz w:val="18"/>
    </w:rPr>
  </w:style>
  <w:style w:type="paragraph" w:styleId="5">
    <w:name w:val="toc 1"/>
    <w:basedOn w:val="1"/>
    <w:next w:val="1"/>
    <w:qFormat/>
    <w:uiPriority w:val="0"/>
  </w:style>
  <w:style w:type="paragraph" w:styleId="6">
    <w:name w:val="Body Text First Indent 2"/>
    <w:basedOn w:val="2"/>
    <w:next w:val="1"/>
    <w:qFormat/>
    <w:uiPriority w:val="0"/>
    <w:pPr>
      <w:spacing w:before="50" w:after="120"/>
      <w:ind w:left="420" w:firstLine="420"/>
    </w:pPr>
    <w:rPr>
      <w:rFonts w:ascii="Calibri" w:eastAsia="宋体"/>
      <w:szCs w:val="24"/>
    </w:rPr>
  </w:style>
  <w:style w:type="paragraph" w:customStyle="1" w:styleId="9">
    <w:name w:val="普通(网站)11"/>
    <w:basedOn w:val="1"/>
    <w:qFormat/>
    <w:uiPriority w:val="0"/>
    <w:pPr>
      <w:spacing w:beforeAutospacing="1" w:afterAutospacing="1"/>
      <w:jc w:val="left"/>
    </w:pPr>
    <w:rPr>
      <w:rFonts w:cs="Times New Roman"/>
      <w:sz w:val="24"/>
    </w:rPr>
  </w:style>
  <w:style w:type="paragraph" w:customStyle="1" w:styleId="10">
    <w:name w:val="纯文本1"/>
    <w:basedOn w:val="1"/>
    <w:qFormat/>
    <w:uiPriority w:val="0"/>
    <w:rPr>
      <w:rFonts w:hint="eastAsia" w:ascii="宋体" w:hAnsi="Courier New"/>
      <w:szCs w:val="20"/>
    </w:rPr>
  </w:style>
  <w:style w:type="paragraph" w:customStyle="1" w:styleId="11">
    <w:name w:val="正文缩进11"/>
    <w:basedOn w:val="1"/>
    <w:qFormat/>
    <w:uiPriority w:val="0"/>
    <w:pPr>
      <w:ind w:firstLine="420"/>
    </w:pPr>
  </w:style>
  <w:style w:type="paragraph" w:customStyle="1" w:styleId="12">
    <w:name w:val="页脚1"/>
    <w:basedOn w:val="1"/>
    <w:qFormat/>
    <w:uiPriority w:val="0"/>
    <w:pPr>
      <w:tabs>
        <w:tab w:val="center" w:pos="4153"/>
        <w:tab w:val="right" w:pos="8306"/>
      </w:tabs>
      <w:jc w:val="left"/>
    </w:pPr>
    <w:rPr>
      <w:sz w:val="18"/>
      <w:szCs w:val="18"/>
    </w:rPr>
  </w:style>
  <w:style w:type="paragraph" w:customStyle="1" w:styleId="13">
    <w:name w:val="正文文本1"/>
    <w:basedOn w:val="1"/>
    <w:next w:val="1"/>
    <w:unhideWhenUsed/>
    <w:qFormat/>
    <w:uiPriority w:val="0"/>
    <w:pPr>
      <w:spacing w:after="120"/>
    </w:pPr>
    <w:rPr>
      <w:rFonts w:ascii="Calibri" w:hAnsi="Calibri" w:eastAsia="宋体" w:cs="Times New Roman"/>
    </w:rPr>
  </w:style>
  <w:style w:type="paragraph" w:customStyle="1" w:styleId="14">
    <w:name w:val="普通(网站)1"/>
    <w:basedOn w:val="1"/>
    <w:qFormat/>
    <w:uiPriority w:val="0"/>
    <w:pPr>
      <w:spacing w:beforeAutospacing="1" w:afterAutospacing="1"/>
      <w:jc w:val="left"/>
    </w:pPr>
    <w:rPr>
      <w:rFonts w:cs="Times New Roman"/>
      <w:sz w:val="24"/>
    </w:rPr>
  </w:style>
  <w:style w:type="paragraph" w:customStyle="1" w:styleId="15">
    <w:name w:val="WPSOffice手动目录 1"/>
    <w:qFormat/>
    <w:uiPriority w:val="0"/>
    <w:pPr>
      <w:ind w:leftChars="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54</Pages>
  <Words>20387</Words>
  <Characters>21646</Characters>
  <Lines>0</Lines>
  <Paragraphs>0</Paragraphs>
  <TotalTime>0</TotalTime>
  <ScaleCrop>false</ScaleCrop>
  <LinksUpToDate>false</LinksUpToDate>
  <CharactersWithSpaces>22088</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2024-12-10T04:14:00Z</dcterms:created>
  <dc:creator>晴天而已</dc:creator>
  <cp:lastModifiedBy>彭明静</cp:lastModifiedBy>
  <dcterms:modified xsi:type="dcterms:W3CDTF">2024-12-31T08:10:22Z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85BE9D11966A42FE80D85AD66084F418_13</vt:lpwstr>
  </property>
</Properties>
</file>