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0"/>
        <w:ind w:left="-210" w:right="-210"/>
        <w:jc w:val="center"/>
        <w:spacing w:line="360" w:lineRule="auto"/>
        <w:rPr>
          <w:rFonts w:hint="eastAsia" w:ascii="宋体" w:hAnsi="宋体"/>
          <w:b/>
          <w:color w:val="000000"/>
          <w:sz w:val="24"/>
        </w:rPr>
      </w:pPr>
      <w:r>
        <w:rPr>
          <w:rFonts w:hint="eastAsia" w:ascii="宋体" w:hAnsi="宋体"/>
          <w:b/>
          <w:color w:val="000000"/>
          <w:sz w:val="24"/>
        </w:rPr>
        <w:t xml:space="preserve">  </w:t>
      </w:r>
      <w:r/>
    </w:p>
    <w:p>
      <w:pPr>
        <w:pStyle w:val="900"/>
        <w:ind w:left="-210" w:right="-210"/>
        <w:jc w:val="center"/>
        <w:spacing w:line="360" w:lineRule="auto"/>
        <w:rPr>
          <w:rFonts w:ascii="宋体" w:hAnsi="宋体"/>
          <w:b/>
          <w:color w:val="000000"/>
          <w:sz w:val="24"/>
        </w:rPr>
      </w:pPr>
      <w:r>
        <w:rPr>
          <w:rFonts w:ascii="宋体" w:hAnsi="宋体"/>
          <w:b/>
          <w:color w:val="000000"/>
          <w:sz w:val="24"/>
        </w:rPr>
      </w:r>
      <w:r/>
    </w:p>
    <w:p>
      <w:pPr>
        <w:pStyle w:val="900"/>
        <w:ind w:left="-210" w:right="-210"/>
        <w:jc w:val="center"/>
        <w:spacing w:line="360" w:lineRule="auto"/>
        <w:rPr>
          <w:rFonts w:ascii="宋体" w:hAnsi="宋体"/>
          <w:b/>
          <w:color w:val="000000"/>
          <w:sz w:val="24"/>
        </w:rPr>
      </w:pPr>
      <w:r>
        <w:rPr>
          <w:rFonts w:ascii="宋体" w:hAnsi="宋体"/>
          <w:b/>
          <w:color w:val="000000"/>
          <w:sz w:val="24"/>
        </w:rPr>
      </w:r>
      <w:r/>
    </w:p>
    <w:p>
      <w:pPr>
        <w:pStyle w:val="900"/>
        <w:ind w:left="-210" w:right="-210"/>
        <w:jc w:val="left"/>
        <w:spacing w:line="360" w:lineRule="auto"/>
        <w:rPr>
          <w:rFonts w:ascii="宋体" w:hAnsi="宋体"/>
          <w:b/>
          <w:color w:val="000000"/>
          <w:sz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ascii="宋体" w:hAnsi="宋体"/>
          <w:b/>
          <w:color w:val="000000"/>
          <w:sz w:val="24"/>
        </w:rPr>
      </w:r>
      <w:r/>
    </w:p>
    <w:p>
      <w:pPr>
        <w:pStyle w:val="900"/>
        <w:ind w:left="-210" w:right="-210"/>
        <w:jc w:val="left"/>
        <w:spacing w:line="360" w:lineRule="auto"/>
        <w:rPr>
          <w:rFonts w:ascii="宋体" w:hAnsi="宋体"/>
          <w:b/>
          <w:color w:val="000000"/>
          <w:sz w:val="24"/>
        </w:rPr>
      </w:pPr>
      <w:r>
        <w:rPr>
          <w:rFonts w:ascii="宋体" w:hAnsi="宋体"/>
          <w:b/>
          <w:color w:val="000000"/>
          <w:sz w:val="24"/>
        </w:rPr>
      </w:r>
      <w:r/>
    </w:p>
    <w:p>
      <w:pPr>
        <w:pStyle w:val="900"/>
        <w:ind w:left="-210" w:right="-210"/>
        <w:jc w:val="center"/>
        <w:spacing w:line="360" w:lineRule="auto"/>
        <w:rPr>
          <w:rFonts w:ascii="宋体" w:hAnsi="宋体"/>
          <w:b/>
          <w:color w:val="000000"/>
          <w:sz w:val="24"/>
        </w:rPr>
      </w:pPr>
      <w:r>
        <w:rPr>
          <w:rFonts w:ascii="宋体" w:hAnsi="宋体"/>
          <w:b/>
          <w:color w:val="000000"/>
          <w:sz w:val="24"/>
        </w:rPr>
      </w:r>
      <w:r/>
    </w:p>
    <w:p>
      <w:pPr>
        <w:pStyle w:val="900"/>
        <w:ind w:left="-210" w:right="-210"/>
        <w:jc w:val="center"/>
        <w:spacing w:line="360" w:lineRule="auto"/>
        <w:rPr>
          <w:rFonts w:ascii="宋体" w:hAnsi="宋体"/>
          <w:b/>
          <w:color w:val="000000"/>
          <w:sz w:val="24"/>
        </w:rPr>
      </w:pPr>
      <w:r>
        <w:rPr>
          <w:rFonts w:ascii="宋体" w:hAnsi="宋体"/>
          <w:b/>
          <w:color w:val="000000"/>
          <w:sz w:val="24"/>
        </w:rPr>
      </w:r>
      <w:r/>
    </w:p>
    <w:p>
      <w:pPr>
        <w:pStyle w:val="900"/>
        <w:ind w:left="-210" w:right="-210"/>
        <w:jc w:val="center"/>
        <w:spacing w:line="360" w:lineRule="auto"/>
        <w:rPr>
          <w:rFonts w:ascii="宋体" w:hAnsi="宋体"/>
          <w:b/>
          <w:color w:val="000000"/>
          <w:sz w:val="52"/>
          <w:szCs w:val="52"/>
        </w:rPr>
      </w:pPr>
      <w:r>
        <w:rPr>
          <w:rFonts w:ascii="宋体" w:hAnsi="宋体"/>
          <w:b/>
          <w:color w:val="000000"/>
          <w:sz w:val="52"/>
          <w:szCs w:val="52"/>
        </w:rPr>
      </w:r>
      <w:r/>
    </w:p>
    <w:p>
      <w:pPr>
        <w:pStyle w:val="900"/>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昆 山 市 政 府 采 购</w:t>
      </w:r>
      <w:r>
        <w:rPr>
          <w:rFonts w:ascii="宋体" w:hAnsi="宋体" w:cs="Arial"/>
          <w:b/>
          <w:bCs/>
          <w:color w:val="000000"/>
          <w:sz w:val="52"/>
          <w:szCs w:val="52"/>
        </w:rPr>
      </w:r>
      <w:r/>
    </w:p>
    <w:p>
      <w:pPr>
        <w:pStyle w:val="900"/>
        <w:jc w:val="center"/>
        <w:spacing w:line="480" w:lineRule="auto"/>
        <w:rPr>
          <w:rFonts w:ascii="宋体" w:hAnsi="宋体" w:cs="Arial"/>
          <w:b/>
          <w:bCs/>
          <w:color w:val="000000"/>
          <w:sz w:val="52"/>
          <w:szCs w:val="52"/>
        </w:rPr>
      </w:pPr>
      <w:r>
        <w:rPr>
          <w:rFonts w:hint="eastAsia" w:ascii="宋体" w:hAnsi="宋体" w:cs="Arial"/>
          <w:b/>
          <w:bCs/>
          <w:color w:val="000000"/>
          <w:sz w:val="52"/>
          <w:szCs w:val="52"/>
        </w:rPr>
        <w:t xml:space="preserve">公 开 招 标 文 件</w:t>
      </w:r>
      <w:r>
        <w:rPr>
          <w:rFonts w:ascii="宋体" w:hAnsi="宋体" w:cs="Arial"/>
          <w:b/>
          <w:bCs/>
          <w:color w:val="000000"/>
          <w:sz w:val="52"/>
          <w:szCs w:val="52"/>
        </w:rPr>
      </w:r>
      <w:r/>
    </w:p>
    <w:p>
      <w:pPr>
        <w:pStyle w:val="900"/>
        <w:ind w:left="-210" w:right="-210"/>
        <w:jc w:val="center"/>
        <w:spacing w:line="360" w:lineRule="auto"/>
        <w:rPr>
          <w:rFonts w:ascii="宋体" w:hAnsi="宋体"/>
          <w:color w:val="000000"/>
          <w:sz w:val="24"/>
        </w:rPr>
      </w:pPr>
      <w:r>
        <w:rPr>
          <w:rFonts w:ascii="宋体" w:hAnsi="宋体"/>
          <w:color w:val="000000"/>
          <w:sz w:val="24"/>
        </w:rPr>
      </w:r>
      <w:r/>
    </w:p>
    <w:p>
      <w:pPr>
        <w:pStyle w:val="900"/>
        <w:ind w:left="-210" w:right="-210"/>
        <w:jc w:val="center"/>
        <w:spacing w:line="360" w:lineRule="auto"/>
        <w:rPr>
          <w:rFonts w:ascii="宋体" w:hAnsi="宋体"/>
          <w:color w:val="000000"/>
          <w:sz w:val="24"/>
        </w:rPr>
      </w:pPr>
      <w:r>
        <w:rPr>
          <w:rFonts w:ascii="宋体" w:hAnsi="宋体"/>
          <w:color w:val="000000"/>
          <w:sz w:val="24"/>
        </w:rPr>
      </w:r>
      <w:r/>
    </w:p>
    <w:p>
      <w:pPr>
        <w:pStyle w:val="900"/>
        <w:ind w:left="-210" w:right="-210"/>
        <w:jc w:val="center"/>
        <w:spacing w:line="360" w:lineRule="auto"/>
        <w:rPr>
          <w:rFonts w:ascii="宋体" w:hAnsi="宋体"/>
          <w:color w:val="000000"/>
          <w:sz w:val="24"/>
        </w:rPr>
      </w:pPr>
      <w:r>
        <w:rPr>
          <w:rFonts w:ascii="宋体" w:hAnsi="宋体"/>
          <w:color w:val="000000"/>
          <w:sz w:val="24"/>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900"/>
              <w:jc w:val="center"/>
              <w:spacing w:line="600" w:lineRule="exact"/>
              <w:rPr>
                <w:rFonts w:ascii="宋体" w:hAnsi="宋体" w:cs="Arial"/>
                <w:color w:val="000000"/>
                <w:sz w:val="24"/>
              </w:rPr>
            </w:pPr>
            <w:r>
              <w:rPr>
                <w:rFonts w:hint="eastAsia" w:ascii="宋体" w:hAnsi="宋体" w:cs="Arial"/>
                <w:color w:val="000000"/>
                <w:sz w:val="24"/>
              </w:rPr>
              <w:t xml:space="preserve">项目编号：</w:t>
            </w:r>
            <w:r>
              <w:rPr>
                <w:rFonts w:ascii="宋体" w:hAnsi="宋体" w:cs="Arial"/>
                <w:color w:val="000000"/>
                <w:sz w:val="24"/>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900"/>
              <w:jc w:val="center"/>
              <w:spacing w:line="600" w:lineRule="exact"/>
              <w:rPr>
                <w:rFonts w:hint="eastAsia" w:ascii="宋体" w:hAnsi="宋体" w:cs="Arial"/>
                <w:color w:val="000000"/>
                <w:sz w:val="24"/>
              </w:rPr>
            </w:pPr>
            <w:r>
              <w:rPr>
                <w:rFonts w:hint="eastAsia" w:ascii="宋体" w:hAnsi="宋体" w:cs="Arial"/>
                <w:color w:val="000000"/>
                <w:sz w:val="24"/>
              </w:rPr>
              <w:t xml:space="preserve">JSZC-320583-SZGZ-G2025-0009</w:t>
            </w:r>
            <w:r>
              <w:rPr>
                <w:rFonts w:hint="eastAsia" w:ascii="宋体" w:hAnsi="宋体" w:cs="Arial"/>
                <w:color w:val="000000"/>
                <w:sz w:val="24"/>
              </w:rPr>
            </w:r>
            <w:r/>
          </w:p>
        </w:tc>
      </w:tr>
      <w:tr>
        <w:trPr>
          <w:trHeight w:val="440"/>
        </w:trPr>
        <w:tc>
          <w:tcPr>
            <w:tcMar>
              <w:left w:w="108" w:type="dxa"/>
              <w:top w:w="0" w:type="dxa"/>
              <w:right w:w="108" w:type="dxa"/>
              <w:bottom w:w="0" w:type="dxa"/>
            </w:tcMar>
            <w:tcW w:w="1854" w:type="dxa"/>
            <w:vAlign w:val="top"/>
            <w:textDirection w:val="lrTb"/>
            <w:noWrap w:val="false"/>
          </w:tcPr>
          <w:p>
            <w:pPr>
              <w:pStyle w:val="900"/>
              <w:jc w:val="center"/>
              <w:spacing w:line="600" w:lineRule="exact"/>
              <w:rPr>
                <w:rFonts w:ascii="宋体" w:hAnsi="宋体" w:cs="Arial"/>
                <w:color w:val="000000"/>
                <w:sz w:val="24"/>
              </w:rPr>
            </w:pPr>
            <w:r>
              <w:rPr>
                <w:rFonts w:hint="eastAsia" w:ascii="宋体" w:hAnsi="宋体" w:cs="Arial"/>
                <w:color w:val="000000"/>
                <w:sz w:val="24"/>
              </w:rPr>
              <w:t xml:space="preserve">采 购 人：</w:t>
            </w:r>
            <w:r>
              <w:rPr>
                <w:rFonts w:ascii="宋体" w:hAnsi="宋体" w:cs="Arial"/>
                <w:color w:val="000000"/>
                <w:sz w:val="24"/>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900"/>
              <w:jc w:val="center"/>
              <w:spacing w:line="600" w:lineRule="exact"/>
              <w:rPr>
                <w:rFonts w:hint="eastAsia" w:ascii="宋体" w:hAnsi="宋体" w:cs="Arial"/>
                <w:color w:val="000000"/>
                <w:sz w:val="24"/>
              </w:rPr>
            </w:pPr>
            <w:r>
              <w:rPr>
                <w:rFonts w:hint="eastAsia" w:ascii="宋体" w:hAnsi="宋体" w:cs="Arial"/>
                <w:color w:val="000000"/>
                <w:sz w:val="24"/>
              </w:rPr>
              <w:t xml:space="preserve">昆山市农业农村局</w:t>
            </w:r>
            <w:r/>
          </w:p>
        </w:tc>
      </w:tr>
      <w:tr>
        <w:trPr/>
        <w:tc>
          <w:tcPr>
            <w:tcMar>
              <w:left w:w="108" w:type="dxa"/>
              <w:top w:w="0" w:type="dxa"/>
              <w:right w:w="108" w:type="dxa"/>
              <w:bottom w:w="0" w:type="dxa"/>
            </w:tcMar>
            <w:tcW w:w="1854" w:type="dxa"/>
            <w:vAlign w:val="top"/>
            <w:textDirection w:val="lrTb"/>
            <w:noWrap w:val="false"/>
          </w:tcPr>
          <w:p>
            <w:pPr>
              <w:pStyle w:val="900"/>
              <w:jc w:val="center"/>
              <w:spacing w:line="600" w:lineRule="exact"/>
              <w:rPr>
                <w:rFonts w:ascii="宋体" w:hAnsi="宋体" w:cs="Arial"/>
                <w:color w:val="000000"/>
                <w:sz w:val="24"/>
              </w:rPr>
            </w:pPr>
            <w:r>
              <w:rPr>
                <w:rFonts w:hint="eastAsia" w:ascii="宋体" w:hAnsi="宋体" w:cs="Arial"/>
                <w:color w:val="000000"/>
                <w:sz w:val="24"/>
              </w:rPr>
              <w:t xml:space="preserve">项目名称：</w:t>
            </w:r>
            <w:r>
              <w:rPr>
                <w:rFonts w:ascii="宋体" w:hAnsi="宋体" w:cs="Arial"/>
                <w:color w:val="000000"/>
                <w:sz w:val="24"/>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900"/>
              <w:jc w:val="center"/>
              <w:spacing w:line="600" w:lineRule="exact"/>
              <w:rPr>
                <w:rFonts w:hint="eastAsia" w:ascii="宋体" w:hAnsi="宋体" w:cs="Arial"/>
                <w:color w:val="000000"/>
                <w:sz w:val="24"/>
              </w:rPr>
            </w:pPr>
            <w:r>
              <w:rPr>
                <w:rFonts w:hint="eastAsia" w:ascii="宋体" w:hAnsi="宋体" w:cs="Arial"/>
                <w:color w:val="000000"/>
                <w:sz w:val="24"/>
              </w:rPr>
              <w:t xml:space="preserve">2025年农产品（畜产品、水产品）质量安全检测</w:t>
            </w:r>
            <w:r/>
          </w:p>
        </w:tc>
      </w:tr>
    </w:tbl>
    <w:p>
      <w:pPr>
        <w:pStyle w:val="900"/>
        <w:spacing w:line="600" w:lineRule="exact"/>
        <w:rPr>
          <w:rFonts w:ascii="宋体" w:hAnsi="宋体" w:cs="Arial"/>
          <w:color w:val="000000"/>
          <w:sz w:val="24"/>
        </w:rPr>
      </w:pPr>
      <w:r>
        <w:rPr>
          <w:rFonts w:ascii="宋体" w:hAnsi="宋体" w:cs="Arial"/>
          <w:color w:val="000000"/>
          <w:sz w:val="24"/>
        </w:rPr>
      </w:r>
      <w:r/>
    </w:p>
    <w:p>
      <w:pPr>
        <w:pStyle w:val="900"/>
        <w:jc w:val="center"/>
        <w:spacing w:line="360" w:lineRule="auto"/>
        <w:rPr>
          <w:rFonts w:hint="eastAsia" w:cs="宋体"/>
          <w:color w:val="000000"/>
          <w:sz w:val="24"/>
        </w:rPr>
      </w:pPr>
      <w:r>
        <w:rPr>
          <w:rFonts w:hint="eastAsia" w:cs="宋体"/>
          <w:color w:val="000000"/>
          <w:sz w:val="24"/>
        </w:rPr>
        <w:t xml:space="preserve"> </w:t>
      </w:r>
      <w:r/>
    </w:p>
    <w:p>
      <w:pPr>
        <w:pStyle w:val="900"/>
        <w:jc w:val="center"/>
        <w:spacing w:line="360" w:lineRule="auto"/>
        <w:rPr>
          <w:rFonts w:hint="eastAsia" w:cs="宋体"/>
          <w:color w:val="000000"/>
          <w:sz w:val="24"/>
        </w:rPr>
      </w:pPr>
      <w:r>
        <w:rPr>
          <w:rFonts w:hint="eastAsia" w:cs="宋体"/>
          <w:color w:val="000000"/>
          <w:sz w:val="24"/>
        </w:rPr>
      </w:r>
      <w:r/>
    </w:p>
    <w:p>
      <w:pPr>
        <w:pStyle w:val="900"/>
        <w:jc w:val="center"/>
        <w:spacing w:line="360" w:lineRule="auto"/>
        <w:rPr>
          <w:rFonts w:ascii="宋体" w:hAnsi="宋体" w:cs="Arial"/>
          <w:color w:val="000000"/>
          <w:sz w:val="24"/>
        </w:rPr>
      </w:pPr>
      <w:r>
        <w:rPr>
          <w:rFonts w:hint="eastAsia" w:ascii="宋体" w:hAnsi="宋体" w:cs="Arial"/>
          <w:color w:val="000000"/>
          <w:sz w:val="24"/>
        </w:rPr>
        <w:t xml:space="preserve">苏州公正建设咨询房地产评估有限公司</w:t>
      </w:r>
      <w:r>
        <w:rPr>
          <w:rFonts w:ascii="宋体" w:hAnsi="宋体" w:cs="Arial"/>
          <w:color w:val="000000"/>
          <w:sz w:val="24"/>
        </w:rPr>
      </w:r>
      <w:r/>
    </w:p>
    <w:p>
      <w:pPr>
        <w:pStyle w:val="900"/>
        <w:jc w:val="center"/>
        <w:spacing w:line="360" w:lineRule="auto"/>
        <w:rPr>
          <w:color w:val="000000"/>
          <w:sz w:val="24"/>
        </w:rPr>
      </w:pPr>
      <w:r>
        <w:rPr>
          <w:rFonts w:ascii="宋体" w:hAnsi="宋体" w:cs="Arial"/>
          <w:color w:val="000000"/>
          <w:sz w:val="24"/>
        </w:rPr>
        <w:t xml:space="preserve">二〇二</w:t>
      </w:r>
      <w:r>
        <w:rPr>
          <w:rFonts w:hint="eastAsia" w:ascii="宋体" w:hAnsi="宋体" w:cs="Arial"/>
          <w:color w:val="000000"/>
          <w:sz w:val="24"/>
        </w:rPr>
        <w:t xml:space="preserve">五</w:t>
      </w:r>
      <w:r>
        <w:rPr>
          <w:rFonts w:ascii="宋体" w:hAnsi="宋体" w:cs="Arial"/>
          <w:color w:val="000000"/>
          <w:sz w:val="24"/>
        </w:rPr>
        <w:t xml:space="preserve">年</w:t>
        <w:br w:type="page" w:clear="all"/>
      </w:r>
      <w:r>
        <w:rPr>
          <w:color w:val="000000"/>
          <w:sz w:val="24"/>
        </w:rPr>
        <w:t xml:space="preserve">目录</w:t>
      </w:r>
      <w:r/>
    </w:p>
    <w:p>
      <w:pPr>
        <w:pStyle w:val="956"/>
        <w:rPr>
          <w:rFonts w:ascii="Calibri" w:hAnsi="Calibri"/>
          <w:b w:val="0"/>
          <w:szCs w:val="22"/>
        </w:rPr>
      </w:pPr>
      <w:r>
        <w:rPr>
          <w:color w:val="000000"/>
          <w:sz w:val="24"/>
        </w:rPr>
        <w:fldChar w:fldCharType="begin"/>
      </w:r>
      <w:r>
        <w:rPr>
          <w:color w:val="000000"/>
          <w:sz w:val="24"/>
        </w:rPr>
        <w:instrText xml:space="preserve"> TOC \o "1-3" \h \z \u </w:instrText>
      </w:r>
      <w:r>
        <w:rPr>
          <w:color w:val="000000"/>
          <w:sz w:val="24"/>
        </w:rPr>
        <w:fldChar w:fldCharType="separate"/>
      </w:r>
      <w:r>
        <w:fldChar w:fldCharType="begin"/>
      </w:r>
      <w:r>
        <w:rPr>
          <w:rStyle w:val="987"/>
        </w:rPr>
        <w:instrText xml:space="preserve"> </w:instrText>
      </w:r>
      <w:r>
        <w:instrText xml:space="preserve">HYPERLINK \l "_Toc78976388"</w:instrText>
      </w:r>
      <w:r>
        <w:rPr>
          <w:rStyle w:val="987"/>
        </w:rPr>
        <w:instrText xml:space="preserve"> </w:instrText>
      </w:r>
      <w:r>
        <w:fldChar w:fldCharType="separate"/>
      </w:r>
      <w:r>
        <w:rPr>
          <w:rStyle w:val="987"/>
          <w:rFonts w:hint="eastAsia"/>
        </w:rPr>
        <w:t xml:space="preserve">第一章</w:t>
      </w:r>
      <w:r>
        <w:rPr>
          <w:rStyle w:val="987"/>
        </w:rPr>
        <w:t xml:space="preserve">  </w:t>
      </w:r>
      <w:r>
        <w:rPr>
          <w:rStyle w:val="987"/>
          <w:rFonts w:hint="eastAsia"/>
        </w:rPr>
        <w:t xml:space="preserve">投标邀请函</w:t>
      </w:r>
      <w:r>
        <w:tab/>
      </w:r>
      <w:r>
        <w:fldChar w:fldCharType="begin"/>
      </w:r>
      <w:r>
        <w:instrText xml:space="preserve"> PAGEREF _Toc78976388 \h </w:instrText>
      </w:r>
      <w:r>
        <w:fldChar w:fldCharType="separate"/>
      </w:r>
      <w:r>
        <w:t xml:space="preserve">3</w:t>
      </w:r>
      <w:r>
        <w:fldChar w:fldCharType="end"/>
        <w:fldChar w:fldCharType="end"/>
      </w:r>
      <w:r>
        <w:rPr>
          <w:rFonts w:ascii="Calibri" w:hAnsi="Calibri"/>
          <w:b w:val="0"/>
          <w:szCs w:val="22"/>
        </w:rPr>
      </w:r>
      <w:r/>
    </w:p>
    <w:p>
      <w:pPr>
        <w:pStyle w:val="956"/>
        <w:rPr>
          <w:rFonts w:ascii="Calibri" w:hAnsi="Calibri"/>
          <w:b w:val="0"/>
          <w:szCs w:val="22"/>
        </w:rPr>
      </w:pPr>
      <w:r>
        <w:fldChar w:fldCharType="begin"/>
      </w:r>
      <w:r>
        <w:rPr>
          <w:rStyle w:val="987"/>
        </w:rPr>
        <w:instrText xml:space="preserve"> </w:instrText>
      </w:r>
      <w:r>
        <w:instrText xml:space="preserve">HYPERLINK \l "_Toc78976389"</w:instrText>
      </w:r>
      <w:r>
        <w:rPr>
          <w:rStyle w:val="987"/>
        </w:rPr>
        <w:instrText xml:space="preserve"> </w:instrText>
      </w:r>
      <w:r>
        <w:fldChar w:fldCharType="separate"/>
      </w:r>
      <w:r>
        <w:rPr>
          <w:rStyle w:val="987"/>
          <w:rFonts w:hint="eastAsia"/>
        </w:rPr>
        <w:t xml:space="preserve">第二章</w:t>
      </w:r>
      <w:r>
        <w:rPr>
          <w:rStyle w:val="987"/>
        </w:rPr>
        <w:t xml:space="preserve">  </w:t>
      </w:r>
      <w:r>
        <w:rPr>
          <w:rStyle w:val="987"/>
          <w:rFonts w:hint="eastAsia"/>
        </w:rPr>
        <w:t xml:space="preserve">投标人须知</w:t>
      </w:r>
      <w:r>
        <w:tab/>
      </w:r>
      <w:r>
        <w:fldChar w:fldCharType="begin"/>
      </w:r>
      <w:r>
        <w:instrText xml:space="preserve"> PAGEREF _Toc78976389 \h </w:instrText>
      </w:r>
      <w:r>
        <w:fldChar w:fldCharType="separate"/>
      </w:r>
      <w:r>
        <w:t xml:space="preserve">7</w:t>
      </w:r>
      <w:r>
        <w:fldChar w:fldCharType="end"/>
        <w:fldChar w:fldCharType="end"/>
      </w:r>
      <w:r>
        <w:rPr>
          <w:rFonts w:ascii="Calibri" w:hAnsi="Calibri"/>
          <w:b w:val="0"/>
          <w:szCs w:val="22"/>
        </w:rPr>
      </w:r>
      <w:r/>
    </w:p>
    <w:p>
      <w:pPr>
        <w:pStyle w:val="956"/>
        <w:rPr>
          <w:rFonts w:ascii="Calibri" w:hAnsi="Calibri"/>
          <w:b w:val="0"/>
          <w:szCs w:val="22"/>
        </w:rPr>
      </w:pPr>
      <w:r>
        <w:fldChar w:fldCharType="begin"/>
      </w:r>
      <w:r>
        <w:rPr>
          <w:rStyle w:val="987"/>
        </w:rPr>
        <w:instrText xml:space="preserve"> </w:instrText>
      </w:r>
      <w:r>
        <w:instrText xml:space="preserve">HYPERLINK \l "_Toc78976390"</w:instrText>
      </w:r>
      <w:r>
        <w:rPr>
          <w:rStyle w:val="987"/>
        </w:rPr>
        <w:instrText xml:space="preserve"> </w:instrText>
      </w:r>
      <w:r>
        <w:fldChar w:fldCharType="separate"/>
      </w:r>
      <w:r>
        <w:rPr>
          <w:rStyle w:val="987"/>
          <w:rFonts w:hint="eastAsia"/>
        </w:rPr>
        <w:t xml:space="preserve">第三章</w:t>
      </w:r>
      <w:r>
        <w:rPr>
          <w:rStyle w:val="987"/>
        </w:rPr>
        <w:t xml:space="preserve">  </w:t>
      </w:r>
      <w:r>
        <w:rPr>
          <w:rStyle w:val="987"/>
          <w:rFonts w:hint="eastAsia"/>
        </w:rPr>
        <w:t xml:space="preserve">投标文件格式</w:t>
      </w:r>
      <w:r>
        <w:tab/>
      </w:r>
      <w:r>
        <w:fldChar w:fldCharType="begin"/>
      </w:r>
      <w:r>
        <w:instrText xml:space="preserve"> PAGEREF _Toc78976390 \h </w:instrText>
      </w:r>
      <w:r>
        <w:fldChar w:fldCharType="separate"/>
      </w:r>
      <w:r>
        <w:t xml:space="preserve">16</w:t>
      </w:r>
      <w:r>
        <w:fldChar w:fldCharType="end"/>
        <w:fldChar w:fldCharType="end"/>
      </w:r>
      <w:r>
        <w:rPr>
          <w:rFonts w:ascii="Calibri" w:hAnsi="Calibri"/>
          <w:b w:val="0"/>
          <w:szCs w:val="22"/>
        </w:rPr>
      </w:r>
      <w:r/>
    </w:p>
    <w:p>
      <w:pPr>
        <w:pStyle w:val="966"/>
        <w:tabs>
          <w:tab w:val="right" w:pos="9061" w:leader="dot"/>
        </w:tabs>
        <w:rPr>
          <w:rFonts w:ascii="Calibri" w:hAnsi="Calibri"/>
          <w:szCs w:val="22"/>
        </w:rPr>
      </w:pPr>
      <w:r>
        <w:fldChar w:fldCharType="begin"/>
      </w:r>
      <w:r>
        <w:rPr>
          <w:rStyle w:val="987"/>
        </w:rPr>
        <w:instrText xml:space="preserve"> </w:instrText>
      </w:r>
      <w:r>
        <w:instrText xml:space="preserve">HYPERLINK \l "_Toc78976391"</w:instrText>
      </w:r>
      <w:r>
        <w:rPr>
          <w:rStyle w:val="987"/>
        </w:rPr>
        <w:instrText xml:space="preserve"> </w:instrText>
      </w:r>
      <w:r>
        <w:fldChar w:fldCharType="separate"/>
      </w:r>
      <w:r>
        <w:rPr>
          <w:rStyle w:val="987"/>
          <w:rFonts w:hint="eastAsia" w:ascii="宋体" w:hAnsi="宋体"/>
        </w:rPr>
        <w:t xml:space="preserve">投标文件的声明函</w:t>
      </w:r>
      <w:r>
        <w:tab/>
      </w:r>
      <w:r>
        <w:fldChar w:fldCharType="begin"/>
      </w:r>
      <w:r>
        <w:instrText xml:space="preserve"> PAGEREF _Toc78976391 \h </w:instrText>
      </w:r>
      <w:r>
        <w:fldChar w:fldCharType="separate"/>
      </w:r>
      <w:r>
        <w:t xml:space="preserve">16</w:t>
      </w:r>
      <w:r>
        <w:fldChar w:fldCharType="end"/>
        <w:fldChar w:fldCharType="end"/>
      </w:r>
      <w:r>
        <w:rPr>
          <w:rFonts w:ascii="Calibri" w:hAnsi="Calibri"/>
          <w:szCs w:val="22"/>
        </w:rPr>
      </w:r>
      <w:r/>
    </w:p>
    <w:p>
      <w:pPr>
        <w:pStyle w:val="966"/>
        <w:tabs>
          <w:tab w:val="right" w:pos="9061" w:leader="dot"/>
        </w:tabs>
        <w:rPr>
          <w:rFonts w:ascii="Calibri" w:hAnsi="Calibri"/>
          <w:szCs w:val="22"/>
        </w:rPr>
      </w:pPr>
      <w:r>
        <w:fldChar w:fldCharType="begin"/>
      </w:r>
      <w:r>
        <w:rPr>
          <w:rStyle w:val="987"/>
        </w:rPr>
        <w:instrText xml:space="preserve"> </w:instrText>
      </w:r>
      <w:r>
        <w:instrText xml:space="preserve">HYPERLINK \l "_Toc78976392"</w:instrText>
      </w:r>
      <w:r>
        <w:rPr>
          <w:rStyle w:val="987"/>
        </w:rPr>
        <w:instrText xml:space="preserve"> </w:instrText>
      </w:r>
      <w:r>
        <w:fldChar w:fldCharType="separate"/>
      </w:r>
      <w:r>
        <w:rPr>
          <w:rStyle w:val="987"/>
          <w:rFonts w:hint="eastAsia"/>
        </w:rPr>
        <w:t xml:space="preserve">投标承诺函</w:t>
      </w:r>
      <w:r>
        <w:tab/>
      </w:r>
      <w:r>
        <w:fldChar w:fldCharType="begin"/>
      </w:r>
      <w:r>
        <w:instrText xml:space="preserve"> PAGEREF _Toc78976392 \h </w:instrText>
      </w:r>
      <w:r>
        <w:fldChar w:fldCharType="separate"/>
      </w:r>
      <w:r>
        <w:t xml:space="preserve">17</w:t>
      </w:r>
      <w:r>
        <w:fldChar w:fldCharType="end"/>
        <w:fldChar w:fldCharType="end"/>
      </w:r>
      <w:r>
        <w:rPr>
          <w:rFonts w:ascii="Calibri" w:hAnsi="Calibri"/>
          <w:szCs w:val="22"/>
        </w:rPr>
      </w:r>
      <w:r/>
    </w:p>
    <w:p>
      <w:pPr>
        <w:pStyle w:val="966"/>
        <w:tabs>
          <w:tab w:val="right" w:pos="9061" w:leader="dot"/>
        </w:tabs>
        <w:rPr>
          <w:rFonts w:ascii="Calibri" w:hAnsi="Calibri"/>
          <w:szCs w:val="22"/>
        </w:rPr>
      </w:pPr>
      <w:r>
        <w:fldChar w:fldCharType="begin"/>
      </w:r>
      <w:r>
        <w:rPr>
          <w:rStyle w:val="987"/>
        </w:rPr>
        <w:instrText xml:space="preserve"> </w:instrText>
      </w:r>
      <w:r>
        <w:instrText xml:space="preserve">HYPERLINK \l "_Toc78976393"</w:instrText>
      </w:r>
      <w:r>
        <w:rPr>
          <w:rStyle w:val="987"/>
        </w:rPr>
        <w:instrText xml:space="preserve"> </w:instrText>
      </w:r>
      <w:r>
        <w:fldChar w:fldCharType="separate"/>
      </w:r>
      <w:r>
        <w:rPr>
          <w:rStyle w:val="987"/>
          <w:rFonts w:hint="eastAsia" w:ascii="宋体" w:hAnsi="宋体"/>
        </w:rPr>
        <w:t xml:space="preserve">无重大违法记录声明</w:t>
      </w:r>
      <w:r>
        <w:tab/>
      </w:r>
      <w:r>
        <w:fldChar w:fldCharType="begin"/>
      </w:r>
      <w:r>
        <w:instrText xml:space="preserve"> PAGEREF _Toc78976393 \h </w:instrText>
      </w:r>
      <w:r>
        <w:fldChar w:fldCharType="separate"/>
      </w:r>
      <w:r>
        <w:t xml:space="preserve">18</w:t>
      </w:r>
      <w:r>
        <w:fldChar w:fldCharType="end"/>
        <w:fldChar w:fldCharType="end"/>
      </w:r>
      <w:r>
        <w:rPr>
          <w:rFonts w:ascii="Calibri" w:hAnsi="Calibri"/>
          <w:szCs w:val="22"/>
        </w:rPr>
      </w:r>
      <w:r/>
    </w:p>
    <w:p>
      <w:pPr>
        <w:pStyle w:val="966"/>
        <w:tabs>
          <w:tab w:val="right" w:pos="9061" w:leader="dot"/>
        </w:tabs>
        <w:rPr>
          <w:rFonts w:ascii="Calibri" w:hAnsi="Calibri"/>
          <w:szCs w:val="22"/>
        </w:rPr>
      </w:pPr>
      <w:r>
        <w:fldChar w:fldCharType="begin"/>
      </w:r>
      <w:r>
        <w:rPr>
          <w:rStyle w:val="987"/>
        </w:rPr>
        <w:instrText xml:space="preserve"> </w:instrText>
      </w:r>
      <w:r>
        <w:instrText xml:space="preserve">HYPERLINK \l "_Toc78976394"</w:instrText>
      </w:r>
      <w:r>
        <w:rPr>
          <w:rStyle w:val="987"/>
        </w:rPr>
        <w:instrText xml:space="preserve"> </w:instrText>
      </w:r>
      <w:r>
        <w:fldChar w:fldCharType="separate"/>
      </w:r>
      <w:r>
        <w:rPr>
          <w:rStyle w:val="987"/>
          <w:rFonts w:hint="eastAsia" w:ascii="宋体" w:hAnsi="宋体"/>
        </w:rPr>
        <w:t xml:space="preserve">法定代表人授权委托书</w:t>
      </w:r>
      <w:r>
        <w:tab/>
      </w:r>
      <w:r>
        <w:fldChar w:fldCharType="begin"/>
      </w:r>
      <w:r>
        <w:instrText xml:space="preserve"> PAGEREF _Toc78976394 \h </w:instrText>
      </w:r>
      <w:r>
        <w:fldChar w:fldCharType="separate"/>
      </w:r>
      <w:r>
        <w:t xml:space="preserve">18</w:t>
      </w:r>
      <w:r>
        <w:fldChar w:fldCharType="end"/>
        <w:fldChar w:fldCharType="end"/>
      </w:r>
      <w:r>
        <w:rPr>
          <w:rFonts w:ascii="Calibri" w:hAnsi="Calibri"/>
          <w:szCs w:val="22"/>
        </w:rPr>
      </w:r>
      <w:r/>
    </w:p>
    <w:p>
      <w:pPr>
        <w:pStyle w:val="966"/>
        <w:tabs>
          <w:tab w:val="right" w:pos="9061" w:leader="dot"/>
        </w:tabs>
        <w:rPr>
          <w:rFonts w:ascii="Calibri" w:hAnsi="Calibri"/>
          <w:szCs w:val="22"/>
        </w:rPr>
      </w:pPr>
      <w:r>
        <w:fldChar w:fldCharType="begin"/>
      </w:r>
      <w:r>
        <w:rPr>
          <w:rStyle w:val="987"/>
        </w:rPr>
        <w:instrText xml:space="preserve"> </w:instrText>
      </w:r>
      <w:r>
        <w:instrText xml:space="preserve">HYPERLINK \l "_Toc78976395"</w:instrText>
      </w:r>
      <w:r>
        <w:rPr>
          <w:rStyle w:val="987"/>
        </w:rPr>
        <w:instrText xml:space="preserve"> </w:instrText>
      </w:r>
      <w:r>
        <w:fldChar w:fldCharType="separate"/>
      </w:r>
      <w:r>
        <w:rPr>
          <w:rStyle w:val="987"/>
          <w:rFonts w:hint="eastAsia" w:ascii="宋体" w:hAnsi="宋体"/>
        </w:rPr>
        <w:t xml:space="preserve">投标函</w:t>
      </w:r>
      <w:r>
        <w:tab/>
      </w:r>
      <w:r>
        <w:fldChar w:fldCharType="begin"/>
      </w:r>
      <w:r>
        <w:instrText xml:space="preserve"> PAGEREF _Toc78976395 \h </w:instrText>
      </w:r>
      <w:r>
        <w:fldChar w:fldCharType="separate"/>
      </w:r>
      <w:r>
        <w:t xml:space="preserve">19</w:t>
      </w:r>
      <w:r>
        <w:fldChar w:fldCharType="end"/>
        <w:fldChar w:fldCharType="end"/>
      </w:r>
      <w:r>
        <w:rPr>
          <w:rFonts w:ascii="Calibri" w:hAnsi="Calibri"/>
          <w:szCs w:val="22"/>
        </w:rPr>
      </w:r>
      <w:r/>
    </w:p>
    <w:p>
      <w:pPr>
        <w:pStyle w:val="966"/>
        <w:tabs>
          <w:tab w:val="right" w:pos="9061" w:leader="dot"/>
        </w:tabs>
        <w:rPr>
          <w:rFonts w:ascii="Calibri" w:hAnsi="Calibri"/>
          <w:szCs w:val="22"/>
        </w:rPr>
      </w:pPr>
      <w:r>
        <w:fldChar w:fldCharType="begin"/>
      </w:r>
      <w:r>
        <w:rPr>
          <w:rStyle w:val="987"/>
        </w:rPr>
        <w:instrText xml:space="preserve"> </w:instrText>
      </w:r>
      <w:r>
        <w:instrText xml:space="preserve">HYPERLINK \l "_Toc78976396"</w:instrText>
      </w:r>
      <w:r>
        <w:rPr>
          <w:rStyle w:val="987"/>
        </w:rPr>
        <w:instrText xml:space="preserve"> </w:instrText>
      </w:r>
      <w:r>
        <w:fldChar w:fldCharType="separate"/>
      </w:r>
      <w:r>
        <w:rPr>
          <w:rStyle w:val="987"/>
          <w:rFonts w:hint="eastAsia" w:ascii="宋体" w:hAnsi="宋体"/>
        </w:rPr>
        <w:t xml:space="preserve">开标一览表</w:t>
      </w:r>
      <w:r>
        <w:tab/>
      </w:r>
      <w:r>
        <w:fldChar w:fldCharType="begin"/>
      </w:r>
      <w:r>
        <w:instrText xml:space="preserve"> PAGEREF _Toc78976396 \h </w:instrText>
      </w:r>
      <w:r>
        <w:fldChar w:fldCharType="separate"/>
      </w:r>
      <w:r>
        <w:t xml:space="preserve">20</w:t>
      </w:r>
      <w:r>
        <w:fldChar w:fldCharType="end"/>
        <w:fldChar w:fldCharType="end"/>
      </w:r>
      <w:r>
        <w:rPr>
          <w:rFonts w:ascii="Calibri" w:hAnsi="Calibri"/>
          <w:szCs w:val="22"/>
        </w:rPr>
      </w:r>
      <w:r/>
    </w:p>
    <w:p>
      <w:pPr>
        <w:pStyle w:val="966"/>
        <w:tabs>
          <w:tab w:val="right" w:pos="9061" w:leader="dot"/>
        </w:tabs>
        <w:rPr>
          <w:rFonts w:ascii="Calibri" w:hAnsi="Calibri"/>
          <w:szCs w:val="22"/>
        </w:rPr>
      </w:pPr>
      <w:r>
        <w:fldChar w:fldCharType="begin"/>
      </w:r>
      <w:r>
        <w:rPr>
          <w:rStyle w:val="987"/>
        </w:rPr>
        <w:instrText xml:space="preserve"> </w:instrText>
      </w:r>
      <w:r>
        <w:instrText xml:space="preserve">HYPERLINK \l "_Toc78976397"</w:instrText>
      </w:r>
      <w:r>
        <w:rPr>
          <w:rStyle w:val="987"/>
        </w:rPr>
        <w:instrText xml:space="preserve"> </w:instrText>
      </w:r>
      <w:r>
        <w:fldChar w:fldCharType="separate"/>
      </w:r>
      <w:r>
        <w:rPr>
          <w:rStyle w:val="987"/>
          <w:rFonts w:hint="eastAsia" w:ascii="宋体" w:hAnsi="宋体"/>
        </w:rPr>
        <w:t xml:space="preserve">中小企业声明函</w:t>
      </w:r>
      <w:r>
        <w:tab/>
      </w:r>
      <w:r>
        <w:fldChar w:fldCharType="begin"/>
      </w:r>
      <w:r>
        <w:instrText xml:space="preserve"> PAGEREF _Toc78976397 \h </w:instrText>
      </w:r>
      <w:r>
        <w:fldChar w:fldCharType="separate"/>
      </w:r>
      <w:r>
        <w:t xml:space="preserve">21</w:t>
      </w:r>
      <w:r>
        <w:fldChar w:fldCharType="end"/>
        <w:fldChar w:fldCharType="end"/>
      </w:r>
      <w:r>
        <w:rPr>
          <w:rFonts w:ascii="Calibri" w:hAnsi="Calibri"/>
          <w:szCs w:val="22"/>
        </w:rPr>
      </w:r>
      <w:r/>
    </w:p>
    <w:p>
      <w:pPr>
        <w:pStyle w:val="966"/>
        <w:tabs>
          <w:tab w:val="right" w:pos="9061" w:leader="dot"/>
        </w:tabs>
        <w:rPr>
          <w:rFonts w:ascii="Calibri" w:hAnsi="Calibri"/>
          <w:szCs w:val="22"/>
        </w:rPr>
      </w:pPr>
      <w:r>
        <w:fldChar w:fldCharType="begin"/>
      </w:r>
      <w:r>
        <w:rPr>
          <w:rStyle w:val="987"/>
        </w:rPr>
        <w:instrText xml:space="preserve"> </w:instrText>
      </w:r>
      <w:r>
        <w:instrText xml:space="preserve">HYPERLINK \l "_Toc78976398"</w:instrText>
      </w:r>
      <w:r>
        <w:rPr>
          <w:rStyle w:val="987"/>
        </w:rPr>
        <w:instrText xml:space="preserve"> </w:instrText>
      </w:r>
      <w:r>
        <w:fldChar w:fldCharType="separate"/>
      </w:r>
      <w:r>
        <w:rPr>
          <w:rStyle w:val="987"/>
          <w:rFonts w:hint="eastAsia" w:ascii="宋体" w:hAnsi="宋体"/>
        </w:rPr>
        <w:t xml:space="preserve">偏离表（商务）：</w:t>
      </w:r>
      <w:r>
        <w:tab/>
      </w:r>
      <w:r>
        <w:fldChar w:fldCharType="begin"/>
      </w:r>
      <w:r>
        <w:instrText xml:space="preserve"> PAGEREF _Toc78976398 \h </w:instrText>
      </w:r>
      <w:r>
        <w:fldChar w:fldCharType="separate"/>
      </w:r>
      <w:r>
        <w:t xml:space="preserve">23</w:t>
      </w:r>
      <w:r>
        <w:fldChar w:fldCharType="end"/>
        <w:fldChar w:fldCharType="end"/>
      </w:r>
      <w:r>
        <w:rPr>
          <w:rFonts w:ascii="Calibri" w:hAnsi="Calibri"/>
          <w:szCs w:val="22"/>
        </w:rPr>
      </w:r>
      <w:r/>
    </w:p>
    <w:p>
      <w:pPr>
        <w:pStyle w:val="966"/>
        <w:tabs>
          <w:tab w:val="right" w:pos="9061" w:leader="dot"/>
        </w:tabs>
        <w:rPr>
          <w:rFonts w:ascii="Calibri" w:hAnsi="Calibri"/>
          <w:szCs w:val="22"/>
        </w:rPr>
      </w:pPr>
      <w:r>
        <w:fldChar w:fldCharType="begin"/>
      </w:r>
      <w:r>
        <w:rPr>
          <w:rStyle w:val="987"/>
        </w:rPr>
        <w:instrText xml:space="preserve"> </w:instrText>
      </w:r>
      <w:r>
        <w:instrText xml:space="preserve">HYPERLINK \l "_Toc78976399"</w:instrText>
      </w:r>
      <w:r>
        <w:rPr>
          <w:rStyle w:val="987"/>
        </w:rPr>
        <w:instrText xml:space="preserve"> </w:instrText>
      </w:r>
      <w:r>
        <w:fldChar w:fldCharType="separate"/>
      </w:r>
      <w:r>
        <w:rPr>
          <w:rStyle w:val="987"/>
          <w:rFonts w:hint="eastAsia" w:ascii="宋体" w:hAnsi="宋体"/>
        </w:rPr>
        <w:t xml:space="preserve">偏离表（技术）：</w:t>
      </w:r>
      <w:r>
        <w:tab/>
      </w:r>
      <w:r>
        <w:fldChar w:fldCharType="begin"/>
      </w:r>
      <w:r>
        <w:instrText xml:space="preserve"> PAGEREF _Toc78976399 \h </w:instrText>
      </w:r>
      <w:r>
        <w:fldChar w:fldCharType="separate"/>
      </w:r>
      <w:r>
        <w:t xml:space="preserve">23</w:t>
      </w:r>
      <w:r>
        <w:fldChar w:fldCharType="end"/>
        <w:fldChar w:fldCharType="end"/>
      </w:r>
      <w:r>
        <w:rPr>
          <w:rFonts w:ascii="Calibri" w:hAnsi="Calibri"/>
          <w:szCs w:val="22"/>
        </w:rPr>
      </w:r>
      <w:r/>
    </w:p>
    <w:p>
      <w:pPr>
        <w:pStyle w:val="966"/>
        <w:tabs>
          <w:tab w:val="right" w:pos="9061" w:leader="dot"/>
        </w:tabs>
        <w:rPr>
          <w:rFonts w:ascii="Calibri" w:hAnsi="Calibri"/>
          <w:szCs w:val="22"/>
        </w:rPr>
      </w:pPr>
      <w:r>
        <w:fldChar w:fldCharType="begin"/>
      </w:r>
      <w:r>
        <w:rPr>
          <w:rStyle w:val="987"/>
        </w:rPr>
        <w:instrText xml:space="preserve"> </w:instrText>
      </w:r>
      <w:r>
        <w:instrText xml:space="preserve">HYPERLINK \l "_Toc78976400"</w:instrText>
      </w:r>
      <w:r>
        <w:rPr>
          <w:rStyle w:val="987"/>
        </w:rPr>
        <w:instrText xml:space="preserve"> </w:instrText>
      </w:r>
      <w:r>
        <w:fldChar w:fldCharType="separate"/>
      </w:r>
      <w:r>
        <w:rPr>
          <w:rStyle w:val="987"/>
          <w:rFonts w:hint="eastAsia"/>
        </w:rPr>
        <w:t xml:space="preserve">远程参与开标会议诚信承诺书</w:t>
      </w:r>
      <w:r>
        <w:tab/>
      </w:r>
      <w:r>
        <w:fldChar w:fldCharType="begin"/>
      </w:r>
      <w:r>
        <w:instrText xml:space="preserve"> PAGEREF _Toc78976400 \h </w:instrText>
      </w:r>
      <w:r>
        <w:fldChar w:fldCharType="separate"/>
      </w:r>
      <w:r>
        <w:t xml:space="preserve">24</w:t>
      </w:r>
      <w:r>
        <w:fldChar w:fldCharType="end"/>
        <w:fldChar w:fldCharType="end"/>
      </w:r>
      <w:r>
        <w:rPr>
          <w:rFonts w:ascii="Calibri" w:hAnsi="Calibri"/>
          <w:szCs w:val="22"/>
        </w:rPr>
      </w:r>
      <w:r/>
    </w:p>
    <w:p>
      <w:pPr>
        <w:pStyle w:val="966"/>
        <w:tabs>
          <w:tab w:val="right" w:pos="9061" w:leader="dot"/>
        </w:tabs>
        <w:rPr>
          <w:rFonts w:ascii="Calibri" w:hAnsi="Calibri"/>
          <w:szCs w:val="22"/>
        </w:rPr>
      </w:pPr>
      <w:r>
        <w:fldChar w:fldCharType="begin"/>
      </w:r>
      <w:r>
        <w:rPr>
          <w:rStyle w:val="987"/>
        </w:rPr>
        <w:instrText xml:space="preserve"> </w:instrText>
      </w:r>
      <w:r>
        <w:instrText xml:space="preserve">HYPERLINK \l "_Toc78976401"</w:instrText>
      </w:r>
      <w:r>
        <w:rPr>
          <w:rStyle w:val="987"/>
        </w:rPr>
        <w:instrText xml:space="preserve"> </w:instrText>
      </w:r>
      <w:r>
        <w:fldChar w:fldCharType="separate"/>
      </w:r>
      <w:r>
        <w:rPr>
          <w:rStyle w:val="987"/>
          <w:rFonts w:hint="eastAsia" w:ascii="宋体" w:hAnsi="宋体"/>
        </w:rPr>
        <w:t xml:space="preserve">投标单位情况表</w:t>
      </w:r>
      <w:r>
        <w:tab/>
      </w:r>
      <w:r>
        <w:fldChar w:fldCharType="begin"/>
      </w:r>
      <w:r>
        <w:instrText xml:space="preserve"> PAGEREF _Toc78976401 \h </w:instrText>
      </w:r>
      <w:r>
        <w:fldChar w:fldCharType="separate"/>
      </w:r>
      <w:r>
        <w:t xml:space="preserve">25</w:t>
      </w:r>
      <w:r>
        <w:fldChar w:fldCharType="end"/>
        <w:fldChar w:fldCharType="end"/>
      </w:r>
      <w:r>
        <w:rPr>
          <w:rFonts w:ascii="Calibri" w:hAnsi="Calibri"/>
          <w:szCs w:val="22"/>
        </w:rPr>
      </w:r>
      <w:r/>
    </w:p>
    <w:p>
      <w:pPr>
        <w:pStyle w:val="956"/>
        <w:rPr>
          <w:rFonts w:ascii="Calibri" w:hAnsi="Calibri"/>
          <w:b w:val="0"/>
          <w:szCs w:val="22"/>
        </w:rPr>
      </w:pPr>
      <w:r>
        <w:fldChar w:fldCharType="begin"/>
      </w:r>
      <w:r>
        <w:rPr>
          <w:rStyle w:val="987"/>
        </w:rPr>
        <w:instrText xml:space="preserve"> </w:instrText>
      </w:r>
      <w:r>
        <w:instrText xml:space="preserve">HYPERLINK \l "_Toc78976402"</w:instrText>
      </w:r>
      <w:r>
        <w:rPr>
          <w:rStyle w:val="987"/>
        </w:rPr>
        <w:instrText xml:space="preserve"> </w:instrText>
      </w:r>
      <w:r>
        <w:fldChar w:fldCharType="separate"/>
      </w:r>
      <w:r>
        <w:rPr>
          <w:rStyle w:val="987"/>
          <w:rFonts w:hint="eastAsia"/>
        </w:rPr>
        <w:t xml:space="preserve">第四章</w:t>
      </w:r>
      <w:r>
        <w:rPr>
          <w:rStyle w:val="987"/>
        </w:rPr>
        <w:t xml:space="preserve">  </w:t>
      </w:r>
      <w:r>
        <w:rPr>
          <w:rStyle w:val="987"/>
          <w:rFonts w:hint="eastAsia"/>
        </w:rPr>
        <w:t xml:space="preserve">招标书</w:t>
      </w:r>
      <w:r>
        <w:tab/>
      </w:r>
      <w:r>
        <w:fldChar w:fldCharType="begin"/>
      </w:r>
      <w:r>
        <w:instrText xml:space="preserve"> PAGEREF _Toc78976402 \h </w:instrText>
      </w:r>
      <w:r>
        <w:fldChar w:fldCharType="separate"/>
      </w:r>
      <w:r>
        <w:t xml:space="preserve">26</w:t>
      </w:r>
      <w:r>
        <w:fldChar w:fldCharType="end"/>
        <w:fldChar w:fldCharType="end"/>
      </w:r>
      <w:r>
        <w:rPr>
          <w:rFonts w:ascii="Calibri" w:hAnsi="Calibri"/>
          <w:b w:val="0"/>
          <w:szCs w:val="22"/>
        </w:rPr>
      </w:r>
      <w:r/>
    </w:p>
    <w:p>
      <w:pPr>
        <w:pStyle w:val="956"/>
        <w:rPr>
          <w:rFonts w:ascii="Calibri" w:hAnsi="Calibri"/>
          <w:b w:val="0"/>
          <w:szCs w:val="22"/>
        </w:rPr>
      </w:pPr>
      <w:r>
        <w:fldChar w:fldCharType="begin"/>
      </w:r>
      <w:r>
        <w:rPr>
          <w:rStyle w:val="987"/>
        </w:rPr>
        <w:instrText xml:space="preserve"> </w:instrText>
      </w:r>
      <w:r>
        <w:instrText xml:space="preserve">HYPERLINK \l "_Toc78976403"</w:instrText>
      </w:r>
      <w:r>
        <w:rPr>
          <w:rStyle w:val="987"/>
        </w:rPr>
        <w:instrText xml:space="preserve"> </w:instrText>
      </w:r>
      <w:r>
        <w:fldChar w:fldCharType="separate"/>
      </w:r>
      <w:r>
        <w:rPr>
          <w:rStyle w:val="987"/>
          <w:rFonts w:hint="eastAsia"/>
        </w:rPr>
        <w:t xml:space="preserve">第五章</w:t>
      </w:r>
      <w:r>
        <w:rPr>
          <w:rStyle w:val="987"/>
        </w:rPr>
        <w:t xml:space="preserve"> </w:t>
      </w:r>
      <w:r>
        <w:rPr>
          <w:rStyle w:val="987"/>
          <w:rFonts w:hint="eastAsia"/>
        </w:rPr>
        <w:t xml:space="preserve">合同主要内容</w:t>
      </w:r>
      <w:r>
        <w:tab/>
      </w:r>
      <w:r>
        <w:fldChar w:fldCharType="begin"/>
      </w:r>
      <w:r>
        <w:instrText xml:space="preserve"> PAGEREF _Toc78976403 \h </w:instrText>
      </w:r>
      <w:r>
        <w:fldChar w:fldCharType="separate"/>
      </w:r>
      <w:r>
        <w:t xml:space="preserve">33</w:t>
      </w:r>
      <w:r>
        <w:fldChar w:fldCharType="end"/>
        <w:fldChar w:fldCharType="end"/>
      </w:r>
      <w:r>
        <w:rPr>
          <w:rFonts w:ascii="Calibri" w:hAnsi="Calibri"/>
          <w:b w:val="0"/>
          <w:szCs w:val="22"/>
        </w:rPr>
      </w:r>
      <w:r/>
    </w:p>
    <w:p>
      <w:pPr>
        <w:pStyle w:val="956"/>
        <w:rPr>
          <w:rFonts w:ascii="Calibri" w:hAnsi="Calibri"/>
          <w:b w:val="0"/>
          <w:szCs w:val="22"/>
        </w:rPr>
      </w:pPr>
      <w:r>
        <w:fldChar w:fldCharType="begin"/>
      </w:r>
      <w:r>
        <w:rPr>
          <w:rStyle w:val="987"/>
        </w:rPr>
        <w:instrText xml:space="preserve"> </w:instrText>
      </w:r>
      <w:r>
        <w:instrText xml:space="preserve">HYPERLINK \l "_Toc78976404"</w:instrText>
      </w:r>
      <w:r>
        <w:rPr>
          <w:rStyle w:val="987"/>
        </w:rPr>
        <w:instrText xml:space="preserve"> </w:instrText>
      </w:r>
      <w:r>
        <w:fldChar w:fldCharType="separate"/>
      </w:r>
      <w:r>
        <w:rPr>
          <w:rStyle w:val="987"/>
          <w:rFonts w:hint="eastAsia"/>
        </w:rPr>
        <w:t xml:space="preserve">第六章</w:t>
      </w:r>
      <w:r>
        <w:rPr>
          <w:rStyle w:val="987"/>
        </w:rPr>
        <w:t xml:space="preserve">  </w:t>
      </w:r>
      <w:r>
        <w:rPr>
          <w:rStyle w:val="987"/>
          <w:rFonts w:hint="eastAsia"/>
        </w:rPr>
        <w:t xml:space="preserve">评标方法、采购政策、评分标准</w:t>
      </w:r>
      <w:r>
        <w:tab/>
      </w:r>
      <w:r>
        <w:fldChar w:fldCharType="begin"/>
      </w:r>
      <w:r>
        <w:instrText xml:space="preserve"> PAGEREF _Toc78976404 \h </w:instrText>
      </w:r>
      <w:r>
        <w:fldChar w:fldCharType="separate"/>
      </w:r>
      <w:r>
        <w:t xml:space="preserve">38</w:t>
      </w:r>
      <w:r>
        <w:fldChar w:fldCharType="end"/>
        <w:fldChar w:fldCharType="end"/>
      </w:r>
      <w:r>
        <w:rPr>
          <w:rFonts w:ascii="Calibri" w:hAnsi="Calibri"/>
          <w:b w:val="0"/>
          <w:szCs w:val="22"/>
        </w:rPr>
      </w:r>
      <w:r/>
    </w:p>
    <w:p>
      <w:pPr>
        <w:pStyle w:val="974"/>
        <w:rPr>
          <w:color w:val="000000"/>
          <w:sz w:val="24"/>
          <w:szCs w:val="24"/>
        </w:rPr>
      </w:pPr>
      <w:r>
        <w:rPr>
          <w:b w:val="0"/>
          <w:bCs w:val="0"/>
          <w:color w:val="000000"/>
          <w:sz w:val="24"/>
          <w:szCs w:val="24"/>
          <w:lang w:val="zh-CN"/>
        </w:rPr>
        <w:fldChar w:fldCharType="end"/>
      </w:r>
      <w:r>
        <w:rPr>
          <w:b w:val="0"/>
          <w:bCs w:val="0"/>
          <w:color w:val="000000"/>
          <w:sz w:val="24"/>
          <w:szCs w:val="24"/>
          <w:lang w:val="zh-CN"/>
        </w:rPr>
        <w:br w:type="page" w:clear="all"/>
      </w:r>
      <w:bookmarkStart w:id="0" w:name="_Toc359921166"/>
      <w:r/>
      <w:bookmarkStart w:id="1" w:name="_Toc78976388"/>
      <w:r>
        <w:rPr>
          <w:rFonts w:hint="eastAsia"/>
          <w:color w:val="000000"/>
          <w:sz w:val="24"/>
          <w:szCs w:val="24"/>
        </w:rPr>
        <w:t xml:space="preserve">第一章</w:t>
      </w:r>
      <w:r>
        <w:rPr>
          <w:color w:val="000000"/>
          <w:sz w:val="24"/>
          <w:szCs w:val="24"/>
        </w:rPr>
        <w:t xml:space="preserve">  </w:t>
      </w:r>
      <w:r>
        <w:rPr>
          <w:rFonts w:hint="eastAsia"/>
          <w:color w:val="000000"/>
          <w:sz w:val="24"/>
          <w:szCs w:val="24"/>
        </w:rPr>
        <w:t xml:space="preserve">投标邀请</w:t>
      </w:r>
      <w:bookmarkEnd w:id="0"/>
      <w:r>
        <w:rPr>
          <w:rFonts w:hint="eastAsia"/>
          <w:color w:val="000000"/>
          <w:sz w:val="24"/>
          <w:szCs w:val="24"/>
        </w:rPr>
        <w:t xml:space="preserve">函</w:t>
      </w:r>
      <w:bookmarkEnd w:id="1"/>
      <w:r>
        <w:rPr>
          <w:color w:val="000000"/>
          <w:sz w:val="24"/>
          <w:szCs w:val="24"/>
        </w:rPr>
      </w:r>
      <w:r/>
    </w:p>
    <w:p>
      <w:pPr>
        <w:pStyle w:val="900"/>
        <w:ind w:firstLine="480"/>
        <w:spacing w:line="360" w:lineRule="auto"/>
        <w:rPr>
          <w:rFonts w:hint="eastAsia" w:ascii="宋体" w:hAnsi="宋体"/>
          <w:color w:val="000000"/>
          <w:sz w:val="24"/>
          <w:u w:val="single"/>
        </w:rPr>
      </w:pPr>
      <w:r>
        <w:rPr>
          <w:rFonts w:ascii="宋体" w:hAnsi="宋体"/>
          <w:color w:val="000000"/>
          <w:sz w:val="24"/>
          <w:u w:val="single"/>
        </w:rPr>
        <w:t xml:space="preserve">                   :</w:t>
      </w:r>
      <w:r>
        <w:rPr>
          <w:rFonts w:hint="eastAsia" w:ascii="宋体" w:hAnsi="宋体"/>
          <w:color w:val="000000"/>
          <w:sz w:val="24"/>
          <w:u w:val="singl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5000" w:type="pct"/>
            <w:vAlign w:val="top"/>
            <w:textDirection w:val="lrTb"/>
            <w:noWrap w:val="false"/>
          </w:tcPr>
          <w:p>
            <w:pPr>
              <w:pStyle w:val="900"/>
              <w:ind w:firstLine="420"/>
              <w:spacing w:line="360" w:lineRule="auto"/>
              <w:rPr>
                <w:rFonts w:ascii="宋体" w:hAnsi="宋体"/>
                <w:szCs w:val="21"/>
              </w:rPr>
            </w:pPr>
            <w:r>
              <w:rPr>
                <w:rFonts w:hint="eastAsia" w:ascii="宋体" w:hAnsi="宋体"/>
                <w:szCs w:val="21"/>
              </w:rPr>
              <w:t xml:space="preserve">项目概况</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2025年农产品（畜产品、水产品）质量安全检测招标项目的潜在投标人应在供应商投标工具客户端”自行下载本项目招标文件；获取招标文件，并于</w:t>
            </w:r>
            <w:r>
              <w:rPr>
                <w:rFonts w:hint="eastAsia" w:ascii="宋体" w:hAnsi="宋体"/>
                <w:szCs w:val="21"/>
              </w:rPr>
              <w:t xml:space="preserve">2025年3月05日</w:t>
            </w:r>
            <w:r>
              <w:rPr>
                <w:rFonts w:hint="eastAsia" w:ascii="宋体" w:hAnsi="宋体"/>
                <w:szCs w:val="21"/>
              </w:rPr>
              <w:t xml:space="preserve">13:30分（北京时间）前递交投标文件。</w:t>
            </w:r>
            <w:r>
              <w:rPr>
                <w:rFonts w:ascii="宋体" w:hAnsi="宋体"/>
                <w:szCs w:val="21"/>
              </w:rPr>
            </w:r>
            <w:r/>
          </w:p>
        </w:tc>
      </w:tr>
    </w:tbl>
    <w:p>
      <w:pPr>
        <w:pStyle w:val="900"/>
        <w:ind w:firstLine="420"/>
        <w:spacing w:line="360" w:lineRule="auto"/>
        <w:rPr>
          <w:rFonts w:ascii="宋体" w:hAnsi="宋体"/>
          <w:szCs w:val="21"/>
        </w:rPr>
      </w:pPr>
      <w:r/>
      <w:bookmarkStart w:id="2" w:name="_Toc35393621"/>
      <w:r/>
      <w:bookmarkEnd w:id="2"/>
      <w:r/>
      <w:bookmarkStart w:id="3" w:name="_Toc28359002"/>
      <w:r>
        <w:rPr>
          <w:rFonts w:hint="eastAsia" w:ascii="宋体" w:hAnsi="宋体"/>
          <w:szCs w:val="21"/>
        </w:rPr>
        <w:t xml:space="preserve">一、项目基本情况</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JSZC-320583-SZGZ-G2025-0009</w:t>
      </w:r>
      <w:r>
        <w:rPr>
          <w:rFonts w:hint="eastAsia" w:ascii="宋体" w:hAnsi="宋体"/>
          <w:szCs w:val="21"/>
        </w:rPr>
        <w:t xml:space="preserve">号</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2.项目名称：2025年农产品（畜产品、水产品）质量安全检测</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3.预算金额：人民币叁佰壹拾万元整（￥：3100000</w:t>
      </w:r>
      <w:r>
        <w:rPr>
          <w:rFonts w:ascii="宋体" w:hAnsi="宋体"/>
          <w:szCs w:val="21"/>
        </w:rPr>
        <w:t xml:space="preserve">元</w:t>
      </w:r>
      <w:r>
        <w:rPr>
          <w:rFonts w:hint="eastAsia" w:ascii="宋体" w:hAnsi="宋体"/>
          <w:szCs w:val="21"/>
        </w:rPr>
        <w:t xml:space="preserve">）</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4.采购需求：</w:t>
      </w:r>
      <w:r>
        <w:rPr>
          <w:rFonts w:ascii="宋体" w:hAnsi="宋体"/>
          <w:szCs w:val="21"/>
        </w:rPr>
      </w:r>
      <w:r/>
    </w:p>
    <w:tbl>
      <w:tblPr>
        <w:tblW w:w="500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2409"/>
        <w:gridCol w:w="1628"/>
        <w:gridCol w:w="2514"/>
        <w:gridCol w:w="1780"/>
      </w:tblGrid>
      <w:tr>
        <w:trPr>
          <w:trHeight w:val="777" w:hRule="exact"/>
        </w:trPr>
        <w:tc>
          <w:tcPr>
            <w:tcW w:w="51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包号</w:t>
            </w:r>
            <w:r/>
          </w:p>
        </w:tc>
        <w:tc>
          <w:tcPr>
            <w:tcW w:w="129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计划任务量（批次）</w:t>
            </w:r>
            <w:r/>
          </w:p>
        </w:tc>
        <w:tc>
          <w:tcPr>
            <w:tcW w:w="87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是否针对中小微企业</w:t>
            </w:r>
            <w:r/>
          </w:p>
        </w:tc>
        <w:tc>
          <w:tcPr>
            <w:tcW w:w="1353"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单批次检测预算价格</w:t>
            </w:r>
            <w:r/>
          </w:p>
        </w:tc>
        <w:tc>
          <w:tcPr>
            <w:tcW w:w="95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服务期限</w:t>
            </w:r>
            <w:r/>
          </w:p>
        </w:tc>
      </w:tr>
      <w:tr>
        <w:trPr>
          <w:cantSplit/>
          <w:trHeight w:val="510" w:hRule="exact"/>
        </w:trPr>
        <w:tc>
          <w:tcPr>
            <w:tcW w:w="51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包一</w:t>
            </w:r>
            <w:r/>
          </w:p>
        </w:tc>
        <w:tc>
          <w:tcPr>
            <w:tcW w:w="129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1466批次以上</w:t>
            </w:r>
            <w:r/>
          </w:p>
        </w:tc>
        <w:tc>
          <w:tcPr>
            <w:tcW w:w="87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是</w:t>
            </w:r>
            <w:r/>
          </w:p>
        </w:tc>
        <w:tc>
          <w:tcPr>
            <w:tcW w:w="1353"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750元/批次</w:t>
            </w:r>
            <w:r/>
          </w:p>
        </w:tc>
        <w:tc>
          <w:tcPr>
            <w:tcW w:w="956" w:type="pct"/>
            <w:vAlign w:val="center"/>
            <w:vMerge w:val="restart"/>
            <w:textDirection w:val="lrTb"/>
            <w:noWrap w:val="false"/>
          </w:tcPr>
          <w:p>
            <w:pPr>
              <w:pStyle w:val="900"/>
              <w:jc w:val="center"/>
              <w:rPr>
                <w:rFonts w:hint="eastAsia" w:ascii="宋体" w:hAnsi="宋体"/>
                <w:szCs w:val="21"/>
              </w:rPr>
            </w:pPr>
            <w:r>
              <w:rPr>
                <w:rFonts w:hint="eastAsia" w:ascii="宋体" w:hAnsi="宋体"/>
                <w:szCs w:val="21"/>
              </w:rPr>
              <w:t xml:space="preserve">2025年3月-2026年3月</w:t>
            </w:r>
            <w:r/>
          </w:p>
        </w:tc>
      </w:tr>
      <w:tr>
        <w:trPr>
          <w:cantSplit/>
          <w:trHeight w:val="574" w:hRule="exact"/>
        </w:trPr>
        <w:tc>
          <w:tcPr>
            <w:tcW w:w="51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包二</w:t>
            </w:r>
            <w:r/>
          </w:p>
        </w:tc>
        <w:tc>
          <w:tcPr>
            <w:tcW w:w="129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1333批次以上</w:t>
            </w:r>
            <w:r/>
          </w:p>
        </w:tc>
        <w:tc>
          <w:tcPr>
            <w:tcW w:w="87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是</w:t>
            </w:r>
            <w:r/>
          </w:p>
        </w:tc>
        <w:tc>
          <w:tcPr>
            <w:tcW w:w="1353"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750元/批次</w:t>
            </w:r>
            <w:r/>
          </w:p>
        </w:tc>
        <w:tc>
          <w:tcPr>
            <w:tcW w:w="956" w:type="pct"/>
            <w:vAlign w:val="center"/>
            <w:vMerge w:val="continue"/>
            <w:textDirection w:val="lrTb"/>
            <w:noWrap w:val="false"/>
          </w:tcPr>
          <w:p>
            <w:pPr>
              <w:pStyle w:val="900"/>
              <w:ind w:firstLine="480"/>
              <w:rPr>
                <w:rFonts w:hint="eastAsia" w:ascii="宋体" w:hAnsi="宋体"/>
                <w:szCs w:val="21"/>
              </w:rPr>
            </w:pPr>
            <w:r>
              <w:rPr>
                <w:rFonts w:hint="eastAsia" w:ascii="宋体" w:hAnsi="宋体"/>
                <w:szCs w:val="21"/>
              </w:rPr>
            </w:r>
            <w:r/>
          </w:p>
        </w:tc>
      </w:tr>
      <w:tr>
        <w:trPr>
          <w:cantSplit/>
          <w:trHeight w:val="568" w:hRule="exact"/>
        </w:trPr>
        <w:tc>
          <w:tcPr>
            <w:tcW w:w="51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包三</w:t>
            </w:r>
            <w:r/>
          </w:p>
        </w:tc>
        <w:tc>
          <w:tcPr>
            <w:tcW w:w="129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1333批次以上</w:t>
            </w:r>
            <w:r/>
          </w:p>
        </w:tc>
        <w:tc>
          <w:tcPr>
            <w:tcW w:w="87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是</w:t>
            </w:r>
            <w:r/>
          </w:p>
        </w:tc>
        <w:tc>
          <w:tcPr>
            <w:tcW w:w="1353"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750元/批次</w:t>
            </w:r>
            <w:r/>
          </w:p>
        </w:tc>
        <w:tc>
          <w:tcPr>
            <w:tcW w:w="956" w:type="pct"/>
            <w:vAlign w:val="center"/>
            <w:vMerge w:val="continue"/>
            <w:textDirection w:val="lrTb"/>
            <w:noWrap w:val="false"/>
          </w:tcPr>
          <w:p>
            <w:pPr>
              <w:pStyle w:val="900"/>
              <w:ind w:firstLine="480"/>
              <w:rPr>
                <w:rFonts w:hint="eastAsia" w:ascii="宋体" w:hAnsi="宋体"/>
                <w:szCs w:val="21"/>
              </w:rPr>
            </w:pPr>
            <w:r>
              <w:rPr>
                <w:rFonts w:hint="eastAsia" w:ascii="宋体" w:hAnsi="宋体"/>
                <w:szCs w:val="21"/>
              </w:rPr>
            </w:r>
            <w:r/>
          </w:p>
        </w:tc>
      </w:tr>
      <w:tr>
        <w:trPr>
          <w:trHeight w:val="90"/>
        </w:trPr>
        <w:tc>
          <w:tcPr>
            <w:tcW w:w="516" w:type="pct"/>
            <w:vAlign w:val="center"/>
            <w:textDirection w:val="lrTb"/>
            <w:noWrap w:val="false"/>
          </w:tcPr>
          <w:p>
            <w:pPr>
              <w:pStyle w:val="900"/>
              <w:jc w:val="center"/>
              <w:rPr>
                <w:rFonts w:hint="eastAsia" w:ascii="宋体" w:hAnsi="宋体"/>
                <w:szCs w:val="21"/>
              </w:rPr>
            </w:pPr>
            <w:r>
              <w:rPr>
                <w:rFonts w:hint="eastAsia" w:ascii="宋体" w:hAnsi="宋体"/>
                <w:szCs w:val="21"/>
              </w:rPr>
              <w:t xml:space="preserve">备注</w:t>
            </w:r>
            <w:r/>
          </w:p>
        </w:tc>
        <w:tc>
          <w:tcPr>
            <w:gridSpan w:val="4"/>
            <w:tcW w:w="4483" w:type="pct"/>
            <w:vAlign w:val="top"/>
            <w:textDirection w:val="lrTb"/>
            <w:noWrap w:val="false"/>
          </w:tcPr>
          <w:p>
            <w:pPr>
              <w:pStyle w:val="900"/>
              <w:spacing w:line="360" w:lineRule="auto"/>
              <w:rPr>
                <w:rFonts w:hint="eastAsia" w:ascii="宋体" w:hAnsi="宋体"/>
                <w:szCs w:val="21"/>
              </w:rPr>
            </w:pPr>
            <w:r>
              <w:rPr>
                <w:rFonts w:hint="eastAsia" w:ascii="宋体" w:hAnsi="宋体"/>
                <w:szCs w:val="21"/>
              </w:rPr>
              <w:t xml:space="preserve">①评标顺序按照包一、包二、包三进行。</w:t>
            </w:r>
            <w:r/>
          </w:p>
          <w:p>
            <w:pPr>
              <w:pStyle w:val="900"/>
              <w:spacing w:line="360" w:lineRule="auto"/>
              <w:rPr>
                <w:rFonts w:hint="eastAsia" w:ascii="宋体" w:hAnsi="宋体"/>
                <w:szCs w:val="21"/>
              </w:rPr>
            </w:pPr>
            <w:r>
              <w:rPr>
                <w:rFonts w:hint="eastAsia" w:ascii="宋体" w:hAnsi="宋体"/>
                <w:szCs w:val="21"/>
              </w:rPr>
              <w:t xml:space="preserve">②投标人可选择三个包中一个或多个包投报，但最多只能中一个包。已中标的投标人不再计入其他包的供应商数量且不参与其他包评审。</w:t>
            </w:r>
            <w:r/>
          </w:p>
          <w:p>
            <w:pPr>
              <w:pStyle w:val="900"/>
              <w:spacing w:line="360" w:lineRule="auto"/>
              <w:rPr>
                <w:rFonts w:ascii="宋体" w:hAnsi="宋体"/>
                <w:szCs w:val="21"/>
              </w:rPr>
            </w:pPr>
            <w:r>
              <w:rPr>
                <w:rFonts w:hint="eastAsia" w:ascii="宋体" w:hAnsi="宋体"/>
                <w:szCs w:val="21"/>
              </w:rPr>
              <w:t xml:space="preserve">③每个包监督抽查的批次数占比原则上不少于20%。</w:t>
            </w:r>
            <w:r>
              <w:rPr>
                <w:rFonts w:ascii="宋体" w:hAnsi="宋体"/>
                <w:szCs w:val="21"/>
              </w:rPr>
            </w:r>
            <w:r/>
          </w:p>
          <w:p>
            <w:pPr>
              <w:pStyle w:val="900"/>
              <w:spacing w:line="360" w:lineRule="auto"/>
              <w:rPr>
                <w:rFonts w:hint="eastAsia" w:ascii="宋体" w:hAnsi="宋体"/>
                <w:szCs w:val="21"/>
              </w:rPr>
            </w:pPr>
            <w:r>
              <w:rPr>
                <w:rFonts w:hint="eastAsia" w:ascii="宋体" w:hAnsi="宋体"/>
                <w:szCs w:val="21"/>
              </w:rPr>
              <w:t xml:space="preserve">④如遇特殊因素，导致原包的中标单位不能完成采购人的检测任务时，采购人有权终止该包的原中标人采购任务合同，将该包的采购任务优先分配给其他包的中标人执行。结算时根据实际检测批次按实结算，结算方法详见第四章招标内容。</w:t>
            </w:r>
            <w:r/>
          </w:p>
          <w:p>
            <w:pPr>
              <w:pStyle w:val="900"/>
              <w:spacing w:line="360" w:lineRule="auto"/>
              <w:rPr>
                <w:rFonts w:hint="eastAsia" w:ascii="宋体" w:hAnsi="宋体" w:cs="宋体"/>
                <w:szCs w:val="21"/>
              </w:rPr>
            </w:pPr>
            <w:r>
              <w:rPr>
                <w:rFonts w:hint="eastAsia" w:ascii="宋体" w:hAnsi="宋体" w:cs="宋体"/>
                <w:szCs w:val="21"/>
              </w:rPr>
              <w:t xml:space="preserve">⑤</w:t>
            </w:r>
            <w:r>
              <w:rPr>
                <w:rFonts w:hint="eastAsia" w:ascii="宋体" w:hAnsi="宋体"/>
                <w:szCs w:val="21"/>
              </w:rPr>
              <w:t xml:space="preserve">在履约过程中，采购人围绕检测任务的真实性、有效性及购买样品时有无实际支付样品费用等对中标人进行监督管理，对监督管理中出现不合格的或有违规行为的中标人，采购人有权进行警告、处罚或单方面终止该中标人的合同，将该包的剩余采购任务优先分配给其他包的中标人执行，造成的损失由违规中标单位承担。</w:t>
            </w:r>
            <w:r>
              <w:rPr>
                <w:rFonts w:hint="eastAsia" w:ascii="宋体" w:hAnsi="宋体" w:cs="宋体"/>
                <w:szCs w:val="21"/>
              </w:rPr>
            </w:r>
            <w:r/>
          </w:p>
        </w:tc>
      </w:tr>
    </w:tbl>
    <w:p>
      <w:pPr>
        <w:pStyle w:val="900"/>
        <w:ind w:firstLine="422"/>
        <w:jc w:val="left"/>
        <w:spacing w:line="360" w:lineRule="auto"/>
        <w:rPr>
          <w:rFonts w:ascii="宋体" w:hAnsi="宋体"/>
          <w:szCs w:val="21"/>
        </w:rPr>
      </w:pPr>
      <w:r>
        <w:rPr>
          <w:rFonts w:hint="eastAsia" w:ascii="宋体" w:hAnsi="宋体"/>
          <w:b/>
          <w:szCs w:val="21"/>
        </w:rPr>
        <w:t xml:space="preserve">注：以上为计划检测批次，实际履约时，以不低于计划批次数的实际开展的检测批次数为准，同时本项目实际检测费用以不超过本项目预算金额为准。</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5.本项目不接受联合体投标。</w:t>
      </w:r>
      <w:r>
        <w:rPr>
          <w:rFonts w:ascii="宋体" w:hAnsi="宋体"/>
          <w:szCs w:val="21"/>
        </w:rPr>
      </w:r>
      <w:r/>
    </w:p>
    <w:p>
      <w:pPr>
        <w:pStyle w:val="900"/>
        <w:ind w:firstLine="420"/>
        <w:spacing w:line="360" w:lineRule="auto"/>
        <w:rPr>
          <w:rFonts w:ascii="宋体" w:hAnsi="宋体"/>
          <w:szCs w:val="21"/>
        </w:rPr>
      </w:pPr>
      <w:r/>
      <w:bookmarkEnd w:id="3"/>
      <w:r/>
      <w:bookmarkStart w:id="4" w:name="_Toc28359080"/>
      <w:r/>
      <w:bookmarkStart w:id="5" w:name="_Toc28359085"/>
      <w:r>
        <w:rPr>
          <w:rFonts w:hint="eastAsia" w:ascii="宋体" w:hAnsi="宋体"/>
          <w:szCs w:val="21"/>
        </w:rPr>
        <w:t xml:space="preserve">二、申请人的资格要求：</w:t>
      </w:r>
      <w:r>
        <w:rPr>
          <w:rFonts w:ascii="宋体" w:hAnsi="宋体"/>
          <w:szCs w:val="21"/>
        </w:rPr>
      </w:r>
      <w:r/>
    </w:p>
    <w:p>
      <w:pPr>
        <w:pStyle w:val="900"/>
        <w:ind w:firstLine="420"/>
        <w:spacing w:line="360" w:lineRule="auto"/>
        <w:rPr>
          <w:rFonts w:ascii="宋体" w:hAnsi="宋体"/>
          <w:szCs w:val="21"/>
        </w:rPr>
      </w:pPr>
      <w:r/>
      <w:bookmarkEnd w:id="4"/>
      <w:r/>
      <w:bookmarkStart w:id="6" w:name="_Toc35393792"/>
      <w:r>
        <w:rPr>
          <w:rFonts w:hint="eastAsia" w:ascii="宋体" w:hAnsi="宋体"/>
          <w:szCs w:val="21"/>
        </w:rPr>
        <w:t xml:space="preserve">1.满足《中华人民共和国政府采购法》第二十二条规定。</w:t>
      </w:r>
      <w:r>
        <w:rPr>
          <w:rFonts w:ascii="宋体" w:hAnsi="宋体"/>
          <w:szCs w:val="21"/>
        </w:rPr>
      </w:r>
      <w:r/>
    </w:p>
    <w:p>
      <w:pPr>
        <w:pStyle w:val="900"/>
        <w:ind w:firstLine="420"/>
        <w:spacing w:line="360" w:lineRule="auto"/>
        <w:rPr>
          <w:rFonts w:hint="eastAsia" w:ascii="宋体" w:hAnsi="宋体"/>
          <w:szCs w:val="21"/>
        </w:rPr>
      </w:pPr>
      <w:r/>
      <w:bookmarkStart w:id="7" w:name="_Toc28359004"/>
      <w:r>
        <w:rPr>
          <w:rFonts w:hint="eastAsia" w:ascii="宋体" w:hAnsi="宋体"/>
          <w:szCs w:val="21"/>
        </w:rPr>
        <w:t xml:space="preserve">2.落实政府采购政策需满足的资格要求：</w:t>
      </w:r>
      <w:r/>
    </w:p>
    <w:p>
      <w:pPr>
        <w:pStyle w:val="900"/>
        <w:ind w:firstLine="422"/>
        <w:spacing w:line="360" w:lineRule="auto"/>
        <w:rPr>
          <w:rFonts w:ascii="宋体" w:hAnsi="宋体"/>
          <w:b/>
          <w:szCs w:val="21"/>
        </w:rPr>
      </w:pPr>
      <w:r>
        <w:rPr>
          <w:rFonts w:hint="eastAsia" w:ascii="宋体" w:hAnsi="宋体"/>
          <w:b/>
          <w:szCs w:val="21"/>
        </w:rPr>
        <w:t xml:space="preserve">本项目专门面向中小微企业采购，残疾人福利性单位、监狱企业视同小型、微型企业。</w:t>
      </w:r>
      <w:r>
        <w:rPr>
          <w:rFonts w:ascii="宋体" w:hAnsi="宋体"/>
          <w:b/>
          <w:szCs w:val="21"/>
        </w:rPr>
      </w:r>
      <w:r/>
    </w:p>
    <w:p>
      <w:pPr>
        <w:pStyle w:val="900"/>
        <w:ind w:firstLine="420"/>
        <w:spacing w:line="360" w:lineRule="auto"/>
        <w:rPr>
          <w:rFonts w:ascii="宋体" w:hAnsi="宋体"/>
          <w:szCs w:val="21"/>
        </w:rPr>
      </w:pPr>
      <w:r>
        <w:rPr>
          <w:rFonts w:hint="eastAsia" w:ascii="宋体" w:hAnsi="宋体"/>
          <w:szCs w:val="21"/>
        </w:rPr>
        <w:t xml:space="preserve">3.本项目的特定资格要求：</w:t>
      </w:r>
      <w:bookmarkEnd w:id="7"/>
      <w:r>
        <w:rPr>
          <w:rFonts w:hint="eastAsia" w:ascii="宋体" w:hAnsi="宋体"/>
          <w:szCs w:val="21"/>
        </w:rPr>
        <w:t xml:space="preserve">无。</w:t>
      </w:r>
      <w:r>
        <w:rPr>
          <w:rFonts w:ascii="宋体" w:hAnsi="宋体"/>
          <w:szCs w:val="21"/>
        </w:rPr>
      </w:r>
      <w:r/>
    </w:p>
    <w:p>
      <w:pPr>
        <w:pStyle w:val="900"/>
        <w:ind w:firstLine="420"/>
        <w:spacing w:line="360" w:lineRule="auto"/>
        <w:rPr>
          <w:rFonts w:hint="eastAsia" w:ascii="宋体" w:hAnsi="宋体"/>
          <w:szCs w:val="21"/>
        </w:rPr>
      </w:pPr>
      <w:r>
        <w:rPr>
          <w:rFonts w:hint="eastAsia" w:ascii="宋体" w:hAnsi="宋体"/>
          <w:szCs w:val="21"/>
        </w:rPr>
        <w:t xml:space="preserve">4.拒绝下述供应商参加本次采购活动：</w:t>
      </w:r>
      <w:r/>
    </w:p>
    <w:p>
      <w:pPr>
        <w:pStyle w:val="900"/>
        <w:ind w:firstLine="420"/>
        <w:spacing w:line="360" w:lineRule="auto"/>
        <w:rPr>
          <w:rFonts w:ascii="宋体" w:hAnsi="宋体"/>
          <w:szCs w:val="21"/>
        </w:rPr>
      </w:pPr>
      <w:r>
        <w:rPr>
          <w:rFonts w:hint="eastAsia" w:ascii="宋体" w:hAnsi="宋体"/>
          <w:szCs w:val="21"/>
        </w:rPr>
        <w:t xml:space="preserve">（1）供应商单位负责人为同一人或者存在直接控股、管理关系的不同供应商，不得参加同一合同项下的政府采购活动。</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（2）凡为采购项目提供整体设计、规范编制或者项目管理、监理、检测等服务的供应商，不得再参加本项目的采购活动。</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3）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宋体" w:hAnsi="宋体"/>
          <w:szCs w:val="21"/>
        </w:rPr>
      </w:r>
      <w:r/>
    </w:p>
    <w:p>
      <w:pPr>
        <w:pStyle w:val="900"/>
        <w:ind w:firstLine="420"/>
        <w:spacing w:line="360" w:lineRule="auto"/>
        <w:rPr>
          <w:rFonts w:ascii="宋体" w:hAnsi="宋体"/>
          <w:szCs w:val="21"/>
        </w:rPr>
      </w:pPr>
      <w:r/>
      <w:bookmarkEnd w:id="6"/>
      <w:r/>
      <w:bookmarkStart w:id="8" w:name="_Toc35393625"/>
      <w:r>
        <w:rPr>
          <w:rFonts w:hint="eastAsia" w:ascii="宋体" w:hAnsi="宋体"/>
          <w:szCs w:val="21"/>
        </w:rPr>
        <w:t xml:space="preserve">三、获取采购文件</w:t>
      </w:r>
      <w:r>
        <w:rPr>
          <w:rFonts w:ascii="宋体" w:hAnsi="宋体"/>
          <w:szCs w:val="21"/>
        </w:rPr>
      </w:r>
      <w:r/>
    </w:p>
    <w:p>
      <w:pPr>
        <w:pStyle w:val="900"/>
        <w:ind w:firstLine="420"/>
        <w:spacing w:line="360" w:lineRule="auto"/>
        <w:rPr>
          <w:rFonts w:hint="eastAsia" w:ascii="宋体" w:hAnsi="宋体"/>
          <w:szCs w:val="21"/>
        </w:rPr>
      </w:pPr>
      <w:r/>
      <w:bookmarkStart w:id="9" w:name="_Toc28359005"/>
      <w:r>
        <w:rPr>
          <w:rFonts w:hint="eastAsia" w:ascii="宋体" w:hAnsi="宋体"/>
          <w:szCs w:val="21"/>
        </w:rPr>
        <w:t xml:space="preserve">1.获取招标文件时间：上网之日起至</w:t>
      </w:r>
      <w:r>
        <w:rPr>
          <w:rFonts w:hint="eastAsia" w:ascii="宋体" w:hAnsi="宋体"/>
          <w:szCs w:val="21"/>
        </w:rPr>
        <w:t xml:space="preserve">2025年2月20日</w:t>
      </w:r>
      <w:r>
        <w:rPr>
          <w:rFonts w:hint="eastAsia" w:ascii="宋体" w:hAnsi="宋体"/>
          <w:szCs w:val="21"/>
        </w:rPr>
        <w:t xml:space="preserve">17:00（北京时间）。</w:t>
      </w:r>
      <w:r/>
    </w:p>
    <w:p>
      <w:pPr>
        <w:pStyle w:val="900"/>
        <w:ind w:firstLine="420"/>
        <w:spacing w:line="360" w:lineRule="auto"/>
        <w:rPr>
          <w:rFonts w:hint="eastAsia" w:ascii="宋体" w:hAnsi="宋体"/>
          <w:szCs w:val="21"/>
        </w:rPr>
      </w:pPr>
      <w:r>
        <w:rPr>
          <w:rFonts w:hint="eastAsia" w:ascii="宋体" w:hAnsi="宋体"/>
          <w:szCs w:val="21"/>
        </w:rPr>
        <w:t xml:space="preserve">2.获取招标文件方式：苏州市政府采购网自行下载。</w:t>
      </w:r>
      <w:r/>
    </w:p>
    <w:p>
      <w:pPr>
        <w:pStyle w:val="900"/>
        <w:ind w:firstLine="420"/>
        <w:spacing w:line="360" w:lineRule="auto"/>
        <w:rPr>
          <w:rFonts w:ascii="宋体" w:hAnsi="宋体"/>
          <w:szCs w:val="21"/>
        </w:rPr>
      </w:pPr>
      <w:r>
        <w:rPr>
          <w:rFonts w:hint="eastAsia" w:ascii="宋体" w:hAnsi="宋体"/>
          <w:szCs w:val="21"/>
        </w:rPr>
        <w:t xml:space="preserve">3.招标文件售价：0元。</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四、提交投标文件截止时间、开标时间和地点</w:t>
      </w:r>
      <w:r>
        <w:rPr>
          <w:rFonts w:ascii="宋体" w:hAnsi="宋体"/>
          <w:szCs w:val="21"/>
        </w:rPr>
      </w:r>
      <w:r/>
    </w:p>
    <w:p>
      <w:pPr>
        <w:pStyle w:val="900"/>
        <w:ind w:firstLine="420"/>
        <w:spacing w:line="360" w:lineRule="auto"/>
        <w:rPr>
          <w:rFonts w:hint="eastAsia" w:ascii="宋体" w:hAnsi="宋体"/>
          <w:szCs w:val="21"/>
        </w:rPr>
      </w:pPr>
      <w:r/>
      <w:bookmarkEnd w:id="9"/>
      <w:r/>
      <w:bookmarkStart w:id="10" w:name="_Toc35393794"/>
      <w:r/>
      <w:bookmarkEnd w:id="10"/>
      <w:r>
        <w:rPr>
          <w:rFonts w:hint="eastAsia" w:ascii="宋体" w:hAnsi="宋体"/>
          <w:szCs w:val="21"/>
        </w:rPr>
        <w:t xml:space="preserve">1.提交投标文件截止时间：</w:t>
      </w:r>
      <w:r>
        <w:rPr>
          <w:rFonts w:hint="eastAsia" w:ascii="宋体" w:hAnsi="宋体"/>
          <w:szCs w:val="21"/>
        </w:rPr>
        <w:t xml:space="preserve">2025年3月05日</w:t>
      </w:r>
      <w:r>
        <w:rPr>
          <w:rFonts w:hint="eastAsia" w:ascii="宋体" w:hAnsi="宋体"/>
          <w:szCs w:val="21"/>
        </w:rPr>
        <w:t xml:space="preserve">13:30（北京时间）。</w:t>
      </w:r>
      <w:r/>
    </w:p>
    <w:p>
      <w:pPr>
        <w:pStyle w:val="900"/>
        <w:ind w:firstLine="420"/>
        <w:spacing w:line="360" w:lineRule="auto"/>
        <w:rPr>
          <w:rFonts w:hint="eastAsia" w:ascii="宋体" w:hAnsi="宋体"/>
          <w:szCs w:val="21"/>
        </w:rPr>
      </w:pPr>
      <w:r>
        <w:rPr>
          <w:rFonts w:hint="eastAsia" w:ascii="宋体" w:hAnsi="宋体"/>
          <w:szCs w:val="21"/>
        </w:rPr>
        <w:t xml:space="preserve">2.开标时间：</w:t>
      </w:r>
      <w:r>
        <w:rPr>
          <w:rFonts w:hint="eastAsia" w:ascii="宋体" w:hAnsi="宋体"/>
          <w:szCs w:val="21"/>
        </w:rPr>
        <w:t xml:space="preserve">2025年3月05日</w:t>
      </w:r>
      <w:r>
        <w:rPr>
          <w:rFonts w:hint="eastAsia" w:ascii="宋体" w:hAnsi="宋体"/>
          <w:szCs w:val="21"/>
        </w:rPr>
        <w:t xml:space="preserve">13:30（北京时间）。</w:t>
      </w:r>
      <w:r/>
    </w:p>
    <w:p>
      <w:pPr>
        <w:pStyle w:val="900"/>
        <w:ind w:firstLine="420"/>
        <w:spacing w:line="360" w:lineRule="auto"/>
        <w:rPr>
          <w:rFonts w:hint="eastAsia" w:ascii="宋体" w:hAnsi="宋体"/>
          <w:szCs w:val="21"/>
        </w:rPr>
      </w:pPr>
      <w:r>
        <w:rPr>
          <w:rFonts w:hint="eastAsia" w:ascii="宋体" w:hAnsi="宋体"/>
          <w:szCs w:val="21"/>
        </w:rPr>
        <w:t xml:space="preserve">3.开标地点：“苏采云”系统（网址：http://jszfcg.jsczt.cn/）。</w:t>
      </w:r>
      <w:r/>
    </w:p>
    <w:p>
      <w:pPr>
        <w:pStyle w:val="900"/>
        <w:ind w:firstLine="420"/>
        <w:spacing w:line="360" w:lineRule="auto"/>
        <w:rPr>
          <w:rFonts w:ascii="宋体" w:hAnsi="宋体"/>
          <w:szCs w:val="21"/>
        </w:rPr>
      </w:pPr>
      <w:r>
        <w:rPr>
          <w:rFonts w:hint="eastAsia" w:ascii="宋体" w:hAnsi="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五、公告期限</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自本公告发布之日起5个工作日。</w:t>
      </w:r>
      <w:r>
        <w:rPr>
          <w:rFonts w:ascii="宋体" w:hAnsi="宋体"/>
          <w:szCs w:val="21"/>
        </w:rPr>
      </w:r>
      <w:r/>
    </w:p>
    <w:p>
      <w:pPr>
        <w:pStyle w:val="900"/>
        <w:ind w:firstLine="420"/>
        <w:spacing w:line="360" w:lineRule="auto"/>
        <w:rPr>
          <w:rFonts w:ascii="宋体" w:hAnsi="宋体"/>
          <w:szCs w:val="21"/>
        </w:rPr>
      </w:pPr>
      <w:r/>
      <w:bookmarkEnd w:id="8"/>
      <w:r/>
      <w:bookmarkStart w:id="11" w:name="_Toc35393626"/>
      <w:r>
        <w:rPr>
          <w:rFonts w:hint="eastAsia" w:ascii="宋体" w:hAnsi="宋体"/>
          <w:szCs w:val="21"/>
        </w:rPr>
        <w:t xml:space="preserve">六、其他补充事宜</w:t>
      </w:r>
      <w:r>
        <w:rPr>
          <w:rFonts w:ascii="宋体" w:hAnsi="宋体"/>
          <w:szCs w:val="21"/>
        </w:rPr>
      </w:r>
      <w:r/>
    </w:p>
    <w:p>
      <w:pPr>
        <w:pStyle w:val="900"/>
        <w:ind w:firstLine="420"/>
        <w:spacing w:line="360" w:lineRule="auto"/>
        <w:rPr>
          <w:rFonts w:ascii="宋体" w:hAnsi="宋体"/>
          <w:szCs w:val="21"/>
        </w:rPr>
      </w:pPr>
      <w:r/>
      <w:bookmarkEnd w:id="11"/>
      <w:r/>
      <w:bookmarkStart w:id="12" w:name="_Toc35393796"/>
      <w:r/>
      <w:bookmarkEnd w:id="12"/>
      <w:r>
        <w:rPr>
          <w:rFonts w:hint="eastAsia" w:ascii="宋体" w:hAnsi="宋体"/>
          <w:szCs w:val="21"/>
        </w:rPr>
        <w:t xml:space="preserve">1.CA证书办理</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2.参与采购活动</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3.电子投标准备</w:t>
      </w:r>
      <w:r>
        <w:rPr>
          <w:rFonts w:ascii="宋体" w:hAnsi="宋体"/>
          <w:szCs w:val="21"/>
        </w:rPr>
      </w:r>
      <w:r/>
    </w:p>
    <w:p>
      <w:pPr>
        <w:pStyle w:val="900"/>
        <w:ind w:firstLine="420"/>
        <w:jc w:val="left"/>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在系统操作过程中如有疑问，请按以下方式联系：</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注册咨询：18261002950；</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CA技术咨询电话：400-608-6099；</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签章使用问题：025-83633811、025-83633812、15380932027、15371015030；</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系统使用指导与咨询：联系电话：18261002950；QQ：3048755361、1315179389、895706745。</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七、对本次招标提出询问，请按以下方式联系：</w:t>
      </w:r>
      <w:r>
        <w:rPr>
          <w:rFonts w:ascii="宋体" w:hAnsi="宋体"/>
          <w:szCs w:val="21"/>
        </w:rPr>
      </w:r>
      <w:r/>
    </w:p>
    <w:p>
      <w:pPr>
        <w:pStyle w:val="900"/>
        <w:ind w:firstLine="420"/>
        <w:spacing w:line="360" w:lineRule="auto"/>
        <w:rPr>
          <w:rFonts w:hint="eastAsia" w:ascii="宋体" w:hAnsi="宋体"/>
          <w:szCs w:val="21"/>
        </w:rPr>
      </w:pPr>
      <w:r/>
      <w:bookmarkEnd w:id="5"/>
      <w:r>
        <w:rPr>
          <w:rFonts w:hint="eastAsia" w:ascii="宋体" w:hAnsi="宋体"/>
          <w:szCs w:val="21"/>
        </w:rPr>
        <w:t xml:space="preserve">1.采购人：昆山市农业农村局</w:t>
      </w:r>
      <w:r/>
    </w:p>
    <w:p>
      <w:pPr>
        <w:pStyle w:val="900"/>
        <w:ind w:firstLine="420"/>
        <w:spacing w:line="360" w:lineRule="auto"/>
        <w:rPr>
          <w:rFonts w:hint="eastAsia" w:ascii="宋体" w:hAnsi="宋体"/>
          <w:szCs w:val="21"/>
        </w:rPr>
      </w:pPr>
      <w:r>
        <w:rPr>
          <w:rFonts w:hint="eastAsia" w:ascii="宋体" w:hAnsi="宋体"/>
          <w:szCs w:val="21"/>
        </w:rPr>
        <w:t xml:space="preserve">地址：昆山市前进西路1801号</w:t>
      </w:r>
      <w:r/>
    </w:p>
    <w:p>
      <w:pPr>
        <w:pStyle w:val="900"/>
        <w:ind w:firstLine="420"/>
        <w:spacing w:line="360" w:lineRule="auto"/>
        <w:rPr>
          <w:rFonts w:ascii="宋体" w:hAnsi="宋体"/>
          <w:szCs w:val="21"/>
        </w:rPr>
      </w:pPr>
      <w:r>
        <w:rPr>
          <w:rFonts w:hint="eastAsia" w:ascii="宋体" w:hAnsi="宋体"/>
          <w:szCs w:val="21"/>
        </w:rPr>
        <w:t xml:space="preserve">联系人：沈刚            联系电话：0512-57378502</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2.招标代理机构名称：苏州公正建设咨询房地产评估有限公司</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地址：昆山市萧林路189号新港湾光大广场401、501室</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联系人：王文科、张玲       联系电话：0512-57172999</w:t>
      </w:r>
      <w:r>
        <w:rPr>
          <w:rFonts w:ascii="宋体" w:hAnsi="宋体"/>
          <w:szCs w:val="21"/>
        </w:rPr>
      </w:r>
      <w:r/>
    </w:p>
    <w:p>
      <w:pPr>
        <w:pStyle w:val="900"/>
        <w:jc w:val="left"/>
        <w:widowControl/>
      </w:pPr>
      <w:r/>
      <w:r/>
    </w:p>
    <w:p>
      <w:pPr>
        <w:pStyle w:val="974"/>
        <w:rPr>
          <w:color w:val="000000"/>
          <w:sz w:val="24"/>
          <w:szCs w:val="24"/>
        </w:rPr>
      </w:pPr>
      <w:r>
        <w:rPr>
          <w:b w:val="0"/>
          <w:color w:val="000000"/>
          <w:sz w:val="24"/>
          <w:szCs w:val="24"/>
        </w:rPr>
        <w:br w:type="page" w:clear="all"/>
      </w:r>
      <w:bookmarkStart w:id="13" w:name="_Toc78976389"/>
      <w:r/>
      <w:bookmarkStart w:id="14" w:name="_Toc359921167"/>
      <w:r>
        <w:rPr>
          <w:rFonts w:hint="eastAsia"/>
          <w:color w:val="000000"/>
          <w:sz w:val="24"/>
          <w:szCs w:val="24"/>
        </w:rPr>
        <w:t xml:space="preserve">第二章</w:t>
      </w:r>
      <w:r>
        <w:rPr>
          <w:color w:val="000000"/>
          <w:sz w:val="24"/>
          <w:szCs w:val="24"/>
        </w:rPr>
        <w:t xml:space="preserve">  </w:t>
      </w:r>
      <w:r>
        <w:rPr>
          <w:rFonts w:hint="eastAsia"/>
          <w:color w:val="000000"/>
          <w:sz w:val="24"/>
          <w:szCs w:val="24"/>
        </w:rPr>
        <w:t xml:space="preserve">投标人须知</w:t>
      </w:r>
      <w:bookmarkEnd w:id="13"/>
      <w:r/>
      <w:bookmarkEnd w:id="14"/>
      <w:r>
        <w:rPr>
          <w:color w:val="000000"/>
          <w:sz w:val="24"/>
          <w:szCs w:val="24"/>
        </w:rPr>
      </w:r>
      <w:r/>
    </w:p>
    <w:p>
      <w:pPr>
        <w:pStyle w:val="900"/>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说明和释义</w:t>
      </w:r>
      <w:r>
        <w:rPr>
          <w:rFonts w:ascii="宋体" w:hAnsi="宋体" w:cs="Arial"/>
          <w:b/>
          <w:color w:val="000000"/>
          <w:szCs w:val="21"/>
        </w:rPr>
      </w:r>
      <w:r/>
    </w:p>
    <w:p>
      <w:pPr>
        <w:pStyle w:val="900"/>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说明</w:t>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本招标文件仅适用于苏州公正建设咨询房地产评估有限公司组织的招标活动。</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本次招标活动及因本次招标产生的合同受中国法律制约和保护。</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本招标文件的解释权属于苏州公正建设咨询房地产评估有限公司。</w:t>
      </w:r>
      <w:r>
        <w:rPr>
          <w:rFonts w:ascii="宋体" w:hAnsi="宋体" w:cs="Arial"/>
          <w:color w:val="000000"/>
          <w:szCs w:val="21"/>
        </w:rPr>
      </w:r>
      <w:r/>
    </w:p>
    <w:p>
      <w:pPr>
        <w:pStyle w:val="900"/>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词语释义</w:t>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招标人：具体组织实施招标活动的法人。</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投标人：经认定有资格响应招标，参加投标竞争的法人或其他组织和自然人。</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响应：投标人根据招标人或招标人发布的招标文件，编制投标文件并按规定投标的行为。</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甲方（采购人）：合同中明确规定的实际购买货物和服务的法人或其他组织和自然人。</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乙方（供应商）：合同中规定的向采购方提供货物和服务的法人或其他组织和自然人。</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知识产权：指专利权、商标权、著作权等无形资产专有权的统称。</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天：日历日。</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交货地点：合同中明确约定的乙方提交的货物和服务最终到达地点。</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合同价款：根据合同规定，乙方在正确地履行合同义务后甲方应支付给乙方的价款。</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产地：货物开采、生长、生产、最终制造、加工或提供服务的来源地。</w:t>
      </w:r>
      <w:r>
        <w:rPr>
          <w:rFonts w:ascii="宋体" w:hAnsi="宋体" w:cs="Arial"/>
          <w:color w:val="000000"/>
          <w:szCs w:val="21"/>
        </w:rPr>
      </w:r>
      <w:r/>
    </w:p>
    <w:p>
      <w:pPr>
        <w:pStyle w:val="900"/>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不可抗力：不能预见、不能避免并且不能克服的客观情况。</w:t>
      </w:r>
      <w:r/>
    </w:p>
    <w:p>
      <w:pPr>
        <w:pStyle w:val="900"/>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投标人</w:t>
      </w:r>
      <w:r>
        <w:rPr>
          <w:rFonts w:ascii="宋体" w:hAnsi="宋体" w:cs="Arial"/>
          <w:b/>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合格投标人的范围</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详见“第一章投标邀请函”中投标人要求。</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投标委托</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如投标人代表不是法定代表人，须持有《法定代表人授权委托书》（格式见附件）。</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投标费用 </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无论投标过程中的做法和结果如何，投标人自行承担所有与参加投标有关的全部费用。</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联合投标</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本项目不接受联合体投标。</w:t>
      </w:r>
      <w:r>
        <w:rPr>
          <w:rFonts w:ascii="宋体" w:hAnsi="宋体" w:cs="Arial"/>
          <w:color w:val="000000"/>
          <w:szCs w:val="21"/>
        </w:rPr>
      </w:r>
      <w:r/>
    </w:p>
    <w:p>
      <w:pPr>
        <w:pStyle w:val="900"/>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招标文件的说明</w:t>
      </w:r>
      <w:r>
        <w:rPr>
          <w:rFonts w:ascii="宋体" w:hAnsi="宋体" w:cs="Arial"/>
          <w:b/>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招标文件</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招标文件由招标文件总目录所列内容组成。投标人应详细阅读招标文件的全部内容。不按招标文件的要求提供的投标文件和资料，可能导致投标被拒绝。</w:t>
      </w:r>
      <w:r>
        <w:rPr>
          <w:rFonts w:ascii="宋体" w:hAnsi="宋体" w:cs="Arial"/>
          <w:color w:val="000000"/>
          <w:szCs w:val="21"/>
        </w:rPr>
      </w:r>
      <w:r/>
    </w:p>
    <w:p>
      <w:pPr>
        <w:pStyle w:val="900"/>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招标文件的澄清</w:t>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投标人在获取招标文件后，若有疑问，应于答疑问题提交截止时间之前，在项目交易系统上向招标代理人提出，招标代理人将在项目交易系统上予以解答。</w:t>
      </w:r>
      <w:r>
        <w:rPr>
          <w:rFonts w:ascii="宋体" w:hAnsi="宋体" w:cs="Arial"/>
          <w:color w:val="000000"/>
          <w:szCs w:val="21"/>
        </w:rPr>
      </w:r>
      <w:r/>
    </w:p>
    <w:p>
      <w:pPr>
        <w:pStyle w:val="900"/>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招标文件的修改</w:t>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在网上投标截止时间前，招标代理人有权在出于实际需要或澄清投标人问题的情况下，以补充文件的形式对招标文件进行修改。</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供应商应在投标截止时间前关注原采购信息发布媒体上有关本招标项目有无变更公告。</w:t>
      </w:r>
      <w:r>
        <w:rPr>
          <w:rFonts w:ascii="宋体" w:hAnsi="宋体" w:cs="Arial"/>
          <w:color w:val="000000"/>
          <w:szCs w:val="21"/>
        </w:rPr>
      </w:r>
      <w:r/>
    </w:p>
    <w:p>
      <w:pPr>
        <w:pStyle w:val="900"/>
        <w:numPr>
          <w:ilvl w:val="0"/>
          <w:numId w:val="2"/>
        </w:numPr>
        <w:ind w:left="849" w:hanging="423"/>
        <w:spacing w:line="360" w:lineRule="auto"/>
        <w:rPr>
          <w:rFonts w:hint="eastAsia" w:ascii="宋体" w:hAnsi="宋体" w:cs="Arial"/>
          <w:b/>
          <w:color w:val="000000"/>
          <w:szCs w:val="21"/>
        </w:rPr>
      </w:pPr>
      <w:r>
        <w:rPr>
          <w:rFonts w:hint="eastAsia" w:ascii="宋体" w:hAnsi="宋体" w:cs="Arial"/>
          <w:b/>
          <w:color w:val="000000"/>
          <w:szCs w:val="21"/>
        </w:rPr>
        <w:t xml:space="preserve">质疑</w:t>
      </w:r>
      <w:r/>
    </w:p>
    <w:p>
      <w:pPr>
        <w:pStyle w:val="900"/>
        <w:numPr>
          <w:ilvl w:val="1"/>
          <w:numId w:val="2"/>
        </w:numPr>
        <w:ind w:left="0" w:firstLine="425"/>
        <w:jc w:val="left"/>
        <w:spacing w:line="360" w:lineRule="auto"/>
        <w:rPr>
          <w:rFonts w:ascii="宋体" w:hAnsi="宋体" w:cs="Arial"/>
          <w:color w:val="000000"/>
          <w:szCs w:val="21"/>
        </w:rPr>
      </w:pPr>
      <w:r>
        <w:rPr>
          <w:rFonts w:hint="eastAsia" w:ascii="宋体" w:hAnsi="宋体" w:cs="Arial"/>
          <w:color w:val="000000"/>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000000"/>
          <w:szCs w:val="21"/>
        </w:rPr>
        <w:t xml:space="preserve">供应商在法定质疑期内一次性提出针对同一采购程序环节的质疑。</w:t>
      </w:r>
      <w:r>
        <w:rPr>
          <w:rFonts w:hint="eastAsia" w:ascii="宋体" w:hAnsi="宋体" w:cs="Arial"/>
          <w:color w:val="000000"/>
          <w:szCs w:val="21"/>
        </w:rPr>
        <w:t xml:space="preserve">质疑函按中华人民共和国财政部</w:t>
      </w:r>
      <w:r>
        <w:rPr>
          <w:rFonts w:ascii="宋体" w:hAnsi="宋体" w:cs="Arial"/>
          <w:color w:val="000000"/>
          <w:szCs w:val="21"/>
        </w:rPr>
        <w:t xml:space="preserve">政府采购供应商质疑函范本</w:t>
      </w:r>
      <w:r>
        <w:rPr>
          <w:rFonts w:hint="eastAsia" w:ascii="宋体" w:hAnsi="宋体" w:cs="Arial"/>
          <w:color w:val="000000"/>
          <w:szCs w:val="21"/>
        </w:rPr>
        <w:t xml:space="preserve">提交（</w:t>
      </w:r>
      <w:r>
        <w:rPr>
          <w:rFonts w:ascii="宋体" w:hAnsi="宋体" w:cs="Arial"/>
          <w:color w:val="000000"/>
          <w:szCs w:val="21"/>
        </w:rPr>
        <w:t xml:space="preserve">http://www.mof.gov.cn/gp/xxgkml/gks/201802/t20180201_2804587.html</w:t>
      </w:r>
      <w:r>
        <w:rPr>
          <w:rFonts w:hint="eastAsia" w:ascii="宋体" w:hAnsi="宋体" w:cs="Arial"/>
          <w:color w:val="000000"/>
          <w:szCs w:val="21"/>
        </w:rPr>
        <w:t xml:space="preserve">），否则不予受理。</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质疑必须以参加投标供应商法定代表人或授权代表（投标文件中所确定的）原件送达的方式提交，否则，招标代理人有权不予受理。</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上述应知其权益受到损害之日是指：</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对招标文件提出质疑的，为招标文件公告期限届满之日起计算；</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对采购过程提出质疑的，自采购程序环节结束之日起计算；</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对中标结果提出质疑的，自中标结果公告期限届满之日起计算。</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质疑文件应包括以下主要内容，并按照“谁主张、谁举证”的原则，附上相关证明材料。否则，招标代理人或采购人不予受理：</w:t>
      </w:r>
      <w:r>
        <w:rPr>
          <w:rFonts w:ascii="宋体" w:hAnsi="宋体" w:cs="Arial"/>
          <w:color w:val="000000"/>
          <w:szCs w:val="21"/>
        </w:rPr>
      </w:r>
      <w:r/>
    </w:p>
    <w:p>
      <w:pPr>
        <w:pStyle w:val="900"/>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供应商的姓名或者名称、地址、邮编、联系人及联系电话；</w:t>
      </w:r>
      <w:r>
        <w:rPr>
          <w:rFonts w:hint="eastAsia" w:ascii="宋体" w:hAnsi="宋体" w:cs="Arial"/>
          <w:color w:val="000000"/>
          <w:szCs w:val="21"/>
        </w:rPr>
      </w:r>
      <w:r/>
    </w:p>
    <w:p>
      <w:pPr>
        <w:pStyle w:val="900"/>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质疑项目的名称、编号；</w:t>
      </w:r>
      <w:r>
        <w:rPr>
          <w:rFonts w:hint="eastAsia" w:ascii="宋体" w:hAnsi="宋体" w:cs="Arial"/>
          <w:color w:val="000000"/>
          <w:szCs w:val="21"/>
        </w:rPr>
      </w:r>
      <w:r/>
    </w:p>
    <w:p>
      <w:pPr>
        <w:pStyle w:val="900"/>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具体、明确的质疑事项和与质疑事项相关的请求；</w:t>
      </w:r>
      <w:r>
        <w:rPr>
          <w:rFonts w:hint="eastAsia" w:ascii="宋体" w:hAnsi="宋体" w:cs="Arial"/>
          <w:color w:val="000000"/>
          <w:szCs w:val="21"/>
        </w:rPr>
      </w:r>
      <w:r/>
    </w:p>
    <w:p>
      <w:pPr>
        <w:pStyle w:val="900"/>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事实依据；</w:t>
      </w:r>
      <w:r>
        <w:rPr>
          <w:rFonts w:hint="eastAsia" w:ascii="宋体" w:hAnsi="宋体" w:cs="Arial"/>
          <w:color w:val="000000"/>
          <w:szCs w:val="21"/>
        </w:rPr>
      </w:r>
      <w:r/>
    </w:p>
    <w:p>
      <w:pPr>
        <w:pStyle w:val="900"/>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必要的法律依据；</w:t>
      </w:r>
      <w:r>
        <w:rPr>
          <w:rFonts w:hint="eastAsia" w:ascii="宋体" w:hAnsi="宋体" w:cs="Arial"/>
          <w:color w:val="000000"/>
          <w:szCs w:val="21"/>
        </w:rPr>
      </w:r>
      <w:r/>
    </w:p>
    <w:p>
      <w:pPr>
        <w:pStyle w:val="900"/>
        <w:numPr>
          <w:ilvl w:val="2"/>
          <w:numId w:val="2"/>
        </w:numPr>
        <w:ind w:left="426" w:firstLine="0"/>
        <w:spacing w:line="360" w:lineRule="auto"/>
        <w:rPr>
          <w:rFonts w:hint="eastAsia" w:ascii="宋体" w:hAnsi="宋体" w:cs="Arial"/>
          <w:color w:val="000000"/>
          <w:szCs w:val="21"/>
        </w:rPr>
      </w:pPr>
      <w:r>
        <w:rPr>
          <w:rFonts w:ascii="宋体" w:hAnsi="宋体" w:cs="Arial"/>
          <w:color w:val="000000"/>
          <w:szCs w:val="21"/>
        </w:rPr>
        <w:t xml:space="preserve">提出质疑的日期。</w:t>
      </w:r>
      <w:r>
        <w:rPr>
          <w:rFonts w:hint="eastAsia"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ascii="宋体" w:hAnsi="宋体" w:cs="Arial"/>
          <w:color w:val="000000"/>
          <w:szCs w:val="21"/>
        </w:rPr>
        <w:t xml:space="preserve">供应商为自然人的，应当由本人签字；供应商为法人或者其他组织的，应当由法定代表人、主要负责人，或者其授权代表签字或者盖章，并加盖公章。 </w:t>
      </w:r>
      <w:r/>
    </w:p>
    <w:p>
      <w:pPr>
        <w:pStyle w:val="900"/>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被质疑人在收到供应商的书面质疑后将及时组织调查核实，在七个工作日内作出答复，如对招标文件进行必要的澄清或者修改的，参照本须知“招标文件的修改”条款执行。</w:t>
      </w:r>
      <w:r/>
    </w:p>
    <w:p>
      <w:pPr>
        <w:pStyle w:val="900"/>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900"/>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供应商“依法获取采购文件”的方式为供应商进行网上报名后在报名系统中自行下载采购文件，并打印、保留“网上报名确认单”，质疑时与质疑函一并提交。</w:t>
      </w:r>
      <w:r/>
    </w:p>
    <w:p>
      <w:pPr>
        <w:pStyle w:val="900"/>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投标文件说明</w:t>
      </w:r>
      <w:r>
        <w:rPr>
          <w:rFonts w:ascii="宋体" w:hAnsi="宋体" w:cs="Arial"/>
          <w:b/>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投标文件计量单位和使用文字</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投标文件中所使用的计量单位，除招标文件中有特殊要求外，应采用国家法定计量单位。</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电子投标文件的组成和顺序</w:t>
      </w:r>
      <w:r>
        <w:rPr>
          <w:rFonts w:ascii="宋体" w:hAnsi="宋体" w:cs="Arial"/>
          <w:b/>
          <w:color w:val="000000"/>
          <w:szCs w:val="21"/>
        </w:rPr>
      </w:r>
      <w:r/>
    </w:p>
    <w:p>
      <w:pPr>
        <w:pStyle w:val="900"/>
        <w:numPr>
          <w:ilvl w:val="1"/>
          <w:numId w:val="2"/>
        </w:numPr>
        <w:spacing w:line="360" w:lineRule="auto"/>
        <w:rPr>
          <w:rFonts w:ascii="宋体" w:hAnsi="宋体" w:cs="Arial"/>
          <w:szCs w:val="21"/>
        </w:rPr>
      </w:pPr>
      <w:r>
        <w:rPr>
          <w:rFonts w:hint="eastAsia" w:ascii="宋体" w:hAnsi="宋体" w:cs="Arial"/>
          <w:szCs w:val="21"/>
        </w:rPr>
        <w:t xml:space="preserve">基本目录：</w:t>
      </w:r>
      <w:r>
        <w:rPr>
          <w:rFonts w:ascii="宋体" w:hAnsi="宋体" w:cs="Arial"/>
          <w:szCs w:val="21"/>
        </w:rPr>
      </w:r>
      <w:r/>
    </w:p>
    <w:p>
      <w:pPr>
        <w:pStyle w:val="900"/>
        <w:numPr>
          <w:ilvl w:val="2"/>
          <w:numId w:val="2"/>
        </w:numPr>
        <w:ind w:left="851" w:firstLine="0"/>
        <w:spacing w:line="360" w:lineRule="auto"/>
        <w:rPr>
          <w:rFonts w:ascii="宋体" w:hAnsi="宋体" w:cs="Arial"/>
          <w:szCs w:val="21"/>
        </w:rPr>
      </w:pPr>
      <w:r>
        <w:rPr>
          <w:rFonts w:hint="eastAsia" w:ascii="宋体" w:hAnsi="宋体" w:cs="Arial"/>
          <w:szCs w:val="21"/>
        </w:rPr>
        <w:t xml:space="preserve">封面；</w:t>
      </w:r>
      <w:r>
        <w:rPr>
          <w:rFonts w:ascii="宋体" w:hAnsi="宋体" w:cs="Arial"/>
          <w:szCs w:val="21"/>
        </w:rPr>
      </w:r>
      <w:r/>
    </w:p>
    <w:p>
      <w:pPr>
        <w:pStyle w:val="900"/>
        <w:numPr>
          <w:ilvl w:val="2"/>
          <w:numId w:val="2"/>
        </w:numPr>
        <w:ind w:left="851" w:firstLine="0"/>
        <w:spacing w:line="360" w:lineRule="auto"/>
        <w:rPr>
          <w:rFonts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pStyle w:val="900"/>
        <w:numPr>
          <w:ilvl w:val="2"/>
          <w:numId w:val="2"/>
        </w:numPr>
        <w:ind w:left="851" w:firstLine="0"/>
        <w:spacing w:line="360" w:lineRule="auto"/>
        <w:rPr>
          <w:rFonts w:ascii="宋体" w:hAnsi="宋体" w:cs="Arial"/>
          <w:szCs w:val="21"/>
        </w:rPr>
      </w:pPr>
      <w:r>
        <w:rPr>
          <w:rFonts w:hint="eastAsia" w:ascii="宋体" w:hAnsi="宋体" w:cs="Arial"/>
          <w:szCs w:val="21"/>
        </w:rPr>
        <w:t xml:space="preserve">公开分项报价</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0"/>
        <w:numPr>
          <w:ilvl w:val="2"/>
          <w:numId w:val="2"/>
        </w:numPr>
        <w:ind w:left="851" w:firstLine="0"/>
        <w:spacing w:line="360" w:lineRule="auto"/>
        <w:rPr>
          <w:rFonts w:ascii="宋体" w:hAnsi="宋体" w:cs="Arial"/>
          <w:szCs w:val="21"/>
        </w:rPr>
      </w:pPr>
      <w:r>
        <w:rPr>
          <w:rFonts w:ascii="宋体" w:hAnsi="宋体"/>
          <w:szCs w:val="21"/>
          <w:lang w:val="zh-CN"/>
        </w:rPr>
        <w:t xml:space="preserve">远程参与开标会议诚信承诺书</w:t>
      </w:r>
      <w:r>
        <w:rPr>
          <w:rFonts w:ascii="宋体" w:hAnsi="宋体" w:cs="Arial"/>
          <w:szCs w:val="21"/>
        </w:rPr>
        <w:t xml:space="preserve">（格式见第三章）</w:t>
      </w:r>
      <w:r>
        <w:rPr>
          <w:rFonts w:hint="eastAsia" w:ascii="宋体" w:hAnsi="宋体"/>
          <w:szCs w:val="21"/>
          <w:lang w:val="zh-CN"/>
        </w:rPr>
        <w:t xml:space="preserve">；</w:t>
      </w:r>
      <w:r>
        <w:rPr>
          <w:rFonts w:ascii="宋体" w:hAnsi="宋体" w:cs="Arial"/>
          <w:szCs w:val="21"/>
        </w:rPr>
      </w:r>
      <w:r/>
    </w:p>
    <w:p>
      <w:pPr>
        <w:pStyle w:val="900"/>
        <w:numPr>
          <w:ilvl w:val="2"/>
          <w:numId w:val="2"/>
        </w:numPr>
        <w:ind w:left="851" w:firstLine="0"/>
        <w:spacing w:line="360" w:lineRule="auto"/>
        <w:rPr>
          <w:rFonts w:ascii="宋体" w:hAnsi="宋体" w:cs="Arial"/>
          <w:szCs w:val="21"/>
        </w:rPr>
      </w:pPr>
      <w:r>
        <w:rPr>
          <w:rFonts w:hint="eastAsia" w:ascii="宋体" w:hAnsi="宋体" w:cs="Arial"/>
          <w:szCs w:val="21"/>
        </w:rPr>
        <w:t xml:space="preserve">法定代表人授权委托书及法人身份证明（如有授权）</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0"/>
        <w:numPr>
          <w:ilvl w:val="1"/>
          <w:numId w:val="2"/>
        </w:numPr>
        <w:spacing w:line="360" w:lineRule="auto"/>
        <w:rPr>
          <w:rFonts w:ascii="宋体" w:hAnsi="宋体" w:cs="Arial"/>
          <w:szCs w:val="21"/>
        </w:rPr>
      </w:pPr>
      <w:r>
        <w:rPr>
          <w:rFonts w:hint="eastAsia" w:ascii="宋体" w:hAnsi="宋体" w:cs="Arial"/>
          <w:szCs w:val="21"/>
        </w:rPr>
        <w:t xml:space="preserve">资格条件：</w:t>
      </w:r>
      <w:r>
        <w:rPr>
          <w:rFonts w:ascii="宋体" w:hAnsi="宋体" w:cs="Arial"/>
          <w:szCs w:val="21"/>
        </w:rPr>
      </w:r>
      <w:r/>
    </w:p>
    <w:p>
      <w:pPr>
        <w:pStyle w:val="900"/>
        <w:numPr>
          <w:ilvl w:val="2"/>
          <w:numId w:val="2"/>
        </w:numPr>
        <w:ind w:left="851" w:firstLine="0"/>
        <w:spacing w:line="360" w:lineRule="auto"/>
        <w:rPr>
          <w:rFonts w:ascii="宋体" w:hAnsi="宋体" w:cs="Arial"/>
          <w:szCs w:val="21"/>
        </w:rPr>
      </w:pPr>
      <w:r>
        <w:rPr>
          <w:rFonts w:hint="eastAsia" w:ascii="宋体" w:hAnsi="宋体" w:cs="Arial"/>
          <w:szCs w:val="21"/>
        </w:rPr>
        <w:t xml:space="preserve">提供法人或者其他组织的营业执照等证明文件、自然人的身份证明；</w:t>
      </w:r>
      <w:r>
        <w:rPr>
          <w:rFonts w:ascii="宋体" w:hAnsi="宋体" w:cs="Arial"/>
          <w:szCs w:val="21"/>
        </w:rPr>
      </w:r>
      <w:r/>
    </w:p>
    <w:p>
      <w:pPr>
        <w:pStyle w:val="900"/>
        <w:numPr>
          <w:ilvl w:val="2"/>
          <w:numId w:val="2"/>
        </w:numPr>
        <w:ind w:left="851" w:firstLine="0"/>
        <w:spacing w:line="360" w:lineRule="auto"/>
        <w:rPr>
          <w:rFonts w:ascii="宋体" w:hAnsi="宋体" w:cs="Arial"/>
          <w:szCs w:val="21"/>
        </w:rPr>
      </w:pPr>
      <w:r>
        <w:rPr>
          <w:rFonts w:hint="eastAsia" w:ascii="宋体" w:hAnsi="宋体" w:cs="Arial"/>
          <w:szCs w:val="21"/>
        </w:rPr>
        <w:t xml:space="preserve">投标承诺函（格式见第三章）；</w:t>
      </w:r>
      <w:r>
        <w:rPr>
          <w:rFonts w:ascii="宋体" w:hAnsi="宋体" w:cs="Arial"/>
          <w:szCs w:val="21"/>
        </w:rPr>
      </w:r>
      <w:r/>
    </w:p>
    <w:p>
      <w:pPr>
        <w:pStyle w:val="900"/>
        <w:numPr>
          <w:ilvl w:val="2"/>
          <w:numId w:val="2"/>
        </w:numPr>
        <w:ind w:left="851" w:firstLine="0"/>
        <w:spacing w:line="360" w:lineRule="auto"/>
        <w:rPr>
          <w:rFonts w:ascii="宋体" w:hAnsi="宋体" w:cs="Arial"/>
          <w:szCs w:val="21"/>
        </w:rPr>
      </w:pPr>
      <w:r>
        <w:rPr>
          <w:rFonts w:hint="eastAsia" w:ascii="宋体" w:hAnsi="宋体" w:cs="Arial"/>
          <w:szCs w:val="21"/>
        </w:rPr>
        <w:t xml:space="preserve">投标人情况表（格式见第三章）；</w:t>
      </w:r>
      <w:r>
        <w:rPr>
          <w:rFonts w:ascii="宋体" w:hAnsi="宋体" w:cs="Arial"/>
          <w:szCs w:val="21"/>
        </w:rPr>
      </w:r>
      <w:r/>
    </w:p>
    <w:p>
      <w:pPr>
        <w:pStyle w:val="900"/>
        <w:numPr>
          <w:ilvl w:val="2"/>
          <w:numId w:val="2"/>
        </w:numPr>
        <w:ind w:left="851" w:firstLine="0"/>
        <w:spacing w:line="360" w:lineRule="auto"/>
        <w:rPr>
          <w:rFonts w:ascii="宋体" w:hAnsi="宋体" w:cs="Arial"/>
          <w:szCs w:val="21"/>
        </w:rPr>
      </w:pPr>
      <w:r>
        <w:rPr>
          <w:rFonts w:hint="eastAsia" w:ascii="宋体" w:hAnsi="宋体" w:cs="Arial"/>
          <w:szCs w:val="21"/>
        </w:rPr>
        <w:t xml:space="preserve">第一章投标邀请中采购人根据采购项目的特殊要求规定的特定条件证明文件（如有）。</w:t>
      </w:r>
      <w:r>
        <w:rPr>
          <w:rFonts w:ascii="宋体" w:hAnsi="宋体" w:cs="Arial"/>
          <w:szCs w:val="21"/>
        </w:rPr>
      </w:r>
      <w:r/>
    </w:p>
    <w:p>
      <w:pPr>
        <w:pStyle w:val="900"/>
        <w:numPr>
          <w:ilvl w:val="1"/>
          <w:numId w:val="2"/>
        </w:numPr>
        <w:spacing w:line="360" w:lineRule="auto"/>
        <w:rPr>
          <w:rFonts w:ascii="宋体" w:hAnsi="宋体" w:cs="Arial"/>
          <w:szCs w:val="21"/>
        </w:rPr>
      </w:pPr>
      <w:r>
        <w:rPr>
          <w:rFonts w:hint="eastAsia" w:ascii="宋体" w:hAnsi="宋体" w:cs="Arial"/>
          <w:szCs w:val="21"/>
        </w:rPr>
        <w:t xml:space="preserve">符合性条件</w:t>
      </w:r>
      <w:r>
        <w:rPr>
          <w:rFonts w:ascii="宋体" w:hAnsi="宋体" w:cs="Arial"/>
          <w:szCs w:val="21"/>
        </w:rPr>
      </w:r>
      <w:r/>
    </w:p>
    <w:p>
      <w:pPr>
        <w:pStyle w:val="900"/>
        <w:numPr>
          <w:ilvl w:val="2"/>
          <w:numId w:val="2"/>
        </w:numPr>
        <w:spacing w:line="360" w:lineRule="auto"/>
        <w:rPr>
          <w:rFonts w:ascii="宋体" w:hAnsi="宋体" w:cs="Arial"/>
          <w:szCs w:val="21"/>
        </w:rPr>
      </w:pPr>
      <w:r>
        <w:rPr>
          <w:rFonts w:hint="eastAsia" w:ascii="宋体" w:hAnsi="宋体" w:cs="Arial"/>
          <w:szCs w:val="21"/>
        </w:rPr>
        <w:t xml:space="preserve">投标文件声明函；</w:t>
      </w:r>
      <w:r>
        <w:rPr>
          <w:rFonts w:ascii="宋体" w:hAnsi="宋体" w:cs="Arial"/>
          <w:szCs w:val="21"/>
        </w:rPr>
      </w:r>
      <w:r/>
    </w:p>
    <w:p>
      <w:pPr>
        <w:pStyle w:val="900"/>
        <w:numPr>
          <w:ilvl w:val="2"/>
          <w:numId w:val="2"/>
        </w:numPr>
        <w:spacing w:line="360" w:lineRule="auto"/>
        <w:rPr>
          <w:rFonts w:ascii="宋体" w:hAnsi="宋体" w:cs="Arial"/>
          <w:szCs w:val="21"/>
        </w:rPr>
      </w:pPr>
      <w:r>
        <w:rPr>
          <w:rFonts w:hint="eastAsia" w:ascii="宋体" w:hAnsi="宋体" w:cs="Arial"/>
          <w:szCs w:val="21"/>
        </w:rPr>
        <w:t xml:space="preserve">商务偏离表、技术偏离表；</w:t>
      </w:r>
      <w:r>
        <w:rPr>
          <w:rFonts w:ascii="宋体" w:hAnsi="宋体" w:cs="Arial"/>
          <w:szCs w:val="21"/>
        </w:rPr>
      </w:r>
      <w:r/>
    </w:p>
    <w:p>
      <w:pPr>
        <w:pStyle w:val="900"/>
        <w:numPr>
          <w:ilvl w:val="1"/>
          <w:numId w:val="2"/>
        </w:numPr>
        <w:spacing w:line="360" w:lineRule="auto"/>
        <w:rPr>
          <w:rFonts w:ascii="宋体" w:hAnsi="宋体" w:cs="Arial"/>
          <w:szCs w:val="21"/>
        </w:rPr>
      </w:pPr>
      <w:r>
        <w:rPr>
          <w:rFonts w:hint="eastAsia" w:ascii="宋体" w:hAnsi="宋体" w:cs="Arial"/>
          <w:szCs w:val="21"/>
        </w:rPr>
        <w:t xml:space="preserve">综合评审评分项：</w:t>
      </w:r>
      <w:r>
        <w:rPr>
          <w:rFonts w:ascii="宋体" w:hAnsi="宋体" w:cs="Arial"/>
          <w:szCs w:val="21"/>
        </w:rPr>
      </w:r>
      <w:r/>
    </w:p>
    <w:p>
      <w:pPr>
        <w:pStyle w:val="900"/>
        <w:numPr>
          <w:ilvl w:val="2"/>
          <w:numId w:val="2"/>
        </w:numPr>
        <w:spacing w:line="360" w:lineRule="auto"/>
        <w:rPr>
          <w:rFonts w:ascii="宋体" w:hAnsi="宋体" w:cs="Arial"/>
          <w:szCs w:val="21"/>
        </w:rPr>
      </w:pPr>
      <w:r>
        <w:rPr>
          <w:rFonts w:hint="eastAsia" w:ascii="宋体" w:hAnsi="宋体" w:cs="Arial"/>
          <w:szCs w:val="21"/>
        </w:rPr>
        <w:t xml:space="preserve">评审所需的相关证明材料（技术方案、人员配置、业绩等）。</w:t>
      </w:r>
      <w:r>
        <w:rPr>
          <w:rFonts w:ascii="宋体" w:hAnsi="宋体" w:cs="Arial"/>
          <w:szCs w:val="21"/>
        </w:rPr>
      </w:r>
      <w:r/>
    </w:p>
    <w:p>
      <w:pPr>
        <w:pStyle w:val="900"/>
        <w:numPr>
          <w:ilvl w:val="1"/>
          <w:numId w:val="2"/>
        </w:numPr>
        <w:spacing w:line="360" w:lineRule="auto"/>
        <w:rPr>
          <w:rFonts w:ascii="宋体" w:hAnsi="宋体" w:cs="Arial"/>
          <w:szCs w:val="21"/>
        </w:rPr>
      </w:pPr>
      <w:r>
        <w:rPr>
          <w:rFonts w:hint="eastAsia" w:ascii="宋体" w:hAnsi="宋体" w:cs="Arial"/>
          <w:szCs w:val="21"/>
        </w:rPr>
        <w:t xml:space="preserve">价格折扣文件格式：</w:t>
      </w:r>
      <w:r>
        <w:rPr>
          <w:rFonts w:ascii="宋体" w:hAnsi="宋体" w:cs="Arial"/>
          <w:szCs w:val="21"/>
        </w:rPr>
      </w:r>
      <w:r/>
    </w:p>
    <w:p>
      <w:pPr>
        <w:pStyle w:val="900"/>
        <w:numPr>
          <w:ilvl w:val="2"/>
          <w:numId w:val="2"/>
        </w:numPr>
        <w:spacing w:line="360" w:lineRule="auto"/>
        <w:rPr>
          <w:rFonts w:ascii="宋体" w:hAnsi="宋体" w:cs="Arial"/>
          <w:szCs w:val="21"/>
        </w:rPr>
      </w:pPr>
      <w:r>
        <w:rPr>
          <w:rFonts w:hint="eastAsia" w:ascii="宋体" w:hAnsi="宋体" w:cs="Arial"/>
          <w:szCs w:val="21"/>
        </w:rPr>
        <w:t xml:space="preserve">提供《中小企业声明函》（如有）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0"/>
        <w:numPr>
          <w:ilvl w:val="2"/>
          <w:numId w:val="2"/>
        </w:numPr>
        <w:spacing w:line="360" w:lineRule="auto"/>
        <w:rPr>
          <w:rFonts w:ascii="宋体" w:hAnsi="宋体" w:cs="Arial"/>
          <w:szCs w:val="21"/>
        </w:rPr>
      </w:pP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rPr>
          <w:rFonts w:ascii="宋体" w:hAnsi="宋体" w:cs="Arial"/>
          <w:szCs w:val="21"/>
        </w:rPr>
      </w:r>
      <w:r/>
    </w:p>
    <w:p>
      <w:pPr>
        <w:pStyle w:val="900"/>
        <w:numPr>
          <w:ilvl w:val="2"/>
          <w:numId w:val="2"/>
        </w:numPr>
        <w:spacing w:line="360" w:lineRule="auto"/>
        <w:rPr>
          <w:rFonts w:ascii="宋体" w:hAnsi="宋体" w:cs="Arial"/>
          <w:szCs w:val="21"/>
        </w:rPr>
      </w:pPr>
      <w:r>
        <w:rPr>
          <w:rFonts w:hint="eastAsia" w:ascii="宋体" w:hAnsi="宋体" w:cs="Arial"/>
          <w:szCs w:val="21"/>
        </w:rPr>
        <w:t xml:space="preserve">监狱企业证明文件（如有）。</w:t>
      </w:r>
      <w:r>
        <w:rPr>
          <w:rFonts w:ascii="宋体" w:hAnsi="宋体" w:cs="Arial"/>
          <w:szCs w:val="21"/>
        </w:rPr>
      </w:r>
      <w:r/>
    </w:p>
    <w:p>
      <w:pPr>
        <w:pStyle w:val="900"/>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投标文件编制说明</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电子投标文件按招标文件规定的格式制作，如果未按要求制作上传，可能导致投标无效。</w:t>
      </w:r>
      <w:r>
        <w:rPr>
          <w:rFonts w:ascii="宋体" w:hAnsi="宋体" w:cs="Arial"/>
          <w:color w:val="000000"/>
          <w:szCs w:val="21"/>
        </w:rPr>
      </w:r>
      <w:r/>
    </w:p>
    <w:p>
      <w:pPr>
        <w:pStyle w:val="900"/>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开标一览表为在开标仪式上网上唱标的内容，要求按格式填写，统一规范，不得自行增减内容（格式见第三章）。</w:t>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对本次投标的详细说明的编制</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对本次投标的详细说明由投标人视各自的情况自行编制，规格幅面应与正文一致，附于正文之后，与正文页码统一编目编码装订成册。</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投标报价</w:t>
      </w:r>
      <w:r>
        <w:rPr>
          <w:rFonts w:ascii="宋体" w:hAnsi="宋体" w:cs="Arial"/>
          <w:b/>
          <w:color w:val="000000"/>
          <w:szCs w:val="21"/>
        </w:rPr>
      </w:r>
      <w:r/>
    </w:p>
    <w:p>
      <w:pPr>
        <w:pStyle w:val="900"/>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投标应以折扣率报价，包括但不限于本项目服务过程的劳务、食宿、差旅、资料汇编、管理、保险、利润、税金、政策性文件规定及合同包含的所有风险、责任等各项应有费用。</w:t>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应对招标文件内所要采购的全部内容进行报价，只投其中部分内容者，则投标为无效标。但如果招标文件要求分包投标的，则投标人可以根据自己经营许可内容有选择地只投其中一个或几个或全部包，但各包应分别计算填写单价和总价。</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ascii="宋体" w:hAnsi="宋体" w:cs="Arial"/>
          <w:color w:val="000000"/>
          <w:szCs w:val="21"/>
        </w:rPr>
        <w:t xml:space="preserve">一项投标内容只允许一个报价，招标</w:t>
      </w:r>
      <w:r>
        <w:rPr>
          <w:rFonts w:hint="eastAsia" w:ascii="宋体" w:hAnsi="宋体" w:cs="Arial"/>
          <w:color w:val="000000"/>
          <w:szCs w:val="21"/>
        </w:rPr>
        <w:t xml:space="preserve">代理</w:t>
      </w:r>
      <w:r>
        <w:rPr>
          <w:rFonts w:ascii="宋体" w:hAnsi="宋体" w:cs="Arial"/>
          <w:color w:val="000000"/>
          <w:szCs w:val="21"/>
        </w:rPr>
        <w:t xml:space="preserve">人不接受任何有选择性的投标报价。</w:t>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投标文件报价中的单价和总价全部采用人民币表示，合同的主要条款另有规定的除外。</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供应商的任何错漏、优惠、竞争性报价不得作为减轻责任、减少服务、增加收费、降低质量的理由。</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最低报价不能作为中标的保证。</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投标文件的有效期</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ascii="宋体" w:hAnsi="宋体" w:cs="Arial"/>
          <w:b/>
          <w:color w:val="000000"/>
          <w:szCs w:val="21"/>
        </w:rPr>
        <w:t xml:space="preserve">本投标有效期从提交投标文件的截止之日起算后</w:t>
      </w:r>
      <w:r>
        <w:rPr>
          <w:rFonts w:hint="eastAsia" w:ascii="宋体" w:hAnsi="宋体" w:cs="Arial"/>
          <w:b/>
          <w:color w:val="000000"/>
          <w:szCs w:val="21"/>
        </w:rPr>
        <w:t xml:space="preserve">90</w:t>
      </w:r>
      <w:r>
        <w:rPr>
          <w:rFonts w:ascii="宋体" w:hAnsi="宋体" w:cs="Arial"/>
          <w:b/>
          <w:color w:val="000000"/>
          <w:szCs w:val="21"/>
        </w:rPr>
        <w:t xml:space="preserve">天</w:t>
      </w:r>
      <w:r>
        <w:rPr>
          <w:rFonts w:hint="eastAsia" w:ascii="宋体" w:hAnsi="宋体" w:cs="Arial"/>
          <w:b/>
          <w:color w:val="000000"/>
          <w:szCs w:val="21"/>
        </w:rPr>
        <w:t xml:space="preserve">，投标书应保持有效。有效期短于这个规定期限的投标，将被拒绝。</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Cs w:val="21"/>
        </w:rPr>
      </w:r>
      <w:r/>
    </w:p>
    <w:p>
      <w:pPr>
        <w:pStyle w:val="900"/>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投标文件的提交</w:t>
      </w:r>
      <w:r>
        <w:rPr>
          <w:rFonts w:ascii="宋体" w:hAnsi="宋体" w:cs="Arial"/>
          <w:b/>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电子投标文件的提交请按</w:t>
      </w:r>
      <w:r>
        <w:rPr>
          <w:rFonts w:ascii="宋体" w:hAnsi="宋体"/>
          <w:color w:val="000000"/>
          <w:szCs w:val="21"/>
        </w:rPr>
        <w:t xml:space="preserve">苏州公共资源交易信息平台/昆山分中心/下载中心</w:t>
      </w:r>
      <w:r>
        <w:rPr>
          <w:rFonts w:hint="eastAsia" w:ascii="宋体" w:hAnsi="宋体" w:cs="Arial"/>
          <w:color w:val="000000"/>
          <w:szCs w:val="21"/>
        </w:rPr>
        <w:t xml:space="preserve">供应商投标工具客户端操作手册要求进行。</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投标截止时间</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电子投标文件必须按《投标邀请函》规定的网上投标截止时间前提交，以系统内上传后显示的上传文件确认单为准</w:t>
      </w:r>
      <w:r>
        <w:rPr>
          <w:rFonts w:ascii="宋体" w:hAnsi="宋体" w:cs="Arial"/>
          <w:color w:val="000000"/>
          <w:szCs w:val="21"/>
        </w:rPr>
        <w:t xml:space="preserve">。</w:t>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招标人推迟投标截止时间时，应以网上公布的形式，通知投标人，在这种情况下，招标人和投标人的权利和义务将受到新的截止期的约束。</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在投标截止时间以后上传的投标文件，招标人拒绝接收。</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投标人应在开标前携带数字证书（CA）参加投标，否则做无效投标。</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投标文件的修改和撤回</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投标文件的修改应在网上投标截止时间前进行。</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开标前，投标人可以撤回投标。</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开标后投标人不得撤回投标。</w:t>
      </w:r>
      <w:r>
        <w:rPr>
          <w:rFonts w:ascii="宋体" w:hAnsi="宋体" w:cs="Arial"/>
          <w:color w:val="000000"/>
          <w:szCs w:val="21"/>
        </w:rPr>
      </w:r>
      <w:r/>
    </w:p>
    <w:p>
      <w:pPr>
        <w:pStyle w:val="900"/>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开标和评标</w:t>
      </w:r>
      <w:r>
        <w:rPr>
          <w:rFonts w:ascii="宋体" w:hAnsi="宋体" w:cs="Arial"/>
          <w:b/>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开标</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招标代理人按《投标邀请函》规定的时间、地点进行开标。开标仪式根据委托人授权由招标代理人主持，买方代表及有关工作人员参加。</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远程开标CA预解密时间为开标开始后10分钟内，各投标单位参与远程开标时需要随身携带</w:t>
      </w:r>
      <w:r>
        <w:rPr>
          <w:rFonts w:ascii="宋体" w:hAnsi="宋体" w:cs="Arial"/>
          <w:color w:val="000000"/>
          <w:szCs w:val="21"/>
        </w:rPr>
        <w:t xml:space="preserve">CA</w:t>
      </w:r>
      <w:r>
        <w:rPr>
          <w:rFonts w:hint="eastAsia" w:ascii="宋体" w:hAnsi="宋体" w:cs="Arial"/>
          <w:color w:val="000000"/>
          <w:szCs w:val="21"/>
        </w:rPr>
        <w:t xml:space="preserve">证书及</w:t>
      </w:r>
      <w:r>
        <w:rPr>
          <w:rFonts w:ascii="宋体" w:hAnsi="宋体" w:cs="Arial"/>
          <w:color w:val="000000"/>
          <w:szCs w:val="21"/>
        </w:rPr>
        <w:t xml:space="preserve">CA</w:t>
      </w:r>
      <w:r>
        <w:rPr>
          <w:rFonts w:hint="eastAsia" w:ascii="宋体" w:hAnsi="宋体" w:cs="Arial"/>
          <w:color w:val="000000"/>
          <w:szCs w:val="21"/>
        </w:rPr>
        <w:t xml:space="preserve">密码，输入CA密码的时间不超过远程开标CA预解密</w:t>
      </w:r>
      <w:r>
        <w:rPr>
          <w:rFonts w:ascii="宋体" w:hAnsi="宋体" w:cs="Arial"/>
          <w:color w:val="000000"/>
          <w:szCs w:val="21"/>
        </w:rPr>
        <w:t xml:space="preserve">10</w:t>
      </w:r>
      <w:r>
        <w:rPr>
          <w:rFonts w:hint="eastAsia" w:ascii="宋体" w:hAnsi="宋体" w:cs="Arial"/>
          <w:color w:val="000000"/>
          <w:szCs w:val="21"/>
        </w:rPr>
        <w:t xml:space="preserve">分钟限制时间且</w:t>
      </w:r>
      <w:r>
        <w:rPr>
          <w:rFonts w:ascii="宋体" w:hAnsi="宋体" w:cs="Arial"/>
          <w:color w:val="000000"/>
          <w:szCs w:val="21"/>
        </w:rPr>
        <w:t xml:space="preserve">CA</w:t>
      </w:r>
      <w:r>
        <w:rPr>
          <w:rFonts w:hint="eastAsia" w:ascii="宋体" w:hAnsi="宋体" w:cs="Arial"/>
          <w:color w:val="000000"/>
          <w:szCs w:val="21"/>
        </w:rPr>
        <w:t xml:space="preserve">密码输入次数不超过十次（以CA内置的错误计数为准），否则视为无效响应。</w:t>
      </w:r>
      <w:r>
        <w:rPr>
          <w:rFonts w:ascii="宋体" w:hAnsi="宋体" w:cs="Arial"/>
          <w:color w:val="000000"/>
          <w:szCs w:val="21"/>
        </w:rPr>
      </w:r>
      <w:r/>
    </w:p>
    <w:p>
      <w:pPr>
        <w:pStyle w:val="900"/>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在开标时，有以下情况者将视为无效：</w:t>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不符合法律、法规和招标文件中规定的其他实质性要求的。</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资格审查、信用查询</w:t>
      </w:r>
      <w:r>
        <w:rPr>
          <w:rFonts w:ascii="宋体" w:hAnsi="宋体" w:cs="Arial"/>
          <w:b/>
          <w:color w:val="000000"/>
          <w:szCs w:val="21"/>
        </w:rPr>
      </w:r>
      <w:r/>
    </w:p>
    <w:p>
      <w:pPr>
        <w:pStyle w:val="900"/>
        <w:numPr>
          <w:ilvl w:val="1"/>
          <w:numId w:val="2"/>
        </w:numPr>
        <w:ind w:left="0" w:firstLine="425"/>
        <w:spacing w:line="360" w:lineRule="auto"/>
        <w:rPr>
          <w:rFonts w:hint="eastAsia" w:ascii="宋体" w:hAnsi="宋体" w:cs="Arial"/>
          <w:b/>
          <w:color w:val="000000"/>
          <w:szCs w:val="21"/>
        </w:rPr>
      </w:pPr>
      <w:r>
        <w:rPr>
          <w:rFonts w:ascii="宋体" w:hAnsi="宋体" w:cs="Arial"/>
          <w:b/>
          <w:color w:val="000000"/>
          <w:szCs w:val="21"/>
        </w:rPr>
        <w:t xml:space="preserve">公开招标采购项目开标结束后，采购人或者招标代理人应当依法对投标人的资格进行审查</w:t>
      </w:r>
      <w:r>
        <w:rPr>
          <w:rFonts w:hint="eastAsia" w:ascii="宋体" w:hAnsi="宋体" w:cs="Arial"/>
          <w:b/>
          <w:color w:val="000000"/>
          <w:szCs w:val="21"/>
        </w:rPr>
        <w:t xml:space="preserve">, 未通过资格审查的审查的视为无效投标。</w:t>
      </w:r>
      <w:r/>
    </w:p>
    <w:p>
      <w:pPr>
        <w:pStyle w:val="900"/>
        <w:numPr>
          <w:ilvl w:val="1"/>
          <w:numId w:val="2"/>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投标人根据资格要求提供相应资料供资格审查（具体要求详见第一章投标邀请）。</w:t>
      </w:r>
      <w:r/>
    </w:p>
    <w:p>
      <w:pPr>
        <w:pStyle w:val="900"/>
        <w:numPr>
          <w:ilvl w:val="1"/>
          <w:numId w:val="2"/>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pStyle w:val="900"/>
        <w:numPr>
          <w:ilvl w:val="2"/>
          <w:numId w:val="2"/>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查询时间：投标文件递交截止时间。</w:t>
      </w:r>
      <w:r/>
    </w:p>
    <w:p>
      <w:pPr>
        <w:pStyle w:val="900"/>
        <w:numPr>
          <w:ilvl w:val="2"/>
          <w:numId w:val="2"/>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900"/>
        <w:numPr>
          <w:ilvl w:val="2"/>
          <w:numId w:val="2"/>
        </w:numPr>
        <w:ind w:left="426" w:firstLine="0"/>
        <w:spacing w:line="360" w:lineRule="auto"/>
        <w:rPr>
          <w:rFonts w:hint="eastAsia" w:ascii="宋体" w:hAnsi="宋体" w:cs="Arial"/>
          <w:color w:val="000000"/>
          <w:szCs w:val="21"/>
        </w:rPr>
      </w:pPr>
      <w:r>
        <w:rPr>
          <w:rFonts w:hint="eastAsia" w:ascii="宋体" w:hAnsi="宋体" w:cs="Arial"/>
          <w:color w:val="000000"/>
          <w:szCs w:val="21"/>
        </w:rPr>
        <w:t xml:space="preserve">查询证据留存方式：对存在失信信息的供应商，采购人或者招标代理人应填写《苏州市级政府采购供应商失信信息确认函》，由失信供应商应签名确认。同时，招标代理人工作人员应登陆到来源网站页面进行复核并打印，作为证据留存。</w:t>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评标委员会或评标小组</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评标委员会或评标小组（以下简称评标委员会）由采购人依法组建。</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评标委员会或评标小组负责具体的评标事务，并独立履行以下职责：</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审查投标文件是否符合招标文件的要求，并作出评价。</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可以要求投标供应商对投标文件有关事项作出解释或澄清。</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推荐中标候选供应商名单，或者受招标人委托按照事先确定的办法直接确定中标人。</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向招标采购人或者有关部门报告非法干预评标工作的行为。</w:t>
      </w:r>
      <w:r>
        <w:rPr>
          <w:rFonts w:ascii="宋体" w:hAnsi="宋体" w:cs="Arial"/>
          <w:color w:val="000000"/>
          <w:szCs w:val="21"/>
        </w:rPr>
      </w:r>
      <w:r/>
    </w:p>
    <w:p>
      <w:pPr>
        <w:pStyle w:val="900"/>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评标委员会成员应当履行下列义务：</w:t>
      </w:r>
      <w:r>
        <w:rPr>
          <w:rFonts w:ascii="宋体" w:hAnsi="宋体" w:cs="Arial"/>
          <w:b/>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遵纪守法，客观、公正、廉洁地履行职责。</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按照招标文件规定的评标办法和评标标准进行评标，对评审意见承担个人责任。</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对评标过程和结果，以及投标人的商业秘密保密。</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参与评标报告的起草。</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配合财政部门的投诉处理工作。</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配合招标采购人答复投标供应商提出的质疑。</w:t>
      </w:r>
      <w:r>
        <w:rPr>
          <w:rFonts w:ascii="宋体" w:hAnsi="宋体" w:cs="Arial"/>
          <w:color w:val="000000"/>
          <w:szCs w:val="21"/>
        </w:rPr>
      </w:r>
      <w:r/>
    </w:p>
    <w:p>
      <w:pPr>
        <w:pStyle w:val="900"/>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评标内容的保密</w:t>
      </w:r>
      <w:r>
        <w:rPr>
          <w:rFonts w:ascii="宋体" w:hAnsi="宋体" w:cs="Arial"/>
          <w:b/>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在投标文件的审查、澄清、评价和比较以及授予合同的过程中，投标人对招标人和评标委员会成员施加影响的任何行为，都将取消其投标资格。</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在评标期间，招标人将通过指定联络人与投标人进行联系。</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评标委员会不向落标人解释原因。</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对投标人及投标文件的审核</w:t>
      </w:r>
      <w:r>
        <w:rPr>
          <w:rFonts w:ascii="宋体" w:hAnsi="宋体" w:cs="Arial"/>
          <w:b/>
          <w:color w:val="000000"/>
          <w:szCs w:val="21"/>
        </w:rPr>
      </w:r>
      <w:r/>
    </w:p>
    <w:p>
      <w:pPr>
        <w:pStyle w:val="900"/>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采购人或者招标代理人资格证明文件要求进行投标人资格审查，如缺少内容，视为无效投标。</w:t>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对价格的计算错误按下述原则修正：</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如果以文字表示的数据与数字表示的有差别，应以文字为准修正数字。</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对不同文字文本投标文件的解释发生异议的，以中文文本为准。</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投标人不同意以上修正，则其投标为无效投标。</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评标委员会对投标文件的判定，只依据投标内容本身，不依据开标后的任何外来证明。</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下列投标文件为无效投标：</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与招标文件有重大偏离。</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投标人的报价是选择性的。</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投标人的报价只报了部分内容。</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投标报价超过预算的。</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不具备招标文件中规定的资格要求。</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不同供应商的投标文件由同一单位或者个人编制。</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不同供应商委托同一单位或者个人办理投标事宜。</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不同供应商的投标文件载明的项目管理成员为同一人。</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不同供应商的投标文件异常一致。</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不同供应商的投标文件相互混装。</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不同供应商的法定代表人或委托代理人有夫妻、直系血亲关系的。</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不同供应商的负责人为同一人或者存在控股、管理关系的。</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服务承诺和付款条件未响应招标要求的。</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不符合法律、法规和招标文件规定的其他实质性要求的。</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评标委员会认定的其它为无效投标的事项。</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投标的澄清</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评标委员会有权就投标文件中含混之处向投标人提出询问或澄清要求，投标人必须按照招标代理人通知的时间、地点派技术和商务人员进行澄清。</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必要时招标代理人可要求就澄清的问题作书面回答，该书面回答应有投标人的法定代表人或被授权人签署，并将作为投标内容的一部分。</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投标人对投标文件的澄清不得改变投标的价格及实质性内容。</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废标</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在招标过程中，出现下列情况之一的，应予废标：</w:t>
      </w:r>
      <w:r>
        <w:rPr>
          <w:rFonts w:ascii="宋体" w:hAnsi="宋体" w:cs="Arial"/>
          <w:color w:val="000000"/>
          <w:szCs w:val="21"/>
        </w:rPr>
      </w:r>
      <w:r/>
    </w:p>
    <w:p>
      <w:pPr>
        <w:pStyle w:val="900"/>
        <w:numPr>
          <w:ilvl w:val="2"/>
          <w:numId w:val="2"/>
        </w:numPr>
        <w:ind w:left="426" w:firstLine="0"/>
        <w:spacing w:line="360" w:lineRule="auto"/>
        <w:rPr>
          <w:rFonts w:hint="eastAsia" w:ascii="宋体" w:hAnsi="宋体" w:cs="Arial"/>
          <w:b/>
          <w:color w:val="000000"/>
          <w:szCs w:val="21"/>
        </w:rPr>
      </w:pPr>
      <w:r>
        <w:rPr>
          <w:rFonts w:hint="eastAsia" w:ascii="宋体" w:hAnsi="宋体" w:cs="Arial"/>
          <w:b/>
          <w:color w:val="000000"/>
          <w:szCs w:val="21"/>
        </w:rPr>
        <w:t xml:space="preserve">进入每个包评审的实质性响应且具有得标权（已在前期各包评审中获得了采购文件规定的得标上限数的供应商，不再具有该包的得标权）的供应商少于3家的；</w:t>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出现影响采购公正的违法、违规行为的；</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投标人的报价均超过了采购预算，采购方不能支付的；</w:t>
      </w:r>
      <w:r>
        <w:rPr>
          <w:rFonts w:ascii="宋体" w:hAnsi="宋体" w:cs="Arial"/>
          <w:color w:val="000000"/>
          <w:szCs w:val="21"/>
        </w:rPr>
      </w:r>
      <w:r/>
    </w:p>
    <w:p>
      <w:pPr>
        <w:pStyle w:val="900"/>
        <w:numPr>
          <w:ilvl w:val="2"/>
          <w:numId w:val="2"/>
        </w:numPr>
        <w:ind w:left="426" w:firstLine="0"/>
        <w:spacing w:line="360" w:lineRule="auto"/>
        <w:rPr>
          <w:rFonts w:ascii="宋体" w:hAnsi="宋体" w:cs="Arial"/>
          <w:color w:val="000000"/>
          <w:szCs w:val="21"/>
        </w:rPr>
      </w:pPr>
      <w:r>
        <w:rPr>
          <w:rFonts w:hint="eastAsia" w:ascii="宋体" w:hAnsi="宋体" w:cs="Arial"/>
          <w:color w:val="000000"/>
          <w:szCs w:val="21"/>
        </w:rPr>
        <w:t xml:space="preserve">因重大变故，采购任务取消的。</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废标后，招标人将把废标的理由通知所有投标人。</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投标文件的评价和比较</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评标委员会将仅对按照本须知有关规定确定为实质上响应招标文件要求的投标文件进行评价和比较。</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评价和比较采用综合评分法，评标委员会严格按照招标文件的要求、条件、评分标准，对投标人所作的实质性响应内容进行比较。</w:t>
      </w:r>
      <w:r>
        <w:rPr>
          <w:rFonts w:ascii="宋体" w:hAnsi="宋体" w:cs="Arial"/>
          <w:color w:val="000000"/>
          <w:szCs w:val="21"/>
        </w:rPr>
      </w:r>
      <w:r/>
    </w:p>
    <w:p>
      <w:pPr>
        <w:pStyle w:val="900"/>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授予合同</w:t>
      </w:r>
      <w:r>
        <w:rPr>
          <w:rFonts w:ascii="宋体" w:hAnsi="宋体" w:cs="Arial"/>
          <w:b/>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中标单位的确认</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合同授予标准</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确定为中标的投标人必须具有实施本合同的能力和资源。</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中标通知书</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确定出中标单位后在投标有效期截止前，招标人将以书面形式通知中标的投标人其投标被接受。在中标通知书中给出中标单位的中标标价、交货时间、质量标准和有关合同签订的日期和地点。</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中标通知书将成为合同的组成部分。</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合同的签订</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ascii="宋体" w:hAnsi="宋体" w:cs="Arial"/>
          <w:color w:val="000000"/>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900"/>
        <w:numPr>
          <w:ilvl w:val="1"/>
          <w:numId w:val="2"/>
        </w:numPr>
        <w:ind w:left="0" w:firstLine="425"/>
        <w:spacing w:line="360" w:lineRule="auto"/>
        <w:rPr>
          <w:rFonts w:ascii="宋体" w:hAnsi="宋体" w:cs="Arial"/>
          <w:color w:val="000000"/>
          <w:szCs w:val="21"/>
        </w:rPr>
      </w:pPr>
      <w:r>
        <w:rPr>
          <w:rFonts w:ascii="宋体" w:hAnsi="宋体" w:cs="Arial"/>
          <w:color w:val="000000"/>
          <w:szCs w:val="21"/>
        </w:rPr>
        <w:t xml:space="preserve">采购人不得向中标人提出任何不合理的要求作为签订合同的条件。</w:t>
      </w:r>
      <w:r/>
    </w:p>
    <w:p>
      <w:pPr>
        <w:pStyle w:val="900"/>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中标单位应按中标通知书中规定的时间和地点，由法定代表人或授权委托人与甲方代表签订合同。否则按放弃中标权处理。</w:t>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履约保证金（如有）</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中标的投标人应按《投标邀请函》中的规定提交履约保证金。</w:t>
      </w:r>
      <w:r>
        <w:rPr>
          <w:rFonts w:ascii="宋体" w:hAnsi="宋体" w:cs="Arial"/>
          <w:color w:val="000000"/>
          <w:szCs w:val="21"/>
        </w:rPr>
      </w:r>
      <w:r/>
    </w:p>
    <w:p>
      <w:pPr>
        <w:pStyle w:val="900"/>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履约保证金（无息）将在乙方履行完合同并经验收合格后，凭乙方的收款收据在五个工作日内退返乙方。</w:t>
      </w:r>
      <w:r/>
    </w:p>
    <w:p>
      <w:pPr>
        <w:pStyle w:val="900"/>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诚实信用</w:t>
      </w:r>
      <w:r>
        <w:rPr>
          <w:rFonts w:ascii="宋体" w:hAnsi="宋体" w:cs="Arial"/>
          <w:b/>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诚实信用</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供应商之间不得相互串通投标报价，不得妨碍其他供应商的公平竞争，不得损害采购人和其他供应商的合法权益。</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供应商不得虚假承诺，否则，按照提供虚假材料谋取中标处理。</w:t>
      </w:r>
      <w:r>
        <w:rPr>
          <w:rFonts w:ascii="宋体" w:hAnsi="宋体" w:cs="Arial"/>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Cs w:val="21"/>
        </w:rPr>
      </w:r>
      <w:r/>
    </w:p>
    <w:p>
      <w:pPr>
        <w:pStyle w:val="900"/>
        <w:numPr>
          <w:ilvl w:val="1"/>
          <w:numId w:val="2"/>
        </w:numPr>
        <w:ind w:left="0" w:firstLine="425"/>
        <w:spacing w:line="360" w:lineRule="auto"/>
        <w:rPr>
          <w:rFonts w:hint="eastAsia" w:ascii="宋体" w:hAnsi="宋体" w:cs="Arial"/>
          <w:color w:val="000000"/>
          <w:szCs w:val="21"/>
        </w:rPr>
      </w:pPr>
      <w:r>
        <w:rPr>
          <w:rFonts w:hint="eastAsia" w:ascii="宋体" w:hAnsi="宋体" w:cs="Arial"/>
          <w:color w:val="000000"/>
          <w:szCs w:val="21"/>
        </w:rPr>
        <w:t xml:space="preserve">供应商不得向工作人员、评标委员会成员行贿或者采取其他不正当手段谋取中标。经查实供应商有此行为的，</w:t>
      </w:r>
      <w:r>
        <w:rPr>
          <w:rFonts w:ascii="宋体" w:hAnsi="宋体" w:cs="Arial"/>
          <w:color w:val="000000"/>
          <w:szCs w:val="21"/>
        </w:rPr>
        <w:t xml:space="preserve">政府采购管理部门将供应商列入不良行为记录名单，按照《政府采购法》有关规定处理。</w:t>
      </w:r>
      <w:r>
        <w:rPr>
          <w:rFonts w:hint="eastAsia" w:ascii="宋体" w:hAnsi="宋体" w:cs="Arial"/>
          <w:color w:val="000000"/>
          <w:szCs w:val="21"/>
        </w:rPr>
      </w:r>
      <w:r/>
    </w:p>
    <w:p>
      <w:pPr>
        <w:pStyle w:val="900"/>
        <w:ind w:firstLine="422"/>
        <w:spacing w:line="360" w:lineRule="auto"/>
        <w:rPr>
          <w:rFonts w:ascii="宋体" w:hAnsi="宋体"/>
          <w:b/>
          <w:color w:val="000000"/>
          <w:szCs w:val="21"/>
        </w:rPr>
      </w:pPr>
      <w:r>
        <w:rPr>
          <w:rFonts w:hint="eastAsia" w:ascii="宋体" w:hAnsi="宋体"/>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Cs w:val="21"/>
        </w:rPr>
      </w:r>
      <w:r/>
    </w:p>
    <w:p>
      <w:pPr>
        <w:pStyle w:val="900"/>
        <w:numPr>
          <w:ilvl w:val="0"/>
          <w:numId w:val="1"/>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其他事项</w:t>
      </w:r>
      <w:r>
        <w:rPr>
          <w:rFonts w:ascii="宋体" w:hAnsi="宋体" w:cs="Arial"/>
          <w:b/>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中标服务费</w:t>
      </w:r>
      <w:r>
        <w:rPr>
          <w:rFonts w:ascii="宋体" w:hAnsi="宋体" w:cs="Arial"/>
          <w:b/>
          <w:color w:val="000000"/>
          <w:szCs w:val="21"/>
        </w:rPr>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中标单位须按规定支付中标服务费，该费用应在合同签订后三天内付清。</w:t>
      </w:r>
      <w:r>
        <w:rPr>
          <w:rFonts w:ascii="宋体" w:hAnsi="宋体" w:cs="Arial"/>
          <w:color w:val="000000"/>
          <w:szCs w:val="21"/>
        </w:rPr>
      </w:r>
      <w:r/>
    </w:p>
    <w:p>
      <w:pPr>
        <w:pStyle w:val="900"/>
        <w:numPr>
          <w:ilvl w:val="1"/>
          <w:numId w:val="2"/>
        </w:numPr>
        <w:ind w:left="0" w:firstLine="425"/>
        <w:spacing w:line="360" w:lineRule="auto"/>
        <w:rPr>
          <w:rFonts w:hint="eastAsia" w:ascii="宋体" w:hAnsi="宋体" w:cs="Arial"/>
          <w:b/>
          <w:color w:val="000000"/>
          <w:szCs w:val="21"/>
        </w:rPr>
      </w:pPr>
      <w:r>
        <w:rPr>
          <w:rFonts w:hint="eastAsia" w:ascii="宋体" w:hAnsi="宋体" w:cs="Arial"/>
          <w:b/>
          <w:color w:val="000000"/>
          <w:szCs w:val="21"/>
        </w:rPr>
        <w:t xml:space="preserve">按差额定率累进法计算收费: 按预算金额100万元以下，收取1.5%；100-500万元，收取1.1%；500-1000万元，收取0.8%；1000-5000万元，收取0.5%；5000-10000万元，收取0.25%；10000-100000万元，收取0.05%，最低不少于3000元；该费用由中标单位支付至我司中标服务费专用帐户（</w:t>
      </w:r>
      <w:r>
        <w:rPr>
          <w:rFonts w:ascii="宋体" w:hAnsi="宋体" w:cs="Arial"/>
          <w:b/>
          <w:color w:val="000000"/>
          <w:szCs w:val="21"/>
        </w:rPr>
        <w:t xml:space="preserve">苏州公正建设咨询房地产评估有限公司</w:t>
      </w:r>
      <w:r>
        <w:rPr>
          <w:rFonts w:hint="eastAsia" w:ascii="宋体" w:hAnsi="宋体" w:cs="Arial"/>
          <w:b/>
          <w:color w:val="000000"/>
          <w:szCs w:val="21"/>
        </w:rPr>
        <w:t xml:space="preserve">  </w:t>
      </w:r>
      <w:r>
        <w:rPr>
          <w:rFonts w:ascii="宋体" w:hAnsi="宋体" w:cs="Arial"/>
          <w:b/>
          <w:color w:val="000000"/>
          <w:szCs w:val="21"/>
        </w:rPr>
        <w:t xml:space="preserve">帐</w:t>
      </w:r>
      <w:r>
        <w:rPr>
          <w:rFonts w:hint="eastAsia" w:ascii="宋体" w:hAnsi="宋体" w:cs="Arial"/>
          <w:b/>
          <w:color w:val="000000"/>
          <w:szCs w:val="21"/>
        </w:rPr>
        <w:t xml:space="preserve">  </w:t>
      </w:r>
      <w:r>
        <w:rPr>
          <w:rFonts w:ascii="宋体" w:hAnsi="宋体" w:cs="Arial"/>
          <w:b/>
          <w:color w:val="000000"/>
          <w:szCs w:val="21"/>
        </w:rPr>
        <w:t xml:space="preserve">号：</w:t>
      </w:r>
      <w:r>
        <w:rPr>
          <w:rFonts w:hint="eastAsia" w:ascii="宋体" w:hAnsi="宋体" w:cs="Arial"/>
          <w:b/>
          <w:color w:val="000000"/>
          <w:szCs w:val="21"/>
        </w:rPr>
        <w:t xml:space="preserve">3715 0188 0000 00965 </w:t>
      </w:r>
      <w:r>
        <w:rPr>
          <w:rFonts w:ascii="宋体" w:hAnsi="宋体" w:cs="Arial"/>
          <w:b/>
          <w:color w:val="000000"/>
          <w:szCs w:val="21"/>
        </w:rPr>
        <w:t xml:space="preserve">开户行</w:t>
      </w:r>
      <w:r>
        <w:rPr>
          <w:rFonts w:hint="eastAsia" w:ascii="宋体" w:hAnsi="宋体" w:cs="Arial"/>
          <w:b/>
          <w:color w:val="000000"/>
          <w:szCs w:val="21"/>
        </w:rPr>
        <w:t xml:space="preserve">：光大银行昆山高新技术产业园区支行）</w:t>
      </w:r>
      <w:r/>
    </w:p>
    <w:p>
      <w:pPr>
        <w:pStyle w:val="900"/>
        <w:numPr>
          <w:ilvl w:val="1"/>
          <w:numId w:val="2"/>
        </w:numPr>
        <w:ind w:left="0" w:firstLine="425"/>
        <w:spacing w:line="360" w:lineRule="auto"/>
        <w:rPr>
          <w:rFonts w:ascii="宋体" w:hAnsi="宋体" w:cs="Arial"/>
          <w:color w:val="000000"/>
          <w:szCs w:val="21"/>
        </w:rPr>
      </w:pPr>
      <w:r>
        <w:rPr>
          <w:rFonts w:hint="eastAsia" w:ascii="宋体" w:hAnsi="宋体" w:cs="Arial"/>
          <w:color w:val="000000"/>
          <w:szCs w:val="21"/>
        </w:rPr>
        <w:t xml:space="preserve">中标单位如果未按规定缴纳中标服务费，我单位保留诉讼的权利。</w:t>
      </w:r>
      <w:r>
        <w:rPr>
          <w:rFonts w:ascii="宋体" w:hAnsi="宋体" w:cs="Arial"/>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监督</w:t>
      </w:r>
      <w:r>
        <w:rPr>
          <w:rFonts w:ascii="宋体" w:hAnsi="宋体" w:cs="Arial"/>
          <w:b/>
          <w:color w:val="000000"/>
          <w:szCs w:val="21"/>
        </w:rPr>
      </w:r>
      <w:r/>
    </w:p>
    <w:p>
      <w:pPr>
        <w:pStyle w:val="900"/>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政府有关监督部门将对招投标全过程进行监督。</w:t>
      </w:r>
      <w:r>
        <w:rPr>
          <w:rFonts w:ascii="宋体" w:hAnsi="宋体" w:cs="Arial"/>
          <w:b/>
          <w:color w:val="000000"/>
          <w:szCs w:val="21"/>
        </w:rPr>
      </w:r>
      <w:r/>
    </w:p>
    <w:p>
      <w:pPr>
        <w:pStyle w:val="900"/>
        <w:numPr>
          <w:ilvl w:val="0"/>
          <w:numId w:val="2"/>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未尽事宜</w:t>
      </w:r>
      <w:r>
        <w:rPr>
          <w:rFonts w:ascii="宋体" w:hAnsi="宋体" w:cs="Arial"/>
          <w:b/>
          <w:color w:val="000000"/>
          <w:szCs w:val="21"/>
        </w:rPr>
      </w:r>
      <w:r/>
    </w:p>
    <w:p>
      <w:pPr>
        <w:pStyle w:val="900"/>
        <w:numPr>
          <w:ilvl w:val="1"/>
          <w:numId w:val="2"/>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按《中华人民共和国民法典》、《中华人民共和国政府采购法》及其他有关政府采购的法律法规的规定执行。</w:t>
      </w:r>
      <w:r>
        <w:rPr>
          <w:rFonts w:ascii="宋体" w:hAnsi="宋体" w:cs="Arial"/>
          <w:b/>
          <w:color w:val="000000"/>
          <w:szCs w:val="21"/>
        </w:rPr>
      </w:r>
      <w:r/>
    </w:p>
    <w:p>
      <w:pPr>
        <w:pStyle w:val="900"/>
        <w:jc w:val="center"/>
        <w:spacing w:line="360" w:lineRule="auto"/>
        <w:rPr>
          <w:rFonts w:ascii="宋体" w:hAnsi="宋体"/>
          <w:color w:val="000000"/>
          <w:sz w:val="24"/>
        </w:rPr>
      </w:pPr>
      <w:r>
        <w:rPr>
          <w:rFonts w:ascii="宋体" w:hAnsi="宋体"/>
          <w:color w:val="000000"/>
          <w:szCs w:val="21"/>
        </w:rPr>
        <w:br w:type="page" w:clear="all"/>
      </w:r>
      <w:r>
        <w:rPr>
          <w:rFonts w:ascii="宋体" w:hAnsi="宋体"/>
          <w:color w:val="000000"/>
          <w:sz w:val="24"/>
        </w:rPr>
      </w:r>
      <w:r/>
    </w:p>
    <w:p>
      <w:pPr>
        <w:pStyle w:val="974"/>
        <w:rPr>
          <w:color w:val="000000"/>
          <w:sz w:val="24"/>
          <w:szCs w:val="24"/>
        </w:rPr>
      </w:pPr>
      <w:r/>
      <w:bookmarkStart w:id="15" w:name="_Toc78976390"/>
      <w:r>
        <w:rPr>
          <w:rFonts w:hint="eastAsia"/>
          <w:color w:val="000000"/>
          <w:sz w:val="24"/>
          <w:szCs w:val="24"/>
        </w:rPr>
        <w:t xml:space="preserve">第三章  投标文件格式</w:t>
      </w:r>
      <w:bookmarkEnd w:id="15"/>
      <w:r/>
      <w:bookmarkStart w:id="16" w:name="gpcItem_SubmitDocStruct"/>
      <w:r/>
      <w:bookmarkEnd w:id="16"/>
      <w:r>
        <w:rPr>
          <w:color w:val="000000"/>
          <w:sz w:val="24"/>
          <w:szCs w:val="24"/>
        </w:rPr>
      </w:r>
      <w:r/>
    </w:p>
    <w:p>
      <w:pPr>
        <w:pStyle w:val="920"/>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rPr>
          <w:rFonts w:ascii="宋体" w:hAnsi="宋体" w:eastAsia="宋体"/>
          <w:b/>
          <w:color w:val="000000"/>
          <w:sz w:val="21"/>
          <w:szCs w:val="21"/>
        </w:rPr>
      </w:r>
      <w:r/>
    </w:p>
    <w:p>
      <w:pPr>
        <w:pStyle w:val="920"/>
        <w:ind w:firstLine="48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rPr>
          <w:rFonts w:hint="eastAsia" w:ascii="宋体" w:hAnsi="宋体" w:eastAsia="宋体"/>
          <w:b/>
          <w:color w:val="000000"/>
          <w:sz w:val="21"/>
          <w:szCs w:val="21"/>
        </w:rPr>
      </w:r>
      <w:r/>
    </w:p>
    <w:p>
      <w:pPr>
        <w:pStyle w:val="920"/>
        <w:ind w:firstLine="480"/>
        <w:spacing w:line="360" w:lineRule="auto"/>
        <w:rPr>
          <w:rFonts w:ascii="宋体" w:hAnsi="宋体" w:eastAsia="宋体"/>
          <w:color w:val="000000"/>
          <w:sz w:val="21"/>
          <w:szCs w:val="21"/>
        </w:rPr>
      </w:pPr>
      <w:r>
        <w:rPr>
          <w:rFonts w:ascii="宋体" w:hAnsi="宋体" w:eastAsia="宋体"/>
          <w:color w:val="000000"/>
          <w:sz w:val="21"/>
          <w:szCs w:val="21"/>
        </w:rPr>
      </w:r>
      <w:r/>
    </w:p>
    <w:p>
      <w:pPr>
        <w:pStyle w:val="920"/>
        <w:ind w:firstLine="0"/>
        <w:rPr>
          <w:rFonts w:ascii="宋体" w:hAnsi="宋体" w:eastAsia="宋体"/>
          <w:b/>
          <w:color w:val="000000"/>
          <w:sz w:val="21"/>
          <w:szCs w:val="21"/>
        </w:rPr>
      </w:pPr>
      <w:r>
        <w:rPr>
          <w:rFonts w:hint="eastAsia" w:ascii="宋体" w:hAnsi="宋体" w:eastAsia="宋体"/>
          <w:b/>
          <w:color w:val="000000"/>
          <w:sz w:val="21"/>
          <w:szCs w:val="21"/>
        </w:rPr>
        <w:t xml:space="preserve">投标文档结构表格</w:t>
      </w:r>
      <w:r>
        <w:rPr>
          <w:rFonts w:ascii="宋体" w:hAnsi="宋体" w:eastAsia="宋体"/>
          <w:b/>
          <w:color w:val="000000"/>
          <w:sz w:val="21"/>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c>
          <w:tcPr>
            <w:tcW w:w="2842" w:type="dxa"/>
            <w:vAlign w:val="top"/>
            <w:textDirection w:val="lrTb"/>
            <w:noWrap w:val="false"/>
          </w:tcPr>
          <w:p>
            <w:pPr>
              <w:pStyle w:val="920"/>
              <w:ind w:firstLine="0"/>
              <w:rPr>
                <w:rFonts w:ascii="宋体" w:hAnsi="宋体" w:eastAsia="宋体"/>
                <w:color w:val="000000"/>
                <w:sz w:val="21"/>
                <w:szCs w:val="21"/>
              </w:rPr>
            </w:pPr>
            <w:r/>
            <w:bookmarkStart w:id="17" w:name="gpcItem_tenderStruct"/>
            <w:r>
              <w:rPr>
                <w:rFonts w:hint="eastAsia" w:ascii="宋体" w:hAnsi="宋体" w:eastAsia="宋体"/>
                <w:color w:val="000000"/>
                <w:sz w:val="21"/>
                <w:szCs w:val="21"/>
              </w:rPr>
              <w:t xml:space="preserve">名称</w:t>
            </w: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文档</w:t>
            </w: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章节</w:t>
            </w:r>
            <w:r>
              <w:rPr>
                <w:rFonts w:ascii="宋体" w:hAnsi="宋体" w:eastAsia="宋体"/>
                <w:color w:val="000000"/>
                <w:sz w:val="21"/>
                <w:szCs w:val="21"/>
              </w:rPr>
            </w:r>
            <w:r/>
          </w:p>
        </w:tc>
      </w:tr>
      <w:tr>
        <w:trPr>
          <w:cantSplit/>
        </w:trPr>
        <w:tc>
          <w:tcPr>
            <w:tcW w:w="2842" w:type="dxa"/>
            <w:vAlign w:val="top"/>
            <w:vMerge w:val="restart"/>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投标函</w:t>
            </w: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投标文件的声明函</w:t>
            </w: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_Ref501489497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投标</w:t>
            </w:r>
            <w:r>
              <w:rPr>
                <w:rFonts w:ascii="宋体" w:hAnsi="宋体" w:eastAsia="宋体"/>
                <w:color w:val="000000"/>
                <w:sz w:val="21"/>
                <w:szCs w:val="21"/>
              </w:rPr>
              <w:t xml:space="preserve">文件的声明函</w:t>
            </w:r>
            <w:r>
              <w:rPr>
                <w:rFonts w:ascii="宋体" w:hAnsi="宋体" w:eastAsia="宋体"/>
                <w:color w:val="000000"/>
                <w:sz w:val="21"/>
                <w:szCs w:val="21"/>
              </w:rPr>
              <w:fldChar w:fldCharType="end"/>
            </w:r>
            <w:r>
              <w:rPr>
                <w:rFonts w:ascii="宋体" w:hAnsi="宋体" w:eastAsia="宋体"/>
                <w:color w:val="000000"/>
                <w:sz w:val="21"/>
                <w:szCs w:val="21"/>
              </w:rPr>
              <w:t xml:space="preserve"> </w:t>
            </w:r>
            <w:r/>
          </w:p>
        </w:tc>
      </w:tr>
      <w:tr>
        <w:trPr>
          <w:cantSplit/>
        </w:trPr>
        <w:tc>
          <w:tcPr>
            <w:tcW w:w="2842" w:type="dxa"/>
            <w:vAlign w:val="top"/>
            <w:vMerge w:val="continue"/>
            <w:textDirection w:val="lrTb"/>
            <w:noWrap w:val="false"/>
          </w:tcPr>
          <w:p>
            <w:pPr>
              <w:pStyle w:val="920"/>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843" w:type="dxa"/>
            <w:vAlign w:val="top"/>
            <w:textDirection w:val="lrTb"/>
            <w:noWrap w:val="false"/>
          </w:tcPr>
          <w:p>
            <w:pPr>
              <w:pStyle w:val="920"/>
              <w:ind w:firstLine="0"/>
              <w:rPr>
                <w:rFonts w:hint="eastAsia"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_Ref35851864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投标承诺函</w:t>
            </w:r>
            <w:r>
              <w:rPr>
                <w:rFonts w:ascii="宋体" w:hAnsi="宋体" w:eastAsia="宋体"/>
                <w:color w:val="000000"/>
                <w:sz w:val="21"/>
                <w:szCs w:val="21"/>
              </w:rPr>
              <w:fldChar w:fldCharType="end"/>
            </w:r>
            <w:r>
              <w:rPr>
                <w:rFonts w:hint="eastAsia"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_Ref35851864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投标承诺函</w:t>
            </w:r>
            <w:r>
              <w:rPr>
                <w:rFonts w:ascii="宋体" w:hAnsi="宋体" w:eastAsia="宋体"/>
                <w:color w:val="000000"/>
                <w:sz w:val="21"/>
                <w:szCs w:val="21"/>
              </w:rPr>
              <w:fldChar w:fldCharType="end"/>
            </w:r>
            <w:r>
              <w:rPr>
                <w:rFonts w:ascii="宋体" w:hAnsi="宋体" w:eastAsia="宋体"/>
                <w:color w:val="000000"/>
                <w:sz w:val="21"/>
                <w:szCs w:val="21"/>
              </w:rPr>
            </w:r>
            <w:r/>
          </w:p>
        </w:tc>
      </w:tr>
      <w:tr>
        <w:trPr>
          <w:cantSplit/>
        </w:trPr>
        <w:tc>
          <w:tcPr>
            <w:tcW w:w="2842" w:type="dxa"/>
            <w:vAlign w:val="top"/>
            <w:vMerge w:val="continue"/>
            <w:textDirection w:val="lrTb"/>
            <w:noWrap w:val="false"/>
          </w:tcPr>
          <w:p>
            <w:pPr>
              <w:pStyle w:val="920"/>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法定代表人授权委托书</w:t>
            </w: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_Ref501489515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法定代表人授权委托书</w:t>
            </w:r>
            <w:r>
              <w:rPr>
                <w:rFonts w:ascii="宋体" w:hAnsi="宋体" w:eastAsia="宋体"/>
                <w:color w:val="000000"/>
                <w:sz w:val="21"/>
                <w:szCs w:val="21"/>
              </w:rPr>
              <w:fldChar w:fldCharType="end"/>
            </w:r>
            <w:r>
              <w:rPr>
                <w:rFonts w:ascii="宋体" w:hAnsi="宋体" w:eastAsia="宋体"/>
                <w:color w:val="000000"/>
                <w:sz w:val="21"/>
                <w:szCs w:val="21"/>
              </w:rPr>
            </w:r>
            <w:r/>
          </w:p>
        </w:tc>
      </w:tr>
      <w:tr>
        <w:trPr>
          <w:cantSplit/>
        </w:trPr>
        <w:tc>
          <w:tcPr>
            <w:tcW w:w="2842" w:type="dxa"/>
            <w:vAlign w:val="top"/>
            <w:vMerge w:val="continue"/>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t xml:space="preserve">投标函</w:t>
            </w:r>
            <w:r/>
          </w:p>
        </w:tc>
        <w:tc>
          <w:tcPr>
            <w:tcW w:w="2843" w:type="dxa"/>
            <w:vAlign w:val="top"/>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_Ref366160082 \h  \* MERGEFORMAT </w:instrText>
            </w:r>
            <w:r>
              <w:rPr>
                <w:rFonts w:ascii="宋体" w:hAnsi="宋体" w:eastAsia="宋体"/>
                <w:color w:val="000000"/>
                <w:sz w:val="21"/>
                <w:szCs w:val="21"/>
              </w:rPr>
              <w:fldChar w:fldCharType="separate"/>
            </w:r>
            <w:r>
              <w:rPr>
                <w:rFonts w:ascii="宋体" w:hAnsi="宋体" w:eastAsia="宋体"/>
                <w:color w:val="000000"/>
                <w:sz w:val="21"/>
                <w:szCs w:val="21"/>
              </w:rPr>
              <w:t xml:space="preserve">投标函</w:t>
            </w:r>
            <w:r>
              <w:rPr>
                <w:rFonts w:ascii="宋体" w:hAnsi="宋体" w:eastAsia="宋体"/>
                <w:color w:val="000000"/>
                <w:sz w:val="21"/>
                <w:szCs w:val="21"/>
              </w:rPr>
              <w:fldChar w:fldCharType="end"/>
            </w:r>
            <w:r>
              <w:rPr>
                <w:rFonts w:ascii="宋体" w:hAnsi="宋体" w:eastAsia="宋体"/>
                <w:color w:val="000000"/>
                <w:sz w:val="21"/>
                <w:szCs w:val="21"/>
              </w:rPr>
              <w:t xml:space="preserve"> </w:t>
            </w:r>
            <w:r/>
          </w:p>
        </w:tc>
      </w:tr>
      <w:tr>
        <w:trPr>
          <w:cantSplit/>
        </w:trPr>
        <w:tc>
          <w:tcPr>
            <w:tcW w:w="2842" w:type="dxa"/>
            <w:vAlign w:val="top"/>
            <w:vMerge w:val="continue"/>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开标一览表</w:t>
            </w: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_Ref343881459 \h  \* MERGEFORMAT </w:instrText>
            </w:r>
            <w:r>
              <w:rPr>
                <w:rFonts w:ascii="宋体" w:hAnsi="宋体" w:eastAsia="宋体"/>
                <w:color w:val="000000"/>
                <w:sz w:val="21"/>
                <w:szCs w:val="21"/>
              </w:rPr>
              <w:fldChar w:fldCharType="separate"/>
            </w:r>
            <w:r>
              <w:rPr>
                <w:rFonts w:ascii="宋体" w:hAnsi="宋体" w:eastAsia="宋体"/>
                <w:color w:val="000000"/>
                <w:sz w:val="21"/>
                <w:szCs w:val="21"/>
              </w:rPr>
              <w:t xml:space="preserve">开标一览表</w:t>
            </w:r>
            <w:r>
              <w:rPr>
                <w:rFonts w:ascii="宋体" w:hAnsi="宋体" w:eastAsia="宋体"/>
                <w:color w:val="000000"/>
                <w:sz w:val="21"/>
                <w:szCs w:val="21"/>
              </w:rPr>
              <w:fldChar w:fldCharType="end"/>
            </w:r>
            <w:r>
              <w:rPr>
                <w:rFonts w:ascii="宋体" w:hAnsi="宋体" w:eastAsia="宋体"/>
                <w:color w:val="000000"/>
                <w:sz w:val="21"/>
                <w:szCs w:val="21"/>
              </w:rPr>
            </w:r>
            <w:r/>
          </w:p>
        </w:tc>
      </w:tr>
      <w:tr>
        <w:trPr>
          <w:cantSplit/>
        </w:trPr>
        <w:tc>
          <w:tcPr>
            <w:tcW w:w="2842" w:type="dxa"/>
            <w:vAlign w:val="top"/>
            <w:vMerge w:val="continue"/>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投标报价表</w:t>
            </w: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投标报价表</w:t>
            </w:r>
            <w:r>
              <w:rPr>
                <w:rFonts w:ascii="宋体" w:hAnsi="宋体" w:eastAsia="宋体"/>
                <w:color w:val="000000"/>
                <w:sz w:val="21"/>
                <w:szCs w:val="21"/>
              </w:rPr>
            </w:r>
            <w:r/>
          </w:p>
        </w:tc>
      </w:tr>
      <w:tr>
        <w:trPr>
          <w:cantSplit/>
        </w:trPr>
        <w:tc>
          <w:tcPr>
            <w:tcW w:w="2842" w:type="dxa"/>
            <w:vAlign w:val="top"/>
            <w:vMerge w:val="continue"/>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偏离表（商务）</w:t>
            </w: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_Ref22898688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偏离表（商务）：</w:t>
            </w:r>
            <w:r>
              <w:rPr>
                <w:rFonts w:ascii="宋体" w:hAnsi="宋体" w:eastAsia="宋体"/>
                <w:color w:val="000000"/>
                <w:sz w:val="21"/>
                <w:szCs w:val="21"/>
              </w:rPr>
              <w:fldChar w:fldCharType="end"/>
            </w:r>
            <w:r>
              <w:rPr>
                <w:rFonts w:ascii="宋体" w:hAnsi="宋体" w:eastAsia="宋体"/>
                <w:color w:val="000000"/>
                <w:sz w:val="21"/>
                <w:szCs w:val="21"/>
              </w:rPr>
            </w:r>
            <w:r/>
          </w:p>
        </w:tc>
      </w:tr>
      <w:tr>
        <w:trPr>
          <w:cantSplit/>
        </w:trPr>
        <w:tc>
          <w:tcPr>
            <w:tcW w:w="2842" w:type="dxa"/>
            <w:vAlign w:val="top"/>
            <w:vMerge w:val="continue"/>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偏离表（技术）</w:t>
            </w: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_Ref501489596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偏离表（技术）：</w:t>
            </w:r>
            <w:r>
              <w:rPr>
                <w:rFonts w:ascii="宋体" w:hAnsi="宋体" w:eastAsia="宋体"/>
                <w:color w:val="000000"/>
                <w:sz w:val="21"/>
                <w:szCs w:val="21"/>
              </w:rPr>
              <w:fldChar w:fldCharType="end"/>
            </w:r>
            <w:r>
              <w:rPr>
                <w:rFonts w:ascii="宋体" w:hAnsi="宋体" w:eastAsia="宋体"/>
                <w:color w:val="000000"/>
                <w:sz w:val="21"/>
                <w:szCs w:val="21"/>
              </w:rPr>
            </w:r>
            <w:r/>
          </w:p>
        </w:tc>
      </w:tr>
      <w:tr>
        <w:trPr>
          <w:cantSplit/>
        </w:trPr>
        <w:tc>
          <w:tcPr>
            <w:tcW w:w="2842" w:type="dxa"/>
            <w:vAlign w:val="top"/>
            <w:vMerge w:val="continue"/>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资格证明文件</w:t>
            </w:r>
            <w:r>
              <w:rPr>
                <w:rFonts w:ascii="宋体" w:hAnsi="宋体" w:eastAsia="宋体"/>
                <w:color w:val="000000"/>
                <w:sz w:val="21"/>
                <w:szCs w:val="21"/>
              </w:rPr>
            </w:r>
            <w:r/>
          </w:p>
        </w:tc>
        <w:tc>
          <w:tcPr>
            <w:tcW w:w="2843" w:type="dxa"/>
            <w:vAlign w:val="top"/>
            <w:textDirection w:val="lrTb"/>
            <w:noWrap w:val="false"/>
          </w:tcPr>
          <w:p>
            <w:pPr>
              <w:pStyle w:val="920"/>
              <w:ind w:firstLine="0"/>
              <w:rPr>
                <w:rFonts w:ascii="宋体" w:hAnsi="宋体" w:eastAsia="宋体"/>
                <w:color w:val="000000"/>
                <w:sz w:val="21"/>
                <w:szCs w:val="21"/>
              </w:rPr>
            </w:pPr>
            <w:r>
              <w:rPr>
                <w:rFonts w:hint="eastAsia" w:ascii="宋体" w:hAnsi="宋体" w:eastAsia="宋体"/>
                <w:color w:val="000000"/>
                <w:sz w:val="21"/>
                <w:szCs w:val="21"/>
              </w:rPr>
              <w:t xml:space="preserve">资格证明文件</w:t>
            </w:r>
            <w:r>
              <w:rPr>
                <w:rFonts w:ascii="宋体" w:hAnsi="宋体" w:eastAsia="宋体"/>
                <w:color w:val="000000"/>
                <w:sz w:val="21"/>
                <w:szCs w:val="21"/>
              </w:rPr>
            </w:r>
            <w:r/>
          </w:p>
        </w:tc>
      </w:tr>
    </w:tbl>
    <w:p>
      <w:pPr>
        <w:pStyle w:val="920"/>
        <w:ind w:firstLine="0"/>
        <w:rPr>
          <w:rFonts w:ascii="宋体" w:hAnsi="宋体" w:eastAsia="宋体"/>
          <w:color w:val="000000"/>
          <w:sz w:val="21"/>
          <w:szCs w:val="21"/>
        </w:rPr>
      </w:pPr>
      <w:r/>
      <w:bookmarkEnd w:id="17"/>
      <w:r>
        <w:rPr>
          <w:rFonts w:ascii="宋体" w:hAnsi="宋体" w:eastAsia="宋体"/>
          <w:color w:val="000000"/>
          <w:sz w:val="21"/>
          <w:szCs w:val="21"/>
        </w:rPr>
      </w:r>
      <w:r/>
    </w:p>
    <w:p>
      <w:pPr>
        <w:pStyle w:val="902"/>
        <w:spacing w:line="416" w:lineRule="auto"/>
        <w:rPr>
          <w:rFonts w:ascii="宋体" w:hAnsi="宋体" w:eastAsia="宋体"/>
          <w:color w:val="000000"/>
          <w:sz w:val="21"/>
          <w:szCs w:val="21"/>
        </w:rPr>
      </w:pPr>
      <w:r/>
      <w:bookmarkStart w:id="18" w:name="_Ref501489497"/>
      <w:r/>
      <w:bookmarkStart w:id="19" w:name="_Toc78976391"/>
      <w:r>
        <w:rPr>
          <w:rFonts w:hint="eastAsia" w:ascii="宋体" w:hAnsi="宋体" w:eastAsia="宋体"/>
          <w:color w:val="000000"/>
          <w:sz w:val="21"/>
          <w:szCs w:val="21"/>
        </w:rPr>
        <w:t xml:space="preserve">投标</w:t>
      </w:r>
      <w:r>
        <w:rPr>
          <w:rFonts w:ascii="宋体" w:hAnsi="宋体" w:eastAsia="宋体"/>
          <w:color w:val="000000"/>
          <w:sz w:val="21"/>
          <w:szCs w:val="21"/>
        </w:rPr>
        <w:t xml:space="preserve">文件的声明函</w:t>
      </w:r>
      <w:bookmarkEnd w:id="18"/>
      <w:r/>
      <w:bookmarkEnd w:id="19"/>
      <w:r>
        <w:rPr>
          <w:rFonts w:ascii="宋体" w:hAnsi="宋体" w:eastAsia="宋体"/>
          <w:color w:val="000000"/>
          <w:sz w:val="21"/>
          <w:szCs w:val="21"/>
        </w:rPr>
      </w:r>
      <w:r/>
    </w:p>
    <w:p>
      <w:pPr>
        <w:pStyle w:val="920"/>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投标文件的声明函</w:t>
      </w:r>
      <w:r>
        <w:rPr>
          <w:rFonts w:ascii="宋体" w:hAnsi="宋体" w:eastAsia="宋体"/>
          <w:b/>
          <w:color w:val="000000"/>
          <w:sz w:val="21"/>
          <w:szCs w:val="21"/>
        </w:rPr>
      </w:r>
      <w:r/>
    </w:p>
    <w:p>
      <w:pPr>
        <w:pStyle w:val="920"/>
        <w:jc w:val="center"/>
        <w:spacing w:line="360" w:lineRule="auto"/>
        <w:rPr>
          <w:rFonts w:ascii="宋体" w:hAnsi="宋体" w:eastAsia="宋体"/>
          <w:color w:val="000000"/>
          <w:sz w:val="21"/>
          <w:szCs w:val="21"/>
        </w:rPr>
      </w:pPr>
      <w:r>
        <w:rPr>
          <w:rFonts w:ascii="宋体" w:hAnsi="宋体" w:eastAsia="宋体"/>
          <w:color w:val="000000"/>
          <w:sz w:val="21"/>
          <w:szCs w:val="21"/>
        </w:rPr>
      </w:r>
      <w:r/>
    </w:p>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苏州公正建设咨询房地产评估有限公司</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20"/>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本公司愿就由贵公司组织实施的编号为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号的招标活动进行投标。本公司所提交的投标资料均是真实的、准确的。若与真实情况不符，本公司愿意承担由此而产生的一切后果。</w:t>
      </w:r>
      <w:r>
        <w:rPr>
          <w:rFonts w:ascii="宋体" w:hAnsi="宋体" w:eastAsia="宋体"/>
          <w:color w:val="000000"/>
          <w:sz w:val="21"/>
          <w:szCs w:val="21"/>
        </w:rPr>
      </w:r>
      <w:r/>
    </w:p>
    <w:p>
      <w:pPr>
        <w:pStyle w:val="920"/>
        <w:spacing w:line="360" w:lineRule="auto"/>
        <w:rPr>
          <w:rFonts w:ascii="宋体" w:hAnsi="宋体" w:eastAsia="宋体"/>
          <w:color w:val="000000"/>
          <w:sz w:val="21"/>
          <w:szCs w:val="21"/>
        </w:rPr>
      </w:pPr>
      <w:r>
        <w:rPr>
          <w:rFonts w:ascii="宋体" w:hAnsi="宋体" w:eastAsia="宋体"/>
          <w:color w:val="000000"/>
          <w:sz w:val="21"/>
          <w:szCs w:val="21"/>
        </w:rPr>
      </w:r>
      <w:r/>
    </w:p>
    <w:p>
      <w:pPr>
        <w:pStyle w:val="920"/>
        <w:spacing w:line="360" w:lineRule="auto"/>
        <w:tabs>
          <w:tab w:val="left" w:pos="2940" w:leader="none"/>
        </w:tabs>
        <w:rPr>
          <w:rFonts w:ascii="宋体" w:hAnsi="宋体" w:eastAsia="宋体"/>
          <w:color w:val="000000"/>
          <w:sz w:val="21"/>
          <w:szCs w:val="21"/>
        </w:rPr>
      </w:pPr>
      <w:r>
        <w:rPr>
          <w:rFonts w:ascii="宋体" w:hAnsi="宋体" w:eastAsia="宋体"/>
          <w:color w:val="000000"/>
          <w:sz w:val="21"/>
          <w:szCs w:val="21"/>
        </w:rPr>
        <w:tab/>
      </w:r>
      <w:r>
        <w:rPr>
          <w:rFonts w:hint="eastAsia" w:ascii="宋体" w:hAnsi="宋体" w:eastAsia="宋体"/>
          <w:color w:val="000000"/>
          <w:sz w:val="21"/>
          <w:szCs w:val="21"/>
        </w:rPr>
        <w:t xml:space="preserve">投标人（公章）：</w:t>
      </w:r>
      <w:r>
        <w:rPr>
          <w:rFonts w:ascii="宋体" w:hAnsi="宋体" w:eastAsia="宋体"/>
          <w:color w:val="000000"/>
          <w:sz w:val="21"/>
          <w:szCs w:val="21"/>
        </w:rPr>
      </w:r>
      <w:r/>
    </w:p>
    <w:p>
      <w:pPr>
        <w:pStyle w:val="920"/>
        <w:spacing w:line="360" w:lineRule="auto"/>
        <w:rPr>
          <w:rFonts w:ascii="宋体" w:hAnsi="宋体" w:eastAsia="宋体"/>
          <w:color w:val="000000"/>
          <w:sz w:val="21"/>
          <w:szCs w:val="21"/>
        </w:rPr>
      </w:pPr>
      <w:r>
        <w:rPr>
          <w:rFonts w:ascii="宋体" w:hAnsi="宋体" w:eastAsia="宋体"/>
          <w:color w:val="000000"/>
          <w:sz w:val="21"/>
          <w:szCs w:val="21"/>
        </w:rPr>
        <w:t xml:space="preserve"> </w:t>
        <w:tab/>
        <w:tab/>
        <w:tab/>
        <w:tab/>
        <w:t xml:space="preserve">      </w:t>
      </w:r>
      <w:r>
        <w:rPr>
          <w:rFonts w:hint="eastAsia" w:ascii="宋体" w:hAnsi="宋体" w:eastAsia="宋体"/>
          <w:color w:val="000000"/>
          <w:sz w:val="21"/>
          <w:szCs w:val="21"/>
        </w:rPr>
        <w:t xml:space="preserve">法定代表人或被授权人签字：</w:t>
      </w:r>
      <w:r>
        <w:rPr>
          <w:rFonts w:ascii="宋体" w:hAnsi="宋体" w:eastAsia="宋体"/>
          <w:color w:val="000000"/>
          <w:sz w:val="21"/>
          <w:szCs w:val="21"/>
        </w:rPr>
      </w:r>
      <w:r/>
    </w:p>
    <w:p>
      <w:pPr>
        <w:pStyle w:val="920"/>
        <w:ind w:left="1700" w:firstLine="425"/>
        <w:spacing w:line="360" w:lineRule="auto"/>
        <w:rPr>
          <w:rFonts w:ascii="宋体" w:hAnsi="宋体" w:eastAsia="宋体"/>
          <w:color w:val="000000"/>
          <w:sz w:val="21"/>
          <w:szCs w:val="21"/>
        </w:rPr>
      </w:pPr>
      <w:r>
        <w:rPr>
          <w:rFonts w:ascii="宋体" w:hAnsi="宋体" w:eastAsia="宋体"/>
          <w:color w:val="000000"/>
          <w:sz w:val="21"/>
          <w:szCs w:val="21"/>
        </w:rPr>
        <w:t xml:space="preserve">       </w:t>
      </w:r>
      <w:r/>
    </w:p>
    <w:p>
      <w:pPr>
        <w:pStyle w:val="920"/>
        <w:ind w:left="4675" w:firstLine="425"/>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年　</w:t>
      </w:r>
      <w:r>
        <w:rPr>
          <w:rFonts w:ascii="宋体" w:hAnsi="宋体" w:eastAsia="宋体"/>
          <w:color w:val="000000"/>
          <w:sz w:val="21"/>
          <w:szCs w:val="21"/>
        </w:rPr>
        <w:tab/>
        <w:t xml:space="preserve"> </w:t>
      </w:r>
      <w:r>
        <w:rPr>
          <w:rFonts w:hint="eastAsia" w:ascii="宋体" w:hAnsi="宋体" w:eastAsia="宋体"/>
          <w:color w:val="000000"/>
          <w:sz w:val="21"/>
          <w:szCs w:val="21"/>
        </w:rPr>
        <w:t xml:space="preserve">月</w:t>
      </w:r>
      <w:r>
        <w:rPr>
          <w:rFonts w:ascii="宋体" w:hAnsi="宋体" w:eastAsia="宋体"/>
          <w:color w:val="000000"/>
          <w:sz w:val="21"/>
          <w:szCs w:val="21"/>
        </w:rPr>
        <w:t xml:space="preserve"> </w:t>
        <w:tab/>
      </w:r>
      <w:r>
        <w:rPr>
          <w:rFonts w:hint="eastAsia" w:ascii="宋体" w:hAnsi="宋体" w:eastAsia="宋体"/>
          <w:color w:val="000000"/>
          <w:sz w:val="21"/>
          <w:szCs w:val="21"/>
        </w:rPr>
        <w:t xml:space="preserve">日</w:t>
      </w:r>
      <w:r>
        <w:rPr>
          <w:rFonts w:ascii="宋体" w:hAnsi="宋体" w:eastAsia="宋体"/>
          <w:color w:val="000000"/>
          <w:sz w:val="21"/>
          <w:szCs w:val="21"/>
        </w:rPr>
      </w:r>
      <w:r/>
    </w:p>
    <w:p>
      <w:pPr>
        <w:pStyle w:val="902"/>
        <w:spacing w:line="416" w:lineRule="auto"/>
        <w:rPr>
          <w:rFonts w:hint="eastAsia" w:ascii="宋体" w:hAnsi="宋体" w:eastAsia="宋体"/>
          <w:color w:val="000000"/>
          <w:sz w:val="21"/>
          <w:szCs w:val="21"/>
        </w:rPr>
      </w:pPr>
      <w:r>
        <w:rPr>
          <w:rFonts w:ascii="宋体" w:hAnsi="宋体" w:eastAsia="宋体"/>
          <w:color w:val="000000"/>
          <w:sz w:val="21"/>
          <w:szCs w:val="21"/>
        </w:rPr>
        <w:br w:type="page" w:clear="all"/>
      </w:r>
      <w:bookmarkStart w:id="20" w:name="_Ref35851864"/>
      <w:r/>
      <w:bookmarkStart w:id="21" w:name="_Toc78976392"/>
      <w:r>
        <w:rPr>
          <w:rFonts w:hint="eastAsia" w:ascii="宋体" w:hAnsi="宋体" w:eastAsia="宋体"/>
          <w:color w:val="000000"/>
          <w:sz w:val="21"/>
          <w:szCs w:val="21"/>
        </w:rPr>
        <w:t xml:space="preserve">投标承诺函</w:t>
      </w:r>
      <w:bookmarkEnd w:id="20"/>
      <w:r/>
      <w:bookmarkEnd w:id="21"/>
      <w:r>
        <w:rPr>
          <w:rFonts w:hint="eastAsia" w:ascii="宋体" w:hAnsi="宋体" w:eastAsia="宋体"/>
          <w:color w:val="000000"/>
          <w:sz w:val="21"/>
          <w:szCs w:val="21"/>
        </w:rPr>
      </w:r>
      <w:r/>
    </w:p>
    <w:p>
      <w:pPr>
        <w:pStyle w:val="900"/>
        <w:jc w:val="center"/>
        <w:rPr>
          <w:rFonts w:hint="eastAsia" w:ascii="宋体" w:hAnsi="宋体"/>
          <w:b/>
          <w:color w:val="000000"/>
          <w:szCs w:val="21"/>
        </w:rPr>
      </w:pPr>
      <w:r>
        <w:rPr>
          <w:rFonts w:hint="eastAsia" w:ascii="宋体" w:hAnsi="宋体"/>
          <w:b/>
          <w:color w:val="000000"/>
          <w:szCs w:val="21"/>
        </w:rPr>
        <w:t xml:space="preserve">投标承诺函</w:t>
      </w:r>
      <w:r/>
    </w:p>
    <w:p>
      <w:pPr>
        <w:pStyle w:val="900"/>
        <w:jc w:val="center"/>
        <w:rPr>
          <w:rFonts w:hint="eastAsia" w:ascii="宋体" w:hAnsi="宋体"/>
          <w:color w:val="000000"/>
          <w:szCs w:val="21"/>
        </w:rPr>
      </w:pPr>
      <w:r>
        <w:rPr>
          <w:rFonts w:hint="eastAsia" w:ascii="宋体" w:hAnsi="宋体"/>
          <w:color w:val="000000"/>
          <w:szCs w:val="21"/>
        </w:rPr>
      </w:r>
      <w:r/>
    </w:p>
    <w:p>
      <w:pPr>
        <w:pStyle w:val="900"/>
        <w:spacing w:line="360" w:lineRule="auto"/>
        <w:rPr>
          <w:rFonts w:hint="eastAsia" w:ascii="宋体" w:hAnsi="宋体"/>
          <w:color w:val="000000"/>
          <w:szCs w:val="21"/>
        </w:rPr>
      </w:pPr>
      <w:r>
        <w:rPr>
          <w:rFonts w:hint="eastAsia" w:ascii="宋体" w:hAnsi="宋体"/>
          <w:color w:val="000000"/>
          <w:szCs w:val="21"/>
        </w:rPr>
        <w:t xml:space="preserve">致：___________________________(采购人名称）</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我单位自愿参加___________________（项目名称）的投标，并做出如下承诺：</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一、除不可抗力外，我单位如果发生以下行为，将在行为发生的10个工作日内，向贵方支付本采购文件公布的预算价的2%作为违约赔偿金。</w:t>
      </w:r>
      <w:r/>
    </w:p>
    <w:p>
      <w:pPr>
        <w:pStyle w:val="900"/>
        <w:ind w:firstLine="420"/>
        <w:jc w:val="left"/>
        <w:spacing w:line="360" w:lineRule="auto"/>
        <w:rPr>
          <w:rFonts w:ascii="宋体" w:hAnsi="宋体"/>
          <w:color w:val="000000"/>
          <w:szCs w:val="21"/>
        </w:rPr>
      </w:pPr>
      <w:r>
        <w:rPr>
          <w:rFonts w:hint="eastAsia" w:ascii="宋体" w:hAnsi="宋体"/>
          <w:color w:val="000000"/>
          <w:szCs w:val="21"/>
        </w:rPr>
        <w:t xml:space="preserve">1.在采购文件规定的投标(响应)有效期内实质上修改或撤回投标；</w:t>
      </w:r>
      <w:r>
        <w:rPr>
          <w:rFonts w:ascii="宋体" w:hAnsi="宋体"/>
          <w:color w:val="000000"/>
          <w:szCs w:val="21"/>
        </w:rPr>
      </w:r>
      <w:r/>
    </w:p>
    <w:p>
      <w:pPr>
        <w:pStyle w:val="900"/>
        <w:ind w:firstLine="420"/>
        <w:jc w:val="left"/>
        <w:spacing w:line="360" w:lineRule="auto"/>
        <w:rPr>
          <w:rFonts w:ascii="宋体" w:hAnsi="宋体"/>
          <w:color w:val="000000"/>
          <w:szCs w:val="21"/>
        </w:rPr>
      </w:pPr>
      <w:r>
        <w:rPr>
          <w:rFonts w:hint="eastAsia" w:ascii="宋体" w:hAnsi="宋体"/>
          <w:color w:val="000000"/>
          <w:szCs w:val="21"/>
        </w:rPr>
        <w:t xml:space="preserve">2.中标(成交)后不依法与采购人签订合同；</w:t>
      </w:r>
      <w:r>
        <w:rPr>
          <w:rFonts w:ascii="宋体" w:hAnsi="宋体"/>
          <w:color w:val="000000"/>
          <w:szCs w:val="21"/>
        </w:rPr>
      </w:r>
      <w:r/>
    </w:p>
    <w:p>
      <w:pPr>
        <w:pStyle w:val="900"/>
        <w:ind w:firstLine="420"/>
        <w:jc w:val="left"/>
        <w:spacing w:line="360" w:lineRule="auto"/>
        <w:rPr>
          <w:rFonts w:hint="eastAsia" w:ascii="宋体" w:hAnsi="宋体"/>
          <w:color w:val="000000"/>
          <w:szCs w:val="21"/>
        </w:rPr>
      </w:pPr>
      <w:r>
        <w:rPr>
          <w:rFonts w:hint="eastAsia" w:ascii="宋体" w:hAnsi="宋体"/>
          <w:color w:val="000000"/>
          <w:szCs w:val="21"/>
        </w:rPr>
        <w:t xml:space="preserve">3.在投标（响应）文件中提供虚假材料；</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恶意串通；</w:t>
      </w:r>
      <w:r>
        <w:rPr>
          <w:rFonts w:hint="eastAsia" w:ascii="宋体" w:hAnsi="宋体"/>
          <w:color w:val="000000"/>
          <w:szCs w:val="21"/>
        </w:rPr>
      </w:r>
      <w:r/>
    </w:p>
    <w:p>
      <w:pPr>
        <w:pStyle w:val="900"/>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其他违法违规情形。</w:t>
      </w:r>
      <w:r>
        <w:rPr>
          <w:rFonts w:hint="eastAsia" w:ascii="宋体" w:hAnsi="宋体"/>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二、我单位知晓上述行为的法律后果，承认本承诺书作为贵方要求我单位履行违约赔偿义务的依据作用。</w:t>
      </w:r>
      <w:r/>
    </w:p>
    <w:p>
      <w:pPr>
        <w:pStyle w:val="900"/>
        <w:ind w:firstLine="420"/>
        <w:spacing w:line="360" w:lineRule="auto"/>
        <w:rPr>
          <w:rFonts w:hint="eastAsia" w:ascii="宋体" w:hAnsi="宋体"/>
          <w:color w:val="000000"/>
          <w:szCs w:val="21"/>
        </w:rPr>
      </w:pPr>
      <w:r>
        <w:rPr>
          <w:rFonts w:hint="eastAsia" w:ascii="宋体" w:hAnsi="宋体"/>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投标人（公章）：</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法定代表人（签字）：</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日期：      年     月     日</w:t>
      </w:r>
      <w:r/>
    </w:p>
    <w:p>
      <w:pPr>
        <w:pStyle w:val="920"/>
        <w:ind w:left="4675" w:firstLine="425"/>
        <w:spacing w:line="360" w:lineRule="auto"/>
        <w:rPr>
          <w:rFonts w:ascii="宋体" w:hAnsi="宋体" w:eastAsia="宋体"/>
          <w:color w:val="000000"/>
          <w:sz w:val="21"/>
          <w:szCs w:val="21"/>
        </w:rPr>
      </w:pPr>
      <w:r>
        <w:rPr>
          <w:rFonts w:ascii="宋体" w:hAnsi="宋体" w:eastAsia="宋体"/>
          <w:color w:val="000000"/>
          <w:sz w:val="21"/>
          <w:szCs w:val="21"/>
        </w:rPr>
        <w:br w:type="page" w:clear="all"/>
      </w:r>
      <w:r/>
    </w:p>
    <w:p>
      <w:pPr>
        <w:pStyle w:val="902"/>
        <w:ind w:left="567" w:hanging="567"/>
        <w:spacing w:line="416" w:lineRule="auto"/>
        <w:rPr>
          <w:rFonts w:ascii="宋体" w:hAnsi="宋体" w:eastAsia="宋体"/>
          <w:color w:val="000000"/>
          <w:sz w:val="21"/>
          <w:szCs w:val="21"/>
        </w:rPr>
      </w:pPr>
      <w:r/>
      <w:bookmarkStart w:id="22" w:name="_Toc78976393"/>
      <w:r>
        <w:rPr>
          <w:rFonts w:hint="eastAsia" w:ascii="宋体" w:hAnsi="宋体" w:eastAsia="宋体"/>
          <w:color w:val="000000"/>
          <w:sz w:val="21"/>
          <w:szCs w:val="21"/>
        </w:rPr>
        <w:t xml:space="preserve">无重大违法记录声明</w:t>
      </w:r>
      <w:bookmarkEnd w:id="22"/>
      <w:r>
        <w:rPr>
          <w:rFonts w:ascii="宋体" w:hAnsi="宋体" w:eastAsia="宋体"/>
          <w:color w:val="000000"/>
          <w:sz w:val="21"/>
          <w:szCs w:val="21"/>
        </w:rPr>
      </w:r>
      <w:r/>
    </w:p>
    <w:p>
      <w:pPr>
        <w:pStyle w:val="900"/>
        <w:contextualSpacing/>
        <w:ind w:right="-252" w:firstLine="422"/>
        <w:jc w:val="center"/>
        <w:rPr>
          <w:rFonts w:ascii="宋体" w:hAnsi="宋体"/>
          <w:b/>
          <w:color w:val="000000"/>
          <w:szCs w:val="21"/>
        </w:rPr>
      </w:pPr>
      <w:r>
        <w:rPr>
          <w:rFonts w:ascii="宋体" w:hAnsi="宋体"/>
          <w:b/>
          <w:color w:val="000000"/>
          <w:szCs w:val="21"/>
        </w:rPr>
      </w:r>
      <w:r/>
    </w:p>
    <w:p>
      <w:pPr>
        <w:pStyle w:val="900"/>
        <w:contextualSpacing/>
        <w:ind w:right="-252" w:firstLine="422"/>
        <w:jc w:val="center"/>
        <w:spacing w:line="360" w:lineRule="auto"/>
        <w:rPr>
          <w:rFonts w:ascii="宋体" w:hAnsi="宋体"/>
          <w:b/>
          <w:color w:val="000000"/>
          <w:szCs w:val="21"/>
        </w:rPr>
      </w:pPr>
      <w:r>
        <w:rPr>
          <w:rFonts w:hint="eastAsia" w:ascii="宋体" w:hAnsi="宋体"/>
          <w:b/>
          <w:color w:val="000000"/>
          <w:szCs w:val="21"/>
        </w:rPr>
        <w:t xml:space="preserve">无重大违法记录声明</w:t>
      </w:r>
      <w:r>
        <w:rPr>
          <w:rFonts w:ascii="宋体" w:hAnsi="宋体"/>
          <w:b/>
          <w:color w:val="000000"/>
          <w:szCs w:val="21"/>
        </w:rPr>
      </w:r>
      <w:r/>
    </w:p>
    <w:p>
      <w:pPr>
        <w:pStyle w:val="900"/>
        <w:contextualSpacing/>
        <w:ind w:right="-252" w:firstLine="422"/>
        <w:jc w:val="center"/>
        <w:spacing w:line="360" w:lineRule="auto"/>
        <w:rPr>
          <w:rFonts w:ascii="宋体" w:hAnsi="宋体"/>
          <w:b/>
          <w:color w:val="000000"/>
          <w:szCs w:val="21"/>
        </w:rPr>
      </w:pPr>
      <w:r>
        <w:rPr>
          <w:rFonts w:ascii="宋体" w:hAnsi="宋体"/>
          <w:b/>
          <w:color w:val="000000"/>
          <w:szCs w:val="21"/>
        </w:rPr>
      </w:r>
      <w:r/>
    </w:p>
    <w:p>
      <w:pPr>
        <w:pStyle w:val="900"/>
        <w:contextualSpacing/>
        <w:ind w:right="-252" w:firstLine="420"/>
        <w:spacing w:line="360" w:lineRule="auto"/>
        <w:rPr>
          <w:rFonts w:ascii="宋体" w:hAnsi="宋体"/>
          <w:color w:val="000000"/>
          <w:szCs w:val="21"/>
        </w:rPr>
      </w:pPr>
      <w:r>
        <w:rPr>
          <w:rFonts w:hint="eastAsia" w:ascii="宋体" w:hAnsi="宋体"/>
          <w:color w:val="000000"/>
          <w:szCs w:val="21"/>
        </w:rPr>
        <w:t xml:space="preserve">苏州公正建设咨询房地产评估有限公司：</w:t>
      </w:r>
      <w:r>
        <w:rPr>
          <w:rFonts w:ascii="宋体" w:hAnsi="宋体"/>
          <w:color w:val="000000"/>
          <w:szCs w:val="21"/>
        </w:rPr>
      </w:r>
      <w:r/>
    </w:p>
    <w:p>
      <w:pPr>
        <w:pStyle w:val="900"/>
        <w:contextualSpacing/>
        <w:ind w:right="-252" w:firstLine="420"/>
        <w:spacing w:line="360" w:lineRule="auto"/>
        <w:rPr>
          <w:rFonts w:ascii="宋体" w:hAnsi="宋体"/>
          <w:color w:val="000000"/>
          <w:szCs w:val="21"/>
        </w:rPr>
      </w:pPr>
      <w:r>
        <w:rPr>
          <w:rFonts w:hint="eastAsia" w:ascii="宋体" w:hAnsi="宋体"/>
          <w:color w:val="000000"/>
          <w:szCs w:val="21"/>
        </w:rPr>
        <w:t xml:space="preserve">我单位 </w:t>
      </w:r>
      <w:r>
        <w:rPr>
          <w:rFonts w:hint="eastAsia" w:ascii="宋体" w:hAnsi="宋体"/>
          <w:color w:val="000000"/>
          <w:szCs w:val="21"/>
          <w:u w:val="single"/>
        </w:rPr>
        <w:t xml:space="preserve">                                      </w:t>
      </w:r>
      <w:r>
        <w:rPr>
          <w:rFonts w:hint="eastAsia" w:ascii="宋体" w:hAnsi="宋体"/>
          <w:color w:val="000000"/>
          <w:szCs w:val="21"/>
        </w:rPr>
        <w:t xml:space="preserve">（供应商名称）郑重声明：</w:t>
      </w:r>
      <w:r>
        <w:rPr>
          <w:rFonts w:ascii="宋体" w:hAnsi="宋体"/>
          <w:color w:val="000000"/>
          <w:szCs w:val="21"/>
        </w:rPr>
      </w:r>
      <w:r/>
    </w:p>
    <w:p>
      <w:pPr>
        <w:pStyle w:val="900"/>
        <w:contextualSpacing/>
        <w:ind w:right="-252" w:firstLine="420"/>
        <w:spacing w:line="360" w:lineRule="auto"/>
        <w:rPr>
          <w:rFonts w:ascii="宋体" w:hAnsi="宋体"/>
          <w:color w:val="000000"/>
          <w:szCs w:val="21"/>
        </w:rPr>
      </w:pPr>
      <w:r>
        <w:rPr>
          <w:rFonts w:hint="eastAsia" w:ascii="宋体" w:hAnsi="宋体"/>
          <w:color w:val="000000"/>
          <w:szCs w:val="21"/>
        </w:rPr>
        <w:t xml:space="preserve">参加政府采购活动前3年内在经营活动中</w:t>
      </w:r>
      <w:r>
        <w:rPr>
          <w:rFonts w:hint="eastAsia" w:ascii="宋体" w:hAnsi="宋体"/>
          <w:color w:val="000000"/>
          <w:szCs w:val="21"/>
          <w:u w:val="single"/>
        </w:rPr>
        <w:t xml:space="preserve">        </w:t>
      </w:r>
      <w:r>
        <w:rPr>
          <w:rFonts w:hint="eastAsia" w:ascii="宋体" w:hAnsi="宋体"/>
          <w:color w:val="000000"/>
          <w:szCs w:val="21"/>
        </w:rPr>
        <w:t xml:space="preserve">（在下划线上如实填写：有或没有）重大违法记录。</w:t>
      </w:r>
      <w:r>
        <w:rPr>
          <w:rFonts w:ascii="宋体" w:hAnsi="宋体"/>
          <w:color w:val="000000"/>
          <w:szCs w:val="21"/>
        </w:rPr>
      </w:r>
      <w:r/>
    </w:p>
    <w:p>
      <w:pPr>
        <w:pStyle w:val="900"/>
        <w:contextualSpacing/>
        <w:ind w:right="-252" w:firstLine="420"/>
        <w:spacing w:line="360" w:lineRule="auto"/>
        <w:rPr>
          <w:rFonts w:ascii="宋体" w:hAnsi="宋体"/>
          <w:color w:val="000000"/>
          <w:szCs w:val="21"/>
        </w:rPr>
      </w:pPr>
      <w:r>
        <w:rPr>
          <w:rFonts w:hint="eastAsia" w:ascii="宋体" w:hAnsi="宋体"/>
          <w:color w:val="000000"/>
          <w:szCs w:val="21"/>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Cs w:val="21"/>
        </w:rPr>
      </w:r>
      <w:r/>
    </w:p>
    <w:p>
      <w:pPr>
        <w:pStyle w:val="900"/>
        <w:contextualSpacing/>
        <w:ind w:firstLine="420"/>
        <w:jc w:val="left"/>
        <w:spacing w:line="360" w:lineRule="auto"/>
        <w:rPr>
          <w:rFonts w:ascii="宋体" w:hAnsi="宋体"/>
          <w:color w:val="000000"/>
          <w:szCs w:val="21"/>
        </w:rPr>
      </w:pPr>
      <w:r>
        <w:rPr>
          <w:rFonts w:hint="eastAsia" w:ascii="宋体" w:hAnsi="宋体"/>
          <w:color w:val="000000"/>
          <w:szCs w:val="21"/>
        </w:rPr>
        <w:t xml:space="preserve">声明人：（公章）</w:t>
      </w:r>
      <w:r>
        <w:rPr>
          <w:rFonts w:ascii="宋体" w:hAnsi="宋体"/>
          <w:color w:val="000000"/>
          <w:szCs w:val="21"/>
        </w:rPr>
      </w:r>
      <w:r/>
    </w:p>
    <w:p>
      <w:pPr>
        <w:pStyle w:val="900"/>
        <w:contextualSpacing/>
        <w:ind w:firstLine="420"/>
        <w:jc w:val="left"/>
        <w:spacing w:line="360" w:lineRule="auto"/>
        <w:rPr>
          <w:rFonts w:ascii="宋体" w:hAnsi="宋体"/>
          <w:color w:val="000000"/>
          <w:szCs w:val="21"/>
        </w:rPr>
      </w:pPr>
      <w:r>
        <w:rPr>
          <w:rFonts w:hint="eastAsia" w:ascii="宋体" w:hAnsi="宋体"/>
          <w:color w:val="000000"/>
          <w:szCs w:val="21"/>
        </w:rPr>
        <w:t xml:space="preserve">日 期： </w:t>
      </w:r>
      <w:r>
        <w:rPr>
          <w:rFonts w:ascii="宋体" w:hAnsi="宋体"/>
          <w:color w:val="000000"/>
          <w:szCs w:val="21"/>
        </w:rPr>
      </w:r>
      <w:r/>
    </w:p>
    <w:p>
      <w:pPr>
        <w:pStyle w:val="920"/>
        <w:ind w:firstLine="0"/>
        <w:rPr>
          <w:rFonts w:hint="eastAsia" w:ascii="宋体" w:hAnsi="宋体" w:eastAsia="宋体"/>
          <w:color w:val="000000"/>
          <w:sz w:val="21"/>
          <w:szCs w:val="21"/>
        </w:rPr>
      </w:pPr>
      <w:r>
        <w:rPr>
          <w:rFonts w:hint="eastAsia" w:ascii="宋体" w:hAnsi="宋体" w:eastAsia="宋体"/>
          <w:color w:val="000000"/>
          <w:sz w:val="21"/>
          <w:szCs w:val="21"/>
        </w:rPr>
      </w:r>
      <w:r/>
    </w:p>
    <w:p>
      <w:pPr>
        <w:pStyle w:val="902"/>
        <w:ind w:left="567" w:hanging="567"/>
        <w:spacing w:line="416" w:lineRule="auto"/>
        <w:rPr>
          <w:rFonts w:ascii="宋体" w:hAnsi="宋体" w:eastAsia="宋体"/>
          <w:color w:val="000000"/>
          <w:sz w:val="21"/>
          <w:szCs w:val="21"/>
        </w:rPr>
      </w:pPr>
      <w:r/>
      <w:bookmarkStart w:id="23" w:name="_Toc78976394"/>
      <w:r/>
      <w:bookmarkStart w:id="24" w:name="_Ref501489515"/>
      <w:r>
        <w:rPr>
          <w:rFonts w:hint="eastAsia" w:ascii="宋体" w:hAnsi="宋体" w:eastAsia="宋体"/>
          <w:color w:val="000000"/>
          <w:sz w:val="21"/>
          <w:szCs w:val="21"/>
        </w:rPr>
        <w:t xml:space="preserve">法定代表人授权委托书</w:t>
      </w:r>
      <w:bookmarkEnd w:id="23"/>
      <w:r/>
      <w:bookmarkEnd w:id="24"/>
      <w:r>
        <w:rPr>
          <w:rFonts w:ascii="宋体" w:hAnsi="宋体" w:eastAsia="宋体"/>
          <w:color w:val="000000"/>
          <w:sz w:val="21"/>
          <w:szCs w:val="21"/>
        </w:rPr>
      </w:r>
      <w:r/>
    </w:p>
    <w:p>
      <w:pPr>
        <w:pStyle w:val="920"/>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法定代表人授权委托书</w:t>
      </w:r>
      <w:r>
        <w:rPr>
          <w:rFonts w:ascii="宋体" w:hAnsi="宋体" w:eastAsia="宋体"/>
          <w:b/>
          <w:color w:val="000000"/>
          <w:sz w:val="21"/>
          <w:szCs w:val="21"/>
        </w:rPr>
      </w:r>
      <w:r/>
    </w:p>
    <w:p>
      <w:pPr>
        <w:pStyle w:val="900"/>
        <w:rPr>
          <w:rFonts w:ascii="宋体" w:hAnsi="宋体"/>
          <w:color w:val="000000"/>
          <w:szCs w:val="21"/>
        </w:rPr>
      </w:pPr>
      <w:r>
        <w:rPr>
          <w:rFonts w:ascii="宋体" w:hAnsi="宋体"/>
          <w:color w:val="000000"/>
          <w:szCs w:val="21"/>
        </w:rPr>
      </w:r>
      <w:r/>
    </w:p>
    <w:p>
      <w:pPr>
        <w:pStyle w:val="920"/>
        <w:spacing w:line="360" w:lineRule="auto"/>
        <w:rPr>
          <w:rFonts w:ascii="宋体" w:hAnsi="宋体" w:eastAsia="宋体"/>
          <w:color w:val="000000"/>
          <w:sz w:val="21"/>
          <w:szCs w:val="21"/>
        </w:rPr>
      </w:pPr>
      <w:r/>
      <w:bookmarkStart w:id="25" w:name="_Ref343881923"/>
      <w:r>
        <w:rPr>
          <w:rFonts w:hint="eastAsia" w:ascii="宋体" w:hAnsi="宋体" w:eastAsia="宋体"/>
          <w:color w:val="000000"/>
          <w:sz w:val="21"/>
          <w:szCs w:val="21"/>
        </w:rPr>
        <w:t xml:space="preserve">本授权委托书声明：</w:t>
      </w:r>
      <w:r>
        <w:rPr>
          <w:rFonts w:ascii="宋体" w:hAnsi="宋体" w:eastAsia="宋体"/>
          <w:color w:val="000000"/>
          <w:sz w:val="21"/>
          <w:szCs w:val="21"/>
        </w:rPr>
        <w:t xml:space="preserve">我 </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（姓名）系</w:t>
      </w:r>
      <w:r>
        <w:rPr>
          <w:rFonts w:ascii="宋体" w:hAnsi="宋体" w:eastAsia="宋体"/>
          <w:color w:val="000000"/>
          <w:sz w:val="21"/>
          <w:szCs w:val="21"/>
          <w:u w:val="single"/>
        </w:rPr>
        <w:t xml:space="preserve">             </w:t>
      </w:r>
      <w:r>
        <w:rPr>
          <w:rFonts w:ascii="宋体" w:hAnsi="宋体" w:eastAsia="宋体"/>
          <w:color w:val="000000"/>
          <w:sz w:val="21"/>
          <w:szCs w:val="21"/>
        </w:rPr>
        <w:t xml:space="preserve">（投标单位名称）的法定代表人，现授权委托</w:t>
      </w:r>
      <w:r>
        <w:rPr>
          <w:rFonts w:ascii="宋体" w:hAnsi="宋体" w:eastAsia="宋体"/>
          <w:color w:val="000000"/>
          <w:sz w:val="21"/>
          <w:szCs w:val="21"/>
          <w:u w:val="single"/>
        </w:rPr>
        <w:t xml:space="preserve">              </w:t>
      </w:r>
      <w:r>
        <w:rPr>
          <w:rFonts w:ascii="宋体" w:hAnsi="宋体" w:eastAsia="宋体"/>
          <w:color w:val="000000"/>
          <w:sz w:val="21"/>
          <w:szCs w:val="21"/>
        </w:rPr>
        <w:t xml:space="preserve">（单位名称）的</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（姓名）为我公司</w:t>
      </w:r>
      <w:r>
        <w:rPr>
          <w:rFonts w:hint="eastAsia" w:ascii="宋体" w:hAnsi="宋体" w:eastAsia="宋体"/>
          <w:color w:val="000000"/>
          <w:sz w:val="21"/>
          <w:szCs w:val="21"/>
        </w:rPr>
        <w:t xml:space="preserve">被授权</w:t>
      </w:r>
      <w:r>
        <w:rPr>
          <w:rFonts w:ascii="宋体" w:hAnsi="宋体" w:eastAsia="宋体"/>
          <w:color w:val="000000"/>
          <w:sz w:val="21"/>
          <w:szCs w:val="21"/>
        </w:rPr>
        <w:t xml:space="preserve">人，以本公司的名义参加</w:t>
      </w:r>
      <w:r>
        <w:rPr>
          <w:rFonts w:hint="eastAsia" w:ascii="宋体" w:hAnsi="宋体" w:eastAsia="宋体"/>
          <w:color w:val="000000"/>
          <w:sz w:val="21"/>
          <w:szCs w:val="21"/>
        </w:rPr>
        <w:t xml:space="preserve">苏州公正建设咨询房地产评估有限公司</w:t>
      </w:r>
      <w:r>
        <w:rPr>
          <w:rFonts w:ascii="宋体" w:hAnsi="宋体" w:eastAsia="宋体"/>
          <w:color w:val="000000"/>
          <w:sz w:val="21"/>
          <w:szCs w:val="21"/>
        </w:rPr>
        <w:t xml:space="preserve">组织实施的编号为</w:t>
      </w:r>
      <w:r>
        <w:rPr>
          <w:rFonts w:hint="eastAsia" w:ascii="宋体" w:hAnsi="宋体" w:eastAsia="宋体"/>
          <w:color w:val="000000"/>
          <w:sz w:val="21"/>
          <w:szCs w:val="21"/>
        </w:rPr>
        <w:t xml:space="preserve">JSZC-320583-SZGZ-G2025-0009</w:t>
      </w:r>
      <w:r>
        <w:rPr>
          <w:rFonts w:ascii="宋体" w:hAnsi="宋体" w:eastAsia="宋体"/>
          <w:color w:val="000000"/>
          <w:sz w:val="21"/>
          <w:szCs w:val="21"/>
        </w:rPr>
        <w:t xml:space="preserve">号的招标活动。</w:t>
      </w:r>
      <w:r>
        <w:rPr>
          <w:rFonts w:hint="eastAsia" w:ascii="宋体" w:hAnsi="宋体" w:eastAsia="宋体"/>
          <w:color w:val="000000"/>
          <w:sz w:val="21"/>
          <w:szCs w:val="21"/>
        </w:rPr>
        <w:t xml:space="preserve">被授权人</w:t>
      </w:r>
      <w:r>
        <w:rPr>
          <w:rFonts w:ascii="宋体" w:hAnsi="宋体" w:eastAsia="宋体"/>
          <w:color w:val="000000"/>
          <w:sz w:val="21"/>
          <w:szCs w:val="21"/>
        </w:rPr>
        <w:t xml:space="preserve">在开标、评标、合同谈判过程中所签署的一切文件和处理与这有关的一切事务，我均予以承认。</w:t>
      </w:r>
      <w:r/>
    </w:p>
    <w:p>
      <w:pPr>
        <w:pStyle w:val="9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color w:val="000000"/>
          <w:sz w:val="21"/>
          <w:szCs w:val="21"/>
        </w:rPr>
      </w:r>
      <w:r/>
    </w:p>
    <w:p>
      <w:pPr>
        <w:pStyle w:val="9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w:t>
      </w:r>
      <w:r>
        <w:rPr>
          <w:rFonts w:ascii="宋体" w:hAnsi="宋体" w:eastAsia="宋体"/>
          <w:color w:val="000000"/>
          <w:sz w:val="21"/>
          <w:szCs w:val="21"/>
        </w:rPr>
      </w:r>
      <w:r/>
    </w:p>
    <w:p>
      <w:pPr>
        <w:pStyle w:val="9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投标人：（盖章）</w:t>
      </w:r>
      <w:r>
        <w:rPr>
          <w:rFonts w:ascii="宋体" w:hAnsi="宋体" w:eastAsia="宋体"/>
          <w:color w:val="000000"/>
          <w:sz w:val="21"/>
          <w:szCs w:val="21"/>
        </w:rPr>
      </w:r>
      <w:r/>
    </w:p>
    <w:p>
      <w:pPr>
        <w:pStyle w:val="9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法定代表人：（签字）</w:t>
      </w:r>
      <w:r>
        <w:rPr>
          <w:rFonts w:ascii="宋体" w:hAnsi="宋体" w:eastAsia="宋体"/>
          <w:color w:val="000000"/>
          <w:sz w:val="21"/>
          <w:szCs w:val="21"/>
        </w:rPr>
      </w:r>
      <w:r/>
    </w:p>
    <w:p>
      <w:pPr>
        <w:pStyle w:val="9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被授权人：（签字）</w:t>
      </w:r>
      <w:r>
        <w:rPr>
          <w:rFonts w:ascii="宋体" w:hAnsi="宋体" w:eastAsia="宋体"/>
          <w:color w:val="000000"/>
          <w:sz w:val="21"/>
          <w:szCs w:val="21"/>
        </w:rPr>
      </w:r>
      <w:r/>
    </w:p>
    <w:p>
      <w:pPr>
        <w:pStyle w:val="920"/>
        <w:ind w:firstLine="418"/>
        <w:rPr>
          <w:rFonts w:ascii="宋体" w:hAnsi="宋体" w:eastAsia="宋体"/>
          <w:color w:val="000000"/>
          <w:sz w:val="21"/>
          <w:szCs w:val="21"/>
        </w:rPr>
      </w:pPr>
      <w:r>
        <w:rPr>
          <w:rFonts w:hint="eastAsia" w:ascii="宋体" w:hAnsi="宋体" w:eastAsia="宋体"/>
          <w:color w:val="000000"/>
          <w:sz w:val="21"/>
          <w:szCs w:val="21"/>
        </w:rPr>
        <w:t xml:space="preserve">日期：    年</w:t>
      </w:r>
      <w:r>
        <w:rPr>
          <w:rFonts w:ascii="宋体" w:hAnsi="宋体" w:eastAsia="宋体"/>
          <w:color w:val="000000"/>
          <w:sz w:val="21"/>
          <w:szCs w:val="21"/>
        </w:rPr>
        <w:t xml:space="preserve">  月  日</w:t>
      </w:r>
      <w:r/>
    </w:p>
    <w:p>
      <w:pPr>
        <w:pStyle w:val="920"/>
        <w:ind w:firstLine="788"/>
        <w:rPr>
          <w:rFonts w:ascii="宋体" w:hAnsi="宋体" w:eastAsia="宋体"/>
          <w:color w:val="000000"/>
          <w:sz w:val="21"/>
          <w:szCs w:val="21"/>
        </w:rPr>
      </w:pPr>
      <w:r>
        <w:rPr>
          <w:rFonts w:ascii="宋体" w:hAnsi="宋体" w:eastAsia="宋体"/>
          <w:color w:val="000000"/>
          <w:sz w:val="21"/>
          <w:szCs w:val="21"/>
        </w:rPr>
        <w:br w:type="page" w:clear="all"/>
      </w:r>
      <w:r/>
    </w:p>
    <w:p>
      <w:pPr>
        <w:pStyle w:val="902"/>
        <w:ind w:left="567" w:hanging="567"/>
        <w:spacing w:line="416" w:lineRule="auto"/>
        <w:rPr>
          <w:rFonts w:ascii="宋体" w:hAnsi="宋体" w:eastAsia="宋体"/>
          <w:b w:val="0"/>
          <w:color w:val="000000"/>
          <w:sz w:val="21"/>
          <w:szCs w:val="21"/>
        </w:rPr>
      </w:pPr>
      <w:r/>
      <w:bookmarkStart w:id="26" w:name="_Ref366160082"/>
      <w:r/>
      <w:bookmarkStart w:id="27" w:name="_Toc497431308"/>
      <w:r/>
      <w:bookmarkStart w:id="28" w:name="_Toc78976395"/>
      <w:r>
        <w:rPr>
          <w:rFonts w:ascii="宋体" w:hAnsi="宋体" w:eastAsia="宋体"/>
          <w:color w:val="000000"/>
          <w:sz w:val="21"/>
          <w:szCs w:val="21"/>
        </w:rPr>
        <w:t xml:space="preserve">投标函</w:t>
      </w:r>
      <w:bookmarkEnd w:id="25"/>
      <w:r/>
      <w:bookmarkEnd w:id="26"/>
      <w:r/>
      <w:bookmarkEnd w:id="27"/>
      <w:r/>
      <w:bookmarkEnd w:id="28"/>
      <w:r>
        <w:rPr>
          <w:rFonts w:ascii="宋体" w:hAnsi="宋体" w:eastAsia="宋体"/>
          <w:b w:val="0"/>
          <w:color w:val="000000"/>
          <w:sz w:val="21"/>
          <w:szCs w:val="21"/>
        </w:rPr>
      </w:r>
      <w:r/>
    </w:p>
    <w:p>
      <w:pPr>
        <w:pStyle w:val="1032"/>
        <w:jc w:val="center"/>
        <w:rPr>
          <w:rFonts w:hAnsi="宋体" w:eastAsia="宋体"/>
          <w:b/>
          <w:color w:val="000000"/>
          <w:sz w:val="21"/>
          <w:szCs w:val="21"/>
        </w:rPr>
      </w:pPr>
      <w:r>
        <w:rPr>
          <w:rFonts w:hAnsi="宋体" w:eastAsia="宋体"/>
          <w:b/>
          <w:color w:val="000000"/>
          <w:sz w:val="21"/>
          <w:szCs w:val="21"/>
        </w:rPr>
        <w:t xml:space="preserve">投标函</w:t>
      </w:r>
      <w:r/>
    </w:p>
    <w:p>
      <w:pPr>
        <w:pStyle w:val="1032"/>
        <w:jc w:val="left"/>
        <w:spacing w:line="400" w:lineRule="exact"/>
        <w:rPr>
          <w:rFonts w:hAnsi="宋体" w:eastAsia="宋体"/>
          <w:color w:val="000000"/>
          <w:sz w:val="21"/>
          <w:szCs w:val="21"/>
        </w:rPr>
      </w:pPr>
      <w:r>
        <w:rPr>
          <w:rFonts w:hAnsi="宋体" w:eastAsia="宋体"/>
          <w:color w:val="000000"/>
          <w:sz w:val="21"/>
          <w:szCs w:val="21"/>
          <w:u w:val="single"/>
        </w:rPr>
        <w:t xml:space="preserve">                             </w:t>
      </w:r>
      <w:r>
        <w:rPr>
          <w:rFonts w:hAnsi="宋体" w:eastAsia="宋体"/>
          <w:color w:val="000000"/>
          <w:sz w:val="21"/>
          <w:szCs w:val="21"/>
        </w:rPr>
        <w:t xml:space="preserve">：</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我们收到贵公司 </w:t>
      </w:r>
      <w:r>
        <w:rPr>
          <w:rFonts w:hAnsi="宋体" w:eastAsia="宋体"/>
          <w:color w:val="000000"/>
          <w:sz w:val="21"/>
          <w:szCs w:val="21"/>
          <w:u w:val="single"/>
        </w:rPr>
        <w:t xml:space="preserve">                  </w:t>
      </w:r>
      <w:r>
        <w:rPr>
          <w:rFonts w:hAnsi="宋体" w:eastAsia="宋体"/>
          <w:color w:val="000000"/>
          <w:sz w:val="21"/>
          <w:szCs w:val="21"/>
        </w:rPr>
        <w:t xml:space="preserve">号招标文件，经仔细阅读和研究，我们同意招标文件的各条款要求并决定参加投标。</w:t>
      </w:r>
      <w:r/>
    </w:p>
    <w:p>
      <w:pPr>
        <w:pStyle w:val="900"/>
        <w:ind w:firstLine="420"/>
        <w:jc w:val="left"/>
        <w:spacing w:line="400" w:lineRule="exact"/>
        <w:rPr>
          <w:rFonts w:ascii="宋体" w:hAnsi="宋体"/>
          <w:color w:val="000000"/>
          <w:szCs w:val="21"/>
        </w:rPr>
      </w:pPr>
      <w:r>
        <w:rPr>
          <w:rFonts w:hint="eastAsia" w:ascii="宋体" w:hAnsi="宋体"/>
          <w:color w:val="000000"/>
          <w:szCs w:val="21"/>
        </w:rPr>
        <w:t xml:space="preserve">1.我们愿意按照招标文件的一切要求，提供包括招标书中要求的</w:t>
      </w:r>
      <w:r>
        <w:rPr>
          <w:rFonts w:ascii="宋体" w:hAnsi="宋体"/>
          <w:color w:val="000000"/>
          <w:szCs w:val="21"/>
          <w:u w:val="single"/>
        </w:rPr>
        <w:t xml:space="preserve">            </w:t>
      </w:r>
      <w:r>
        <w:rPr>
          <w:rFonts w:hint="eastAsia" w:ascii="宋体" w:hAnsi="宋体"/>
          <w:color w:val="000000"/>
          <w:szCs w:val="21"/>
        </w:rPr>
        <w:t xml:space="preserve">整个工程的安装或指导安装、人工、保险、劳保、各种税费以及质保期间的一切费用。明细见《投标报价表》。</w:t>
      </w:r>
      <w:r>
        <w:rPr>
          <w:rFonts w:ascii="宋体" w:hAnsi="宋体"/>
          <w:color w:val="000000"/>
          <w:szCs w:val="21"/>
        </w:rPr>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2</w:t>
      </w:r>
      <w:r>
        <w:rPr>
          <w:rFonts w:hint="eastAsia" w:hAnsi="宋体" w:eastAsia="宋体"/>
          <w:color w:val="000000"/>
          <w:sz w:val="21"/>
          <w:szCs w:val="21"/>
        </w:rPr>
        <w:t xml:space="preserve">.</w:t>
      </w:r>
      <w:r>
        <w:rPr>
          <w:rFonts w:hAnsi="宋体" w:eastAsia="宋体"/>
          <w:color w:val="000000"/>
          <w:sz w:val="21"/>
          <w:szCs w:val="21"/>
        </w:rPr>
        <w:t xml:space="preserve">如果我们的投标书被接受，我们将严格履行招标文件中规定的每一项要求，按期、按质、按量履行合同的义务。</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3</w:t>
      </w:r>
      <w:r>
        <w:rPr>
          <w:rFonts w:hint="eastAsia" w:hAnsi="宋体" w:eastAsia="宋体"/>
          <w:color w:val="000000"/>
          <w:sz w:val="21"/>
          <w:szCs w:val="21"/>
        </w:rPr>
        <w:t xml:space="preserve">.</w:t>
      </w:r>
      <w:r>
        <w:rPr>
          <w:rFonts w:hAnsi="宋体" w:eastAsia="宋体"/>
          <w:color w:val="000000"/>
          <w:sz w:val="21"/>
          <w:szCs w:val="21"/>
        </w:rPr>
        <w:t xml:space="preserve">我们同意按招标文件中的规定，本投标有效期从提交投标文件的截止之日起算后</w:t>
      </w:r>
      <w:r>
        <w:rPr>
          <w:rFonts w:hint="eastAsia" w:hAnsi="宋体" w:eastAsia="宋体"/>
          <w:color w:val="000000"/>
          <w:sz w:val="21"/>
          <w:szCs w:val="21"/>
        </w:rPr>
        <w:t xml:space="preserve">90</w:t>
      </w:r>
      <w:r>
        <w:rPr>
          <w:rFonts w:hAnsi="宋体" w:eastAsia="宋体"/>
          <w:color w:val="000000"/>
          <w:sz w:val="21"/>
          <w:szCs w:val="21"/>
        </w:rPr>
        <w:t xml:space="preserve">天。</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4</w:t>
      </w:r>
      <w:r>
        <w:rPr>
          <w:rFonts w:hint="eastAsia" w:hAnsi="宋体" w:eastAsia="宋体"/>
          <w:color w:val="000000"/>
          <w:sz w:val="21"/>
          <w:szCs w:val="21"/>
        </w:rPr>
        <w:t xml:space="preserve">.</w:t>
      </w:r>
      <w:r>
        <w:rPr>
          <w:rFonts w:hAnsi="宋体" w:eastAsia="宋体"/>
          <w:color w:val="000000"/>
          <w:sz w:val="21"/>
          <w:szCs w:val="21"/>
        </w:rPr>
        <w:t xml:space="preserve">我们愿意提供招标代理人在招标文件中要求的所有资料。</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5</w:t>
      </w:r>
      <w:r>
        <w:rPr>
          <w:rFonts w:hint="eastAsia" w:hAnsi="宋体" w:eastAsia="宋体"/>
          <w:color w:val="000000"/>
          <w:sz w:val="21"/>
          <w:szCs w:val="21"/>
        </w:rPr>
        <w:t xml:space="preserve">.</w:t>
      </w:r>
      <w:r>
        <w:rPr>
          <w:rFonts w:hAnsi="宋体" w:eastAsia="宋体"/>
          <w:color w:val="000000"/>
          <w:sz w:val="21"/>
          <w:szCs w:val="21"/>
        </w:rPr>
        <w:t xml:space="preserve">我们认为你们有权决定中标者，还认为你们有权接受或拒绝所有的投标者。</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6</w:t>
      </w:r>
      <w:r>
        <w:rPr>
          <w:rFonts w:hint="eastAsia" w:hAnsi="宋体" w:eastAsia="宋体"/>
          <w:color w:val="000000"/>
          <w:sz w:val="21"/>
          <w:szCs w:val="21"/>
        </w:rPr>
        <w:t xml:space="preserve">.</w:t>
      </w:r>
      <w:r>
        <w:rPr>
          <w:rFonts w:hAnsi="宋体" w:eastAsia="宋体"/>
          <w:color w:val="000000"/>
          <w:sz w:val="21"/>
          <w:szCs w:val="21"/>
        </w:rPr>
        <w:t xml:space="preserve">我们承诺该项投标在开标后的全过程中保持有效，不作任何更改和变动。</w:t>
      </w:r>
      <w:r/>
    </w:p>
    <w:p>
      <w:pPr>
        <w:pStyle w:val="1032"/>
        <w:ind w:firstLine="420"/>
        <w:jc w:val="left"/>
        <w:spacing w:line="400" w:lineRule="exact"/>
        <w:rPr>
          <w:rFonts w:hAnsi="宋体" w:eastAsia="宋体"/>
          <w:color w:val="000000"/>
          <w:sz w:val="21"/>
          <w:szCs w:val="21"/>
        </w:rPr>
      </w:pPr>
      <w:r>
        <w:rPr>
          <w:rFonts w:hint="eastAsia" w:hAnsi="宋体" w:eastAsia="宋体"/>
          <w:color w:val="000000"/>
          <w:sz w:val="21"/>
          <w:szCs w:val="21"/>
        </w:rPr>
        <w:t xml:space="preserve">7.</w:t>
      </w:r>
      <w:r>
        <w:rPr>
          <w:rFonts w:hAnsi="宋体" w:eastAsia="宋体"/>
          <w:color w:val="000000"/>
          <w:sz w:val="21"/>
          <w:szCs w:val="21"/>
        </w:rPr>
        <w:t xml:space="preserve">如果我们中标，我们愿意在签订合同时按</w:t>
      </w:r>
      <w:r>
        <w:rPr>
          <w:rFonts w:hint="eastAsia" w:hAnsi="宋体" w:eastAsia="宋体"/>
          <w:color w:val="000000"/>
          <w:sz w:val="21"/>
          <w:szCs w:val="21"/>
        </w:rPr>
        <w:t xml:space="preserve">招标文件要求</w:t>
      </w:r>
      <w:r>
        <w:rPr>
          <w:rFonts w:hAnsi="宋体" w:eastAsia="宋体"/>
          <w:color w:val="000000"/>
          <w:sz w:val="21"/>
          <w:szCs w:val="21"/>
        </w:rPr>
        <w:t xml:space="preserve">支付履约保证金。</w:t>
      </w:r>
      <w:r/>
    </w:p>
    <w:p>
      <w:pPr>
        <w:pStyle w:val="1032"/>
        <w:ind w:firstLine="420"/>
        <w:jc w:val="left"/>
        <w:spacing w:line="400" w:lineRule="exact"/>
        <w:rPr>
          <w:rFonts w:hAnsi="宋体" w:eastAsia="宋体"/>
          <w:color w:val="000000"/>
          <w:sz w:val="21"/>
          <w:szCs w:val="21"/>
        </w:rPr>
      </w:pPr>
      <w:r>
        <w:rPr>
          <w:rFonts w:hint="eastAsia" w:hAnsi="宋体" w:eastAsia="宋体"/>
          <w:color w:val="000000"/>
          <w:sz w:val="21"/>
          <w:szCs w:val="21"/>
        </w:rPr>
        <w:t xml:space="preserve">8.</w:t>
      </w:r>
      <w:r>
        <w:rPr>
          <w:rFonts w:hAnsi="宋体" w:eastAsia="宋体"/>
          <w:color w:val="000000"/>
          <w:sz w:val="21"/>
          <w:szCs w:val="21"/>
        </w:rPr>
        <w:t xml:space="preserve">综合说明：</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（1）伴随服务及配合措施；</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（2）要求甲方提供的配合；</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（3）对招标文件有不同意见的偏离说明；</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（4）其它说明。</w:t>
      </w:r>
      <w:r/>
    </w:p>
    <w:p>
      <w:pPr>
        <w:pStyle w:val="1032"/>
        <w:ind w:firstLine="420"/>
        <w:jc w:val="left"/>
        <w:spacing w:line="400" w:lineRule="exact"/>
        <w:rPr>
          <w:rFonts w:hint="eastAsia" w:hAnsi="宋体" w:eastAsia="宋体"/>
          <w:color w:val="000000"/>
          <w:sz w:val="21"/>
          <w:szCs w:val="21"/>
        </w:rPr>
      </w:pPr>
      <w:r>
        <w:rPr>
          <w:rFonts w:hAnsi="宋体" w:eastAsia="宋体"/>
          <w:color w:val="000000"/>
          <w:sz w:val="21"/>
          <w:szCs w:val="21"/>
        </w:rPr>
        <w:t xml:space="preserve">所有有关标书的函电，请按下列地址联系：</w:t>
      </w:r>
      <w:r>
        <w:rPr>
          <w:rFonts w:hint="eastAsia" w:hAnsi="宋体" w:eastAsia="宋体"/>
          <w:color w:val="000000"/>
          <w:sz w:val="21"/>
          <w:szCs w:val="21"/>
        </w:rPr>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单位：</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联系人：</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地址：</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邮政编码：</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联系电话：</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传真：</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投标人：（单位盖章）</w:t>
      </w:r>
      <w:r/>
    </w:p>
    <w:p>
      <w:pPr>
        <w:pStyle w:val="1032"/>
        <w:ind w:firstLine="420"/>
        <w:jc w:val="left"/>
        <w:spacing w:line="400" w:lineRule="exact"/>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032"/>
        <w:ind w:firstLine="420"/>
        <w:jc w:val="left"/>
        <w:spacing w:line="400" w:lineRule="exact"/>
        <w:rPr>
          <w:rFonts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p>
    <w:p>
      <w:pPr>
        <w:pStyle w:val="1032"/>
        <w:ind w:firstLine="4620"/>
        <w:spacing w:line="400" w:lineRule="exact"/>
        <w:rPr>
          <w:rFonts w:hAnsi="宋体" w:eastAsia="宋体"/>
          <w:color w:val="000000"/>
          <w:sz w:val="21"/>
          <w:szCs w:val="21"/>
        </w:rPr>
      </w:pPr>
      <w:r>
        <w:rPr>
          <w:rFonts w:hAnsi="宋体" w:eastAsia="宋体"/>
          <w:color w:val="000000"/>
          <w:sz w:val="21"/>
          <w:szCs w:val="21"/>
        </w:rPr>
      </w:r>
      <w:r/>
    </w:p>
    <w:p>
      <w:pPr>
        <w:pStyle w:val="1032"/>
        <w:ind w:firstLine="4620"/>
        <w:spacing w:line="400" w:lineRule="exact"/>
        <w:rPr>
          <w:rFonts w:hAnsi="宋体" w:eastAsia="宋体"/>
          <w:color w:val="000000"/>
          <w:sz w:val="21"/>
          <w:szCs w:val="21"/>
        </w:rPr>
      </w:pPr>
      <w:r>
        <w:rPr>
          <w:rFonts w:hAnsi="宋体" w:eastAsia="宋体"/>
          <w:color w:val="000000"/>
          <w:sz w:val="21"/>
          <w:szCs w:val="21"/>
        </w:rPr>
      </w:r>
      <w:r/>
    </w:p>
    <w:p>
      <w:pPr>
        <w:pStyle w:val="902"/>
        <w:ind w:firstLine="200"/>
        <w:spacing w:line="360" w:lineRule="auto"/>
        <w:rPr>
          <w:rFonts w:hint="eastAsia" w:ascii="宋体" w:hAnsi="宋体" w:eastAsia="宋体"/>
          <w:sz w:val="21"/>
          <w:szCs w:val="21"/>
        </w:rPr>
      </w:pPr>
      <w:r/>
      <w:bookmarkStart w:id="29" w:name="_Toc497431309"/>
      <w:r/>
      <w:bookmarkStart w:id="30" w:name="_Toc78976396"/>
      <w:r/>
      <w:bookmarkStart w:id="31" w:name="_Ref343881459"/>
      <w:r>
        <w:rPr>
          <w:rFonts w:ascii="宋体" w:hAnsi="宋体" w:eastAsia="宋体"/>
          <w:color w:val="000000"/>
          <w:sz w:val="21"/>
          <w:szCs w:val="21"/>
        </w:rPr>
        <w:t xml:space="preserve">开标一览表</w:t>
      </w:r>
      <w:bookmarkEnd w:id="29"/>
      <w:r/>
      <w:bookmarkEnd w:id="30"/>
      <w:r/>
      <w:bookmarkEnd w:id="31"/>
      <w:r>
        <w:rPr>
          <w:rFonts w:hint="eastAsia" w:ascii="宋体" w:hAnsi="宋体" w:eastAsia="宋体"/>
          <w:sz w:val="21"/>
          <w:szCs w:val="21"/>
        </w:rPr>
      </w:r>
      <w:r/>
    </w:p>
    <w:p>
      <w:pPr>
        <w:pStyle w:val="1032"/>
        <w:ind w:firstLine="200"/>
        <w:spacing w:line="360" w:lineRule="auto"/>
        <w:rPr>
          <w:rFonts w:hint="eastAsia" w:hAnsi="宋体" w:eastAsia="宋体"/>
          <w:color w:val="000000"/>
          <w:sz w:val="21"/>
          <w:szCs w:val="21"/>
        </w:rPr>
      </w:pPr>
      <w:r>
        <w:rPr>
          <w:rFonts w:hint="eastAsia" w:hAnsi="宋体" w:eastAsia="宋体"/>
          <w:color w:val="000000"/>
          <w:sz w:val="21"/>
          <w:szCs w:val="21"/>
        </w:rPr>
      </w:r>
      <w:r/>
    </w:p>
    <w:p>
      <w:pPr>
        <w:pStyle w:val="900"/>
        <w:jc w:val="center"/>
        <w:spacing w:before="100" w:beforeAutospacing="1" w:after="100" w:afterAutospacing="1"/>
        <w:widowControl/>
        <w:rPr>
          <w:rFonts w:ascii="宋体" w:hAnsi="宋体" w:cs="宋体"/>
          <w:sz w:val="24"/>
        </w:rPr>
      </w:pPr>
      <w:r>
        <w:rPr>
          <w:rFonts w:ascii="宋体" w:hAnsi="宋体" w:cs="宋体"/>
          <w:sz w:val="24"/>
        </w:rPr>
        <w:t xml:space="preserve">开标一览表（单价）</w:t>
      </w:r>
      <w:r/>
    </w:p>
    <w:p>
      <w:pPr>
        <w:pStyle w:val="900"/>
        <w:jc w:val="left"/>
        <w:spacing w:before="100" w:beforeAutospacing="1" w:after="100" w:afterAutospacing="1"/>
        <w:widowControl/>
        <w:rPr>
          <w:rFonts w:ascii="宋体" w:hAnsi="宋体" w:cs="宋体"/>
          <w:sz w:val="24"/>
        </w:rPr>
      </w:pPr>
      <w:r>
        <w:rPr>
          <w:rFonts w:ascii="宋体" w:hAnsi="宋体" w:cs="宋体"/>
          <w:sz w:val="24"/>
        </w:rPr>
        <w:t xml:space="preserve">投标人全称（加盖公章）：供应商名称 </w:t>
      </w:r>
      <w:r/>
    </w:p>
    <w:p>
      <w:pPr>
        <w:pStyle w:val="900"/>
        <w:jc w:val="left"/>
        <w:spacing w:before="100" w:beforeAutospacing="1" w:after="100" w:afterAutospacing="1"/>
        <w:widowControl/>
        <w:rPr>
          <w:rFonts w:ascii="宋体" w:hAnsi="宋体" w:cs="宋体"/>
          <w:sz w:val="24"/>
        </w:rPr>
      </w:pPr>
      <w:r>
        <w:rPr>
          <w:rFonts w:ascii="宋体" w:hAnsi="宋体" w:cs="宋体"/>
          <w:sz w:val="24"/>
        </w:rPr>
        <w:t xml:space="preserve">项目编号：项目编号 </w:t>
      </w:r>
      <w:r/>
    </w:p>
    <w:p>
      <w:pPr>
        <w:pStyle w:val="900"/>
        <w:jc w:val="left"/>
        <w:spacing w:before="100" w:beforeAutospacing="1" w:after="100" w:afterAutospacing="1"/>
        <w:widowControl/>
        <w:rPr>
          <w:rFonts w:ascii="宋体" w:hAnsi="宋体" w:cs="宋体"/>
          <w:sz w:val="24"/>
        </w:rPr>
      </w:pPr>
      <w:r>
        <w:rPr>
          <w:rFonts w:ascii="宋体" w:hAnsi="宋体" w:cs="宋体"/>
          <w:sz w:val="24"/>
        </w:rPr>
        <w:t xml:space="preserve">分包号：分包号 </w:t>
      </w:r>
      <w:r/>
    </w:p>
    <w:tbl>
      <w:tblPr>
        <w:tblW w:w="4586"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900"/>
              <w:jc w:val="left"/>
              <w:widowControl/>
              <w:rPr>
                <w:rFonts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pStyle w:val="900"/>
              <w:jc w:val="left"/>
              <w:widowControl/>
              <w:rPr>
                <w:rFonts w:ascii="宋体" w:hAnsi="宋体" w:cs="宋体"/>
                <w:sz w:val="24"/>
              </w:rPr>
            </w:pPr>
            <w:r>
              <w:rPr>
                <w:rFonts w:ascii="宋体" w:hAnsi="宋体" w:cs="宋体"/>
                <w:sz w:val="24"/>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900"/>
              <w:jc w:val="left"/>
              <w:widowControl/>
              <w:rPr>
                <w:rFonts w:ascii="宋体" w:hAnsi="宋体" w:cs="宋体"/>
                <w:sz w:val="24"/>
              </w:rPr>
            </w:pPr>
            <w:r>
              <w:rPr>
                <w:rFonts w:ascii="宋体" w:hAnsi="宋体" w:cs="宋体"/>
                <w:sz w:val="24"/>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pStyle w:val="900"/>
              <w:jc w:val="left"/>
              <w:widowControl/>
              <w:rPr>
                <w:rFonts w:ascii="宋体" w:hAnsi="宋体" w:cs="宋体"/>
                <w:sz w:val="24"/>
              </w:rPr>
            </w:pPr>
            <w:r>
              <w:rPr>
                <w:rFonts w:ascii="宋体" w:hAnsi="宋体" w:cs="宋体"/>
                <w:sz w:val="24"/>
              </w:rPr>
              <w:t xml:space="preserve">小写：</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239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sz w:val="24"/>
              </w:rPr>
              <w:fldChar w:fldCharType="end"/>
            </w:r>
            <w:r>
              <w:rPr>
                <w:rFonts w:ascii="宋体" w:hAnsi="宋体" w:cs="宋体"/>
                <w:sz w:val="24"/>
              </w:rPr>
              <w:t xml:space="preserve">   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pStyle w:val="900"/>
              <w:jc w:val="left"/>
              <w:widowControl/>
              <w:rPr>
                <w:rFonts w:ascii="宋体" w:hAnsi="宋体" w:cs="宋体"/>
                <w:sz w:val="24"/>
              </w:rPr>
            </w:pPr>
            <w:r>
              <w:rPr>
                <w:rFonts w:ascii="宋体" w:hAnsi="宋体" w:cs="宋体"/>
                <w:sz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pStyle w:val="900"/>
              <w:jc w:val="left"/>
              <w:widowControl/>
              <w:rPr>
                <w:rFonts w:ascii="宋体" w:hAnsi="宋体" w:cs="宋体"/>
                <w:sz w:val="24"/>
              </w:rPr>
            </w:pPr>
            <w:r>
              <w:rPr>
                <w:rFonts w:ascii="宋体" w:hAnsi="宋体" w:cs="宋体"/>
                <w:sz w:val="24"/>
              </w:rPr>
              <w:t xml:space="preserve">金额大写 </w:t>
            </w:r>
            <w:r/>
          </w:p>
        </w:tc>
      </w:tr>
    </w:tbl>
    <w:p>
      <w:pPr>
        <w:pStyle w:val="900"/>
        <w:jc w:val="right"/>
        <w:spacing w:before="100" w:beforeAutospacing="1" w:after="100" w:afterAutospacing="1"/>
        <w:widowControl/>
        <w:rPr>
          <w:rFonts w:ascii="宋体" w:hAnsi="宋体" w:cs="宋体"/>
          <w:sz w:val="24"/>
        </w:rPr>
      </w:pPr>
      <w:r>
        <w:rPr>
          <w:rFonts w:ascii="宋体" w:hAnsi="宋体" w:cs="宋体"/>
          <w:sz w:val="24"/>
        </w:rPr>
        <w:t xml:space="preserve">日期：</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239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5" o:title=""/>
              </v:shape>
            </w:pict>
          </mc:Fallback>
        </mc:AlternateContent>
      </w:r>
      <w:r>
        <w:rPr>
          <w:rFonts w:ascii="宋体" w:hAnsi="宋体" w:cs="宋体"/>
          <w:sz w:val="24"/>
        </w:rPr>
        <w:fldChar w:fldCharType="end"/>
      </w:r>
      <w:r>
        <w:rPr>
          <w:rFonts w:ascii="宋体" w:hAnsi="宋体" w:cs="宋体"/>
          <w:sz w:val="24"/>
        </w:rPr>
        <w:t xml:space="preserve">  年 </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6" o:title=""/>
              </v:shape>
            </w:pict>
          </mc:Fallback>
        </mc:AlternateContent>
      </w:r>
      <w:r>
        <w:rPr>
          <w:rFonts w:ascii="宋体" w:hAnsi="宋体" w:cs="宋体"/>
          <w:sz w:val="24"/>
        </w:rPr>
        <w:fldChar w:fldCharType="end"/>
      </w:r>
      <w:r>
        <w:rPr>
          <w:rFonts w:ascii="宋体" w:hAnsi="宋体" w:cs="宋体"/>
          <w:sz w:val="24"/>
        </w:rPr>
        <w:t xml:space="preserve">  月 </w:t>
      </w:r>
      <w:r>
        <w:rPr>
          <w:rFonts w:ascii="宋体" w:hAnsi="宋体" w:cs="宋体"/>
          <w:sz w:val="24"/>
        </w:rPr>
        <w:fldChar w:fldCharType="begin"/>
      </w:r>
      <w:r>
        <w:rPr>
          <w:rFonts w:ascii="宋体" w:hAnsi="宋体" w:cs="宋体"/>
          <w:sz w:val="24"/>
        </w:rPr>
        <w:instrText xml:space="preserve"> CONTROL Forms.HTML:Text.1 \s </w:instrText>
      </w:r>
      <w:r>
        <w:rPr>
          <w:rFonts w:ascii="宋体" w:hAnsi="宋体" w:cs="宋体"/>
          <w:sz w:val="24"/>
        </w:rPr>
        <w:fldChar w:fldCharType="separate"/>
      </w:r>
      <w:r>
        <w:rPr>
          <w:rFonts w:ascii="宋体" w:hAnsi="宋体" w:cs="宋体"/>
          <w:sz w:val="24"/>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sz w:val="24"/>
        </w:rPr>
        <w:fldChar w:fldCharType="end"/>
      </w:r>
      <w:r>
        <w:rPr>
          <w:rFonts w:ascii="宋体" w:hAnsi="宋体" w:cs="宋体"/>
          <w:sz w:val="24"/>
        </w:rPr>
        <w:t xml:space="preserve">  日</w:t>
      </w:r>
      <w:r/>
    </w:p>
    <w:p>
      <w:pPr>
        <w:pStyle w:val="900"/>
        <w:jc w:val="left"/>
        <w:spacing w:before="100" w:beforeAutospacing="1" w:after="100" w:afterAutospacing="1"/>
        <w:widowControl/>
        <w:rPr>
          <w:rFonts w:ascii="宋体" w:hAnsi="宋体" w:cs="宋体"/>
          <w:sz w:val="24"/>
        </w:rPr>
      </w:pPr>
      <w:r>
        <w:rPr>
          <w:rFonts w:ascii="宋体" w:hAnsi="宋体" w:cs="宋体"/>
          <w:sz w:val="24"/>
        </w:rPr>
        <w:t xml:space="preserve">填写说明：</w:t>
      </w:r>
      <w:r/>
    </w:p>
    <w:p>
      <w:pPr>
        <w:pStyle w:val="900"/>
        <w:jc w:val="left"/>
        <w:spacing w:before="100" w:beforeAutospacing="1" w:after="100" w:afterAutospacing="1"/>
        <w:widowControl/>
        <w:rPr>
          <w:rFonts w:ascii="宋体" w:hAnsi="宋体" w:cs="宋体"/>
          <w:sz w:val="24"/>
        </w:rPr>
      </w:pPr>
      <w:r>
        <w:rPr>
          <w:rFonts w:ascii="宋体" w:hAnsi="宋体" w:cs="宋体"/>
          <w:sz w:val="24"/>
          <w:u w:val="single"/>
        </w:rPr>
        <w:t xml:space="preserve">1、开标一览表必须加盖投标人公章（复印件无效）。</w:t>
      </w:r>
      <w:r>
        <w:rPr>
          <w:rFonts w:ascii="宋体" w:hAnsi="宋体" w:cs="宋体"/>
          <w:sz w:val="24"/>
        </w:rPr>
      </w:r>
      <w:r/>
    </w:p>
    <w:p>
      <w:pPr>
        <w:pStyle w:val="900"/>
        <w:jc w:val="left"/>
        <w:spacing w:before="100" w:beforeAutospacing="1" w:after="100" w:afterAutospacing="1"/>
        <w:widowControl/>
        <w:rPr>
          <w:rFonts w:ascii="宋体" w:hAnsi="宋体" w:cs="宋体"/>
          <w:sz w:val="24"/>
        </w:rPr>
      </w:pPr>
      <w:r>
        <w:rPr>
          <w:rFonts w:ascii="宋体" w:hAnsi="宋体" w:cs="宋体"/>
          <w:sz w:val="24"/>
          <w:u w:val="single"/>
        </w:rPr>
        <w:t xml:space="preserve">2、如有分包，投标人投任何一个包的标的，都需单独填写开标一览表。</w:t>
      </w:r>
      <w:r>
        <w:rPr>
          <w:rFonts w:ascii="宋体" w:hAnsi="宋体" w:cs="宋体"/>
          <w:sz w:val="24"/>
        </w:rPr>
      </w:r>
      <w:r/>
    </w:p>
    <w:p>
      <w:pPr>
        <w:pStyle w:val="1032"/>
        <w:ind w:firstLine="200"/>
        <w:spacing w:line="360" w:lineRule="auto"/>
        <w:rPr>
          <w:rFonts w:hint="eastAsia" w:hAnsi="宋体" w:eastAsia="宋体"/>
          <w:color w:val="000000"/>
          <w:sz w:val="21"/>
          <w:szCs w:val="21"/>
        </w:rPr>
      </w:pPr>
      <w:r>
        <w:rPr>
          <w:rFonts w:hint="eastAsia" w:hAnsi="宋体" w:eastAsia="宋体"/>
          <w:color w:val="000000"/>
          <w:sz w:val="21"/>
          <w:szCs w:val="21"/>
        </w:rPr>
      </w:r>
      <w:r/>
    </w:p>
    <w:p>
      <w:pPr>
        <w:pStyle w:val="1032"/>
        <w:ind w:firstLine="200"/>
        <w:spacing w:line="360" w:lineRule="auto"/>
        <w:rPr>
          <w:rFonts w:hAnsi="宋体" w:eastAsia="宋体"/>
          <w:color w:val="000000"/>
          <w:sz w:val="21"/>
          <w:szCs w:val="21"/>
        </w:rPr>
      </w:pPr>
      <w:r>
        <w:rPr>
          <w:rFonts w:hAnsi="宋体" w:eastAsia="宋体"/>
          <w:color w:val="000000"/>
          <w:sz w:val="21"/>
          <w:szCs w:val="21"/>
        </w:rPr>
      </w:r>
      <w:r/>
    </w:p>
    <w:p>
      <w:pPr>
        <w:pStyle w:val="900"/>
        <w:jc w:val="left"/>
        <w:spacing w:line="360" w:lineRule="auto"/>
        <w:rPr>
          <w:rFonts w:hint="eastAsia" w:ascii="宋体" w:hAnsi="宋体"/>
          <w:b/>
          <w:szCs w:val="21"/>
        </w:rPr>
      </w:pPr>
      <w:r>
        <w:rPr>
          <w:rFonts w:hint="eastAsia" w:ascii="宋体" w:hAnsi="宋体"/>
          <w:b/>
          <w:szCs w:val="21"/>
        </w:rPr>
        <w:t xml:space="preserve">注：</w:t>
      </w:r>
      <w:r/>
    </w:p>
    <w:p>
      <w:pPr>
        <w:pStyle w:val="900"/>
        <w:ind w:firstLine="422"/>
        <w:jc w:val="left"/>
        <w:spacing w:line="360" w:lineRule="auto"/>
        <w:rPr>
          <w:rFonts w:hint="eastAsia" w:ascii="宋体" w:hAnsi="宋体"/>
          <w:b/>
          <w:szCs w:val="21"/>
        </w:rPr>
      </w:pPr>
      <w:r>
        <w:rPr>
          <w:rFonts w:hint="eastAsia" w:ascii="宋体" w:hAnsi="宋体"/>
          <w:b/>
          <w:szCs w:val="21"/>
        </w:rPr>
        <w:t xml:space="preserve">1.</w:t>
      </w:r>
      <w:r>
        <w:rPr>
          <w:rFonts w:hint="eastAsia"/>
        </w:rPr>
        <w:t xml:space="preserve"> </w:t>
      </w:r>
      <w:r>
        <w:rPr>
          <w:rFonts w:hint="eastAsia" w:ascii="宋体" w:hAnsi="宋体"/>
          <w:b/>
          <w:szCs w:val="21"/>
        </w:rPr>
        <w:t xml:space="preserve">按照单批次检测价格报价，投标报价不得高于单批次检测预算单价（750元/批次），同时投标人报价包含买样费用（买样费参考同期常规市场价格），人员随同抽样及车辆物资配备及检测费用等，投标人报价时需综合评估，投标人投标报价低于买样及其他相关费用合计，属于恶意竞标、无效投标。</w:t>
      </w:r>
      <w:r/>
    </w:p>
    <w:p>
      <w:pPr>
        <w:pStyle w:val="900"/>
        <w:ind w:firstLine="422"/>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价格得分计算方法：根据各投标人通过符合性审查的有效投标</w:t>
      </w:r>
      <w:r>
        <w:rPr>
          <w:rFonts w:hint="eastAsia" w:ascii="宋体" w:hAnsi="宋体"/>
          <w:b/>
          <w:szCs w:val="21"/>
        </w:rPr>
        <w:t xml:space="preserve">报价</w:t>
      </w:r>
      <w:r>
        <w:rPr>
          <w:rFonts w:ascii="宋体" w:hAnsi="宋体"/>
          <w:b/>
          <w:szCs w:val="21"/>
        </w:rPr>
        <w:t xml:space="preserve">作为评标基准折扣，其价格分为满分。</w:t>
      </w:r>
      <w:r>
        <w:rPr>
          <w:rFonts w:hint="eastAsia" w:ascii="宋体" w:hAnsi="宋体"/>
          <w:b/>
          <w:szCs w:val="21"/>
        </w:rPr>
        <w:t xml:space="preserve">价格分</w:t>
      </w:r>
      <w:r>
        <w:rPr>
          <w:rFonts w:ascii="宋体" w:hAnsi="宋体"/>
          <w:b/>
          <w:szCs w:val="21"/>
        </w:rPr>
        <w:t xml:space="preserve">计算公式：</w:t>
      </w:r>
      <w:r>
        <w:rPr>
          <w:rFonts w:hint="eastAsia" w:ascii="宋体" w:hAnsi="宋体"/>
          <w:b/>
          <w:szCs w:val="21"/>
        </w:rPr>
        <w:t xml:space="preserve">价格得分=（评标基准价/投标折报价）×价格权重×100；（计算到小数点后二位）。</w:t>
      </w:r>
      <w:r>
        <w:rPr>
          <w:rFonts w:ascii="宋体" w:hAnsi="宋体"/>
          <w:b/>
          <w:szCs w:val="21"/>
        </w:rPr>
      </w:r>
      <w:r/>
    </w:p>
    <w:p>
      <w:pPr>
        <w:pStyle w:val="900"/>
        <w:jc w:val="left"/>
        <w:spacing w:line="520" w:lineRule="exact"/>
        <w:rPr>
          <w:rFonts w:ascii="宋体" w:hAnsi="宋体"/>
          <w:color w:val="000000"/>
          <w:szCs w:val="21"/>
        </w:rPr>
      </w:pPr>
      <w:r>
        <w:rPr>
          <w:rFonts w:ascii="宋体" w:hAnsi="宋体"/>
          <w:color w:val="000000"/>
          <w:szCs w:val="21"/>
        </w:rPr>
      </w:r>
      <w:r/>
    </w:p>
    <w:p>
      <w:pPr>
        <w:pStyle w:val="902"/>
        <w:spacing w:line="416" w:lineRule="auto"/>
        <w:rPr>
          <w:rFonts w:ascii="宋体" w:hAnsi="宋体" w:eastAsia="宋体"/>
          <w:color w:val="000000"/>
          <w:sz w:val="21"/>
          <w:szCs w:val="21"/>
        </w:rPr>
      </w:pPr>
      <w:r/>
      <w:bookmarkStart w:id="32" w:name="_中小企业声明函"/>
      <w:r/>
      <w:bookmarkEnd w:id="32"/>
      <w:r/>
      <w:bookmarkStart w:id="33" w:name="_Toc78976397"/>
      <w:r/>
      <w:bookmarkStart w:id="34" w:name="_Ref501489757"/>
      <w:r>
        <w:rPr>
          <w:rFonts w:ascii="宋体" w:hAnsi="宋体" w:eastAsia="宋体"/>
          <w:color w:val="000000"/>
          <w:sz w:val="21"/>
          <w:szCs w:val="21"/>
        </w:rPr>
        <w:t xml:space="preserve">中小企业声明函</w:t>
      </w:r>
      <w:bookmarkEnd w:id="33"/>
      <w:r/>
      <w:bookmarkEnd w:id="34"/>
      <w:r>
        <w:rPr>
          <w:rFonts w:ascii="宋体" w:hAnsi="宋体" w:eastAsia="宋体"/>
          <w:color w:val="000000"/>
          <w:sz w:val="21"/>
          <w:szCs w:val="21"/>
        </w:rPr>
      </w:r>
      <w:r/>
    </w:p>
    <w:p>
      <w:pPr>
        <w:pStyle w:val="1065"/>
        <w:jc w:val="center"/>
        <w:rPr>
          <w:rFonts w:hint="eastAsia" w:hAnsi="宋体" w:eastAsia="宋体"/>
          <w:b/>
          <w:bCs/>
          <w:color w:val="000000"/>
          <w:sz w:val="21"/>
          <w:szCs w:val="21"/>
        </w:rPr>
      </w:pPr>
      <w:r>
        <w:rPr>
          <w:rFonts w:hAnsi="宋体" w:eastAsia="宋体"/>
          <w:b/>
          <w:bCs/>
          <w:color w:val="000000"/>
          <w:sz w:val="21"/>
          <w:szCs w:val="21"/>
        </w:rPr>
        <w:t xml:space="preserve">中小企业声明函（工程、服务）</w:t>
      </w:r>
      <w:r>
        <w:rPr>
          <w:rFonts w:hint="eastAsia" w:hAnsi="宋体" w:eastAsia="宋体"/>
          <w:b/>
          <w:bCs/>
          <w:color w:val="000000"/>
          <w:sz w:val="21"/>
          <w:szCs w:val="21"/>
        </w:rPr>
      </w:r>
      <w:r/>
    </w:p>
    <w:p>
      <w:pPr>
        <w:pStyle w:val="900"/>
        <w:ind w:firstLine="420"/>
        <w:spacing w:line="360" w:lineRule="auto"/>
        <w:rPr>
          <w:rFonts w:hint="eastAsia" w:ascii="宋体" w:hAnsi="宋体"/>
          <w:szCs w:val="21"/>
          <w:lang w:val="zh-CN"/>
        </w:rPr>
      </w:pPr>
      <w:r>
        <w:rPr>
          <w:rFonts w:ascii="宋体" w:hAnsi="宋体"/>
          <w:szCs w:val="21"/>
          <w:lang w:val="zh-CN"/>
        </w:rPr>
        <w:t xml:space="preserve">本公</w:t>
      </w:r>
      <w:r>
        <w:rPr>
          <w:rFonts w:hint="eastAsia" w:ascii="宋体" w:hAnsi="宋体"/>
          <w:szCs w:val="21"/>
          <w:lang w:val="zh-CN"/>
        </w:rPr>
        <w:t xml:space="preserve">司</w:t>
      </w:r>
      <w:r>
        <w:rPr>
          <w:rFonts w:ascii="宋体" w:hAnsi="宋体"/>
          <w:szCs w:val="21"/>
          <w:lang w:val="zh-CN"/>
        </w:rPr>
        <w:t xml:space="preserve">（联合体）郑重声明，根据《政府采购促进中小企业发展管理办法》（财库</w:t>
      </w:r>
      <w:r>
        <w:rPr>
          <w:rFonts w:hint="eastAsia" w:ascii="宋体" w:hAnsi="宋体"/>
          <w:szCs w:val="21"/>
          <w:lang w:val="zh-CN"/>
        </w:rPr>
        <w:t xml:space="preserve">﹝</w:t>
      </w:r>
      <w:r>
        <w:rPr>
          <w:rFonts w:ascii="宋体" w:hAnsi="宋体"/>
          <w:szCs w:val="21"/>
          <w:lang w:val="zh-CN"/>
        </w:rPr>
        <w:t xml:space="preserve">2020</w:t>
      </w:r>
      <w:r>
        <w:rPr>
          <w:rFonts w:hint="eastAsia" w:ascii="宋体" w:hAnsi="宋体"/>
          <w:szCs w:val="21"/>
          <w:lang w:val="zh-CN"/>
        </w:rPr>
        <w:t xml:space="preserve">﹞</w:t>
      </w:r>
      <w:r>
        <w:rPr>
          <w:rFonts w:ascii="宋体" w:hAnsi="宋体"/>
          <w:szCs w:val="21"/>
          <w:lang w:val="zh-CN"/>
        </w:rPr>
        <w:t xml:space="preserve">46 号）的规定，本公司 （联合体）参加</w:t>
      </w:r>
      <w:r>
        <w:rPr>
          <w:rFonts w:ascii="宋体" w:hAnsi="宋体"/>
          <w:szCs w:val="21"/>
          <w:u w:val="single"/>
          <w:lang w:val="zh-CN"/>
        </w:rPr>
        <w:t xml:space="preserve">（单位名称）</w:t>
      </w:r>
      <w:r>
        <w:rPr>
          <w:rFonts w:ascii="宋体" w:hAnsi="宋体"/>
          <w:szCs w:val="21"/>
          <w:lang w:val="zh-CN"/>
        </w:rPr>
        <w:t xml:space="preserve">的</w:t>
      </w:r>
      <w:r>
        <w:rPr>
          <w:rFonts w:ascii="宋体" w:hAnsi="宋体"/>
          <w:szCs w:val="21"/>
          <w:u w:val="single"/>
          <w:lang w:val="zh-CN"/>
        </w:rPr>
        <w:t xml:space="preserve">（项目名称）</w:t>
      </w:r>
      <w:r>
        <w:rPr>
          <w:rFonts w:ascii="宋体" w:hAnsi="宋体"/>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szCs w:val="21"/>
          <w:lang w:val="zh-CN"/>
        </w:rPr>
      </w:r>
      <w:r/>
    </w:p>
    <w:p>
      <w:pPr>
        <w:pStyle w:val="1154"/>
        <w:ind w:firstLine="420"/>
        <w:spacing w:line="360" w:lineRule="auto"/>
        <w:rPr>
          <w:rFonts w:hint="eastAsia" w:hAnsi="宋体" w:cs="宋体"/>
          <w:szCs w:val="21"/>
          <w:lang w:val="zh-CN"/>
        </w:rPr>
      </w:pPr>
      <w:r>
        <w:rPr>
          <w:rFonts w:hAnsi="宋体"/>
          <w:szCs w:val="21"/>
        </w:rPr>
        <w:t xml:space="preserve">1.</w:t>
      </w:r>
      <w:r>
        <w:rPr>
          <w:rFonts w:hint="eastAsia" w:hAnsi="宋体" w:cs="宋体"/>
          <w:szCs w:val="21"/>
          <w:u w:val="single"/>
        </w:rPr>
        <w:t xml:space="preserve">（标的名称）</w:t>
      </w:r>
      <w:r>
        <w:rPr>
          <w:rFonts w:hAnsi="宋体"/>
          <w:szCs w:val="21"/>
        </w:rPr>
        <w:t xml:space="preserve"> </w:t>
      </w:r>
      <w:r>
        <w:rPr>
          <w:rFonts w:hint="eastAsia" w:hAnsi="宋体" w:cs="宋体"/>
          <w:szCs w:val="21"/>
        </w:rPr>
        <w:t xml:space="preserve">，属于</w:t>
      </w:r>
      <w:r>
        <w:rPr>
          <w:rFonts w:hint="eastAsia" w:hAnsi="宋体" w:cs="宋体"/>
          <w:szCs w:val="21"/>
          <w:u w:val="single"/>
        </w:rPr>
        <w:t xml:space="preserve">（采购文件中明确的所属行业）</w:t>
      </w:r>
      <w:r>
        <w:rPr>
          <w:rFonts w:hint="eastAsia" w:hAnsi="宋体" w:cs="宋体"/>
          <w:szCs w:val="21"/>
        </w:rPr>
        <w:t xml:space="preserve">；</w:t>
      </w:r>
      <w:r>
        <w:rPr>
          <w:rFonts w:hAnsi="宋体"/>
          <w:szCs w:val="21"/>
        </w:rPr>
        <w:t xml:space="preserve"> </w:t>
      </w:r>
      <w:r>
        <w:rPr>
          <w:rFonts w:hint="eastAsia" w:hAnsi="宋体" w:cs="宋体"/>
          <w:szCs w:val="21"/>
        </w:rPr>
        <w:t xml:space="preserve">承建（承接）企业为</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szCs w:val="21"/>
          <w:u w:val="single"/>
          <w:lang w:val="zh-CN"/>
        </w:rPr>
        <w:t xml:space="preserve">     </w:t>
      </w:r>
      <w:r>
        <w:rPr>
          <w:rFonts w:hint="eastAsia" w:hAnsi="宋体" w:cs="宋体"/>
          <w:szCs w:val="21"/>
          <w:lang w:val="zh-CN"/>
        </w:rPr>
        <w:t xml:space="preserve">人，营业收入为</w:t>
      </w:r>
      <w:r>
        <w:rPr>
          <w:rFonts w:hint="eastAsia" w:hAnsi="宋体"/>
          <w:szCs w:val="21"/>
          <w:u w:val="single"/>
          <w:lang w:val="zh-CN"/>
        </w:rPr>
        <w:t xml:space="preserve">     </w:t>
      </w:r>
      <w:r>
        <w:rPr>
          <w:rFonts w:hint="eastAsia" w:hAnsi="宋体" w:cs="宋体"/>
          <w:szCs w:val="21"/>
          <w:lang w:val="zh-CN"/>
        </w:rPr>
        <w:t xml:space="preserve">万元，资产总额为</w:t>
      </w:r>
      <w:r>
        <w:rPr>
          <w:rFonts w:hint="eastAsia" w:hAnsi="宋体"/>
          <w:szCs w:val="21"/>
          <w:u w:val="single"/>
          <w:lang w:val="zh-CN"/>
        </w:rPr>
        <w:t xml:space="preserve">     </w:t>
      </w:r>
      <w:r>
        <w:rPr>
          <w:rFonts w:hint="eastAsia" w:hAnsi="宋体" w:cs="宋体"/>
          <w:szCs w:val="21"/>
          <w:lang w:val="zh-CN"/>
        </w:rPr>
        <w:t xml:space="preserve">万元</w:t>
      </w:r>
      <w:r>
        <w:rPr>
          <w:rFonts w:hAnsi="宋体"/>
          <w:szCs w:val="21"/>
          <w:lang w:val="zh-CN"/>
        </w:rPr>
        <w:t xml:space="preserve"> </w:t>
      </w:r>
      <w:r>
        <w:rPr>
          <w:rFonts w:hint="eastAsia" w:hAnsi="宋体" w:cs="宋体"/>
          <w:szCs w:val="21"/>
          <w:lang w:val="zh-CN"/>
        </w:rPr>
        <w:t xml:space="preserve">，属于</w:t>
      </w:r>
      <w:r>
        <w:rPr>
          <w:rFonts w:hint="eastAsia" w:hAnsi="宋体" w:cs="宋体"/>
          <w:szCs w:val="21"/>
          <w:u w:val="single"/>
          <w:lang w:val="zh-CN"/>
        </w:rPr>
        <w:t xml:space="preserve">（中型企业、小</w:t>
      </w:r>
      <w:r>
        <w:rPr>
          <w:rFonts w:hAnsi="宋体"/>
          <w:szCs w:val="21"/>
          <w:u w:val="single"/>
          <w:lang w:val="zh-CN"/>
        </w:rPr>
        <w:t xml:space="preserve"> </w:t>
      </w:r>
      <w:r>
        <w:rPr>
          <w:rFonts w:hint="eastAsia" w:hAnsi="宋体" w:cs="宋体"/>
          <w:szCs w:val="21"/>
          <w:u w:val="single"/>
          <w:lang w:val="zh-CN"/>
        </w:rPr>
        <w:t xml:space="preserve">型企业、微型企业）</w:t>
      </w:r>
      <w:r>
        <w:rPr>
          <w:rFonts w:hint="eastAsia" w:hAnsi="宋体" w:cs="宋体"/>
          <w:szCs w:val="21"/>
          <w:lang w:val="zh-CN"/>
        </w:rPr>
        <w:t xml:space="preserve">；</w:t>
      </w:r>
      <w:r/>
    </w:p>
    <w:p>
      <w:pPr>
        <w:pStyle w:val="1154"/>
        <w:ind w:firstLine="420"/>
        <w:spacing w:line="360" w:lineRule="auto"/>
        <w:rPr>
          <w:rFonts w:hint="eastAsia" w:hAnsi="宋体" w:cs="宋体"/>
          <w:szCs w:val="21"/>
          <w:lang w:val="zh-CN"/>
        </w:rPr>
      </w:pPr>
      <w:r>
        <w:rPr>
          <w:rFonts w:hint="eastAsia" w:hAnsi="宋体"/>
          <w:szCs w:val="21"/>
        </w:rPr>
        <w:t xml:space="preserve">2</w:t>
      </w:r>
      <w:r>
        <w:rPr>
          <w:rFonts w:hAnsi="宋体"/>
          <w:szCs w:val="21"/>
        </w:rPr>
        <w:t xml:space="preserve">.</w:t>
      </w:r>
      <w:r>
        <w:rPr>
          <w:rFonts w:hint="eastAsia" w:hAnsi="宋体" w:cs="宋体"/>
          <w:szCs w:val="21"/>
          <w:u w:val="single"/>
        </w:rPr>
        <w:t xml:space="preserve">（标的名称）</w:t>
      </w:r>
      <w:r>
        <w:rPr>
          <w:rFonts w:hint="eastAsia" w:hAnsi="宋体" w:cs="宋体"/>
          <w:szCs w:val="21"/>
        </w:rPr>
        <w:t xml:space="preserve">，属于</w:t>
      </w:r>
      <w:r>
        <w:rPr>
          <w:rFonts w:hint="eastAsia" w:hAnsi="宋体" w:cs="宋体"/>
          <w:szCs w:val="21"/>
          <w:u w:val="single"/>
        </w:rPr>
        <w:t xml:space="preserve">（采购文件中明确的所属行业）</w:t>
      </w:r>
      <w:r>
        <w:rPr>
          <w:rFonts w:hint="eastAsia" w:hAnsi="宋体" w:cs="宋体"/>
          <w:szCs w:val="21"/>
        </w:rPr>
        <w:t xml:space="preserve">；</w:t>
      </w:r>
      <w:r>
        <w:rPr>
          <w:rFonts w:hAnsi="宋体"/>
          <w:szCs w:val="21"/>
        </w:rPr>
        <w:t xml:space="preserve"> </w:t>
      </w:r>
      <w:r>
        <w:rPr>
          <w:rFonts w:hint="eastAsia" w:hAnsi="宋体" w:cs="宋体"/>
          <w:szCs w:val="21"/>
        </w:rPr>
        <w:t xml:space="preserve">承建（承接）企业为</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szCs w:val="21"/>
          <w:u w:val="single"/>
          <w:lang w:val="zh-CN"/>
        </w:rPr>
        <w:t xml:space="preserve">     </w:t>
      </w:r>
      <w:r>
        <w:rPr>
          <w:rFonts w:hint="eastAsia" w:hAnsi="宋体" w:cs="宋体"/>
          <w:szCs w:val="21"/>
          <w:lang w:val="zh-CN"/>
        </w:rPr>
        <w:t xml:space="preserve">人，营业收入为</w:t>
      </w:r>
      <w:r>
        <w:rPr>
          <w:rFonts w:hint="eastAsia" w:hAnsi="宋体"/>
          <w:szCs w:val="21"/>
          <w:u w:val="single"/>
          <w:lang w:val="zh-CN"/>
        </w:rPr>
        <w:t xml:space="preserve">     </w:t>
      </w:r>
      <w:r>
        <w:rPr>
          <w:rFonts w:hint="eastAsia" w:hAnsi="宋体" w:cs="宋体"/>
          <w:szCs w:val="21"/>
          <w:lang w:val="zh-CN"/>
        </w:rPr>
        <w:t xml:space="preserve">万元，资产总额为</w:t>
      </w:r>
      <w:r>
        <w:rPr>
          <w:rFonts w:hint="eastAsia" w:hAnsi="宋体"/>
          <w:szCs w:val="21"/>
          <w:u w:val="single"/>
          <w:lang w:val="zh-CN"/>
        </w:rPr>
        <w:t xml:space="preserve">     </w:t>
      </w:r>
      <w:r>
        <w:rPr>
          <w:rFonts w:hint="eastAsia" w:hAnsi="宋体" w:cs="宋体"/>
          <w:szCs w:val="21"/>
          <w:lang w:val="zh-CN"/>
        </w:rPr>
        <w:t xml:space="preserve">万元</w:t>
      </w:r>
      <w:r>
        <w:rPr>
          <w:rFonts w:hAnsi="宋体"/>
          <w:szCs w:val="21"/>
          <w:lang w:val="zh-CN"/>
        </w:rPr>
        <w:t xml:space="preserve"> </w:t>
      </w:r>
      <w:r>
        <w:rPr>
          <w:rFonts w:hint="eastAsia" w:hAnsi="宋体" w:cs="宋体"/>
          <w:szCs w:val="21"/>
          <w:lang w:val="zh-CN"/>
        </w:rPr>
        <w:t xml:space="preserve">，属于</w:t>
      </w:r>
      <w:r>
        <w:rPr>
          <w:rFonts w:hint="eastAsia" w:hAnsi="宋体" w:cs="宋体"/>
          <w:szCs w:val="21"/>
          <w:u w:val="single"/>
          <w:lang w:val="zh-CN"/>
        </w:rPr>
        <w:t xml:space="preserve">（中型企业、小</w:t>
      </w:r>
      <w:r>
        <w:rPr>
          <w:rFonts w:hAnsi="宋体"/>
          <w:szCs w:val="21"/>
          <w:u w:val="single"/>
          <w:lang w:val="zh-CN"/>
        </w:rPr>
        <w:t xml:space="preserve"> </w:t>
      </w:r>
      <w:r>
        <w:rPr>
          <w:rFonts w:hint="eastAsia" w:hAnsi="宋体" w:cs="宋体"/>
          <w:szCs w:val="21"/>
          <w:u w:val="single"/>
          <w:lang w:val="zh-CN"/>
        </w:rPr>
        <w:t xml:space="preserve">型企业、微型企业）</w:t>
      </w:r>
      <w:r>
        <w:rPr>
          <w:rFonts w:hint="eastAsia" w:hAnsi="宋体" w:cs="宋体"/>
          <w:szCs w:val="21"/>
          <w:lang w:val="zh-CN"/>
        </w:rPr>
        <w:t xml:space="preserve">；</w:t>
      </w:r>
      <w:r/>
    </w:p>
    <w:p>
      <w:pPr>
        <w:pStyle w:val="900"/>
        <w:ind w:firstLine="420"/>
        <w:spacing w:line="360" w:lineRule="auto"/>
        <w:rPr>
          <w:rFonts w:hint="eastAsia" w:ascii="宋体" w:hAnsi="宋体"/>
          <w:szCs w:val="21"/>
          <w:lang w:val="zh-CN"/>
        </w:rPr>
      </w:pPr>
      <w:r>
        <w:rPr>
          <w:rFonts w:ascii="宋体" w:hAnsi="宋体"/>
          <w:szCs w:val="21"/>
          <w:lang w:val="zh-CN"/>
        </w:rPr>
        <w:t xml:space="preserve">…… </w:t>
      </w:r>
      <w:r>
        <w:rPr>
          <w:rFonts w:hint="eastAsia" w:ascii="宋体" w:hAnsi="宋体"/>
          <w:szCs w:val="21"/>
          <w:lang w:val="zh-CN"/>
        </w:rPr>
      </w:r>
      <w:r/>
    </w:p>
    <w:p>
      <w:pPr>
        <w:pStyle w:val="900"/>
        <w:ind w:firstLine="420"/>
        <w:spacing w:line="360" w:lineRule="auto"/>
        <w:rPr>
          <w:rFonts w:hint="eastAsia" w:ascii="宋体" w:hAnsi="宋体"/>
          <w:szCs w:val="21"/>
          <w:lang w:val="zh-CN"/>
        </w:rPr>
      </w:pPr>
      <w:r>
        <w:rPr>
          <w:rFonts w:ascii="宋体" w:hAnsi="宋体"/>
          <w:szCs w:val="21"/>
          <w:lang w:val="zh-CN"/>
        </w:rPr>
        <w:t xml:space="preserve">以上企业，不属于大企业的分支机构，不存在控股股东为大企业的情形，也不存在与大企业的负责人为同一人的情形。</w:t>
      </w:r>
      <w:r>
        <w:rPr>
          <w:rFonts w:hint="eastAsia" w:ascii="宋体" w:hAnsi="宋体"/>
          <w:szCs w:val="21"/>
          <w:lang w:val="zh-CN"/>
        </w:rPr>
      </w:r>
      <w:r/>
    </w:p>
    <w:p>
      <w:pPr>
        <w:pStyle w:val="900"/>
        <w:ind w:firstLine="420"/>
        <w:spacing w:line="360" w:lineRule="auto"/>
        <w:rPr>
          <w:rFonts w:hint="eastAsia" w:ascii="宋体" w:hAnsi="宋体"/>
          <w:szCs w:val="21"/>
          <w:lang w:val="zh-CN"/>
        </w:rPr>
      </w:pPr>
      <w:r>
        <w:rPr>
          <w:rFonts w:ascii="宋体" w:hAnsi="宋体"/>
          <w:szCs w:val="21"/>
          <w:lang w:val="zh-CN"/>
        </w:rPr>
        <w:t xml:space="preserve">本企业对上述声明内容的真实性负责。如有虚假，将依法承担相应责任。</w:t>
      </w:r>
      <w:r>
        <w:rPr>
          <w:rFonts w:hint="eastAsia" w:ascii="宋体" w:hAnsi="宋体"/>
          <w:szCs w:val="21"/>
          <w:lang w:val="zh-CN"/>
        </w:rPr>
      </w:r>
      <w:r/>
    </w:p>
    <w:p>
      <w:pPr>
        <w:pStyle w:val="1154"/>
        <w:ind w:firstLine="420"/>
        <w:spacing w:line="360" w:lineRule="auto"/>
        <w:rPr>
          <w:rFonts w:hint="eastAsia" w:hAnsi="宋体" w:cs="宋体"/>
          <w:szCs w:val="21"/>
        </w:rPr>
      </w:pPr>
      <w:r>
        <w:rPr>
          <w:rFonts w:hint="eastAsia" w:hAnsi="宋体" w:cs="宋体"/>
          <w:szCs w:val="21"/>
        </w:rPr>
        <w:t xml:space="preserve">注：1、</w:t>
      </w:r>
      <w:r>
        <w:rPr>
          <w:rFonts w:hAnsi="宋体" w:cs="宋体"/>
          <w:szCs w:val="21"/>
        </w:rPr>
        <w:t xml:space="preserve">从业人员、营业收入、资产总额填报上一年度数据，无上一年度数据的新成立企业可不填报。</w:t>
      </w:r>
      <w:r>
        <w:rPr>
          <w:rFonts w:hint="eastAsia" w:hAnsi="宋体" w:cs="宋体"/>
          <w:szCs w:val="21"/>
        </w:rPr>
      </w:r>
      <w:r/>
    </w:p>
    <w:p>
      <w:pPr>
        <w:pStyle w:val="1154"/>
        <w:ind w:firstLine="422"/>
        <w:spacing w:line="360" w:lineRule="auto"/>
        <w:rPr>
          <w:rFonts w:hint="eastAsia" w:hAnsi="宋体" w:cs="宋体"/>
          <w:b/>
          <w:color w:val="000000"/>
        </w:rPr>
      </w:pPr>
      <w:r>
        <w:rPr>
          <w:rFonts w:hint="eastAsia" w:hAnsi="宋体" w:cs="宋体"/>
          <w:b/>
          <w:color w:val="000000"/>
        </w:rPr>
        <w:t xml:space="preserve">2</w:t>
      </w:r>
      <w:r>
        <w:rPr>
          <w:rFonts w:hAnsi="宋体" w:cs="宋体"/>
          <w:b/>
          <w:color w:val="000000"/>
        </w:rPr>
        <w:t xml:space="preserve">.本项目服务所属行业为</w:t>
      </w:r>
      <w:r>
        <w:rPr>
          <w:rFonts w:hint="eastAsia" w:hAnsi="宋体" w:cs="宋体"/>
          <w:b/>
          <w:bCs/>
          <w:color w:val="000000"/>
          <w:szCs w:val="21"/>
        </w:rPr>
        <w:t xml:space="preserve">其他未列明行业</w:t>
      </w:r>
      <w:r>
        <w:rPr>
          <w:rFonts w:hAnsi="宋体" w:cs="宋体"/>
          <w:b/>
          <w:color w:val="000000"/>
        </w:rPr>
        <w:t xml:space="preserve">，中小微企业划分标准请根据《中小企业划型标准规定》（工信部联企业﹝2011﹞300号文）。</w:t>
      </w:r>
      <w:r>
        <w:rPr>
          <w:rFonts w:hint="eastAsia" w:hAnsi="宋体" w:cs="宋体"/>
          <w:b/>
          <w:color w:val="000000"/>
        </w:rPr>
      </w:r>
      <w:r/>
    </w:p>
    <w:p>
      <w:pPr>
        <w:pStyle w:val="1154"/>
        <w:ind w:firstLine="420"/>
        <w:jc w:val="left"/>
        <w:spacing w:line="360" w:lineRule="auto"/>
        <w:rPr>
          <w:rFonts w:hint="eastAsia" w:hAnsi="宋体"/>
          <w:szCs w:val="21"/>
        </w:rPr>
      </w:pPr>
      <w:r>
        <w:rPr>
          <w:rFonts w:hint="eastAsia" w:hAnsi="宋体" w:cs="宋体"/>
          <w:szCs w:val="21"/>
        </w:rPr>
        <w:t xml:space="preserve">企业名称（盖章）：</w:t>
      </w:r>
      <w:r>
        <w:rPr>
          <w:rFonts w:hint="eastAsia" w:hAnsi="宋体"/>
          <w:szCs w:val="21"/>
        </w:rPr>
      </w:r>
      <w:r/>
    </w:p>
    <w:p>
      <w:pPr>
        <w:pStyle w:val="1154"/>
        <w:ind w:firstLine="420"/>
        <w:jc w:val="left"/>
        <w:spacing w:line="360" w:lineRule="auto"/>
        <w:rPr>
          <w:rFonts w:hint="eastAsia" w:hAnsi="宋体" w:cs="宋体"/>
          <w:szCs w:val="21"/>
        </w:rPr>
      </w:pPr>
      <w:r>
        <w:rPr>
          <w:rFonts w:hint="eastAsia" w:hAnsi="宋体" w:cs="宋体"/>
          <w:szCs w:val="21"/>
        </w:rPr>
        <w:t xml:space="preserve">日</w:t>
      </w:r>
      <w:r>
        <w:rPr>
          <w:rFonts w:hAnsi="宋体"/>
          <w:szCs w:val="21"/>
        </w:rPr>
        <w:t xml:space="preserve"> </w:t>
      </w:r>
      <w:r>
        <w:rPr>
          <w:rFonts w:hint="eastAsia" w:hAnsi="宋体" w:cs="宋体"/>
          <w:szCs w:val="21"/>
        </w:rPr>
        <w:t xml:space="preserve">期：</w:t>
      </w:r>
      <w:r/>
    </w:p>
    <w:p>
      <w:pPr>
        <w:pStyle w:val="900"/>
        <w:ind w:firstLine="200"/>
        <w:spacing w:line="360" w:lineRule="auto"/>
        <w:rPr>
          <w:rFonts w:ascii="宋体" w:hAnsi="宋体"/>
          <w:szCs w:val="21"/>
        </w:rPr>
      </w:pPr>
      <w:r>
        <w:rPr>
          <w:rFonts w:ascii="宋体" w:hAnsi="宋体"/>
          <w:szCs w:val="21"/>
        </w:rPr>
        <w:t xml:space="preserve">注：1、中小企业划分标准详见工信部联企业〔2011〕300号通知中的《中小企业划型标准规定》。</w:t>
      </w:r>
      <w:r/>
    </w:p>
    <w:p>
      <w:pPr>
        <w:pStyle w:val="900"/>
        <w:ind w:firstLine="420"/>
        <w:spacing w:line="360" w:lineRule="auto"/>
        <w:rPr>
          <w:rFonts w:ascii="宋体" w:hAnsi="宋体"/>
          <w:szCs w:val="21"/>
        </w:rPr>
      </w:pPr>
      <w:r>
        <w:rPr>
          <w:rFonts w:ascii="宋体" w:hAnsi="宋体"/>
          <w:szCs w:val="21"/>
        </w:rPr>
        <w:t xml:space="preserve">2、如供应商认定本企业为小型或微型企业，则需根据“工信部联企业〔2011〕300号”通知中的《中小企业划型标准规定》填报“中小企业声明函”。 </w:t>
      </w:r>
      <w:r/>
    </w:p>
    <w:p>
      <w:pPr>
        <w:pStyle w:val="900"/>
        <w:ind w:firstLine="420"/>
        <w:spacing w:line="360" w:lineRule="auto"/>
        <w:rPr>
          <w:rFonts w:hint="eastAsia" w:ascii="宋体" w:hAnsi="宋体" w:cs="宋体"/>
          <w:bCs/>
          <w:szCs w:val="21"/>
        </w:rPr>
      </w:pPr>
      <w:r>
        <w:rPr>
          <w:rFonts w:hint="eastAsia" w:ascii="宋体" w:hAnsi="宋体"/>
          <w:szCs w:val="21"/>
        </w:rPr>
        <w:t xml:space="preserve">3、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bCs/>
          <w:szCs w:val="21"/>
        </w:rPr>
      </w:r>
      <w:r/>
    </w:p>
    <w:p>
      <w:pPr>
        <w:pStyle w:val="1065"/>
        <w:jc w:val="center"/>
        <w:spacing w:line="360" w:lineRule="auto"/>
        <w:rPr>
          <w:rFonts w:hint="eastAsia" w:hAnsi="宋体" w:eastAsia="宋体"/>
          <w:b/>
          <w:bCs/>
          <w:color w:val="000000"/>
          <w:sz w:val="21"/>
          <w:szCs w:val="21"/>
        </w:rPr>
      </w:pPr>
      <w:r>
        <w:rPr>
          <w:rFonts w:hint="eastAsia" w:hAnsi="宋体" w:eastAsia="宋体"/>
          <w:b/>
          <w:bCs/>
          <w:color w:val="000000"/>
          <w:sz w:val="21"/>
          <w:szCs w:val="21"/>
        </w:rPr>
        <w:br w:type="page" w:clear="all"/>
        <w:t xml:space="preserve">关于印发中小企业划型标准规定的通知</w:t>
      </w:r>
      <w:r/>
    </w:p>
    <w:p>
      <w:pPr>
        <w:pStyle w:val="1065"/>
        <w:jc w:val="center"/>
        <w:spacing w:line="360" w:lineRule="auto"/>
        <w:rPr>
          <w:rFonts w:hAnsi="宋体" w:eastAsia="宋体"/>
          <w:b/>
          <w:bCs/>
          <w:color w:val="000000"/>
          <w:sz w:val="21"/>
          <w:szCs w:val="21"/>
        </w:rPr>
      </w:pPr>
      <w:r>
        <w:rPr>
          <w:rFonts w:hint="eastAsia" w:hAnsi="宋体" w:eastAsia="宋体"/>
          <w:b/>
          <w:bCs/>
          <w:color w:val="000000"/>
          <w:sz w:val="21"/>
          <w:szCs w:val="21"/>
        </w:rPr>
        <w:t xml:space="preserve">工信部联企业〔2011〕300号</w:t>
      </w:r>
      <w:r>
        <w:rPr>
          <w:rFonts w:hAnsi="宋体" w:eastAsia="宋体"/>
          <w:b/>
          <w:bCs/>
          <w:color w:val="000000"/>
          <w:sz w:val="21"/>
          <w:szCs w:val="21"/>
        </w:rPr>
      </w:r>
      <w:r/>
    </w:p>
    <w:p>
      <w:pPr>
        <w:pStyle w:val="900"/>
        <w:ind w:firstLine="420"/>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pStyle w:val="900"/>
        <w:ind w:firstLine="420"/>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w:t>
      </w:r>
      <w:r>
        <w:rPr>
          <w:rFonts w:hint="eastAsia" w:ascii="宋体" w:hAnsi="宋体" w:cs="宋体"/>
          <w:szCs w:val="21"/>
        </w:rPr>
        <w:t xml:space="preserve">工业和信息化部、国家统计局、发展改革委、财政部研究制定了《中小企业划型标准规定》。经国务院同意，现印发给你们，请遵照执行。</w:t>
      </w:r>
      <w:r/>
    </w:p>
    <w:p>
      <w:pPr>
        <w:pStyle w:val="900"/>
        <w:ind w:firstLine="420"/>
        <w:jc w:val="right"/>
        <w:spacing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pStyle w:val="900"/>
        <w:ind w:firstLine="420"/>
        <w:jc w:val="right"/>
        <w:spacing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pStyle w:val="900"/>
        <w:ind w:firstLine="420"/>
        <w:jc w:val="right"/>
        <w:spacing w:line="360" w:lineRule="auto"/>
        <w:rPr>
          <w:rFonts w:ascii="宋体" w:hAnsi="宋体" w:cs="宋体"/>
          <w:color w:val="000000"/>
          <w:szCs w:val="21"/>
        </w:rPr>
      </w:pPr>
      <w:r>
        <w:rPr>
          <w:rFonts w:hint="eastAsia" w:ascii="宋体" w:hAnsi="宋体" w:cs="宋体"/>
          <w:szCs w:val="21"/>
        </w:rPr>
        <w:t xml:space="preserve">　　　　　　　　　　　　　　　　　　　　　　　　二○一一年六月十八日</w:t>
      </w:r>
      <w:r>
        <w:rPr>
          <w:rFonts w:ascii="宋体" w:hAnsi="宋体" w:cs="宋体"/>
          <w:color w:val="000000"/>
          <w:szCs w:val="21"/>
        </w:rPr>
      </w:r>
      <w:r/>
    </w:p>
    <w:p>
      <w:pPr>
        <w:pStyle w:val="900"/>
        <w:ind w:firstLine="420"/>
        <w:spacing w:line="360" w:lineRule="auto"/>
        <w:rPr>
          <w:rFonts w:ascii="宋体" w:hAnsi="宋体" w:cs="宋体"/>
          <w:color w:val="000000"/>
          <w:szCs w:val="21"/>
        </w:rPr>
      </w:pPr>
      <w:r>
        <w:rPr>
          <w:rFonts w:ascii="宋体" w:hAnsi="宋体" w:cs="宋体"/>
          <w:color w:val="000000"/>
          <w:szCs w:val="21"/>
        </w:rPr>
        <w:br w:type="page" w:clear="all"/>
      </w:r>
      <w:bookmarkStart w:id="35" w:name="_Ref343881462"/>
      <w:r/>
      <w:bookmarkStart w:id="36" w:name="_Toc497431311"/>
      <w:r>
        <w:rPr>
          <w:rFonts w:ascii="宋体" w:hAnsi="宋体" w:cs="宋体"/>
          <w:color w:val="000000"/>
          <w:szCs w:val="21"/>
        </w:rPr>
      </w:r>
      <w:r/>
    </w:p>
    <w:p>
      <w:pPr>
        <w:pStyle w:val="900"/>
        <w:ind w:right="1560" w:firstLine="420"/>
        <w:jc w:val="right"/>
        <w:spacing w:line="580" w:lineRule="exact"/>
        <w:tabs>
          <w:tab w:val="left" w:pos="4860" w:leader="none"/>
        </w:tabs>
        <w:rPr>
          <w:rFonts w:hint="eastAsia" w:ascii="宋体" w:hAnsi="宋体" w:cs="宋体"/>
          <w:color w:val="000000"/>
          <w:szCs w:val="21"/>
        </w:rPr>
      </w:pPr>
      <w:r>
        <w:rPr>
          <w:rFonts w:hint="eastAsia" w:ascii="宋体" w:hAnsi="宋体" w:cs="宋体"/>
          <w:color w:val="000000"/>
          <w:szCs w:val="21"/>
        </w:rPr>
      </w:r>
      <w:r/>
    </w:p>
    <w:p>
      <w:pPr>
        <w:pStyle w:val="902"/>
        <w:spacing w:line="416" w:lineRule="auto"/>
        <w:rPr>
          <w:rFonts w:ascii="宋体" w:hAnsi="宋体" w:eastAsia="宋体"/>
          <w:color w:val="000000"/>
          <w:sz w:val="21"/>
          <w:szCs w:val="21"/>
        </w:rPr>
      </w:pPr>
      <w:r/>
      <w:bookmarkStart w:id="37" w:name="_Ref22898688"/>
      <w:r/>
      <w:bookmarkStart w:id="38" w:name="_Toc78976398"/>
      <w:r>
        <w:rPr>
          <w:rFonts w:hint="eastAsia" w:ascii="宋体" w:hAnsi="宋体" w:eastAsia="宋体"/>
          <w:color w:val="000000"/>
          <w:sz w:val="21"/>
          <w:szCs w:val="21"/>
        </w:rPr>
        <w:t xml:space="preserve">偏离表（商务）：</w:t>
      </w:r>
      <w:bookmarkEnd w:id="35"/>
      <w:r/>
      <w:bookmarkEnd w:id="36"/>
      <w:r/>
      <w:bookmarkEnd w:id="37"/>
      <w:r/>
      <w:bookmarkEnd w:id="38"/>
      <w:r>
        <w:rPr>
          <w:rFonts w:ascii="宋体" w:hAnsi="宋体" w:eastAsia="宋体"/>
          <w:color w:val="000000"/>
          <w:sz w:val="21"/>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2"/>
        <w:gridCol w:w="2322"/>
        <w:gridCol w:w="2119"/>
        <w:gridCol w:w="2524"/>
      </w:tblGrid>
      <w:tr>
        <w:trPr/>
        <w:tc>
          <w:tcPr>
            <w:tcW w:w="1250" w:type="pct"/>
            <w:vAlign w:val="center"/>
            <w:textDirection w:val="lrTb"/>
            <w:noWrap w:val="false"/>
          </w:tcPr>
          <w:p>
            <w:pPr>
              <w:pStyle w:val="92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1250" w:type="pct"/>
            <w:vAlign w:val="center"/>
            <w:textDirection w:val="lrTb"/>
            <w:noWrap w:val="false"/>
          </w:tcPr>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w:t>
            </w:r>
            <w:r>
              <w:rPr>
                <w:rFonts w:ascii="宋体" w:hAnsi="宋体" w:eastAsia="宋体"/>
                <w:color w:val="000000"/>
                <w:sz w:val="21"/>
                <w:szCs w:val="21"/>
              </w:rPr>
            </w:r>
            <w:r/>
          </w:p>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（详见招标文件）</w:t>
            </w:r>
            <w:r>
              <w:rPr>
                <w:rFonts w:ascii="宋体" w:hAnsi="宋体" w:eastAsia="宋体"/>
                <w:color w:val="000000"/>
                <w:sz w:val="21"/>
                <w:szCs w:val="21"/>
              </w:rPr>
            </w:r>
            <w:r/>
          </w:p>
        </w:tc>
        <w:tc>
          <w:tcPr>
            <w:tcW w:w="1141" w:type="pct"/>
            <w:vAlign w:val="center"/>
            <w:textDirection w:val="lrTb"/>
            <w:noWrap w:val="false"/>
          </w:tcPr>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1359" w:type="pct"/>
            <w:vAlign w:val="center"/>
            <w:textDirection w:val="lrTb"/>
            <w:noWrap w:val="false"/>
          </w:tcPr>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1250" w:type="pct"/>
            <w:vAlign w:val="center"/>
            <w:textDirection w:val="lrTb"/>
            <w:noWrap w:val="false"/>
          </w:tcPr>
          <w:p>
            <w:pPr>
              <w:pStyle w:val="92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工期（服务期）</w:t>
            </w:r>
            <w:r>
              <w:rPr>
                <w:rFonts w:ascii="宋体" w:hAnsi="宋体" w:eastAsia="宋体"/>
                <w:color w:val="000000"/>
                <w:sz w:val="21"/>
                <w:szCs w:val="21"/>
              </w:rPr>
            </w:r>
            <w:r/>
          </w:p>
        </w:tc>
        <w:tc>
          <w:tcPr>
            <w:tcW w:w="1250"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41"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9"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250" w:type="pct"/>
            <w:vAlign w:val="center"/>
            <w:textDirection w:val="lrTb"/>
            <w:noWrap w:val="false"/>
          </w:tcPr>
          <w:p>
            <w:pPr>
              <w:pStyle w:val="92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响应时间</w:t>
            </w:r>
            <w:r>
              <w:rPr>
                <w:rFonts w:ascii="宋体" w:hAnsi="宋体" w:eastAsia="宋体"/>
                <w:color w:val="000000"/>
                <w:sz w:val="21"/>
                <w:szCs w:val="21"/>
              </w:rPr>
            </w:r>
            <w:r/>
          </w:p>
        </w:tc>
        <w:tc>
          <w:tcPr>
            <w:tcW w:w="1250"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41"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9"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250" w:type="pct"/>
            <w:vAlign w:val="center"/>
            <w:textDirection w:val="lrTb"/>
            <w:noWrap w:val="false"/>
          </w:tcPr>
          <w:p>
            <w:pPr>
              <w:pStyle w:val="92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质保期（如有）</w:t>
            </w:r>
            <w:r>
              <w:rPr>
                <w:rFonts w:ascii="宋体" w:hAnsi="宋体" w:eastAsia="宋体"/>
                <w:color w:val="000000"/>
                <w:sz w:val="21"/>
                <w:szCs w:val="21"/>
              </w:rPr>
            </w:r>
            <w:r/>
          </w:p>
        </w:tc>
        <w:tc>
          <w:tcPr>
            <w:tcW w:w="1250"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41"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9"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250" w:type="pct"/>
            <w:vAlign w:val="center"/>
            <w:textDirection w:val="lrTb"/>
            <w:noWrap w:val="false"/>
          </w:tcPr>
          <w:p>
            <w:pPr>
              <w:pStyle w:val="92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付款方式</w:t>
            </w:r>
            <w:r>
              <w:rPr>
                <w:rFonts w:ascii="宋体" w:hAnsi="宋体" w:eastAsia="宋体"/>
                <w:color w:val="000000"/>
                <w:sz w:val="21"/>
                <w:szCs w:val="21"/>
              </w:rPr>
            </w:r>
            <w:r/>
          </w:p>
        </w:tc>
        <w:tc>
          <w:tcPr>
            <w:tcW w:w="1250"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141"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59" w:type="pct"/>
            <w:vAlign w:val="center"/>
            <w:textDirection w:val="lrTb"/>
            <w:noWrap w:val="false"/>
          </w:tcPr>
          <w:p>
            <w:pPr>
              <w:pStyle w:val="92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250" w:type="pct"/>
            <w:vAlign w:val="center"/>
            <w:textDirection w:val="lrTb"/>
            <w:noWrap w:val="false"/>
          </w:tcPr>
          <w:p>
            <w:pPr>
              <w:pStyle w:val="920"/>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1250" w:type="pct"/>
            <w:vAlign w:val="center"/>
            <w:textDirection w:val="lrTb"/>
            <w:noWrap w:val="false"/>
          </w:tcPr>
          <w:p>
            <w:pPr>
              <w:pStyle w:val="920"/>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1141" w:type="pct"/>
            <w:vAlign w:val="center"/>
            <w:textDirection w:val="lrTb"/>
            <w:noWrap w:val="false"/>
          </w:tcPr>
          <w:p>
            <w:pPr>
              <w:pStyle w:val="920"/>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1359" w:type="pct"/>
            <w:vAlign w:val="center"/>
            <w:textDirection w:val="lrTb"/>
            <w:noWrap w:val="false"/>
          </w:tcPr>
          <w:p>
            <w:pPr>
              <w:pStyle w:val="920"/>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20"/>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投标人（单位盖章）：</w:t>
      </w:r>
      <w:r>
        <w:rPr>
          <w:rFonts w:ascii="宋体" w:hAnsi="宋体" w:eastAsia="宋体"/>
          <w:color w:val="000000"/>
          <w:sz w:val="21"/>
          <w:szCs w:val="21"/>
        </w:rPr>
      </w:r>
      <w:r/>
    </w:p>
    <w:p>
      <w:pPr>
        <w:pStyle w:val="920"/>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法定代表人或被授权人（签字或盖章）：                         年  月  日</w:t>
      </w:r>
      <w:r/>
    </w:p>
    <w:p>
      <w:pPr>
        <w:pStyle w:val="902"/>
        <w:spacing w:line="416" w:lineRule="auto"/>
        <w:rPr>
          <w:rFonts w:ascii="宋体" w:hAnsi="宋体" w:eastAsia="宋体"/>
          <w:color w:val="000000"/>
          <w:sz w:val="21"/>
          <w:szCs w:val="21"/>
        </w:rPr>
      </w:pPr>
      <w:r/>
      <w:bookmarkStart w:id="39" w:name="_Ref501489596"/>
      <w:r/>
      <w:bookmarkStart w:id="40" w:name="_Toc78976399"/>
      <w:r>
        <w:rPr>
          <w:rFonts w:hint="eastAsia" w:ascii="宋体" w:hAnsi="宋体" w:eastAsia="宋体"/>
          <w:color w:val="000000"/>
          <w:sz w:val="21"/>
          <w:szCs w:val="21"/>
        </w:rPr>
        <w:t xml:space="preserve">偏离表（技术）：</w:t>
      </w:r>
      <w:bookmarkEnd w:id="39"/>
      <w:r/>
      <w:bookmarkEnd w:id="40"/>
      <w:r>
        <w:rPr>
          <w:rFonts w:ascii="宋体" w:hAnsi="宋体" w:eastAsia="宋体"/>
          <w:color w:val="000000"/>
          <w:sz w:val="21"/>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2"/>
        <w:gridCol w:w="2322"/>
        <w:gridCol w:w="2119"/>
        <w:gridCol w:w="2524"/>
      </w:tblGrid>
      <w:tr>
        <w:trPr/>
        <w:tc>
          <w:tcPr>
            <w:tcW w:w="1250" w:type="pct"/>
            <w:vAlign w:val="center"/>
            <w:textDirection w:val="lrTb"/>
            <w:noWrap w:val="false"/>
          </w:tcPr>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项      目</w:t>
            </w:r>
            <w:r>
              <w:rPr>
                <w:rFonts w:ascii="宋体" w:hAnsi="宋体" w:eastAsia="宋体"/>
                <w:color w:val="000000"/>
                <w:sz w:val="21"/>
                <w:szCs w:val="21"/>
              </w:rPr>
            </w:r>
            <w:r/>
          </w:p>
        </w:tc>
        <w:tc>
          <w:tcPr>
            <w:tcW w:w="1250" w:type="pct"/>
            <w:vAlign w:val="center"/>
            <w:textDirection w:val="lrTb"/>
            <w:noWrap w:val="false"/>
          </w:tcPr>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w:t>
            </w:r>
            <w:r>
              <w:rPr>
                <w:rFonts w:ascii="宋体" w:hAnsi="宋体" w:eastAsia="宋体"/>
                <w:color w:val="000000"/>
                <w:sz w:val="21"/>
                <w:szCs w:val="21"/>
              </w:rPr>
            </w:r>
            <w:r/>
          </w:p>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（详见招标文件）</w:t>
            </w:r>
            <w:r>
              <w:rPr>
                <w:rFonts w:ascii="宋体" w:hAnsi="宋体" w:eastAsia="宋体"/>
                <w:color w:val="000000"/>
                <w:sz w:val="21"/>
                <w:szCs w:val="21"/>
              </w:rPr>
            </w:r>
            <w:r/>
          </w:p>
        </w:tc>
        <w:tc>
          <w:tcPr>
            <w:tcW w:w="1141" w:type="pct"/>
            <w:vAlign w:val="center"/>
            <w:textDirection w:val="lrTb"/>
            <w:noWrap w:val="false"/>
          </w:tcPr>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rPr>
                <w:rFonts w:ascii="宋体" w:hAnsi="宋体" w:eastAsia="宋体"/>
                <w:color w:val="000000"/>
                <w:sz w:val="21"/>
                <w:szCs w:val="21"/>
              </w:rPr>
            </w:r>
            <w:r/>
          </w:p>
        </w:tc>
        <w:tc>
          <w:tcPr>
            <w:tcW w:w="1359" w:type="pct"/>
            <w:vAlign w:val="center"/>
            <w:textDirection w:val="lrTb"/>
            <w:noWrap w:val="false"/>
          </w:tcPr>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rPr>
                <w:rFonts w:ascii="宋体" w:hAnsi="宋体" w:eastAsia="宋体"/>
                <w:color w:val="000000"/>
                <w:sz w:val="21"/>
                <w:szCs w:val="21"/>
              </w:rPr>
            </w:r>
            <w:r/>
          </w:p>
        </w:tc>
      </w:tr>
      <w:tr>
        <w:trPr/>
        <w:tc>
          <w:tcPr>
            <w:tcW w:w="1250" w:type="pct"/>
            <w:vAlign w:val="center"/>
            <w:textDirection w:val="lrTb"/>
            <w:noWrap w:val="false"/>
          </w:tcPr>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标的物</w:t>
            </w:r>
            <w:r>
              <w:rPr>
                <w:rFonts w:ascii="宋体" w:hAnsi="宋体" w:eastAsia="宋体"/>
                <w:color w:val="000000"/>
                <w:sz w:val="21"/>
                <w:szCs w:val="21"/>
              </w:rPr>
            </w:r>
            <w:r/>
          </w:p>
        </w:tc>
        <w:tc>
          <w:tcPr>
            <w:tcW w:w="1250"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1141"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1359"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r>
      <w:tr>
        <w:trPr/>
        <w:tc>
          <w:tcPr>
            <w:tcW w:w="1250" w:type="pct"/>
            <w:vAlign w:val="center"/>
            <w:textDirection w:val="lrTb"/>
            <w:noWrap w:val="false"/>
          </w:tcPr>
          <w:p>
            <w:pPr>
              <w:pStyle w:val="920"/>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1250"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1141"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1359"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r>
      <w:tr>
        <w:trPr/>
        <w:tc>
          <w:tcPr>
            <w:tcW w:w="1250" w:type="pct"/>
            <w:vAlign w:val="center"/>
            <w:textDirection w:val="lrTb"/>
            <w:noWrap w:val="false"/>
          </w:tcPr>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1250"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1141"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1359"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r>
      <w:tr>
        <w:trPr/>
        <w:tc>
          <w:tcPr>
            <w:tcW w:w="1250" w:type="pct"/>
            <w:vAlign w:val="center"/>
            <w:textDirection w:val="lrTb"/>
            <w:noWrap w:val="false"/>
          </w:tcPr>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tc>
        <w:tc>
          <w:tcPr>
            <w:tcW w:w="1250"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1141"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1359"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r>
      <w:tr>
        <w:trPr/>
        <w:tc>
          <w:tcPr>
            <w:tcW w:w="1250" w:type="pct"/>
            <w:vAlign w:val="center"/>
            <w:textDirection w:val="lrTb"/>
            <w:noWrap w:val="false"/>
          </w:tcPr>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920"/>
              <w:ind w:firstLine="0"/>
              <w:jc w:val="center"/>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rPr>
                <w:rFonts w:ascii="宋体" w:hAnsi="宋体" w:eastAsia="宋体"/>
                <w:color w:val="000000"/>
                <w:sz w:val="21"/>
                <w:szCs w:val="21"/>
              </w:rPr>
            </w:r>
            <w:r/>
          </w:p>
        </w:tc>
        <w:tc>
          <w:tcPr>
            <w:tcW w:w="1250"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1141"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c>
          <w:tcPr>
            <w:tcW w:w="1359" w:type="pct"/>
            <w:vAlign w:val="center"/>
            <w:textDirection w:val="lrTb"/>
            <w:noWrap w:val="false"/>
          </w:tcPr>
          <w:p>
            <w:pPr>
              <w:pStyle w:val="920"/>
              <w:ind w:firstLine="0"/>
              <w:rPr>
                <w:rFonts w:ascii="宋体" w:hAnsi="宋体" w:eastAsia="宋体"/>
                <w:color w:val="000000"/>
                <w:sz w:val="21"/>
                <w:szCs w:val="21"/>
              </w:rPr>
            </w:pPr>
            <w:r>
              <w:rPr>
                <w:rFonts w:ascii="宋体" w:hAnsi="宋体" w:eastAsia="宋体"/>
                <w:color w:val="000000"/>
                <w:sz w:val="21"/>
                <w:szCs w:val="21"/>
              </w:rPr>
            </w:r>
            <w:r/>
          </w:p>
        </w:tc>
      </w:tr>
    </w:tbl>
    <w:p>
      <w:pPr>
        <w:pStyle w:val="920"/>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p>
      <w:pPr>
        <w:pStyle w:val="920"/>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投标人（单位盖章）：</w:t>
      </w:r>
      <w:r>
        <w:rPr>
          <w:rFonts w:ascii="宋体" w:hAnsi="宋体" w:eastAsia="宋体"/>
          <w:color w:val="000000"/>
          <w:sz w:val="21"/>
          <w:szCs w:val="21"/>
        </w:rPr>
      </w:r>
      <w:r/>
    </w:p>
    <w:p>
      <w:pPr>
        <w:pStyle w:val="900"/>
        <w:jc w:val="left"/>
        <w:rPr>
          <w:rFonts w:hint="eastAsia" w:ascii="宋体" w:hAnsi="宋体"/>
          <w:color w:val="000000"/>
          <w:szCs w:val="21"/>
        </w:rPr>
      </w:pPr>
      <w:r>
        <w:rPr>
          <w:rFonts w:hint="eastAsia" w:ascii="宋体" w:hAnsi="宋体"/>
          <w:color w:val="000000"/>
          <w:szCs w:val="21"/>
        </w:rPr>
        <w:t xml:space="preserve">法定代表人或被授权人（签字或盖章）：                         年  月  日</w:t>
      </w:r>
      <w:r/>
    </w:p>
    <w:p>
      <w:pPr>
        <w:pStyle w:val="900"/>
        <w:jc w:val="left"/>
        <w:widowControl/>
        <w:rPr>
          <w:rFonts w:hint="eastAsia" w:ascii="宋体" w:hAnsi="宋体"/>
          <w:szCs w:val="21"/>
        </w:rPr>
      </w:pPr>
      <w:r>
        <w:rPr>
          <w:rFonts w:hint="eastAsia" w:ascii="宋体" w:hAnsi="宋体"/>
          <w:szCs w:val="21"/>
        </w:rPr>
      </w:r>
      <w:r/>
    </w:p>
    <w:p>
      <w:pPr>
        <w:pStyle w:val="900"/>
        <w:jc w:val="left"/>
        <w:widowControl/>
        <w:rPr>
          <w:rFonts w:hint="eastAsia" w:ascii="宋体" w:hAnsi="宋体"/>
          <w:szCs w:val="21"/>
        </w:rPr>
      </w:pPr>
      <w:r>
        <w:rPr>
          <w:rFonts w:hint="eastAsia" w:ascii="宋体" w:hAnsi="宋体"/>
          <w:szCs w:val="21"/>
        </w:rPr>
        <w:br w:type="page" w:clear="all"/>
      </w:r>
      <w:r/>
    </w:p>
    <w:p>
      <w:pPr>
        <w:pStyle w:val="902"/>
        <w:ind w:firstLine="422"/>
        <w:spacing w:line="360" w:lineRule="auto"/>
        <w:rPr>
          <w:rFonts w:ascii="宋体" w:hAnsi="宋体" w:eastAsia="宋体"/>
          <w:color w:val="000000"/>
          <w:sz w:val="21"/>
          <w:szCs w:val="21"/>
          <w:lang w:val="zh-CN"/>
        </w:rPr>
      </w:pPr>
      <w:r/>
      <w:bookmarkStart w:id="41" w:name="_Toc78895076"/>
      <w:r/>
      <w:bookmarkStart w:id="42" w:name="_Toc78976400"/>
      <w:r/>
      <w:bookmarkStart w:id="43" w:name="_Toc78810213"/>
      <w:r>
        <w:rPr>
          <w:rFonts w:ascii="宋体" w:hAnsi="宋体" w:eastAsia="宋体"/>
          <w:color w:val="000000"/>
          <w:sz w:val="21"/>
          <w:szCs w:val="21"/>
        </w:rPr>
        <w:t xml:space="preserve">远程参与开标会议诚信承诺书</w:t>
      </w:r>
      <w:bookmarkEnd w:id="41"/>
      <w:r/>
      <w:bookmarkEnd w:id="42"/>
      <w:r/>
      <w:bookmarkEnd w:id="43"/>
      <w:r>
        <w:rPr>
          <w:rFonts w:ascii="宋体" w:hAnsi="宋体" w:eastAsia="宋体"/>
          <w:color w:val="000000"/>
          <w:sz w:val="21"/>
          <w:szCs w:val="21"/>
          <w:lang w:val="zh-CN"/>
        </w:rPr>
      </w:r>
      <w:r/>
    </w:p>
    <w:p>
      <w:pPr>
        <w:pStyle w:val="900"/>
        <w:ind w:firstLine="422"/>
        <w:jc w:val="center"/>
        <w:spacing w:line="360" w:lineRule="auto"/>
        <w:rPr>
          <w:rFonts w:ascii="宋体" w:hAnsi="宋体"/>
          <w:b/>
          <w:color w:val="000000"/>
          <w:szCs w:val="21"/>
          <w:lang w:val="zh-CN"/>
        </w:rPr>
      </w:pPr>
      <w:r>
        <w:rPr>
          <w:rFonts w:ascii="宋体" w:hAnsi="宋体"/>
          <w:b/>
          <w:color w:val="000000"/>
          <w:szCs w:val="21"/>
          <w:lang w:val="zh-CN"/>
        </w:rPr>
        <w:t xml:space="preserve">远程参与开标会议诚信承诺书</w:t>
      </w:r>
      <w:r/>
    </w:p>
    <w:p>
      <w:pPr>
        <w:pStyle w:val="900"/>
        <w:ind w:firstLine="420"/>
        <w:spacing w:line="360" w:lineRule="auto"/>
        <w:rPr>
          <w:rFonts w:ascii="宋体" w:hAnsi="宋体"/>
          <w:color w:val="000000"/>
          <w:szCs w:val="21"/>
        </w:rPr>
      </w:pPr>
      <w:r>
        <w:rPr>
          <w:rFonts w:ascii="宋体" w:hAnsi="宋体"/>
          <w:color w:val="000000"/>
          <w:szCs w:val="21"/>
        </w:rPr>
        <w:t xml:space="preserve">致:</w:t>
      </w:r>
      <w:r>
        <w:rPr>
          <w:rFonts w:hint="eastAsia" w:ascii="宋体" w:hAnsi="宋体"/>
          <w:color w:val="000000"/>
          <w:szCs w:val="21"/>
        </w:rPr>
        <w:t xml:space="preserve"> </w:t>
      </w:r>
      <w:r>
        <w:rPr>
          <w:rFonts w:ascii="宋体" w:hAnsi="宋体"/>
          <w:color w:val="000000"/>
          <w:szCs w:val="21"/>
        </w:rPr>
        <w:t xml:space="preserve">(</w:t>
      </w:r>
      <w:r>
        <w:rPr>
          <w:rFonts w:hint="eastAsia" w:ascii="宋体" w:hAnsi="宋体"/>
          <w:color w:val="000000"/>
          <w:szCs w:val="21"/>
        </w:rPr>
        <w:t xml:space="preserve">采购</w:t>
      </w:r>
      <w:r>
        <w:rPr>
          <w:rFonts w:ascii="宋体" w:hAnsi="宋体"/>
          <w:color w:val="000000"/>
          <w:szCs w:val="21"/>
        </w:rPr>
        <w:t xml:space="preserve">人)</w:t>
      </w:r>
      <w:r/>
    </w:p>
    <w:p>
      <w:pPr>
        <w:pStyle w:val="900"/>
        <w:ind w:firstLine="420"/>
        <w:spacing w:line="360" w:lineRule="auto"/>
        <w:rPr>
          <w:rFonts w:ascii="宋体" w:hAnsi="宋体"/>
          <w:color w:val="000000"/>
          <w:szCs w:val="21"/>
        </w:rPr>
      </w:pPr>
      <w:r>
        <w:rPr>
          <w:rFonts w:ascii="宋体" w:hAnsi="宋体"/>
          <w:color w:val="000000"/>
          <w:szCs w:val="21"/>
        </w:rPr>
        <w:t xml:space="preserve">我方郑重承诺:遵循公开、公平、公正和诚实守信的原则，参加本次远程开标会议，是我方真实意思的表达。</w:t>
      </w:r>
      <w:r/>
    </w:p>
    <w:p>
      <w:pPr>
        <w:pStyle w:val="900"/>
        <w:ind w:firstLine="420"/>
        <w:spacing w:line="360" w:lineRule="auto"/>
        <w:rPr>
          <w:rFonts w:ascii="宋体" w:hAnsi="宋体"/>
          <w:color w:val="000000"/>
          <w:szCs w:val="21"/>
        </w:rPr>
      </w:pPr>
      <w:r>
        <w:rPr>
          <w:rFonts w:ascii="宋体" w:hAnsi="宋体"/>
          <w:color w:val="000000"/>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rPr>
        <w:t xml:space="preserve">（响应）</w:t>
      </w:r>
      <w:r>
        <w:rPr>
          <w:rFonts w:ascii="宋体" w:hAnsi="宋体"/>
          <w:color w:val="000000"/>
          <w:szCs w:val="21"/>
        </w:rPr>
        <w:t xml:space="preserve">。</w:t>
      </w:r>
      <w:r/>
    </w:p>
    <w:p>
      <w:pPr>
        <w:pStyle w:val="900"/>
        <w:ind w:firstLine="420"/>
        <w:spacing w:line="360" w:lineRule="auto"/>
        <w:rPr>
          <w:rFonts w:ascii="宋体" w:hAnsi="宋体"/>
          <w:color w:val="000000"/>
          <w:szCs w:val="21"/>
        </w:rPr>
      </w:pPr>
      <w:r>
        <w:rPr>
          <w:rFonts w:ascii="宋体" w:hAnsi="宋体"/>
          <w:color w:val="000000"/>
          <w:szCs w:val="21"/>
        </w:rPr>
        <w:t xml:space="preserve">二、严格遵守法律、法规和</w:t>
      </w:r>
      <w:r>
        <w:rPr>
          <w:rFonts w:hint="eastAsia" w:ascii="宋体" w:hAnsi="宋体"/>
          <w:color w:val="000000"/>
          <w:szCs w:val="21"/>
        </w:rPr>
        <w:t xml:space="preserve">采购</w:t>
      </w:r>
      <w:r>
        <w:rPr>
          <w:rFonts w:ascii="宋体" w:hAnsi="宋体"/>
          <w:color w:val="000000"/>
          <w:szCs w:val="21"/>
        </w:rPr>
        <w:t xml:space="preserve">文件规定的投标</w:t>
      </w:r>
      <w:r>
        <w:rPr>
          <w:rFonts w:hint="eastAsia" w:ascii="宋体" w:hAnsi="宋体"/>
          <w:color w:val="000000"/>
          <w:szCs w:val="21"/>
        </w:rPr>
        <w:t xml:space="preserve">（响应）</w:t>
      </w:r>
      <w:r>
        <w:rPr>
          <w:rFonts w:ascii="宋体" w:hAnsi="宋体"/>
          <w:color w:val="000000"/>
          <w:szCs w:val="21"/>
        </w:rPr>
        <w:t xml:space="preserve">程序。不隐瞒真实情况，不弄虚作假，不骗取投标</w:t>
      </w:r>
      <w:r>
        <w:rPr>
          <w:rFonts w:hint="eastAsia" w:ascii="宋体" w:hAnsi="宋体"/>
          <w:color w:val="000000"/>
          <w:szCs w:val="21"/>
        </w:rPr>
        <w:t xml:space="preserve">（响应）</w:t>
      </w:r>
      <w:r>
        <w:rPr>
          <w:rFonts w:ascii="宋体" w:hAnsi="宋体"/>
          <w:color w:val="000000"/>
          <w:szCs w:val="21"/>
        </w:rPr>
        <w:t xml:space="preserve">和中标</w:t>
      </w:r>
      <w:r>
        <w:rPr>
          <w:rFonts w:hint="eastAsia" w:ascii="宋体" w:hAnsi="宋体"/>
          <w:color w:val="000000"/>
          <w:szCs w:val="21"/>
        </w:rPr>
        <w:t xml:space="preserve">（成交）</w:t>
      </w:r>
      <w:r>
        <w:rPr>
          <w:rFonts w:ascii="宋体" w:hAnsi="宋体"/>
          <w:color w:val="000000"/>
          <w:szCs w:val="21"/>
        </w:rPr>
        <w:t xml:space="preserve">资格。</w:t>
      </w:r>
      <w:r/>
    </w:p>
    <w:p>
      <w:pPr>
        <w:pStyle w:val="900"/>
        <w:ind w:firstLine="420"/>
        <w:spacing w:line="360" w:lineRule="auto"/>
        <w:rPr>
          <w:rFonts w:ascii="宋体" w:hAnsi="宋体"/>
          <w:color w:val="000000"/>
          <w:szCs w:val="21"/>
        </w:rPr>
      </w:pPr>
      <w:r>
        <w:rPr>
          <w:rFonts w:ascii="宋体" w:hAnsi="宋体"/>
          <w:color w:val="000000"/>
          <w:szCs w:val="21"/>
        </w:rPr>
        <w:t xml:space="preserve">三、坚决抵制和杜绝串标、围标、哄抬报价、贿赂、回扣等违法投标</w:t>
      </w:r>
      <w:r>
        <w:rPr>
          <w:rFonts w:hint="eastAsia" w:ascii="宋体" w:hAnsi="宋体"/>
          <w:color w:val="000000"/>
          <w:szCs w:val="21"/>
        </w:rPr>
        <w:t xml:space="preserve">（响应）</w:t>
      </w:r>
      <w:r>
        <w:rPr>
          <w:rFonts w:ascii="宋体" w:hAnsi="宋体"/>
          <w:color w:val="000000"/>
          <w:szCs w:val="21"/>
        </w:rPr>
        <w:t xml:space="preserve">和不正当竞争行为。</w:t>
      </w:r>
      <w:r/>
    </w:p>
    <w:p>
      <w:pPr>
        <w:pStyle w:val="900"/>
        <w:ind w:firstLine="420"/>
        <w:spacing w:line="360" w:lineRule="auto"/>
        <w:rPr>
          <w:rFonts w:ascii="宋体" w:hAnsi="宋体"/>
          <w:color w:val="000000"/>
          <w:szCs w:val="21"/>
        </w:rPr>
      </w:pPr>
      <w:r>
        <w:rPr>
          <w:rFonts w:ascii="宋体" w:hAnsi="宋体"/>
          <w:color w:val="000000"/>
          <w:szCs w:val="21"/>
        </w:rPr>
        <w:t xml:space="preserve">四、依法经营，公平竞争，不采取违法、违规或不正当手段损害、侵犯同行企业的正当权益。</w:t>
      </w:r>
      <w:r/>
    </w:p>
    <w:p>
      <w:pPr>
        <w:pStyle w:val="900"/>
        <w:ind w:firstLine="420"/>
        <w:spacing w:line="360" w:lineRule="auto"/>
        <w:rPr>
          <w:rFonts w:ascii="宋体" w:hAnsi="宋体"/>
          <w:color w:val="000000"/>
          <w:szCs w:val="21"/>
        </w:rPr>
      </w:pPr>
      <w:r>
        <w:rPr>
          <w:rFonts w:ascii="宋体" w:hAnsi="宋体"/>
          <w:color w:val="000000"/>
          <w:szCs w:val="21"/>
        </w:rPr>
        <w:t xml:space="preserve">五、遵守指令、不擅离职守。开标</w:t>
      </w:r>
      <w:r>
        <w:rPr>
          <w:rFonts w:hint="eastAsia" w:ascii="宋体" w:hAnsi="宋体"/>
          <w:color w:val="000000"/>
          <w:szCs w:val="21"/>
        </w:rPr>
        <w:t xml:space="preserve">评审</w:t>
      </w:r>
      <w:r>
        <w:rPr>
          <w:rFonts w:ascii="宋体" w:hAnsi="宋体"/>
          <w:color w:val="000000"/>
          <w:szCs w:val="21"/>
        </w:rPr>
        <w:t xml:space="preserve">过程中,我方将坚持全程参加开评标会议，积极响应</w:t>
      </w:r>
      <w:r>
        <w:rPr>
          <w:rFonts w:hint="eastAsia" w:ascii="宋体" w:hAnsi="宋体"/>
          <w:color w:val="000000"/>
          <w:szCs w:val="21"/>
        </w:rPr>
        <w:t xml:space="preserve">采购</w:t>
      </w:r>
      <w:r>
        <w:rPr>
          <w:rFonts w:ascii="宋体" w:hAnsi="宋体"/>
          <w:color w:val="000000"/>
          <w:szCs w:val="21"/>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rPr>
        <w:t xml:space="preserve">采购</w:t>
      </w:r>
      <w:r>
        <w:rPr>
          <w:rFonts w:ascii="宋体" w:hAnsi="宋体"/>
          <w:color w:val="000000"/>
          <w:szCs w:val="21"/>
        </w:rPr>
        <w:t xml:space="preserve">人任意处置决定，接受包括终止投标</w:t>
      </w:r>
      <w:r>
        <w:rPr>
          <w:rFonts w:hint="eastAsia" w:ascii="宋体" w:hAnsi="宋体"/>
          <w:color w:val="000000"/>
          <w:szCs w:val="21"/>
        </w:rPr>
        <w:t xml:space="preserve">（响应）</w:t>
      </w:r>
      <w:r>
        <w:rPr>
          <w:rFonts w:ascii="宋体" w:hAnsi="宋体"/>
          <w:color w:val="000000"/>
          <w:szCs w:val="21"/>
        </w:rPr>
        <w:t xml:space="preserve">资格在内的任何处理结果。</w:t>
      </w:r>
      <w:r/>
    </w:p>
    <w:p>
      <w:pPr>
        <w:pStyle w:val="900"/>
        <w:ind w:firstLine="420"/>
        <w:spacing w:line="360" w:lineRule="auto"/>
        <w:rPr>
          <w:rFonts w:ascii="宋体" w:hAnsi="宋体"/>
          <w:color w:val="000000"/>
          <w:szCs w:val="21"/>
        </w:rPr>
      </w:pPr>
      <w:r>
        <w:rPr>
          <w:rFonts w:ascii="宋体" w:hAnsi="宋体"/>
          <w:color w:val="000000"/>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rPr>
        <w:t xml:space="preserve">（响应）</w:t>
      </w:r>
      <w:r>
        <w:rPr>
          <w:rFonts w:ascii="宋体" w:hAnsi="宋体"/>
          <w:color w:val="000000"/>
          <w:szCs w:val="21"/>
        </w:rPr>
        <w:t xml:space="preserve">或者不能进行现场实时交互的，均由我方自行承担一切后果。</w:t>
      </w:r>
      <w:r/>
    </w:p>
    <w:p>
      <w:pPr>
        <w:pStyle w:val="900"/>
        <w:ind w:firstLine="420"/>
        <w:spacing w:line="360" w:lineRule="auto"/>
        <w:rPr>
          <w:rFonts w:ascii="宋体" w:hAnsi="宋体"/>
          <w:color w:val="000000"/>
          <w:szCs w:val="21"/>
        </w:rPr>
      </w:pPr>
      <w:r>
        <w:rPr>
          <w:rFonts w:ascii="宋体" w:hAnsi="宋体"/>
          <w:color w:val="000000"/>
          <w:szCs w:val="21"/>
        </w:rPr>
        <w:t xml:space="preserve">七、不向</w:t>
      </w:r>
      <w:r>
        <w:rPr>
          <w:rFonts w:hint="eastAsia" w:ascii="宋体" w:hAnsi="宋体"/>
          <w:color w:val="000000"/>
          <w:szCs w:val="21"/>
        </w:rPr>
        <w:t xml:space="preserve">采购</w:t>
      </w:r>
      <w:r>
        <w:rPr>
          <w:rFonts w:ascii="宋体" w:hAnsi="宋体"/>
          <w:color w:val="000000"/>
          <w:szCs w:val="21"/>
        </w:rPr>
        <w:t xml:space="preserve">人或</w:t>
      </w:r>
      <w:r>
        <w:rPr>
          <w:rFonts w:hint="eastAsia" w:ascii="宋体" w:hAnsi="宋体"/>
          <w:color w:val="000000"/>
          <w:szCs w:val="21"/>
        </w:rPr>
        <w:t xml:space="preserve">评审专家</w:t>
      </w:r>
      <w:r>
        <w:rPr>
          <w:rFonts w:ascii="宋体" w:hAnsi="宋体"/>
          <w:color w:val="000000"/>
          <w:szCs w:val="21"/>
        </w:rPr>
        <w:t xml:space="preserve">或相关人员行贿，以牟取中标。</w:t>
      </w:r>
      <w:r/>
    </w:p>
    <w:p>
      <w:pPr>
        <w:pStyle w:val="900"/>
        <w:ind w:firstLine="420"/>
        <w:spacing w:line="360" w:lineRule="auto"/>
        <w:rPr>
          <w:rFonts w:ascii="宋体" w:hAnsi="宋体"/>
          <w:color w:val="000000"/>
          <w:szCs w:val="21"/>
        </w:rPr>
      </w:pPr>
      <w:r>
        <w:rPr>
          <w:rFonts w:ascii="宋体" w:hAnsi="宋体"/>
          <w:color w:val="000000"/>
          <w:szCs w:val="21"/>
        </w:rPr>
        <w:t xml:space="preserve">八、我方将在法律、法规框架允许的范围内就有关评审过程中的事项向管理人员提出咨询或疑问</w:t>
      </w:r>
      <w:r>
        <w:rPr>
          <w:rFonts w:hint="eastAsia" w:ascii="宋体" w:hAnsi="宋体"/>
          <w:color w:val="000000"/>
          <w:szCs w:val="21"/>
        </w:rPr>
        <w:t xml:space="preserve">。</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九、</w:t>
      </w:r>
      <w:r>
        <w:rPr>
          <w:rFonts w:ascii="宋体" w:hAnsi="宋体"/>
          <w:color w:val="000000"/>
          <w:szCs w:val="21"/>
        </w:rPr>
        <w:t xml:space="preserve">我方若有违反承诺内容的行为，自愿接受取消投标</w:t>
      </w:r>
      <w:r>
        <w:rPr>
          <w:rFonts w:hint="eastAsia" w:ascii="宋体" w:hAnsi="宋体"/>
          <w:color w:val="000000"/>
          <w:szCs w:val="21"/>
        </w:rPr>
        <w:t xml:space="preserve">（响应）</w:t>
      </w:r>
      <w:r>
        <w:rPr>
          <w:rFonts w:ascii="宋体" w:hAnsi="宋体"/>
          <w:color w:val="000000"/>
          <w:szCs w:val="21"/>
        </w:rPr>
        <w:t xml:space="preserve">资格、将不良行为记录记入档案、没收投标</w:t>
      </w:r>
      <w:r>
        <w:rPr>
          <w:rFonts w:hint="eastAsia" w:ascii="宋体" w:hAnsi="宋体"/>
          <w:color w:val="000000"/>
          <w:szCs w:val="21"/>
        </w:rPr>
        <w:t xml:space="preserve">（响应）</w:t>
      </w:r>
      <w:r>
        <w:rPr>
          <w:rFonts w:ascii="宋体" w:hAnsi="宋体"/>
          <w:color w:val="000000"/>
          <w:szCs w:val="21"/>
        </w:rPr>
        <w:t xml:space="preserve">保证金等有关处理，并承担相应的法律责任。给</w:t>
      </w:r>
      <w:r>
        <w:rPr>
          <w:rFonts w:hint="eastAsia" w:ascii="宋体" w:hAnsi="宋体"/>
          <w:color w:val="000000"/>
          <w:szCs w:val="21"/>
        </w:rPr>
        <w:t xml:space="preserve">采购</w:t>
      </w:r>
      <w:r>
        <w:rPr>
          <w:rFonts w:ascii="宋体" w:hAnsi="宋体"/>
          <w:color w:val="000000"/>
          <w:szCs w:val="21"/>
        </w:rPr>
        <w:t xml:space="preserve">人造成损失的，依法承担赔偿责任。</w:t>
      </w:r>
      <w:r/>
    </w:p>
    <w:p>
      <w:pPr>
        <w:pStyle w:val="900"/>
        <w:ind w:firstLine="420"/>
        <w:spacing w:line="360" w:lineRule="auto"/>
        <w:rPr>
          <w:rFonts w:ascii="宋体" w:hAnsi="宋体"/>
          <w:color w:val="000000"/>
          <w:szCs w:val="21"/>
        </w:rPr>
      </w:pPr>
      <w:r>
        <w:rPr>
          <w:rFonts w:ascii="宋体" w:hAnsi="宋体"/>
          <w:color w:val="000000"/>
          <w:szCs w:val="21"/>
        </w:rPr>
        <w:t xml:space="preserve">承诺单位(盖章):</w:t>
      </w:r>
      <w:r/>
    </w:p>
    <w:p>
      <w:pPr>
        <w:pStyle w:val="900"/>
        <w:ind w:firstLine="420"/>
        <w:spacing w:line="360" w:lineRule="auto"/>
        <w:rPr>
          <w:rFonts w:ascii="宋体" w:hAnsi="宋体"/>
          <w:color w:val="000000"/>
          <w:szCs w:val="21"/>
        </w:rPr>
      </w:pPr>
      <w:r>
        <w:rPr>
          <w:rFonts w:ascii="宋体" w:hAnsi="宋体"/>
          <w:color w:val="000000"/>
          <w:szCs w:val="21"/>
        </w:rPr>
        <w:t xml:space="preserve">法定代表人(签名):</w:t>
      </w:r>
      <w:r/>
    </w:p>
    <w:p>
      <w:pPr>
        <w:pStyle w:val="900"/>
        <w:ind w:firstLine="420"/>
        <w:spacing w:line="360" w:lineRule="auto"/>
        <w:rPr>
          <w:rFonts w:ascii="宋体" w:hAnsi="宋体"/>
          <w:color w:val="000000"/>
          <w:szCs w:val="21"/>
        </w:rPr>
      </w:pPr>
      <w:r>
        <w:rPr>
          <w:rFonts w:ascii="宋体" w:hAnsi="宋体"/>
          <w:color w:val="000000"/>
          <w:szCs w:val="21"/>
        </w:rPr>
        <w:t xml:space="preserve">授权委托人(签名):</w:t>
      </w:r>
      <w:r/>
    </w:p>
    <w:p>
      <w:pPr>
        <w:pStyle w:val="920"/>
        <w:rPr>
          <w:rFonts w:hint="eastAsia"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年</w:t>
      </w:r>
      <w:r>
        <w:rPr>
          <w:rFonts w:hint="eastAsia" w:ascii="宋体" w:hAnsi="宋体" w:eastAsia="宋体"/>
          <w:color w:val="000000"/>
          <w:sz w:val="21"/>
          <w:szCs w:val="21"/>
        </w:rPr>
        <w:t xml:space="preserve">     </w:t>
      </w:r>
      <w:r>
        <w:rPr>
          <w:rFonts w:ascii="宋体" w:hAnsi="宋体" w:eastAsia="宋体"/>
          <w:color w:val="000000"/>
          <w:sz w:val="21"/>
          <w:szCs w:val="21"/>
        </w:rPr>
        <w:t xml:space="preserve">月</w:t>
      </w:r>
      <w:r>
        <w:rPr>
          <w:rFonts w:hint="eastAsia" w:ascii="宋体" w:hAnsi="宋体" w:eastAsia="宋体"/>
          <w:color w:val="000000"/>
          <w:sz w:val="21"/>
          <w:szCs w:val="21"/>
        </w:rPr>
        <w:t xml:space="preserve">     </w:t>
      </w:r>
      <w:r>
        <w:rPr>
          <w:rFonts w:ascii="宋体" w:hAnsi="宋体" w:eastAsia="宋体"/>
          <w:color w:val="000000"/>
          <w:sz w:val="21"/>
          <w:szCs w:val="21"/>
        </w:rPr>
        <w:t xml:space="preserve">日</w:t>
      </w:r>
      <w:r>
        <w:rPr>
          <w:rFonts w:hint="eastAsia" w:ascii="宋体" w:hAnsi="宋体" w:eastAsia="宋体"/>
          <w:color w:val="000000"/>
          <w:sz w:val="21"/>
          <w:szCs w:val="21"/>
        </w:rPr>
      </w:r>
      <w:r/>
    </w:p>
    <w:p>
      <w:pPr>
        <w:pStyle w:val="902"/>
        <w:spacing w:line="416" w:lineRule="auto"/>
        <w:rPr>
          <w:rFonts w:ascii="宋体" w:hAnsi="宋体" w:eastAsia="宋体"/>
          <w:color w:val="000000"/>
          <w:sz w:val="21"/>
          <w:szCs w:val="21"/>
        </w:rPr>
      </w:pPr>
      <w:r/>
      <w:bookmarkStart w:id="44" w:name="_Toc78976401"/>
      <w:r>
        <w:rPr>
          <w:rFonts w:ascii="宋体" w:hAnsi="宋体" w:eastAsia="宋体"/>
          <w:color w:val="000000"/>
          <w:sz w:val="21"/>
          <w:szCs w:val="21"/>
        </w:rPr>
        <w:t xml:space="preserve">投标单位情况表</w:t>
      </w:r>
      <w:bookmarkEnd w:id="44"/>
      <w:r>
        <w:rPr>
          <w:rFonts w:ascii="宋体" w:hAnsi="宋体" w:eastAsia="宋体"/>
          <w:color w:val="000000"/>
          <w:sz w:val="21"/>
          <w:szCs w:val="21"/>
        </w:rPr>
      </w:r>
      <w:r/>
    </w:p>
    <w:p>
      <w:pPr>
        <w:pStyle w:val="920"/>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投标单位情况表</w:t>
      </w:r>
      <w:r>
        <w:rPr>
          <w:rFonts w:ascii="宋体" w:hAnsi="宋体" w:eastAsia="宋体"/>
          <w:color w:val="000000"/>
          <w:sz w:val="21"/>
          <w:szCs w:val="21"/>
        </w:rPr>
      </w:r>
      <w:r/>
    </w:p>
    <w:p>
      <w:pPr>
        <w:pStyle w:val="920"/>
        <w:rPr>
          <w:rFonts w:ascii="宋体" w:hAnsi="宋体" w:eastAsia="宋体"/>
          <w:color w:val="000000"/>
          <w:sz w:val="21"/>
          <w:szCs w:val="21"/>
        </w:rPr>
      </w:pPr>
      <w:r>
        <w:rPr>
          <w:rFonts w:hint="eastAsia" w:ascii="宋体" w:hAnsi="宋体" w:eastAsia="宋体"/>
          <w:color w:val="000000"/>
          <w:sz w:val="21"/>
          <w:szCs w:val="21"/>
        </w:rPr>
        <w:t xml:space="preserve">单位名称（盖章）</w:t>
      </w:r>
      <w:r>
        <w:rPr>
          <w:rFonts w:ascii="宋体" w:hAnsi="宋体" w:eastAsia="宋体"/>
          <w:color w:val="000000"/>
          <w:sz w:val="21"/>
          <w:szCs w:val="21"/>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77"/>
        <w:gridCol w:w="1792"/>
        <w:gridCol w:w="1610"/>
        <w:gridCol w:w="147"/>
        <w:gridCol w:w="1366"/>
        <w:gridCol w:w="1235"/>
      </w:tblGrid>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75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成立日期</w:t>
            </w: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企业地址</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175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注册资本</w:t>
            </w:r>
            <w:r>
              <w:rPr>
                <w:rFonts w:ascii="宋体" w:hAnsi="宋体" w:eastAsia="宋体"/>
                <w:color w:val="000000"/>
                <w:sz w:val="21"/>
                <w:szCs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pStyle w:val="920"/>
              <w:ind w:firstLine="168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经营范围</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职工人数</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3"/>
            <w:tcBorders>
              <w:top w:val="single" w:color="000000" w:sz="6" w:space="0"/>
              <w:left w:val="single" w:color="000000" w:sz="6" w:space="0"/>
              <w:bottom w:val="single" w:color="000000" w:sz="6" w:space="0"/>
              <w:right w:val="single" w:color="000000" w:sz="6" w:space="0"/>
            </w:tcBorders>
            <w:tcW w:w="3123"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其中：有中高级以上职称的人数</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235"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资产总额</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万元</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10"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净资产</w:t>
            </w:r>
            <w:r>
              <w:rPr>
                <w:rFonts w:ascii="宋体" w:hAnsi="宋体" w:eastAsia="宋体"/>
                <w:color w:val="000000"/>
                <w:sz w:val="21"/>
                <w:szCs w:val="21"/>
              </w:rPr>
            </w:r>
            <w:r/>
          </w:p>
        </w:tc>
        <w:tc>
          <w:tcPr>
            <w:gridSpan w:val="3"/>
            <w:tcBorders>
              <w:top w:val="single" w:color="000000" w:sz="6" w:space="0"/>
              <w:left w:val="single" w:color="000000" w:sz="6" w:space="0"/>
              <w:bottom w:val="single" w:color="000000" w:sz="6" w:space="0"/>
              <w:right w:val="single" w:color="000000" w:sz="6" w:space="0"/>
            </w:tcBorders>
            <w:tcW w:w="2748"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万元</w:t>
            </w: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股东权益</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万元</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10"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销售收入</w:t>
            </w:r>
            <w:r>
              <w:rPr>
                <w:rFonts w:ascii="宋体" w:hAnsi="宋体" w:eastAsia="宋体"/>
                <w:color w:val="000000"/>
                <w:sz w:val="21"/>
                <w:szCs w:val="21"/>
              </w:rPr>
            </w:r>
            <w:r/>
          </w:p>
        </w:tc>
        <w:tc>
          <w:tcPr>
            <w:gridSpan w:val="3"/>
            <w:tcBorders>
              <w:top w:val="single" w:color="000000" w:sz="6" w:space="0"/>
              <w:left w:val="single" w:color="000000" w:sz="6" w:space="0"/>
              <w:bottom w:val="single" w:color="000000" w:sz="6" w:space="0"/>
              <w:right w:val="single" w:color="000000" w:sz="6" w:space="0"/>
            </w:tcBorders>
            <w:tcW w:w="2748"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w:t>
            </w:r>
            <w:r>
              <w:rPr>
                <w:rFonts w:ascii="宋体" w:hAnsi="宋体" w:eastAsia="宋体"/>
                <w:color w:val="000000"/>
                <w:sz w:val="21"/>
                <w:szCs w:val="21"/>
              </w:rPr>
              <w:t xml:space="preserve">年       </w:t>
            </w:r>
            <w:r>
              <w:rPr>
                <w:rFonts w:hint="eastAsia" w:ascii="宋体" w:hAnsi="宋体" w:eastAsia="宋体"/>
                <w:color w:val="000000"/>
                <w:sz w:val="21"/>
                <w:szCs w:val="21"/>
              </w:rPr>
              <w:t xml:space="preserve"> 万元</w:t>
            </w: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实现利润</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    </w:t>
            </w:r>
            <w:r>
              <w:rPr>
                <w:rFonts w:ascii="宋体" w:hAnsi="宋体" w:eastAsia="宋体"/>
                <w:color w:val="000000"/>
                <w:sz w:val="21"/>
                <w:szCs w:val="21"/>
              </w:rPr>
              <w:t xml:space="preserve">年  </w:t>
            </w:r>
            <w:r>
              <w:rPr>
                <w:rFonts w:hint="eastAsia" w:ascii="宋体" w:hAnsi="宋体" w:eastAsia="宋体"/>
                <w:color w:val="000000"/>
                <w:sz w:val="21"/>
                <w:szCs w:val="21"/>
              </w:rPr>
              <w:t xml:space="preserve">   万元</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10"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3"/>
            <w:tcBorders>
              <w:top w:val="single" w:color="000000" w:sz="6" w:space="0"/>
              <w:left w:val="single" w:color="000000" w:sz="6" w:space="0"/>
              <w:bottom w:val="single" w:color="000000" w:sz="6" w:space="0"/>
              <w:right w:val="single" w:color="000000" w:sz="6" w:space="0"/>
            </w:tcBorders>
            <w:tcW w:w="2748"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营业面积</w:t>
            </w:r>
            <w:r>
              <w:rPr>
                <w:rFonts w:ascii="宋体" w:hAnsi="宋体" w:eastAsia="宋体"/>
                <w:color w:val="000000"/>
                <w:sz w:val="21"/>
                <w:szCs w:val="21"/>
              </w:rPr>
            </w:r>
            <w:r/>
          </w:p>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（含厂房面积）</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平方米</w:t>
            </w:r>
            <w:r>
              <w:rPr>
                <w:rFonts w:ascii="宋体" w:hAnsi="宋体" w:eastAsia="宋体"/>
                <w:color w:val="000000"/>
                <w:sz w:val="21"/>
                <w:szCs w:val="21"/>
              </w:rPr>
            </w:r>
            <w:r/>
          </w:p>
        </w:tc>
        <w:tc>
          <w:tcPr>
            <w:tcBorders>
              <w:top w:val="single" w:color="000000" w:sz="6" w:space="0"/>
              <w:left w:val="single" w:color="000000" w:sz="6" w:space="0"/>
              <w:bottom w:val="single" w:color="000000" w:sz="6" w:space="0"/>
              <w:right w:val="single" w:color="000000" w:sz="6" w:space="0"/>
            </w:tcBorders>
            <w:tcW w:w="1610"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其中：</w:t>
            </w:r>
            <w:r>
              <w:rPr>
                <w:rFonts w:ascii="宋体" w:hAnsi="宋体" w:eastAsia="宋体"/>
                <w:color w:val="000000"/>
                <w:sz w:val="21"/>
                <w:szCs w:val="21"/>
              </w:rPr>
            </w:r>
            <w:r/>
          </w:p>
        </w:tc>
        <w:tc>
          <w:tcPr>
            <w:gridSpan w:val="3"/>
            <w:tcBorders>
              <w:top w:val="single" w:color="000000" w:sz="6" w:space="0"/>
              <w:left w:val="single" w:color="000000" w:sz="6" w:space="0"/>
              <w:bottom w:val="single" w:color="000000" w:sz="6" w:space="0"/>
              <w:right w:val="single" w:color="000000" w:sz="6" w:space="0"/>
            </w:tcBorders>
            <w:tcW w:w="2748"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自有面积</w:t>
            </w:r>
            <w:r>
              <w:rPr>
                <w:rFonts w:ascii="宋体" w:hAnsi="宋体" w:eastAsia="宋体"/>
                <w:color w:val="000000"/>
                <w:sz w:val="21"/>
                <w:szCs w:val="21"/>
              </w:rPr>
              <w:t xml:space="preserve">       平方米</w:t>
            </w:r>
            <w:r/>
          </w:p>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承租面积</w:t>
            </w:r>
            <w:r>
              <w:rPr>
                <w:rFonts w:ascii="宋体" w:hAnsi="宋体" w:eastAsia="宋体"/>
                <w:color w:val="000000"/>
                <w:sz w:val="21"/>
                <w:szCs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单位简历及内设机构情况</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单位优势及特长</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职工“三险”缴纳情况</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近三年来完成或正在履行的重大合同情况</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2年内在经营过程中受到何种奖励或处分</w:t>
            </w:r>
            <w:r/>
          </w:p>
        </w:tc>
        <w:tc>
          <w:tcPr>
            <w:gridSpan w:val="5"/>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3年内有无因售假、售劣或是其他原因被消费者投诉或起诉的情况及说明</w:t>
            </w:r>
            <w:r/>
          </w:p>
        </w:tc>
        <w:tc>
          <w:tcPr>
            <w:gridSpan w:val="5"/>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（包括解决方式和结果）</w:t>
            </w: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3年内主要负责人有无因经济犯罪被司法机关追究的情况及说明</w:t>
            </w:r>
            <w:r/>
          </w:p>
        </w:tc>
        <w:tc>
          <w:tcPr>
            <w:gridSpan w:val="5"/>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获得技术认证的工程师及简介</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510"/>
        </w:trPr>
        <w:tc>
          <w:tcPr>
            <w:tcBorders>
              <w:top w:val="single" w:color="000000" w:sz="6" w:space="0"/>
              <w:left w:val="single" w:color="000000" w:sz="6" w:space="0"/>
              <w:bottom w:val="single" w:color="000000" w:sz="6" w:space="0"/>
              <w:right w:val="single" w:color="000000" w:sz="6" w:space="0"/>
            </w:tcBorders>
            <w:tcW w:w="2977" w:type="dxa"/>
            <w:vAlign w:val="center"/>
            <w:textDirection w:val="lrTb"/>
            <w:noWrap w:val="false"/>
          </w:tcPr>
          <w:p>
            <w:pPr>
              <w:pStyle w:val="920"/>
              <w:ind w:firstLine="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rPr>
                <w:rFonts w:ascii="宋体" w:hAnsi="宋体" w:eastAsia="宋体"/>
                <w:color w:val="000000"/>
                <w:sz w:val="21"/>
                <w:szCs w:val="21"/>
              </w:rPr>
            </w:r>
            <w:r/>
          </w:p>
        </w:tc>
        <w:tc>
          <w:tcPr>
            <w:gridSpan w:val="5"/>
            <w:tcBorders>
              <w:top w:val="single" w:color="000000" w:sz="6" w:space="0"/>
              <w:left w:val="single" w:color="000000" w:sz="6" w:space="0"/>
              <w:bottom w:val="single" w:color="000000" w:sz="6" w:space="0"/>
              <w:right w:val="single" w:color="000000" w:sz="6" w:space="0"/>
            </w:tcBorders>
            <w:tcW w:w="6150" w:type="dxa"/>
            <w:vAlign w:val="center"/>
            <w:textDirection w:val="lrTb"/>
            <w:noWrap w:val="false"/>
          </w:tcPr>
          <w:p>
            <w:pPr>
              <w:pStyle w:val="920"/>
              <w:ind w:firstLine="0"/>
              <w:spacing w:line="400" w:lineRule="exact"/>
              <w:rPr>
                <w:rFonts w:ascii="宋体" w:hAnsi="宋体" w:eastAsia="宋体"/>
                <w:color w:val="000000"/>
                <w:sz w:val="21"/>
                <w:szCs w:val="21"/>
              </w:rPr>
            </w:pPr>
            <w:r>
              <w:rPr>
                <w:rFonts w:ascii="宋体" w:hAnsi="宋体" w:eastAsia="宋体"/>
                <w:color w:val="000000"/>
                <w:sz w:val="21"/>
                <w:szCs w:val="21"/>
              </w:rPr>
            </w:r>
            <w:r/>
          </w:p>
        </w:tc>
      </w:tr>
    </w:tbl>
    <w:p>
      <w:pPr>
        <w:pStyle w:val="900"/>
        <w:rPr>
          <w:rFonts w:hint="eastAsia" w:ascii="宋体" w:hAnsi="宋体"/>
          <w:szCs w:val="21"/>
        </w:rPr>
      </w:pPr>
      <w:r>
        <w:rPr>
          <w:rFonts w:hint="eastAsia" w:ascii="宋体" w:hAnsi="宋体"/>
          <w:szCs w:val="21"/>
        </w:rPr>
      </w:r>
      <w:r/>
    </w:p>
    <w:p>
      <w:pPr>
        <w:pStyle w:val="900"/>
        <w:jc w:val="left"/>
        <w:widowControl/>
        <w:rPr>
          <w:rFonts w:hint="eastAsia"/>
        </w:rPr>
      </w:pPr>
      <w:r>
        <w:rPr>
          <w:rFonts w:hint="eastAsia"/>
        </w:rPr>
      </w:r>
      <w:r/>
    </w:p>
    <w:p>
      <w:pPr>
        <w:pStyle w:val="974"/>
        <w:ind w:left="210" w:firstLine="482"/>
        <w:spacing w:line="240" w:lineRule="auto"/>
        <w:rPr>
          <w:color w:val="000000"/>
          <w:sz w:val="24"/>
          <w:szCs w:val="24"/>
        </w:rPr>
      </w:pPr>
      <w:r/>
      <w:bookmarkStart w:id="45" w:name="_Toc78976402"/>
      <w:r>
        <w:rPr>
          <w:color w:val="000000"/>
          <w:sz w:val="24"/>
          <w:szCs w:val="24"/>
        </w:rPr>
        <w:br w:type="page" w:clear="all"/>
      </w:r>
      <w:r>
        <w:rPr>
          <w:rFonts w:hint="eastAsia"/>
          <w:color w:val="000000"/>
          <w:sz w:val="24"/>
          <w:szCs w:val="24"/>
        </w:rPr>
        <w:t xml:space="preserve">第四章  招标书</w:t>
      </w:r>
      <w:bookmarkEnd w:id="45"/>
      <w:r>
        <w:rPr>
          <w:color w:val="000000"/>
          <w:sz w:val="24"/>
          <w:szCs w:val="24"/>
        </w:rPr>
      </w:r>
      <w:r/>
    </w:p>
    <w:p>
      <w:pPr>
        <w:pStyle w:val="900"/>
        <w:ind w:firstLine="420"/>
        <w:spacing w:line="360" w:lineRule="auto"/>
        <w:rPr>
          <w:rFonts w:ascii="宋体" w:hAnsi="宋体"/>
          <w:color w:val="000000"/>
          <w:szCs w:val="21"/>
        </w:rPr>
      </w:pPr>
      <w:r/>
      <w:bookmarkStart w:id="46" w:name="_Toc339548794"/>
      <w:r/>
      <w:bookmarkStart w:id="47" w:name="_Toc266088666"/>
      <w:r/>
      <w:bookmarkStart w:id="48" w:name="_Toc475023243"/>
      <w:r/>
      <w:bookmarkStart w:id="49" w:name="_Toc328386624"/>
      <w:r>
        <w:rPr>
          <w:rFonts w:hint="eastAsia" w:ascii="宋体" w:hAnsi="宋体"/>
          <w:color w:val="000000"/>
          <w:szCs w:val="21"/>
        </w:rPr>
        <w:t xml:space="preserve">受昆山市农业农村局的委托，苏州公正建设咨询房地产评估有限公司作为招标代理人，为采购单位拟采购的2025年农产品（畜产品、水产品）质量安全检测进行国内公开招标。</w:t>
      </w:r>
      <w:r>
        <w:rPr>
          <w:rFonts w:ascii="宋体" w:hAnsi="宋体"/>
          <w:color w:val="000000"/>
          <w:szCs w:val="21"/>
        </w:rPr>
      </w:r>
      <w:r/>
    </w:p>
    <w:p>
      <w:pPr>
        <w:pStyle w:val="900"/>
        <w:ind w:firstLine="420"/>
        <w:spacing w:line="360" w:lineRule="auto"/>
        <w:rPr>
          <w:rFonts w:hint="eastAsia" w:ascii="宋体" w:hAnsi="宋体"/>
          <w:color w:val="000000"/>
          <w:szCs w:val="21"/>
        </w:rPr>
      </w:pPr>
      <w:r/>
      <w:bookmarkEnd w:id="46"/>
      <w:r/>
      <w:bookmarkEnd w:id="47"/>
      <w:r>
        <w:rPr>
          <w:rFonts w:hint="eastAsia" w:ascii="宋体" w:hAnsi="宋体"/>
          <w:color w:val="000000"/>
          <w:szCs w:val="21"/>
        </w:rPr>
        <w:t xml:space="preserve">项目名称：2025年农产品（畜产品、水产品）质量安全检测</w:t>
      </w:r>
      <w:r/>
    </w:p>
    <w:p>
      <w:pPr>
        <w:pStyle w:val="900"/>
        <w:ind w:firstLine="420"/>
        <w:spacing w:line="360" w:lineRule="auto"/>
        <w:rPr>
          <w:rFonts w:hint="eastAsia"/>
          <w:szCs w:val="21"/>
        </w:rPr>
      </w:pPr>
      <w:r>
        <w:rPr>
          <w:szCs w:val="21"/>
        </w:rPr>
        <w:t xml:space="preserve">招标内容和技术要求：</w:t>
      </w:r>
      <w:r>
        <w:rPr>
          <w:rFonts w:hint="eastAsia"/>
          <w:szCs w:val="21"/>
        </w:rPr>
      </w:r>
      <w:r/>
    </w:p>
    <w:p>
      <w:pPr>
        <w:pStyle w:val="900"/>
        <w:ind w:firstLine="420"/>
        <w:jc w:val="left"/>
        <w:spacing w:line="360" w:lineRule="auto"/>
        <w:rPr>
          <w:rFonts w:hint="eastAsia" w:ascii="宋体" w:hAnsi="宋体"/>
          <w:szCs w:val="21"/>
        </w:rPr>
      </w:pPr>
      <w:r>
        <w:rPr>
          <w:rFonts w:hint="eastAsia" w:ascii="宋体" w:hAnsi="宋体"/>
          <w:szCs w:val="21"/>
        </w:rPr>
        <w:t xml:space="preserve">项目概述：</w:t>
      </w:r>
      <w:r/>
    </w:p>
    <w:p>
      <w:pPr>
        <w:pStyle w:val="900"/>
        <w:ind w:firstLine="420"/>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为了及时、有效掌握我市地产农产品质量安全状况，进一步提升</w:t>
      </w:r>
      <w:r>
        <w:rPr>
          <w:rFonts w:hint="eastAsia" w:ascii="宋体" w:hAnsi="宋体"/>
          <w:szCs w:val="21"/>
        </w:rPr>
        <w:t xml:space="preserve">农</w:t>
      </w:r>
      <w:r>
        <w:rPr>
          <w:rFonts w:ascii="宋体" w:hAnsi="宋体"/>
          <w:szCs w:val="21"/>
        </w:rPr>
        <w:t xml:space="preserve">产品质量和市场竞争力，根据《农产品质量安全法》《江苏省农产品质量安全条例》《农产品质量安全监测管理办法》等有关法律法规和省市文件要求，结合本市实际情况，特制定202</w:t>
      </w:r>
      <w:r>
        <w:rPr>
          <w:rFonts w:hint="eastAsia" w:ascii="宋体" w:hAnsi="宋体"/>
          <w:szCs w:val="21"/>
        </w:rPr>
        <w:t xml:space="preserve">5</w:t>
      </w:r>
      <w:r>
        <w:rPr>
          <w:rFonts w:ascii="宋体" w:hAnsi="宋体"/>
          <w:szCs w:val="21"/>
        </w:rPr>
        <w:t xml:space="preserve">年昆山市农产品质量安全监测方案。</w:t>
      </w:r>
      <w:r>
        <w:rPr>
          <w:rFonts w:hint="eastAsia" w:ascii="宋体" w:hAnsi="宋体"/>
          <w:szCs w:val="21"/>
        </w:rPr>
      </w:r>
      <w:r/>
    </w:p>
    <w:p>
      <w:pPr>
        <w:pStyle w:val="900"/>
        <w:ind w:firstLine="420"/>
        <w:jc w:val="left"/>
        <w:spacing w:line="360" w:lineRule="auto"/>
        <w:rPr>
          <w:rFonts w:ascii="宋体" w:hAnsi="宋体"/>
          <w:szCs w:val="21"/>
        </w:rPr>
      </w:pPr>
      <w:r>
        <w:rPr>
          <w:rFonts w:ascii="宋体" w:hAnsi="宋体"/>
          <w:szCs w:val="21"/>
        </w:rPr>
        <w:t xml:space="preserve">2.抽检数量：</w:t>
      </w:r>
      <w:r>
        <w:rPr>
          <w:rFonts w:hint="eastAsia" w:ascii="宋体" w:hAnsi="宋体"/>
          <w:color w:val="000000"/>
          <w:szCs w:val="21"/>
        </w:rPr>
        <w:t xml:space="preserve">2025年农产品（畜产品、水产品）质量安全检测任务</w:t>
      </w:r>
      <w:r>
        <w:rPr>
          <w:rFonts w:hint="eastAsia" w:ascii="宋体" w:hAnsi="宋体"/>
          <w:szCs w:val="21"/>
        </w:rPr>
        <w:t xml:space="preserve">分以下3个包执行：</w:t>
      </w:r>
      <w:r>
        <w:rPr>
          <w:rFonts w:ascii="宋体" w:hAnsi="宋体"/>
          <w:szCs w:val="21"/>
        </w:rPr>
      </w:r>
      <w:r/>
    </w:p>
    <w:p>
      <w:pPr>
        <w:pStyle w:val="900"/>
        <w:ind w:firstLine="420"/>
        <w:spacing w:line="360" w:lineRule="auto"/>
        <w:shd w:val="clear" w:color="auto" w:fill="ffffff"/>
        <w:rPr>
          <w:rFonts w:hint="eastAsia" w:ascii="宋体" w:hAnsi="宋体"/>
          <w:color w:val="000000"/>
          <w:szCs w:val="21"/>
        </w:rPr>
      </w:pPr>
      <w:r>
        <w:rPr>
          <w:rFonts w:hint="eastAsia" w:ascii="宋体" w:hAnsi="宋体"/>
          <w:color w:val="000000"/>
          <w:szCs w:val="21"/>
        </w:rPr>
        <w:t xml:space="preserve">包一计划任务量：1466批次以上,包括水产（含大闸蟹）</w:t>
      </w:r>
      <w:r/>
    </w:p>
    <w:p>
      <w:pPr>
        <w:pStyle w:val="900"/>
        <w:ind w:firstLine="420"/>
        <w:spacing w:line="360" w:lineRule="auto"/>
        <w:shd w:val="clear" w:color="auto" w:fill="ffffff"/>
        <w:rPr>
          <w:rFonts w:ascii="宋体" w:hAnsi="宋体"/>
          <w:color w:val="000000"/>
          <w:szCs w:val="21"/>
        </w:rPr>
      </w:pPr>
      <w:r>
        <w:rPr>
          <w:rFonts w:hint="eastAsia" w:ascii="宋体" w:hAnsi="宋体"/>
          <w:color w:val="000000"/>
          <w:szCs w:val="21"/>
        </w:rPr>
        <w:t xml:space="preserve">包二计划任务量：1333批次以上，包括水产（含大闸蟹）</w:t>
      </w:r>
      <w:r>
        <w:rPr>
          <w:rFonts w:ascii="宋体" w:hAnsi="宋体"/>
          <w:color w:val="000000"/>
          <w:szCs w:val="21"/>
        </w:rPr>
      </w:r>
      <w:r/>
    </w:p>
    <w:p>
      <w:pPr>
        <w:pStyle w:val="900"/>
        <w:ind w:firstLine="420"/>
        <w:spacing w:line="360" w:lineRule="auto"/>
        <w:shd w:val="clear" w:color="auto" w:fill="ffffff"/>
        <w:rPr>
          <w:rFonts w:hint="eastAsia" w:ascii="宋体" w:hAnsi="宋体"/>
          <w:color w:val="000000"/>
          <w:szCs w:val="21"/>
        </w:rPr>
      </w:pPr>
      <w:r>
        <w:rPr>
          <w:rFonts w:hint="eastAsia" w:ascii="宋体" w:hAnsi="宋体"/>
          <w:szCs w:val="21"/>
        </w:rPr>
        <w:t xml:space="preserve">包三</w:t>
      </w:r>
      <w:r>
        <w:rPr>
          <w:rFonts w:hint="eastAsia" w:ascii="宋体" w:hAnsi="宋体"/>
          <w:color w:val="000000"/>
          <w:szCs w:val="21"/>
        </w:rPr>
        <w:t xml:space="preserve">计划任务量</w:t>
      </w:r>
      <w:r>
        <w:rPr>
          <w:rFonts w:hint="eastAsia" w:ascii="宋体" w:hAnsi="宋体"/>
          <w:szCs w:val="21"/>
        </w:rPr>
        <w:t xml:space="preserve">：1333批次</w:t>
      </w:r>
      <w:r>
        <w:rPr>
          <w:rFonts w:hint="eastAsia" w:ascii="宋体" w:hAnsi="宋体"/>
          <w:color w:val="000000"/>
          <w:szCs w:val="21"/>
        </w:rPr>
        <w:t xml:space="preserve">以上</w:t>
      </w:r>
      <w:r>
        <w:rPr>
          <w:rFonts w:hint="eastAsia" w:ascii="宋体" w:hAnsi="宋体"/>
          <w:szCs w:val="21"/>
        </w:rPr>
        <w:t xml:space="preserve">，</w:t>
      </w:r>
      <w:r>
        <w:rPr>
          <w:rFonts w:hint="eastAsia" w:ascii="宋体" w:hAnsi="宋体"/>
          <w:color w:val="000000"/>
          <w:szCs w:val="21"/>
        </w:rPr>
        <w:t xml:space="preserve">包括水产（含大闸蟹）</w:t>
      </w:r>
      <w:r/>
    </w:p>
    <w:p>
      <w:pPr>
        <w:pStyle w:val="900"/>
        <w:ind w:firstLine="420"/>
        <w:spacing w:line="360" w:lineRule="auto"/>
        <w:shd w:val="clear" w:color="auto" w:fill="ffffff"/>
        <w:rPr>
          <w:rFonts w:hint="eastAsia" w:ascii="宋体" w:hAnsi="宋体"/>
          <w:color w:val="000000"/>
          <w:szCs w:val="21"/>
        </w:rPr>
      </w:pPr>
      <w:r>
        <w:rPr>
          <w:rFonts w:hint="eastAsia" w:ascii="宋体" w:hAnsi="宋体"/>
          <w:color w:val="000000"/>
          <w:szCs w:val="21"/>
        </w:rPr>
        <w:t xml:space="preserve">每个包监督抽查的批次数占比原则上不少于20%。</w:t>
      </w:r>
      <w:r/>
    </w:p>
    <w:p>
      <w:pPr>
        <w:pStyle w:val="900"/>
        <w:ind w:firstLine="420"/>
        <w:jc w:val="left"/>
        <w:spacing w:line="360" w:lineRule="auto"/>
        <w:rPr>
          <w:rFonts w:ascii="宋体" w:hAnsi="宋体"/>
          <w:szCs w:val="21"/>
        </w:rPr>
      </w:pPr>
      <w:r>
        <w:rPr>
          <w:rFonts w:hint="eastAsia" w:ascii="宋体" w:hAnsi="宋体"/>
          <w:szCs w:val="21"/>
        </w:rPr>
        <w:t xml:space="preserve">3.以上为计划检测批次，实际履约时，以不低于计划批次数的实际开展的检测批次数为准，同时本项目实际检测费用以不超过本项目预算金额为准。</w:t>
      </w:r>
      <w:r>
        <w:rPr>
          <w:rFonts w:ascii="宋体" w:hAnsi="宋体"/>
          <w:szCs w:val="21"/>
        </w:rPr>
      </w:r>
      <w:r/>
    </w:p>
    <w:p>
      <w:pPr>
        <w:pStyle w:val="900"/>
        <w:ind w:firstLine="420"/>
        <w:spacing w:line="360" w:lineRule="auto"/>
        <w:rPr>
          <w:rFonts w:ascii="宋体" w:hAnsi="宋体"/>
          <w:bCs/>
          <w:szCs w:val="21"/>
        </w:rPr>
      </w:pPr>
      <w:r>
        <w:rPr>
          <w:rFonts w:ascii="宋体" w:hAnsi="宋体"/>
          <w:bCs/>
          <w:szCs w:val="21"/>
        </w:rPr>
        <w:t xml:space="preserve">一、种植类产品</w:t>
      </w:r>
      <w:r/>
    </w:p>
    <w:p>
      <w:pPr>
        <w:pStyle w:val="900"/>
        <w:ind w:firstLine="420"/>
        <w:spacing w:line="360" w:lineRule="auto"/>
        <w:rPr>
          <w:rFonts w:ascii="宋体" w:hAnsi="宋体"/>
          <w:szCs w:val="21"/>
        </w:rPr>
      </w:pPr>
      <w:r>
        <w:rPr>
          <w:rFonts w:ascii="宋体" w:hAnsi="宋体"/>
          <w:szCs w:val="21"/>
        </w:rPr>
        <w:t xml:space="preserve">（一）监测点设置</w:t>
      </w:r>
      <w:r>
        <w:rPr>
          <w:rFonts w:hint="eastAsia" w:ascii="宋体" w:hAnsi="宋体"/>
          <w:szCs w:val="21"/>
        </w:rPr>
        <w:t xml:space="preserve">：</w:t>
      </w:r>
      <w:r>
        <w:rPr>
          <w:rFonts w:ascii="宋体" w:hAnsi="宋体"/>
          <w:szCs w:val="21"/>
        </w:rPr>
        <w:t xml:space="preserve">果蔬</w:t>
      </w:r>
      <w:r>
        <w:rPr>
          <w:rFonts w:hint="eastAsia" w:ascii="宋体" w:hAnsi="宋体"/>
          <w:szCs w:val="21"/>
        </w:rPr>
        <w:t xml:space="preserve">、食用菌及稻麦</w:t>
      </w:r>
      <w:r>
        <w:rPr>
          <w:rFonts w:ascii="宋体" w:hAnsi="宋体"/>
          <w:szCs w:val="21"/>
        </w:rPr>
        <w:t xml:space="preserve">种植户</w:t>
      </w:r>
      <w:r>
        <w:rPr>
          <w:rFonts w:hint="eastAsia" w:ascii="宋体" w:hAnsi="宋体"/>
          <w:szCs w:val="21"/>
        </w:rPr>
        <w:t xml:space="preserve">等</w:t>
      </w:r>
      <w:r>
        <w:rPr>
          <w:rFonts w:ascii="宋体" w:hAnsi="宋体"/>
          <w:szCs w:val="21"/>
        </w:rPr>
        <w:t xml:space="preserve">。</w:t>
      </w:r>
      <w:r/>
    </w:p>
    <w:p>
      <w:pPr>
        <w:pStyle w:val="900"/>
        <w:ind w:firstLine="420"/>
        <w:spacing w:line="360" w:lineRule="auto"/>
        <w:rPr>
          <w:rFonts w:ascii="宋体" w:hAnsi="宋体"/>
          <w:szCs w:val="21"/>
        </w:rPr>
      </w:pPr>
      <w:r>
        <w:rPr>
          <w:rFonts w:ascii="宋体" w:hAnsi="宋体"/>
          <w:szCs w:val="21"/>
        </w:rPr>
        <w:t xml:space="preserve">（二）品种及数量</w:t>
      </w:r>
      <w:r/>
    </w:p>
    <w:p>
      <w:pPr>
        <w:pStyle w:val="900"/>
        <w:ind w:firstLine="420"/>
        <w:spacing w:line="360" w:lineRule="auto"/>
        <w:rPr>
          <w:rFonts w:ascii="宋体" w:hAnsi="宋体"/>
          <w:szCs w:val="21"/>
        </w:rPr>
      </w:pPr>
      <w:r>
        <w:rPr>
          <w:rFonts w:ascii="宋体" w:hAnsi="宋体"/>
          <w:szCs w:val="21"/>
        </w:rPr>
        <w:t xml:space="preserve">1.监测品种：</w:t>
      </w:r>
      <w:r>
        <w:rPr>
          <w:rFonts w:hint="eastAsia" w:ascii="宋体" w:hAnsi="宋体"/>
          <w:szCs w:val="21"/>
        </w:rPr>
        <w:t xml:space="preserve">蔬菜抽检包括但不限于叶菜类（芹菜、菠菜、叶用莴苣、蕹菜、苋菜、芫荽、茼蒿、油麦菜、大白菜、普通白菜）、芸薹属类（结球甘蓝、花椰菜、青花菜、菜薹）、瓜类（黄瓜、冬瓜、南瓜、西葫芦、丝瓜、瓠瓜）、茄果类（番茄、茄子、辣椒）、豆类（豇豆、菜豆）、鳞茎类（韭菜、葱、大蒜）、水生蔬菜（莲藕、茭白、水芹）、根茎类和薯芋类（萝卜、胡萝卜、马铃薯、姜、山药），</w:t>
      </w:r>
      <w:r>
        <w:rPr>
          <w:rFonts w:ascii="宋体" w:hAnsi="宋体"/>
          <w:szCs w:val="21"/>
        </w:rPr>
        <w:t xml:space="preserve">其中</w:t>
      </w:r>
      <w:r>
        <w:rPr>
          <w:rFonts w:hint="eastAsia" w:ascii="宋体" w:hAnsi="宋体"/>
          <w:szCs w:val="21"/>
        </w:rPr>
        <w:t xml:space="preserve">韭菜</w:t>
      </w:r>
      <w:r>
        <w:rPr>
          <w:rFonts w:ascii="宋体" w:hAnsi="宋体"/>
          <w:szCs w:val="21"/>
        </w:rPr>
        <w:t xml:space="preserve">、</w:t>
      </w:r>
      <w:r>
        <w:rPr>
          <w:rFonts w:hint="eastAsia" w:ascii="宋体" w:hAnsi="宋体"/>
          <w:szCs w:val="21"/>
        </w:rPr>
        <w:t xml:space="preserve">芹菜</w:t>
      </w:r>
      <w:r>
        <w:rPr>
          <w:rFonts w:ascii="宋体" w:hAnsi="宋体"/>
          <w:szCs w:val="21"/>
        </w:rPr>
        <w:t xml:space="preserve">、</w:t>
      </w:r>
      <w:r>
        <w:rPr>
          <w:rFonts w:hint="eastAsia" w:ascii="宋体" w:hAnsi="宋体"/>
          <w:szCs w:val="21"/>
        </w:rPr>
        <w:t xml:space="preserve">豇豆</w:t>
      </w:r>
      <w:r>
        <w:rPr>
          <w:rFonts w:ascii="宋体" w:hAnsi="宋体"/>
          <w:szCs w:val="21"/>
        </w:rPr>
        <w:t xml:space="preserve">为</w:t>
      </w:r>
      <w:r>
        <w:rPr>
          <w:rFonts w:hint="eastAsia" w:ascii="宋体" w:hAnsi="宋体"/>
          <w:szCs w:val="21"/>
        </w:rPr>
        <w:t xml:space="preserve">重点抽检品种；水果主要抽检葡萄、草莓、西瓜、梨、桃等；食用菌主要抽检平菇、杏鲍菇、双胞蘑菇、香菇、金针菇、草菇等，均为鲜品；小麦、水稻、大米等</w:t>
      </w:r>
      <w:r>
        <w:rPr>
          <w:rFonts w:ascii="宋体" w:hAnsi="宋体"/>
          <w:szCs w:val="21"/>
        </w:rPr>
        <w:t xml:space="preserve">。</w:t>
      </w:r>
      <w:r/>
    </w:p>
    <w:p>
      <w:pPr>
        <w:pStyle w:val="900"/>
        <w:ind w:firstLine="420"/>
        <w:spacing w:line="360" w:lineRule="auto"/>
        <w:rPr>
          <w:rFonts w:ascii="宋体" w:hAnsi="宋体"/>
          <w:color w:val="000000"/>
          <w:szCs w:val="21"/>
        </w:rPr>
      </w:pPr>
      <w:r>
        <w:rPr>
          <w:rFonts w:hint="eastAsia" w:ascii="宋体" w:hAnsi="宋体"/>
          <w:szCs w:val="21"/>
        </w:rPr>
        <w:t xml:space="preserve">2</w:t>
      </w:r>
      <w:r>
        <w:rPr>
          <w:rFonts w:ascii="宋体" w:hAnsi="宋体"/>
          <w:szCs w:val="21"/>
        </w:rPr>
        <w:t xml:space="preserve">.抽检、检测单位：</w:t>
      </w:r>
      <w:r>
        <w:rPr>
          <w:rFonts w:ascii="宋体" w:hAnsi="宋体"/>
          <w:color w:val="000000"/>
          <w:szCs w:val="21"/>
        </w:rPr>
        <w:t xml:space="preserve">按照招标结果确定</w:t>
      </w:r>
      <w:r>
        <w:rPr>
          <w:rFonts w:hint="eastAsia" w:ascii="宋体" w:hAnsi="宋体"/>
          <w:color w:val="000000"/>
          <w:szCs w:val="21"/>
        </w:rPr>
        <w:t xml:space="preserve">的中标人</w:t>
      </w:r>
      <w:r>
        <w:rPr>
          <w:rFonts w:ascii="宋体" w:hAnsi="宋体"/>
          <w:color w:val="000000"/>
          <w:szCs w:val="21"/>
        </w:rPr>
        <w:t xml:space="preserve">。</w:t>
      </w:r>
      <w:r/>
    </w:p>
    <w:p>
      <w:pPr>
        <w:pStyle w:val="900"/>
        <w:ind w:firstLine="420"/>
        <w:spacing w:line="360" w:lineRule="auto"/>
        <w:rPr>
          <w:rFonts w:ascii="宋体" w:hAnsi="宋体"/>
          <w:color w:val="000000"/>
          <w:szCs w:val="21"/>
        </w:rPr>
      </w:pPr>
      <w:r>
        <w:rPr>
          <w:rFonts w:ascii="宋体" w:hAnsi="宋体"/>
          <w:color w:val="000000"/>
          <w:szCs w:val="21"/>
        </w:rPr>
        <w:t xml:space="preserve">（三）方法与项目</w:t>
      </w:r>
      <w:r/>
    </w:p>
    <w:p>
      <w:pPr>
        <w:pStyle w:val="900"/>
        <w:ind w:firstLine="420"/>
        <w:spacing w:line="360" w:lineRule="auto"/>
        <w:rPr>
          <w:rFonts w:hint="eastAsia" w:ascii="宋体" w:hAnsi="宋体"/>
          <w:color w:val="000000"/>
          <w:szCs w:val="21"/>
        </w:rPr>
      </w:pPr>
      <w:r>
        <w:rPr>
          <w:rFonts w:ascii="宋体" w:hAnsi="宋体"/>
          <w:szCs w:val="21"/>
        </w:rPr>
        <w:t xml:space="preserve">1.农残定量检测方法：用气相色谱仪或气相色谱串联质谱仪或液相色谱串联质谱仪进行定量检测</w:t>
      </w:r>
      <w:r>
        <w:rPr>
          <w:rFonts w:hint="eastAsia" w:ascii="宋体" w:hAnsi="宋体"/>
          <w:szCs w:val="21"/>
        </w:rPr>
        <w:t xml:space="preserve">。满足检出限和定量限要求的其他检测方法（包括国家标准、行业标准及农业农村部公告等）也可使用。</w:t>
      </w:r>
      <w:r>
        <w:rPr>
          <w:rFonts w:hint="eastAsia" w:ascii="宋体" w:hAnsi="宋体"/>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蔬菜</w:t>
      </w:r>
      <w:r>
        <w:rPr>
          <w:rFonts w:hint="eastAsia" w:ascii="宋体" w:hAnsi="宋体"/>
          <w:color w:val="000000"/>
          <w:szCs w:val="21"/>
        </w:rPr>
        <w:t xml:space="preserve">、</w:t>
      </w:r>
      <w:r>
        <w:rPr>
          <w:rFonts w:ascii="宋体" w:hAnsi="宋体"/>
          <w:color w:val="000000"/>
          <w:szCs w:val="21"/>
        </w:rPr>
        <w:t xml:space="preserve">果品</w:t>
      </w:r>
      <w:r>
        <w:rPr>
          <w:rFonts w:hint="eastAsia" w:ascii="宋体" w:hAnsi="宋体"/>
          <w:color w:val="000000"/>
          <w:szCs w:val="21"/>
        </w:rPr>
        <w:t xml:space="preserve">、食用菌</w:t>
      </w:r>
      <w:r>
        <w:rPr>
          <w:rFonts w:ascii="宋体" w:hAnsi="宋体"/>
          <w:color w:val="000000"/>
          <w:szCs w:val="21"/>
        </w:rPr>
        <w:t xml:space="preserve">的</w:t>
      </w:r>
      <w:r>
        <w:rPr>
          <w:rFonts w:hint="eastAsia" w:ascii="宋体" w:hAnsi="宋体"/>
          <w:color w:val="000000"/>
          <w:szCs w:val="21"/>
        </w:rPr>
        <w:t xml:space="preserve">例行</w:t>
      </w:r>
      <w:r>
        <w:rPr>
          <w:rFonts w:ascii="宋体" w:hAnsi="宋体"/>
          <w:color w:val="000000"/>
          <w:szCs w:val="21"/>
        </w:rPr>
        <w:t xml:space="preserve">监测</w:t>
      </w:r>
      <w:r>
        <w:rPr>
          <w:rFonts w:hint="eastAsia" w:ascii="宋体" w:hAnsi="宋体"/>
          <w:color w:val="000000"/>
          <w:szCs w:val="21"/>
        </w:rPr>
        <w:t xml:space="preserve">项目为70项。</w:t>
      </w:r>
      <w:r>
        <w:rPr>
          <w:rFonts w:ascii="宋体" w:hAnsi="宋体"/>
          <w:color w:val="000000"/>
          <w:szCs w:val="21"/>
        </w:rPr>
        <w:t xml:space="preserve">具体监测项目、检测方法及判断依据详见下表：</w:t>
      </w:r>
      <w:r/>
    </w:p>
    <w:tbl>
      <w:tblPr>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096"/>
        <w:gridCol w:w="1423"/>
        <w:gridCol w:w="1558"/>
      </w:tblGrid>
      <w:tr>
        <w:trPr>
          <w:trHeight w:val="561"/>
        </w:trPr>
        <w:tc>
          <w:tcPr>
            <w:tcW w:w="3358" w:type="pct"/>
            <w:vAlign w:val="center"/>
            <w:textDirection w:val="lrTb"/>
            <w:noWrap w:val="false"/>
          </w:tcPr>
          <w:p>
            <w:pPr>
              <w:pStyle w:val="1282"/>
              <w:ind w:left="14" w:firstLine="31"/>
              <w:jc w:val="center"/>
              <w:spacing w:line="280" w:lineRule="exact"/>
              <w:rPr>
                <w:rFonts w:hint="eastAsia" w:ascii="宋体" w:hAnsi="宋体" w:eastAsia="宋体" w:cs="宋体"/>
                <w:bCs/>
                <w:sz w:val="21"/>
                <w:szCs w:val="21"/>
              </w:rPr>
            </w:pPr>
            <w:r>
              <w:rPr>
                <w:rFonts w:hint="eastAsia" w:ascii="宋体" w:hAnsi="宋体" w:eastAsia="宋体" w:cs="宋体"/>
                <w:bCs/>
                <w:sz w:val="21"/>
                <w:szCs w:val="21"/>
              </w:rPr>
              <w:t xml:space="preserve">监测项目</w:t>
            </w:r>
            <w:r/>
          </w:p>
        </w:tc>
        <w:tc>
          <w:tcPr>
            <w:tcW w:w="784" w:type="pct"/>
            <w:vAlign w:val="center"/>
            <w:textDirection w:val="lrTb"/>
            <w:noWrap w:val="false"/>
          </w:tcPr>
          <w:p>
            <w:pPr>
              <w:pStyle w:val="1282"/>
              <w:ind w:left="14" w:firstLine="31"/>
              <w:jc w:val="center"/>
              <w:spacing w:line="280" w:lineRule="exact"/>
              <w:rPr>
                <w:rFonts w:hint="eastAsia" w:ascii="宋体" w:hAnsi="宋体" w:eastAsia="宋体" w:cs="宋体"/>
                <w:bCs/>
                <w:sz w:val="21"/>
                <w:szCs w:val="21"/>
              </w:rPr>
            </w:pPr>
            <w:r>
              <w:rPr>
                <w:rFonts w:hint="eastAsia" w:ascii="宋体" w:hAnsi="宋体" w:eastAsia="宋体" w:cs="宋体"/>
                <w:bCs/>
                <w:sz w:val="21"/>
                <w:szCs w:val="21"/>
              </w:rPr>
              <w:t xml:space="preserve">检测方法（推荐使用）</w:t>
            </w:r>
            <w:r/>
          </w:p>
        </w:tc>
        <w:tc>
          <w:tcPr>
            <w:tcW w:w="858" w:type="pct"/>
            <w:vAlign w:val="center"/>
            <w:textDirection w:val="lrTb"/>
            <w:noWrap w:val="false"/>
          </w:tcPr>
          <w:p>
            <w:pPr>
              <w:pStyle w:val="1282"/>
              <w:ind w:left="14" w:firstLine="31"/>
              <w:jc w:val="center"/>
              <w:spacing w:line="280" w:lineRule="exact"/>
              <w:rPr>
                <w:rFonts w:hint="eastAsia" w:ascii="宋体" w:hAnsi="宋体" w:eastAsia="宋体" w:cs="宋体"/>
                <w:bCs/>
                <w:sz w:val="21"/>
                <w:szCs w:val="21"/>
              </w:rPr>
            </w:pPr>
            <w:r>
              <w:rPr>
                <w:rFonts w:hint="eastAsia" w:ascii="宋体" w:hAnsi="宋体" w:eastAsia="宋体" w:cs="宋体"/>
                <w:bCs/>
                <w:sz w:val="21"/>
                <w:szCs w:val="21"/>
              </w:rPr>
              <w:t xml:space="preserve">判定依据</w:t>
            </w:r>
            <w:r/>
          </w:p>
        </w:tc>
      </w:tr>
      <w:tr>
        <w:trPr>
          <w:trHeight w:val="4395"/>
        </w:trPr>
        <w:tc>
          <w:tcPr>
            <w:tcW w:w="3358" w:type="pct"/>
            <w:vAlign w:val="center"/>
            <w:textDirection w:val="lrTb"/>
            <w:noWrap w:val="false"/>
          </w:tcPr>
          <w:p>
            <w:pPr>
              <w:pStyle w:val="1282"/>
              <w:ind w:left="14" w:firstLine="31"/>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甲胺磷、对硫磷、甲基对硫磷、六六六、甲拌磷（包括甲拌磷砜和甲拌磷亚砜）、水胺硫磷、甲基异柳磷、灭线磷；氧乐果、克百威（包括3-羟基克百威）、涕灭威（包括涕灭威砜和涕灭威亚砜）、毒死蜱、三唑磷、乐果、乙酰甲胺磷、灭多威、内吸磷、硫环磷、氯唑磷；敌敌畏</w:t>
            </w:r>
            <w:r>
              <w:rPr>
                <w:rFonts w:hint="eastAsia" w:ascii="宋体" w:hAnsi="宋体" w:eastAsia="宋体" w:cs="宋体"/>
                <w:sz w:val="21"/>
                <w:szCs w:val="21"/>
              </w:rPr>
              <w:t xml:space="preserve">、丙溴磷、辛硫磷、氰戊菊酯、甲氰菊酯、溴氰菊酯、联苯菊酯、三唑酮、异菌脲、腐霉利、多菌灵、吡虫啉、倍硫磷、敌百虫、三氯杀螨醇；氯氰菊酯、氯氟氰菊酯、氟氯氰菊酯、百菌清、五氯硝基苯、氟虫腈（包括氟甲腈、氟虫腈硫醚、氟虫腈砜）；啶虫脒、哒螨灵、苯醚甲环唑、嘧霉胺、甲氨基阿维菌素苯甲酸盐、烯酰吗啉、咪鲜胺、嘧菌酯、二甲戊灵、噻虫嗪、氟啶脲、灭幼脲、甲霜灵、霜霉威、多效唑、氯吡脲、氯虫苯甲酰胺、虫酰肼、吡唑醚菌酯、除虫脲、丙环唑、虫螨腈、灭蝇胺、阿维菌素、丁硫克百威、乙基多杀菌素、多杀霉素、噻苯隆、代森锰锌、草甘膦</w:t>
            </w:r>
            <w:r/>
          </w:p>
        </w:tc>
        <w:tc>
          <w:tcPr>
            <w:tcW w:w="784" w:type="pct"/>
            <w:vAlign w:val="center"/>
            <w:textDirection w:val="lrTb"/>
            <w:noWrap w:val="false"/>
          </w:tcPr>
          <w:p>
            <w:pPr>
              <w:pStyle w:val="1282"/>
              <w:jc w:val="center"/>
              <w:spacing w:line="300" w:lineRule="exact"/>
              <w:rPr>
                <w:rFonts w:hint="eastAsia" w:ascii="宋体" w:hAnsi="宋体" w:eastAsia="宋体" w:cs="宋体"/>
                <w:sz w:val="21"/>
                <w:szCs w:val="21"/>
              </w:rPr>
            </w:pPr>
            <w:r>
              <w:rPr>
                <w:rFonts w:hint="eastAsia" w:ascii="宋体" w:hAnsi="宋体" w:eastAsia="宋体" w:cs="宋体"/>
                <w:sz w:val="21"/>
                <w:szCs w:val="21"/>
                <w:lang w:bidi="ar"/>
              </w:rPr>
              <w:t xml:space="preserve">国家现行有效的检测方法，但方法最低检出限必须满足判定依据限量值</w:t>
            </w:r>
            <w:r>
              <w:rPr>
                <w:rFonts w:hint="eastAsia" w:ascii="宋体" w:hAnsi="宋体" w:eastAsia="宋体" w:cs="宋体"/>
                <w:sz w:val="21"/>
                <w:szCs w:val="21"/>
              </w:rPr>
            </w:r>
            <w:r/>
          </w:p>
        </w:tc>
        <w:tc>
          <w:tcPr>
            <w:tcW w:w="858" w:type="pct"/>
            <w:vAlign w:val="center"/>
            <w:textDirection w:val="lrTb"/>
            <w:noWrap w:val="false"/>
          </w:tcPr>
          <w:p>
            <w:pPr>
              <w:pStyle w:val="1282"/>
              <w:ind w:left="14"/>
              <w:jc w:val="center"/>
              <w:spacing w:line="300" w:lineRule="exact"/>
              <w:rPr>
                <w:rFonts w:hint="eastAsia" w:ascii="宋体" w:hAnsi="宋体" w:eastAsia="宋体" w:cs="宋体"/>
                <w:sz w:val="21"/>
                <w:szCs w:val="21"/>
              </w:rPr>
            </w:pPr>
            <w:r>
              <w:rPr>
                <w:rFonts w:hint="eastAsia" w:ascii="宋体" w:hAnsi="宋体" w:eastAsia="宋体" w:cs="宋体"/>
                <w:sz w:val="21"/>
                <w:szCs w:val="21"/>
                <w:lang w:bidi="ar"/>
              </w:rPr>
              <w:t xml:space="preserve">GB 2763-2021、GB 2763.1-2022和部、省例行监测判定标准进行判定</w:t>
            </w:r>
            <w:r>
              <w:rPr>
                <w:rFonts w:hint="eastAsia" w:ascii="宋体" w:hAnsi="宋体" w:eastAsia="宋体" w:cs="宋体"/>
                <w:sz w:val="21"/>
                <w:szCs w:val="21"/>
              </w:rPr>
            </w:r>
            <w:r/>
          </w:p>
        </w:tc>
      </w:tr>
    </w:tbl>
    <w:p>
      <w:pPr>
        <w:pStyle w:val="900"/>
        <w:jc w:val="left"/>
        <w:widowControl/>
        <w:rPr>
          <w:rFonts w:hint="eastAsia" w:ascii="宋体" w:hAnsi="宋体"/>
          <w:color w:val="000000"/>
          <w:szCs w:val="21"/>
        </w:rPr>
      </w:pPr>
      <w:r>
        <w:rPr>
          <w:rFonts w:hint="eastAsia" w:ascii="宋体" w:hAnsi="宋体"/>
          <w:color w:val="000000"/>
          <w:szCs w:val="21"/>
        </w:rPr>
      </w:r>
      <w:r/>
    </w:p>
    <w:p>
      <w:pPr>
        <w:pStyle w:val="900"/>
        <w:ind w:firstLine="420"/>
        <w:rPr>
          <w:rFonts w:ascii="宋体" w:hAnsi="宋体"/>
          <w:color w:val="000000"/>
          <w:szCs w:val="21"/>
        </w:rPr>
      </w:pPr>
      <w:r>
        <w:rPr>
          <w:rFonts w:hint="eastAsia" w:ascii="宋体" w:hAnsi="宋体"/>
          <w:color w:val="000000"/>
          <w:szCs w:val="21"/>
        </w:rPr>
        <w:t xml:space="preserve">3.小麦的例行监测项目为21项。</w:t>
      </w:r>
      <w:r>
        <w:rPr>
          <w:rFonts w:ascii="宋体" w:hAnsi="宋体"/>
          <w:color w:val="000000"/>
          <w:szCs w:val="21"/>
        </w:rPr>
        <w:t xml:space="preserve">具体监测项目、检测方法及判定依据详见下表：</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04"/>
        <w:gridCol w:w="1417"/>
        <w:gridCol w:w="1666"/>
      </w:tblGrid>
      <w:tr>
        <w:trPr>
          <w:trHeight w:val="589"/>
        </w:trPr>
        <w:tc>
          <w:tcPr>
            <w:tcW w:w="3340"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监测项目</w:t>
            </w:r>
            <w:r/>
          </w:p>
        </w:tc>
        <w:tc>
          <w:tcPr>
            <w:tcW w:w="763"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检测方法</w:t>
            </w:r>
            <w:r/>
          </w:p>
        </w:tc>
        <w:tc>
          <w:tcPr>
            <w:tcW w:w="897"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判定标准</w:t>
            </w:r>
            <w:r/>
          </w:p>
        </w:tc>
      </w:tr>
      <w:tr>
        <w:trPr>
          <w:trHeight w:val="2588"/>
        </w:trPr>
        <w:tc>
          <w:tcPr>
            <w:tcW w:w="3340" w:type="pct"/>
            <w:vAlign w:val="center"/>
            <w:textDirection w:val="lrTb"/>
            <w:noWrap w:val="false"/>
          </w:tcPr>
          <w:p>
            <w:pPr>
              <w:pStyle w:val="900"/>
              <w:jc w:val="left"/>
              <w:widowControl/>
              <w:rPr>
                <w:rFonts w:hint="eastAsia" w:ascii="宋体" w:hAnsi="宋体" w:eastAsia="仿宋_GB2312" w:cs="宋体"/>
                <w:color w:val="000000"/>
                <w:szCs w:val="21"/>
              </w:rPr>
            </w:pPr>
            <w:r>
              <w:rPr>
                <w:rFonts w:hint="eastAsia" w:ascii="宋体" w:hAnsi="宋体" w:cs="宋体"/>
                <w:szCs w:val="21"/>
              </w:rPr>
              <w:t xml:space="preserve">克百威（包括3-羟基克百威）、氯虫苯甲酰胺、苯醚甲环唑、嘧菌酯、丙环唑、戊唑醇、吡虫啉、噻虫嗪、多菌灵、啶虫脒、噻虫胺、咪鲜胺、三唑酮、乐果、三环唑、辛硫磷、吡唑醚菌酯、黄曲霉毒素B1、脱氧雪腐镰刀烯醇、玉米赤霉烯酮、赭曲霉毒素A</w:t>
            </w:r>
            <w:r>
              <w:rPr>
                <w:rFonts w:hint="eastAsia" w:ascii="宋体" w:hAnsi="宋体" w:eastAsia="仿宋_GB2312" w:cs="宋体"/>
                <w:color w:val="000000"/>
                <w:szCs w:val="21"/>
              </w:rPr>
            </w:r>
            <w:r/>
          </w:p>
        </w:tc>
        <w:tc>
          <w:tcPr>
            <w:tcW w:w="763"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szCs w:val="21"/>
                <w:lang w:bidi="ar"/>
              </w:rPr>
              <w:t xml:space="preserve">国家现行有效的检测方法，但方法最低检出限必须满足判定依据限量值</w:t>
            </w:r>
            <w:r>
              <w:rPr>
                <w:rFonts w:hint="eastAsia" w:ascii="宋体" w:hAnsi="宋体" w:cs="宋体"/>
                <w:color w:val="000000"/>
                <w:szCs w:val="21"/>
              </w:rPr>
            </w:r>
            <w:r/>
          </w:p>
        </w:tc>
        <w:tc>
          <w:tcPr>
            <w:tcW w:w="897"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GB 2761、</w:t>
            </w:r>
            <w:r>
              <w:rPr>
                <w:rFonts w:hint="eastAsia" w:ascii="宋体" w:hAnsi="宋体" w:cs="宋体"/>
                <w:szCs w:val="21"/>
                <w:lang w:bidi="ar"/>
              </w:rPr>
              <w:t xml:space="preserve">GB 2763-2021、GB 2763.1-2022和部、省例行监测判定标准进行判定</w:t>
            </w:r>
            <w:r>
              <w:rPr>
                <w:rFonts w:hint="eastAsia" w:ascii="宋体" w:hAnsi="宋体" w:cs="宋体"/>
                <w:color w:val="000000"/>
                <w:szCs w:val="21"/>
              </w:rPr>
            </w:r>
            <w:r/>
          </w:p>
        </w:tc>
      </w:tr>
    </w:tbl>
    <w:p>
      <w:pPr>
        <w:pStyle w:val="900"/>
        <w:ind w:firstLine="420"/>
        <w:jc w:val="left"/>
        <w:rPr>
          <w:rFonts w:hint="eastAsia" w:ascii="宋体" w:hAnsi="宋体"/>
          <w:color w:val="000000"/>
          <w:szCs w:val="21"/>
        </w:rPr>
      </w:pPr>
      <w:r>
        <w:rPr>
          <w:rFonts w:hint="eastAsia" w:ascii="宋体" w:hAnsi="宋体"/>
          <w:color w:val="000000"/>
          <w:szCs w:val="21"/>
        </w:rPr>
      </w:r>
      <w:r/>
    </w:p>
    <w:p>
      <w:pPr>
        <w:pStyle w:val="900"/>
        <w:ind w:firstLine="420"/>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稻谷</w:t>
      </w:r>
      <w:r>
        <w:rPr>
          <w:rFonts w:hint="eastAsia" w:ascii="宋体" w:hAnsi="宋体"/>
          <w:color w:val="000000"/>
          <w:szCs w:val="21"/>
        </w:rPr>
        <w:t xml:space="preserve">、大米的例行监测项目为28项。</w:t>
      </w:r>
      <w:r>
        <w:rPr>
          <w:rFonts w:ascii="宋体" w:hAnsi="宋体"/>
          <w:color w:val="000000"/>
          <w:szCs w:val="21"/>
        </w:rPr>
        <w:t xml:space="preserve">具体监测项目、检测方法及判定依据详见下表：</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04"/>
        <w:gridCol w:w="1417"/>
        <w:gridCol w:w="1666"/>
      </w:tblGrid>
      <w:tr>
        <w:trPr>
          <w:trHeight w:val="589"/>
        </w:trPr>
        <w:tc>
          <w:tcPr>
            <w:tcW w:w="3340"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监测项目</w:t>
            </w:r>
            <w:r/>
          </w:p>
        </w:tc>
        <w:tc>
          <w:tcPr>
            <w:tcW w:w="763"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检测方法</w:t>
            </w:r>
            <w:r/>
          </w:p>
        </w:tc>
        <w:tc>
          <w:tcPr>
            <w:tcW w:w="897"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判定标准</w:t>
            </w:r>
            <w:r/>
          </w:p>
        </w:tc>
      </w:tr>
      <w:tr>
        <w:trPr>
          <w:trHeight w:val="2588"/>
        </w:trPr>
        <w:tc>
          <w:tcPr>
            <w:tcW w:w="3340" w:type="pct"/>
            <w:vAlign w:val="center"/>
            <w:textDirection w:val="lrTb"/>
            <w:noWrap w:val="false"/>
          </w:tcPr>
          <w:p>
            <w:pPr>
              <w:pStyle w:val="900"/>
              <w:jc w:val="center"/>
              <w:widowControl/>
              <w:rPr>
                <w:rFonts w:hint="eastAsia" w:ascii="宋体" w:hAnsi="宋体" w:cs="宋体"/>
                <w:color w:val="000000"/>
                <w:szCs w:val="21"/>
              </w:rPr>
            </w:pPr>
            <w:r>
              <w:rPr>
                <w:szCs w:val="21"/>
                <w:lang w:bidi="ar"/>
              </w:rPr>
              <w:t xml:space="preserve">甲胺磷、氟虫腈（包括氟甲腈、氟虫腈硫醚、氟虫腈砜）、三唑磷、毒死蜱、克百威（包括3-羟基克百威）、氯虫苯甲酰胺、苯醚甲环唑、嘧菌酯、丙环唑、戊唑醇、吡虫啉、噻虫嗪、多菌灵、啶虫脒、噻虫胺、咪鲜胺、水胺硫磷、三唑酮、乐果、三环唑、辛硫磷、吡唑醚菌酯、</w:t>
            </w:r>
            <w:r>
              <w:rPr>
                <w:color w:val="000000"/>
                <w:szCs w:val="21"/>
              </w:rPr>
              <w:t xml:space="preserve">铬、铅、镉、汞、无机砷（以As计）、黄曲霉毒素B</w:t>
            </w:r>
            <w:r>
              <w:rPr>
                <w:rFonts w:hint="eastAsia" w:ascii="宋体" w:hAnsi="宋体" w:cs="宋体"/>
                <w:color w:val="000000"/>
                <w:szCs w:val="21"/>
              </w:rPr>
            </w:r>
            <w:r/>
          </w:p>
        </w:tc>
        <w:tc>
          <w:tcPr>
            <w:tcW w:w="763"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szCs w:val="21"/>
                <w:lang w:bidi="ar"/>
              </w:rPr>
              <w:t xml:space="preserve">国家现行有效的检测方法，但方法最低检出限必须满足判定依据限量值</w:t>
            </w:r>
            <w:r>
              <w:rPr>
                <w:rFonts w:hint="eastAsia" w:ascii="宋体" w:hAnsi="宋体" w:cs="宋体"/>
                <w:color w:val="000000"/>
                <w:szCs w:val="21"/>
              </w:rPr>
            </w:r>
            <w:r/>
          </w:p>
        </w:tc>
        <w:tc>
          <w:tcPr>
            <w:tcW w:w="897"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GB 2761、GB 2762、</w:t>
            </w:r>
            <w:r>
              <w:rPr>
                <w:rFonts w:hint="eastAsia" w:ascii="宋体" w:hAnsi="宋体" w:cs="宋体"/>
                <w:szCs w:val="21"/>
                <w:lang w:bidi="ar"/>
              </w:rPr>
              <w:t xml:space="preserve">GB 2763-2021、GB 2763.1-2022和部、省例行监测判定标准进行判定</w:t>
            </w:r>
            <w:r>
              <w:rPr>
                <w:rFonts w:hint="eastAsia" w:ascii="宋体" w:hAnsi="宋体" w:cs="宋体"/>
                <w:color w:val="000000"/>
                <w:szCs w:val="21"/>
              </w:rPr>
            </w:r>
            <w:r/>
          </w:p>
        </w:tc>
      </w:tr>
    </w:tbl>
    <w:p>
      <w:pPr>
        <w:pStyle w:val="900"/>
        <w:ind w:firstLine="420"/>
        <w:jc w:val="left"/>
        <w:rPr>
          <w:rFonts w:hint="eastAsia" w:ascii="宋体" w:hAnsi="宋体"/>
          <w:color w:val="000000"/>
          <w:szCs w:val="21"/>
        </w:rPr>
      </w:pPr>
      <w:r>
        <w:rPr>
          <w:rFonts w:hint="eastAsia"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（四）抽样方法、判定依据</w:t>
      </w:r>
      <w:r/>
    </w:p>
    <w:p>
      <w:pPr>
        <w:pStyle w:val="900"/>
        <w:ind w:firstLine="420"/>
        <w:spacing w:line="360" w:lineRule="auto"/>
        <w:rPr>
          <w:rFonts w:ascii="宋体" w:hAnsi="宋体"/>
          <w:color w:val="000000"/>
          <w:szCs w:val="21"/>
        </w:rPr>
      </w:pPr>
      <w:r>
        <w:rPr>
          <w:rFonts w:ascii="宋体" w:hAnsi="宋体"/>
          <w:color w:val="000000"/>
          <w:szCs w:val="21"/>
        </w:rPr>
        <w:t xml:space="preserve">1.抽样方法：抽样按NY/T 2103《蔬菜抽样技术规范》、NY/T789农药残留分析样本的采样方法执行。</w:t>
      </w:r>
      <w:r/>
    </w:p>
    <w:p>
      <w:pPr>
        <w:pStyle w:val="900"/>
        <w:ind w:firstLine="420"/>
        <w:jc w:val="left"/>
        <w:spacing w:line="360" w:lineRule="auto"/>
        <w:rPr>
          <w:rFonts w:hint="eastAsia" w:ascii="宋体" w:hAnsi="宋体"/>
          <w:color w:val="000000"/>
          <w:szCs w:val="21"/>
        </w:rPr>
      </w:pPr>
      <w:r>
        <w:rPr>
          <w:rFonts w:ascii="宋体" w:hAnsi="宋体"/>
          <w:color w:val="000000"/>
          <w:szCs w:val="21"/>
        </w:rPr>
        <w:t xml:space="preserve">2.判定依据：</w:t>
      </w:r>
      <w:r>
        <w:rPr>
          <w:rFonts w:ascii="宋体" w:hAnsi="宋体"/>
          <w:color w:val="000000"/>
          <w:szCs w:val="21"/>
        </w:rPr>
        <w:t xml:space="preserve">按照（三）方法与项目中指定的检测方法及判定依据进行检测与判定（各检测项目除采用表中所列检测方法外，如有其他国家标准、行业标准以及部文公告的检测方法，且其最低检出限能满足限量值要求时，也可采用，凡是不注明日期的标准，其最新版本适用于本文件）。上市样品所监测项目全部合格者，判定合格，有一项（或以上）项目不合格，即判定不合格；未上市样品所检测项目中仅对禁（限）用药物残留进行判定，其他项目记录检出值</w:t>
      </w:r>
      <w:r>
        <w:rPr>
          <w:rFonts w:hint="eastAsia" w:ascii="宋体" w:hAnsi="宋体"/>
          <w:color w:val="000000"/>
          <w:szCs w:val="21"/>
        </w:rPr>
        <w:t xml:space="preserve">。</w:t>
      </w:r>
      <w:r/>
    </w:p>
    <w:p>
      <w:pPr>
        <w:pStyle w:val="900"/>
        <w:ind w:firstLine="420"/>
        <w:jc w:val="left"/>
        <w:spacing w:line="360" w:lineRule="auto"/>
        <w:rPr>
          <w:rFonts w:ascii="宋体" w:hAnsi="宋体"/>
          <w:color w:val="000000"/>
          <w:szCs w:val="21"/>
        </w:rPr>
      </w:pPr>
      <w:r>
        <w:rPr>
          <w:rFonts w:ascii="宋体" w:hAnsi="宋体"/>
          <w:color w:val="000000"/>
          <w:szCs w:val="21"/>
        </w:rPr>
        <w:t xml:space="preserve">二、畜禽类产品</w:t>
      </w:r>
      <w:r/>
    </w:p>
    <w:p>
      <w:pPr>
        <w:pStyle w:val="900"/>
        <w:ind w:firstLine="420"/>
        <w:jc w:val="left"/>
        <w:spacing w:line="360" w:lineRule="auto"/>
        <w:rPr>
          <w:rFonts w:ascii="宋体" w:hAnsi="宋体"/>
          <w:color w:val="000000"/>
          <w:szCs w:val="21"/>
        </w:rPr>
      </w:pPr>
      <w:r>
        <w:rPr>
          <w:rFonts w:ascii="宋体" w:hAnsi="宋体"/>
          <w:color w:val="000000"/>
          <w:szCs w:val="21"/>
        </w:rPr>
        <w:t xml:space="preserve">（一）监测点设置</w:t>
      </w:r>
      <w:r/>
    </w:p>
    <w:p>
      <w:pPr>
        <w:pStyle w:val="900"/>
        <w:ind w:firstLine="420"/>
        <w:jc w:val="left"/>
        <w:spacing w:line="360" w:lineRule="auto"/>
        <w:rPr>
          <w:rFonts w:ascii="宋体" w:hAnsi="宋体"/>
          <w:color w:val="000000"/>
          <w:szCs w:val="21"/>
        </w:rPr>
      </w:pPr>
      <w:r>
        <w:rPr>
          <w:rFonts w:ascii="宋体" w:hAnsi="宋体"/>
          <w:color w:val="000000"/>
          <w:szCs w:val="21"/>
        </w:rPr>
        <w:t xml:space="preserve">市屠宰加工中心、养殖场</w:t>
      </w:r>
      <w:r>
        <w:rPr>
          <w:rFonts w:hint="eastAsia" w:ascii="宋体" w:hAnsi="宋体"/>
          <w:color w:val="000000"/>
          <w:szCs w:val="21"/>
        </w:rPr>
        <w:t xml:space="preserve">、生鲜乳收购站等</w:t>
      </w:r>
      <w:r>
        <w:rPr>
          <w:rFonts w:ascii="宋体" w:hAnsi="宋体"/>
          <w:color w:val="000000"/>
          <w:szCs w:val="21"/>
        </w:rPr>
        <w:t xml:space="preserve">。</w:t>
      </w:r>
      <w:r/>
    </w:p>
    <w:p>
      <w:pPr>
        <w:pStyle w:val="900"/>
        <w:ind w:firstLine="420"/>
        <w:jc w:val="left"/>
        <w:spacing w:line="360" w:lineRule="auto"/>
        <w:rPr>
          <w:rFonts w:ascii="宋体" w:hAnsi="宋体"/>
          <w:color w:val="000000"/>
          <w:szCs w:val="21"/>
        </w:rPr>
      </w:pPr>
      <w:r>
        <w:rPr>
          <w:rFonts w:ascii="宋体" w:hAnsi="宋体"/>
          <w:color w:val="000000"/>
          <w:szCs w:val="21"/>
        </w:rPr>
        <w:t xml:space="preserve">（二）品种及数量</w:t>
      </w:r>
      <w:r/>
    </w:p>
    <w:p>
      <w:pPr>
        <w:pStyle w:val="900"/>
        <w:ind w:firstLine="420"/>
        <w:spacing w:line="360" w:lineRule="auto"/>
        <w:rPr>
          <w:rFonts w:ascii="宋体" w:hAnsi="宋体"/>
          <w:color w:val="000000"/>
          <w:szCs w:val="21"/>
        </w:rPr>
      </w:pPr>
      <w:r>
        <w:rPr>
          <w:rFonts w:ascii="宋体" w:hAnsi="宋体"/>
          <w:color w:val="000000"/>
          <w:szCs w:val="21"/>
        </w:rPr>
        <w:t xml:space="preserve">1.监测品种：猪肝、</w:t>
      </w:r>
      <w:r>
        <w:rPr>
          <w:rFonts w:hint="eastAsia" w:ascii="宋体" w:hAnsi="宋体"/>
          <w:color w:val="000000"/>
          <w:szCs w:val="21"/>
        </w:rPr>
        <w:t xml:space="preserve">猪肉、</w:t>
      </w:r>
      <w:r>
        <w:rPr>
          <w:rFonts w:ascii="宋体" w:hAnsi="宋体"/>
          <w:color w:val="000000"/>
          <w:szCs w:val="21"/>
        </w:rPr>
        <w:t xml:space="preserve">禽肉、禽蛋、</w:t>
      </w:r>
      <w:r>
        <w:rPr>
          <w:rFonts w:hint="eastAsia" w:ascii="宋体" w:hAnsi="宋体"/>
          <w:color w:val="000000"/>
          <w:szCs w:val="21"/>
        </w:rPr>
        <w:t xml:space="preserve">猪尿及</w:t>
      </w:r>
      <w:r>
        <w:rPr>
          <w:rFonts w:ascii="宋体" w:hAnsi="宋体"/>
          <w:bCs/>
          <w:color w:val="000000"/>
          <w:szCs w:val="21"/>
        </w:rPr>
        <w:t xml:space="preserve">生鲜</w:t>
      </w:r>
      <w:r>
        <w:rPr>
          <w:rFonts w:hint="eastAsia" w:ascii="宋体" w:hAnsi="宋体"/>
          <w:bCs/>
          <w:color w:val="000000"/>
          <w:szCs w:val="21"/>
        </w:rPr>
        <w:t xml:space="preserve">牛</w:t>
      </w:r>
      <w:r>
        <w:rPr>
          <w:rFonts w:ascii="宋体" w:hAnsi="宋体"/>
          <w:bCs/>
          <w:color w:val="000000"/>
          <w:szCs w:val="21"/>
        </w:rPr>
        <w:t xml:space="preserve">乳</w:t>
      </w:r>
      <w:r>
        <w:rPr>
          <w:rFonts w:ascii="宋体" w:hAnsi="宋体"/>
          <w:color w:val="000000"/>
          <w:szCs w:val="21"/>
        </w:rPr>
        <w:t xml:space="preserve">等。</w:t>
      </w:r>
      <w:r/>
    </w:p>
    <w:p>
      <w:pPr>
        <w:pStyle w:val="900"/>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.抽检、检测单位：按照招标结果确定</w:t>
      </w:r>
      <w:r>
        <w:rPr>
          <w:rFonts w:hint="eastAsia" w:ascii="宋体" w:hAnsi="宋体"/>
          <w:color w:val="000000"/>
          <w:szCs w:val="21"/>
        </w:rPr>
        <w:t xml:space="preserve">法的中标人</w:t>
      </w:r>
      <w:r>
        <w:rPr>
          <w:rFonts w:ascii="宋体" w:hAnsi="宋体"/>
          <w:color w:val="000000"/>
          <w:szCs w:val="21"/>
        </w:rPr>
        <w:t xml:space="preserve">； </w:t>
      </w:r>
      <w:r/>
    </w:p>
    <w:p>
      <w:pPr>
        <w:pStyle w:val="900"/>
        <w:ind w:firstLine="420"/>
        <w:spacing w:line="360" w:lineRule="auto"/>
        <w:rPr>
          <w:rFonts w:ascii="宋体" w:hAnsi="宋体"/>
          <w:color w:val="000000"/>
          <w:szCs w:val="21"/>
        </w:rPr>
      </w:pPr>
      <w:r>
        <w:rPr>
          <w:rFonts w:ascii="宋体" w:hAnsi="宋体"/>
          <w:color w:val="000000"/>
          <w:szCs w:val="21"/>
        </w:rPr>
        <w:t xml:space="preserve">（三）方法与项目</w:t>
      </w:r>
      <w:r/>
    </w:p>
    <w:p>
      <w:pPr>
        <w:pStyle w:val="900"/>
        <w:ind w:firstLine="420"/>
        <w:jc w:val="left"/>
        <w:spacing w:line="360" w:lineRule="auto"/>
        <w:rPr>
          <w:rFonts w:ascii="宋体" w:hAnsi="宋体"/>
          <w:color w:val="000000"/>
          <w:szCs w:val="21"/>
        </w:rPr>
      </w:pPr>
      <w:r>
        <w:rPr>
          <w:rFonts w:ascii="宋体" w:hAnsi="宋体"/>
          <w:color w:val="000000"/>
          <w:szCs w:val="21"/>
        </w:rPr>
        <w:t xml:space="preserve">1.兽残定量检测方法：</w:t>
      </w:r>
      <w:r>
        <w:rPr>
          <w:rFonts w:hint="eastAsia" w:ascii="宋体" w:hAnsi="宋体"/>
          <w:color w:val="000000"/>
          <w:szCs w:val="21"/>
        </w:rPr>
        <w:t xml:space="preserve">用</w:t>
      </w:r>
      <w:r>
        <w:rPr>
          <w:rFonts w:ascii="宋体" w:hAnsi="宋体"/>
          <w:color w:val="000000"/>
          <w:szCs w:val="21"/>
        </w:rPr>
        <w:t xml:space="preserve">液相色谱串联质谱仪进行定量检测。</w:t>
      </w:r>
      <w:r/>
    </w:p>
    <w:p>
      <w:pPr>
        <w:pStyle w:val="900"/>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畜禽类的</w:t>
      </w:r>
      <w:r>
        <w:rPr>
          <w:rFonts w:hint="eastAsia" w:ascii="宋体" w:hAnsi="宋体"/>
          <w:color w:val="000000"/>
          <w:szCs w:val="21"/>
        </w:rPr>
        <w:t xml:space="preserve">例行</w:t>
      </w:r>
      <w:r>
        <w:rPr>
          <w:rFonts w:ascii="宋体" w:hAnsi="宋体"/>
          <w:color w:val="000000"/>
          <w:szCs w:val="21"/>
        </w:rPr>
        <w:t xml:space="preserve">监测项目：猪肝、猪肉</w:t>
      </w:r>
      <w:r>
        <w:rPr>
          <w:rFonts w:hint="eastAsia" w:ascii="宋体" w:hAnsi="宋体"/>
          <w:color w:val="000000"/>
          <w:szCs w:val="21"/>
        </w:rPr>
        <w:t xml:space="preserve">13</w:t>
      </w:r>
      <w:r>
        <w:rPr>
          <w:rFonts w:ascii="宋体" w:hAnsi="宋体"/>
          <w:color w:val="000000"/>
          <w:szCs w:val="21"/>
        </w:rPr>
        <w:t xml:space="preserve">项；禽肉、禽蛋</w:t>
      </w:r>
      <w:r>
        <w:rPr>
          <w:rFonts w:hint="eastAsia" w:ascii="宋体" w:hAnsi="宋体"/>
          <w:color w:val="000000"/>
          <w:szCs w:val="21"/>
        </w:rPr>
        <w:t xml:space="preserve">11</w:t>
      </w:r>
      <w:r>
        <w:rPr>
          <w:rFonts w:ascii="宋体" w:hAnsi="宋体"/>
          <w:color w:val="000000"/>
          <w:szCs w:val="21"/>
        </w:rPr>
        <w:t xml:space="preserve">项；猪尿5项</w:t>
      </w:r>
      <w:r>
        <w:rPr>
          <w:rFonts w:hint="eastAsia" w:ascii="宋体" w:hAnsi="宋体"/>
          <w:color w:val="000000"/>
          <w:szCs w:val="21"/>
        </w:rPr>
        <w:t xml:space="preserve">；生鲜牛乳3项</w:t>
      </w:r>
      <w:r>
        <w:rPr>
          <w:rFonts w:ascii="宋体" w:hAnsi="宋体"/>
          <w:color w:val="000000"/>
          <w:szCs w:val="21"/>
        </w:rPr>
        <w:t xml:space="preserve">。具体监测项目、检测方法及判断依据详见下表：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1560"/>
        <w:gridCol w:w="1397"/>
        <w:gridCol w:w="1687"/>
      </w:tblGrid>
      <w:tr>
        <w:trPr>
          <w:trHeight w:val="476"/>
        </w:trPr>
        <w:tc>
          <w:tcPr>
            <w:tcW w:w="2500"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监测项目</w:t>
            </w:r>
            <w:r/>
          </w:p>
        </w:tc>
        <w:tc>
          <w:tcPr>
            <w:tcW w:w="840"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样品种类</w:t>
            </w:r>
            <w:r/>
          </w:p>
        </w:tc>
        <w:tc>
          <w:tcPr>
            <w:tcW w:w="752"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检测方法</w:t>
            </w:r>
            <w:r/>
          </w:p>
        </w:tc>
        <w:tc>
          <w:tcPr>
            <w:tcW w:w="908"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判定依据</w:t>
            </w:r>
            <w:r/>
          </w:p>
        </w:tc>
      </w:tr>
      <w:tr>
        <w:trPr>
          <w:cantSplit/>
          <w:trHeight w:val="1516"/>
        </w:trPr>
        <w:tc>
          <w:tcPr>
            <w:tcW w:w="2500" w:type="pct"/>
            <w:vAlign w:val="center"/>
            <w:textDirection w:val="lrTb"/>
            <w:noWrap w:val="false"/>
          </w:tcPr>
          <w:p>
            <w:pPr>
              <w:pStyle w:val="900"/>
              <w:jc w:val="center"/>
              <w:widowControl/>
              <w:rPr>
                <w:rFonts w:hint="eastAsia" w:ascii="宋体" w:hAnsi="宋体" w:cs="宋体"/>
                <w:bCs/>
                <w:color w:val="000000"/>
                <w:szCs w:val="21"/>
              </w:rPr>
            </w:pPr>
            <w:r>
              <w:rPr>
                <w:rFonts w:hint="eastAsia" w:ascii="宋体" w:hAnsi="宋体" w:cs="宋体"/>
                <w:szCs w:val="21"/>
                <w:lang w:bidi="ar"/>
              </w:rPr>
              <w:t xml:space="preserve">β-受体激动剂类（克伦特罗、莱克多巴胺、沙丁胺醇）、磺胺类（磺胺间甲氧嘧啶、磺胺二甲嘧啶、磺胺甲噁唑、磺胺二甲氧嘧啶）、四环素类（金霉素、土霉素、四环素、多西环素）、地塞米松、他倍米松</w:t>
            </w:r>
            <w:r>
              <w:rPr>
                <w:rFonts w:hint="eastAsia" w:ascii="宋体" w:hAnsi="宋体" w:cs="宋体"/>
                <w:bCs/>
                <w:color w:val="000000"/>
                <w:szCs w:val="21"/>
              </w:rPr>
            </w:r>
            <w:r/>
          </w:p>
        </w:tc>
        <w:tc>
          <w:tcPr>
            <w:tcW w:w="840" w:type="pct"/>
            <w:vAlign w:val="center"/>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t xml:space="preserve">猪肝、猪肉</w:t>
            </w:r>
            <w:r/>
          </w:p>
        </w:tc>
        <w:tc>
          <w:tcPr>
            <w:tcW w:w="752" w:type="pct"/>
            <w:vAlign w:val="center"/>
            <w:vMerge w:val="restart"/>
            <w:textDirection w:val="lrTb"/>
            <w:noWrap w:val="false"/>
          </w:tcPr>
          <w:p>
            <w:pPr>
              <w:pStyle w:val="900"/>
              <w:jc w:val="center"/>
              <w:widowControl/>
              <w:rPr>
                <w:rFonts w:hint="eastAsia" w:ascii="宋体" w:hAnsi="宋体" w:cs="宋体"/>
                <w:bCs/>
                <w:color w:val="000000"/>
                <w:szCs w:val="21"/>
              </w:rPr>
            </w:pPr>
            <w:r>
              <w:rPr>
                <w:rFonts w:hint="eastAsia" w:ascii="宋体" w:hAnsi="宋体" w:cs="宋体"/>
                <w:szCs w:val="21"/>
                <w:lang w:bidi="ar"/>
              </w:rPr>
              <w:t xml:space="preserve">国家现行有效的检测方法，但方法最低检出限必须满足判定依据限量值</w:t>
            </w:r>
            <w:r>
              <w:rPr>
                <w:rFonts w:hint="eastAsia" w:ascii="宋体" w:hAnsi="宋体" w:cs="宋体"/>
                <w:bCs/>
                <w:color w:val="000000"/>
                <w:szCs w:val="21"/>
              </w:rPr>
            </w:r>
            <w:r/>
          </w:p>
        </w:tc>
        <w:tc>
          <w:tcPr>
            <w:tcW w:w="908" w:type="pct"/>
            <w:vAlign w:val="center"/>
            <w:vMerge w:val="restart"/>
            <w:textDirection w:val="lrTb"/>
            <w:noWrap w:val="false"/>
          </w:tcPr>
          <w:p>
            <w:pPr>
              <w:pStyle w:val="900"/>
              <w:jc w:val="center"/>
              <w:spacing w:line="280" w:lineRule="exact"/>
              <w:rPr>
                <w:rFonts w:hint="eastAsia" w:ascii="宋体" w:hAnsi="宋体" w:cs="宋体"/>
                <w:szCs w:val="21"/>
                <w:lang w:bidi="ar"/>
              </w:rPr>
            </w:pPr>
            <w:r>
              <w:rPr>
                <w:rFonts w:hint="eastAsia" w:ascii="宋体" w:hAnsi="宋体" w:cs="宋体"/>
                <w:szCs w:val="21"/>
                <w:lang w:bidi="ar"/>
              </w:rPr>
              <w:t xml:space="preserve">农业农村部公告第250号、农业农村部公告第560号、</w:t>
            </w:r>
            <w:r/>
          </w:p>
          <w:p>
            <w:pPr>
              <w:pStyle w:val="900"/>
              <w:jc w:val="center"/>
              <w:widowControl/>
              <w:rPr>
                <w:rFonts w:hint="eastAsia" w:ascii="宋体" w:hAnsi="宋体" w:cs="宋体"/>
                <w:bCs/>
                <w:color w:val="000000"/>
                <w:szCs w:val="21"/>
              </w:rPr>
            </w:pPr>
            <w:r>
              <w:rPr>
                <w:rFonts w:hint="eastAsia" w:ascii="宋体" w:hAnsi="宋体" w:cs="宋体"/>
                <w:szCs w:val="21"/>
                <w:lang w:bidi="ar"/>
              </w:rPr>
              <w:t xml:space="preserve">GB 31650-2019、GB 31650.1-2022，三聚氰胺：≤2.5mg/kg，β-内酰胺酶：4U/mL，碱类物质：不得检出</w:t>
            </w:r>
            <w:r>
              <w:rPr>
                <w:rFonts w:hint="eastAsia" w:ascii="宋体" w:hAnsi="宋体" w:cs="宋体"/>
                <w:bCs/>
                <w:color w:val="000000"/>
                <w:szCs w:val="21"/>
              </w:rPr>
            </w:r>
            <w:r/>
          </w:p>
        </w:tc>
      </w:tr>
      <w:tr>
        <w:trPr>
          <w:cantSplit/>
          <w:trHeight w:val="1172"/>
        </w:trPr>
        <w:tc>
          <w:tcPr>
            <w:tcW w:w="2500" w:type="pct"/>
            <w:vAlign w:val="center"/>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t xml:space="preserve">酰胺醇类（氯霉素，氟苯尼考、氟苯尼考胺、甲砜霉素）、氟喹诺酮类（氧氟沙星、培氟沙星、诺氟沙星，恩诺沙星、环丙沙星、沙拉沙星）、金刚烷胺</w:t>
            </w:r>
            <w:r/>
          </w:p>
        </w:tc>
        <w:tc>
          <w:tcPr>
            <w:tcW w:w="840" w:type="pct"/>
            <w:vAlign w:val="center"/>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t xml:space="preserve">禽肉、禽蛋</w:t>
            </w:r>
            <w:r/>
          </w:p>
        </w:tc>
        <w:tc>
          <w:tcPr>
            <w:tcW w:w="752" w:type="pct"/>
            <w:vAlign w:val="center"/>
            <w:vMerge w:val="continue"/>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r>
            <w:r/>
          </w:p>
        </w:tc>
        <w:tc>
          <w:tcPr>
            <w:tcW w:w="908" w:type="pct"/>
            <w:vAlign w:val="center"/>
            <w:vMerge w:val="continue"/>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r>
            <w:r/>
          </w:p>
        </w:tc>
      </w:tr>
      <w:tr>
        <w:trPr>
          <w:cantSplit/>
          <w:trHeight w:val="612"/>
        </w:trPr>
        <w:tc>
          <w:tcPr>
            <w:tcW w:w="2500" w:type="pct"/>
            <w:vAlign w:val="center"/>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t xml:space="preserve">克伦特罗、沙丁胺醇、莱克多巴胺、西马特罗、氯丙那林</w:t>
            </w:r>
            <w:r/>
          </w:p>
        </w:tc>
        <w:tc>
          <w:tcPr>
            <w:tcW w:w="840" w:type="pct"/>
            <w:vAlign w:val="center"/>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t xml:space="preserve">猪尿</w:t>
            </w:r>
            <w:r/>
          </w:p>
        </w:tc>
        <w:tc>
          <w:tcPr>
            <w:tcW w:w="752" w:type="pct"/>
            <w:vAlign w:val="center"/>
            <w:vMerge w:val="continue"/>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r>
            <w:r/>
          </w:p>
        </w:tc>
        <w:tc>
          <w:tcPr>
            <w:tcW w:w="908" w:type="pct"/>
            <w:vAlign w:val="center"/>
            <w:vMerge w:val="continue"/>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r>
            <w:r/>
          </w:p>
        </w:tc>
      </w:tr>
      <w:tr>
        <w:trPr>
          <w:cantSplit/>
          <w:trHeight w:val="520"/>
        </w:trPr>
        <w:tc>
          <w:tcPr>
            <w:tcW w:w="2500" w:type="pct"/>
            <w:vAlign w:val="center"/>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t xml:space="preserve">三聚氰胺、Β-内酰胺酶、碱类物质</w:t>
            </w:r>
            <w:r/>
          </w:p>
        </w:tc>
        <w:tc>
          <w:tcPr>
            <w:tcW w:w="840" w:type="pct"/>
            <w:vAlign w:val="center"/>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t xml:space="preserve">生鲜牛乳</w:t>
            </w:r>
            <w:r/>
          </w:p>
        </w:tc>
        <w:tc>
          <w:tcPr>
            <w:tcW w:w="752" w:type="pct"/>
            <w:vAlign w:val="center"/>
            <w:vMerge w:val="continue"/>
            <w:textDirection w:val="lrTb"/>
            <w:noWrap w:val="false"/>
          </w:tcPr>
          <w:p>
            <w:pPr>
              <w:pStyle w:val="900"/>
              <w:jc w:val="center"/>
              <w:widowControl/>
              <w:rPr>
                <w:rFonts w:hint="eastAsia" w:ascii="宋体" w:hAnsi="宋体" w:cs="宋体"/>
                <w:bCs/>
                <w:color w:val="000000"/>
                <w:szCs w:val="21"/>
              </w:rPr>
            </w:pPr>
            <w:r>
              <w:rPr>
                <w:rFonts w:hint="eastAsia" w:ascii="宋体" w:hAnsi="宋体" w:cs="宋体"/>
                <w:bCs/>
                <w:color w:val="000000"/>
                <w:szCs w:val="21"/>
              </w:rPr>
            </w:r>
            <w:r/>
          </w:p>
        </w:tc>
        <w:tc>
          <w:tcPr>
            <w:tcW w:w="908" w:type="pct"/>
            <w:vAlign w:val="center"/>
            <w:vMerge w:val="continue"/>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r>
            <w:r/>
          </w:p>
        </w:tc>
      </w:tr>
    </w:tbl>
    <w:p>
      <w:pPr>
        <w:pStyle w:val="900"/>
        <w:ind w:firstLine="420"/>
        <w:rPr>
          <w:rFonts w:hint="eastAsia" w:ascii="宋体" w:hAnsi="宋体"/>
          <w:bCs/>
          <w:color w:val="000000"/>
          <w:szCs w:val="21"/>
        </w:rPr>
      </w:pPr>
      <w:r>
        <w:rPr>
          <w:rFonts w:hint="eastAsia" w:ascii="宋体" w:hAnsi="宋体"/>
          <w:bCs/>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（四）抽样方法、判定依据 </w:t>
      </w:r>
      <w:r/>
    </w:p>
    <w:p>
      <w:pPr>
        <w:pStyle w:val="900"/>
        <w:ind w:firstLine="420"/>
        <w:spacing w:line="360" w:lineRule="auto"/>
        <w:rPr>
          <w:rFonts w:ascii="宋体" w:hAnsi="宋体"/>
          <w:color w:val="000000"/>
          <w:szCs w:val="21"/>
        </w:rPr>
      </w:pPr>
      <w:r>
        <w:rPr>
          <w:rFonts w:ascii="宋体" w:hAnsi="宋体"/>
          <w:color w:val="000000"/>
          <w:szCs w:val="21"/>
        </w:rPr>
        <w:t xml:space="preserve">1.抽样方法：</w:t>
      </w:r>
      <w:r>
        <w:rPr>
          <w:rFonts w:hint="eastAsia" w:ascii="宋体" w:hAnsi="宋体"/>
          <w:color w:val="000000"/>
          <w:szCs w:val="21"/>
        </w:rPr>
        <w:t xml:space="preserve">生鲜乳抽样按照原农业部《生鲜乳抽样方法》执行，其他畜禽样品参照《动物及动物产品兽药残留监控抽样规范》（NY/T1897）及有关标准执行，样品需冷冻保存</w:t>
      </w:r>
      <w:r>
        <w:rPr>
          <w:rFonts w:ascii="宋体" w:hAnsi="宋体"/>
          <w:color w:val="000000"/>
          <w:szCs w:val="21"/>
        </w:rPr>
        <w:t xml:space="preserve">。</w:t>
      </w:r>
      <w:r/>
    </w:p>
    <w:p>
      <w:pPr>
        <w:pStyle w:val="900"/>
        <w:ind w:firstLine="420"/>
        <w:jc w:val="left"/>
        <w:spacing w:line="360" w:lineRule="auto"/>
        <w:rPr>
          <w:rFonts w:ascii="宋体" w:hAnsi="宋体"/>
          <w:color w:val="000000"/>
          <w:szCs w:val="21"/>
        </w:rPr>
      </w:pPr>
      <w:r>
        <w:rPr>
          <w:rFonts w:ascii="宋体" w:hAnsi="宋体"/>
          <w:color w:val="000000"/>
          <w:szCs w:val="21"/>
        </w:rPr>
        <w:t xml:space="preserve">2.判定依据：</w:t>
      </w:r>
      <w:r>
        <w:rPr>
          <w:rFonts w:ascii="宋体" w:hAnsi="宋体"/>
          <w:color w:val="000000"/>
          <w:szCs w:val="21"/>
        </w:rPr>
        <w:t xml:space="preserve">按照（三）方法与项目中指定的检测方法及判定依据进行检测与判定（各检测项目除采用表中所列检测方法外，如有其他国家标准、行业标准以及部文公告的检测方法，且其最低检出限能满足限量值要求时，也可采用，凡是不注明日期的标准，其最新版本适用于本文件）。上市样品所监测项目全部合格者，判定合格，有一项（或以上）项目不合格，即判定不合格；未上市样品所检测项目中仅对禁（限）用药物残留进行判定，其他项目记录检出值</w:t>
      </w:r>
      <w:r>
        <w:rPr>
          <w:rFonts w:hint="eastAsia" w:ascii="宋体" w:hAnsi="宋体"/>
          <w:color w:val="000000"/>
          <w:szCs w:val="21"/>
        </w:rPr>
        <w:t xml:space="preserve">。</w:t>
      </w:r>
      <w:r>
        <w:rPr>
          <w:rFonts w:ascii="宋体" w:hAnsi="宋体"/>
          <w:color w:val="000000"/>
          <w:szCs w:val="21"/>
        </w:rPr>
      </w:r>
      <w:r/>
    </w:p>
    <w:p>
      <w:pPr>
        <w:pStyle w:val="900"/>
        <w:ind w:firstLine="420"/>
        <w:jc w:val="left"/>
        <w:spacing w:line="360" w:lineRule="auto"/>
        <w:rPr>
          <w:rFonts w:ascii="宋体" w:hAnsi="宋体"/>
          <w:bCs/>
          <w:color w:val="000000"/>
          <w:szCs w:val="21"/>
        </w:rPr>
      </w:pPr>
      <w:r>
        <w:rPr>
          <w:rFonts w:ascii="宋体" w:hAnsi="宋体"/>
          <w:bCs/>
          <w:color w:val="000000"/>
          <w:szCs w:val="21"/>
        </w:rPr>
        <w:t xml:space="preserve">三、水产类产品</w:t>
      </w:r>
      <w:r/>
    </w:p>
    <w:p>
      <w:pPr>
        <w:pStyle w:val="900"/>
        <w:ind w:firstLine="420"/>
        <w:jc w:val="left"/>
        <w:spacing w:line="360" w:lineRule="auto"/>
        <w:rPr>
          <w:rFonts w:ascii="宋体" w:hAnsi="宋体"/>
          <w:color w:val="000000"/>
          <w:szCs w:val="21"/>
        </w:rPr>
      </w:pPr>
      <w:r>
        <w:rPr>
          <w:rFonts w:ascii="宋体" w:hAnsi="宋体"/>
          <w:color w:val="000000"/>
          <w:szCs w:val="21"/>
        </w:rPr>
        <w:t xml:space="preserve">（一）监测点设置</w:t>
      </w:r>
      <w:r/>
    </w:p>
    <w:p>
      <w:pPr>
        <w:pStyle w:val="900"/>
        <w:ind w:firstLine="420"/>
        <w:jc w:val="left"/>
        <w:spacing w:line="360" w:lineRule="auto"/>
        <w:rPr>
          <w:rFonts w:ascii="宋体" w:hAnsi="宋体"/>
          <w:color w:val="000000"/>
          <w:szCs w:val="21"/>
        </w:rPr>
      </w:pPr>
      <w:r>
        <w:rPr>
          <w:rFonts w:ascii="宋体" w:hAnsi="宋体"/>
          <w:color w:val="000000"/>
          <w:szCs w:val="21"/>
        </w:rPr>
        <w:t xml:space="preserve">水产养殖户。</w:t>
      </w:r>
      <w:r/>
    </w:p>
    <w:p>
      <w:pPr>
        <w:pStyle w:val="900"/>
        <w:ind w:firstLine="420"/>
        <w:spacing w:line="360" w:lineRule="auto"/>
        <w:rPr>
          <w:rFonts w:ascii="宋体" w:hAnsi="宋体"/>
          <w:color w:val="000000"/>
          <w:szCs w:val="21"/>
        </w:rPr>
      </w:pPr>
      <w:r>
        <w:rPr>
          <w:rFonts w:ascii="宋体" w:hAnsi="宋体"/>
          <w:color w:val="000000"/>
          <w:szCs w:val="21"/>
        </w:rPr>
        <w:t xml:space="preserve">（二）品种及数量</w:t>
      </w:r>
      <w:r/>
    </w:p>
    <w:p>
      <w:pPr>
        <w:pStyle w:val="900"/>
        <w:ind w:firstLine="420"/>
        <w:jc w:val="left"/>
        <w:spacing w:line="360" w:lineRule="auto"/>
        <w:rPr>
          <w:rFonts w:ascii="宋体" w:hAnsi="宋体"/>
          <w:color w:val="000000"/>
          <w:szCs w:val="21"/>
        </w:rPr>
      </w:pPr>
      <w:r>
        <w:rPr>
          <w:rFonts w:ascii="宋体" w:hAnsi="宋体"/>
          <w:color w:val="000000"/>
          <w:szCs w:val="21"/>
        </w:rPr>
        <w:t xml:space="preserve">1.监测品种：大闸蟹、南美白对虾、青虾、四大家鱼</w:t>
      </w:r>
      <w:r>
        <w:rPr>
          <w:rFonts w:hint="eastAsia" w:ascii="宋体" w:hAnsi="宋体"/>
          <w:color w:val="000000"/>
          <w:szCs w:val="21"/>
        </w:rPr>
        <w:t xml:space="preserve">、</w:t>
      </w:r>
      <w:r>
        <w:rPr>
          <w:rFonts w:ascii="宋体" w:hAnsi="宋体"/>
          <w:color w:val="000000"/>
          <w:szCs w:val="21"/>
        </w:rPr>
        <w:t xml:space="preserve">鳜鱼、鲈鱼、</w:t>
      </w:r>
      <w:r>
        <w:rPr>
          <w:rFonts w:hint="eastAsia" w:ascii="宋体" w:hAnsi="宋体"/>
          <w:color w:val="000000"/>
          <w:szCs w:val="21"/>
        </w:rPr>
        <w:t xml:space="preserve">鲫鱼、鳊鱼、</w:t>
      </w:r>
      <w:r>
        <w:rPr>
          <w:rFonts w:ascii="宋体" w:hAnsi="宋体"/>
          <w:color w:val="000000"/>
          <w:szCs w:val="21"/>
        </w:rPr>
        <w:t xml:space="preserve">鲶鱼</w:t>
      </w:r>
      <w:r>
        <w:rPr>
          <w:rFonts w:hint="eastAsia" w:ascii="宋体" w:hAnsi="宋体"/>
          <w:color w:val="000000"/>
          <w:szCs w:val="21"/>
        </w:rPr>
        <w:t xml:space="preserve">等水产品</w:t>
      </w:r>
      <w:r>
        <w:rPr>
          <w:rFonts w:ascii="宋体" w:hAnsi="宋体"/>
          <w:color w:val="000000"/>
          <w:szCs w:val="21"/>
        </w:rPr>
        <w:t xml:space="preserve">。</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.抽检、检测单位：按照招标结果确定</w:t>
      </w:r>
      <w:r>
        <w:rPr>
          <w:rFonts w:hint="eastAsia" w:ascii="宋体" w:hAnsi="宋体"/>
          <w:color w:val="000000"/>
          <w:szCs w:val="21"/>
        </w:rPr>
        <w:t xml:space="preserve">的中标人。</w:t>
      </w:r>
      <w:r/>
    </w:p>
    <w:p>
      <w:pPr>
        <w:pStyle w:val="900"/>
        <w:ind w:firstLine="420"/>
        <w:spacing w:line="360" w:lineRule="auto"/>
        <w:rPr>
          <w:rFonts w:ascii="宋体" w:hAnsi="宋体"/>
          <w:color w:val="000000"/>
          <w:szCs w:val="21"/>
        </w:rPr>
      </w:pPr>
      <w:r>
        <w:rPr>
          <w:rFonts w:ascii="宋体" w:hAnsi="宋体"/>
          <w:color w:val="000000"/>
          <w:szCs w:val="21"/>
        </w:rPr>
        <w:t xml:space="preserve">（三）方法与项目</w:t>
      </w:r>
      <w:r/>
    </w:p>
    <w:p>
      <w:pPr>
        <w:pStyle w:val="900"/>
        <w:ind w:firstLine="420"/>
        <w:jc w:val="left"/>
        <w:spacing w:line="360" w:lineRule="auto"/>
        <w:rPr>
          <w:rFonts w:ascii="宋体" w:hAnsi="宋体"/>
          <w:color w:val="000000"/>
          <w:szCs w:val="21"/>
        </w:rPr>
      </w:pPr>
      <w:r>
        <w:rPr>
          <w:rFonts w:ascii="宋体" w:hAnsi="宋体"/>
          <w:color w:val="000000"/>
          <w:szCs w:val="21"/>
        </w:rPr>
        <w:t xml:space="preserve">1.兽残定量检测方法：用液相色谱串联质谱仪进行定量检测。</w:t>
      </w:r>
      <w:r/>
    </w:p>
    <w:p>
      <w:pPr>
        <w:pStyle w:val="900"/>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水产品的</w:t>
      </w:r>
      <w:r>
        <w:rPr>
          <w:rFonts w:hint="eastAsia" w:ascii="宋体" w:hAnsi="宋体"/>
          <w:color w:val="000000"/>
          <w:szCs w:val="21"/>
        </w:rPr>
        <w:t xml:space="preserve">例行</w:t>
      </w:r>
      <w:r>
        <w:rPr>
          <w:rFonts w:ascii="宋体" w:hAnsi="宋体"/>
          <w:color w:val="000000"/>
          <w:szCs w:val="21"/>
        </w:rPr>
        <w:t xml:space="preserve">监测项目为</w:t>
      </w:r>
      <w:r>
        <w:rPr>
          <w:rFonts w:hint="eastAsia" w:ascii="宋体" w:hAnsi="宋体"/>
          <w:color w:val="000000"/>
          <w:szCs w:val="21"/>
        </w:rPr>
        <w:t xml:space="preserve">26</w:t>
      </w:r>
      <w:r>
        <w:rPr>
          <w:rFonts w:ascii="宋体" w:hAnsi="宋体"/>
          <w:color w:val="000000"/>
          <w:szCs w:val="21"/>
        </w:rPr>
        <w:t xml:space="preserve">项</w:t>
      </w:r>
      <w:r>
        <w:rPr>
          <w:rFonts w:hint="eastAsia" w:ascii="宋体" w:hAnsi="宋体"/>
          <w:color w:val="000000"/>
          <w:szCs w:val="21"/>
        </w:rPr>
        <w:t xml:space="preserve">。</w:t>
      </w:r>
      <w:r>
        <w:rPr>
          <w:rFonts w:ascii="宋体" w:hAnsi="宋体"/>
          <w:color w:val="000000"/>
          <w:szCs w:val="21"/>
        </w:rPr>
        <w:t xml:space="preserve">具体监测项目、检测方法及判断依据详见下表：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5"/>
        <w:gridCol w:w="1830"/>
        <w:gridCol w:w="2812"/>
      </w:tblGrid>
      <w:tr>
        <w:trPr>
          <w:trHeight w:val="642"/>
        </w:trPr>
        <w:tc>
          <w:tcPr>
            <w:tcW w:w="2501"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监测项目</w:t>
            </w:r>
            <w:r/>
          </w:p>
        </w:tc>
        <w:tc>
          <w:tcPr>
            <w:tcW w:w="985"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检测方法</w:t>
            </w:r>
            <w:r/>
          </w:p>
        </w:tc>
        <w:tc>
          <w:tcPr>
            <w:tcW w:w="1515" w:type="pct"/>
            <w:vAlign w:val="center"/>
            <w:textDirection w:val="lrTb"/>
            <w:noWrap w:val="false"/>
          </w:tcPr>
          <w:p>
            <w:pPr>
              <w:pStyle w:val="900"/>
              <w:jc w:val="center"/>
              <w:widowControl/>
              <w:rPr>
                <w:rFonts w:hint="eastAsia" w:ascii="宋体" w:hAnsi="宋体" w:cs="宋体"/>
                <w:color w:val="000000"/>
                <w:szCs w:val="21"/>
              </w:rPr>
            </w:pPr>
            <w:r>
              <w:rPr>
                <w:rFonts w:hint="eastAsia" w:ascii="宋体" w:hAnsi="宋体" w:cs="宋体"/>
                <w:color w:val="000000"/>
                <w:szCs w:val="21"/>
              </w:rPr>
              <w:t xml:space="preserve">判定依据</w:t>
            </w:r>
            <w:r/>
          </w:p>
        </w:tc>
      </w:tr>
      <w:tr>
        <w:trPr>
          <w:trHeight w:val="3495"/>
        </w:trPr>
        <w:tc>
          <w:tcPr>
            <w:tcW w:w="2501" w:type="pct"/>
            <w:vAlign w:val="center"/>
            <w:textDirection w:val="lrTb"/>
            <w:noWrap w:val="false"/>
          </w:tcPr>
          <w:p>
            <w:pPr>
              <w:pStyle w:val="900"/>
              <w:jc w:val="center"/>
              <w:widowControl/>
              <w:rPr>
                <w:rFonts w:hint="eastAsia" w:ascii="宋体" w:hAnsi="宋体" w:eastAsia="方正仿宋_GBK" w:cs="宋体"/>
                <w:bCs/>
                <w:color w:val="000000"/>
                <w:szCs w:val="21"/>
              </w:rPr>
            </w:pPr>
            <w:r>
              <w:rPr>
                <w:rFonts w:hint="eastAsia" w:ascii="宋体" w:hAnsi="宋体" w:cs="宋体"/>
                <w:szCs w:val="21"/>
                <w:lang w:bidi="ar"/>
              </w:rPr>
              <w:t xml:space="preserve">氯霉素、酰胺醇类（甲砜霉素、氟苯尼考、氟苯尼考胺）、硝基呋喃类代谢物（呋喃唑酮代谢物、呋喃它酮代谢物、呋喃西林代谢物、呋喃妥因代谢物）、孔雀石绿（包括有色孔雀石绿和无色孔雀石绿）、地西泮、磺胺类（磺胺嘧啶、磺胺二甲基嘧啶、磺胺甲基异噁唑、磺胺异噁唑、磺胺间二甲氧嘧啶）、四环素类（四环素、土霉素、金霉素、多西环素）、氟喹诺酮类（诺氟沙星、氧氟沙星、培氟沙星、洛美沙星、恩诺沙星、环丙沙星）</w:t>
            </w:r>
            <w:r>
              <w:rPr>
                <w:rFonts w:hint="eastAsia" w:ascii="宋体" w:hAnsi="宋体" w:eastAsia="方正仿宋_GBK" w:cs="宋体"/>
                <w:bCs/>
                <w:color w:val="000000"/>
                <w:szCs w:val="21"/>
              </w:rPr>
            </w:r>
            <w:r/>
          </w:p>
        </w:tc>
        <w:tc>
          <w:tcPr>
            <w:tcW w:w="985" w:type="pct"/>
            <w:vAlign w:val="center"/>
            <w:textDirection w:val="lrTb"/>
            <w:noWrap w:val="false"/>
          </w:tcPr>
          <w:p>
            <w:pPr>
              <w:pStyle w:val="900"/>
              <w:jc w:val="center"/>
              <w:widowControl/>
              <w:rPr>
                <w:rFonts w:hint="eastAsia" w:ascii="宋体" w:hAnsi="宋体" w:cs="宋体"/>
                <w:bCs/>
                <w:color w:val="000000"/>
                <w:szCs w:val="21"/>
              </w:rPr>
            </w:pPr>
            <w:r>
              <w:rPr>
                <w:rFonts w:hint="eastAsia" w:ascii="宋体" w:hAnsi="宋体" w:cs="宋体"/>
                <w:szCs w:val="21"/>
                <w:lang w:bidi="ar"/>
              </w:rPr>
              <w:t xml:space="preserve">国家现行有效的检测方法，但方法最低检出限必须满足判定依据限量值</w:t>
            </w:r>
            <w:r>
              <w:rPr>
                <w:rFonts w:hint="eastAsia" w:ascii="宋体" w:hAnsi="宋体" w:cs="宋体"/>
                <w:bCs/>
                <w:color w:val="000000"/>
                <w:szCs w:val="21"/>
              </w:rPr>
            </w:r>
            <w:r/>
          </w:p>
        </w:tc>
        <w:tc>
          <w:tcPr>
            <w:tcW w:w="1515" w:type="pct"/>
            <w:vAlign w:val="center"/>
            <w:textDirection w:val="lrTb"/>
            <w:noWrap w:val="false"/>
          </w:tcPr>
          <w:p>
            <w:pPr>
              <w:pStyle w:val="900"/>
              <w:jc w:val="left"/>
              <w:spacing w:line="280" w:lineRule="exact"/>
              <w:widowControl/>
              <w:rPr>
                <w:rFonts w:hint="eastAsia" w:ascii="宋体" w:hAnsi="宋体" w:cs="宋体"/>
                <w:szCs w:val="21"/>
                <w:lang w:bidi="ar"/>
              </w:rPr>
            </w:pPr>
            <w:r>
              <w:rPr>
                <w:rFonts w:hint="eastAsia" w:ascii="宋体" w:hAnsi="宋体" w:cs="宋体"/>
                <w:szCs w:val="21"/>
                <w:lang w:bidi="ar"/>
              </w:rPr>
              <w:t xml:space="preserve">农业农村部公告第250号、GB 31650-2019、GB 31650.1-2022，其中氯霉素：不得检出（判定限量值：0.3μg/kg）；硝基呋喃类代谢物：</w:t>
            </w:r>
            <w:r/>
          </w:p>
          <w:p>
            <w:pPr>
              <w:pStyle w:val="900"/>
              <w:jc w:val="center"/>
              <w:widowControl/>
              <w:rPr>
                <w:rFonts w:hint="eastAsia" w:ascii="宋体" w:hAnsi="宋体" w:cs="宋体"/>
                <w:bCs/>
                <w:color w:val="000000"/>
                <w:szCs w:val="21"/>
              </w:rPr>
            </w:pPr>
            <w:r>
              <w:rPr>
                <w:rFonts w:hint="eastAsia" w:ascii="宋体" w:hAnsi="宋体" w:cs="宋体"/>
                <w:szCs w:val="21"/>
                <w:lang w:bidi="ar"/>
              </w:rPr>
              <w:t xml:space="preserve">不得检出（各分项判定限量值：1.0μg/kg）；孔雀石绿：不得检出（判定限量值：有色孔雀石绿和无色孔雀石绿的总量≤1.0μg/kg）</w:t>
            </w:r>
            <w:r>
              <w:rPr>
                <w:rFonts w:hint="eastAsia" w:ascii="宋体" w:hAnsi="宋体" w:cs="宋体"/>
                <w:bCs/>
                <w:color w:val="000000"/>
                <w:szCs w:val="21"/>
              </w:rPr>
            </w:r>
            <w:r/>
          </w:p>
        </w:tc>
      </w:tr>
    </w:tbl>
    <w:p>
      <w:pPr>
        <w:pStyle w:val="900"/>
        <w:ind w:firstLine="420"/>
        <w:spacing w:line="360" w:lineRule="auto"/>
        <w:rPr>
          <w:rFonts w:ascii="宋体" w:hAnsi="宋体"/>
          <w:color w:val="000000"/>
          <w:szCs w:val="21"/>
        </w:rPr>
      </w:pPr>
      <w:r>
        <w:rPr>
          <w:rFonts w:hint="eastAsia" w:ascii="宋体" w:hAnsi="宋体"/>
          <w:color w:val="000000"/>
          <w:szCs w:val="21"/>
        </w:rPr>
        <w:t xml:space="preserve">注：只有淡水鱼类检测地西泮。</w:t>
      </w:r>
      <w:r>
        <w:rPr>
          <w:rFonts w:ascii="宋体" w:hAnsi="宋体"/>
          <w:color w:val="000000"/>
          <w:szCs w:val="21"/>
        </w:rPr>
      </w:r>
      <w:r/>
    </w:p>
    <w:p>
      <w:pPr>
        <w:pStyle w:val="900"/>
        <w:ind w:firstLine="420"/>
        <w:spacing w:line="360" w:lineRule="auto"/>
        <w:rPr>
          <w:rFonts w:ascii="宋体" w:hAnsi="宋体"/>
          <w:color w:val="000000"/>
          <w:szCs w:val="21"/>
        </w:rPr>
      </w:pPr>
      <w:r>
        <w:rPr>
          <w:rFonts w:ascii="宋体" w:hAnsi="宋体"/>
          <w:color w:val="000000"/>
          <w:szCs w:val="21"/>
        </w:rPr>
        <w:t xml:space="preserve">（四）抽样方法、判定依据 </w:t>
      </w:r>
      <w:r/>
    </w:p>
    <w:p>
      <w:pPr>
        <w:pStyle w:val="900"/>
        <w:ind w:firstLine="420"/>
        <w:spacing w:line="360" w:lineRule="auto"/>
        <w:rPr>
          <w:rFonts w:ascii="宋体" w:hAnsi="宋体"/>
          <w:color w:val="000000"/>
          <w:szCs w:val="21"/>
        </w:rPr>
      </w:pPr>
      <w:r>
        <w:rPr>
          <w:rFonts w:ascii="宋体" w:hAnsi="宋体"/>
          <w:color w:val="000000"/>
          <w:szCs w:val="21"/>
        </w:rPr>
        <w:t xml:space="preserve">1.抽样方法：抽样参照SC/T 3016《水产品抽样方法》或GB/T 30891-2014 </w:t>
      </w:r>
      <w:r>
        <w:rPr>
          <w:rFonts w:hint="eastAsia" w:ascii="宋体" w:hAnsi="宋体"/>
          <w:color w:val="000000"/>
          <w:szCs w:val="21"/>
        </w:rPr>
        <w:t xml:space="preserve">《</w:t>
      </w:r>
      <w:r>
        <w:rPr>
          <w:rFonts w:ascii="宋体" w:hAnsi="宋体"/>
          <w:color w:val="000000"/>
          <w:szCs w:val="21"/>
        </w:rPr>
        <w:t xml:space="preserve">水产品抽样规范</w:t>
      </w:r>
      <w:r>
        <w:rPr>
          <w:rFonts w:hint="eastAsia" w:ascii="宋体" w:hAnsi="宋体"/>
          <w:color w:val="000000"/>
          <w:szCs w:val="21"/>
        </w:rPr>
        <w:t xml:space="preserve">》</w:t>
      </w:r>
      <w:r>
        <w:rPr>
          <w:rFonts w:ascii="宋体" w:hAnsi="宋体"/>
          <w:color w:val="000000"/>
          <w:szCs w:val="21"/>
        </w:rPr>
        <w:t xml:space="preserve">规定执行。</w:t>
      </w:r>
      <w:r>
        <w:rPr>
          <w:rFonts w:hint="eastAsia" w:ascii="宋体" w:hAnsi="宋体"/>
          <w:color w:val="000000"/>
          <w:szCs w:val="21"/>
        </w:rPr>
        <w:t xml:space="preserve">样品需冷冻保存。</w:t>
      </w:r>
      <w:r>
        <w:rPr>
          <w:rFonts w:ascii="宋体" w:hAnsi="宋体"/>
          <w:color w:val="000000"/>
          <w:szCs w:val="21"/>
        </w:rPr>
      </w:r>
      <w:r/>
    </w:p>
    <w:p>
      <w:pPr>
        <w:pStyle w:val="900"/>
        <w:ind w:firstLine="420"/>
        <w:jc w:val="left"/>
        <w:spacing w:line="360" w:lineRule="auto"/>
        <w:rPr>
          <w:rFonts w:ascii="宋体" w:hAnsi="宋体"/>
          <w:color w:val="000000"/>
          <w:szCs w:val="21"/>
        </w:rPr>
      </w:pPr>
      <w:r>
        <w:rPr>
          <w:rFonts w:ascii="宋体" w:hAnsi="宋体"/>
          <w:color w:val="000000"/>
          <w:szCs w:val="21"/>
        </w:rPr>
        <w:t xml:space="preserve">2.判定依据：</w:t>
      </w:r>
      <w:r>
        <w:rPr>
          <w:rFonts w:ascii="宋体" w:hAnsi="宋体"/>
          <w:color w:val="000000"/>
          <w:szCs w:val="21"/>
        </w:rPr>
        <w:t xml:space="preserve">按照（三）方法与项目指定的检测方法及判定依据进行检测与判定（各检测项目除采用表中所列检测方法外，如有其他国家标准、行业标准以及部文公告的检测方法，且其最低检出限能满足限量值要求时，也可采用，凡是不注明日期的标准，其最新版本适用于本文件）。上市样品所监测项目全部合格者，判定合格，有一项（或以上）项目不合格，即判定不合格；未上市样品所检测项目中仅对禁（限）用药物残留进行判定，其他项目记录检出值</w:t>
      </w:r>
      <w:r>
        <w:rPr>
          <w:rFonts w:hint="eastAsia" w:ascii="宋体" w:hAnsi="宋体"/>
          <w:color w:val="000000"/>
          <w:szCs w:val="21"/>
        </w:rPr>
        <w:t xml:space="preserve">。</w:t>
      </w:r>
      <w:r>
        <w:rPr>
          <w:rFonts w:ascii="宋体" w:hAnsi="宋体"/>
          <w:color w:val="000000"/>
          <w:szCs w:val="21"/>
        </w:rPr>
      </w:r>
      <w:r/>
    </w:p>
    <w:p>
      <w:pPr>
        <w:pStyle w:val="900"/>
        <w:ind w:firstLine="420"/>
        <w:jc w:val="left"/>
        <w:spacing w:line="360" w:lineRule="auto"/>
        <w:rPr>
          <w:rFonts w:ascii="宋体" w:hAnsi="宋体"/>
          <w:color w:val="000000"/>
          <w:szCs w:val="21"/>
        </w:rPr>
      </w:pPr>
      <w:r>
        <w:rPr>
          <w:rFonts w:hint="eastAsia" w:ascii="宋体" w:hAnsi="宋体"/>
          <w:color w:val="000000"/>
          <w:szCs w:val="21"/>
        </w:rPr>
        <w:t xml:space="preserve">四、酒类产品</w:t>
      </w:r>
      <w:r>
        <w:rPr>
          <w:rFonts w:ascii="宋体" w:hAnsi="宋体"/>
          <w:color w:val="000000"/>
          <w:szCs w:val="21"/>
        </w:rPr>
      </w:r>
      <w:r/>
    </w:p>
    <w:p>
      <w:pPr>
        <w:pStyle w:val="900"/>
        <w:ind w:firstLine="420"/>
        <w:jc w:val="left"/>
        <w:spacing w:line="360" w:lineRule="auto"/>
        <w:rPr>
          <w:rFonts w:ascii="宋体" w:hAnsi="宋体"/>
          <w:color w:val="000000"/>
          <w:szCs w:val="21"/>
        </w:rPr>
      </w:pPr>
      <w:r>
        <w:rPr>
          <w:rFonts w:ascii="宋体" w:hAnsi="宋体"/>
          <w:color w:val="000000"/>
          <w:szCs w:val="21"/>
        </w:rPr>
        <w:t xml:space="preserve">（一）监测点设置</w:t>
      </w:r>
      <w:r>
        <w:rPr>
          <w:rFonts w:hint="eastAsia" w:ascii="宋体" w:hAnsi="宋体"/>
          <w:color w:val="000000"/>
          <w:szCs w:val="21"/>
        </w:rPr>
        <w:t xml:space="preserve">：入网主体</w:t>
      </w:r>
      <w:r>
        <w:rPr>
          <w:rFonts w:ascii="宋体" w:hAnsi="宋体"/>
          <w:color w:val="000000"/>
          <w:szCs w:val="21"/>
        </w:rPr>
        <w:t xml:space="preserve">。</w:t>
      </w:r>
      <w:r/>
    </w:p>
    <w:p>
      <w:pPr>
        <w:pStyle w:val="900"/>
        <w:ind w:firstLine="420"/>
        <w:spacing w:line="360" w:lineRule="auto"/>
        <w:rPr>
          <w:rFonts w:ascii="宋体" w:hAnsi="宋体"/>
          <w:color w:val="000000"/>
          <w:szCs w:val="21"/>
        </w:rPr>
      </w:pPr>
      <w:r>
        <w:rPr>
          <w:rFonts w:ascii="宋体" w:hAnsi="宋体"/>
          <w:color w:val="000000"/>
          <w:szCs w:val="21"/>
        </w:rPr>
        <w:t xml:space="preserve">（二）品种及数量</w:t>
      </w:r>
      <w:r/>
    </w:p>
    <w:p>
      <w:pPr>
        <w:pStyle w:val="900"/>
        <w:ind w:firstLine="420"/>
        <w:jc w:val="left"/>
        <w:spacing w:line="360" w:lineRule="auto"/>
        <w:rPr>
          <w:rFonts w:ascii="宋体" w:hAnsi="宋体"/>
          <w:color w:val="000000"/>
          <w:szCs w:val="21"/>
        </w:rPr>
      </w:pPr>
      <w:r>
        <w:rPr>
          <w:rFonts w:ascii="宋体" w:hAnsi="宋体"/>
          <w:color w:val="000000"/>
          <w:szCs w:val="21"/>
        </w:rPr>
        <w:t xml:space="preserve">1.监测品种：</w:t>
      </w:r>
      <w:r>
        <w:rPr>
          <w:rFonts w:hint="eastAsia" w:ascii="宋体" w:hAnsi="宋体"/>
          <w:color w:val="000000"/>
          <w:szCs w:val="21"/>
        </w:rPr>
        <w:t xml:space="preserve">黄酒、米酒</w:t>
      </w:r>
      <w:r>
        <w:rPr>
          <w:rFonts w:ascii="宋体" w:hAnsi="宋体"/>
          <w:color w:val="000000"/>
          <w:szCs w:val="21"/>
        </w:rPr>
        <w:t xml:space="preserve">。</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.抽检、检测单位：按照招标结果确定</w:t>
      </w:r>
      <w:r>
        <w:rPr>
          <w:rFonts w:hint="eastAsia" w:ascii="宋体" w:hAnsi="宋体"/>
          <w:color w:val="000000"/>
          <w:szCs w:val="21"/>
        </w:rPr>
        <w:t xml:space="preserve">的中标人。</w:t>
      </w:r>
      <w:r/>
    </w:p>
    <w:p>
      <w:pPr>
        <w:pStyle w:val="900"/>
        <w:ind w:firstLine="420"/>
        <w:spacing w:line="360" w:lineRule="auto"/>
        <w:rPr>
          <w:rFonts w:ascii="宋体" w:hAnsi="宋体"/>
          <w:color w:val="000000"/>
          <w:szCs w:val="21"/>
        </w:rPr>
      </w:pPr>
      <w:r>
        <w:rPr>
          <w:rFonts w:ascii="宋体" w:hAnsi="宋体"/>
          <w:color w:val="000000"/>
          <w:szCs w:val="21"/>
        </w:rPr>
        <w:t xml:space="preserve">（三）方法与项目</w:t>
      </w:r>
      <w:r/>
    </w:p>
    <w:p>
      <w:pPr>
        <w:pStyle w:val="900"/>
        <w:ind w:firstLine="420"/>
        <w:spacing w:line="360" w:lineRule="auto"/>
        <w:rPr>
          <w:rFonts w:ascii="宋体" w:hAnsi="宋体"/>
          <w:color w:val="000000"/>
          <w:szCs w:val="21"/>
        </w:rPr>
      </w:pPr>
      <w:r>
        <w:rPr>
          <w:rFonts w:hint="eastAsia" w:ascii="宋体" w:hAnsi="宋体"/>
          <w:color w:val="000000"/>
          <w:szCs w:val="21"/>
        </w:rPr>
        <w:t xml:space="preserve">1.黄酒的例行监测项目为7项。</w:t>
      </w:r>
      <w:r>
        <w:rPr>
          <w:rFonts w:ascii="宋体" w:hAnsi="宋体"/>
          <w:color w:val="000000"/>
          <w:szCs w:val="21"/>
        </w:rPr>
        <w:t xml:space="preserve">具体监测项目、检测方法及判定依据详见下表：</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578"/>
        <w:gridCol w:w="1889"/>
        <w:gridCol w:w="2820"/>
      </w:tblGrid>
      <w:tr>
        <w:trPr>
          <w:trHeight w:val="270"/>
        </w:trPr>
        <w:tc>
          <w:tcPr>
            <w:tcBorders>
              <w:top w:val="singl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bCs/>
                <w:color w:val="000000"/>
                <w:sz w:val="22"/>
                <w:szCs w:val="22"/>
              </w:rPr>
            </w:pPr>
            <w:r>
              <w:rPr>
                <w:rFonts w:hint="eastAsia" w:ascii="宋体" w:hAnsi="宋体" w:cs="宋体"/>
                <w:bCs/>
                <w:color w:val="000000"/>
                <w:sz w:val="22"/>
                <w:szCs w:val="22"/>
              </w:rPr>
              <w:t xml:space="preserve">监测项目</w:t>
            </w:r>
            <w:r/>
          </w:p>
        </w:tc>
        <w:tc>
          <w:tcPr>
            <w:tcBorders>
              <w:top w:val="single" w:color="000000" w:sz="4" w:space="0"/>
              <w:left w:val="none" w:color="000000" w:sz="4" w:space="0"/>
              <w:bottom w:val="single" w:color="000000" w:sz="4" w:space="0"/>
              <w:right w:val="single" w:color="000000" w:sz="4" w:space="0"/>
            </w:tcBorders>
            <w:tcW w:w="1017" w:type="pct"/>
            <w:vAlign w:val="center"/>
            <w:textDirection w:val="lrTb"/>
            <w:noWrap w:val="false"/>
          </w:tcPr>
          <w:p>
            <w:pPr>
              <w:pStyle w:val="900"/>
              <w:jc w:val="center"/>
              <w:widowControl/>
              <w:rPr>
                <w:rFonts w:hint="eastAsia" w:ascii="宋体" w:hAnsi="宋体" w:cs="宋体"/>
                <w:bCs/>
                <w:color w:val="000000"/>
                <w:sz w:val="22"/>
                <w:szCs w:val="22"/>
              </w:rPr>
            </w:pPr>
            <w:r>
              <w:rPr>
                <w:rFonts w:hint="eastAsia" w:ascii="宋体" w:hAnsi="宋体" w:cs="宋体"/>
                <w:bCs/>
                <w:color w:val="000000"/>
                <w:sz w:val="22"/>
                <w:szCs w:val="22"/>
              </w:rPr>
              <w:t xml:space="preserve">检测方法</w:t>
            </w:r>
            <w:r/>
          </w:p>
        </w:tc>
        <w:tc>
          <w:tcPr>
            <w:tcBorders>
              <w:top w:val="single" w:color="000000" w:sz="4" w:space="0"/>
              <w:left w:val="none" w:color="000000" w:sz="4" w:space="0"/>
              <w:bottom w:val="single" w:color="000000" w:sz="4" w:space="0"/>
              <w:right w:val="single" w:color="000000" w:sz="4" w:space="0"/>
            </w:tcBorders>
            <w:tcW w:w="1517" w:type="pct"/>
            <w:vAlign w:val="center"/>
            <w:textDirection w:val="lrTb"/>
            <w:noWrap w:val="false"/>
          </w:tcPr>
          <w:p>
            <w:pPr>
              <w:pStyle w:val="900"/>
              <w:jc w:val="center"/>
              <w:widowControl/>
              <w:rPr>
                <w:rFonts w:hint="eastAsia" w:ascii="宋体" w:hAnsi="宋体" w:cs="宋体"/>
                <w:bCs/>
                <w:color w:val="000000"/>
                <w:sz w:val="22"/>
                <w:szCs w:val="22"/>
              </w:rPr>
            </w:pPr>
            <w:r>
              <w:rPr>
                <w:rFonts w:hint="eastAsia" w:ascii="宋体" w:hAnsi="宋体" w:cs="宋体"/>
                <w:bCs/>
                <w:color w:val="000000"/>
                <w:sz w:val="22"/>
                <w:szCs w:val="22"/>
              </w:rPr>
              <w:t xml:space="preserve">判定依据</w:t>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酒精度</w:t>
            </w:r>
            <w:r/>
          </w:p>
        </w:tc>
        <w:tc>
          <w:tcPr>
            <w:tcBorders>
              <w:top w:val="none" w:color="000000" w:sz="4" w:space="0"/>
              <w:left w:val="none" w:color="000000" w:sz="4" w:space="0"/>
              <w:right w:val="single" w:color="000000" w:sz="4" w:space="0"/>
            </w:tcBorders>
            <w:tcW w:w="1017" w:type="pct"/>
            <w:vAlign w:val="center"/>
            <w:vMerge w:val="restart"/>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szCs w:val="21"/>
                <w:lang w:bidi="ar"/>
              </w:rPr>
              <w:t xml:space="preserve">国家现行有效的检测方法，但方法最低检出限必须满足判定依据限量值</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517"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GB/T13662-2018</w:t>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氨基酸态氮</w:t>
            </w:r>
            <w:r/>
          </w:p>
        </w:tc>
        <w:tc>
          <w:tcPr>
            <w:tcBorders>
              <w:left w:val="none" w:color="000000" w:sz="4" w:space="0"/>
              <w:right w:val="single" w:color="000000" w:sz="4" w:space="0"/>
            </w:tcBorders>
            <w:tcW w:w="10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517"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GB/T13662-2018</w:t>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苯甲酸及其钠盐（以苯甲酸计）</w:t>
            </w:r>
            <w:r/>
          </w:p>
        </w:tc>
        <w:tc>
          <w:tcPr>
            <w:tcBorders>
              <w:left w:val="none" w:color="000000" w:sz="4" w:space="0"/>
              <w:right w:val="single" w:color="000000" w:sz="4" w:space="0"/>
            </w:tcBorders>
            <w:tcW w:w="10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517" w:type="pct"/>
            <w:vAlign w:val="center"/>
            <w:vMerge w:val="restart"/>
            <w:textDirection w:val="lrTb"/>
            <w:noWrap w:val="false"/>
          </w:tcPr>
          <w:p>
            <w:pPr>
              <w:pStyle w:val="900"/>
              <w:jc w:val="center"/>
              <w:rPr>
                <w:rFonts w:hint="eastAsia" w:ascii="宋体" w:hAnsi="宋体" w:cs="宋体"/>
                <w:color w:val="000000"/>
                <w:sz w:val="22"/>
                <w:szCs w:val="22"/>
              </w:rPr>
            </w:pPr>
            <w:r>
              <w:rPr>
                <w:rFonts w:hint="eastAsia" w:ascii="宋体" w:hAnsi="宋体" w:cs="宋体"/>
                <w:color w:val="000000"/>
                <w:sz w:val="22"/>
                <w:szCs w:val="22"/>
              </w:rPr>
              <w:t xml:space="preserve">GB 2760-2014</w:t>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山梨酸及其钾盐（以山梨酸计）</w:t>
            </w:r>
            <w:r/>
          </w:p>
        </w:tc>
        <w:tc>
          <w:tcPr>
            <w:tcBorders>
              <w:left w:val="none" w:color="000000" w:sz="4" w:space="0"/>
              <w:right w:val="single" w:color="000000" w:sz="4" w:space="0"/>
            </w:tcBorders>
            <w:tcW w:w="10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5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糖精钠（以糖精计）</w:t>
            </w:r>
            <w:r/>
          </w:p>
        </w:tc>
        <w:tc>
          <w:tcPr>
            <w:tcBorders>
              <w:left w:val="none" w:color="000000" w:sz="4" w:space="0"/>
              <w:right w:val="single" w:color="000000" w:sz="4" w:space="0"/>
            </w:tcBorders>
            <w:tcW w:w="10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5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甜蜜素（以环己基氨基磺酸计）</w:t>
            </w:r>
            <w:r/>
          </w:p>
        </w:tc>
        <w:tc>
          <w:tcPr>
            <w:tcBorders>
              <w:left w:val="none" w:color="000000" w:sz="4" w:space="0"/>
              <w:right w:val="single" w:color="000000" w:sz="4" w:space="0"/>
            </w:tcBorders>
            <w:tcW w:w="10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5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铅</w:t>
            </w:r>
            <w:r/>
          </w:p>
        </w:tc>
        <w:tc>
          <w:tcPr>
            <w:tcBorders>
              <w:left w:val="none" w:color="000000" w:sz="4" w:space="0"/>
              <w:bottom w:val="single" w:color="000000" w:sz="4" w:space="0"/>
              <w:right w:val="single" w:color="000000" w:sz="4" w:space="0"/>
            </w:tcBorders>
            <w:tcW w:w="10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517"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GB 2762-2022</w:t>
            </w:r>
            <w:r/>
          </w:p>
        </w:tc>
      </w:tr>
    </w:tbl>
    <w:p>
      <w:pPr>
        <w:pStyle w:val="900"/>
        <w:ind w:firstLine="420"/>
        <w:spacing w:line="360" w:lineRule="auto"/>
        <w:rPr>
          <w:rFonts w:hint="eastAsia" w:ascii="宋体" w:hAnsi="宋体"/>
          <w:color w:val="000000"/>
          <w:szCs w:val="21"/>
        </w:rPr>
      </w:pPr>
      <w:r>
        <w:rPr>
          <w:rFonts w:hint="eastAsia"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2.米酒的例行监测项目为5项。</w:t>
      </w:r>
      <w:r>
        <w:rPr>
          <w:rFonts w:ascii="宋体" w:hAnsi="宋体"/>
          <w:color w:val="000000"/>
          <w:szCs w:val="21"/>
        </w:rPr>
        <w:t xml:space="preserve">具体监测项目、检测方法及判定依据详见下表：</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578"/>
        <w:gridCol w:w="1889"/>
        <w:gridCol w:w="2820"/>
      </w:tblGrid>
      <w:tr>
        <w:trPr>
          <w:trHeight w:val="270"/>
        </w:trPr>
        <w:tc>
          <w:tcPr>
            <w:tcBorders>
              <w:top w:val="singl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bCs/>
                <w:color w:val="000000"/>
                <w:sz w:val="22"/>
                <w:szCs w:val="22"/>
              </w:rPr>
            </w:pPr>
            <w:r>
              <w:rPr>
                <w:rFonts w:hint="eastAsia" w:ascii="宋体" w:hAnsi="宋体" w:cs="宋体"/>
                <w:bCs/>
                <w:color w:val="000000"/>
                <w:sz w:val="22"/>
                <w:szCs w:val="22"/>
              </w:rPr>
              <w:t xml:space="preserve">监测项目</w:t>
            </w:r>
            <w:r/>
          </w:p>
        </w:tc>
        <w:tc>
          <w:tcPr>
            <w:tcBorders>
              <w:top w:val="single" w:color="000000" w:sz="4" w:space="0"/>
              <w:left w:val="none" w:color="000000" w:sz="4" w:space="0"/>
              <w:bottom w:val="single" w:color="000000" w:sz="4" w:space="0"/>
              <w:right w:val="single" w:color="000000" w:sz="4" w:space="0"/>
            </w:tcBorders>
            <w:tcW w:w="1017" w:type="pct"/>
            <w:vAlign w:val="center"/>
            <w:textDirection w:val="lrTb"/>
            <w:noWrap w:val="false"/>
          </w:tcPr>
          <w:p>
            <w:pPr>
              <w:pStyle w:val="900"/>
              <w:jc w:val="center"/>
              <w:widowControl/>
              <w:rPr>
                <w:rFonts w:hint="eastAsia" w:ascii="宋体" w:hAnsi="宋体" w:cs="宋体"/>
                <w:bCs/>
                <w:color w:val="000000"/>
                <w:sz w:val="22"/>
                <w:szCs w:val="22"/>
              </w:rPr>
            </w:pPr>
            <w:r>
              <w:rPr>
                <w:rFonts w:hint="eastAsia" w:ascii="宋体" w:hAnsi="宋体" w:cs="宋体"/>
                <w:bCs/>
                <w:color w:val="000000"/>
                <w:sz w:val="22"/>
                <w:szCs w:val="22"/>
              </w:rPr>
              <w:t xml:space="preserve">检测方法</w:t>
            </w:r>
            <w:r/>
          </w:p>
        </w:tc>
        <w:tc>
          <w:tcPr>
            <w:tcBorders>
              <w:top w:val="single" w:color="000000" w:sz="4" w:space="0"/>
              <w:left w:val="none" w:color="000000" w:sz="4" w:space="0"/>
              <w:bottom w:val="single" w:color="000000" w:sz="4" w:space="0"/>
              <w:right w:val="single" w:color="000000" w:sz="4" w:space="0"/>
            </w:tcBorders>
            <w:tcW w:w="1517" w:type="pct"/>
            <w:vAlign w:val="center"/>
            <w:textDirection w:val="lrTb"/>
            <w:noWrap w:val="false"/>
          </w:tcPr>
          <w:p>
            <w:pPr>
              <w:pStyle w:val="900"/>
              <w:jc w:val="center"/>
              <w:widowControl/>
              <w:rPr>
                <w:rFonts w:hint="eastAsia" w:ascii="宋体" w:hAnsi="宋体" w:cs="宋体"/>
                <w:bCs/>
                <w:color w:val="000000"/>
                <w:sz w:val="22"/>
                <w:szCs w:val="22"/>
              </w:rPr>
            </w:pPr>
            <w:r>
              <w:rPr>
                <w:rFonts w:hint="eastAsia" w:ascii="宋体" w:hAnsi="宋体" w:cs="宋体"/>
                <w:bCs/>
                <w:color w:val="000000"/>
                <w:sz w:val="22"/>
                <w:szCs w:val="22"/>
              </w:rPr>
              <w:t xml:space="preserve">判定依据</w:t>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酒精度</w:t>
            </w:r>
            <w:r/>
          </w:p>
        </w:tc>
        <w:tc>
          <w:tcPr>
            <w:tcBorders>
              <w:top w:val="none" w:color="000000" w:sz="4" w:space="0"/>
              <w:left w:val="none" w:color="000000" w:sz="4" w:space="0"/>
              <w:right w:val="single" w:color="000000" w:sz="4" w:space="0"/>
            </w:tcBorders>
            <w:tcW w:w="1017" w:type="pct"/>
            <w:vAlign w:val="center"/>
            <w:vMerge w:val="restart"/>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szCs w:val="21"/>
                <w:lang w:bidi="ar"/>
              </w:rPr>
              <w:t xml:space="preserve">国家现行有效的检测方法，但方法最低检出限必须满足判定依据限量值</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517"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产品标准</w:t>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苯甲酸及其钠盐（以苯甲酸计）</w:t>
            </w:r>
            <w:r/>
          </w:p>
        </w:tc>
        <w:tc>
          <w:tcPr>
            <w:tcBorders>
              <w:left w:val="none" w:color="000000" w:sz="4" w:space="0"/>
              <w:right w:val="single" w:color="000000" w:sz="4" w:space="0"/>
            </w:tcBorders>
            <w:tcW w:w="10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517" w:type="pct"/>
            <w:vAlign w:val="center"/>
            <w:vMerge w:val="restart"/>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GB 2760-2014</w:t>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山梨酸及其钾盐（以山梨酸计）</w:t>
            </w:r>
            <w:r/>
          </w:p>
        </w:tc>
        <w:tc>
          <w:tcPr>
            <w:tcBorders>
              <w:left w:val="none" w:color="000000" w:sz="4" w:space="0"/>
              <w:right w:val="single" w:color="000000" w:sz="4" w:space="0"/>
            </w:tcBorders>
            <w:tcW w:w="10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5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糖精钠（以糖精计）</w:t>
            </w:r>
            <w:r/>
          </w:p>
        </w:tc>
        <w:tc>
          <w:tcPr>
            <w:tcBorders>
              <w:left w:val="none" w:color="000000" w:sz="4" w:space="0"/>
              <w:right w:val="single" w:color="000000" w:sz="4" w:space="0"/>
            </w:tcBorders>
            <w:tcW w:w="10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15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270"/>
        </w:trPr>
        <w:tc>
          <w:tcPr>
            <w:tcBorders>
              <w:top w:val="none" w:color="000000" w:sz="4" w:space="0"/>
              <w:left w:val="single" w:color="000000" w:sz="4" w:space="0"/>
              <w:bottom w:val="single" w:color="000000" w:sz="4" w:space="0"/>
              <w:right w:val="single" w:color="000000" w:sz="4" w:space="0"/>
            </w:tcBorders>
            <w:tcW w:w="2464"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铅</w:t>
            </w:r>
            <w:r/>
          </w:p>
        </w:tc>
        <w:tc>
          <w:tcPr>
            <w:tcBorders>
              <w:left w:val="none" w:color="000000" w:sz="4" w:space="0"/>
              <w:bottom w:val="single" w:color="000000" w:sz="4" w:space="0"/>
              <w:right w:val="single" w:color="000000" w:sz="4" w:space="0"/>
            </w:tcBorders>
            <w:tcW w:w="1017" w:type="pct"/>
            <w:vAlign w:val="center"/>
            <w:vMerge w:val="continue"/>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517" w:type="pct"/>
            <w:vAlign w:val="center"/>
            <w:textDirection w:val="lrTb"/>
            <w:noWrap w:val="false"/>
          </w:tcPr>
          <w:p>
            <w:pPr>
              <w:pStyle w:val="900"/>
              <w:jc w:val="center"/>
              <w:widowControl/>
              <w:rPr>
                <w:rFonts w:hint="eastAsia" w:ascii="宋体" w:hAnsi="宋体" w:cs="宋体"/>
                <w:color w:val="000000"/>
                <w:sz w:val="22"/>
                <w:szCs w:val="22"/>
              </w:rPr>
            </w:pPr>
            <w:r>
              <w:rPr>
                <w:rFonts w:hint="eastAsia" w:ascii="宋体" w:hAnsi="宋体" w:cs="宋体"/>
                <w:color w:val="000000"/>
                <w:sz w:val="22"/>
                <w:szCs w:val="22"/>
              </w:rPr>
              <w:t xml:space="preserve">GB 2762-2022</w:t>
            </w:r>
            <w:r/>
          </w:p>
        </w:tc>
      </w:tr>
    </w:tbl>
    <w:p>
      <w:pPr>
        <w:pStyle w:val="900"/>
        <w:ind w:firstLine="420"/>
        <w:spacing w:line="360" w:lineRule="auto"/>
        <w:rPr>
          <w:rFonts w:ascii="宋体" w:hAnsi="宋体"/>
          <w:color w:val="000000"/>
          <w:szCs w:val="21"/>
        </w:rPr>
      </w:pPr>
      <w:r>
        <w:rPr>
          <w:rFonts w:ascii="宋体" w:hAnsi="宋体"/>
          <w:color w:val="000000"/>
          <w:szCs w:val="21"/>
        </w:rPr>
        <w:t xml:space="preserve">（四）抽样方法、判定依据 </w:t>
      </w:r>
      <w:r/>
    </w:p>
    <w:p>
      <w:pPr>
        <w:pStyle w:val="900"/>
        <w:ind w:firstLine="420"/>
        <w:spacing w:line="360" w:lineRule="auto"/>
        <w:rPr>
          <w:rFonts w:hint="eastAsia" w:ascii="宋体" w:hAnsi="宋体"/>
          <w:color w:val="000000"/>
          <w:szCs w:val="21"/>
        </w:rPr>
      </w:pPr>
      <w:r>
        <w:rPr>
          <w:rFonts w:ascii="宋体" w:hAnsi="宋体"/>
          <w:color w:val="000000"/>
          <w:szCs w:val="21"/>
        </w:rPr>
        <w:t xml:space="preserve">1.抽样方法：</w:t>
      </w:r>
      <w:r>
        <w:rPr>
          <w:rFonts w:hint="eastAsia" w:ascii="宋体" w:hAnsi="宋体"/>
          <w:color w:val="000000"/>
          <w:szCs w:val="21"/>
        </w:rPr>
        <w:t xml:space="preserve">生产环节抽样时，在企业的成品库房，从同一批次样品堆的不同部位抽取相应数量的样品。抽取样品量不少于 4个独立包装，总量约 2L。大包装食品（≥5L）可进行分装取样，分装时应采取措施防止样品污染，分装的样品盛装于被抽样单位用于销售的包装或清洁卫生的容器中并保持密封良好，样品数量不少于 4 个包装，总量约 2L。所抽取样品分为 2 份，约 1/2 为检验样品，约 1/2 为复检备份样品（备份样品封存在承检机构）。抽取样品量、检验及复检备份所需样品量可根据检验和复检需要适量调整。</w:t>
      </w:r>
      <w:r/>
    </w:p>
    <w:p>
      <w:pPr>
        <w:pStyle w:val="900"/>
        <w:ind w:firstLine="420"/>
        <w:spacing w:line="360" w:lineRule="auto"/>
        <w:rPr>
          <w:rFonts w:hint="eastAsia" w:ascii="宋体" w:hAnsi="宋体"/>
          <w:color w:val="000000"/>
          <w:szCs w:val="21"/>
        </w:rPr>
      </w:pPr>
      <w:r>
        <w:rPr>
          <w:rFonts w:ascii="宋体" w:hAnsi="宋体"/>
          <w:color w:val="000000"/>
          <w:szCs w:val="21"/>
        </w:rPr>
        <w:t xml:space="preserve">2.判定依据：</w:t>
      </w:r>
      <w:r>
        <w:rPr>
          <w:rFonts w:ascii="宋体" w:hAnsi="宋体"/>
          <w:color w:val="000000"/>
          <w:szCs w:val="21"/>
        </w:rPr>
        <w:t xml:space="preserve">按照（三）方法与项目指定的检测方法及判定依据进行检测与判定（各检测项目除采用表中所列检测方法外，如有其他国家标准、行业标准以及部文公告的检测方法，且其最低检出限能满足限量值要求时，也可采用，凡是不注明日期的标准，其最新版本适用于本文件）</w:t>
      </w:r>
      <w:r>
        <w:rPr>
          <w:rFonts w:hint="eastAsia" w:ascii="宋体" w:hAnsi="宋体"/>
          <w:color w:val="000000"/>
          <w:szCs w:val="21"/>
        </w:rPr>
        <w:t xml:space="preserve">。</w:t>
      </w:r>
      <w:r>
        <w:rPr>
          <w:rFonts w:ascii="宋体" w:hAnsi="宋体"/>
          <w:color w:val="000000"/>
          <w:szCs w:val="21"/>
        </w:rPr>
        <w:t xml:space="preserve">上市样品所监测项目全部合格者，判定合格，有一项（或以上）项目不合格，即判定不合格</w:t>
      </w:r>
      <w:r>
        <w:rPr>
          <w:rFonts w:hint="eastAsia" w:ascii="宋体" w:hAnsi="宋体"/>
          <w:color w:val="000000"/>
          <w:szCs w:val="21"/>
        </w:rPr>
        <w:t xml:space="preserve">；未上市样品所检测项目中仅对禁（限）用药物残留进行判定，其他项目记录检出值。</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五、种植类产品、畜禽类产品、水产类产品根据相关要求做监督抽查，种植业产品监测项目为26项，畜禽产品监测项目为17项，水产品监测项目为13项，具体监测项目、检测方法及判定依据详见下表：</w:t>
        <w:br w:type="page" w:clear="all"/>
      </w:r>
      <w:r/>
    </w:p>
    <w:tbl>
      <w:tblPr>
        <w:tblW w:w="9577"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90"/>
        <w:gridCol w:w="3779"/>
        <w:gridCol w:w="2837"/>
        <w:gridCol w:w="1871"/>
      </w:tblGrid>
      <w:tr>
        <w:trPr>
          <w:trHeight w:val="513"/>
        </w:trPr>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00"/>
              <w:jc w:val="center"/>
              <w:spacing w:line="240" w:lineRule="exact"/>
              <w:widowControl/>
              <w:rPr>
                <w:bCs/>
                <w:szCs w:val="21"/>
                <w:lang w:bidi="ar"/>
              </w:rPr>
            </w:pPr>
            <w:r>
              <w:rPr>
                <w:bCs/>
                <w:szCs w:val="21"/>
                <w:lang w:bidi="ar"/>
              </w:rPr>
              <w:t xml:space="preserve">类型</w:t>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jc w:val="center"/>
              <w:spacing w:line="240" w:lineRule="exact"/>
              <w:widowControl/>
              <w:rPr>
                <w:bCs/>
                <w:szCs w:val="21"/>
              </w:rPr>
            </w:pPr>
            <w:r>
              <w:rPr>
                <w:bCs/>
                <w:szCs w:val="21"/>
                <w:lang w:bidi="ar"/>
              </w:rPr>
              <w:t xml:space="preserve">监测项目</w:t>
            </w:r>
            <w:r>
              <w:rPr>
                <w:bCs/>
                <w:szCs w:val="21"/>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pStyle w:val="900"/>
              <w:jc w:val="center"/>
              <w:spacing w:line="240" w:lineRule="exact"/>
              <w:widowControl/>
              <w:rPr>
                <w:bCs/>
                <w:szCs w:val="21"/>
              </w:rPr>
            </w:pPr>
            <w:r>
              <w:rPr>
                <w:bCs/>
                <w:szCs w:val="21"/>
                <w:lang w:bidi="ar"/>
              </w:rPr>
              <w:t xml:space="preserve">检测方法</w:t>
            </w:r>
            <w:r>
              <w:rPr>
                <w:bCs/>
                <w:szCs w:val="21"/>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jc w:val="center"/>
              <w:spacing w:line="240" w:lineRule="exact"/>
              <w:widowControl/>
              <w:rPr>
                <w:bCs/>
                <w:szCs w:val="21"/>
                <w:lang w:bidi="ar"/>
              </w:rPr>
            </w:pPr>
            <w:r>
              <w:rPr>
                <w:bCs/>
                <w:szCs w:val="21"/>
                <w:lang w:bidi="ar"/>
              </w:rPr>
              <w:t xml:space="preserve">判定依据</w:t>
            </w:r>
            <w:r/>
          </w:p>
        </w:tc>
      </w:tr>
      <w:tr>
        <w:trPr>
          <w:cantSplit/>
          <w:trHeight w:val="1853"/>
        </w:trPr>
        <w:tc>
          <w:tcPr>
            <w:tcBorders>
              <w:top w:val="single" w:color="000000" w:sz="4" w:space="0"/>
              <w:left w:val="single" w:color="000000" w:sz="4" w:space="0"/>
              <w:right w:val="single" w:color="000000" w:sz="4" w:space="0"/>
            </w:tcBorders>
            <w:tcW w:w="1090" w:type="dxa"/>
            <w:vAlign w:val="center"/>
            <w:textDirection w:val="lrTb"/>
            <w:noWrap w:val="false"/>
          </w:tcPr>
          <w:p>
            <w:pPr>
              <w:pStyle w:val="900"/>
              <w:widowControl/>
              <w:rPr>
                <w:szCs w:val="21"/>
                <w:lang w:bidi="ar"/>
              </w:rPr>
            </w:pPr>
            <w:r>
              <w:rPr>
                <w:szCs w:val="21"/>
                <w:lang w:bidi="ar"/>
              </w:rPr>
              <w:t xml:space="preserve">种植业产品</w:t>
            </w:r>
            <w:r>
              <w:rPr>
                <w:szCs w:val="21"/>
                <w:lang w:bidi="ar"/>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widowControl/>
              <w:rPr>
                <w:rFonts w:hint="eastAsia"/>
                <w:szCs w:val="21"/>
              </w:rPr>
            </w:pPr>
            <w:r>
              <w:rPr>
                <w:szCs w:val="21"/>
                <w:lang w:bidi="ar"/>
              </w:rPr>
              <w:t xml:space="preserve">甲胺磷、甲拌磷（包括甲拌磷砜和甲拌磷亚砜）、氧乐果、水胺硫磷、甲基异柳磷、克百威（包括3-羟基克百威）、涕灭威（包括涕灭威砜和涕灭威亚砜）、毒死蜱、三唑磷、乐果、乙酰甲胺磷、灭多威、腐霉利、多菌灵、吡虫啉</w:t>
            </w:r>
            <w:r>
              <w:rPr>
                <w:rFonts w:hint="eastAsia"/>
                <w:szCs w:val="21"/>
                <w:lang w:bidi="ar"/>
              </w:rPr>
              <w:t xml:space="preserve">、</w:t>
            </w:r>
            <w:r>
              <w:rPr>
                <w:szCs w:val="21"/>
                <w:lang w:bidi="ar"/>
              </w:rPr>
              <w:t xml:space="preserve">氟虫腈（包括氟甲腈、氟虫腈硫醚、氟虫腈砜）、啶虫脒、嘧霉胺、烯酰吗啉、噻虫嗪</w:t>
            </w:r>
            <w:r>
              <w:rPr>
                <w:rFonts w:hint="eastAsia"/>
                <w:szCs w:val="21"/>
                <w:lang w:bidi="ar"/>
              </w:rPr>
              <w:t xml:space="preserve">、</w:t>
            </w:r>
            <w:r>
              <w:rPr>
                <w:szCs w:val="21"/>
                <w:lang w:bidi="ar"/>
              </w:rPr>
              <w:t xml:space="preserve">灭蝇胺</w:t>
            </w:r>
            <w:r>
              <w:rPr>
                <w:rFonts w:hint="eastAsia"/>
                <w:szCs w:val="21"/>
                <w:lang w:bidi="ar"/>
              </w:rPr>
              <w:t xml:space="preserve">、</w:t>
            </w:r>
            <w:r>
              <w:rPr>
                <w:szCs w:val="21"/>
                <w:lang w:bidi="ar"/>
              </w:rPr>
              <w:t xml:space="preserve">阿维菌素</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pStyle w:val="900"/>
              <w:jc w:val="left"/>
              <w:spacing w:line="300" w:lineRule="exact"/>
              <w:widowControl/>
              <w:rPr>
                <w:szCs w:val="21"/>
              </w:rPr>
            </w:pPr>
            <w:r>
              <w:rPr>
                <w:szCs w:val="21"/>
                <w:lang w:bidi="ar"/>
              </w:rPr>
              <w:t xml:space="preserve">NY/T761-2008 或</w:t>
            </w:r>
            <w:r>
              <w:rPr>
                <w:szCs w:val="21"/>
              </w:rPr>
            </w:r>
            <w:r/>
          </w:p>
          <w:p>
            <w:pPr>
              <w:pStyle w:val="900"/>
              <w:jc w:val="left"/>
              <w:spacing w:line="300" w:lineRule="exact"/>
              <w:widowControl/>
              <w:rPr>
                <w:szCs w:val="21"/>
              </w:rPr>
            </w:pPr>
            <w:r>
              <w:rPr>
                <w:szCs w:val="21"/>
                <w:lang w:bidi="ar"/>
              </w:rPr>
              <w:t xml:space="preserve">GB 23200.8-2016或</w:t>
            </w:r>
            <w:r>
              <w:rPr>
                <w:szCs w:val="21"/>
              </w:rPr>
            </w:r>
            <w:r/>
          </w:p>
          <w:p>
            <w:pPr>
              <w:pStyle w:val="900"/>
              <w:jc w:val="left"/>
              <w:spacing w:line="300" w:lineRule="exact"/>
              <w:widowControl/>
              <w:rPr>
                <w:szCs w:val="21"/>
              </w:rPr>
            </w:pPr>
            <w:r>
              <w:rPr>
                <w:szCs w:val="21"/>
                <w:lang w:bidi="ar"/>
              </w:rPr>
              <w:t xml:space="preserve">GB/T 20769-2008</w:t>
            </w:r>
            <w:r>
              <w:rPr>
                <w:szCs w:val="21"/>
              </w:rPr>
            </w:r>
            <w:r/>
          </w:p>
          <w:p>
            <w:pPr>
              <w:pStyle w:val="900"/>
              <w:jc w:val="left"/>
              <w:spacing w:line="300" w:lineRule="exact"/>
              <w:widowControl/>
              <w:rPr>
                <w:szCs w:val="21"/>
              </w:rPr>
            </w:pPr>
            <w:r>
              <w:rPr>
                <w:szCs w:val="21"/>
                <w:lang w:bidi="ar"/>
              </w:rPr>
              <w:t xml:space="preserve">GB/T 23200.113-2018</w:t>
            </w:r>
            <w:r>
              <w:rPr>
                <w:szCs w:val="21"/>
              </w:rPr>
            </w:r>
            <w:r/>
          </w:p>
          <w:p>
            <w:pPr>
              <w:pStyle w:val="900"/>
              <w:jc w:val="left"/>
              <w:spacing w:line="300" w:lineRule="exact"/>
              <w:widowControl/>
              <w:rPr>
                <w:szCs w:val="21"/>
                <w:lang w:bidi="ar"/>
              </w:rPr>
            </w:pPr>
            <w:r>
              <w:rPr>
                <w:szCs w:val="21"/>
                <w:lang w:bidi="ar"/>
              </w:rPr>
              <w:t xml:space="preserve">GB/T 23200.121-2021</w:t>
            </w:r>
            <w:r/>
          </w:p>
          <w:p>
            <w:pPr>
              <w:pStyle w:val="900"/>
              <w:jc w:val="left"/>
              <w:spacing w:line="300" w:lineRule="exact"/>
              <w:widowControl/>
              <w:rPr>
                <w:szCs w:val="21"/>
                <w:lang w:bidi="ar"/>
              </w:rPr>
            </w:pPr>
            <w:r>
              <w:rPr>
                <w:szCs w:val="21"/>
                <w:lang w:bidi="ar"/>
              </w:rPr>
              <w:t xml:space="preserve">GB/T23200.19</w:t>
            </w:r>
            <w:r>
              <w:rPr>
                <w:szCs w:val="21"/>
                <w:lang w:bidi="ar"/>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spacing w:line="560" w:lineRule="exact"/>
              <w:widowControl/>
              <w:rPr>
                <w:szCs w:val="21"/>
              </w:rPr>
            </w:pPr>
            <w:r>
              <w:rPr>
                <w:szCs w:val="21"/>
                <w:lang w:bidi="ar"/>
              </w:rPr>
              <w:t xml:space="preserve">GB 2763</w:t>
            </w:r>
            <w:r>
              <w:rPr>
                <w:szCs w:val="21"/>
              </w:rPr>
            </w:r>
            <w:r/>
          </w:p>
        </w:tc>
      </w:tr>
      <w:tr>
        <w:trPr>
          <w:cantSplit/>
          <w:trHeight w:val="596"/>
        </w:trPr>
        <w:tc>
          <w:tcPr>
            <w:tcBorders>
              <w:top w:val="single" w:color="000000" w:sz="4" w:space="0"/>
              <w:left w:val="single" w:color="000000" w:sz="4" w:space="0"/>
              <w:right w:val="single" w:color="000000" w:sz="4" w:space="0"/>
            </w:tcBorders>
            <w:tcW w:w="1090" w:type="dxa"/>
            <w:vAlign w:val="center"/>
            <w:vMerge w:val="restart"/>
            <w:textDirection w:val="lrTb"/>
            <w:noWrap w:val="false"/>
          </w:tcPr>
          <w:p>
            <w:pPr>
              <w:pStyle w:val="900"/>
              <w:widowControl/>
              <w:rPr>
                <w:szCs w:val="21"/>
                <w:lang w:bidi="ar"/>
              </w:rPr>
            </w:pPr>
            <w:r>
              <w:rPr>
                <w:szCs w:val="21"/>
                <w:lang w:bidi="ar"/>
              </w:rPr>
              <w:t xml:space="preserve">畜禽产品</w:t>
            </w:r>
            <w:r>
              <w:rPr>
                <w:szCs w:val="21"/>
                <w:lang w:bidi="ar"/>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widowControl/>
              <w:rPr>
                <w:szCs w:val="21"/>
                <w:lang w:bidi="ar"/>
              </w:rPr>
            </w:pPr>
            <w:r>
              <w:rPr>
                <w:szCs w:val="21"/>
                <w:lang w:bidi="ar"/>
              </w:rPr>
              <w:t xml:space="preserve">克伦特罗、沙丁胺醇、莱克多巴胺</w:t>
            </w:r>
            <w:r/>
          </w:p>
        </w:tc>
        <w:tc>
          <w:tcPr>
            <w:tcBorders>
              <w:top w:val="single" w:color="000000" w:sz="4" w:space="0"/>
              <w:left w:val="single" w:color="000000" w:sz="4" w:space="0"/>
              <w:right w:val="single" w:color="000000" w:sz="4" w:space="0"/>
            </w:tcBorders>
            <w:tcW w:w="2837" w:type="dxa"/>
            <w:vAlign w:val="center"/>
            <w:vMerge w:val="restart"/>
            <w:textDirection w:val="lrTb"/>
            <w:noWrap w:val="false"/>
          </w:tcPr>
          <w:p>
            <w:pPr>
              <w:pStyle w:val="900"/>
              <w:jc w:val="left"/>
              <w:spacing w:line="300" w:lineRule="exact"/>
              <w:widowControl/>
              <w:rPr>
                <w:szCs w:val="21"/>
                <w:lang w:bidi="ar"/>
              </w:rPr>
            </w:pPr>
            <w:r>
              <w:rPr>
                <w:szCs w:val="21"/>
                <w:lang w:bidi="ar"/>
              </w:rPr>
              <w:t xml:space="preserve">国家现行有效的检测方法，但方法最低检出限必须满足判定依据限量值</w:t>
            </w:r>
            <w:r>
              <w:rPr>
                <w:szCs w:val="21"/>
                <w:lang w:bidi="ar"/>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widowControl/>
              <w:rPr>
                <w:szCs w:val="21"/>
              </w:rPr>
            </w:pPr>
            <w:r>
              <w:rPr>
                <w:szCs w:val="21"/>
                <w:lang w:bidi="ar"/>
              </w:rPr>
              <w:t xml:space="preserve">农业农村部公告第250号</w:t>
            </w:r>
            <w:r>
              <w:rPr>
                <w:szCs w:val="21"/>
              </w:rPr>
            </w:r>
            <w:r/>
          </w:p>
        </w:tc>
      </w:tr>
      <w:tr>
        <w:trPr>
          <w:cantSplit/>
          <w:trHeight w:val="596"/>
        </w:trPr>
        <w:tc>
          <w:tcPr>
            <w:tcBorders>
              <w:left w:val="single" w:color="000000" w:sz="4" w:space="0"/>
              <w:right w:val="single" w:color="000000" w:sz="4" w:space="0"/>
            </w:tcBorders>
            <w:tcW w:w="1090" w:type="dxa"/>
            <w:vAlign w:val="center"/>
            <w:vMerge w:val="continue"/>
            <w:textDirection w:val="lrTb"/>
            <w:noWrap w:val="false"/>
          </w:tcPr>
          <w:p>
            <w:pPr>
              <w:pStyle w:val="900"/>
              <w:widowControl/>
              <w:rPr>
                <w:szCs w:val="21"/>
                <w:lang w:bidi="ar"/>
              </w:rPr>
            </w:pPr>
            <w:r>
              <w:rPr>
                <w:szCs w:val="21"/>
                <w:lang w:bidi="ar"/>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widowControl/>
              <w:rPr>
                <w:rFonts w:hint="eastAsia"/>
                <w:szCs w:val="21"/>
                <w:lang w:bidi="ar"/>
              </w:rPr>
            </w:pPr>
            <w:r>
              <w:rPr>
                <w:szCs w:val="21"/>
                <w:lang w:bidi="ar"/>
              </w:rPr>
              <w:t xml:space="preserve">氯霉素、甲砜霉素、氟苯尼考</w:t>
            </w:r>
            <w:r>
              <w:rPr>
                <w:rFonts w:hint="eastAsia"/>
                <w:szCs w:val="21"/>
                <w:lang w:bidi="ar"/>
              </w:rPr>
              <w:t xml:space="preserve">、</w:t>
            </w:r>
            <w:r>
              <w:rPr>
                <w:szCs w:val="21"/>
                <w:lang w:bidi="ar"/>
              </w:rPr>
              <w:t xml:space="preserve">恩诺沙星、环丙沙星、诺氟沙星、氧氟沙星、培氟沙星、洛美沙星</w:t>
            </w:r>
            <w:r>
              <w:rPr>
                <w:rFonts w:hint="eastAsia"/>
                <w:szCs w:val="21"/>
                <w:lang w:bidi="ar"/>
              </w:rPr>
            </w:r>
            <w:r/>
          </w:p>
        </w:tc>
        <w:tc>
          <w:tcPr>
            <w:tcBorders>
              <w:left w:val="single" w:color="000000" w:sz="4" w:space="0"/>
              <w:right w:val="single" w:color="000000" w:sz="4" w:space="0"/>
            </w:tcBorders>
            <w:tcW w:w="2837" w:type="dxa"/>
            <w:vAlign w:val="center"/>
            <w:vMerge w:val="continue"/>
            <w:textDirection w:val="lrTb"/>
            <w:noWrap w:val="false"/>
          </w:tcPr>
          <w:p>
            <w:pPr>
              <w:pStyle w:val="900"/>
              <w:jc w:val="left"/>
              <w:spacing w:line="300" w:lineRule="exact"/>
              <w:widowControl/>
              <w:rPr>
                <w:szCs w:val="21"/>
                <w:lang w:bidi="ar"/>
              </w:rPr>
            </w:pPr>
            <w:r>
              <w:rPr>
                <w:szCs w:val="21"/>
                <w:lang w:bidi="ar"/>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jc w:val="left"/>
              <w:widowControl/>
              <w:rPr>
                <w:szCs w:val="21"/>
              </w:rPr>
            </w:pPr>
            <w:r>
              <w:rPr>
                <w:szCs w:val="21"/>
                <w:lang w:bidi="ar"/>
              </w:rPr>
              <w:t xml:space="preserve">农业农村部公告 第250号</w:t>
            </w:r>
            <w:r>
              <w:rPr>
                <w:szCs w:val="21"/>
              </w:rPr>
            </w:r>
            <w:r/>
          </w:p>
          <w:p>
            <w:pPr>
              <w:pStyle w:val="900"/>
              <w:jc w:val="left"/>
              <w:widowControl/>
              <w:rPr>
                <w:szCs w:val="21"/>
              </w:rPr>
            </w:pPr>
            <w:r>
              <w:rPr>
                <w:szCs w:val="21"/>
                <w:lang w:bidi="ar"/>
              </w:rPr>
              <w:t xml:space="preserve">GB 31650- 2019</w:t>
            </w:r>
            <w:r>
              <w:rPr>
                <w:szCs w:val="21"/>
              </w:rPr>
            </w:r>
            <w:r/>
          </w:p>
          <w:p>
            <w:pPr>
              <w:pStyle w:val="900"/>
              <w:jc w:val="left"/>
              <w:widowControl/>
              <w:rPr>
                <w:szCs w:val="21"/>
              </w:rPr>
            </w:pPr>
            <w:r>
              <w:rPr>
                <w:szCs w:val="21"/>
                <w:lang w:bidi="ar"/>
              </w:rPr>
              <w:t xml:space="preserve">GB 31650.1-2022</w:t>
            </w:r>
            <w:r>
              <w:rPr>
                <w:szCs w:val="21"/>
              </w:rPr>
            </w:r>
            <w:r/>
          </w:p>
        </w:tc>
      </w:tr>
      <w:tr>
        <w:trPr>
          <w:cantSplit/>
          <w:trHeight w:val="596"/>
        </w:trPr>
        <w:tc>
          <w:tcPr>
            <w:tcBorders>
              <w:left w:val="single" w:color="000000" w:sz="4" w:space="0"/>
              <w:right w:val="single" w:color="000000" w:sz="4" w:space="0"/>
            </w:tcBorders>
            <w:tcW w:w="1090" w:type="dxa"/>
            <w:vAlign w:val="center"/>
            <w:vMerge w:val="continue"/>
            <w:textDirection w:val="lrTb"/>
            <w:noWrap w:val="false"/>
          </w:tcPr>
          <w:p>
            <w:pPr>
              <w:pStyle w:val="900"/>
              <w:widowControl/>
              <w:rPr>
                <w:szCs w:val="21"/>
                <w:lang w:bidi="ar"/>
              </w:rPr>
            </w:pPr>
            <w:r>
              <w:rPr>
                <w:szCs w:val="21"/>
                <w:lang w:bidi="ar"/>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widowControl/>
              <w:rPr>
                <w:szCs w:val="21"/>
                <w:lang w:bidi="ar"/>
              </w:rPr>
            </w:pPr>
            <w:r>
              <w:rPr>
                <w:szCs w:val="21"/>
                <w:lang w:bidi="ar"/>
              </w:rPr>
              <w:t xml:space="preserve">金刚烷胺</w:t>
            </w:r>
            <w:r/>
          </w:p>
        </w:tc>
        <w:tc>
          <w:tcPr>
            <w:tcBorders>
              <w:left w:val="single" w:color="000000" w:sz="4" w:space="0"/>
              <w:right w:val="single" w:color="000000" w:sz="4" w:space="0"/>
            </w:tcBorders>
            <w:tcW w:w="2837" w:type="dxa"/>
            <w:vAlign w:val="center"/>
            <w:vMerge w:val="continue"/>
            <w:textDirection w:val="lrTb"/>
            <w:noWrap w:val="false"/>
          </w:tcPr>
          <w:p>
            <w:pPr>
              <w:pStyle w:val="900"/>
              <w:jc w:val="left"/>
              <w:spacing w:line="300" w:lineRule="exact"/>
              <w:widowControl/>
              <w:rPr>
                <w:szCs w:val="21"/>
                <w:lang w:bidi="ar"/>
              </w:rPr>
            </w:pPr>
            <w:r>
              <w:rPr>
                <w:szCs w:val="21"/>
                <w:lang w:bidi="ar"/>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jc w:val="left"/>
              <w:widowControl/>
              <w:rPr>
                <w:szCs w:val="21"/>
              </w:rPr>
            </w:pPr>
            <w:r>
              <w:rPr>
                <w:szCs w:val="21"/>
                <w:lang w:bidi="ar"/>
              </w:rPr>
              <w:t xml:space="preserve">农业农村部公告第560号</w:t>
            </w:r>
            <w:r>
              <w:rPr>
                <w:szCs w:val="21"/>
              </w:rPr>
            </w:r>
            <w:r/>
          </w:p>
        </w:tc>
      </w:tr>
      <w:tr>
        <w:trPr>
          <w:cantSplit/>
          <w:trHeight w:val="596"/>
        </w:trPr>
        <w:tc>
          <w:tcPr>
            <w:tcBorders>
              <w:left w:val="single" w:color="000000" w:sz="4" w:space="0"/>
              <w:bottom w:val="single" w:color="000000" w:sz="4" w:space="0"/>
              <w:right w:val="single" w:color="000000" w:sz="4" w:space="0"/>
            </w:tcBorders>
            <w:tcW w:w="1090" w:type="dxa"/>
            <w:vAlign w:val="center"/>
            <w:vMerge w:val="continue"/>
            <w:textDirection w:val="lrTb"/>
            <w:noWrap w:val="false"/>
          </w:tcPr>
          <w:p>
            <w:pPr>
              <w:pStyle w:val="900"/>
              <w:widowControl/>
              <w:rPr>
                <w:szCs w:val="21"/>
                <w:lang w:bidi="ar"/>
              </w:rPr>
            </w:pPr>
            <w:r>
              <w:rPr>
                <w:szCs w:val="21"/>
                <w:lang w:bidi="ar"/>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widowControl/>
              <w:rPr>
                <w:szCs w:val="21"/>
                <w:lang w:bidi="ar"/>
              </w:rPr>
            </w:pPr>
            <w:r>
              <w:rPr>
                <w:szCs w:val="21"/>
                <w:lang w:bidi="ar"/>
              </w:rPr>
              <w:t xml:space="preserve">硝基呋喃类代谢物（AOZ、SEM、AMOZ和AHD）</w:t>
            </w:r>
            <w:r/>
          </w:p>
        </w:tc>
        <w:tc>
          <w:tcPr>
            <w:tcBorders>
              <w:left w:val="single" w:color="000000" w:sz="4" w:space="0"/>
              <w:bottom w:val="single" w:color="000000" w:sz="4" w:space="0"/>
              <w:right w:val="single" w:color="000000" w:sz="4" w:space="0"/>
            </w:tcBorders>
            <w:tcW w:w="2837" w:type="dxa"/>
            <w:vAlign w:val="center"/>
            <w:vMerge w:val="continue"/>
            <w:textDirection w:val="lrTb"/>
            <w:noWrap w:val="false"/>
          </w:tcPr>
          <w:p>
            <w:pPr>
              <w:pStyle w:val="900"/>
              <w:jc w:val="left"/>
              <w:spacing w:line="300" w:lineRule="exact"/>
              <w:widowControl/>
              <w:rPr>
                <w:szCs w:val="21"/>
                <w:lang w:bidi="ar"/>
              </w:rPr>
            </w:pPr>
            <w:r>
              <w:rPr>
                <w:szCs w:val="21"/>
                <w:lang w:bidi="ar"/>
              </w:rPr>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jc w:val="left"/>
              <w:widowControl/>
              <w:rPr>
                <w:szCs w:val="21"/>
              </w:rPr>
            </w:pPr>
            <w:r>
              <w:rPr>
                <w:szCs w:val="21"/>
                <w:lang w:bidi="ar"/>
              </w:rPr>
              <w:t xml:space="preserve">农业农村部公告第250号</w:t>
            </w:r>
            <w:r>
              <w:rPr>
                <w:szCs w:val="21"/>
              </w:rPr>
            </w:r>
            <w:r/>
          </w:p>
        </w:tc>
      </w:tr>
      <w:tr>
        <w:trPr>
          <w:cantSplit/>
          <w:trHeight w:val="596"/>
        </w:trPr>
        <w:tc>
          <w:tcPr>
            <w:tcBorders>
              <w:top w:val="single" w:color="000000" w:sz="4" w:space="0"/>
              <w:left w:val="single" w:color="000000" w:sz="4" w:space="0"/>
              <w:right w:val="single" w:color="000000" w:sz="4" w:space="0"/>
            </w:tcBorders>
            <w:tcW w:w="1090" w:type="dxa"/>
            <w:vAlign w:val="center"/>
            <w:vMerge w:val="restart"/>
            <w:textDirection w:val="lrTb"/>
            <w:noWrap w:val="false"/>
          </w:tcPr>
          <w:p>
            <w:pPr>
              <w:pStyle w:val="900"/>
              <w:widowControl/>
              <w:rPr>
                <w:szCs w:val="21"/>
                <w:lang w:bidi="ar"/>
              </w:rPr>
            </w:pPr>
            <w:r>
              <w:rPr>
                <w:szCs w:val="21"/>
                <w:lang w:bidi="ar"/>
              </w:rPr>
              <w:t xml:space="preserve">水产品</w:t>
            </w:r>
            <w:r>
              <w:rPr>
                <w:szCs w:val="21"/>
                <w:lang w:bidi="ar"/>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jc w:val="left"/>
              <w:spacing w:line="320" w:lineRule="exact"/>
              <w:widowControl/>
              <w:rPr>
                <w:szCs w:val="21"/>
                <w:lang w:bidi="ar"/>
              </w:rPr>
            </w:pPr>
            <w:r>
              <w:rPr>
                <w:szCs w:val="21"/>
                <w:lang w:bidi="ar"/>
              </w:rPr>
              <w:t xml:space="preserve">氯霉素</w:t>
            </w:r>
            <w:r>
              <w:rPr>
                <w:szCs w:val="21"/>
                <w:lang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pStyle w:val="900"/>
              <w:jc w:val="left"/>
              <w:spacing w:line="320" w:lineRule="exact"/>
              <w:widowControl/>
              <w:rPr>
                <w:szCs w:val="21"/>
                <w:lang w:bidi="ar"/>
              </w:rPr>
            </w:pPr>
            <w:r>
              <w:rPr>
                <w:szCs w:val="21"/>
                <w:lang w:bidi="ar"/>
              </w:rPr>
              <w:t xml:space="preserve">GB/T 20756-2006</w:t>
            </w:r>
            <w:r/>
          </w:p>
          <w:p>
            <w:pPr>
              <w:pStyle w:val="900"/>
              <w:jc w:val="left"/>
              <w:spacing w:line="320" w:lineRule="exact"/>
              <w:widowControl/>
              <w:rPr>
                <w:szCs w:val="21"/>
                <w:lang w:bidi="ar"/>
              </w:rPr>
            </w:pPr>
            <w:r>
              <w:rPr>
                <w:szCs w:val="21"/>
                <w:lang w:bidi="ar"/>
              </w:rPr>
              <w:t xml:space="preserve">农业部781号公告-2-2006</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jc w:val="left"/>
              <w:spacing w:line="320" w:lineRule="exact"/>
              <w:widowControl/>
              <w:rPr>
                <w:szCs w:val="21"/>
              </w:rPr>
            </w:pPr>
            <w:r>
              <w:rPr>
                <w:szCs w:val="21"/>
                <w:lang w:bidi="ar"/>
              </w:rPr>
              <w:t xml:space="preserve">农业农村部第250号公告</w:t>
            </w:r>
            <w:r>
              <w:rPr>
                <w:szCs w:val="21"/>
              </w:rPr>
            </w:r>
            <w:r/>
          </w:p>
        </w:tc>
      </w:tr>
      <w:tr>
        <w:trPr>
          <w:cantSplit/>
          <w:trHeight w:val="596"/>
        </w:trPr>
        <w:tc>
          <w:tcPr>
            <w:tcBorders>
              <w:left w:val="single" w:color="000000" w:sz="4" w:space="0"/>
              <w:right w:val="single" w:color="000000" w:sz="4" w:space="0"/>
            </w:tcBorders>
            <w:tcW w:w="1090" w:type="dxa"/>
            <w:vAlign w:val="center"/>
            <w:vMerge w:val="continue"/>
            <w:textDirection w:val="lrTb"/>
            <w:noWrap w:val="false"/>
          </w:tcPr>
          <w:p>
            <w:pPr>
              <w:pStyle w:val="900"/>
              <w:widowControl/>
              <w:rPr>
                <w:szCs w:val="21"/>
                <w:lang w:bidi="ar"/>
              </w:rPr>
            </w:pPr>
            <w:r>
              <w:rPr>
                <w:szCs w:val="21"/>
                <w:lang w:bidi="ar"/>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jc w:val="left"/>
              <w:spacing w:line="320" w:lineRule="exact"/>
              <w:widowControl/>
              <w:rPr>
                <w:szCs w:val="21"/>
                <w:lang w:bidi="ar"/>
              </w:rPr>
            </w:pPr>
            <w:r>
              <w:rPr>
                <w:szCs w:val="21"/>
                <w:lang w:bidi="ar"/>
              </w:rPr>
              <w:t xml:space="preserve">孔雀石绿</w:t>
            </w:r>
            <w:r>
              <w:rPr>
                <w:szCs w:val="21"/>
                <w:lang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pStyle w:val="900"/>
              <w:jc w:val="left"/>
              <w:spacing w:line="320" w:lineRule="exact"/>
              <w:widowControl/>
              <w:rPr>
                <w:szCs w:val="21"/>
                <w:lang w:bidi="ar"/>
              </w:rPr>
            </w:pPr>
            <w:r>
              <w:rPr>
                <w:szCs w:val="21"/>
                <w:lang w:bidi="ar"/>
              </w:rPr>
              <w:t xml:space="preserve">GB/T19857-2005</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jc w:val="left"/>
              <w:spacing w:line="320" w:lineRule="exact"/>
              <w:widowControl/>
              <w:rPr>
                <w:szCs w:val="21"/>
              </w:rPr>
            </w:pPr>
            <w:r>
              <w:rPr>
                <w:szCs w:val="21"/>
                <w:lang w:bidi="ar"/>
              </w:rPr>
              <w:t xml:space="preserve">农业农村部第250号公告</w:t>
            </w:r>
            <w:r>
              <w:rPr>
                <w:szCs w:val="21"/>
              </w:rPr>
            </w:r>
            <w:r/>
          </w:p>
        </w:tc>
      </w:tr>
      <w:tr>
        <w:trPr>
          <w:cantSplit/>
          <w:trHeight w:val="596"/>
        </w:trPr>
        <w:tc>
          <w:tcPr>
            <w:tcBorders>
              <w:left w:val="single" w:color="000000" w:sz="4" w:space="0"/>
              <w:right w:val="single" w:color="000000" w:sz="4" w:space="0"/>
            </w:tcBorders>
            <w:tcW w:w="1090" w:type="dxa"/>
            <w:vAlign w:val="center"/>
            <w:vMerge w:val="continue"/>
            <w:textDirection w:val="lrTb"/>
            <w:noWrap w:val="false"/>
          </w:tcPr>
          <w:p>
            <w:pPr>
              <w:pStyle w:val="900"/>
              <w:widowControl/>
              <w:rPr>
                <w:szCs w:val="21"/>
                <w:lang w:bidi="ar"/>
              </w:rPr>
            </w:pPr>
            <w:r>
              <w:rPr>
                <w:szCs w:val="21"/>
                <w:lang w:bidi="ar"/>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jc w:val="left"/>
              <w:spacing w:line="320" w:lineRule="exact"/>
              <w:widowControl/>
              <w:rPr>
                <w:szCs w:val="21"/>
                <w:lang w:bidi="ar"/>
              </w:rPr>
            </w:pPr>
            <w:r>
              <w:rPr>
                <w:szCs w:val="21"/>
                <w:lang w:bidi="ar"/>
              </w:rPr>
              <w:t xml:space="preserve">硝基呋喃类代谢物(AOZ、SEM、AMOZ、AHD)</w:t>
            </w:r>
            <w:r>
              <w:rPr>
                <w:szCs w:val="21"/>
                <w:lang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pStyle w:val="900"/>
              <w:jc w:val="left"/>
              <w:spacing w:line="320" w:lineRule="exact"/>
              <w:widowControl/>
              <w:rPr>
                <w:szCs w:val="21"/>
                <w:lang w:bidi="ar"/>
              </w:rPr>
            </w:pPr>
            <w:r>
              <w:rPr>
                <w:szCs w:val="21"/>
                <w:lang w:bidi="ar"/>
              </w:rPr>
              <w:t xml:space="preserve">农业部783号公告-1-2006</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jc w:val="left"/>
              <w:spacing w:line="320" w:lineRule="exact"/>
              <w:widowControl/>
              <w:rPr>
                <w:szCs w:val="21"/>
              </w:rPr>
            </w:pPr>
            <w:r>
              <w:rPr>
                <w:szCs w:val="21"/>
                <w:lang w:bidi="ar"/>
              </w:rPr>
              <w:t xml:space="preserve">农业农村部第250号公告</w:t>
            </w:r>
            <w:r>
              <w:rPr>
                <w:szCs w:val="21"/>
              </w:rPr>
            </w:r>
            <w:r/>
          </w:p>
        </w:tc>
      </w:tr>
      <w:tr>
        <w:trPr>
          <w:cantSplit/>
          <w:trHeight w:val="596"/>
        </w:trPr>
        <w:tc>
          <w:tcPr>
            <w:tcBorders>
              <w:left w:val="single" w:color="000000" w:sz="4" w:space="0"/>
              <w:right w:val="single" w:color="000000" w:sz="4" w:space="0"/>
            </w:tcBorders>
            <w:tcW w:w="1090" w:type="dxa"/>
            <w:vAlign w:val="center"/>
            <w:vMerge w:val="continue"/>
            <w:textDirection w:val="lrTb"/>
            <w:noWrap w:val="false"/>
          </w:tcPr>
          <w:p>
            <w:pPr>
              <w:pStyle w:val="900"/>
              <w:widowControl/>
              <w:rPr>
                <w:szCs w:val="21"/>
                <w:lang w:bidi="ar"/>
              </w:rPr>
            </w:pPr>
            <w:r>
              <w:rPr>
                <w:szCs w:val="21"/>
                <w:lang w:bidi="ar"/>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spacing w:line="280" w:lineRule="exact"/>
              <w:widowControl/>
              <w:rPr>
                <w:szCs w:val="21"/>
                <w:lang w:bidi="ar"/>
              </w:rPr>
            </w:pPr>
            <w:r>
              <w:rPr>
                <w:szCs w:val="21"/>
                <w:lang w:bidi="ar"/>
              </w:rPr>
              <w:t xml:space="preserve">地西泮</w:t>
            </w:r>
            <w:r>
              <w:rPr>
                <w:szCs w:val="21"/>
                <w:lang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pStyle w:val="900"/>
              <w:jc w:val="left"/>
              <w:spacing w:line="280" w:lineRule="exact"/>
              <w:widowControl/>
              <w:rPr>
                <w:szCs w:val="21"/>
                <w:lang w:bidi="ar"/>
              </w:rPr>
            </w:pPr>
            <w:r>
              <w:rPr>
                <w:szCs w:val="21"/>
                <w:lang w:bidi="ar"/>
              </w:rPr>
              <w:t xml:space="preserve">SN/T3235-2012</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jc w:val="center"/>
              <w:spacing w:line="320" w:lineRule="exact"/>
              <w:widowControl/>
              <w:rPr>
                <w:szCs w:val="21"/>
              </w:rPr>
            </w:pPr>
            <w:r>
              <w:rPr>
                <w:szCs w:val="21"/>
                <w:lang w:bidi="ar"/>
              </w:rPr>
              <w:t xml:space="preserve">GB 31650-2019</w:t>
            </w:r>
            <w:r>
              <w:rPr>
                <w:szCs w:val="21"/>
              </w:rPr>
            </w:r>
            <w:r/>
          </w:p>
        </w:tc>
      </w:tr>
      <w:tr>
        <w:trPr>
          <w:cantSplit/>
          <w:trHeight w:val="596"/>
        </w:trPr>
        <w:tc>
          <w:tcPr>
            <w:tcBorders>
              <w:left w:val="single" w:color="000000" w:sz="4" w:space="0"/>
              <w:right w:val="single" w:color="000000" w:sz="4" w:space="0"/>
            </w:tcBorders>
            <w:tcW w:w="1090" w:type="dxa"/>
            <w:vAlign w:val="center"/>
            <w:vMerge w:val="continue"/>
            <w:textDirection w:val="lrTb"/>
            <w:noWrap w:val="false"/>
          </w:tcPr>
          <w:p>
            <w:pPr>
              <w:pStyle w:val="900"/>
              <w:widowControl/>
              <w:rPr>
                <w:szCs w:val="21"/>
                <w:lang w:bidi="ar"/>
              </w:rPr>
            </w:pPr>
            <w:r>
              <w:rPr>
                <w:szCs w:val="21"/>
                <w:lang w:bidi="ar"/>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jc w:val="left"/>
              <w:spacing w:line="320" w:lineRule="exact"/>
              <w:widowControl/>
              <w:rPr>
                <w:szCs w:val="21"/>
                <w:lang w:bidi="ar"/>
              </w:rPr>
            </w:pPr>
            <w:r>
              <w:rPr>
                <w:szCs w:val="21"/>
                <w:lang w:bidi="ar"/>
              </w:rPr>
              <w:t xml:space="preserve">诺氟沙星、氧氟沙星、培氟沙星、洛美沙星</w:t>
            </w:r>
            <w:r>
              <w:rPr>
                <w:szCs w:val="21"/>
                <w:lang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pStyle w:val="900"/>
              <w:jc w:val="left"/>
              <w:spacing w:line="320" w:lineRule="exact"/>
              <w:widowControl/>
              <w:rPr>
                <w:szCs w:val="21"/>
                <w:lang w:bidi="ar"/>
              </w:rPr>
            </w:pPr>
            <w:r>
              <w:rPr>
                <w:szCs w:val="21"/>
                <w:lang w:bidi="ar"/>
              </w:rPr>
              <w:t xml:space="preserve">农业部1077号公告-1-2008</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jc w:val="left"/>
              <w:spacing w:line="320" w:lineRule="exact"/>
              <w:widowControl/>
              <w:rPr>
                <w:szCs w:val="21"/>
              </w:rPr>
            </w:pPr>
            <w:r>
              <w:rPr>
                <w:szCs w:val="21"/>
                <w:lang w:bidi="ar"/>
              </w:rPr>
              <w:t xml:space="preserve">GB 31650.1-2022</w:t>
            </w:r>
            <w:r>
              <w:rPr>
                <w:szCs w:val="21"/>
              </w:rPr>
            </w:r>
            <w:r/>
          </w:p>
        </w:tc>
      </w:tr>
      <w:tr>
        <w:trPr>
          <w:cantSplit/>
          <w:trHeight w:val="596"/>
        </w:trPr>
        <w:tc>
          <w:tcPr>
            <w:tcBorders>
              <w:left w:val="single" w:color="000000" w:sz="4" w:space="0"/>
              <w:bottom w:val="single" w:color="000000" w:sz="4" w:space="0"/>
              <w:right w:val="single" w:color="000000" w:sz="4" w:space="0"/>
            </w:tcBorders>
            <w:tcW w:w="1090" w:type="dxa"/>
            <w:vAlign w:val="center"/>
            <w:vMerge w:val="continue"/>
            <w:textDirection w:val="lrTb"/>
            <w:noWrap w:val="false"/>
          </w:tcPr>
          <w:p>
            <w:pPr>
              <w:pStyle w:val="900"/>
              <w:widowControl/>
              <w:rPr>
                <w:szCs w:val="21"/>
                <w:lang w:bidi="ar"/>
              </w:rPr>
            </w:pPr>
            <w:r>
              <w:rPr>
                <w:szCs w:val="21"/>
                <w:lang w:bidi="ar"/>
              </w:rPr>
            </w:r>
            <w:r/>
          </w:p>
        </w:tc>
        <w:tc>
          <w:tcPr>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pStyle w:val="900"/>
              <w:jc w:val="left"/>
              <w:spacing w:line="320" w:lineRule="exact"/>
              <w:widowControl/>
              <w:rPr>
                <w:szCs w:val="21"/>
                <w:lang w:bidi="ar"/>
              </w:rPr>
            </w:pPr>
            <w:r>
              <w:rPr>
                <w:szCs w:val="21"/>
                <w:lang w:bidi="ar"/>
              </w:rPr>
              <w:t xml:space="preserve">恩诺沙星和环丙沙星</w:t>
            </w:r>
            <w:r>
              <w:rPr>
                <w:szCs w:val="21"/>
                <w:lang w:bidi="ar"/>
              </w:rPr>
            </w:r>
            <w:r/>
          </w:p>
        </w:tc>
        <w:tc>
          <w:tcPr>
            <w:tcBorders>
              <w:top w:val="single" w:color="000000" w:sz="4" w:space="0"/>
              <w:left w:val="single" w:color="000000" w:sz="4" w:space="0"/>
              <w:bottom w:val="single" w:color="000000" w:sz="4" w:space="0"/>
              <w:right w:val="single" w:color="000000" w:sz="4" w:space="0"/>
            </w:tcBorders>
            <w:tcW w:w="2837" w:type="dxa"/>
            <w:vAlign w:val="center"/>
            <w:textDirection w:val="lrTb"/>
            <w:noWrap w:val="false"/>
          </w:tcPr>
          <w:p>
            <w:pPr>
              <w:pStyle w:val="900"/>
              <w:jc w:val="left"/>
              <w:spacing w:line="320" w:lineRule="exact"/>
              <w:widowControl/>
              <w:rPr>
                <w:szCs w:val="21"/>
                <w:lang w:bidi="ar"/>
              </w:rPr>
            </w:pPr>
            <w:r>
              <w:rPr>
                <w:szCs w:val="21"/>
                <w:lang w:bidi="ar"/>
              </w:rPr>
              <w:t xml:space="preserve">农业部1077号公告-1-2008</w:t>
            </w:r>
            <w:r/>
          </w:p>
        </w:tc>
        <w:tc>
          <w:tcPr>
            <w:tcBorders>
              <w:top w:val="single" w:color="000000" w:sz="4" w:space="0"/>
              <w:left w:val="single" w:color="000000" w:sz="4" w:space="0"/>
              <w:bottom w:val="single" w:color="000000" w:sz="4" w:space="0"/>
              <w:right w:val="single" w:color="000000" w:sz="4" w:space="0"/>
            </w:tcBorders>
            <w:tcW w:w="1871" w:type="dxa"/>
            <w:vAlign w:val="center"/>
            <w:textDirection w:val="lrTb"/>
            <w:noWrap w:val="false"/>
          </w:tcPr>
          <w:p>
            <w:pPr>
              <w:pStyle w:val="900"/>
              <w:jc w:val="left"/>
              <w:spacing w:line="320" w:lineRule="exact"/>
              <w:widowControl/>
              <w:rPr>
                <w:szCs w:val="21"/>
              </w:rPr>
            </w:pPr>
            <w:r>
              <w:rPr>
                <w:szCs w:val="21"/>
                <w:lang w:bidi="ar"/>
              </w:rPr>
              <w:t xml:space="preserve">GB 31650-2019</w:t>
            </w:r>
            <w:r>
              <w:rPr>
                <w:szCs w:val="21"/>
              </w:rPr>
            </w:r>
            <w:r/>
          </w:p>
        </w:tc>
      </w:tr>
    </w:tbl>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注：1.虾蟹类呋喃西林代谢物SEM不作判定。</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    2.其中只有淡水鱼类检测地西泮。</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    3.国家现行有效方法也可以使用，但方法最低检出限必须满足判定依据限量值。</w:t>
      </w:r>
      <w:r/>
    </w:p>
    <w:p>
      <w:pPr>
        <w:pStyle w:val="900"/>
        <w:ind w:firstLine="420"/>
        <w:spacing w:line="360" w:lineRule="auto"/>
        <w:rPr>
          <w:rFonts w:ascii="宋体" w:hAnsi="宋体"/>
          <w:color w:val="000000"/>
          <w:szCs w:val="21"/>
        </w:rPr>
      </w:pPr>
      <w:r>
        <w:rPr>
          <w:rFonts w:hint="eastAsia" w:ascii="宋体" w:hAnsi="宋体"/>
          <w:color w:val="000000"/>
          <w:szCs w:val="21"/>
        </w:rPr>
        <w:t xml:space="preserve">六、其他要求：</w:t>
      </w:r>
      <w:r>
        <w:rPr>
          <w:rFonts w:ascii="宋体" w:hAnsi="宋体"/>
          <w:color w:val="000000"/>
          <w:szCs w:val="21"/>
        </w:rPr>
      </w:r>
      <w:r/>
    </w:p>
    <w:p>
      <w:pPr>
        <w:pStyle w:val="900"/>
        <w:ind w:firstLine="420"/>
        <w:spacing w:line="360" w:lineRule="auto"/>
        <w:rPr>
          <w:rFonts w:hint="eastAsia" w:ascii="宋体" w:hAnsi="宋体"/>
          <w:szCs w:val="21"/>
        </w:rPr>
      </w:pPr>
      <w:r>
        <w:rPr>
          <w:rFonts w:hint="eastAsia" w:ascii="宋体" w:hAnsi="宋体"/>
          <w:szCs w:val="21"/>
        </w:rPr>
        <w:t xml:space="preserve">1.按照单批次检测价格报价，投标报价不得高于单批次检测预算单价（750元/批次），同时投标人报价包含买样费用（买样费参考同期常规市场价格），人员随同抽样人工费及车辆物资配备及检测费用等，投标人报价时需综合评估，投标人投标报价低于买样及其他相关费用合计，属于恶意竞标、无效投标。</w:t>
      </w:r>
      <w:r/>
    </w:p>
    <w:p>
      <w:pPr>
        <w:pStyle w:val="900"/>
        <w:ind w:firstLine="420"/>
        <w:spacing w:line="360" w:lineRule="auto"/>
        <w:rPr>
          <w:rFonts w:hint="eastAsia" w:ascii="宋体" w:hAnsi="宋体"/>
          <w:szCs w:val="21"/>
        </w:rPr>
      </w:pPr>
      <w:r>
        <w:rPr>
          <w:rFonts w:hint="eastAsia" w:ascii="宋体" w:hAnsi="宋体"/>
          <w:szCs w:val="21"/>
        </w:rPr>
        <w:t xml:space="preserve">2.原采购包的中标人不能完成采购人的检测任务时，采购人有权终止该采购包的原中标人采购任务合同，将该采购包的采购任务优先分配给其他包的中标人执行。结算时根据实际检测批次按实结算。</w:t>
      </w:r>
      <w:r/>
    </w:p>
    <w:p>
      <w:pPr>
        <w:pStyle w:val="900"/>
        <w:ind w:firstLine="420"/>
        <w:spacing w:line="360" w:lineRule="auto"/>
        <w:rPr>
          <w:rFonts w:hint="eastAsia" w:ascii="宋体" w:hAnsi="宋体"/>
          <w:color w:val="000000"/>
          <w:szCs w:val="21"/>
        </w:rPr>
      </w:pPr>
      <w:r>
        <w:rPr>
          <w:rFonts w:hint="eastAsia" w:ascii="宋体" w:hAnsi="宋体"/>
          <w:szCs w:val="21"/>
        </w:rPr>
        <w:t xml:space="preserve">3.在履约过程中，采购人围绕检测任务的真实性、有效性及中标人购买样品时有无实际支付样品费用及检测数据及时报送等对中标人进行监督管理，对监督管理中出现不合格的或有违规行为的中标人，采购人有权进行警告、处罚或单方面终止该中标人的履行合同，将该采购包的剩余采购任务优先分配给其他包的中标人执行，造成的损失由违规中标人承担。</w:t>
      </w:r>
      <w:r>
        <w:rPr>
          <w:rFonts w:hint="eastAsia" w:ascii="宋体" w:hAnsi="宋体"/>
          <w:color w:val="000000"/>
          <w:szCs w:val="21"/>
        </w:rPr>
      </w:r>
      <w:r/>
    </w:p>
    <w:p>
      <w:pPr>
        <w:pStyle w:val="900"/>
        <w:ind w:firstLine="420"/>
        <w:spacing w:line="360" w:lineRule="auto"/>
        <w:rPr>
          <w:color w:val="000000"/>
          <w:sz w:val="24"/>
        </w:rPr>
      </w:pPr>
      <w:r>
        <w:rPr>
          <w:rFonts w:ascii="宋体" w:hAnsi="宋体"/>
          <w:color w:val="000000"/>
          <w:szCs w:val="21"/>
        </w:rPr>
        <w:br w:type="page" w:clear="all"/>
      </w:r>
      <w:r>
        <w:rPr>
          <w:color w:val="000000"/>
          <w:sz w:val="24"/>
        </w:rPr>
      </w:r>
      <w:r/>
    </w:p>
    <w:p>
      <w:pPr>
        <w:pStyle w:val="974"/>
        <w:rPr>
          <w:color w:val="000000"/>
          <w:sz w:val="24"/>
          <w:szCs w:val="24"/>
        </w:rPr>
      </w:pPr>
      <w:r/>
      <w:bookmarkStart w:id="50" w:name="_Toc78976403"/>
      <w:r>
        <w:rPr>
          <w:rFonts w:hint="eastAsia"/>
          <w:color w:val="000000"/>
          <w:sz w:val="24"/>
          <w:szCs w:val="24"/>
        </w:rPr>
        <w:t xml:space="preserve">第五章 </w:t>
      </w:r>
      <w:bookmarkEnd w:id="48"/>
      <w:r/>
      <w:bookmarkEnd w:id="49"/>
      <w:r>
        <w:rPr>
          <w:rFonts w:hint="eastAsia"/>
          <w:color w:val="000000"/>
          <w:sz w:val="24"/>
          <w:szCs w:val="24"/>
        </w:rPr>
        <w:t xml:space="preserve">合同主要内容</w:t>
      </w:r>
      <w:bookmarkEnd w:id="50"/>
      <w:r>
        <w:rPr>
          <w:color w:val="000000"/>
          <w:sz w:val="24"/>
          <w:szCs w:val="24"/>
        </w:rPr>
      </w:r>
      <w:r/>
    </w:p>
    <w:p>
      <w:pPr>
        <w:pStyle w:val="900"/>
        <w:ind w:firstLine="480"/>
        <w:spacing w:line="360" w:lineRule="auto"/>
        <w:rPr>
          <w:rFonts w:ascii="宋体" w:hAnsi="宋体"/>
          <w:color w:val="000000"/>
          <w:sz w:val="24"/>
        </w:rPr>
      </w:pPr>
      <w:r>
        <w:rPr>
          <w:rFonts w:hint="eastAsia" w:ascii="宋体" w:hAnsi="宋体"/>
          <w:color w:val="000000"/>
          <w:sz w:val="24"/>
        </w:rPr>
        <w:t xml:space="preserve">甲方：</w:t>
      </w:r>
      <w:r>
        <w:rPr>
          <w:rFonts w:ascii="宋体" w:hAnsi="宋体"/>
          <w:color w:val="000000"/>
          <w:sz w:val="24"/>
        </w:rPr>
        <w:t xml:space="preserve"> </w:t>
      </w:r>
      <w:r/>
    </w:p>
    <w:p>
      <w:pPr>
        <w:pStyle w:val="900"/>
        <w:ind w:firstLine="480"/>
        <w:spacing w:line="360" w:lineRule="auto"/>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900"/>
        <w:ind w:firstLine="480"/>
        <w:spacing w:line="360" w:lineRule="auto"/>
        <w:rPr>
          <w:rFonts w:ascii="宋体" w:hAnsi="宋体"/>
          <w:color w:val="000000"/>
          <w:sz w:val="24"/>
        </w:rPr>
      </w:pPr>
      <w:r>
        <w:rPr>
          <w:rFonts w:hint="eastAsia" w:ascii="宋体" w:hAnsi="宋体"/>
          <w:color w:val="000000"/>
          <w:sz w:val="24"/>
        </w:rPr>
        <w:t xml:space="preserve">电话：</w:t>
      </w:r>
      <w:r>
        <w:rPr>
          <w:rFonts w:ascii="宋体" w:hAnsi="宋体"/>
          <w:color w:val="000000"/>
          <w:sz w:val="24"/>
        </w:rPr>
      </w:r>
      <w:r/>
    </w:p>
    <w:p>
      <w:pPr>
        <w:pStyle w:val="900"/>
        <w:ind w:firstLine="480"/>
        <w:spacing w:line="360" w:lineRule="auto"/>
        <w:rPr>
          <w:rFonts w:ascii="宋体" w:hAnsi="宋体"/>
          <w:color w:val="000000"/>
          <w:sz w:val="24"/>
        </w:rPr>
      </w:pPr>
      <w:r>
        <w:rPr>
          <w:rFonts w:ascii="宋体" w:hAnsi="宋体"/>
          <w:color w:val="000000"/>
          <w:sz w:val="24"/>
        </w:rPr>
      </w:r>
      <w:r/>
    </w:p>
    <w:p>
      <w:pPr>
        <w:pStyle w:val="900"/>
        <w:ind w:firstLine="480"/>
        <w:spacing w:line="360" w:lineRule="auto"/>
        <w:rPr>
          <w:rFonts w:ascii="宋体" w:hAnsi="宋体"/>
          <w:color w:val="000000"/>
          <w:sz w:val="24"/>
        </w:rPr>
      </w:pPr>
      <w:r>
        <w:rPr>
          <w:rFonts w:hint="eastAsia" w:ascii="宋体" w:hAnsi="宋体"/>
          <w:color w:val="000000"/>
          <w:sz w:val="24"/>
        </w:rPr>
        <w:t xml:space="preserve">乙方：</w:t>
      </w:r>
      <w:r>
        <w:rPr>
          <w:rFonts w:ascii="宋体" w:hAnsi="宋体"/>
          <w:color w:val="000000"/>
          <w:sz w:val="24"/>
        </w:rPr>
      </w:r>
      <w:r/>
    </w:p>
    <w:p>
      <w:pPr>
        <w:pStyle w:val="900"/>
        <w:ind w:firstLine="480"/>
        <w:spacing w:line="360" w:lineRule="auto"/>
        <w:rPr>
          <w:rFonts w:ascii="宋体" w:hAnsi="宋体"/>
          <w:color w:val="000000"/>
          <w:sz w:val="24"/>
        </w:rPr>
      </w:pPr>
      <w:r>
        <w:rPr>
          <w:rFonts w:hint="eastAsia" w:ascii="宋体" w:hAnsi="宋体"/>
          <w:color w:val="000000"/>
          <w:sz w:val="24"/>
        </w:rPr>
        <w:t xml:space="preserve">地址：</w:t>
      </w:r>
      <w:r>
        <w:rPr>
          <w:rFonts w:ascii="宋体" w:hAnsi="宋体"/>
          <w:color w:val="000000"/>
          <w:sz w:val="24"/>
        </w:rPr>
        <w:t xml:space="preserve"> </w:t>
      </w:r>
      <w:r/>
    </w:p>
    <w:p>
      <w:pPr>
        <w:pStyle w:val="900"/>
        <w:ind w:firstLine="480"/>
        <w:spacing w:line="360" w:lineRule="auto"/>
        <w:rPr>
          <w:rFonts w:ascii="宋体" w:hAnsi="宋体"/>
          <w:color w:val="000000"/>
          <w:sz w:val="24"/>
        </w:rPr>
      </w:pPr>
      <w:r>
        <w:rPr>
          <w:rFonts w:hint="eastAsia" w:ascii="宋体" w:hAnsi="宋体"/>
          <w:color w:val="000000"/>
          <w:sz w:val="24"/>
        </w:rPr>
        <w:t xml:space="preserve">电话：</w:t>
      </w:r>
      <w:r>
        <w:rPr>
          <w:rFonts w:ascii="宋体" w:hAnsi="宋体"/>
          <w:color w:val="000000"/>
          <w:sz w:val="24"/>
        </w:rPr>
      </w:r>
      <w:r/>
    </w:p>
    <w:p>
      <w:pPr>
        <w:pStyle w:val="900"/>
        <w:ind w:firstLine="420"/>
        <w:spacing w:before="19" w:line="360" w:lineRule="auto"/>
        <w:widowControl/>
        <w:rPr>
          <w:rFonts w:hint="eastAsia" w:ascii="宋体" w:hAnsi="宋体"/>
          <w:szCs w:val="21"/>
        </w:rPr>
      </w:pPr>
      <w:r>
        <w:rPr>
          <w:rFonts w:hint="eastAsia" w:ascii="宋体" w:hAnsi="宋体"/>
          <w:szCs w:val="21"/>
        </w:rPr>
        <w:t xml:space="preserve">甲乙双方根据采购编号</w:t>
      </w:r>
      <w:r>
        <w:rPr>
          <w:rFonts w:hint="eastAsia" w:ascii="宋体" w:hAnsi="宋体"/>
          <w:szCs w:val="21"/>
          <w:u w:val="single"/>
        </w:rPr>
        <w:t xml:space="preserve">JSZC-320583-SZGZ-G2025-0009</w:t>
      </w:r>
      <w:r>
        <w:rPr>
          <w:rFonts w:hint="eastAsia" w:ascii="宋体" w:hAnsi="宋体"/>
          <w:szCs w:val="21"/>
        </w:rPr>
        <w:t xml:space="preserve">的2025年农产品（畜产品、水产品）质量安全检测项目公开招标采购结果及采购文件的要求,经协商一致,达成如下采购服务合同:</w:t>
      </w:r>
      <w:r/>
    </w:p>
    <w:p>
      <w:pPr>
        <w:pStyle w:val="900"/>
        <w:ind w:firstLine="420"/>
        <w:spacing w:before="19" w:line="360" w:lineRule="auto"/>
        <w:widowControl/>
        <w:rPr>
          <w:rFonts w:hint="eastAsia" w:ascii="宋体" w:hAnsi="宋体"/>
          <w:bCs/>
          <w:szCs w:val="21"/>
        </w:rPr>
      </w:pPr>
      <w:r>
        <w:rPr>
          <w:rFonts w:hint="eastAsia" w:ascii="宋体" w:hAnsi="宋体"/>
          <w:szCs w:val="21"/>
        </w:rPr>
        <w:t xml:space="preserve">一、</w:t>
      </w:r>
      <w:r>
        <w:rPr>
          <w:rFonts w:hint="eastAsia" w:ascii="宋体" w:hAnsi="宋体"/>
          <w:bCs/>
          <w:szCs w:val="21"/>
        </w:rPr>
        <w:t xml:space="preserve">采购标的</w:t>
      </w:r>
      <w:r/>
    </w:p>
    <w:p>
      <w:pPr>
        <w:pStyle w:val="900"/>
        <w:ind w:firstLine="420"/>
        <w:spacing w:before="19" w:line="360" w:lineRule="auto"/>
        <w:widowControl/>
        <w:rPr>
          <w:rFonts w:hint="eastAsia" w:ascii="宋体" w:hAnsi="宋体" w:cs="Adobe 仿宋 Std R"/>
          <w:szCs w:val="21"/>
          <w:u w:val="single"/>
        </w:rPr>
      </w:pPr>
      <w:r>
        <w:rPr>
          <w:rFonts w:hint="eastAsia" w:ascii="宋体" w:hAnsi="宋体"/>
          <w:szCs w:val="21"/>
        </w:rPr>
        <w:t xml:space="preserve">1.服务名称</w:t>
      </w:r>
      <w:r>
        <w:rPr>
          <w:rFonts w:hint="eastAsia" w:ascii="宋体" w:hAnsi="宋体" w:cs="仿宋"/>
          <w:szCs w:val="21"/>
          <w:u w:val="single"/>
        </w:rPr>
        <w:t xml:space="preserve">：2025年农产品（畜产品、水产品）质量安全检测项目</w:t>
      </w:r>
      <w:r>
        <w:rPr>
          <w:rFonts w:hint="eastAsia" w:ascii="宋体" w:hAnsi="宋体" w:cs="Adobe 仿宋 Std R"/>
          <w:szCs w:val="21"/>
          <w:u w:val="single"/>
        </w:rPr>
      </w:r>
      <w:r/>
    </w:p>
    <w:p>
      <w:pPr>
        <w:pStyle w:val="900"/>
        <w:ind w:firstLine="420"/>
        <w:spacing w:before="19" w:line="360" w:lineRule="auto"/>
        <w:widowControl/>
        <w:rPr>
          <w:rFonts w:hint="eastAsia" w:ascii="宋体" w:hAnsi="宋体"/>
          <w:szCs w:val="21"/>
        </w:rPr>
      </w:pPr>
      <w:r>
        <w:rPr>
          <w:rFonts w:hint="eastAsia" w:ascii="宋体" w:hAnsi="宋体"/>
          <w:szCs w:val="21"/>
        </w:rPr>
        <w:t xml:space="preserve">二、合同价款：</w:t>
      </w:r>
      <w:r/>
    </w:p>
    <w:p>
      <w:pPr>
        <w:pStyle w:val="900"/>
        <w:ind w:firstLine="420"/>
        <w:spacing w:before="19" w:line="360" w:lineRule="auto"/>
        <w:widowControl/>
        <w:rPr>
          <w:rFonts w:hint="eastAsia" w:ascii="宋体" w:hAnsi="宋体"/>
          <w:szCs w:val="21"/>
        </w:rPr>
      </w:pPr>
      <w:r>
        <w:rPr>
          <w:rFonts w:hint="eastAsia" w:ascii="宋体" w:hAnsi="宋体"/>
          <w:szCs w:val="21"/>
        </w:rPr>
        <w:t xml:space="preserve">1.合同单价：   元/批次。</w:t>
      </w:r>
      <w:r/>
    </w:p>
    <w:p>
      <w:pPr>
        <w:pStyle w:val="900"/>
        <w:ind w:firstLine="420"/>
        <w:spacing w:before="19" w:line="360" w:lineRule="auto"/>
        <w:widowControl/>
        <w:rPr>
          <w:rFonts w:hint="eastAsia" w:ascii="宋体" w:hAnsi="宋体"/>
          <w:szCs w:val="21"/>
        </w:rPr>
      </w:pPr>
      <w:r>
        <w:rPr>
          <w:rFonts w:hint="eastAsia" w:ascii="宋体" w:hAnsi="宋体"/>
          <w:szCs w:val="21"/>
        </w:rPr>
        <w:t xml:space="preserve">2.实际结算按照：投标单位的中标单价*实际检测批次数。</w:t>
      </w:r>
      <w:r/>
    </w:p>
    <w:p>
      <w:pPr>
        <w:pStyle w:val="900"/>
        <w:ind w:firstLine="420"/>
        <w:spacing w:before="19" w:line="360" w:lineRule="auto"/>
        <w:widowControl/>
        <w:rPr>
          <w:rFonts w:hint="eastAsia" w:ascii="宋体" w:hAnsi="宋体"/>
          <w:szCs w:val="21"/>
        </w:rPr>
      </w:pPr>
      <w:r>
        <w:rPr>
          <w:rFonts w:hint="eastAsia" w:ascii="宋体" w:hAnsi="宋体"/>
          <w:szCs w:val="21"/>
        </w:rPr>
        <w:t xml:space="preserve">3.年度总结算金额，不得超过各包的预算金额。</w:t>
      </w:r>
      <w:r/>
    </w:p>
    <w:p>
      <w:pPr>
        <w:pStyle w:val="900"/>
        <w:ind w:firstLine="420"/>
        <w:spacing w:before="19" w:line="360" w:lineRule="auto"/>
        <w:widowControl/>
        <w:rPr>
          <w:rFonts w:hint="eastAsia" w:ascii="宋体" w:hAnsi="宋体"/>
          <w:szCs w:val="21"/>
        </w:rPr>
      </w:pPr>
      <w:r>
        <w:rPr>
          <w:rFonts w:hint="eastAsia" w:ascii="宋体" w:hAnsi="宋体"/>
          <w:szCs w:val="21"/>
        </w:rPr>
        <w:t xml:space="preserve">三、合同履行：本合同项下服务的提供参照招标文件的具体要求履行，甲乙双方通过补充条款进行特殊约定的从其约定。</w:t>
      </w:r>
      <w:r/>
    </w:p>
    <w:p>
      <w:pPr>
        <w:pStyle w:val="900"/>
        <w:ind w:firstLine="420"/>
        <w:spacing w:before="19" w:line="360" w:lineRule="auto"/>
        <w:widowControl/>
        <w:rPr>
          <w:rFonts w:hint="eastAsia" w:ascii="宋体" w:hAnsi="宋体"/>
          <w:szCs w:val="21"/>
          <w:u w:val="single"/>
        </w:rPr>
      </w:pPr>
      <w:r>
        <w:rPr>
          <w:rFonts w:hint="eastAsia" w:ascii="宋体" w:hAnsi="宋体"/>
          <w:szCs w:val="21"/>
        </w:rPr>
        <w:t xml:space="preserve">补充条款：</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bCs/>
          <w:szCs w:val="21"/>
        </w:rPr>
        <w:t xml:space="preserve">四、验收</w:t>
      </w:r>
      <w:r>
        <w:rPr>
          <w:rFonts w:hint="eastAsia" w:ascii="宋体" w:hAnsi="宋体"/>
          <w:szCs w:val="21"/>
        </w:rPr>
        <w:t xml:space="preserve">：实际委托检测协议中，甲方在合同履行期间，有权依照招标文件相关要求对乙方提供的相关服务或交付的工作成果进行阶段性验收及总体验收。如需委托第三方验收，验收费用由甲方承担。因乙方提供的服务不符合标准导致甲方重复支出的验收费用，由乙方承担。</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五、合同责任：</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1.甲方应当为乙方履行合同提供必要的支持。</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3.乙方在履行合同中产生的一切非因甲方过错导致的损失，均由乙方自行承担责任。</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4.甲乙双方均应指定专人作为本合同履行期间双方之间的联络人，所有一方向相对方正式知会事项的通知到达相对方指定联络人即视为到达对方。</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5.乙方不能完成甲方的检测任务时，甲方有权终止任务合同，将该采购包的检测任务优先分配给其他采购包的中标人执行。结算时根据实际检测批次按实结算。</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6.在履约过程中，采购人围绕检测任务的真实性、有效性及中标人购买样品时有无实际支付样品费用及检测数据及时报送等对中标人进行监督管理，对监督管理中出现不合格的或有违规行为的中标人，采购人有权进行警告、处罚或单方面终止该中标人的履行合同，将该采购包的剩余采购任务优先分配给其他包的中标人执行，造成的损失由违规中标人承担。</w:t>
      </w:r>
      <w:r/>
    </w:p>
    <w:p>
      <w:pPr>
        <w:pStyle w:val="900"/>
        <w:ind w:firstLine="420"/>
        <w:spacing w:line="360" w:lineRule="auto"/>
        <w:rPr>
          <w:rFonts w:hint="eastAsia" w:ascii="宋体" w:hAnsi="宋体" w:cs="宋体"/>
          <w:szCs w:val="21"/>
        </w:rPr>
      </w:pPr>
      <w:r>
        <w:rPr>
          <w:rFonts w:hint="eastAsia" w:ascii="宋体" w:hAnsi="宋体" w:cs="宋体"/>
          <w:szCs w:val="21"/>
        </w:rPr>
        <w:t xml:space="preserve">六、履约保证金：无。</w:t>
      </w:r>
      <w:r/>
    </w:p>
    <w:p>
      <w:pPr>
        <w:pStyle w:val="900"/>
        <w:ind w:firstLine="420"/>
        <w:spacing w:line="360" w:lineRule="auto"/>
        <w:rPr>
          <w:rFonts w:ascii="宋体" w:hAnsi="宋体"/>
          <w:szCs w:val="21"/>
        </w:rPr>
      </w:pPr>
      <w:r>
        <w:rPr>
          <w:rFonts w:hint="eastAsia" w:ascii="宋体" w:hAnsi="宋体" w:cs="宋体"/>
          <w:szCs w:val="21"/>
        </w:rPr>
        <w:t xml:space="preserve">七、服务内容：</w:t>
      </w:r>
      <w:r>
        <w:rPr>
          <w:rFonts w:ascii="宋体" w:hAnsi="宋体"/>
          <w:szCs w:val="21"/>
        </w:rPr>
      </w:r>
      <w:r/>
    </w:p>
    <w:p>
      <w:pPr>
        <w:pStyle w:val="900"/>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由乙方负责抽样。乙方在进行抽样时，应依据相关法律法规、标准等规定的抽样方法及数量抽取、保存和运输，并严格按照甲方抽检监测计划规定的产品类别、批次和时间安排等开展抽检监测有关工作，自备抽样工具和车辆，必须保证抽检、检测分离，抽样人员与检验人员不得为同一人。样品费用由承担检测的机构承担，不得向被抽检企业收取检验费和其他任何费用，不得在承检期间向抽样单位宣传或推销自身业务。</w:t>
      </w:r>
      <w:r>
        <w:rPr>
          <w:rFonts w:ascii="宋体" w:hAnsi="宋体"/>
          <w:szCs w:val="21"/>
        </w:rPr>
      </w:r>
      <w:r/>
    </w:p>
    <w:p>
      <w:pPr>
        <w:pStyle w:val="900"/>
        <w:ind w:firstLine="420"/>
        <w:spacing w:line="360" w:lineRule="auto"/>
        <w:rPr>
          <w:rFonts w:hint="eastAsia" w:ascii="宋体" w:hAnsi="宋体"/>
          <w:szCs w:val="21"/>
        </w:rPr>
      </w:pPr>
      <w:r>
        <w:rPr>
          <w:rFonts w:hint="eastAsia" w:ascii="宋体" w:hAnsi="宋体" w:cs="宋体"/>
          <w:szCs w:val="21"/>
        </w:rPr>
        <w:t xml:space="preserve">抽检工作分为以下五个阶段：</w:t>
      </w:r>
      <w:r>
        <w:rPr>
          <w:rFonts w:ascii="宋体" w:hAnsi="宋体"/>
          <w:szCs w:val="21"/>
        </w:rPr>
        <w:t xml:space="preserve">1</w:t>
      </w:r>
      <w:r>
        <w:rPr>
          <w:rFonts w:hint="eastAsia" w:ascii="宋体" w:hAnsi="宋体"/>
          <w:szCs w:val="21"/>
        </w:rPr>
        <w:t xml:space="preserve">）由采购方分配承检任务；</w:t>
      </w:r>
      <w:r>
        <w:rPr>
          <w:rFonts w:ascii="宋体" w:hAnsi="宋体"/>
          <w:szCs w:val="21"/>
        </w:rPr>
        <w:t xml:space="preserve">2</w:t>
      </w:r>
      <w:r>
        <w:rPr>
          <w:rFonts w:hint="eastAsia" w:ascii="宋体" w:hAnsi="宋体"/>
          <w:szCs w:val="21"/>
        </w:rPr>
        <w:t xml:space="preserve">）抽样；</w:t>
      </w:r>
      <w:r>
        <w:rPr>
          <w:rFonts w:ascii="宋体" w:hAnsi="宋体"/>
          <w:szCs w:val="21"/>
        </w:rPr>
        <w:t xml:space="preserve">3</w:t>
      </w:r>
      <w:r>
        <w:rPr>
          <w:rFonts w:hint="eastAsia" w:ascii="宋体" w:hAnsi="宋体"/>
          <w:szCs w:val="21"/>
        </w:rPr>
        <w:t xml:space="preserve">）检验、检验报告出具、上传平台以及检验结果的确认；</w:t>
      </w:r>
      <w:r>
        <w:rPr>
          <w:rFonts w:ascii="宋体" w:hAnsi="宋体"/>
          <w:szCs w:val="21"/>
        </w:rPr>
        <w:t xml:space="preserve">4</w:t>
      </w:r>
      <w:r>
        <w:rPr>
          <w:rFonts w:hint="eastAsia" w:ascii="宋体" w:hAnsi="宋体"/>
          <w:szCs w:val="21"/>
        </w:rPr>
        <w:t xml:space="preserve">）配合异议处理工作；</w:t>
      </w:r>
      <w:r>
        <w:rPr>
          <w:rFonts w:ascii="宋体" w:hAnsi="宋体"/>
          <w:szCs w:val="21"/>
        </w:rPr>
        <w:t xml:space="preserve">5</w:t>
      </w:r>
      <w:r>
        <w:rPr>
          <w:rFonts w:hint="eastAsia" w:ascii="宋体" w:hAnsi="宋体"/>
          <w:szCs w:val="21"/>
        </w:rPr>
        <w:t xml:space="preserve">）汇总材料及上报。</w:t>
      </w:r>
      <w:r/>
    </w:p>
    <w:p>
      <w:pPr>
        <w:pStyle w:val="900"/>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.乙方应严格按照甲方规定的检验项目和《国家食品安全监督抽检实施细则》规定检验方法开展检验工作，不得擅自增加或者减少检验项目，不得擅自修改实施细则中确定的检验方法，确保检验数据准确。</w:t>
      </w:r>
      <w:r>
        <w:rPr>
          <w:rFonts w:ascii="宋体" w:hAnsi="宋体"/>
          <w:szCs w:val="21"/>
        </w:rPr>
      </w:r>
      <w:r/>
    </w:p>
    <w:p>
      <w:pPr>
        <w:pStyle w:val="900"/>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乙方应在规定的时间内完成甲方部署的抽检监测工作，依法出具检验报告，上报数据至指定的数据平台，汇总样品抽检监测结果信息，提交抽检监测工作分析总结报告，未经甲方同意不得擅自发布抽检监测结果。</w:t>
      </w:r>
      <w:r>
        <w:rPr>
          <w:rFonts w:ascii="宋体" w:hAnsi="宋体"/>
          <w:szCs w:val="21"/>
        </w:rPr>
      </w:r>
      <w:r/>
    </w:p>
    <w:p>
      <w:pPr>
        <w:pStyle w:val="900"/>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.每个项目的乙方、每次任务的检验项目和数量由甲方确定。</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5.各中标人必须自觉接受采购方每年的考核、检查、比对。</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6.因违反抽样、检验、信息披露等相关规定的，甲方有权取消其承检资格并追究其经济赔偿责任和法律责任。</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7.因乙方原因造成的检测程序违法、检测结果错误，由此造成甲方在行政复议中被确认违法或行政诉讼败诉，立即终止合作。</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8.抽样检验的工作人员必须为乙方在职员工，该项目不得转包分包，如发现有分包转包情况，甲方有权终止合同。</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9.在中标单位履行合同期间，如有实际工作需要，甲方有按照中标价格改变检测产品及项目的权利。</w:t>
      </w:r>
      <w:r>
        <w:rPr>
          <w:rFonts w:ascii="宋体" w:hAnsi="宋体"/>
          <w:szCs w:val="21"/>
        </w:rPr>
      </w:r>
      <w:r/>
    </w:p>
    <w:p>
      <w:pPr>
        <w:pStyle w:val="900"/>
        <w:ind w:firstLine="420"/>
        <w:spacing w:line="360" w:lineRule="auto"/>
        <w:rPr>
          <w:rFonts w:ascii="宋体" w:hAnsi="宋体"/>
          <w:szCs w:val="21"/>
        </w:rPr>
      </w:pPr>
      <w:r>
        <w:rPr>
          <w:rFonts w:hint="eastAsia" w:ascii="宋体" w:hAnsi="宋体"/>
          <w:szCs w:val="21"/>
        </w:rPr>
        <w:t xml:space="preserve">八、费用支付：</w:t>
      </w:r>
      <w:r>
        <w:rPr>
          <w:rFonts w:ascii="宋体" w:hAnsi="宋体"/>
          <w:szCs w:val="21"/>
        </w:rPr>
      </w:r>
      <w:r/>
    </w:p>
    <w:p>
      <w:pPr>
        <w:pStyle w:val="900"/>
        <w:ind w:firstLine="420"/>
        <w:spacing w:before="19" w:line="360" w:lineRule="auto"/>
        <w:widowControl/>
        <w:rPr>
          <w:rFonts w:ascii="宋体" w:hAnsi="宋体"/>
          <w:bCs/>
          <w:szCs w:val="21"/>
        </w:rPr>
      </w:pPr>
      <w:r>
        <w:rPr>
          <w:rFonts w:hint="eastAsia" w:ascii="宋体" w:hAnsi="宋体"/>
          <w:szCs w:val="21"/>
        </w:rPr>
        <w:t xml:space="preserve">1.合同签订，项目执行过程中按实结算，每月支付一次。结算费用时甲方以银行转账方式支</w:t>
      </w:r>
      <w:r>
        <w:rPr>
          <w:rFonts w:hint="eastAsia" w:ascii="宋体" w:hAnsi="宋体"/>
          <w:bCs/>
          <w:szCs w:val="21"/>
        </w:rPr>
        <w:t xml:space="preserve">付，乙方需先提供检测费正式发票，甲方收到发票后两个月内将检测费汇入乙方账户。</w:t>
      </w:r>
      <w:r>
        <w:rPr>
          <w:rFonts w:ascii="宋体" w:hAnsi="宋体"/>
          <w:bCs/>
          <w:szCs w:val="21"/>
        </w:rPr>
      </w:r>
      <w:r/>
    </w:p>
    <w:p>
      <w:pPr>
        <w:pStyle w:val="900"/>
        <w:ind w:firstLine="420"/>
        <w:spacing w:before="19" w:line="360" w:lineRule="auto"/>
        <w:widowControl/>
        <w:rPr>
          <w:rFonts w:ascii="宋体" w:hAnsi="宋体"/>
          <w:bCs/>
          <w:szCs w:val="21"/>
        </w:rPr>
      </w:pPr>
      <w:r>
        <w:rPr>
          <w:rFonts w:hint="eastAsia" w:ascii="宋体" w:hAnsi="宋体"/>
          <w:bCs/>
          <w:szCs w:val="21"/>
        </w:rPr>
        <w:t xml:space="preserve">2.</w:t>
      </w:r>
      <w:r>
        <w:rPr>
          <w:rFonts w:hint="eastAsia" w:ascii="宋体" w:hAnsi="宋体"/>
          <w:szCs w:val="21"/>
        </w:rPr>
        <w:t xml:space="preserve">乙方</w:t>
      </w:r>
      <w:r>
        <w:rPr>
          <w:rFonts w:hint="eastAsia" w:ascii="宋体" w:hAnsi="宋体"/>
          <w:bCs/>
          <w:szCs w:val="21"/>
        </w:rPr>
        <w:t xml:space="preserve">检测报告与复检结果一致的，检测费用按实际结算；</w:t>
      </w:r>
      <w:r>
        <w:rPr>
          <w:rFonts w:hint="eastAsia" w:ascii="宋体" w:hAnsi="宋体"/>
          <w:szCs w:val="21"/>
        </w:rPr>
        <w:t xml:space="preserve">乙方</w:t>
      </w:r>
      <w:r>
        <w:rPr>
          <w:rFonts w:hint="eastAsia" w:ascii="宋体" w:hAnsi="宋体"/>
          <w:bCs/>
          <w:szCs w:val="21"/>
        </w:rPr>
        <w:t xml:space="preserve">检测报告与复检结果不一致的，当次任务批次检测费不予支付。</w:t>
      </w:r>
      <w:r>
        <w:rPr>
          <w:rFonts w:ascii="宋体" w:hAnsi="宋体"/>
          <w:bCs/>
          <w:szCs w:val="21"/>
        </w:rPr>
      </w:r>
      <w:r/>
    </w:p>
    <w:p>
      <w:pPr>
        <w:pStyle w:val="900"/>
        <w:ind w:firstLine="420"/>
        <w:spacing w:before="19" w:line="360" w:lineRule="auto"/>
        <w:widowControl/>
        <w:rPr>
          <w:rFonts w:hint="eastAsia" w:ascii="宋体" w:hAnsi="宋体"/>
          <w:bCs/>
          <w:szCs w:val="21"/>
        </w:rPr>
      </w:pPr>
      <w:r>
        <w:rPr>
          <w:rFonts w:hint="eastAsia" w:ascii="宋体" w:hAnsi="宋体"/>
          <w:bCs/>
          <w:szCs w:val="21"/>
        </w:rPr>
        <w:t xml:space="preserve">3.按照实际中标价结算费用，包括样品费、检测费</w:t>
      </w:r>
      <w:r>
        <w:rPr>
          <w:rFonts w:ascii="宋体" w:hAnsi="宋体"/>
          <w:bCs/>
          <w:szCs w:val="21"/>
        </w:rPr>
        <w:t xml:space="preserve">、各种税费、人工、保险、劳保、利润、税金及合同包含的所有风险、责任等各项应有</w:t>
      </w:r>
      <w:r>
        <w:rPr>
          <w:rFonts w:hint="eastAsia" w:ascii="宋体" w:hAnsi="宋体"/>
          <w:bCs/>
          <w:szCs w:val="21"/>
        </w:rPr>
        <w:t xml:space="preserve">的所有</w:t>
      </w:r>
      <w:r>
        <w:rPr>
          <w:rFonts w:ascii="宋体" w:hAnsi="宋体"/>
          <w:bCs/>
          <w:szCs w:val="21"/>
        </w:rPr>
        <w:t xml:space="preserve">费用。</w:t>
      </w:r>
      <w:r>
        <w:rPr>
          <w:rFonts w:hint="eastAsia" w:ascii="宋体" w:hAnsi="宋体"/>
          <w:bCs/>
          <w:szCs w:val="21"/>
        </w:rPr>
      </w:r>
      <w:r/>
    </w:p>
    <w:p>
      <w:pPr>
        <w:pStyle w:val="900"/>
        <w:ind w:firstLine="420"/>
        <w:spacing w:before="19" w:line="360" w:lineRule="auto"/>
        <w:widowControl/>
        <w:rPr>
          <w:rFonts w:hint="eastAsia" w:ascii="宋体" w:hAnsi="宋体" w:cs="宋体"/>
          <w:szCs w:val="21"/>
        </w:rPr>
      </w:pPr>
      <w:r>
        <w:rPr>
          <w:rFonts w:hint="eastAsia" w:ascii="宋体" w:hAnsi="宋体"/>
          <w:bCs/>
          <w:szCs w:val="21"/>
        </w:rPr>
        <w:t xml:space="preserve">九、保密条款：</w:t>
      </w:r>
      <w:r>
        <w:rPr>
          <w:rFonts w:hint="eastAsia" w:ascii="宋体" w:hAnsi="宋体" w:cs="宋体"/>
          <w:szCs w:val="21"/>
        </w:rPr>
        <w:t xml:space="preserve">乙方不得将在履行本合同中知悉的甲方任何信息随意泄露、擅自使用。</w:t>
      </w:r>
      <w:r/>
    </w:p>
    <w:p>
      <w:pPr>
        <w:pStyle w:val="900"/>
        <w:ind w:firstLine="420"/>
        <w:spacing w:before="19" w:line="360" w:lineRule="auto"/>
        <w:widowControl/>
        <w:rPr>
          <w:rFonts w:hint="eastAsia" w:ascii="宋体" w:hAnsi="宋体" w:cs="宋体"/>
          <w:szCs w:val="21"/>
        </w:rPr>
      </w:pPr>
      <w:r>
        <w:rPr>
          <w:rFonts w:hint="eastAsia" w:ascii="宋体" w:hAnsi="宋体" w:cs="宋体"/>
          <w:szCs w:val="21"/>
        </w:rPr>
        <w:t xml:space="preserve">如违反本条款规定</w:t>
      </w:r>
      <w:r>
        <w:rPr>
          <w:rFonts w:hint="eastAsia" w:ascii="宋体" w:hAnsi="宋体" w:cs="宋体"/>
          <w:color w:val="000000"/>
          <w:szCs w:val="21"/>
        </w:rPr>
        <w:t xml:space="preserve">，视为乙方严重违约，甲方享有解除合同的权利，并依据本合同第十条第5项承担相应的违约责任。</w:t>
      </w:r>
      <w:r>
        <w:rPr>
          <w:rFonts w:hint="eastAsia" w:ascii="宋体" w:hAnsi="宋体" w:cs="宋体"/>
          <w:szCs w:val="21"/>
        </w:rPr>
      </w:r>
      <w:r/>
    </w:p>
    <w:p>
      <w:pPr>
        <w:pStyle w:val="900"/>
        <w:ind w:firstLine="420"/>
        <w:spacing w:line="360" w:lineRule="auto"/>
        <w:rPr>
          <w:rFonts w:ascii="宋体" w:hAnsi="宋体"/>
          <w:szCs w:val="21"/>
        </w:rPr>
      </w:pPr>
      <w:r>
        <w:rPr>
          <w:rFonts w:hint="eastAsia" w:ascii="宋体" w:hAnsi="宋体"/>
          <w:szCs w:val="21"/>
        </w:rPr>
        <w:t xml:space="preserve">十、乙方的违约责任：</w:t>
      </w:r>
      <w:r>
        <w:rPr>
          <w:rFonts w:ascii="宋体" w:hAnsi="宋体"/>
          <w:szCs w:val="21"/>
        </w:rPr>
      </w:r>
      <w:r/>
    </w:p>
    <w:p>
      <w:pPr>
        <w:pStyle w:val="900"/>
        <w:ind w:left="105" w:firstLine="412"/>
        <w:spacing w:before="19" w:line="360" w:lineRule="auto"/>
        <w:widowControl/>
        <w:rPr>
          <w:rFonts w:ascii="宋体" w:hAnsi="宋体"/>
          <w:szCs w:val="21"/>
        </w:rPr>
      </w:pPr>
      <w:r>
        <w:rPr>
          <w:rFonts w:hint="eastAsia" w:ascii="宋体" w:hAnsi="宋体"/>
          <w:szCs w:val="21"/>
        </w:rPr>
        <w:t xml:space="preserve">1.乙方未按合同规定的质量要求提供服务，不能完成合同时，每延误一日，向甲方支付违约金500元，乙方应当按照采购人要求在三个工作日内进行整改和完善，逾期不予整改或经整改仍不能符合相关要求，</w:t>
      </w:r>
      <w:r>
        <w:rPr>
          <w:rFonts w:hint="eastAsia" w:ascii="宋体" w:hAnsi="宋体"/>
          <w:color w:val="000000"/>
          <w:szCs w:val="21"/>
        </w:rPr>
        <w:t xml:space="preserve">视为合同目的</w:t>
      </w:r>
      <w:r>
        <w:rPr>
          <w:rFonts w:hint="eastAsia" w:ascii="宋体" w:hAnsi="宋体"/>
          <w:szCs w:val="21"/>
        </w:rPr>
        <w:t xml:space="preserve">无法实现，甲方有权终止合同，由此造成乙方的直接损失和间接损失甲方不给予补偿和赔偿，造成甲方损失时，甲方有权要求乙方赔偿。</w:t>
      </w:r>
      <w:r>
        <w:rPr>
          <w:rFonts w:ascii="宋体" w:hAnsi="宋体"/>
          <w:szCs w:val="21"/>
        </w:rPr>
      </w:r>
      <w:r/>
    </w:p>
    <w:p>
      <w:pPr>
        <w:pStyle w:val="900"/>
        <w:ind w:left="105" w:firstLine="412"/>
        <w:spacing w:before="19" w:line="360" w:lineRule="auto"/>
        <w:widowControl/>
        <w:rPr>
          <w:rFonts w:hint="eastAsia" w:ascii="宋体" w:hAnsi="宋体"/>
          <w:szCs w:val="21"/>
        </w:rPr>
      </w:pPr>
      <w:r>
        <w:rPr>
          <w:rFonts w:hint="eastAsia" w:ascii="宋体" w:hAnsi="宋体"/>
          <w:szCs w:val="21"/>
        </w:rPr>
        <w:t xml:space="preserve">2.乙方因违反抽样、检验、信息披露等相关规定的，甲方有</w:t>
      </w:r>
      <w:r>
        <w:rPr>
          <w:rFonts w:hint="eastAsia" w:ascii="宋体" w:hAnsi="宋体"/>
          <w:color w:val="000000"/>
          <w:szCs w:val="21"/>
        </w:rPr>
        <w:t xml:space="preserve">权终止合同，并</w:t>
      </w:r>
      <w:r>
        <w:rPr>
          <w:rFonts w:hint="eastAsia" w:ascii="宋体" w:hAnsi="宋体"/>
          <w:szCs w:val="21"/>
        </w:rPr>
        <w:t xml:space="preserve">取消其承检资格。</w:t>
      </w:r>
      <w:r/>
    </w:p>
    <w:p>
      <w:pPr>
        <w:pStyle w:val="900"/>
        <w:ind w:left="105" w:firstLine="412"/>
        <w:spacing w:before="19" w:line="360" w:lineRule="auto"/>
        <w:widowControl/>
        <w:rPr>
          <w:rFonts w:hint="eastAsia" w:ascii="宋体" w:hAnsi="宋体"/>
          <w:szCs w:val="21"/>
        </w:rPr>
      </w:pPr>
      <w:r>
        <w:rPr>
          <w:rFonts w:hint="eastAsia" w:ascii="宋体" w:hAnsi="宋体"/>
          <w:szCs w:val="21"/>
        </w:rPr>
        <w:t xml:space="preserve">3.乙方承担甲方为实现权利支出的全部费用（包括但不限于律师费、担保费、保全费、鉴定费、诉讼费等）违约金不足以弥补甲方损失的，乙方应当赔偿相应损失。</w:t>
      </w:r>
      <w:r/>
    </w:p>
    <w:p>
      <w:pPr>
        <w:pStyle w:val="900"/>
        <w:ind w:firstLine="420"/>
        <w:spacing w:line="360" w:lineRule="auto"/>
        <w:rPr>
          <w:rFonts w:hint="eastAsia" w:ascii="宋体" w:hAnsi="宋体"/>
          <w:szCs w:val="21"/>
        </w:rPr>
      </w:pPr>
      <w:r>
        <w:rPr>
          <w:rFonts w:hint="eastAsia" w:ascii="宋体" w:hAnsi="宋体"/>
          <w:szCs w:val="21"/>
        </w:rPr>
        <w:t xml:space="preserve">4.若因乙方原因造成的抽样检验和报告程序违法、检验结果错误、抽样检验不规范、标准适用不当等，造成甲方不能有效使用检验报告，或给甲方造成不良影响的，该批次任务不付费用，并给予每个检测批次5000元扣款。上述情形发生两次以上的，甲方有权终止合同。</w:t>
      </w:r>
      <w:r/>
    </w:p>
    <w:p>
      <w:pPr>
        <w:pStyle w:val="900"/>
        <w:ind w:firstLine="420"/>
        <w:spacing w:line="360" w:lineRule="auto"/>
        <w:rPr>
          <w:rFonts w:hint="eastAsia" w:ascii="宋体" w:hAnsi="宋体"/>
          <w:szCs w:val="21"/>
        </w:rPr>
      </w:pPr>
      <w:r>
        <w:rPr>
          <w:rFonts w:hint="eastAsia" w:ascii="宋体" w:hAnsi="宋体"/>
          <w:szCs w:val="21"/>
        </w:rPr>
        <w:t xml:space="preserve">5.因乙方违约，甲方终止合同的，乙方应当退还甲方已支付的款项及支付相当于合同总价款20%的违约金，违约金不足以弥补甲方全部损失的，乙方负责补足。甲方解除合同的，合同解除后，甲方根据乙方合同履行的实际情况，酌定支付相应的合同价款，但乙方实际履行不足项目总工作量20%的，甲方不支付合同价款。若甲方不行使解除合同的权利，要求乙方继续履行合同的，乙方应继续履行，另向甲方支付相当于合同总价款10%的违约金（甲方可以在支付给乙方的费用中直接扣除）。</w:t>
      </w:r>
      <w:r/>
    </w:p>
    <w:p>
      <w:pPr>
        <w:pStyle w:val="900"/>
        <w:ind w:firstLine="420"/>
        <w:spacing w:line="360" w:lineRule="auto"/>
        <w:rPr>
          <w:rFonts w:hint="eastAsia" w:ascii="宋体" w:hAnsi="宋体"/>
          <w:szCs w:val="21"/>
        </w:rPr>
      </w:pPr>
      <w:r>
        <w:rPr>
          <w:rFonts w:hint="eastAsia" w:ascii="宋体" w:hAnsi="宋体"/>
          <w:szCs w:val="21"/>
        </w:rPr>
        <w:t xml:space="preserve">十一、退出机制：</w:t>
      </w:r>
      <w:r/>
    </w:p>
    <w:p>
      <w:pPr>
        <w:pStyle w:val="900"/>
        <w:ind w:left="105" w:firstLine="412"/>
        <w:spacing w:before="19" w:line="360" w:lineRule="auto"/>
        <w:widowControl/>
        <w:rPr>
          <w:rFonts w:hint="eastAsia" w:ascii="宋体" w:hAnsi="宋体"/>
          <w:szCs w:val="21"/>
        </w:rPr>
      </w:pPr>
      <w:r>
        <w:rPr>
          <w:rFonts w:hint="eastAsia" w:ascii="宋体" w:hAnsi="宋体"/>
          <w:szCs w:val="21"/>
        </w:rPr>
        <w:t xml:space="preserve">若乙方在服务管理期间，被发现下列情形，甲方有权终止服务合同，并有权按合同第十条第1款导致合同目的无法实现追究乙方违约责任。</w:t>
      </w:r>
      <w:r/>
    </w:p>
    <w:p>
      <w:pPr>
        <w:pStyle w:val="900"/>
        <w:ind w:left="105" w:firstLine="412"/>
        <w:spacing w:before="19" w:line="360" w:lineRule="auto"/>
        <w:widowControl/>
        <w:rPr>
          <w:rFonts w:hint="eastAsia" w:ascii="宋体" w:hAnsi="宋体"/>
          <w:szCs w:val="21"/>
        </w:rPr>
      </w:pPr>
      <w:r>
        <w:rPr>
          <w:rFonts w:hint="eastAsia" w:ascii="宋体" w:hAnsi="宋体"/>
          <w:szCs w:val="21"/>
        </w:rPr>
        <w:t xml:space="preserve">1.将已中标服务转包他人。</w:t>
      </w:r>
      <w:r/>
    </w:p>
    <w:p>
      <w:pPr>
        <w:pStyle w:val="900"/>
        <w:ind w:left="105" w:firstLine="412"/>
        <w:spacing w:before="19" w:line="360" w:lineRule="auto"/>
        <w:widowControl/>
        <w:rPr>
          <w:rFonts w:hint="eastAsia" w:ascii="宋体" w:hAnsi="宋体"/>
          <w:szCs w:val="21"/>
        </w:rPr>
      </w:pPr>
      <w:r>
        <w:rPr>
          <w:rFonts w:hint="eastAsia" w:ascii="宋体" w:hAnsi="宋体"/>
          <w:szCs w:val="21"/>
        </w:rPr>
        <w:t xml:space="preserve">2.未持证上岗或人证不符合。</w:t>
      </w:r>
      <w:r/>
    </w:p>
    <w:p>
      <w:pPr>
        <w:pStyle w:val="900"/>
        <w:ind w:left="105" w:firstLine="412"/>
        <w:spacing w:before="19" w:line="360" w:lineRule="auto"/>
        <w:widowControl/>
        <w:rPr>
          <w:rFonts w:hint="eastAsia" w:ascii="宋体" w:hAnsi="宋体"/>
          <w:szCs w:val="21"/>
        </w:rPr>
      </w:pPr>
      <w:r>
        <w:rPr>
          <w:rFonts w:hint="eastAsia" w:ascii="宋体" w:hAnsi="宋体"/>
          <w:szCs w:val="21"/>
        </w:rPr>
        <w:t xml:space="preserve">3.出现重大责任问题。（包括各级主管部门、行业相关部门通报批评、行政处罚等情况）</w:t>
      </w:r>
      <w:r/>
    </w:p>
    <w:p>
      <w:pPr>
        <w:pStyle w:val="900"/>
        <w:ind w:left="105" w:firstLine="412"/>
        <w:spacing w:before="19" w:line="360" w:lineRule="auto"/>
        <w:widowControl/>
        <w:rPr>
          <w:rFonts w:hint="eastAsia" w:ascii="宋体" w:hAnsi="宋体"/>
          <w:szCs w:val="21"/>
        </w:rPr>
      </w:pPr>
      <w:r>
        <w:rPr>
          <w:rFonts w:hint="eastAsia" w:ascii="宋体" w:hAnsi="宋体"/>
          <w:szCs w:val="21"/>
        </w:rPr>
        <w:t xml:space="preserve">4.因乙方原因造成的检测程序违法、检测结果错误，由此造成甲方在行政复议中被确认违法或行政诉讼败诉，立即终止合作。</w:t>
      </w:r>
      <w:r/>
    </w:p>
    <w:p>
      <w:pPr>
        <w:pStyle w:val="900"/>
        <w:ind w:left="105" w:firstLine="412"/>
        <w:spacing w:before="19" w:line="360" w:lineRule="auto"/>
        <w:widowControl/>
        <w:rPr>
          <w:rFonts w:hint="eastAsia" w:ascii="宋体" w:hAnsi="宋体"/>
          <w:szCs w:val="21"/>
        </w:rPr>
      </w:pPr>
      <w:r>
        <w:rPr>
          <w:rFonts w:ascii="宋体" w:hAnsi="宋体"/>
          <w:szCs w:val="21"/>
        </w:rPr>
        <w:t xml:space="preserve">6</w:t>
      </w:r>
      <w:r>
        <w:rPr>
          <w:rFonts w:hint="eastAsia" w:ascii="宋体" w:hAnsi="宋体"/>
          <w:szCs w:val="21"/>
        </w:rPr>
        <w:t xml:space="preserve">.因违反抽样、检验、信息披露等相关规定的，甲方有权取消其承检资格。</w:t>
      </w:r>
      <w:r/>
    </w:p>
    <w:p>
      <w:pPr>
        <w:pStyle w:val="900"/>
        <w:ind w:left="105" w:firstLine="412"/>
        <w:spacing w:before="19" w:line="360" w:lineRule="auto"/>
        <w:widowControl/>
        <w:rPr>
          <w:rFonts w:hint="eastAsia" w:ascii="宋体" w:hAnsi="宋体"/>
          <w:szCs w:val="21"/>
        </w:rPr>
      </w:pPr>
      <w:r>
        <w:rPr>
          <w:rFonts w:hint="eastAsia" w:ascii="宋体" w:hAnsi="宋体"/>
          <w:szCs w:val="21"/>
        </w:rPr>
        <w:t xml:space="preserve">7.乙方在抽检过程中严格遵守工作纪律，不得与被抽检主体发生矛盾，由此对甲方造成重大负面影响的。</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十二、合同纠纷处理：</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本合同执行过程中发生纠纷，由甲乙双方协商处理，若协商不成，双方一致同意作如下</w:t>
      </w:r>
      <w:r>
        <w:rPr>
          <w:rFonts w:hint="eastAsia" w:ascii="宋体" w:hAnsi="宋体"/>
          <w:szCs w:val="21"/>
          <w:u w:val="single"/>
        </w:rPr>
        <w:t xml:space="preserve"> 2 </w:t>
      </w:r>
      <w:r>
        <w:rPr>
          <w:rFonts w:hint="eastAsia" w:ascii="宋体" w:hAnsi="宋体"/>
          <w:szCs w:val="21"/>
        </w:rPr>
        <w:t xml:space="preserve">处理：</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1.申请仲裁。选定仲裁机构为苏州仲裁委员会。</w:t>
      </w:r>
      <w:r/>
    </w:p>
    <w:p>
      <w:pPr>
        <w:pStyle w:val="900"/>
        <w:ind w:firstLine="420"/>
        <w:spacing w:before="19" w:line="360" w:lineRule="auto"/>
        <w:widowControl/>
        <w:tabs>
          <w:tab w:val="left" w:pos="1980" w:leader="none"/>
        </w:tabs>
        <w:rPr>
          <w:rFonts w:hint="eastAsia" w:ascii="宋体" w:hAnsi="宋体"/>
          <w:szCs w:val="21"/>
        </w:rPr>
      </w:pPr>
      <w:r>
        <w:rPr>
          <w:rFonts w:hint="eastAsia" w:ascii="宋体" w:hAnsi="宋体"/>
          <w:szCs w:val="21"/>
        </w:rPr>
        <w:t xml:space="preserve">2.提起诉讼。约定由采购人所在地法院管辖。</w:t>
      </w:r>
      <w:r/>
    </w:p>
    <w:p>
      <w:pPr>
        <w:pStyle w:val="900"/>
        <w:ind w:firstLine="420"/>
        <w:spacing w:before="19" w:line="360" w:lineRule="auto"/>
        <w:widowControl/>
        <w:rPr>
          <w:rFonts w:hint="eastAsia" w:ascii="宋体" w:hAnsi="宋体"/>
          <w:szCs w:val="21"/>
        </w:rPr>
      </w:pPr>
      <w:r>
        <w:rPr>
          <w:rFonts w:hint="eastAsia" w:ascii="宋体" w:hAnsi="宋体"/>
          <w:szCs w:val="21"/>
        </w:rPr>
        <w:t xml:space="preserve">十三、组成本合同的文件包括：</w:t>
      </w:r>
      <w:r/>
    </w:p>
    <w:p>
      <w:pPr>
        <w:pStyle w:val="900"/>
        <w:ind w:firstLine="420"/>
        <w:spacing w:before="19" w:line="360" w:lineRule="auto"/>
        <w:widowControl/>
        <w:rPr>
          <w:rFonts w:hint="eastAsia" w:ascii="宋体" w:hAnsi="宋体"/>
          <w:bCs/>
          <w:szCs w:val="21"/>
        </w:rPr>
      </w:pPr>
      <w:r>
        <w:rPr>
          <w:rFonts w:hint="eastAsia" w:ascii="宋体" w:hAnsi="宋体"/>
          <w:bCs/>
          <w:szCs w:val="21"/>
        </w:rPr>
        <w:t xml:space="preserve">1.合同通用条款和专用条款；</w:t>
      </w:r>
      <w:r/>
    </w:p>
    <w:p>
      <w:pPr>
        <w:pStyle w:val="900"/>
        <w:ind w:firstLine="420"/>
        <w:spacing w:before="19" w:line="360" w:lineRule="auto"/>
        <w:widowControl/>
        <w:rPr>
          <w:rFonts w:hint="eastAsia" w:ascii="宋体" w:hAnsi="宋体"/>
          <w:bCs/>
          <w:szCs w:val="21"/>
        </w:rPr>
      </w:pPr>
      <w:r>
        <w:rPr>
          <w:rFonts w:hint="eastAsia" w:ascii="宋体" w:hAnsi="宋体"/>
          <w:bCs/>
          <w:szCs w:val="21"/>
        </w:rPr>
        <w:t xml:space="preserve">2.采购文件和乙方的</w:t>
      </w:r>
      <w:r>
        <w:rPr>
          <w:rFonts w:hint="eastAsia" w:ascii="宋体" w:hAnsi="宋体" w:cs="宋体"/>
          <w:bCs/>
          <w:szCs w:val="21"/>
        </w:rPr>
        <w:t xml:space="preserve">投标</w:t>
      </w:r>
      <w:r>
        <w:rPr>
          <w:rFonts w:hint="eastAsia" w:ascii="宋体" w:hAnsi="宋体"/>
          <w:bCs/>
          <w:szCs w:val="21"/>
        </w:rPr>
        <w:t xml:space="preserve">文件；</w:t>
      </w:r>
      <w:r/>
    </w:p>
    <w:p>
      <w:pPr>
        <w:pStyle w:val="900"/>
        <w:ind w:firstLine="420"/>
        <w:spacing w:before="19" w:line="360" w:lineRule="auto"/>
        <w:widowControl/>
        <w:rPr>
          <w:rFonts w:hint="eastAsia" w:ascii="宋体" w:hAnsi="宋体"/>
          <w:bCs/>
          <w:szCs w:val="21"/>
        </w:rPr>
      </w:pPr>
      <w:r>
        <w:rPr>
          <w:rFonts w:hint="eastAsia" w:ascii="宋体" w:hAnsi="宋体"/>
          <w:bCs/>
          <w:szCs w:val="21"/>
        </w:rPr>
        <w:t xml:space="preserve">3.中标通知书；</w:t>
      </w:r>
      <w:r/>
    </w:p>
    <w:p>
      <w:pPr>
        <w:pStyle w:val="900"/>
        <w:ind w:firstLine="420"/>
        <w:spacing w:before="19" w:line="360" w:lineRule="auto"/>
        <w:widowControl/>
        <w:rPr>
          <w:rFonts w:hint="eastAsia" w:ascii="宋体" w:hAnsi="宋体"/>
          <w:bCs/>
          <w:szCs w:val="21"/>
        </w:rPr>
      </w:pPr>
      <w:r>
        <w:rPr>
          <w:rFonts w:hint="eastAsia" w:ascii="宋体" w:hAnsi="宋体"/>
          <w:bCs/>
          <w:szCs w:val="21"/>
        </w:rPr>
        <w:t xml:space="preserve">4.甲乙双方商定的其他必要文件。</w:t>
      </w:r>
      <w:r/>
    </w:p>
    <w:p>
      <w:pPr>
        <w:pStyle w:val="900"/>
        <w:ind w:firstLine="420"/>
        <w:spacing w:before="19" w:line="360" w:lineRule="auto"/>
        <w:widowControl/>
        <w:rPr>
          <w:rFonts w:hint="eastAsia" w:ascii="宋体" w:hAnsi="宋体"/>
          <w:bCs/>
          <w:szCs w:val="21"/>
        </w:rPr>
      </w:pPr>
      <w:r>
        <w:rPr>
          <w:rFonts w:hint="eastAsia" w:ascii="宋体" w:hAnsi="宋体"/>
          <w:bCs/>
          <w:szCs w:val="21"/>
        </w:rPr>
        <w:t xml:space="preserve">上述合同文件内容互为补充，如有不明确，由甲方负责解释。</w:t>
      </w:r>
      <w:r/>
    </w:p>
    <w:p>
      <w:pPr>
        <w:pStyle w:val="900"/>
        <w:ind w:firstLine="420"/>
        <w:spacing w:line="360" w:lineRule="auto"/>
        <w:rPr>
          <w:rFonts w:hint="eastAsia" w:ascii="宋体" w:hAnsi="宋体" w:cs="宋体"/>
          <w:szCs w:val="21"/>
        </w:rPr>
      </w:pPr>
      <w:r>
        <w:rPr>
          <w:rFonts w:hint="eastAsia" w:ascii="宋体" w:hAnsi="宋体" w:cs="宋体"/>
          <w:szCs w:val="21"/>
        </w:rPr>
        <w:t xml:space="preserve">十四、合同的生效：</w:t>
      </w:r>
      <w:r/>
    </w:p>
    <w:p>
      <w:pPr>
        <w:pStyle w:val="900"/>
        <w:ind w:firstLine="420"/>
        <w:spacing w:line="360" w:lineRule="auto"/>
        <w:rPr>
          <w:rFonts w:hint="eastAsia" w:ascii="宋体" w:hAnsi="宋体" w:cs="宋体"/>
          <w:szCs w:val="21"/>
        </w:rPr>
      </w:pPr>
      <w:r>
        <w:rPr>
          <w:rFonts w:hint="eastAsia" w:ascii="宋体" w:hAnsi="宋体" w:cs="宋体"/>
          <w:szCs w:val="21"/>
        </w:rPr>
        <w:t xml:space="preserve">甲、乙双方代表在合同上签字盖章（公章或合同章）后合同生效，生效合同需经政府采购管理部门加盖备案章。</w:t>
      </w:r>
      <w:r/>
    </w:p>
    <w:p>
      <w:pPr>
        <w:pStyle w:val="900"/>
        <w:ind w:firstLine="420"/>
        <w:spacing w:line="360" w:lineRule="auto"/>
        <w:rPr>
          <w:rFonts w:hint="eastAsia" w:ascii="宋体" w:hAnsi="宋体" w:cs="宋体"/>
          <w:szCs w:val="21"/>
        </w:rPr>
      </w:pPr>
      <w:r>
        <w:rPr>
          <w:rFonts w:hint="eastAsia" w:ascii="宋体" w:hAnsi="宋体" w:cs="宋体"/>
          <w:szCs w:val="21"/>
        </w:rPr>
        <w:t xml:space="preserve">十五、其他附则：</w:t>
      </w:r>
      <w:r/>
    </w:p>
    <w:p>
      <w:pPr>
        <w:pStyle w:val="900"/>
        <w:ind w:firstLine="420"/>
        <w:spacing w:line="360" w:lineRule="auto"/>
        <w:rPr>
          <w:rFonts w:hint="eastAsia" w:ascii="宋体" w:hAnsi="宋体" w:cs="宋体"/>
          <w:szCs w:val="21"/>
        </w:rPr>
      </w:pPr>
      <w:r>
        <w:rPr>
          <w:rFonts w:hint="eastAsia" w:ascii="宋体" w:hAnsi="宋体" w:cs="宋体"/>
          <w:szCs w:val="21"/>
        </w:rPr>
        <w:t xml:space="preserve">1.合同份数：本合同一式四份，甲乙双方各执一份，招标代理机构一份，政府采购管理部门一份。</w:t>
      </w:r>
      <w:r/>
    </w:p>
    <w:p>
      <w:pPr>
        <w:pStyle w:val="900"/>
        <w:ind w:firstLine="420"/>
        <w:spacing w:line="360" w:lineRule="auto"/>
        <w:rPr>
          <w:rFonts w:hint="eastAsia" w:ascii="宋体" w:hAnsi="宋体" w:cs="宋体"/>
          <w:szCs w:val="21"/>
        </w:rPr>
      </w:pPr>
      <w:r>
        <w:rPr>
          <w:rFonts w:hint="eastAsia" w:ascii="宋体" w:hAnsi="宋体" w:cs="宋体"/>
          <w:szCs w:val="21"/>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 </w:t>
      </w:r>
      <w:r>
        <w:rPr>
          <w:rFonts w:hint="eastAsia" w:ascii="宋体" w:hAnsi="宋体" w:cs="宋体"/>
          <w:szCs w:val="21"/>
        </w:rPr>
      </w:r>
      <w:r/>
    </w:p>
    <w:p>
      <w:pPr>
        <w:pStyle w:val="900"/>
        <w:ind w:firstLine="420"/>
        <w:spacing w:line="360" w:lineRule="auto"/>
        <w:rPr>
          <w:rFonts w:hint="eastAsia" w:ascii="宋体" w:hAnsi="宋体"/>
          <w:bCs/>
          <w:szCs w:val="21"/>
        </w:rPr>
      </w:pPr>
      <w:r>
        <w:rPr>
          <w:rFonts w:hint="eastAsia" w:ascii="宋体" w:hAnsi="宋体"/>
          <w:bCs/>
          <w:szCs w:val="21"/>
        </w:rPr>
        <w:t xml:space="preserve">备注：合同条款内容将根据成交单位承诺的实际服务内容进行调整。</w:t>
      </w:r>
      <w:r/>
    </w:p>
    <w:p>
      <w:pPr>
        <w:pStyle w:val="900"/>
        <w:ind w:firstLine="420"/>
        <w:spacing w:line="360" w:lineRule="auto"/>
        <w:rPr>
          <w:rFonts w:hint="eastAsia" w:ascii="宋体" w:hAnsi="宋体"/>
          <w:bCs/>
          <w:szCs w:val="21"/>
        </w:rPr>
      </w:pPr>
      <w:r>
        <w:rPr>
          <w:rFonts w:ascii="宋体" w:hAnsi="宋体"/>
          <w:bCs/>
          <w:szCs w:val="21"/>
        </w:rPr>
        <w:br w:type="page" w:clear="all"/>
      </w:r>
      <w:r>
        <w:rPr>
          <w:rFonts w:hint="eastAsia" w:ascii="宋体" w:hAnsi="宋体"/>
          <w:bCs/>
          <w:szCs w:val="21"/>
        </w:rPr>
        <w:t xml:space="preserve">本页无合同正文！</w:t>
      </w:r>
      <w:r/>
    </w:p>
    <w:p>
      <w:pPr>
        <w:pStyle w:val="900"/>
        <w:ind w:firstLine="420"/>
        <w:spacing w:line="360" w:lineRule="auto"/>
        <w:rPr>
          <w:rFonts w:ascii="宋体" w:hAnsi="宋体"/>
          <w:bCs/>
          <w:szCs w:val="21"/>
        </w:rPr>
      </w:pPr>
      <w:r>
        <w:rPr>
          <w:rFonts w:ascii="宋体" w:hAnsi="宋体"/>
          <w:bCs/>
          <w:szCs w:val="21"/>
        </w:rPr>
      </w:r>
      <w:r/>
    </w:p>
    <w:p>
      <w:pPr>
        <w:pStyle w:val="900"/>
        <w:ind w:firstLine="420"/>
        <w:spacing w:line="360" w:lineRule="auto"/>
        <w:rPr>
          <w:rFonts w:ascii="宋体" w:hAnsi="宋体"/>
          <w:bCs/>
          <w:szCs w:val="21"/>
        </w:rPr>
      </w:pPr>
      <w:r>
        <w:rPr>
          <w:rFonts w:ascii="宋体" w:hAnsi="宋体"/>
          <w:bCs/>
          <w:szCs w:val="21"/>
        </w:rPr>
        <w:t xml:space="preserve">甲方：                    </w:t>
      </w:r>
      <w:r>
        <w:rPr>
          <w:rFonts w:hint="eastAsia" w:ascii="宋体" w:hAnsi="宋体"/>
          <w:bCs/>
          <w:szCs w:val="21"/>
        </w:rPr>
        <w:t xml:space="preserve">            </w:t>
      </w:r>
      <w:r>
        <w:rPr>
          <w:rFonts w:ascii="宋体" w:hAnsi="宋体"/>
          <w:bCs/>
          <w:szCs w:val="21"/>
        </w:rPr>
        <w:t xml:space="preserve"> 乙方：                      </w:t>
      </w:r>
      <w:r>
        <w:rPr>
          <w:rFonts w:hint="eastAsia" w:ascii="宋体" w:hAnsi="宋体"/>
          <w:bCs/>
          <w:szCs w:val="21"/>
        </w:rPr>
        <w:t xml:space="preserve"> </w:t>
      </w:r>
      <w:r>
        <w:rPr>
          <w:rFonts w:ascii="宋体" w:hAnsi="宋体"/>
          <w:bCs/>
          <w:szCs w:val="21"/>
        </w:rPr>
      </w:r>
      <w:r/>
    </w:p>
    <w:p>
      <w:pPr>
        <w:pStyle w:val="900"/>
        <w:ind w:firstLine="420"/>
        <w:spacing w:line="360" w:lineRule="auto"/>
        <w:rPr>
          <w:rFonts w:ascii="宋体" w:hAnsi="宋体"/>
          <w:bCs/>
          <w:szCs w:val="21"/>
        </w:rPr>
      </w:pPr>
      <w:r>
        <w:rPr>
          <w:rFonts w:ascii="宋体" w:hAnsi="宋体"/>
          <w:bCs/>
          <w:szCs w:val="21"/>
        </w:rPr>
        <w:t xml:space="preserve">法定代表人（授权代表）：   </w:t>
      </w:r>
      <w:r>
        <w:rPr>
          <w:rFonts w:hint="eastAsia" w:ascii="宋体" w:hAnsi="宋体"/>
          <w:bCs/>
          <w:szCs w:val="21"/>
        </w:rPr>
        <w:t xml:space="preserve">           </w:t>
      </w:r>
      <w:r>
        <w:rPr>
          <w:rFonts w:ascii="宋体" w:hAnsi="宋体"/>
          <w:bCs/>
          <w:szCs w:val="21"/>
        </w:rPr>
        <w:t xml:space="preserve"> 法定代表人（授权代表）：    </w:t>
      </w:r>
      <w:r>
        <w:rPr>
          <w:rFonts w:hint="eastAsia" w:ascii="宋体" w:hAnsi="宋体"/>
          <w:bCs/>
          <w:szCs w:val="21"/>
        </w:rPr>
        <w:t xml:space="preserve">   </w:t>
      </w:r>
      <w:r>
        <w:rPr>
          <w:rFonts w:ascii="宋体" w:hAnsi="宋体"/>
          <w:bCs/>
          <w:szCs w:val="21"/>
        </w:rPr>
      </w:r>
      <w:r/>
    </w:p>
    <w:p>
      <w:pPr>
        <w:pStyle w:val="900"/>
        <w:ind w:firstLine="420"/>
        <w:spacing w:line="360" w:lineRule="auto"/>
        <w:rPr>
          <w:rFonts w:ascii="宋体" w:hAnsi="宋体"/>
          <w:bCs/>
          <w:szCs w:val="21"/>
        </w:rPr>
      </w:pPr>
      <w:r>
        <w:rPr>
          <w:rFonts w:ascii="宋体" w:hAnsi="宋体"/>
          <w:bCs/>
          <w:szCs w:val="21"/>
        </w:rPr>
        <w:t xml:space="preserve">签约日期：                 </w:t>
      </w:r>
      <w:r>
        <w:rPr>
          <w:rFonts w:hint="eastAsia" w:ascii="宋体" w:hAnsi="宋体"/>
          <w:bCs/>
          <w:szCs w:val="21"/>
        </w:rPr>
        <w:t xml:space="preserve">            </w:t>
      </w:r>
      <w:r>
        <w:rPr>
          <w:rFonts w:ascii="宋体" w:hAnsi="宋体"/>
          <w:bCs/>
          <w:szCs w:val="21"/>
        </w:rPr>
        <w:t xml:space="preserve">签约日期：                  </w:t>
      </w:r>
      <w:r>
        <w:rPr>
          <w:rFonts w:hint="eastAsia" w:ascii="宋体" w:hAnsi="宋体"/>
          <w:bCs/>
          <w:szCs w:val="21"/>
        </w:rPr>
        <w:t xml:space="preserve"> </w:t>
      </w:r>
      <w:r>
        <w:rPr>
          <w:rFonts w:ascii="宋体" w:hAnsi="宋体"/>
          <w:bCs/>
          <w:szCs w:val="21"/>
        </w:rPr>
      </w:r>
      <w:r/>
    </w:p>
    <w:p>
      <w:pPr>
        <w:pStyle w:val="900"/>
        <w:ind w:firstLine="420"/>
        <w:spacing w:line="360" w:lineRule="auto"/>
        <w:rPr>
          <w:rFonts w:ascii="宋体" w:hAnsi="宋体"/>
          <w:bCs/>
          <w:szCs w:val="21"/>
        </w:rPr>
      </w:pPr>
      <w:r>
        <w:rPr>
          <w:rFonts w:ascii="宋体" w:hAnsi="宋体"/>
          <w:bCs/>
          <w:szCs w:val="21"/>
        </w:rPr>
        <w:tab/>
        <w:tab/>
        <w:tab/>
        <w:tab/>
        <w:tab/>
        <w:t xml:space="preserve">     </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          </w:t>
      </w:r>
      <w:r>
        <w:rPr>
          <w:rFonts w:ascii="宋体" w:hAnsi="宋体"/>
          <w:bCs/>
          <w:szCs w:val="21"/>
        </w:rPr>
        <w:t xml:space="preserve"> 开户行：</w:t>
      </w:r>
      <w:r/>
    </w:p>
    <w:p>
      <w:pPr>
        <w:pStyle w:val="900"/>
        <w:ind w:firstLine="420"/>
        <w:spacing w:line="360" w:lineRule="auto"/>
        <w:rPr>
          <w:rFonts w:hint="eastAsia" w:ascii="宋体" w:hAnsi="宋体"/>
          <w:bCs/>
          <w:szCs w:val="21"/>
        </w:rPr>
      </w:pPr>
      <w:r>
        <w:rPr>
          <w:rFonts w:ascii="宋体" w:hAnsi="宋体"/>
          <w:bCs/>
          <w:szCs w:val="21"/>
        </w:rPr>
        <w:tab/>
        <w:tab/>
        <w:tab/>
        <w:tab/>
        <w:tab/>
        <w:t xml:space="preserve">       </w:t>
      </w:r>
      <w:r>
        <w:rPr>
          <w:rFonts w:hint="eastAsia" w:ascii="宋体" w:hAnsi="宋体"/>
          <w:bCs/>
          <w:szCs w:val="21"/>
        </w:rPr>
        <w:t xml:space="preserve">            </w:t>
      </w:r>
      <w:r>
        <w:rPr>
          <w:rFonts w:ascii="宋体" w:hAnsi="宋体"/>
          <w:bCs/>
          <w:szCs w:val="21"/>
        </w:rPr>
        <w:t xml:space="preserve">帐户：</w:t>
      </w:r>
      <w:r>
        <w:rPr>
          <w:rFonts w:hint="eastAsia" w:ascii="宋体" w:hAnsi="宋体"/>
          <w:bCs/>
          <w:szCs w:val="21"/>
        </w:rPr>
      </w:r>
      <w:r/>
    </w:p>
    <w:p>
      <w:pPr>
        <w:pStyle w:val="900"/>
        <w:ind w:firstLine="420"/>
        <w:spacing w:line="360" w:lineRule="auto"/>
        <w:rPr>
          <w:rFonts w:ascii="宋体" w:hAnsi="宋体"/>
          <w:szCs w:val="21"/>
        </w:rPr>
      </w:pPr>
      <w:r>
        <w:rPr>
          <w:rFonts w:hint="eastAsia" w:ascii="宋体" w:hAnsi="宋体"/>
          <w:szCs w:val="21"/>
        </w:rPr>
        <w:t xml:space="preserve">合同签定地：昆山市。</w:t>
      </w:r>
      <w:r>
        <w:rPr>
          <w:rFonts w:ascii="宋体" w:hAnsi="宋体"/>
          <w:szCs w:val="21"/>
        </w:rPr>
      </w:r>
      <w:r/>
    </w:p>
    <w:p>
      <w:pPr>
        <w:pStyle w:val="900"/>
        <w:ind w:firstLine="420"/>
        <w:spacing w:line="360" w:lineRule="auto"/>
        <w:rPr>
          <w:rFonts w:hint="eastAsia" w:ascii="宋体" w:hAnsi="宋体"/>
          <w:szCs w:val="21"/>
        </w:rPr>
      </w:pPr>
      <w:r>
        <w:rPr>
          <w:rFonts w:ascii="宋体" w:hAnsi="宋体"/>
          <w:szCs w:val="21"/>
        </w:rPr>
        <w:t xml:space="preserve">合同附件与正文一致，具有同等法律效力</w:t>
      </w:r>
      <w:r>
        <w:rPr>
          <w:rFonts w:hint="eastAsia" w:ascii="宋体" w:hAnsi="宋体"/>
          <w:szCs w:val="21"/>
        </w:rPr>
      </w:r>
      <w:r/>
    </w:p>
    <w:p>
      <w:pPr>
        <w:pStyle w:val="900"/>
        <w:ind w:firstLine="420"/>
        <w:jc w:val="left"/>
        <w:spacing w:line="360" w:lineRule="auto"/>
        <w:rPr>
          <w:rFonts w:hint="eastAsia" w:ascii="宋体" w:hAnsi="宋体" w:cs="Courier New"/>
          <w:szCs w:val="21"/>
        </w:rPr>
      </w:pPr>
      <w:r>
        <w:rPr>
          <w:rFonts w:hint="eastAsia" w:ascii="宋体" w:hAnsi="宋体" w:cs="Courier New"/>
          <w:szCs w:val="21"/>
        </w:rPr>
      </w:r>
      <w:r/>
    </w:p>
    <w:p>
      <w:pPr>
        <w:pStyle w:val="974"/>
        <w:rPr>
          <w:rFonts w:hint="eastAsia"/>
          <w:color w:val="000000"/>
          <w:sz w:val="24"/>
          <w:szCs w:val="24"/>
        </w:rPr>
      </w:pPr>
      <w:r>
        <w:rPr>
          <w:b w:val="0"/>
          <w:color w:val="000000"/>
          <w:sz w:val="24"/>
          <w:szCs w:val="24"/>
        </w:rPr>
        <w:br w:type="page" w:clear="all"/>
      </w:r>
      <w:bookmarkStart w:id="51" w:name="_Toc78976404"/>
      <w:r>
        <w:rPr>
          <w:rFonts w:hint="eastAsia"/>
          <w:color w:val="000000"/>
          <w:sz w:val="24"/>
          <w:szCs w:val="24"/>
        </w:rPr>
        <w:t xml:space="preserve">第六章  评标方法、采购政策、评分标准</w:t>
      </w:r>
      <w:bookmarkEnd w:id="51"/>
      <w:r>
        <w:rPr>
          <w:rFonts w:hint="eastAsia"/>
          <w:color w:val="000000"/>
          <w:sz w:val="24"/>
          <w:szCs w:val="24"/>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一、评标办法</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2、综合评分的主要因素为：价格、技术、财务状况、信誉、业绩、服务、对招标文件的响应程度，以及相应的比重或者数值等。总分值100分，价格分值占总分值的比重为15%（权重），技术及其它85%（权重）。</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本项目为服务采购项目。</w:t>
      </w:r>
      <w:r>
        <w:rPr>
          <w:rFonts w:ascii="宋体" w:hAnsi="宋体"/>
          <w:color w:val="000000"/>
          <w:szCs w:val="21"/>
        </w:rPr>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二、采购政策</w:t>
      </w:r>
      <w:r/>
    </w:p>
    <w:p>
      <w:pPr>
        <w:pStyle w:val="900"/>
        <w:ind w:firstLine="420"/>
        <w:spacing w:line="360" w:lineRule="auto"/>
        <w:rPr>
          <w:rFonts w:hint="eastAsia" w:ascii="宋体" w:hAnsi="宋体"/>
          <w:color w:val="000000"/>
          <w:szCs w:val="21"/>
        </w:rPr>
      </w:pPr>
      <w:r>
        <w:rPr>
          <w:rFonts w:hint="eastAsia" w:ascii="宋体" w:hAnsi="宋体"/>
          <w:color w:val="000000"/>
          <w:szCs w:val="21"/>
        </w:rPr>
        <w:t xml:space="preserve">本项目专门面向中小微企业采购，残疾人福利性单位、监狱企业视同小型、微型企业。</w:t>
      </w:r>
      <w:r/>
    </w:p>
    <w:p>
      <w:pPr>
        <w:pStyle w:val="900"/>
        <w:ind w:firstLine="420"/>
        <w:spacing w:line="360" w:lineRule="auto"/>
        <w:rPr>
          <w:rFonts w:ascii="宋体" w:hAnsi="宋体"/>
          <w:color w:val="000000"/>
          <w:szCs w:val="21"/>
        </w:rPr>
      </w:pPr>
      <w:r>
        <w:rPr>
          <w:rFonts w:hint="eastAsia" w:ascii="宋体" w:hAnsi="宋体"/>
          <w:color w:val="000000"/>
          <w:szCs w:val="21"/>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三、评分标准</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（一）价格（15分）</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w:t>
      </w:r>
      <w:r>
        <w:rPr>
          <w:rFonts w:hint="eastAsia" w:ascii="宋体" w:hAnsi="宋体"/>
          <w:color w:val="000000"/>
          <w:szCs w:val="21"/>
        </w:rPr>
        <w:t xml:space="preserve">总</w:t>
      </w:r>
      <w:r>
        <w:rPr>
          <w:rFonts w:ascii="宋体" w:hAnsi="宋体"/>
          <w:color w:val="000000"/>
          <w:szCs w:val="21"/>
        </w:rPr>
        <w:t xml:space="preserve">报价低于或等于财政预算价格的，为有效投标报价。超财政预算的投标报价为无效投标报价。无效投标报价的投标文件不进行评审，也不得</w:t>
      </w:r>
      <w:r>
        <w:rPr>
          <w:rFonts w:hint="eastAsia" w:ascii="宋体" w:hAnsi="宋体"/>
          <w:color w:val="000000"/>
          <w:szCs w:val="21"/>
        </w:rPr>
        <w:t xml:space="preserve">中</w:t>
      </w:r>
      <w:r>
        <w:rPr>
          <w:rFonts w:ascii="宋体" w:hAnsi="宋体"/>
          <w:color w:val="000000"/>
          <w:szCs w:val="21"/>
        </w:rPr>
        <w:t xml:space="preserve">标。</w:t>
      </w:r>
      <w:r/>
    </w:p>
    <w:p>
      <w:pPr>
        <w:pStyle w:val="900"/>
        <w:ind w:firstLine="420"/>
        <w:spacing w:line="360" w:lineRule="auto"/>
        <w:rPr>
          <w:rFonts w:ascii="宋体" w:hAnsi="宋体"/>
          <w:color w:val="000000"/>
          <w:szCs w:val="21"/>
        </w:rPr>
      </w:pPr>
      <w:r>
        <w:rPr>
          <w:rFonts w:hint="eastAsia" w:ascii="宋体" w:hAnsi="宋体"/>
          <w:color w:val="000000"/>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color w:val="000000"/>
          <w:szCs w:val="21"/>
        </w:rPr>
        <w:t xml:space="preserve">（如构成未实质性响应招标文件要求的，将不得中标）</w:t>
      </w:r>
      <w:r>
        <w:rPr>
          <w:rFonts w:hint="eastAsia" w:ascii="宋体" w:hAnsi="宋体"/>
          <w:color w:val="000000"/>
          <w:szCs w:val="21"/>
        </w:rPr>
        <w:t xml:space="preserve">。</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3、价格分采用低价优先法计算，即满足招标文件要求且投标价格最低的投标报价为评标基准价，其价格分为满分15分。其他投标人的价格分统一按照下列公式计算：</w:t>
      </w:r>
      <w:r>
        <w:rPr>
          <w:rFonts w:ascii="宋体" w:hAnsi="宋体"/>
          <w:color w:val="000000"/>
          <w:szCs w:val="21"/>
        </w:rPr>
      </w:r>
      <w:r/>
    </w:p>
    <w:p>
      <w:pPr>
        <w:pStyle w:val="900"/>
        <w:ind w:firstLine="420"/>
        <w:spacing w:line="360" w:lineRule="auto"/>
        <w:rPr>
          <w:rFonts w:ascii="宋体" w:hAnsi="宋体"/>
          <w:color w:val="000000"/>
          <w:szCs w:val="21"/>
        </w:rPr>
      </w:pPr>
      <w:r>
        <w:rPr>
          <w:rFonts w:hint="eastAsia" w:ascii="宋体" w:hAnsi="宋体"/>
          <w:color w:val="000000"/>
          <w:szCs w:val="21"/>
        </w:rPr>
        <w:t xml:space="preserve">投标报价得分=（评标基准价/投标报价）*价格权重*100，小数点后保留两位</w:t>
      </w:r>
      <w:r>
        <w:rPr>
          <w:rFonts w:ascii="宋体" w:hAnsi="宋体"/>
          <w:color w:val="000000"/>
          <w:szCs w:val="21"/>
        </w:rPr>
        <w:t xml:space="preserve">。</w:t>
      </w:r>
      <w:r/>
    </w:p>
    <w:p>
      <w:pPr>
        <w:pStyle w:val="900"/>
        <w:ind w:firstLine="420"/>
        <w:spacing w:line="360" w:lineRule="auto"/>
        <w:rPr>
          <w:rFonts w:ascii="宋体" w:hAnsi="宋体"/>
          <w:color w:val="000000"/>
          <w:szCs w:val="21"/>
        </w:rPr>
      </w:pPr>
      <w:r>
        <w:rPr>
          <w:rFonts w:hint="eastAsia" w:ascii="宋体" w:hAnsi="宋体"/>
          <w:color w:val="000000"/>
          <w:szCs w:val="21"/>
        </w:rPr>
        <w:t xml:space="preserve">(二)技术及其它（85分）：</w:t>
      </w:r>
      <w:r>
        <w:rPr>
          <w:rFonts w:ascii="宋体" w:hAnsi="宋体"/>
          <w:color w:val="000000"/>
          <w:szCs w:val="21"/>
        </w:rPr>
      </w:r>
      <w:r/>
    </w:p>
    <w:p>
      <w:pPr>
        <w:pStyle w:val="900"/>
        <w:ind w:left="360"/>
        <w:spacing w:line="360" w:lineRule="auto"/>
        <w:rPr>
          <w:rFonts w:ascii="宋体" w:hAnsi="宋体"/>
          <w:color w:val="000000"/>
          <w:szCs w:val="21"/>
        </w:rPr>
      </w:pPr>
      <w:r>
        <w:rPr>
          <w:rFonts w:ascii="宋体" w:hAnsi="宋体"/>
          <w:color w:val="000000"/>
          <w:sz w:val="24"/>
        </w:rPr>
        <w:br w:type="page" w:clear="all"/>
      </w:r>
      <w:r>
        <w:rPr>
          <w:rFonts w:hint="eastAsia" w:ascii="宋体" w:hAnsi="宋体"/>
          <w:color w:val="000000"/>
          <w:szCs w:val="21"/>
        </w:rPr>
        <w:t xml:space="preserve">初审评审指标</w:t>
      </w:r>
      <w:bookmarkStart w:id="52" w:name="gpc_pack_1_name_1"/>
      <w:r/>
      <w:bookmarkEnd w:id="52"/>
      <w:r>
        <w:rPr>
          <w:rFonts w:ascii="宋体" w:hAnsi="宋体"/>
          <w:color w:val="000000"/>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240"/>
        </w:trPr>
        <w:tc>
          <w:tcPr>
            <w:tcW w:w="687" w:type="pct"/>
            <w:vAlign w:val="center"/>
            <w:textDirection w:val="lrTb"/>
            <w:noWrap w:val="false"/>
          </w:tcPr>
          <w:p>
            <w:pPr>
              <w:pStyle w:val="900"/>
              <w:jc w:val="center"/>
              <w:rPr>
                <w:rFonts w:ascii="宋体" w:hAnsi="宋体"/>
                <w:color w:val="000000"/>
                <w:szCs w:val="21"/>
              </w:rPr>
            </w:pPr>
            <w:r/>
            <w:bookmarkStart w:id="53" w:name="gpc_accord_horizontal_1"/>
            <w:r/>
            <w:bookmarkStart w:id="54" w:name="gpc_accord_horizontal_2"/>
            <w:r/>
            <w:bookmarkStart w:id="55" w:name="gpc_accord_horizontal_3"/>
            <w:r/>
            <w:bookmarkStart w:id="56" w:name="gpc_accord_horizontal_4"/>
            <w:r>
              <w:rPr>
                <w:rFonts w:hint="eastAsia" w:ascii="宋体" w:hAnsi="宋体"/>
                <w:color w:val="000000"/>
                <w:szCs w:val="21"/>
              </w:rPr>
              <w:t xml:space="preserve">指标</w:t>
            </w:r>
            <w:r>
              <w:rPr>
                <w:rFonts w:ascii="宋体" w:hAnsi="宋体"/>
                <w:color w:val="000000"/>
                <w:szCs w:val="21"/>
              </w:rPr>
            </w:r>
            <w:r/>
          </w:p>
        </w:tc>
        <w:tc>
          <w:tcPr>
            <w:tcW w:w="2817" w:type="pct"/>
            <w:vAlign w:val="top"/>
            <w:textDirection w:val="lrTb"/>
            <w:noWrap w:val="false"/>
          </w:tcPr>
          <w:p>
            <w:pPr>
              <w:pStyle w:val="900"/>
              <w:jc w:val="center"/>
              <w:rPr>
                <w:rFonts w:ascii="宋体" w:hAnsi="宋体"/>
                <w:color w:val="000000"/>
                <w:szCs w:val="21"/>
              </w:rPr>
            </w:pPr>
            <w:r>
              <w:rPr>
                <w:rFonts w:hint="eastAsia" w:ascii="宋体" w:hAnsi="宋体"/>
                <w:color w:val="000000"/>
                <w:szCs w:val="21"/>
              </w:rPr>
              <w:t xml:space="preserve">描述</w:t>
            </w:r>
            <w:r>
              <w:rPr>
                <w:rFonts w:ascii="宋体" w:hAnsi="宋体"/>
                <w:color w:val="000000"/>
                <w:szCs w:val="21"/>
              </w:rPr>
            </w:r>
            <w:r/>
          </w:p>
        </w:tc>
        <w:tc>
          <w:tcPr>
            <w:tcW w:w="1496" w:type="pct"/>
            <w:vAlign w:val="top"/>
            <w:textDirection w:val="lrTb"/>
            <w:noWrap w:val="false"/>
          </w:tcPr>
          <w:p>
            <w:pPr>
              <w:pStyle w:val="900"/>
              <w:jc w:val="center"/>
              <w:rPr>
                <w:rFonts w:ascii="宋体" w:hAnsi="宋体"/>
                <w:color w:val="000000"/>
                <w:szCs w:val="21"/>
              </w:rPr>
            </w:pPr>
            <w:r>
              <w:rPr>
                <w:rFonts w:hint="eastAsia" w:ascii="宋体" w:hAnsi="宋体"/>
                <w:color w:val="000000"/>
                <w:szCs w:val="21"/>
              </w:rPr>
              <w:t xml:space="preserve">是否合格</w:t>
            </w:r>
            <w:r>
              <w:rPr>
                <w:rFonts w:ascii="宋体" w:hAnsi="宋体"/>
                <w:color w:val="000000"/>
                <w:szCs w:val="21"/>
              </w:rPr>
            </w:r>
            <w:r/>
          </w:p>
        </w:tc>
      </w:tr>
      <w:tr>
        <w:trPr>
          <w:trHeight w:val="438"/>
        </w:trPr>
        <w:tc>
          <w:tcPr>
            <w:tcW w:w="687" w:type="pct"/>
            <w:vAlign w:val="center"/>
            <w:textDirection w:val="lrTb"/>
            <w:noWrap w:val="false"/>
          </w:tcPr>
          <w:p>
            <w:pPr>
              <w:pStyle w:val="900"/>
              <w:jc w:val="center"/>
              <w:rPr>
                <w:rFonts w:ascii="宋体" w:hAnsi="宋体"/>
                <w:color w:val="000000"/>
                <w:szCs w:val="21"/>
              </w:rPr>
            </w:pPr>
            <w:r>
              <w:rPr>
                <w:rFonts w:hint="eastAsia" w:ascii="宋体" w:hAnsi="宋体"/>
                <w:color w:val="000000"/>
                <w:szCs w:val="21"/>
              </w:rPr>
              <w:t xml:space="preserve">资格性检查</w:t>
            </w:r>
            <w:r>
              <w:rPr>
                <w:rFonts w:ascii="宋体" w:hAnsi="宋体"/>
                <w:color w:val="000000"/>
                <w:szCs w:val="21"/>
              </w:rPr>
            </w:r>
            <w:r/>
          </w:p>
        </w:tc>
        <w:tc>
          <w:tcPr>
            <w:tcW w:w="2817" w:type="pct"/>
            <w:vAlign w:val="top"/>
            <w:textDirection w:val="lrTb"/>
            <w:noWrap w:val="false"/>
          </w:tcPr>
          <w:p>
            <w:pPr>
              <w:pStyle w:val="900"/>
              <w:jc w:val="center"/>
              <w:rPr>
                <w:color w:val="000000"/>
                <w:szCs w:val="21"/>
              </w:rPr>
            </w:pPr>
            <w:r>
              <w:rPr>
                <w:rFonts w:hint="eastAsia"/>
                <w:color w:val="000000"/>
                <w:szCs w:val="21"/>
              </w:rPr>
              <w:t xml:space="preserve">详见第一章投标邀请函投标人资质要求</w:t>
            </w:r>
            <w:r>
              <w:rPr>
                <w:color w:val="000000"/>
                <w:szCs w:val="21"/>
              </w:rPr>
            </w:r>
            <w:r/>
          </w:p>
        </w:tc>
        <w:tc>
          <w:tcPr>
            <w:tcW w:w="1496" w:type="pct"/>
            <w:vAlign w:val="top"/>
            <w:textDirection w:val="lrTb"/>
            <w:noWrap w:val="false"/>
          </w:tcPr>
          <w:p>
            <w:pPr>
              <w:pStyle w:val="900"/>
              <w:jc w:val="center"/>
              <w:rPr>
                <w:rFonts w:ascii="宋体" w:hAnsi="宋体"/>
                <w:color w:val="000000"/>
                <w:szCs w:val="21"/>
              </w:rPr>
            </w:pPr>
            <w:r>
              <w:rPr>
                <w:rFonts w:ascii="宋体" w:hAnsi="宋体"/>
                <w:color w:val="000000"/>
                <w:szCs w:val="21"/>
              </w:rPr>
            </w:r>
            <w:r/>
          </w:p>
        </w:tc>
      </w:tr>
      <w:tr>
        <w:trPr>
          <w:trHeight w:val="438"/>
        </w:trPr>
        <w:tc>
          <w:tcPr>
            <w:tcW w:w="687" w:type="pct"/>
            <w:vAlign w:val="center"/>
            <w:textDirection w:val="lrTb"/>
            <w:noWrap w:val="false"/>
          </w:tcPr>
          <w:p>
            <w:pPr>
              <w:pStyle w:val="900"/>
              <w:jc w:val="center"/>
              <w:rPr>
                <w:rFonts w:ascii="宋体" w:hAnsi="宋体"/>
                <w:color w:val="000000"/>
                <w:szCs w:val="21"/>
              </w:rPr>
            </w:pPr>
            <w:r>
              <w:rPr>
                <w:rFonts w:hint="eastAsia" w:ascii="宋体" w:hAnsi="宋体"/>
                <w:color w:val="000000"/>
                <w:szCs w:val="21"/>
              </w:rPr>
              <w:t xml:space="preserve">符合性检查</w:t>
            </w:r>
            <w:r>
              <w:rPr>
                <w:rFonts w:ascii="宋体" w:hAnsi="宋体"/>
                <w:color w:val="000000"/>
                <w:szCs w:val="21"/>
              </w:rPr>
            </w:r>
            <w:r/>
          </w:p>
        </w:tc>
        <w:tc>
          <w:tcPr>
            <w:tcW w:w="2817" w:type="pct"/>
            <w:vAlign w:val="top"/>
            <w:textDirection w:val="lrTb"/>
            <w:noWrap w:val="false"/>
          </w:tcPr>
          <w:p>
            <w:pPr>
              <w:pStyle w:val="900"/>
              <w:jc w:val="center"/>
              <w:rPr>
                <w:rFonts w:ascii="宋体" w:hAnsi="宋体"/>
                <w:color w:val="000000"/>
                <w:szCs w:val="21"/>
              </w:rPr>
            </w:pPr>
            <w:r>
              <w:rPr>
                <w:rFonts w:hint="eastAsia" w:ascii="宋体" w:hAnsi="宋体"/>
                <w:color w:val="000000"/>
                <w:szCs w:val="21"/>
              </w:rPr>
              <w:t xml:space="preserve">工期（服务期）、响应时间、质保期（如有）、付款方式、投标内容</w:t>
            </w:r>
            <w:r>
              <w:rPr>
                <w:rFonts w:ascii="宋体" w:hAnsi="宋体"/>
                <w:color w:val="000000"/>
                <w:szCs w:val="21"/>
              </w:rPr>
            </w:r>
            <w:r/>
          </w:p>
        </w:tc>
        <w:tc>
          <w:tcPr>
            <w:tcW w:w="1496" w:type="pct"/>
            <w:vAlign w:val="top"/>
            <w:textDirection w:val="lrTb"/>
            <w:noWrap w:val="false"/>
          </w:tcPr>
          <w:p>
            <w:pPr>
              <w:pStyle w:val="900"/>
              <w:jc w:val="center"/>
              <w:rPr>
                <w:rFonts w:ascii="宋体" w:hAnsi="宋体"/>
                <w:color w:val="000000"/>
                <w:szCs w:val="21"/>
              </w:rPr>
            </w:pPr>
            <w:r>
              <w:rPr>
                <w:rFonts w:ascii="宋体" w:hAnsi="宋体"/>
                <w:color w:val="000000"/>
                <w:szCs w:val="21"/>
              </w:rPr>
            </w:r>
            <w:r/>
          </w:p>
        </w:tc>
      </w:tr>
    </w:tbl>
    <w:p>
      <w:pPr>
        <w:pStyle w:val="900"/>
        <w:ind w:left="360"/>
        <w:spacing w:line="360" w:lineRule="auto"/>
        <w:rPr>
          <w:rFonts w:hint="eastAsia" w:ascii="宋体" w:hAnsi="宋体"/>
          <w:color w:val="000000"/>
          <w:szCs w:val="21"/>
        </w:rPr>
      </w:pPr>
      <w:r/>
      <w:bookmarkEnd w:id="53"/>
      <w:r/>
      <w:bookmarkEnd w:id="54"/>
      <w:r/>
      <w:bookmarkEnd w:id="55"/>
      <w:r/>
      <w:bookmarkEnd w:id="56"/>
      <w:r>
        <w:rPr>
          <w:rFonts w:hint="eastAsia" w:ascii="宋体" w:hAnsi="宋体"/>
          <w:color w:val="000000"/>
          <w:szCs w:val="21"/>
        </w:rPr>
        <w:t xml:space="preserve">复审评审指标</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558"/>
        <w:gridCol w:w="5929"/>
        <w:gridCol w:w="698"/>
      </w:tblGrid>
      <w:tr>
        <w:trPr>
          <w:trHeight w:val="367"/>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pStyle w:val="900"/>
              <w:jc w:val="center"/>
              <w:rPr>
                <w:szCs w:val="21"/>
              </w:rPr>
            </w:pPr>
            <w:r/>
            <w:bookmarkStart w:id="57" w:name="gpc_score_horizontal_2"/>
            <w:r/>
            <w:bookmarkStart w:id="58" w:name="gpc_score_horizontal_3"/>
            <w:r/>
            <w:bookmarkStart w:id="59" w:name="gpc_score_horizontal_4"/>
            <w:r/>
            <w:bookmarkStart w:id="60" w:name="gpc_score_horizontal_1"/>
            <w:r>
              <w:rPr>
                <w:rFonts w:hint="eastAsia"/>
                <w:szCs w:val="21"/>
              </w:rPr>
              <w:t xml:space="preserve">评审类别</w:t>
            </w: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szCs w:val="21"/>
              </w:rPr>
            </w:pPr>
            <w:r>
              <w:rPr>
                <w:rFonts w:hint="eastAsia"/>
                <w:szCs w:val="21"/>
              </w:rPr>
              <w:t xml:space="preserve">评审项</w:t>
            </w:r>
            <w:r>
              <w:rPr>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center"/>
              <w:rPr>
                <w:szCs w:val="21"/>
              </w:rPr>
            </w:pPr>
            <w:r>
              <w:rPr>
                <w:rFonts w:hint="eastAsia"/>
                <w:szCs w:val="21"/>
              </w:rPr>
              <w:t xml:space="preserve">评审规则</w:t>
            </w:r>
            <w:r>
              <w:rPr>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szCs w:val="21"/>
              </w:rPr>
            </w:pPr>
            <w:r>
              <w:rPr>
                <w:rFonts w:hint="eastAsia"/>
                <w:szCs w:val="21"/>
              </w:rPr>
              <w:t xml:space="preserve">分值</w:t>
            </w:r>
            <w:r>
              <w:rPr>
                <w:szCs w:val="21"/>
              </w:rPr>
            </w:r>
            <w:r/>
          </w:p>
        </w:tc>
      </w:tr>
      <w:tr>
        <w:trPr>
          <w:trHeight w:val="513"/>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pStyle w:val="900"/>
              <w:jc w:val="center"/>
              <w:rPr>
                <w:szCs w:val="21"/>
              </w:rPr>
            </w:pPr>
            <w:r>
              <w:rPr>
                <w:rFonts w:hint="eastAsia"/>
                <w:szCs w:val="21"/>
              </w:rPr>
              <w:t xml:space="preserve">价格</w:t>
            </w: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szCs w:val="21"/>
              </w:rPr>
            </w:pPr>
            <w:r>
              <w:rPr>
                <w:rFonts w:hint="eastAsia"/>
                <w:szCs w:val="21"/>
              </w:rPr>
              <w:t xml:space="preserve">评审指标</w:t>
            </w:r>
            <w:r>
              <w:rPr>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rPr>
                <w:szCs w:val="21"/>
              </w:rPr>
            </w:pPr>
            <w:r>
              <w:rPr>
                <w:rFonts w:hint="eastAsia"/>
                <w:szCs w:val="21"/>
                <w:lang w:val="zh-CN"/>
              </w:rPr>
              <w:t xml:space="preserve">投标报价得分</w:t>
            </w:r>
            <w:r>
              <w:rPr>
                <w:szCs w:val="21"/>
                <w:lang w:val="zh-CN"/>
              </w:rPr>
              <w:t xml:space="preserve">=</w:t>
            </w:r>
            <w:r>
              <w:rPr>
                <w:rFonts w:hint="eastAsia"/>
                <w:szCs w:val="21"/>
                <w:lang w:val="zh-CN"/>
              </w:rPr>
              <w:t xml:space="preserve">（评标基准价</w:t>
            </w:r>
            <w:r>
              <w:rPr>
                <w:szCs w:val="21"/>
                <w:lang w:val="zh-CN"/>
              </w:rPr>
              <w:t xml:space="preserve">/</w:t>
            </w:r>
            <w:r>
              <w:rPr>
                <w:rFonts w:hint="eastAsia"/>
                <w:szCs w:val="21"/>
                <w:lang w:val="zh-CN"/>
              </w:rPr>
              <w:t xml:space="preserve">投标报价）</w:t>
            </w:r>
            <w:r>
              <w:rPr>
                <w:szCs w:val="21"/>
                <w:lang w:val="zh-CN"/>
              </w:rPr>
              <w:t xml:space="preserve">*</w:t>
            </w:r>
            <w:r>
              <w:rPr>
                <w:rFonts w:hint="eastAsia"/>
                <w:szCs w:val="21"/>
                <w:lang w:val="zh-CN"/>
              </w:rPr>
              <w:t xml:space="preserve">价格权值</w:t>
            </w:r>
            <w:r>
              <w:rPr>
                <w:szCs w:val="21"/>
                <w:lang w:val="zh-CN"/>
              </w:rPr>
              <w:t xml:space="preserve">*100</w:t>
            </w:r>
            <w:r>
              <w:rPr>
                <w:rFonts w:hint="eastAsia"/>
                <w:szCs w:val="21"/>
                <w:lang w:val="zh-CN"/>
              </w:rPr>
              <w:t xml:space="preserve">，小数点后保留两位。</w:t>
            </w:r>
            <w:r>
              <w:rPr>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szCs w:val="21"/>
              </w:rPr>
            </w:pPr>
            <w:r>
              <w:rPr>
                <w:rFonts w:hint="eastAsia"/>
                <w:szCs w:val="21"/>
              </w:rPr>
              <w:t xml:space="preserve">15</w:t>
            </w:r>
            <w:r>
              <w:rPr>
                <w:szCs w:val="21"/>
              </w:rPr>
            </w:r>
            <w:r/>
          </w:p>
        </w:tc>
      </w:tr>
      <w:tr>
        <w:trPr>
          <w:cantSplit/>
          <w:trHeight w:val="513"/>
        </w:trPr>
        <w:tc>
          <w:tcPr>
            <w:tcBorders>
              <w:top w:val="single" w:color="000000" w:sz="4" w:space="0"/>
              <w:left w:val="single" w:color="000000" w:sz="4" w:space="0"/>
              <w:bottom w:val="single" w:color="000000" w:sz="4" w:space="0"/>
              <w:right w:val="single" w:color="000000" w:sz="4" w:space="0"/>
            </w:tcBorders>
            <w:tcW w:w="593" w:type="pct"/>
            <w:vAlign w:val="center"/>
            <w:vMerge w:val="restart"/>
            <w:textDirection w:val="lrTb"/>
            <w:noWrap w:val="false"/>
          </w:tcPr>
          <w:p>
            <w:pPr>
              <w:pStyle w:val="900"/>
              <w:jc w:val="center"/>
              <w:rPr>
                <w:szCs w:val="21"/>
              </w:rPr>
            </w:pPr>
            <w:r>
              <w:rPr>
                <w:rFonts w:hint="eastAsia"/>
                <w:szCs w:val="21"/>
              </w:rPr>
              <w:t xml:space="preserve">技术部分（56分）</w:t>
            </w: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spacing w:line="360" w:lineRule="auto"/>
              <w:rPr>
                <w:szCs w:val="21"/>
              </w:rPr>
            </w:pPr>
            <w:r>
              <w:rPr>
                <w:rFonts w:hint="eastAsia" w:ascii="宋体" w:hAnsi="宋体"/>
                <w:bCs/>
                <w:szCs w:val="21"/>
              </w:rPr>
              <w:t xml:space="preserve">项目实施方案</w:t>
            </w:r>
            <w:r>
              <w:rPr>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rPr>
                <w:rFonts w:ascii="宋体" w:hAnsi="宋体"/>
                <w:bCs/>
                <w:szCs w:val="21"/>
              </w:rPr>
            </w:pPr>
            <w:r>
              <w:rPr>
                <w:rFonts w:hint="eastAsia"/>
                <w:szCs w:val="21"/>
                <w:lang w:val="zh-CN"/>
              </w:rPr>
              <w:t xml:space="preserve">服务方案：服务方案系统，措施有效扎实，能满足本项目需求，否则不得分，其中应包含正常情况的抽样检测方案4分 和应急情况下的抽样检测方案4分。本项最高8分。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hint="eastAsia"/>
                <w:szCs w:val="21"/>
              </w:rPr>
            </w:pPr>
            <w:r>
              <w:rPr>
                <w:rFonts w:hint="eastAsia"/>
                <w:szCs w:val="21"/>
              </w:rPr>
              <w:t xml:space="preserve">8</w:t>
            </w:r>
            <w:r/>
          </w:p>
        </w:tc>
      </w:tr>
      <w:tr>
        <w:trPr>
          <w:cantSplit/>
          <w:trHeight w:val="513"/>
        </w:trPr>
        <w:tc>
          <w:tcPr>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spacing w:line="360" w:lineRule="auto"/>
              <w:rPr>
                <w:szCs w:val="21"/>
              </w:rPr>
            </w:pPr>
            <w:r>
              <w:rPr>
                <w:rFonts w:hint="eastAsia" w:ascii="宋体" w:hAnsi="宋体"/>
                <w:bCs/>
                <w:szCs w:val="21"/>
              </w:rPr>
              <w:t xml:space="preserve">具体</w:t>
            </w:r>
            <w:r>
              <w:rPr>
                <w:rFonts w:hint="eastAsia" w:ascii="宋体" w:hAnsi="宋体"/>
                <w:szCs w:val="21"/>
              </w:rPr>
              <w:t xml:space="preserve">检测</w:t>
            </w:r>
            <w:r>
              <w:rPr>
                <w:rFonts w:hint="eastAsia" w:ascii="宋体" w:hAnsi="宋体"/>
                <w:bCs/>
                <w:szCs w:val="21"/>
              </w:rPr>
              <w:t xml:space="preserve">方案</w:t>
            </w:r>
            <w:r>
              <w:rPr>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rPr>
                <w:szCs w:val="21"/>
              </w:rPr>
            </w:pPr>
            <w:r>
              <w:rPr>
                <w:rFonts w:hint="eastAsia"/>
                <w:szCs w:val="21"/>
                <w:lang w:val="zh-CN"/>
              </w:rPr>
              <w:t xml:space="preserve">检测方案：检测方案系统，措施有效扎实，能满足本项目采购需求，检测方案包含实验室保证，物资及车辆保障方案，组织结构及职责分工等。检测方案需要结合本项目的实际，系统、具体、科执行，最高8分。</w:t>
            </w:r>
            <w:r>
              <w:rPr>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hint="eastAsia"/>
                <w:szCs w:val="21"/>
              </w:rPr>
            </w:pPr>
            <w:r>
              <w:rPr>
                <w:rFonts w:hint="eastAsia"/>
                <w:szCs w:val="21"/>
              </w:rPr>
              <w:t xml:space="preserve">8</w:t>
            </w:r>
            <w:r/>
          </w:p>
        </w:tc>
      </w:tr>
      <w:tr>
        <w:trPr>
          <w:cantSplit/>
          <w:trHeight w:val="513"/>
        </w:trPr>
        <w:tc>
          <w:tcPr>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spacing w:line="360" w:lineRule="auto"/>
              <w:rPr>
                <w:rFonts w:hint="eastAsia"/>
                <w:szCs w:val="21"/>
              </w:rPr>
            </w:pPr>
            <w:r>
              <w:rPr>
                <w:rFonts w:hint="eastAsia"/>
                <w:szCs w:val="21"/>
              </w:rPr>
              <w:t xml:space="preserve">质量控制方案</w:t>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rPr>
                <w:rFonts w:hint="eastAsia"/>
                <w:szCs w:val="21"/>
                <w:lang w:val="zh-CN"/>
              </w:rPr>
            </w:pPr>
            <w:r>
              <w:rPr>
                <w:rFonts w:hint="eastAsia"/>
                <w:szCs w:val="21"/>
                <w:lang w:val="zh-CN"/>
              </w:rPr>
              <w:t xml:space="preserve">投标人根据自己的实际情况及本项目的需求情况，制定针对本项目的质量控制方案，质量控制方案需要从现场抽样（现场制样）控制、样品冷藏及样品运输、实验室检测及检测报告质量，资料储存及查询等方面，制定详细的质量控制措施。评标委员会针对每个阶段的质量控制档案综合打分，最高10分。</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hint="eastAsia"/>
                <w:szCs w:val="21"/>
              </w:rPr>
            </w:pPr>
            <w:r>
              <w:rPr>
                <w:rFonts w:hint="eastAsia"/>
                <w:szCs w:val="21"/>
              </w:rPr>
              <w:t xml:space="preserve">10</w:t>
            </w:r>
            <w:r/>
          </w:p>
        </w:tc>
      </w:tr>
      <w:tr>
        <w:trPr>
          <w:cantSplit/>
          <w:trHeight w:val="513"/>
        </w:trPr>
        <w:tc>
          <w:tcPr>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spacing w:line="360" w:lineRule="auto"/>
              <w:rPr>
                <w:rFonts w:hint="eastAsia" w:ascii="宋体" w:hAnsi="宋体"/>
                <w:bCs/>
                <w:szCs w:val="21"/>
              </w:rPr>
            </w:pPr>
            <w:r>
              <w:rPr>
                <w:rFonts w:hint="eastAsia"/>
                <w:szCs w:val="21"/>
              </w:rPr>
              <w:t xml:space="preserve">企业内部建制和管理状况</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rPr>
                <w:rFonts w:hint="eastAsia" w:ascii="宋体" w:hAnsi="宋体"/>
                <w:szCs w:val="21"/>
              </w:rPr>
            </w:pPr>
            <w:r>
              <w:rPr>
                <w:rFonts w:hint="eastAsia"/>
                <w:szCs w:val="21"/>
                <w:lang w:val="zh-CN"/>
              </w:rPr>
              <w:t xml:space="preserve">根据企业内部建制和管理状：包含企业架构、人员及岗位职责、文件及资料管控等，企业建制需要结合本项目的实际，系统、具体、可执行，每个1分，最高6分。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hint="eastAsia"/>
                <w:szCs w:val="21"/>
              </w:rPr>
            </w:pPr>
            <w:r>
              <w:rPr>
                <w:rFonts w:hint="eastAsia"/>
                <w:szCs w:val="21"/>
              </w:rPr>
              <w:t xml:space="preserve">6</w:t>
            </w:r>
            <w:r/>
          </w:p>
        </w:tc>
      </w:tr>
      <w:tr>
        <w:trPr>
          <w:cantSplit/>
          <w:trHeight w:val="513"/>
        </w:trPr>
        <w:tc>
          <w:tcPr>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right w:val="single" w:color="000000" w:sz="4" w:space="0"/>
            </w:tcBorders>
            <w:tcW w:w="839" w:type="pct"/>
            <w:vAlign w:val="center"/>
            <w:textDirection w:val="lrTb"/>
            <w:noWrap w:val="false"/>
          </w:tcPr>
          <w:p>
            <w:pPr>
              <w:pStyle w:val="900"/>
              <w:jc w:val="center"/>
              <w:rPr>
                <w:szCs w:val="21"/>
              </w:rPr>
            </w:pPr>
            <w:r>
              <w:rPr>
                <w:rFonts w:hint="eastAsia" w:ascii="宋体" w:hAnsi="宋体"/>
                <w:bCs/>
                <w:szCs w:val="21"/>
              </w:rPr>
              <w:t xml:space="preserve">人员配备方案</w:t>
            </w:r>
            <w:r>
              <w:rPr>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rPr>
                <w:szCs w:val="21"/>
                <w:lang w:val="zh-CN"/>
              </w:rPr>
            </w:pPr>
            <w:r>
              <w:rPr>
                <w:rFonts w:hint="eastAsia"/>
                <w:szCs w:val="21"/>
                <w:lang w:val="zh-CN"/>
              </w:rPr>
              <w:t xml:space="preserve">人员配置及安排：针对本项目，成立专门的服务团队，有明确的组织结构，人员岗位职责及分工，流程管理、奖惩措施，人员配置及工作安排，需要结合本项目的实际，系统、具体、科执行，每个2分，最高8分。</w:t>
            </w:r>
            <w:r>
              <w:rPr>
                <w:szCs w:val="21"/>
                <w:lang w:val="zh-CN"/>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hint="eastAsia"/>
                <w:szCs w:val="21"/>
              </w:rPr>
            </w:pPr>
            <w:r>
              <w:rPr>
                <w:rFonts w:hint="eastAsia"/>
                <w:szCs w:val="21"/>
              </w:rPr>
              <w:t xml:space="preserve">8</w:t>
            </w:r>
            <w:r/>
          </w:p>
        </w:tc>
      </w:tr>
      <w:tr>
        <w:trPr>
          <w:cantSplit/>
          <w:trHeight w:val="488"/>
        </w:trPr>
        <w:tc>
          <w:tcPr>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left w:val="single" w:color="000000" w:sz="4" w:space="0"/>
              <w:right w:val="single" w:color="000000" w:sz="4" w:space="0"/>
            </w:tcBorders>
            <w:tcW w:w="839" w:type="pct"/>
            <w:vAlign w:val="center"/>
            <w:textDirection w:val="lrTb"/>
            <w:noWrap w:val="false"/>
          </w:tcPr>
          <w:p>
            <w:pPr>
              <w:pStyle w:val="900"/>
              <w:jc w:val="center"/>
              <w:rPr>
                <w:szCs w:val="21"/>
              </w:rPr>
            </w:pPr>
            <w:r>
              <w:rPr>
                <w:rFonts w:hint="eastAsia" w:ascii="宋体" w:hAnsi="宋体"/>
                <w:bCs/>
                <w:szCs w:val="21"/>
              </w:rPr>
              <w:t xml:space="preserve">项目负责人</w:t>
            </w:r>
            <w:r>
              <w:rPr>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rPr>
                <w:rFonts w:ascii="宋体" w:hAnsi="宋体"/>
                <w:szCs w:val="21"/>
              </w:rPr>
            </w:pPr>
            <w:r>
              <w:rPr>
                <w:rFonts w:hint="eastAsia"/>
                <w:szCs w:val="21"/>
                <w:lang w:val="zh-CN"/>
              </w:rPr>
              <w:t xml:space="preserve">项目负责人：有农产品或食品检测工作经验且具有高级职称的或有10年检测工作经验且具有中级及以上职称的得2分。投标文件中提供其工作履历及职称证书复印件，否则不得分。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szCs w:val="21"/>
              </w:rPr>
            </w:pPr>
            <w:r>
              <w:rPr>
                <w:rFonts w:hint="eastAsia"/>
                <w:szCs w:val="21"/>
              </w:rPr>
              <w:t xml:space="preserve">2</w:t>
            </w:r>
            <w:r>
              <w:rPr>
                <w:szCs w:val="21"/>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left w:val="single" w:color="000000" w:sz="4" w:space="0"/>
              <w:right w:val="single" w:color="000000" w:sz="4" w:space="0"/>
            </w:tcBorders>
            <w:tcW w:w="839" w:type="pct"/>
            <w:vAlign w:val="center"/>
            <w:textDirection w:val="lrTb"/>
            <w:noWrap w:val="false"/>
          </w:tcPr>
          <w:p>
            <w:pPr>
              <w:pStyle w:val="900"/>
              <w:jc w:val="center"/>
              <w:rPr>
                <w:rFonts w:ascii="宋体" w:hAnsi="宋体"/>
                <w:bCs/>
                <w:szCs w:val="21"/>
              </w:rPr>
            </w:pPr>
            <w:r>
              <w:rPr>
                <w:rFonts w:hint="eastAsia" w:ascii="宋体" w:hAnsi="宋体"/>
                <w:szCs w:val="21"/>
              </w:rPr>
              <w:t xml:space="preserve">工作人员</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rPr>
                <w:rFonts w:ascii="宋体" w:hAnsi="宋体"/>
                <w:bCs/>
                <w:szCs w:val="21"/>
              </w:rPr>
            </w:pPr>
            <w:r>
              <w:rPr>
                <w:rFonts w:hint="eastAsia"/>
                <w:szCs w:val="21"/>
                <w:lang w:val="zh-CN"/>
              </w:rPr>
              <w:t xml:space="preserve">工作人员：参与本项目的专业技术人员（采样制样人员+检验人员）中具有中级及以上职称人数达到</w:t>
            </w:r>
            <w:r>
              <w:rPr>
                <w:szCs w:val="21"/>
                <w:lang w:val="zh-CN"/>
              </w:rPr>
              <w:t xml:space="preserve">2</w:t>
            </w:r>
            <w:r>
              <w:rPr>
                <w:rFonts w:hint="eastAsia"/>
                <w:szCs w:val="21"/>
                <w:lang w:val="zh-CN"/>
              </w:rPr>
              <w:t xml:space="preserve">人得</w:t>
            </w:r>
            <w:r>
              <w:rPr>
                <w:szCs w:val="21"/>
                <w:lang w:val="zh-CN"/>
              </w:rPr>
              <w:t xml:space="preserve">1</w:t>
            </w:r>
            <w:r>
              <w:rPr>
                <w:rFonts w:hint="eastAsia"/>
                <w:szCs w:val="21"/>
                <w:lang w:val="zh-CN"/>
              </w:rPr>
              <w:t xml:space="preserve">分，每增加</w:t>
            </w:r>
            <w:r>
              <w:rPr>
                <w:szCs w:val="21"/>
                <w:lang w:val="zh-CN"/>
              </w:rPr>
              <w:t xml:space="preserve">1</w:t>
            </w:r>
            <w:r>
              <w:rPr>
                <w:rFonts w:hint="eastAsia"/>
                <w:szCs w:val="21"/>
                <w:lang w:val="zh-CN"/>
              </w:rPr>
              <w:t xml:space="preserve">人加1分，最高得分</w:t>
            </w:r>
            <w:r>
              <w:rPr>
                <w:szCs w:val="21"/>
                <w:lang w:val="zh-CN"/>
              </w:rPr>
              <w:t xml:space="preserve">5</w:t>
            </w:r>
            <w:r>
              <w:rPr>
                <w:rFonts w:hint="eastAsia"/>
                <w:szCs w:val="21"/>
                <w:lang w:val="zh-CN"/>
              </w:rPr>
              <w:t xml:space="preserve">分。</w:t>
            </w:r>
            <w:r>
              <w:rPr>
                <w:szCs w:val="21"/>
                <w:lang w:val="zh-CN"/>
              </w:rPr>
              <w:t xml:space="preserve">投标文件中提供投标单位为上述人员缴纳的</w:t>
            </w:r>
            <w:r>
              <w:rPr>
                <w:rFonts w:hint="eastAsia"/>
                <w:szCs w:val="21"/>
                <w:lang w:val="zh-CN"/>
              </w:rPr>
              <w:t xml:space="preserve">近3个月</w:t>
            </w:r>
            <w:r>
              <w:rPr>
                <w:szCs w:val="21"/>
                <w:lang w:val="zh-CN"/>
              </w:rPr>
              <w:t xml:space="preserve">的社保证明复印件，</w:t>
            </w:r>
            <w:r>
              <w:rPr>
                <w:rFonts w:hint="eastAsia"/>
                <w:szCs w:val="21"/>
                <w:lang w:val="zh-CN"/>
              </w:rPr>
              <w:t xml:space="preserve">以及职称证书复印件。</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szCs w:val="21"/>
              </w:rPr>
            </w:pPr>
            <w:r>
              <w:rPr>
                <w:szCs w:val="21"/>
              </w:rPr>
              <w:t xml:space="preserve">5</w:t>
            </w:r>
            <w:r/>
          </w:p>
        </w:tc>
      </w:tr>
      <w:tr>
        <w:trPr>
          <w:cantSplit/>
          <w:trHeight w:val="513"/>
        </w:trPr>
        <w:tc>
          <w:tcPr>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left w:val="single" w:color="000000" w:sz="4" w:space="0"/>
              <w:bottom w:val="single" w:color="000000" w:sz="4" w:space="0"/>
              <w:right w:val="single" w:color="000000" w:sz="4" w:space="0"/>
            </w:tcBorders>
            <w:tcW w:w="839" w:type="pct"/>
            <w:vAlign w:val="center"/>
            <w:textDirection w:val="lrTb"/>
            <w:noWrap w:val="false"/>
          </w:tcPr>
          <w:p>
            <w:pPr>
              <w:pStyle w:val="900"/>
              <w:jc w:val="center"/>
              <w:rPr>
                <w:szCs w:val="21"/>
              </w:rPr>
            </w:pPr>
            <w:r>
              <w:rPr>
                <w:rFonts w:hint="eastAsia" w:ascii="宋体" w:hAnsi="宋体"/>
                <w:szCs w:val="21"/>
              </w:rPr>
              <w:t xml:space="preserve">荣誉</w:t>
            </w:r>
            <w:r>
              <w:rPr>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rPr>
                <w:rFonts w:hint="eastAsia"/>
                <w:szCs w:val="21"/>
                <w:lang w:val="zh-CN"/>
              </w:rPr>
            </w:pPr>
            <w:r>
              <w:rPr>
                <w:rFonts w:hint="eastAsia"/>
                <w:szCs w:val="21"/>
                <w:lang w:val="zh-CN"/>
              </w:rPr>
              <w:t xml:space="preserve">202</w:t>
            </w:r>
            <w:r>
              <w:rPr>
                <w:rFonts w:hint="eastAsia"/>
                <w:szCs w:val="21"/>
              </w:rPr>
              <w:t xml:space="preserve">2</w:t>
            </w:r>
            <w:r>
              <w:rPr>
                <w:rFonts w:hint="eastAsia"/>
                <w:szCs w:val="21"/>
                <w:lang w:val="zh-CN"/>
              </w:rPr>
              <w:t xml:space="preserve">年1月1日至今参加过设区市及以上农产品或食品安全检验机构能力比对，并获得荣誉证书的或参与过国家食品安全检测方法标准或国家食品安全标准、食品安全地方标准制定的经验的，</w:t>
            </w:r>
            <w:r>
              <w:rPr>
                <w:szCs w:val="21"/>
                <w:lang w:val="zh-CN"/>
              </w:rPr>
              <w:t xml:space="preserve">2</w:t>
            </w:r>
            <w:r>
              <w:rPr>
                <w:rFonts w:hint="eastAsia"/>
                <w:szCs w:val="21"/>
                <w:lang w:val="zh-CN"/>
              </w:rPr>
              <w:t xml:space="preserve">分(需提供相关证明材料，否则不得分)。</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szCs w:val="21"/>
              </w:rPr>
            </w:pPr>
            <w:r>
              <w:rPr>
                <w:szCs w:val="21"/>
              </w:rPr>
              <w:t xml:space="preserve">2</w:t>
            </w:r>
            <w:r/>
          </w:p>
        </w:tc>
      </w:tr>
      <w:tr>
        <w:trPr>
          <w:cantSplit/>
          <w:trHeight w:val="513"/>
        </w:trPr>
        <w:tc>
          <w:tcPr>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rFonts w:hint="eastAsia" w:ascii="宋体" w:hAnsi="宋体"/>
                <w:bCs/>
                <w:szCs w:val="21"/>
              </w:rPr>
            </w:pPr>
            <w:r>
              <w:rPr>
                <w:rFonts w:hint="eastAsia" w:ascii="宋体" w:hAnsi="宋体"/>
                <w:bCs/>
                <w:szCs w:val="21"/>
              </w:rPr>
              <w:t xml:space="preserve">其他增值服务</w:t>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rPr>
                <w:rFonts w:hint="eastAsia" w:ascii="宋体" w:hAnsi="宋体"/>
                <w:szCs w:val="21"/>
              </w:rPr>
            </w:pPr>
            <w:r>
              <w:rPr>
                <w:rFonts w:hint="eastAsia"/>
                <w:szCs w:val="21"/>
                <w:lang w:val="zh-CN"/>
              </w:rPr>
              <w:t xml:space="preserve">根据投标人提供的其他增值服务等进行对比打分，没有内容不得分。</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hint="eastAsia"/>
                <w:szCs w:val="21"/>
              </w:rPr>
            </w:pPr>
            <w:r>
              <w:rPr>
                <w:szCs w:val="21"/>
              </w:rPr>
              <w:t xml:space="preserve">2</w:t>
            </w:r>
            <w:r>
              <w:rPr>
                <w:rFonts w:hint="eastAsia"/>
                <w:szCs w:val="21"/>
              </w:rPr>
            </w:r>
            <w:r/>
          </w:p>
        </w:tc>
      </w:tr>
      <w:tr>
        <w:trPr>
          <w:cantSplit/>
          <w:trHeight w:val="513"/>
        </w:trPr>
        <w:tc>
          <w:tcPr>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rFonts w:hint="eastAsia" w:ascii="宋体" w:hAnsi="宋体"/>
                <w:bCs/>
                <w:szCs w:val="21"/>
              </w:rPr>
            </w:pPr>
            <w:r>
              <w:rPr>
                <w:rFonts w:hint="eastAsia" w:ascii="宋体" w:hAnsi="宋体"/>
                <w:bCs/>
                <w:szCs w:val="21"/>
              </w:rPr>
              <w:t xml:space="preserve">考核内容</w:t>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rPr>
                <w:rFonts w:hint="eastAsia"/>
                <w:szCs w:val="21"/>
                <w:lang w:val="zh-CN"/>
              </w:rPr>
            </w:pPr>
            <w:r>
              <w:rPr>
                <w:rFonts w:hint="eastAsia"/>
                <w:szCs w:val="21"/>
                <w:lang w:val="zh-CN"/>
              </w:rPr>
              <w:t xml:space="preserve">投标人通过CATL考核的，得2分。（投标文件中提供复印件）。</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hint="eastAsia"/>
                <w:szCs w:val="21"/>
              </w:rPr>
            </w:pPr>
            <w:r>
              <w:rPr>
                <w:rFonts w:hint="eastAsia"/>
                <w:szCs w:val="21"/>
              </w:rPr>
              <w:t xml:space="preserve">2</w:t>
            </w:r>
            <w:r/>
          </w:p>
        </w:tc>
      </w:tr>
      <w:tr>
        <w:trPr>
          <w:cantSplit/>
          <w:trHeight w:val="513"/>
        </w:trPr>
        <w:tc>
          <w:tcPr>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szCs w:val="21"/>
              </w:rPr>
            </w:pPr>
            <w:r>
              <w:rPr>
                <w:rFonts w:hint="eastAsia" w:ascii="宋体" w:hAnsi="宋体"/>
                <w:bCs/>
                <w:szCs w:val="21"/>
              </w:rPr>
              <w:t xml:space="preserve">应急方案</w:t>
            </w:r>
            <w:r>
              <w:rPr>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spacing w:line="300" w:lineRule="exact"/>
              <w:rPr>
                <w:rFonts w:ascii="宋体" w:hAnsi="宋体"/>
                <w:szCs w:val="21"/>
              </w:rPr>
            </w:pPr>
            <w:r>
              <w:rPr>
                <w:rFonts w:hint="eastAsia"/>
                <w:szCs w:val="21"/>
                <w:lang w:val="zh-CN"/>
              </w:rPr>
              <w:t xml:space="preserve">根据针对紧急情况及突发事件的处理方案 1分、安全措施 1分、防控方案 1分，本项最高3分。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szCs w:val="21"/>
              </w:rPr>
            </w:pPr>
            <w:r>
              <w:rPr>
                <w:rFonts w:hint="eastAsia"/>
                <w:szCs w:val="21"/>
              </w:rPr>
              <w:t xml:space="preserve">3</w:t>
            </w:r>
            <w:r>
              <w:rPr>
                <w:szCs w:val="21"/>
              </w:rPr>
            </w:r>
            <w:r/>
          </w:p>
        </w:tc>
      </w:tr>
      <w:tr>
        <w:trPr>
          <w:cantSplit/>
          <w:trHeight w:val="560"/>
        </w:trPr>
        <w:tc>
          <w:tcPr>
            <w:tcBorders>
              <w:top w:val="single" w:color="000000" w:sz="4" w:space="0"/>
              <w:left w:val="single" w:color="000000" w:sz="4" w:space="0"/>
              <w:right w:val="single" w:color="000000" w:sz="4" w:space="0"/>
            </w:tcBorders>
            <w:tcW w:w="593" w:type="pct"/>
            <w:vAlign w:val="center"/>
            <w:vMerge w:val="restart"/>
            <w:textDirection w:val="lrTb"/>
            <w:noWrap w:val="false"/>
          </w:tcPr>
          <w:p>
            <w:pPr>
              <w:pStyle w:val="900"/>
              <w:jc w:val="center"/>
              <w:rPr>
                <w:szCs w:val="21"/>
              </w:rPr>
            </w:pPr>
            <w:r>
              <w:rPr>
                <w:rFonts w:hint="eastAsia" w:ascii="宋体" w:hAnsi="宋体"/>
                <w:bCs/>
                <w:szCs w:val="21"/>
              </w:rPr>
              <w:t xml:space="preserve">企业总体实力</w:t>
            </w:r>
            <w:r>
              <w:rPr>
                <w:rFonts w:hint="eastAsia"/>
                <w:szCs w:val="21"/>
              </w:rPr>
              <w:t xml:space="preserve">（29分）</w:t>
            </w: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szCs w:val="21"/>
              </w:rPr>
            </w:pPr>
            <w:r>
              <w:rPr>
                <w:rFonts w:hint="eastAsia" w:ascii="宋体" w:hAnsi="宋体"/>
                <w:szCs w:val="21"/>
              </w:rPr>
              <w:t xml:space="preserve">企业人员及团队比较</w:t>
            </w:r>
            <w:r>
              <w:rPr>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spacing w:line="300" w:lineRule="exact"/>
              <w:rPr>
                <w:szCs w:val="21"/>
              </w:rPr>
            </w:pPr>
            <w:r>
              <w:rPr>
                <w:rFonts w:hint="eastAsia"/>
                <w:szCs w:val="21"/>
                <w:lang w:val="zh-CN"/>
              </w:rPr>
              <w:t xml:space="preserve">投标单位现有专职抽样人员和检验人员的数量比较：少于15人不得分；15人得3分；超过15人每增加2人加1分。最高得5分。检验人员需要是农业、食品（包含农产品）、生物、医学、分析化学、仪器分析、微生物检测等相关专业，投标文件中提供证明材料复印件）。</w:t>
            </w:r>
            <w:r>
              <w:rPr>
                <w:szCs w:val="21"/>
                <w:lang w:val="zh-CN"/>
              </w:rPr>
              <w:t xml:space="preserve">投标文件中提供投标单位为上述人员缴纳的</w:t>
            </w:r>
            <w:r>
              <w:rPr>
                <w:rFonts w:hint="eastAsia"/>
                <w:szCs w:val="21"/>
                <w:lang w:val="zh-CN"/>
              </w:rPr>
              <w:t xml:space="preserve">近3月</w:t>
            </w:r>
            <w:r>
              <w:rPr>
                <w:szCs w:val="21"/>
                <w:lang w:val="zh-CN"/>
              </w:rPr>
              <w:t xml:space="preserve">的社保证明复印件</w:t>
            </w:r>
            <w:r>
              <w:rPr>
                <w:rFonts w:hint="eastAsia"/>
                <w:szCs w:val="21"/>
                <w:lang w:val="zh-CN"/>
              </w:rPr>
              <w:t xml:space="preserve">。</w:t>
            </w:r>
            <w:r>
              <w:rPr>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szCs w:val="21"/>
              </w:rPr>
            </w:pPr>
            <w:r>
              <w:rPr>
                <w:rFonts w:hint="eastAsia"/>
                <w:szCs w:val="21"/>
              </w:rPr>
              <w:t xml:space="preserve">5</w:t>
            </w:r>
            <w:r>
              <w:rPr>
                <w:szCs w:val="21"/>
              </w:rPr>
            </w:r>
            <w:r/>
          </w:p>
        </w:tc>
      </w:tr>
      <w:tr>
        <w:trPr>
          <w:cantSplit/>
          <w:trHeight w:val="560"/>
        </w:trPr>
        <w:tc>
          <w:tcPr>
            <w:tcBorders>
              <w:left w:val="single" w:color="000000" w:sz="4" w:space="0"/>
              <w:right w:val="single" w:color="000000" w:sz="4" w:space="0"/>
            </w:tcBorders>
            <w:tcW w:w="593" w:type="pct"/>
            <w:vAlign w:val="center"/>
            <w:vMerge w:val="continue"/>
            <w:textDirection w:val="lrTb"/>
            <w:noWrap w:val="false"/>
          </w:tcPr>
          <w:p>
            <w:pPr>
              <w:pStyle w:val="900"/>
              <w:jc w:val="center"/>
              <w:rPr>
                <w:rFonts w:ascii="宋体" w:hAnsi="宋体"/>
                <w:bCs/>
                <w:szCs w:val="21"/>
              </w:rPr>
            </w:pP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rFonts w:ascii="宋体" w:hAnsi="宋体"/>
                <w:szCs w:val="21"/>
              </w:rPr>
            </w:pPr>
            <w:r>
              <w:rPr>
                <w:rFonts w:hint="eastAsia" w:ascii="宋体" w:hAnsi="宋体"/>
                <w:szCs w:val="21"/>
              </w:rPr>
              <w:t xml:space="preserve">企业人员及团队比较</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spacing w:line="300" w:lineRule="exact"/>
              <w:rPr>
                <w:szCs w:val="21"/>
                <w:lang w:val="zh-CN"/>
              </w:rPr>
            </w:pPr>
            <w:r>
              <w:rPr>
                <w:rFonts w:hint="eastAsia"/>
                <w:szCs w:val="21"/>
                <w:lang w:val="zh-CN"/>
              </w:rPr>
              <w:t xml:space="preserve">投标单位承担过省级及省级以上抽检任务或省级及以上农产品保障任务的 得3分，承担过省级以下农产品抽检任务的得2分。在承担检测任务过程中，获得甲方肯定的加1分。投标文件中提供对应证明材料，否则不得分。（提供任务书以及相关证明材料）</w:t>
            </w:r>
            <w:r>
              <w:rPr>
                <w:szCs w:val="21"/>
                <w:lang w:val="zh-CN"/>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hint="eastAsia"/>
                <w:szCs w:val="21"/>
              </w:rPr>
            </w:pPr>
            <w:r>
              <w:rPr>
                <w:rFonts w:hint="eastAsia"/>
                <w:szCs w:val="21"/>
              </w:rPr>
              <w:t xml:space="preserve">4</w:t>
            </w:r>
            <w:r/>
          </w:p>
        </w:tc>
      </w:tr>
      <w:tr>
        <w:trPr>
          <w:cantSplit/>
          <w:trHeight w:val="883"/>
        </w:trPr>
        <w:tc>
          <w:tcPr>
            <w:tcBorders>
              <w:left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szCs w:val="21"/>
              </w:rPr>
            </w:pPr>
            <w:r>
              <w:rPr>
                <w:rFonts w:hint="eastAsia" w:hAnsi="宋体"/>
                <w:bCs/>
                <w:szCs w:val="21"/>
              </w:rPr>
              <w:t xml:space="preserve">企业类似业绩</w:t>
            </w:r>
            <w:r>
              <w:rPr>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spacing w:line="300" w:lineRule="exact"/>
              <w:rPr>
                <w:rFonts w:hAnsi="宋体"/>
                <w:bCs/>
                <w:szCs w:val="21"/>
              </w:rPr>
            </w:pPr>
            <w:r>
              <w:rPr>
                <w:szCs w:val="21"/>
                <w:lang w:val="zh-CN"/>
              </w:rPr>
              <w:t xml:space="preserve">20</w:t>
            </w:r>
            <w:r>
              <w:rPr>
                <w:rFonts w:hint="eastAsia"/>
                <w:szCs w:val="21"/>
                <w:lang w:val="zh-CN"/>
              </w:rPr>
              <w:t xml:space="preserve">2</w:t>
            </w:r>
            <w:r>
              <w:rPr>
                <w:rFonts w:hint="eastAsia"/>
                <w:szCs w:val="21"/>
              </w:rPr>
              <w:t xml:space="preserve">2</w:t>
            </w:r>
            <w:r>
              <w:rPr>
                <w:szCs w:val="21"/>
                <w:lang w:val="zh-CN"/>
              </w:rPr>
              <w:t xml:space="preserve">年1月1日至今承担类似项目工作经历，</w:t>
            </w:r>
            <w:r>
              <w:rPr>
                <w:rFonts w:hint="eastAsia"/>
                <w:szCs w:val="21"/>
                <w:lang w:val="zh-CN"/>
              </w:rPr>
              <w:t xml:space="preserve">有</w:t>
            </w:r>
            <w:r>
              <w:rPr>
                <w:szCs w:val="21"/>
                <w:lang w:val="zh-CN"/>
              </w:rPr>
              <w:t xml:space="preserve">单次任务批次在100批次以上的，得</w:t>
            </w:r>
            <w:r>
              <w:rPr>
                <w:rFonts w:hint="eastAsia"/>
                <w:szCs w:val="21"/>
                <w:lang w:val="zh-CN"/>
              </w:rPr>
              <w:t xml:space="preserve">1</w:t>
            </w:r>
            <w:r>
              <w:rPr>
                <w:szCs w:val="21"/>
                <w:lang w:val="zh-CN"/>
              </w:rPr>
              <w:t xml:space="preserve">分，</w:t>
            </w:r>
            <w:r>
              <w:rPr>
                <w:rFonts w:hint="eastAsia"/>
                <w:szCs w:val="21"/>
                <w:lang w:val="zh-CN"/>
              </w:rPr>
              <w:t xml:space="preserve">有</w:t>
            </w:r>
            <w:r>
              <w:rPr>
                <w:szCs w:val="21"/>
                <w:lang w:val="zh-CN"/>
              </w:rPr>
              <w:t xml:space="preserve">单次任务批次在200批次以上的</w:t>
            </w:r>
            <w:r>
              <w:rPr>
                <w:rFonts w:hint="eastAsia"/>
                <w:szCs w:val="21"/>
                <w:lang w:val="zh-CN"/>
              </w:rPr>
              <w:t xml:space="preserve">，得2</w:t>
            </w:r>
            <w:r>
              <w:rPr>
                <w:szCs w:val="21"/>
                <w:lang w:val="zh-CN"/>
              </w:rPr>
              <w:t xml:space="preserve">分（提供任务书以及相关证明材料）</w:t>
            </w:r>
            <w:r>
              <w:rPr>
                <w:rFonts w:hAnsi="宋体"/>
                <w:bCs/>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ascii="宋体" w:hAnsi="宋体"/>
                <w:bCs/>
                <w:szCs w:val="21"/>
              </w:rPr>
            </w:pPr>
            <w:r>
              <w:rPr>
                <w:rFonts w:hint="eastAsia" w:ascii="宋体" w:hAnsi="宋体"/>
                <w:bCs/>
                <w:szCs w:val="21"/>
              </w:rPr>
              <w:t xml:space="preserve">2</w:t>
            </w:r>
            <w:r>
              <w:rPr>
                <w:rFonts w:ascii="宋体" w:hAnsi="宋体"/>
                <w:bCs/>
                <w:szCs w:val="21"/>
              </w:rPr>
            </w:r>
            <w:r/>
          </w:p>
        </w:tc>
      </w:tr>
      <w:tr>
        <w:trPr>
          <w:cantSplit/>
          <w:trHeight w:val="883"/>
        </w:trPr>
        <w:tc>
          <w:tcPr>
            <w:tcBorders>
              <w:left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szCs w:val="21"/>
                <w:lang w:val="zh-CN"/>
              </w:rPr>
            </w:pPr>
            <w:r>
              <w:rPr>
                <w:rFonts w:hint="eastAsia"/>
                <w:szCs w:val="21"/>
                <w:lang w:val="zh-CN"/>
              </w:rPr>
              <w:t xml:space="preserve">涵盖领域</w:t>
            </w:r>
            <w:r>
              <w:rPr>
                <w:szCs w:val="21"/>
                <w:lang w:val="zh-CN"/>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spacing w:line="300" w:lineRule="exact"/>
              <w:rPr>
                <w:szCs w:val="21"/>
                <w:lang w:val="zh-CN"/>
              </w:rPr>
            </w:pPr>
            <w:r>
              <w:rPr>
                <w:szCs w:val="21"/>
                <w:lang w:val="zh-CN"/>
              </w:rPr>
              <w:t xml:space="preserve">20</w:t>
            </w:r>
            <w:r>
              <w:rPr>
                <w:rFonts w:hint="eastAsia"/>
                <w:szCs w:val="21"/>
                <w:lang w:val="zh-CN"/>
              </w:rPr>
              <w:t xml:space="preserve">2</w:t>
            </w:r>
            <w:r>
              <w:rPr>
                <w:rFonts w:hint="eastAsia"/>
                <w:szCs w:val="21"/>
              </w:rPr>
              <w:t xml:space="preserve">2</w:t>
            </w:r>
            <w:r>
              <w:rPr>
                <w:szCs w:val="21"/>
                <w:lang w:val="zh-CN"/>
              </w:rPr>
              <w:t xml:space="preserve">年1月1日至今省级及以上实验室能力验证情况：对农药残留、兽药残留、重金属、真菌毒素、食品添加剂、非法添加、微生物等7个领域，每个领域都覆盖且结果满意的项目数量为平均15次/年的，得</w:t>
            </w:r>
            <w:r>
              <w:rPr>
                <w:rFonts w:hint="eastAsia"/>
                <w:szCs w:val="21"/>
                <w:lang w:val="zh-CN"/>
              </w:rPr>
              <w:t xml:space="preserve">3</w:t>
            </w:r>
            <w:r>
              <w:rPr>
                <w:szCs w:val="21"/>
                <w:lang w:val="zh-CN"/>
              </w:rPr>
              <w:t xml:space="preserve">分，每缺一个领域扣1分，每少3次扣1分。（须提供能力验证证书或相关证明文件）</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szCs w:val="21"/>
              </w:rPr>
            </w:pPr>
            <w:r>
              <w:rPr>
                <w:rFonts w:hint="eastAsia"/>
                <w:szCs w:val="21"/>
              </w:rPr>
              <w:t xml:space="preserve">3</w:t>
            </w:r>
            <w:r>
              <w:rPr>
                <w:szCs w:val="21"/>
              </w:rPr>
            </w:r>
            <w:r/>
          </w:p>
        </w:tc>
      </w:tr>
      <w:tr>
        <w:trPr>
          <w:cantSplit/>
          <w:trHeight w:val="883"/>
        </w:trPr>
        <w:tc>
          <w:tcPr>
            <w:tcBorders>
              <w:left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rFonts w:ascii="宋体" w:hAnsi="宋体"/>
                <w:bCs/>
                <w:szCs w:val="21"/>
              </w:rPr>
            </w:pPr>
            <w:r>
              <w:rPr>
                <w:rFonts w:hint="eastAsia" w:hAnsi="宋体"/>
                <w:bCs/>
                <w:szCs w:val="21"/>
              </w:rPr>
              <w:t xml:space="preserve">响应时间</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spacing w:line="300" w:lineRule="exact"/>
              <w:rPr>
                <w:szCs w:val="21"/>
                <w:lang w:val="zh-CN"/>
              </w:rPr>
            </w:pPr>
            <w:r>
              <w:rPr>
                <w:szCs w:val="21"/>
                <w:lang w:val="zh-CN"/>
              </w:rPr>
              <w:t xml:space="preserve">抽样响应时间：</w:t>
            </w:r>
            <w:r>
              <w:rPr>
                <w:rFonts w:hint="eastAsia"/>
                <w:szCs w:val="21"/>
                <w:lang w:val="zh-CN"/>
              </w:rPr>
              <w:t xml:space="preserve">6</w:t>
            </w:r>
            <w:r>
              <w:rPr>
                <w:szCs w:val="21"/>
                <w:lang w:val="zh-CN"/>
              </w:rPr>
              <w:t xml:space="preserve">分</w:t>
            </w:r>
            <w:r/>
          </w:p>
          <w:p>
            <w:pPr>
              <w:pStyle w:val="900"/>
              <w:jc w:val="left"/>
              <w:spacing w:line="300" w:lineRule="exact"/>
              <w:rPr>
                <w:rFonts w:hint="eastAsia"/>
                <w:szCs w:val="21"/>
                <w:lang w:val="zh-CN"/>
              </w:rPr>
            </w:pPr>
            <w:r>
              <w:rPr>
                <w:rFonts w:hint="eastAsia"/>
                <w:szCs w:val="21"/>
                <w:lang w:val="zh-CN"/>
              </w:rPr>
              <w:t xml:space="preserve">为确保抽样的时效性，对各投标人的抽样到场时间比较，以有制样条件的实验室到昆山</w:t>
            </w:r>
            <w:r>
              <w:rPr>
                <w:rFonts w:hint="eastAsia"/>
                <w:szCs w:val="21"/>
              </w:rPr>
              <w:t xml:space="preserve">市</w:t>
            </w:r>
            <w:r>
              <w:rPr>
                <w:rFonts w:hint="eastAsia"/>
                <w:szCs w:val="21"/>
                <w:lang w:val="zh-CN"/>
              </w:rPr>
              <w:t xml:space="preserve">农业农村局的时间为准，1小时以内的得6分；1--1.5小时之间的得5分；1.5--2小时之间的得4分；2--2.5小时之间的得3分；2</w:t>
            </w:r>
            <w:r>
              <w:rPr>
                <w:rFonts w:hint="eastAsia"/>
                <w:szCs w:val="21"/>
              </w:rPr>
              <w:t xml:space="preserve">.5</w:t>
            </w:r>
            <w:r>
              <w:rPr>
                <w:rFonts w:hint="eastAsia"/>
                <w:szCs w:val="21"/>
                <w:lang w:val="zh-CN"/>
              </w:rPr>
              <w:t xml:space="preserve">--</w:t>
            </w:r>
            <w:r>
              <w:rPr>
                <w:rFonts w:hint="eastAsia"/>
                <w:szCs w:val="21"/>
              </w:rPr>
              <w:t xml:space="preserve">3</w:t>
            </w:r>
            <w:r>
              <w:rPr>
                <w:rFonts w:hint="eastAsia"/>
                <w:szCs w:val="21"/>
                <w:lang w:val="zh-CN"/>
              </w:rPr>
              <w:t xml:space="preserve">小时之间的得</w:t>
            </w:r>
            <w:r>
              <w:rPr>
                <w:rFonts w:hint="eastAsia"/>
                <w:szCs w:val="21"/>
              </w:rPr>
              <w:t xml:space="preserve">2</w:t>
            </w:r>
            <w:r>
              <w:rPr>
                <w:rFonts w:hint="eastAsia"/>
                <w:szCs w:val="21"/>
                <w:lang w:val="zh-CN"/>
              </w:rPr>
              <w:t xml:space="preserve">分；在</w:t>
            </w:r>
            <w:r>
              <w:rPr>
                <w:rFonts w:hint="eastAsia"/>
                <w:szCs w:val="21"/>
              </w:rPr>
              <w:t xml:space="preserve">3</w:t>
            </w:r>
            <w:r>
              <w:rPr>
                <w:rFonts w:hint="eastAsia"/>
                <w:szCs w:val="21"/>
                <w:lang w:val="zh-CN"/>
              </w:rPr>
              <w:t xml:space="preserve">小时以上的得</w:t>
            </w:r>
            <w:r>
              <w:rPr>
                <w:rFonts w:hint="eastAsia"/>
                <w:szCs w:val="21"/>
              </w:rPr>
              <w:t xml:space="preserve">1</w:t>
            </w:r>
            <w:r>
              <w:rPr>
                <w:rFonts w:hint="eastAsia"/>
                <w:szCs w:val="21"/>
                <w:lang w:val="zh-CN"/>
              </w:rPr>
              <w:t xml:space="preserve">分。须提供具体导航软件时间截图（</w:t>
            </w:r>
            <w:r>
              <w:rPr>
                <w:rFonts w:hint="eastAsia"/>
                <w:szCs w:val="21"/>
              </w:rPr>
              <w:t xml:space="preserve">工作日上午10点左右</w:t>
            </w:r>
            <w:r>
              <w:rPr>
                <w:rFonts w:hint="eastAsia"/>
                <w:szCs w:val="21"/>
                <w:lang w:val="zh-CN"/>
              </w:rPr>
              <w:t xml:space="preserve">），以及采样后的运输方法。</w:t>
            </w:r>
            <w:r/>
          </w:p>
          <w:p>
            <w:pPr>
              <w:pStyle w:val="900"/>
              <w:jc w:val="left"/>
              <w:spacing w:line="300" w:lineRule="exact"/>
              <w:rPr>
                <w:rFonts w:hAnsi="宋体"/>
                <w:bCs/>
                <w:szCs w:val="21"/>
              </w:rPr>
            </w:pPr>
            <w:r>
              <w:rPr>
                <w:szCs w:val="21"/>
                <w:lang w:val="zh-CN"/>
              </w:rPr>
              <w:t xml:space="preserve">投标文件中提供相关产证证明及上述场地现场照片。租赁场地须提供租赁合同复印件、出租方的产证证明；机关、事业单位的，可仅提供盖有出租方公章的合同复印件。</w:t>
            </w:r>
            <w:r>
              <w:rPr>
                <w:rFonts w:hAnsi="宋体"/>
                <w:bCs/>
                <w:szCs w:val="21"/>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hint="eastAsia"/>
                <w:szCs w:val="21"/>
              </w:rPr>
            </w:pPr>
            <w:r>
              <w:rPr>
                <w:rFonts w:hint="eastAsia" w:hAnsi="宋体"/>
                <w:bCs/>
                <w:szCs w:val="21"/>
              </w:rPr>
              <w:t xml:space="preserve">6</w:t>
            </w:r>
            <w:r>
              <w:rPr>
                <w:rFonts w:hint="eastAsia"/>
                <w:szCs w:val="21"/>
              </w:rPr>
            </w:r>
            <w:r/>
          </w:p>
        </w:tc>
      </w:tr>
      <w:tr>
        <w:trPr>
          <w:cantSplit/>
          <w:trHeight w:val="274"/>
        </w:trPr>
        <w:tc>
          <w:tcPr>
            <w:tcBorders>
              <w:left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rFonts w:ascii="宋体" w:hAnsi="宋体"/>
                <w:bCs/>
                <w:szCs w:val="21"/>
              </w:rPr>
            </w:pPr>
            <w:r>
              <w:rPr>
                <w:rFonts w:hint="eastAsia" w:ascii="宋体" w:hAnsi="宋体" w:cs="宋体"/>
                <w:bCs/>
                <w:szCs w:val="21"/>
              </w:rPr>
              <w:t xml:space="preserve">冷藏设备与运输保障</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spacing w:line="300" w:lineRule="exact"/>
              <w:rPr>
                <w:rFonts w:ascii="宋体" w:hAnsi="宋体" w:cs="宋体"/>
                <w:bCs/>
                <w:szCs w:val="21"/>
              </w:rPr>
            </w:pPr>
            <w:r>
              <w:rPr>
                <w:rFonts w:ascii="宋体" w:hAnsi="宋体" w:cs="宋体"/>
                <w:bCs/>
                <w:szCs w:val="21"/>
              </w:rPr>
              <w:t xml:space="preserve">投标单位有自有或租赁冷库的1分，投标文件中提供相关产权证明复印件，租赁冷库的须提供租赁协议复印件</w:t>
            </w:r>
            <w:r>
              <w:rPr>
                <w:rFonts w:hint="eastAsia" w:ascii="宋体" w:hAnsi="宋体" w:cs="宋体"/>
                <w:bCs/>
                <w:szCs w:val="21"/>
              </w:rPr>
              <w:t xml:space="preserve">。</w:t>
            </w:r>
            <w:r>
              <w:rPr>
                <w:rFonts w:ascii="宋体" w:hAnsi="宋体" w:cs="宋体"/>
                <w:bCs/>
                <w:szCs w:val="21"/>
              </w:rPr>
              <w:t xml:space="preserve">有自有或租赁移动冷藏、冷冻设施的1分，须提供移动冷藏、冷冻设施相关图片</w:t>
            </w:r>
            <w:r>
              <w:rPr>
                <w:rFonts w:hint="eastAsia" w:ascii="宋体" w:hAnsi="宋体" w:cs="宋体"/>
                <w:bCs/>
                <w:szCs w:val="21"/>
              </w:rPr>
              <w:t xml:space="preserve">，</w:t>
            </w:r>
            <w:r>
              <w:rPr>
                <w:rFonts w:ascii="宋体" w:hAnsi="宋体" w:cs="宋体"/>
                <w:bCs/>
                <w:szCs w:val="21"/>
              </w:rPr>
              <w:t xml:space="preserve">自有设施须提供购买发票证明或合同等证明材料复印件，租赁须提供租赁协议复印件。投标单位有自有或租赁抽样车辆的，有1辆得0.5分，最高1分</w:t>
            </w:r>
            <w:r>
              <w:rPr>
                <w:rFonts w:hint="eastAsia" w:ascii="宋体" w:hAnsi="宋体" w:cs="宋体"/>
                <w:bCs/>
                <w:szCs w:val="21"/>
              </w:rPr>
              <w:t xml:space="preserve">，</w:t>
            </w:r>
            <w:r>
              <w:rPr>
                <w:rFonts w:ascii="宋体" w:hAnsi="宋体" w:cs="宋体"/>
                <w:bCs/>
                <w:szCs w:val="21"/>
              </w:rPr>
              <w:t xml:space="preserve">投标文件中须提供车辆的行驶证、登记证复印件和抽样车相关图片；若为租赁的，还须提供租赁协议复印件。</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hint="eastAsia"/>
                <w:szCs w:val="21"/>
              </w:rPr>
            </w:pPr>
            <w:r>
              <w:rPr>
                <w:rFonts w:hint="eastAsia" w:ascii="宋体" w:hAnsi="宋体"/>
                <w:bCs/>
                <w:szCs w:val="21"/>
              </w:rPr>
              <w:t xml:space="preserve">3</w:t>
            </w:r>
            <w:r>
              <w:rPr>
                <w:rFonts w:hint="eastAsia"/>
                <w:szCs w:val="21"/>
              </w:rPr>
            </w:r>
            <w:r/>
          </w:p>
        </w:tc>
      </w:tr>
      <w:tr>
        <w:trPr>
          <w:cantSplit/>
          <w:trHeight w:val="493"/>
        </w:trPr>
        <w:tc>
          <w:tcPr>
            <w:tcBorders>
              <w:left w:val="single" w:color="000000" w:sz="4" w:space="0"/>
              <w:right w:val="single" w:color="000000" w:sz="4" w:space="0"/>
            </w:tcBorders>
            <w:tcW w:w="593" w:type="pct"/>
            <w:vAlign w:val="center"/>
            <w:vMerge w:val="continue"/>
            <w:textDirection w:val="lrTb"/>
            <w:noWrap w:val="false"/>
          </w:tcPr>
          <w:p>
            <w:pPr>
              <w:pStyle w:val="900"/>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pStyle w:val="900"/>
              <w:jc w:val="center"/>
              <w:rPr>
                <w:rFonts w:hint="eastAsia" w:ascii="宋体" w:hAnsi="宋体" w:cs="宋体"/>
                <w:bCs/>
                <w:szCs w:val="21"/>
              </w:rPr>
            </w:pPr>
            <w:r>
              <w:rPr>
                <w:rFonts w:hint="eastAsia"/>
                <w:szCs w:val="21"/>
                <w:lang w:val="zh-CN"/>
              </w:rPr>
              <w:t xml:space="preserve">检测仪器设备配备</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3192" w:type="pct"/>
            <w:vAlign w:val="center"/>
            <w:textDirection w:val="lrTb"/>
            <w:noWrap w:val="false"/>
          </w:tcPr>
          <w:p>
            <w:pPr>
              <w:pStyle w:val="900"/>
              <w:jc w:val="left"/>
              <w:spacing w:line="300" w:lineRule="exact"/>
              <w:rPr>
                <w:szCs w:val="21"/>
                <w:lang w:val="zh-CN"/>
              </w:rPr>
            </w:pPr>
            <w:r>
              <w:rPr>
                <w:rFonts w:hint="eastAsia"/>
                <w:szCs w:val="21"/>
                <w:lang w:val="zh-CN"/>
              </w:rPr>
              <w:t xml:space="preserve">拥有气相色谱仪（GC）、液相色谱-质谱联用仪（LC-MSMS）、气相色谱-质谱联用仪（GCMS）、气相色谱-质谱联用仪（GC-MSMS）、原子吸收分光光度仪（AA）、电感耦合等离子体质谱仪（ICPMS）、电感耦合等离子体光谱仪（ICP）该七种类型检测设备，每缺少一个类型，扣1分，最高5分。具备抽样过程采样影像记录设备，每1台得0.5分，共1分。需提供购置发票和相关图片材料等权属证明，证明材料不完整或不一致不得分。</w:t>
            </w:r>
            <w:r>
              <w:rPr>
                <w:szCs w:val="21"/>
                <w:lang w:val="zh-CN"/>
              </w:rPr>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900"/>
              <w:jc w:val="center"/>
              <w:rPr>
                <w:rFonts w:ascii="宋体" w:hAnsi="宋体"/>
                <w:szCs w:val="21"/>
              </w:rPr>
            </w:pPr>
            <w:r>
              <w:rPr>
                <w:rFonts w:hint="eastAsia" w:ascii="宋体" w:hAnsi="宋体"/>
                <w:szCs w:val="21"/>
              </w:rPr>
              <w:t xml:space="preserve">6</w:t>
            </w:r>
            <w:r>
              <w:rPr>
                <w:rFonts w:ascii="宋体" w:hAnsi="宋体"/>
                <w:szCs w:val="21"/>
              </w:rPr>
            </w:r>
            <w:r/>
          </w:p>
        </w:tc>
      </w:tr>
    </w:tbl>
    <w:p>
      <w:pPr>
        <w:pStyle w:val="900"/>
        <w:jc w:val="left"/>
        <w:widowControl/>
      </w:pPr>
      <w:r/>
      <w:bookmarkEnd w:id="57"/>
      <w:r/>
      <w:bookmarkEnd w:id="58"/>
      <w:r/>
      <w:bookmarkEnd w:id="59"/>
      <w:r/>
      <w:bookmarkEnd w:id="60"/>
      <w:r/>
      <w:r/>
    </w:p>
    <w:p>
      <w:pPr>
        <w:pStyle w:val="900"/>
        <w:rPr>
          <w:color w:val="000000"/>
          <w:szCs w:val="21"/>
        </w:rPr>
      </w:pPr>
      <w:r/>
      <w:bookmarkStart w:id="61" w:name="_Toc495914990"/>
      <w:r/>
      <w:bookmarkStart w:id="62" w:name="_Toc495915053"/>
      <w:r>
        <w:rPr>
          <w:rFonts w:hint="eastAsia" w:ascii="宋体" w:hAnsi="宋体" w:cs="宋体"/>
          <w:color w:val="000000"/>
          <w:szCs w:val="21"/>
        </w:rPr>
        <w:t xml:space="preserve">备注：</w:t>
      </w:r>
      <w:bookmarkEnd w:id="61"/>
      <w:r/>
      <w:bookmarkEnd w:id="62"/>
      <w:r>
        <w:rPr>
          <w:color w:val="000000"/>
          <w:szCs w:val="21"/>
        </w:rPr>
      </w:r>
      <w:r/>
    </w:p>
    <w:p>
      <w:pPr>
        <w:pStyle w:val="1219"/>
        <w:numPr>
          <w:ilvl w:val="0"/>
          <w:numId w:val="3"/>
        </w:numPr>
        <w:ind w:left="0" w:firstLine="420"/>
        <w:spacing w:line="360" w:lineRule="auto"/>
        <w:rPr>
          <w:rFonts w:ascii="宋体" w:hAnsi="宋体"/>
          <w:color w:val="000000"/>
          <w:szCs w:val="21"/>
        </w:rPr>
      </w:pPr>
      <w:r>
        <w:rPr>
          <w:rFonts w:hint="eastAsia" w:ascii="宋体" w:hAnsi="宋体"/>
          <w:color w:val="000000"/>
          <w:szCs w:val="21"/>
        </w:rPr>
        <w:t xml:space="preserve">为确保服务质量，投标人技术部分的得分低于技术部分总分的75%的视为无效投标。</w:t>
      </w:r>
      <w:r>
        <w:rPr>
          <w:rFonts w:ascii="宋体" w:hAnsi="宋体"/>
          <w:color w:val="000000"/>
          <w:szCs w:val="21"/>
        </w:rPr>
      </w:r>
      <w:r/>
    </w:p>
    <w:p>
      <w:pPr>
        <w:pStyle w:val="1219"/>
        <w:numPr>
          <w:ilvl w:val="0"/>
          <w:numId w:val="3"/>
        </w:numPr>
        <w:ind w:left="0" w:firstLine="420"/>
        <w:spacing w:line="360" w:lineRule="auto"/>
        <w:rPr>
          <w:rFonts w:ascii="宋体" w:hAnsi="宋体"/>
          <w:color w:val="000000"/>
          <w:szCs w:val="21"/>
        </w:rPr>
      </w:pPr>
      <w:r>
        <w:rPr>
          <w:rFonts w:hint="eastAsia" w:ascii="宋体" w:hAnsi="宋体"/>
          <w:color w:val="000000"/>
          <w:szCs w:val="21"/>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rPr>
      </w:r>
      <w:r/>
    </w:p>
    <w:p>
      <w:pPr>
        <w:pStyle w:val="1219"/>
        <w:numPr>
          <w:ilvl w:val="0"/>
          <w:numId w:val="3"/>
        </w:numPr>
        <w:ind w:left="0" w:firstLine="420"/>
        <w:spacing w:line="360" w:lineRule="auto"/>
        <w:rPr>
          <w:rFonts w:ascii="宋体" w:hAnsi="宋体"/>
          <w:color w:val="000000"/>
          <w:szCs w:val="21"/>
        </w:rPr>
      </w:pPr>
      <w:r>
        <w:rPr>
          <w:rFonts w:hint="eastAsia" w:ascii="宋体" w:hAnsi="宋体"/>
          <w:color w:val="000000"/>
          <w:szCs w:val="21"/>
        </w:rPr>
        <w:t xml:space="preserve">各投标人必须进行该项目网上电子投标，否则视为无效投标。</w:t>
      </w:r>
      <w:r>
        <w:rPr>
          <w:rFonts w:ascii="宋体" w:hAnsi="宋体"/>
          <w:color w:val="000000"/>
          <w:szCs w:val="21"/>
        </w:rPr>
      </w:r>
      <w:r/>
    </w:p>
    <w:p>
      <w:pPr>
        <w:pStyle w:val="1219"/>
        <w:numPr>
          <w:ilvl w:val="0"/>
          <w:numId w:val="3"/>
        </w:numPr>
        <w:ind w:left="0" w:firstLine="420"/>
        <w:spacing w:line="360" w:lineRule="auto"/>
        <w:rPr>
          <w:rFonts w:ascii="宋体" w:hAnsi="宋体"/>
          <w:color w:val="000000"/>
          <w:szCs w:val="21"/>
        </w:rPr>
      </w:pPr>
      <w:r>
        <w:rPr>
          <w:rFonts w:hint="eastAsia" w:ascii="宋体" w:hAnsi="宋体"/>
          <w:color w:val="000000"/>
          <w:szCs w:val="21"/>
        </w:rPr>
        <w:t xml:space="preserve">投标文件中的内容需和招标文件相关评审指标一一对应，为一一对应的不得分。</w:t>
      </w:r>
      <w:r>
        <w:rPr>
          <w:rFonts w:ascii="宋体" w:hAnsi="宋体"/>
          <w:color w:val="000000"/>
          <w:szCs w:val="21"/>
        </w:rPr>
      </w:r>
      <w:r/>
    </w:p>
    <w:p>
      <w:pPr>
        <w:pStyle w:val="1219"/>
        <w:numPr>
          <w:ilvl w:val="0"/>
          <w:numId w:val="3"/>
        </w:numPr>
        <w:ind w:left="0" w:firstLine="420"/>
        <w:spacing w:line="360" w:lineRule="auto"/>
        <w:rPr>
          <w:rFonts w:ascii="宋体" w:hAnsi="宋体"/>
          <w:color w:val="000000"/>
          <w:szCs w:val="21"/>
        </w:rPr>
      </w:pPr>
      <w:r>
        <w:rPr>
          <w:rFonts w:hint="eastAsia" w:ascii="宋体" w:hAnsi="宋体"/>
          <w:color w:val="000000"/>
          <w:szCs w:val="21"/>
        </w:rPr>
        <w:t xml:space="preserve">技术标内一律不得含有报价，否则视为无效投标。</w:t>
      </w:r>
      <w:r>
        <w:rPr>
          <w:rFonts w:ascii="宋体" w:hAnsi="宋体"/>
          <w:color w:val="000000"/>
          <w:szCs w:val="21"/>
        </w:rPr>
      </w:r>
      <w:r/>
    </w:p>
    <w:p>
      <w:pPr>
        <w:pStyle w:val="1219"/>
        <w:numPr>
          <w:ilvl w:val="0"/>
          <w:numId w:val="3"/>
        </w:numPr>
        <w:ind w:left="0" w:firstLine="420"/>
        <w:spacing w:line="360" w:lineRule="auto"/>
        <w:rPr>
          <w:rFonts w:ascii="宋体" w:hAnsi="宋体"/>
          <w:color w:val="000000"/>
          <w:szCs w:val="21"/>
        </w:rPr>
      </w:pPr>
      <w:r>
        <w:rPr>
          <w:rFonts w:hint="eastAsia" w:ascii="宋体" w:hAnsi="宋体"/>
          <w:color w:val="000000"/>
          <w:szCs w:val="21"/>
        </w:rPr>
        <w:t xml:space="preserve">针对评分标准中评分的每一条，投标人均应提供相关资料或作出相应说明供评委评判。</w:t>
      </w:r>
      <w:r>
        <w:rPr>
          <w:rFonts w:ascii="宋体" w:hAnsi="宋体"/>
          <w:color w:val="000000"/>
          <w:szCs w:val="21"/>
        </w:rPr>
      </w:r>
      <w:r/>
    </w:p>
    <w:p>
      <w:pPr>
        <w:pStyle w:val="1219"/>
        <w:numPr>
          <w:ilvl w:val="0"/>
          <w:numId w:val="3"/>
        </w:numPr>
        <w:ind w:left="0" w:firstLine="420"/>
        <w:spacing w:line="360" w:lineRule="auto"/>
        <w:rPr>
          <w:rFonts w:ascii="宋体" w:hAnsi="宋体"/>
          <w:color w:val="000000"/>
          <w:szCs w:val="21"/>
        </w:rPr>
      </w:pPr>
      <w:r>
        <w:rPr>
          <w:rFonts w:hint="eastAsia" w:ascii="宋体" w:hAnsi="宋体"/>
          <w:color w:val="000000"/>
          <w:szCs w:val="21"/>
        </w:rPr>
        <w:t xml:space="preserve">投标文件中如出现前后不一致时，评委有权请投标人澄清说明，澄清说明事项涉及评分时，评委有权酌情扣分。</w:t>
      </w:r>
      <w:r>
        <w:rPr>
          <w:rFonts w:ascii="宋体" w:hAnsi="宋体"/>
          <w:color w:val="000000"/>
          <w:szCs w:val="21"/>
        </w:rPr>
      </w:r>
      <w:r/>
    </w:p>
    <w:p>
      <w:pPr>
        <w:pStyle w:val="1219"/>
        <w:numPr>
          <w:ilvl w:val="0"/>
          <w:numId w:val="3"/>
        </w:numPr>
        <w:ind w:left="0" w:firstLine="420"/>
        <w:spacing w:line="360" w:lineRule="auto"/>
        <w:rPr>
          <w:rFonts w:ascii="宋体" w:hAnsi="宋体"/>
          <w:color w:val="000000"/>
          <w:szCs w:val="21"/>
        </w:rPr>
      </w:pPr>
      <w:r>
        <w:rPr>
          <w:rFonts w:hint="eastAsia" w:ascii="宋体" w:hAnsi="宋体"/>
          <w:color w:val="000000"/>
          <w:szCs w:val="21"/>
        </w:rPr>
        <w:t xml:space="preserve">投标报价超过财政审批预算金额的，投标单位不得进入评标程序。</w:t>
      </w:r>
      <w:r>
        <w:rPr>
          <w:rFonts w:ascii="宋体" w:hAnsi="宋体"/>
          <w:color w:val="000000"/>
          <w:szCs w:val="21"/>
        </w:rPr>
      </w:r>
      <w:r/>
    </w:p>
    <w:p>
      <w:pPr>
        <w:pStyle w:val="1219"/>
        <w:numPr>
          <w:ilvl w:val="0"/>
          <w:numId w:val="3"/>
        </w:numPr>
        <w:ind w:left="0" w:firstLine="420"/>
        <w:spacing w:line="360" w:lineRule="auto"/>
        <w:rPr>
          <w:rFonts w:ascii="宋体" w:hAnsi="宋体"/>
          <w:color w:val="000000"/>
          <w:szCs w:val="21"/>
        </w:rPr>
      </w:pPr>
      <w:r>
        <w:rPr>
          <w:rFonts w:ascii="宋体" w:hAnsi="宋体"/>
          <w:color w:val="000000"/>
          <w:szCs w:val="21"/>
        </w:rPr>
        <w:t xml:space="preserve">本项目由评委会经综合评标法确定</w:t>
      </w:r>
      <w:r>
        <w:rPr>
          <w:rFonts w:hint="eastAsia" w:ascii="宋体" w:hAnsi="宋体"/>
          <w:color w:val="000000"/>
          <w:szCs w:val="21"/>
        </w:rPr>
        <w:t xml:space="preserve">中标</w:t>
      </w:r>
      <w:r>
        <w:rPr>
          <w:rFonts w:ascii="宋体" w:hAnsi="宋体"/>
          <w:color w:val="000000"/>
          <w:szCs w:val="21"/>
        </w:rPr>
        <w:t xml:space="preserve">单位，最低的报价并不能成为</w:t>
      </w:r>
      <w:r>
        <w:rPr>
          <w:rFonts w:hint="eastAsia" w:ascii="宋体" w:hAnsi="宋体"/>
          <w:color w:val="000000"/>
          <w:szCs w:val="21"/>
        </w:rPr>
        <w:t xml:space="preserve">中标</w:t>
      </w:r>
      <w:r>
        <w:rPr>
          <w:rFonts w:ascii="宋体" w:hAnsi="宋体"/>
          <w:color w:val="000000"/>
          <w:szCs w:val="21"/>
        </w:rPr>
        <w:t xml:space="preserve">的唯一依据。</w:t>
      </w:r>
      <w:r/>
    </w:p>
    <w:p>
      <w:pPr>
        <w:pStyle w:val="1219"/>
        <w:ind w:firstLine="0"/>
        <w:jc w:val="right"/>
        <w:rPr>
          <w:rFonts w:hint="eastAsia" w:ascii="宋体" w:hAnsi="宋体" w:cs="Arial"/>
          <w:b/>
          <w:color w:val="000000"/>
          <w:szCs w:val="21"/>
        </w:rPr>
      </w:pPr>
      <w:r>
        <w:rPr>
          <w:rFonts w:hint="eastAsia" w:ascii="宋体" w:hAnsi="宋体" w:cs="Arial"/>
          <w:b/>
          <w:color w:val="000000"/>
          <w:szCs w:val="21"/>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dobe 仿宋 Std R">
    <w:panose1 w:val="020B0503020202020204"/>
  </w:font>
  <w:font w:name="方正仿宋_GBK">
    <w:panose1 w:val="020B0503020202020204"/>
  </w:font>
  <w:font w:name="华文新魏">
    <w:panose1 w:val="02010800040101010101"/>
  </w:font>
  <w:font w:name="Footlight MT Light">
    <w:panose1 w:val="0204060206030A020304"/>
  </w:font>
  <w:font w:name="&amp;amp;#23435;&amp;amp;#20307;">
    <w:panose1 w:val="020B0503020202020204"/>
  </w:font>
  <w:font w:name="全真中明體">
    <w:panose1 w:val="020B0503020202020204"/>
  </w:font>
  <w:font w:name="仿宋">
    <w:panose1 w:val="02010609060101010101"/>
  </w:font>
  <w:font w:name="文鼎粗黑">
    <w:panose1 w:val="020B0503020202020204"/>
  </w:font>
  <w:font w:name="隶书">
    <w:panose1 w:val="02010509060101010101"/>
  </w:font>
  <w:font w:name="PMingLiU">
    <w:panose1 w:val="02020500000000000000"/>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27</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41</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46</w:t>
    </w:r>
    <w:r>
      <w:fldChar w:fldCharType="end"/>
    </w:r>
    <w:r>
      <w:rPr>
        <w:rStyle w:val="983"/>
      </w:rPr>
    </w:r>
    <w:r/>
  </w:p>
  <w:p>
    <w:pPr>
      <w:pStyle w:val="952"/>
    </w:pPr>
    <w:r/>
    <w:r/>
  </w:p>
  <w:p>
    <w:pPr>
      <w:pStyle w:val="900"/>
    </w:pPr>
    <w:r/>
    <w:r/>
  </w:p>
  <w:p>
    <w:pPr>
      <w:pStyle w:val="900"/>
    </w:pPr>
    <w:r/>
    <w:r/>
  </w:p>
  <w:p>
    <w:pPr>
      <w:pStyle w:val="900"/>
    </w:pPr>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Fonts w:hint="eastAsia"/>
      </w:rPr>
    </w:pPr>
    <w:r>
      <w:rPr>
        <w:rFonts w:hint="eastAsia" w:ascii="宋体" w:hAnsi="宋体" w:eastAsia="宋体"/>
      </w:rPr>
      <w:t xml:space="preserve">苏州公正招标                                      </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0"/>
        <w:ind w:left="425" w:hanging="425"/>
      </w:pPr>
      <w:rPr>
        <w:rFonts w:hint="eastAsia"/>
      </w:rPr>
    </w:lvl>
    <w:lvl w:ilvl="1">
      <w:start w:val="1"/>
      <w:numFmt w:val="decimal"/>
      <w:isLgl w:val="false"/>
      <w:suff w:val="tab"/>
      <w:lvlText w:val="%1.%2"/>
      <w:lvlJc w:val="left"/>
      <w:pPr>
        <w:pStyle w:val="900"/>
        <w:ind w:left="992" w:hanging="567"/>
      </w:pPr>
    </w:lvl>
    <w:lvl w:ilvl="2">
      <w:start w:val="1"/>
      <w:numFmt w:val="decimal"/>
      <w:isLgl w:val="false"/>
      <w:suff w:val="tab"/>
      <w:lvlText w:val="%1.%2.%3"/>
      <w:lvlJc w:val="left"/>
      <w:pPr>
        <w:pStyle w:val="900"/>
        <w:ind w:left="1418" w:hanging="567"/>
      </w:pPr>
    </w:lvl>
    <w:lvl w:ilvl="3">
      <w:start w:val="1"/>
      <w:numFmt w:val="decimal"/>
      <w:isLgl w:val="false"/>
      <w:suff w:val="tab"/>
      <w:lvlText w:val="%1.%2.%3.%4"/>
      <w:lvlJc w:val="left"/>
      <w:pPr>
        <w:pStyle w:val="900"/>
        <w:ind w:left="1984" w:hanging="708"/>
      </w:pPr>
    </w:lvl>
    <w:lvl w:ilvl="4">
      <w:start w:val="1"/>
      <w:numFmt w:val="decimal"/>
      <w:isLgl w:val="false"/>
      <w:suff w:val="tab"/>
      <w:lvlText w:val="%1.%2.%3.%4.%5"/>
      <w:lvlJc w:val="left"/>
      <w:pPr>
        <w:pStyle w:val="900"/>
        <w:ind w:left="2551" w:hanging="850"/>
      </w:pPr>
    </w:lvl>
    <w:lvl w:ilvl="5">
      <w:start w:val="1"/>
      <w:numFmt w:val="decimal"/>
      <w:isLgl w:val="false"/>
      <w:suff w:val="tab"/>
      <w:lvlText w:val="%1.%2.%3.%4.%5.%6"/>
      <w:lvlJc w:val="left"/>
      <w:pPr>
        <w:pStyle w:val="900"/>
        <w:ind w:left="3260" w:hanging="1134"/>
      </w:pPr>
    </w:lvl>
    <w:lvl w:ilvl="6">
      <w:start w:val="1"/>
      <w:numFmt w:val="decimal"/>
      <w:isLgl w:val="false"/>
      <w:suff w:val="tab"/>
      <w:lvlText w:val="%1.%2.%3.%4.%5.%6.%7"/>
      <w:lvlJc w:val="left"/>
      <w:pPr>
        <w:pStyle w:val="900"/>
        <w:ind w:left="3827" w:hanging="1276"/>
      </w:pPr>
    </w:lvl>
    <w:lvl w:ilvl="7">
      <w:start w:val="1"/>
      <w:numFmt w:val="decimal"/>
      <w:isLgl w:val="false"/>
      <w:suff w:val="tab"/>
      <w:lvlText w:val="%1.%2.%3.%4.%5.%6.%7.%8"/>
      <w:lvlJc w:val="left"/>
      <w:pPr>
        <w:pStyle w:val="900"/>
        <w:ind w:left="4394" w:hanging="1418"/>
      </w:pPr>
    </w:lvl>
    <w:lvl w:ilvl="8">
      <w:start w:val="1"/>
      <w:numFmt w:val="decimal"/>
      <w:isLgl w:val="false"/>
      <w:suff w:val="tab"/>
      <w:lvlText w:val="%1.%2.%3.%4.%5.%6.%7.%8.%9"/>
      <w:lvlJc w:val="left"/>
      <w:pPr>
        <w:pStyle w:val="900"/>
        <w:ind w:left="5102" w:hanging="1700"/>
      </w:pPr>
    </w:lvl>
  </w:abstractNum>
  <w:abstractNum w:abstractNumId="1">
    <w:multiLevelType w:val="hybridMultilevel"/>
    <w:lvl w:ilvl="0">
      <w:start w:val="1"/>
      <w:numFmt w:val="decimal"/>
      <w:isLgl w:val="false"/>
      <w:suff w:val="tab"/>
      <w:lvlText w:val="%1."/>
      <w:lvlJc w:val="left"/>
      <w:pPr>
        <w:pStyle w:val="900"/>
        <w:ind w:left="360" w:hanging="360"/>
      </w:pPr>
    </w:lvl>
    <w:lvl w:ilvl="1">
      <w:start w:val="1"/>
      <w:numFmt w:val="lowerLetter"/>
      <w:isLgl w:val="false"/>
      <w:suff w:val="tab"/>
      <w:lvlText w:val="%2)"/>
      <w:lvlJc w:val="left"/>
      <w:pPr>
        <w:pStyle w:val="900"/>
        <w:ind w:left="840" w:hanging="420"/>
      </w:pPr>
    </w:lvl>
    <w:lvl w:ilvl="2">
      <w:start w:val="1"/>
      <w:numFmt w:val="lowerRoman"/>
      <w:isLgl w:val="false"/>
      <w:suff w:val="tab"/>
      <w:lvlText w:val="%3."/>
      <w:lvlJc w:val="right"/>
      <w:pPr>
        <w:pStyle w:val="900"/>
        <w:ind w:left="1260" w:hanging="420"/>
      </w:pPr>
    </w:lvl>
    <w:lvl w:ilvl="3">
      <w:start w:val="1"/>
      <w:numFmt w:val="decimal"/>
      <w:isLgl w:val="false"/>
      <w:suff w:val="tab"/>
      <w:lvlText w:val="%4."/>
      <w:lvlJc w:val="left"/>
      <w:pPr>
        <w:pStyle w:val="900"/>
        <w:ind w:left="1680" w:hanging="420"/>
      </w:pPr>
    </w:lvl>
    <w:lvl w:ilvl="4">
      <w:start w:val="1"/>
      <w:numFmt w:val="lowerLetter"/>
      <w:isLgl w:val="false"/>
      <w:suff w:val="tab"/>
      <w:lvlText w:val="%5)"/>
      <w:lvlJc w:val="left"/>
      <w:pPr>
        <w:pStyle w:val="900"/>
        <w:ind w:left="2100" w:hanging="420"/>
      </w:pPr>
    </w:lvl>
    <w:lvl w:ilvl="5">
      <w:start w:val="1"/>
      <w:numFmt w:val="lowerRoman"/>
      <w:isLgl w:val="false"/>
      <w:suff w:val="tab"/>
      <w:lvlText w:val="%6."/>
      <w:lvlJc w:val="right"/>
      <w:pPr>
        <w:pStyle w:val="900"/>
        <w:ind w:left="2520" w:hanging="420"/>
      </w:pPr>
    </w:lvl>
    <w:lvl w:ilvl="6">
      <w:start w:val="1"/>
      <w:numFmt w:val="decimal"/>
      <w:isLgl w:val="false"/>
      <w:suff w:val="tab"/>
      <w:lvlText w:val="%7."/>
      <w:lvlJc w:val="left"/>
      <w:pPr>
        <w:pStyle w:val="900"/>
        <w:ind w:left="2940" w:hanging="420"/>
      </w:pPr>
    </w:lvl>
    <w:lvl w:ilvl="7">
      <w:start w:val="1"/>
      <w:numFmt w:val="lowerLetter"/>
      <w:isLgl w:val="false"/>
      <w:suff w:val="tab"/>
      <w:lvlText w:val="%8)"/>
      <w:lvlJc w:val="left"/>
      <w:pPr>
        <w:pStyle w:val="900"/>
        <w:ind w:left="3360" w:hanging="420"/>
      </w:pPr>
    </w:lvl>
    <w:lvl w:ilvl="8">
      <w:start w:val="1"/>
      <w:numFmt w:val="lowerRoman"/>
      <w:isLgl w:val="false"/>
      <w:suff w:val="tab"/>
      <w:lvlText w:val="%9."/>
      <w:lvlJc w:val="right"/>
      <w:pPr>
        <w:pStyle w:val="900"/>
        <w:ind w:left="3780" w:hanging="420"/>
      </w:pPr>
    </w:lvl>
  </w:abstractNum>
  <w:abstractNum w:abstractNumId="2">
    <w:multiLevelType w:val="hybridMultilevel"/>
    <w:lvl w:ilvl="0">
      <w:start w:val="1"/>
      <w:numFmt w:val="chineseCountingThousand"/>
      <w:isLgl w:val="false"/>
      <w:suff w:val="tab"/>
      <w:lvlText w:val="%1、"/>
      <w:lvlJc w:val="left"/>
      <w:pPr>
        <w:pStyle w:val="900"/>
        <w:ind w:left="844" w:hanging="420"/>
      </w:pPr>
    </w:lvl>
    <w:lvl w:ilvl="1">
      <w:start w:val="2"/>
      <w:numFmt w:val="decimal"/>
      <w:isLgl w:val="false"/>
      <w:suff w:val="tab"/>
      <w:lvlText w:val="%2、"/>
      <w:lvlJc w:val="left"/>
      <w:pPr>
        <w:pStyle w:val="900"/>
        <w:ind w:left="1204" w:hanging="360"/>
      </w:pPr>
    </w:lvl>
    <w:lvl w:ilvl="2">
      <w:start w:val="1"/>
      <w:numFmt w:val="lowerRoman"/>
      <w:isLgl w:val="false"/>
      <w:suff w:val="tab"/>
      <w:lvlText w:val="%3."/>
      <w:lvlJc w:val="right"/>
      <w:pPr>
        <w:pStyle w:val="900"/>
        <w:ind w:left="1684" w:hanging="420"/>
      </w:pPr>
    </w:lvl>
    <w:lvl w:ilvl="3">
      <w:start w:val="1"/>
      <w:numFmt w:val="decimal"/>
      <w:isLgl w:val="false"/>
      <w:suff w:val="tab"/>
      <w:lvlText w:val="%4."/>
      <w:lvlJc w:val="left"/>
      <w:pPr>
        <w:pStyle w:val="900"/>
        <w:ind w:left="2104" w:hanging="420"/>
      </w:pPr>
    </w:lvl>
    <w:lvl w:ilvl="4">
      <w:start w:val="1"/>
      <w:numFmt w:val="lowerLetter"/>
      <w:isLgl w:val="false"/>
      <w:suff w:val="tab"/>
      <w:lvlText w:val="%5)"/>
      <w:lvlJc w:val="left"/>
      <w:pPr>
        <w:pStyle w:val="900"/>
        <w:ind w:left="2524" w:hanging="420"/>
      </w:pPr>
    </w:lvl>
    <w:lvl w:ilvl="5">
      <w:start w:val="1"/>
      <w:numFmt w:val="lowerRoman"/>
      <w:isLgl w:val="false"/>
      <w:suff w:val="tab"/>
      <w:lvlText w:val="%6."/>
      <w:lvlJc w:val="right"/>
      <w:pPr>
        <w:pStyle w:val="900"/>
        <w:ind w:left="2944" w:hanging="420"/>
      </w:pPr>
    </w:lvl>
    <w:lvl w:ilvl="6">
      <w:start w:val="1"/>
      <w:numFmt w:val="decimal"/>
      <w:isLgl w:val="false"/>
      <w:suff w:val="tab"/>
      <w:lvlText w:val="%7."/>
      <w:lvlJc w:val="left"/>
      <w:pPr>
        <w:pStyle w:val="900"/>
        <w:ind w:left="3364" w:hanging="420"/>
      </w:pPr>
    </w:lvl>
    <w:lvl w:ilvl="7">
      <w:start w:val="1"/>
      <w:numFmt w:val="lowerLetter"/>
      <w:isLgl w:val="false"/>
      <w:suff w:val="tab"/>
      <w:lvlText w:val="%8)"/>
      <w:lvlJc w:val="left"/>
      <w:pPr>
        <w:pStyle w:val="900"/>
        <w:ind w:left="3784" w:hanging="420"/>
      </w:pPr>
    </w:lvl>
    <w:lvl w:ilvl="8">
      <w:start w:val="1"/>
      <w:numFmt w:val="lowerRoman"/>
      <w:isLgl w:val="false"/>
      <w:suff w:val="tab"/>
      <w:lvlText w:val="%9."/>
      <w:lvlJc w:val="right"/>
      <w:pPr>
        <w:pStyle w:val="900"/>
        <w:ind w:left="4204"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0"/>
    <w:next w:val="900"/>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0"/>
    <w:next w:val="900"/>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0"/>
    <w:next w:val="900"/>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0"/>
    <w:next w:val="900"/>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0"/>
    <w:next w:val="900"/>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0"/>
    <w:next w:val="900"/>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0"/>
    <w:next w:val="900"/>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0"/>
    <w:next w:val="900"/>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0"/>
    <w:next w:val="900"/>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No Spacing"/>
    <w:uiPriority w:val="1"/>
    <w:qFormat/>
    <w:pPr>
      <w:spacing w:before="0" w:after="0" w:line="240" w:lineRule="auto"/>
    </w:pPr>
  </w:style>
  <w:style w:type="paragraph" w:styleId="742">
    <w:name w:val="Title"/>
    <w:basedOn w:val="900"/>
    <w:next w:val="900"/>
    <w:link w:val="743"/>
    <w:uiPriority w:val="10"/>
    <w:qFormat/>
    <w:pPr>
      <w:contextualSpacing/>
      <w:spacing w:before="300" w:after="200"/>
    </w:pPr>
    <w:rPr>
      <w:sz w:val="48"/>
      <w:szCs w:val="48"/>
    </w:rPr>
  </w:style>
  <w:style w:type="character" w:styleId="743">
    <w:name w:val="Title Char"/>
    <w:link w:val="742"/>
    <w:uiPriority w:val="10"/>
    <w:rPr>
      <w:sz w:val="48"/>
      <w:szCs w:val="48"/>
    </w:rPr>
  </w:style>
  <w:style w:type="paragraph" w:styleId="744">
    <w:name w:val="Subtitle"/>
    <w:basedOn w:val="900"/>
    <w:next w:val="900"/>
    <w:link w:val="745"/>
    <w:uiPriority w:val="11"/>
    <w:qFormat/>
    <w:pPr>
      <w:spacing w:before="200" w:after="200"/>
    </w:pPr>
    <w:rPr>
      <w:sz w:val="24"/>
      <w:szCs w:val="24"/>
    </w:rPr>
  </w:style>
  <w:style w:type="character" w:styleId="745">
    <w:name w:val="Subtitle Char"/>
    <w:link w:val="744"/>
    <w:uiPriority w:val="11"/>
    <w:rPr>
      <w:sz w:val="24"/>
      <w:szCs w:val="24"/>
    </w:rPr>
  </w:style>
  <w:style w:type="paragraph" w:styleId="746">
    <w:name w:val="Quote"/>
    <w:basedOn w:val="900"/>
    <w:next w:val="900"/>
    <w:link w:val="747"/>
    <w:uiPriority w:val="29"/>
    <w:qFormat/>
    <w:pPr>
      <w:ind w:left="720" w:right="720"/>
    </w:pPr>
    <w:rPr>
      <w:i/>
    </w:rPr>
  </w:style>
  <w:style w:type="character" w:styleId="747">
    <w:name w:val="Quote Char"/>
    <w:link w:val="746"/>
    <w:uiPriority w:val="29"/>
    <w:rPr>
      <w:i/>
    </w:rPr>
  </w:style>
  <w:style w:type="paragraph" w:styleId="748">
    <w:name w:val="Intense Quote"/>
    <w:basedOn w:val="900"/>
    <w:next w:val="900"/>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paragraph" w:styleId="750">
    <w:name w:val="Header"/>
    <w:basedOn w:val="900"/>
    <w:link w:val="751"/>
    <w:uiPriority w:val="99"/>
    <w:unhideWhenUsed/>
    <w:pPr>
      <w:spacing w:after="0" w:line="240" w:lineRule="auto"/>
      <w:tabs>
        <w:tab w:val="center" w:pos="7143" w:leader="none"/>
        <w:tab w:val="right" w:pos="14287" w:leader="none"/>
      </w:tabs>
    </w:pPr>
  </w:style>
  <w:style w:type="character" w:styleId="751">
    <w:name w:val="Header Char"/>
    <w:link w:val="750"/>
    <w:uiPriority w:val="99"/>
  </w:style>
  <w:style w:type="paragraph" w:styleId="752">
    <w:name w:val="Footer"/>
    <w:basedOn w:val="900"/>
    <w:link w:val="755"/>
    <w:uiPriority w:val="99"/>
    <w:unhideWhenUsed/>
    <w:pPr>
      <w:spacing w:after="0" w:line="240" w:lineRule="auto"/>
      <w:tabs>
        <w:tab w:val="center" w:pos="7143" w:leader="none"/>
        <w:tab w:val="right" w:pos="14287" w:leader="none"/>
      </w:tabs>
    </w:pPr>
  </w:style>
  <w:style w:type="character" w:styleId="753">
    <w:name w:val="Footer Char"/>
    <w:link w:val="752"/>
    <w:uiPriority w:val="99"/>
  </w:style>
  <w:style w:type="paragraph" w:styleId="754">
    <w:name w:val="Caption"/>
    <w:basedOn w:val="900"/>
    <w:next w:val="900"/>
    <w:uiPriority w:val="35"/>
    <w:semiHidden/>
    <w:unhideWhenUsed/>
    <w:qFormat/>
    <w:pPr>
      <w:spacing w:line="276" w:lineRule="auto"/>
    </w:pPr>
    <w:rPr>
      <w:b/>
      <w:bCs/>
      <w:color w:val="4f81bd" w:themeColor="accent1"/>
      <w:sz w:val="18"/>
      <w:szCs w:val="18"/>
    </w:rPr>
  </w:style>
  <w:style w:type="character" w:styleId="755">
    <w:name w:val="Caption Char"/>
    <w:basedOn w:val="754"/>
    <w:link w:val="752"/>
    <w:uiPriority w:val="99"/>
  </w:style>
  <w:style w:type="table" w:styleId="7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2">
    <w:name w:val="Hyperlink"/>
    <w:uiPriority w:val="99"/>
    <w:unhideWhenUsed/>
    <w:rPr>
      <w:color w:val="0000ff" w:themeColor="hyperlink"/>
      <w:u w:val="single"/>
    </w:rPr>
  </w:style>
  <w:style w:type="paragraph" w:styleId="883">
    <w:name w:val="footnote text"/>
    <w:basedOn w:val="900"/>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uiPriority w:val="99"/>
    <w:unhideWhenUsed/>
    <w:rPr>
      <w:vertAlign w:val="superscript"/>
    </w:rPr>
  </w:style>
  <w:style w:type="paragraph" w:styleId="886">
    <w:name w:val="endnote text"/>
    <w:basedOn w:val="900"/>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uiPriority w:val="99"/>
    <w:semiHidden/>
    <w:unhideWhenUsed/>
    <w:rPr>
      <w:vertAlign w:val="superscript"/>
    </w:rPr>
  </w:style>
  <w:style w:type="paragraph" w:styleId="889">
    <w:name w:val="toc 1"/>
    <w:basedOn w:val="900"/>
    <w:next w:val="900"/>
    <w:uiPriority w:val="39"/>
    <w:unhideWhenUsed/>
    <w:pPr>
      <w:ind w:left="0" w:right="0" w:firstLine="0"/>
      <w:spacing w:after="57"/>
    </w:pPr>
  </w:style>
  <w:style w:type="paragraph" w:styleId="890">
    <w:name w:val="toc 2"/>
    <w:basedOn w:val="900"/>
    <w:next w:val="900"/>
    <w:uiPriority w:val="39"/>
    <w:unhideWhenUsed/>
    <w:pPr>
      <w:ind w:left="283" w:right="0" w:firstLine="0"/>
      <w:spacing w:after="57"/>
    </w:pPr>
  </w:style>
  <w:style w:type="paragraph" w:styleId="891">
    <w:name w:val="toc 3"/>
    <w:basedOn w:val="900"/>
    <w:next w:val="900"/>
    <w:uiPriority w:val="39"/>
    <w:unhideWhenUsed/>
    <w:pPr>
      <w:ind w:left="567" w:right="0" w:firstLine="0"/>
      <w:spacing w:after="57"/>
    </w:pPr>
  </w:style>
  <w:style w:type="paragraph" w:styleId="892">
    <w:name w:val="toc 4"/>
    <w:basedOn w:val="900"/>
    <w:next w:val="900"/>
    <w:uiPriority w:val="39"/>
    <w:unhideWhenUsed/>
    <w:pPr>
      <w:ind w:left="850" w:right="0" w:firstLine="0"/>
      <w:spacing w:after="57"/>
    </w:pPr>
  </w:style>
  <w:style w:type="paragraph" w:styleId="893">
    <w:name w:val="toc 5"/>
    <w:basedOn w:val="900"/>
    <w:next w:val="900"/>
    <w:uiPriority w:val="39"/>
    <w:unhideWhenUsed/>
    <w:pPr>
      <w:ind w:left="1134" w:right="0" w:firstLine="0"/>
      <w:spacing w:after="57"/>
    </w:pPr>
  </w:style>
  <w:style w:type="paragraph" w:styleId="894">
    <w:name w:val="toc 6"/>
    <w:basedOn w:val="900"/>
    <w:next w:val="900"/>
    <w:uiPriority w:val="39"/>
    <w:unhideWhenUsed/>
    <w:pPr>
      <w:ind w:left="1417" w:right="0" w:firstLine="0"/>
      <w:spacing w:after="57"/>
    </w:pPr>
  </w:style>
  <w:style w:type="paragraph" w:styleId="895">
    <w:name w:val="toc 7"/>
    <w:basedOn w:val="900"/>
    <w:next w:val="900"/>
    <w:uiPriority w:val="39"/>
    <w:unhideWhenUsed/>
    <w:pPr>
      <w:ind w:left="1701" w:right="0" w:firstLine="0"/>
      <w:spacing w:after="57"/>
    </w:pPr>
  </w:style>
  <w:style w:type="paragraph" w:styleId="896">
    <w:name w:val="toc 8"/>
    <w:basedOn w:val="900"/>
    <w:next w:val="900"/>
    <w:uiPriority w:val="39"/>
    <w:unhideWhenUsed/>
    <w:pPr>
      <w:ind w:left="1984" w:right="0" w:firstLine="0"/>
      <w:spacing w:after="57"/>
    </w:pPr>
  </w:style>
  <w:style w:type="paragraph" w:styleId="897">
    <w:name w:val="toc 9"/>
    <w:basedOn w:val="900"/>
    <w:next w:val="900"/>
    <w:uiPriority w:val="39"/>
    <w:unhideWhenUsed/>
    <w:pPr>
      <w:ind w:left="2268" w:right="0" w:firstLine="0"/>
      <w:spacing w:after="57"/>
    </w:p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next w:val="900"/>
    <w:link w:val="900"/>
    <w:qFormat/>
    <w:pPr>
      <w:jc w:val="both"/>
      <w:widowControl w:val="off"/>
    </w:pPr>
    <w:rPr>
      <w:sz w:val="21"/>
      <w:szCs w:val="24"/>
      <w:lang w:val="en-US" w:eastAsia="zh-CN" w:bidi="ar-SA"/>
    </w:rPr>
  </w:style>
  <w:style w:type="paragraph" w:styleId="901">
    <w:name w:val="标题 1"/>
    <w:basedOn w:val="900"/>
    <w:next w:val="900"/>
    <w:link w:val="913"/>
    <w:qFormat/>
    <w:pPr>
      <w:keepLines/>
      <w:keepNext/>
      <w:spacing w:before="340" w:after="330" w:line="576" w:lineRule="auto"/>
      <w:outlineLvl w:val="0"/>
    </w:pPr>
    <w:rPr>
      <w:rFonts w:ascii="Times New Roman" w:hAnsi="Times New Roman" w:eastAsia="楷体_GB2312"/>
      <w:b/>
      <w:sz w:val="44"/>
      <w:szCs w:val="20"/>
    </w:rPr>
  </w:style>
  <w:style w:type="paragraph" w:styleId="902">
    <w:name w:val="标题 2"/>
    <w:basedOn w:val="900"/>
    <w:next w:val="900"/>
    <w:link w:val="914"/>
    <w:qFormat/>
    <w:pPr>
      <w:keepLines/>
      <w:keepNext/>
      <w:spacing w:before="260" w:after="260" w:line="413" w:lineRule="auto"/>
      <w:outlineLvl w:val="1"/>
    </w:pPr>
    <w:rPr>
      <w:rFonts w:ascii="Arial" w:hAnsi="Arial" w:eastAsia="黑体"/>
      <w:b/>
      <w:bCs/>
      <w:sz w:val="32"/>
      <w:szCs w:val="32"/>
    </w:rPr>
  </w:style>
  <w:style w:type="paragraph" w:styleId="903">
    <w:name w:val="标题 3"/>
    <w:basedOn w:val="900"/>
    <w:next w:val="900"/>
    <w:link w:val="915"/>
    <w:qFormat/>
    <w:pPr>
      <w:keepLines/>
      <w:keepNext/>
      <w:spacing w:before="260" w:after="260" w:line="413" w:lineRule="auto"/>
      <w:outlineLvl w:val="2"/>
    </w:pPr>
    <w:rPr>
      <w:rFonts w:ascii="Times New Roman" w:hAnsi="Times New Roman"/>
      <w:b/>
      <w:bCs/>
      <w:sz w:val="32"/>
      <w:szCs w:val="32"/>
    </w:rPr>
  </w:style>
  <w:style w:type="paragraph" w:styleId="904">
    <w:name w:val="标题 4"/>
    <w:basedOn w:val="900"/>
    <w:next w:val="900"/>
    <w:link w:val="916"/>
    <w:qFormat/>
    <w:pPr>
      <w:keepLines/>
      <w:keepNext/>
      <w:spacing w:before="280" w:after="290" w:line="376" w:lineRule="auto"/>
      <w:outlineLvl w:val="3"/>
    </w:pPr>
    <w:rPr>
      <w:rFonts w:ascii="Cambria" w:hAnsi="Cambria"/>
      <w:b/>
      <w:bCs/>
      <w:sz w:val="28"/>
      <w:szCs w:val="28"/>
    </w:rPr>
  </w:style>
  <w:style w:type="paragraph" w:styleId="905">
    <w:name w:val="标题 5"/>
    <w:basedOn w:val="900"/>
    <w:next w:val="900"/>
    <w:link w:val="917"/>
    <w:qFormat/>
    <w:pPr>
      <w:keepLines/>
      <w:keepNext/>
      <w:spacing w:before="280" w:after="290" w:line="376" w:lineRule="auto"/>
      <w:outlineLvl w:val="4"/>
    </w:pPr>
    <w:rPr>
      <w:b/>
      <w:bCs/>
      <w:sz w:val="28"/>
      <w:szCs w:val="28"/>
    </w:rPr>
  </w:style>
  <w:style w:type="paragraph" w:styleId="906">
    <w:name w:val="标题 6"/>
    <w:basedOn w:val="900"/>
    <w:next w:val="900"/>
    <w:link w:val="918"/>
    <w:qFormat/>
    <w:pPr>
      <w:ind w:left="284" w:firstLine="1134"/>
      <w:keepLines/>
      <w:keepNext/>
      <w:tabs>
        <w:tab w:val="left" w:pos="3578" w:leader="none"/>
      </w:tabs>
      <w:outlineLvl w:val="5"/>
    </w:pPr>
    <w:rPr>
      <w:rFonts w:ascii="宋体" w:hAnsi="宋体"/>
      <w:b/>
      <w:bCs/>
      <w:sz w:val="30"/>
    </w:rPr>
  </w:style>
  <w:style w:type="paragraph" w:styleId="907">
    <w:name w:val="标题 7"/>
    <w:basedOn w:val="900"/>
    <w:next w:val="920"/>
    <w:link w:val="919"/>
    <w:qFormat/>
    <w:pPr>
      <w:keepLines/>
      <w:keepNext/>
      <w:spacing w:before="240" w:after="64" w:line="320" w:lineRule="auto"/>
      <w:outlineLvl w:val="6"/>
    </w:pPr>
    <w:rPr>
      <w:rFonts w:ascii="Times New Roman" w:hAnsi="Times New Roman"/>
      <w:b/>
      <w:sz w:val="24"/>
      <w:szCs w:val="20"/>
    </w:rPr>
  </w:style>
  <w:style w:type="paragraph" w:styleId="908">
    <w:name w:val="标题 8"/>
    <w:basedOn w:val="900"/>
    <w:next w:val="920"/>
    <w:link w:val="922"/>
    <w:qFormat/>
    <w:pPr>
      <w:keepLines/>
      <w:keepNext/>
      <w:spacing w:before="240" w:after="64" w:line="320" w:lineRule="auto"/>
      <w:outlineLvl w:val="7"/>
    </w:pPr>
    <w:rPr>
      <w:rFonts w:ascii="Arial" w:hAnsi="Arial" w:eastAsia="黑体"/>
      <w:sz w:val="24"/>
      <w:szCs w:val="20"/>
    </w:rPr>
  </w:style>
  <w:style w:type="paragraph" w:styleId="909">
    <w:name w:val="标题 9"/>
    <w:basedOn w:val="900"/>
    <w:next w:val="920"/>
    <w:link w:val="923"/>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0">
    <w:name w:val="默认段落字体"/>
    <w:next w:val="910"/>
    <w:link w:val="900"/>
    <w:rPr>
      <w:rFonts w:ascii="Times New Roman" w:hAnsi="Times New Roman" w:eastAsia="宋体" w:cs="Times New Roman"/>
    </w:rPr>
  </w:style>
  <w:style w:type="table" w:styleId="911">
    <w:name w:val="普通表格"/>
    <w:next w:val="911"/>
    <w:link w:val="900"/>
    <w:uiPriority w:val="99"/>
    <w:unhideWhenUsed/>
    <w:tblPr/>
  </w:style>
  <w:style w:type="numbering" w:styleId="912">
    <w:name w:val="无列表"/>
    <w:next w:val="912"/>
    <w:link w:val="900"/>
    <w:uiPriority w:val="99"/>
    <w:semiHidden/>
    <w:unhideWhenUsed/>
  </w:style>
  <w:style w:type="character" w:styleId="913">
    <w:name w:val="标题 1 Char1"/>
    <w:next w:val="913"/>
    <w:link w:val="901"/>
    <w:rPr>
      <w:rFonts w:ascii="Times New Roman" w:hAnsi="Times New Roman" w:eastAsia="楷体_GB2312" w:cs="Times New Roman"/>
      <w:b/>
      <w:sz w:val="44"/>
      <w:lang w:val="en-US" w:eastAsia="zh-CN" w:bidi="ar-SA"/>
    </w:rPr>
  </w:style>
  <w:style w:type="character" w:styleId="914">
    <w:name w:val="标题 2 Char"/>
    <w:next w:val="914"/>
    <w:link w:val="902"/>
    <w:rPr>
      <w:rFonts w:ascii="Arial" w:hAnsi="Arial" w:eastAsia="黑体" w:cs="Times New Roman"/>
      <w:b/>
      <w:bCs/>
      <w:sz w:val="32"/>
      <w:szCs w:val="32"/>
      <w:lang w:val="en-US" w:eastAsia="zh-CN" w:bidi="ar-SA"/>
    </w:rPr>
  </w:style>
  <w:style w:type="character" w:styleId="915">
    <w:name w:val="标题 3 Char"/>
    <w:next w:val="915"/>
    <w:link w:val="903"/>
    <w:rPr>
      <w:rFonts w:ascii="Times New Roman" w:hAnsi="Times New Roman" w:eastAsia="宋体" w:cs="Times New Roman"/>
      <w:b/>
      <w:bCs/>
      <w:sz w:val="32"/>
      <w:szCs w:val="32"/>
      <w:lang w:val="en-US" w:eastAsia="zh-CN" w:bidi="ar-SA"/>
    </w:rPr>
  </w:style>
  <w:style w:type="character" w:styleId="916">
    <w:name w:val="标题 4 Char"/>
    <w:next w:val="916"/>
    <w:link w:val="904"/>
    <w:rPr>
      <w:rFonts w:ascii="Cambria" w:hAnsi="Cambria" w:eastAsia="宋体" w:cs="Times New Roman"/>
      <w:b/>
      <w:bCs/>
      <w:sz w:val="28"/>
      <w:szCs w:val="28"/>
      <w:lang w:val="en-US" w:eastAsia="zh-CN" w:bidi="ar-SA"/>
    </w:rPr>
  </w:style>
  <w:style w:type="character" w:styleId="917">
    <w:name w:val="标题 5 Char"/>
    <w:next w:val="917"/>
    <w:link w:val="905"/>
    <w:rPr>
      <w:rFonts w:ascii="Calibri" w:hAnsi="Calibri" w:eastAsia="宋体" w:cs="Times New Roman"/>
      <w:b/>
      <w:bCs/>
      <w:sz w:val="28"/>
      <w:szCs w:val="28"/>
    </w:rPr>
  </w:style>
  <w:style w:type="character" w:styleId="918">
    <w:name w:val="标题 6 Char"/>
    <w:next w:val="918"/>
    <w:link w:val="906"/>
    <w:rPr>
      <w:rFonts w:ascii="宋体" w:hAnsi="宋体" w:eastAsia="宋体" w:cs="Times New Roman"/>
      <w:b/>
      <w:bCs/>
      <w:sz w:val="30"/>
      <w:szCs w:val="24"/>
    </w:rPr>
  </w:style>
  <w:style w:type="character" w:styleId="919">
    <w:name w:val="标题 7 Char"/>
    <w:next w:val="919"/>
    <w:link w:val="907"/>
    <w:rPr>
      <w:rFonts w:ascii="Times New Roman" w:hAnsi="Times New Roman" w:eastAsia="宋体" w:cs="Times New Roman"/>
      <w:b/>
      <w:sz w:val="24"/>
    </w:rPr>
  </w:style>
  <w:style w:type="paragraph" w:styleId="920">
    <w:name w:val="正文缩进"/>
    <w:basedOn w:val="900"/>
    <w:next w:val="920"/>
    <w:link w:val="921"/>
    <w:qFormat/>
    <w:pPr>
      <w:ind w:firstLine="420"/>
      <w:jc w:val="left"/>
    </w:pPr>
    <w:rPr>
      <w:rFonts w:ascii="Times New Roman" w:hAnsi="Times New Roman" w:eastAsia="楷体_GB2312"/>
      <w:sz w:val="24"/>
      <w:szCs w:val="20"/>
    </w:rPr>
  </w:style>
  <w:style w:type="character" w:styleId="921">
    <w:name w:val="正文缩进 Char"/>
    <w:next w:val="921"/>
    <w:link w:val="920"/>
    <w:qFormat/>
    <w:rPr>
      <w:rFonts w:ascii="Times New Roman" w:hAnsi="Times New Roman" w:eastAsia="楷体_GB2312" w:cs="Times New Roman"/>
      <w:sz w:val="24"/>
      <w:lang w:val="en-US" w:eastAsia="zh-CN" w:bidi="ar-SA"/>
    </w:rPr>
  </w:style>
  <w:style w:type="character" w:styleId="922">
    <w:name w:val="标题 8 Char"/>
    <w:next w:val="922"/>
    <w:link w:val="908"/>
    <w:rPr>
      <w:rFonts w:ascii="Arial" w:hAnsi="Arial" w:eastAsia="黑体" w:cs="Times New Roman"/>
      <w:sz w:val="24"/>
    </w:rPr>
  </w:style>
  <w:style w:type="character" w:styleId="923">
    <w:name w:val="标题 9 Char"/>
    <w:next w:val="923"/>
    <w:link w:val="909"/>
    <w:rPr>
      <w:rFonts w:ascii="Arial" w:hAnsi="Arial" w:eastAsia="黑体" w:cs="Times New Roman"/>
      <w:sz w:val="21"/>
    </w:rPr>
  </w:style>
  <w:style w:type="paragraph" w:styleId="924">
    <w:name w:val="列表 3"/>
    <w:basedOn w:val="900"/>
    <w:next w:val="924"/>
    <w:link w:val="900"/>
    <w:pPr>
      <w:ind w:left="1260" w:hanging="420"/>
    </w:pPr>
    <w:rPr>
      <w:rFonts w:ascii="Times New Roman" w:hAnsi="Times New Roman" w:eastAsia="宋体" w:cs="Times New Roman"/>
      <w:szCs w:val="20"/>
    </w:rPr>
  </w:style>
  <w:style w:type="paragraph" w:styleId="925">
    <w:name w:val="目录 7"/>
    <w:basedOn w:val="900"/>
    <w:next w:val="900"/>
    <w:link w:val="900"/>
    <w:pPr>
      <w:ind w:left="2520"/>
    </w:pPr>
    <w:rPr>
      <w:rFonts w:ascii="Calibri" w:hAnsi="Calibri" w:eastAsia="宋体" w:cs="Times New Roman"/>
      <w:szCs w:val="22"/>
    </w:rPr>
  </w:style>
  <w:style w:type="paragraph" w:styleId="926">
    <w:name w:val="列表编号 2"/>
    <w:basedOn w:val="900"/>
    <w:next w:val="926"/>
    <w:link w:val="900"/>
    <w:pPr>
      <w:ind w:left="780" w:hanging="360"/>
      <w:keepNext/>
      <w:spacing w:line="360" w:lineRule="auto"/>
      <w:tabs>
        <w:tab w:val="left" w:pos="780" w:leader="none"/>
      </w:tabs>
    </w:pPr>
    <w:rPr>
      <w:rFonts w:ascii="Arial" w:hAnsi="Arial" w:eastAsia="宋体" w:cs="Times New Roman"/>
      <w:sz w:val="24"/>
      <w:szCs w:val="20"/>
    </w:rPr>
  </w:style>
  <w:style w:type="paragraph" w:styleId="927">
    <w:name w:val="列表编号"/>
    <w:basedOn w:val="900"/>
    <w:next w:val="927"/>
    <w:link w:val="900"/>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28">
    <w:name w:val="题注"/>
    <w:basedOn w:val="900"/>
    <w:next w:val="900"/>
    <w:link w:val="900"/>
    <w:qFormat/>
    <w:pPr>
      <w:spacing w:before="152" w:after="160"/>
    </w:pPr>
    <w:rPr>
      <w:rFonts w:ascii="Arial" w:hAnsi="Arial" w:eastAsia="黑体" w:cs="Arial"/>
      <w:sz w:val="20"/>
      <w:szCs w:val="20"/>
    </w:rPr>
  </w:style>
  <w:style w:type="paragraph" w:styleId="929">
    <w:name w:val="文档结构图"/>
    <w:basedOn w:val="900"/>
    <w:next w:val="929"/>
    <w:link w:val="930"/>
    <w:pPr>
      <w:shd w:val="clear" w:color="auto" w:fill="000080"/>
    </w:pPr>
    <w:rPr>
      <w:rFonts w:ascii="Times New Roman" w:hAnsi="Times New Roman"/>
      <w:szCs w:val="20"/>
    </w:rPr>
  </w:style>
  <w:style w:type="character" w:styleId="930">
    <w:name w:val="文档结构图 Char"/>
    <w:next w:val="930"/>
    <w:link w:val="929"/>
    <w:rPr>
      <w:rFonts w:ascii="Times New Roman" w:hAnsi="Times New Roman" w:eastAsia="宋体" w:cs="Times New Roman"/>
      <w:sz w:val="21"/>
      <w:shd w:val="clear" w:color="auto" w:fill="000080"/>
    </w:rPr>
  </w:style>
  <w:style w:type="paragraph" w:styleId="931">
    <w:name w:val="引文目录标题"/>
    <w:basedOn w:val="900"/>
    <w:next w:val="900"/>
    <w:link w:val="900"/>
    <w:pPr>
      <w:spacing w:before="120" w:line="312" w:lineRule="atLeast"/>
    </w:pPr>
    <w:rPr>
      <w:rFonts w:ascii="Arial" w:hAnsi="Arial" w:eastAsia="宋体" w:cs="Times New Roman"/>
      <w:b/>
      <w:sz w:val="24"/>
    </w:rPr>
  </w:style>
  <w:style w:type="paragraph" w:styleId="932">
    <w:name w:val="批注文字"/>
    <w:basedOn w:val="900"/>
    <w:next w:val="932"/>
    <w:link w:val="933"/>
    <w:pPr>
      <w:jc w:val="left"/>
    </w:pPr>
    <w:rPr>
      <w:rFonts w:ascii="Times New Roman" w:hAnsi="Times New Roman"/>
    </w:rPr>
  </w:style>
  <w:style w:type="character" w:styleId="933">
    <w:name w:val="批注文字 Char"/>
    <w:next w:val="933"/>
    <w:link w:val="932"/>
    <w:rPr>
      <w:rFonts w:ascii="Times New Roman" w:hAnsi="Times New Roman" w:eastAsia="宋体" w:cs="Times New Roman"/>
      <w:sz w:val="21"/>
      <w:szCs w:val="24"/>
    </w:rPr>
  </w:style>
  <w:style w:type="paragraph" w:styleId="934">
    <w:name w:val="正文文本 3"/>
    <w:basedOn w:val="900"/>
    <w:next w:val="934"/>
    <w:link w:val="935"/>
    <w:pPr>
      <w:spacing w:after="120"/>
    </w:pPr>
    <w:rPr>
      <w:rFonts w:ascii="Times New Roman" w:hAnsi="Times New Roman"/>
      <w:sz w:val="16"/>
      <w:szCs w:val="16"/>
    </w:rPr>
  </w:style>
  <w:style w:type="character" w:styleId="935">
    <w:name w:val="正文文本 3 Char"/>
    <w:next w:val="935"/>
    <w:link w:val="934"/>
    <w:rPr>
      <w:rFonts w:ascii="Times New Roman" w:hAnsi="Times New Roman" w:eastAsia="宋体" w:cs="Times New Roman"/>
      <w:sz w:val="16"/>
      <w:szCs w:val="16"/>
    </w:rPr>
  </w:style>
  <w:style w:type="paragraph" w:styleId="936">
    <w:name w:val="正文文本"/>
    <w:basedOn w:val="900"/>
    <w:next w:val="936"/>
    <w:link w:val="937"/>
    <w:pPr>
      <w:jc w:val="center"/>
    </w:pPr>
    <w:rPr>
      <w:rFonts w:ascii="方正大黑简体" w:hAnsi="Times New Roman" w:eastAsia="方正大黑简体"/>
      <w:position w:val="6"/>
      <w:sz w:val="30"/>
      <w:szCs w:val="20"/>
    </w:rPr>
  </w:style>
  <w:style w:type="character" w:styleId="937">
    <w:name w:val="正文文本 Char"/>
    <w:next w:val="937"/>
    <w:link w:val="936"/>
    <w:rPr>
      <w:rFonts w:ascii="方正大黑简体" w:hAnsi="Times New Roman" w:eastAsia="方正大黑简体" w:cs="Times New Roman"/>
      <w:position w:val="6"/>
      <w:sz w:val="30"/>
      <w:lang w:val="en-US" w:eastAsia="zh-CN" w:bidi="ar-SA"/>
    </w:rPr>
  </w:style>
  <w:style w:type="paragraph" w:styleId="938">
    <w:name w:val="正文文本缩进"/>
    <w:basedOn w:val="900"/>
    <w:next w:val="938"/>
    <w:link w:val="939"/>
    <w:pPr>
      <w:ind w:left="570"/>
      <w:spacing w:line="520" w:lineRule="exact"/>
    </w:pPr>
    <w:rPr>
      <w:rFonts w:ascii="方正仿宋简体" w:hAnsi="创艺简仿宋" w:eastAsia="方正仿宋简体"/>
      <w:sz w:val="24"/>
      <w:szCs w:val="20"/>
    </w:rPr>
  </w:style>
  <w:style w:type="character" w:styleId="939">
    <w:name w:val="正文文本缩进 Char"/>
    <w:next w:val="939"/>
    <w:link w:val="938"/>
    <w:rPr>
      <w:rFonts w:ascii="方正仿宋简体" w:hAnsi="创艺简仿宋" w:eastAsia="方正仿宋简体" w:cs="Times New Roman"/>
      <w:sz w:val="24"/>
      <w:lang w:val="en-US" w:eastAsia="zh-CN" w:bidi="ar-SA"/>
    </w:rPr>
  </w:style>
  <w:style w:type="paragraph" w:styleId="940">
    <w:name w:val="列表 2"/>
    <w:basedOn w:val="900"/>
    <w:next w:val="940"/>
    <w:link w:val="900"/>
    <w:pPr>
      <w:ind w:left="100" w:hanging="200"/>
    </w:pPr>
    <w:rPr>
      <w:rFonts w:ascii="Times New Roman" w:hAnsi="Times New Roman" w:eastAsia="宋体" w:cs="Times New Roman"/>
    </w:rPr>
  </w:style>
  <w:style w:type="paragraph" w:styleId="941">
    <w:name w:val="目录 5"/>
    <w:basedOn w:val="900"/>
    <w:next w:val="900"/>
    <w:link w:val="900"/>
    <w:pPr>
      <w:ind w:left="1680"/>
    </w:pPr>
    <w:rPr>
      <w:rFonts w:ascii="Calibri" w:hAnsi="Calibri" w:eastAsia="宋体" w:cs="Times New Roman"/>
      <w:szCs w:val="22"/>
    </w:rPr>
  </w:style>
  <w:style w:type="paragraph" w:styleId="942">
    <w:name w:val="目录 3"/>
    <w:basedOn w:val="900"/>
    <w:next w:val="900"/>
    <w:link w:val="900"/>
    <w:pPr>
      <w:ind w:left="840"/>
    </w:pPr>
    <w:rPr>
      <w:rFonts w:ascii="Times New Roman" w:hAnsi="Times New Roman" w:eastAsia="宋体" w:cs="Times New Roman"/>
    </w:rPr>
  </w:style>
  <w:style w:type="paragraph" w:styleId="943">
    <w:name w:val="纯文本"/>
    <w:basedOn w:val="900"/>
    <w:next w:val="943"/>
    <w:link w:val="944"/>
    <w:rPr>
      <w:rFonts w:ascii="宋体" w:hAnsi="Courier New" w:eastAsia="楷体_GB2312"/>
      <w:sz w:val="28"/>
      <w:szCs w:val="20"/>
    </w:rPr>
  </w:style>
  <w:style w:type="character" w:styleId="944">
    <w:name w:val="纯文本 Char"/>
    <w:next w:val="944"/>
    <w:link w:val="943"/>
    <w:rPr>
      <w:rFonts w:ascii="宋体" w:hAnsi="Courier New" w:eastAsia="楷体_GB2312" w:cs="Times New Roman"/>
      <w:sz w:val="28"/>
      <w:lang w:val="en-US" w:eastAsia="zh-CN" w:bidi="ar-SA"/>
    </w:rPr>
  </w:style>
  <w:style w:type="paragraph" w:styleId="945">
    <w:name w:val="目录 8"/>
    <w:basedOn w:val="900"/>
    <w:next w:val="900"/>
    <w:link w:val="900"/>
    <w:pPr>
      <w:ind w:left="2940"/>
    </w:pPr>
    <w:rPr>
      <w:rFonts w:ascii="Calibri" w:hAnsi="Calibri" w:eastAsia="宋体" w:cs="Times New Roman"/>
      <w:szCs w:val="22"/>
    </w:rPr>
  </w:style>
  <w:style w:type="paragraph" w:styleId="946">
    <w:name w:val="日期"/>
    <w:basedOn w:val="900"/>
    <w:next w:val="900"/>
    <w:link w:val="947"/>
    <w:rPr>
      <w:rFonts w:ascii="宋体" w:hAnsi="宋体" w:eastAsia="楷体_GB2312"/>
      <w:sz w:val="24"/>
      <w:szCs w:val="20"/>
    </w:rPr>
  </w:style>
  <w:style w:type="character" w:styleId="947">
    <w:name w:val="日期 Char"/>
    <w:next w:val="947"/>
    <w:link w:val="946"/>
    <w:rPr>
      <w:rFonts w:ascii="宋体" w:hAnsi="宋体" w:eastAsia="楷体_GB2312" w:cs="Times New Roman"/>
      <w:sz w:val="24"/>
    </w:rPr>
  </w:style>
  <w:style w:type="paragraph" w:styleId="948">
    <w:name w:val="正文文本缩进 2"/>
    <w:basedOn w:val="900"/>
    <w:next w:val="948"/>
    <w:link w:val="949"/>
    <w:pPr>
      <w:ind w:firstLine="540"/>
      <w:spacing w:line="360" w:lineRule="auto"/>
    </w:pPr>
    <w:rPr>
      <w:rFonts w:ascii="宋体" w:hAnsi="宋体"/>
      <w:sz w:val="24"/>
    </w:rPr>
  </w:style>
  <w:style w:type="character" w:styleId="949">
    <w:name w:val="正文文本缩进 2 Char"/>
    <w:next w:val="949"/>
    <w:link w:val="948"/>
    <w:rPr>
      <w:rFonts w:ascii="宋体" w:hAnsi="宋体" w:eastAsia="宋体" w:cs="Times New Roman"/>
      <w:sz w:val="24"/>
      <w:szCs w:val="24"/>
      <w:lang w:val="en-US" w:eastAsia="zh-CN" w:bidi="ar-SA"/>
    </w:rPr>
  </w:style>
  <w:style w:type="paragraph" w:styleId="950">
    <w:name w:val="批注框文本"/>
    <w:basedOn w:val="900"/>
    <w:next w:val="950"/>
    <w:link w:val="951"/>
    <w:rPr>
      <w:sz w:val="18"/>
      <w:szCs w:val="18"/>
    </w:rPr>
  </w:style>
  <w:style w:type="character" w:styleId="951">
    <w:name w:val="批注框文本 Char"/>
    <w:next w:val="951"/>
    <w:link w:val="950"/>
    <w:rPr>
      <w:rFonts w:ascii="Calibri" w:hAnsi="Calibri" w:eastAsia="宋体" w:cs="Times New Roman"/>
      <w:sz w:val="18"/>
      <w:szCs w:val="18"/>
      <w:lang w:val="en-US" w:eastAsia="zh-CN" w:bidi="ar-SA"/>
    </w:rPr>
  </w:style>
  <w:style w:type="paragraph" w:styleId="952">
    <w:name w:val="页脚"/>
    <w:basedOn w:val="900"/>
    <w:next w:val="952"/>
    <w:link w:val="953"/>
    <w:pPr>
      <w:jc w:val="left"/>
      <w:tabs>
        <w:tab w:val="center" w:pos="4153" w:leader="none"/>
        <w:tab w:val="right" w:pos="8306" w:leader="none"/>
      </w:tabs>
    </w:pPr>
    <w:rPr>
      <w:rFonts w:ascii="Times New Roman" w:hAnsi="Times New Roman"/>
      <w:sz w:val="18"/>
      <w:szCs w:val="18"/>
    </w:rPr>
  </w:style>
  <w:style w:type="character" w:styleId="953">
    <w:name w:val="页脚 Char"/>
    <w:next w:val="953"/>
    <w:link w:val="952"/>
    <w:rPr>
      <w:rFonts w:ascii="Times New Roman" w:hAnsi="Times New Roman" w:eastAsia="宋体" w:cs="Times New Roman"/>
      <w:sz w:val="18"/>
      <w:szCs w:val="18"/>
      <w:lang w:val="en-US" w:eastAsia="zh-CN" w:bidi="ar-SA"/>
    </w:rPr>
  </w:style>
  <w:style w:type="paragraph" w:styleId="954">
    <w:name w:val="页眉"/>
    <w:basedOn w:val="900"/>
    <w:next w:val="954"/>
    <w:link w:val="955"/>
    <w:pPr>
      <w:jc w:val="center"/>
      <w:tabs>
        <w:tab w:val="center" w:pos="4153" w:leader="none"/>
        <w:tab w:val="right" w:pos="8306" w:leader="none"/>
      </w:tabs>
      <w:pBdr>
        <w:bottom w:val="single" w:color="000000" w:sz="6" w:space="1"/>
      </w:pBdr>
    </w:pPr>
    <w:rPr>
      <w:rFonts w:ascii="Times New Roman" w:hAnsi="Times New Roman" w:eastAsia="楷体_GB2312"/>
      <w:sz w:val="18"/>
      <w:szCs w:val="20"/>
    </w:rPr>
  </w:style>
  <w:style w:type="character" w:styleId="955">
    <w:name w:val="页眉 Char"/>
    <w:next w:val="955"/>
    <w:link w:val="954"/>
    <w:rPr>
      <w:rFonts w:ascii="Times New Roman" w:hAnsi="Times New Roman" w:eastAsia="楷体_GB2312" w:cs="Times New Roman"/>
      <w:sz w:val="18"/>
      <w:lang w:val="en-US" w:eastAsia="zh-CN" w:bidi="ar-SA"/>
    </w:rPr>
  </w:style>
  <w:style w:type="paragraph" w:styleId="956">
    <w:name w:val="目录 1"/>
    <w:basedOn w:val="900"/>
    <w:next w:val="900"/>
    <w:link w:val="900"/>
    <w:uiPriority w:val="39"/>
    <w:pPr>
      <w:spacing w:line="360" w:lineRule="auto"/>
      <w:tabs>
        <w:tab w:val="right" w:pos="8296" w:leader="dot"/>
      </w:tabs>
    </w:pPr>
    <w:rPr>
      <w:rFonts w:ascii="宋体" w:hAnsi="宋体" w:eastAsia="宋体" w:cs="Times New Roman"/>
      <w:b/>
      <w:lang w:val="en-US" w:eastAsia="zh-CN"/>
    </w:rPr>
  </w:style>
  <w:style w:type="paragraph" w:styleId="957">
    <w:name w:val="列表接续 4"/>
    <w:basedOn w:val="900"/>
    <w:next w:val="957"/>
    <w:link w:val="900"/>
    <w:pPr>
      <w:ind w:left="1680"/>
      <w:spacing w:after="120"/>
    </w:pPr>
    <w:rPr>
      <w:rFonts w:ascii="Calibri" w:hAnsi="Calibri" w:eastAsia="宋体" w:cs="Times New Roman"/>
    </w:rPr>
  </w:style>
  <w:style w:type="paragraph" w:styleId="958">
    <w:name w:val="目录 4"/>
    <w:basedOn w:val="900"/>
    <w:next w:val="900"/>
    <w:link w:val="900"/>
    <w:pPr>
      <w:ind w:left="1260"/>
    </w:pPr>
    <w:rPr>
      <w:rFonts w:ascii="Calibri" w:hAnsi="Calibri" w:eastAsia="宋体" w:cs="Times New Roman"/>
      <w:szCs w:val="22"/>
    </w:rPr>
  </w:style>
  <w:style w:type="paragraph" w:styleId="959">
    <w:name w:val="索引标题"/>
    <w:basedOn w:val="900"/>
    <w:next w:val="960"/>
    <w:link w:val="900"/>
    <w:rPr>
      <w:rFonts w:ascii="Arial" w:hAnsi="Arial" w:eastAsia="宋体" w:cs="Arial"/>
      <w:b/>
      <w:bCs/>
    </w:rPr>
  </w:style>
  <w:style w:type="paragraph" w:styleId="960">
    <w:name w:val="索引 1"/>
    <w:basedOn w:val="900"/>
    <w:next w:val="900"/>
    <w:link w:val="900"/>
    <w:pPr>
      <w:jc w:val="center"/>
      <w:spacing w:line="270" w:lineRule="atLeast"/>
      <w:widowControl/>
    </w:pPr>
    <w:rPr>
      <w:rFonts w:ascii="宋体" w:hAnsi="宋体" w:eastAsia="宋体" w:cs="Times New Roman"/>
      <w:b/>
      <w:szCs w:val="18"/>
    </w:rPr>
  </w:style>
  <w:style w:type="paragraph" w:styleId="961">
    <w:name w:val="副标题"/>
    <w:basedOn w:val="900"/>
    <w:next w:val="900"/>
    <w:link w:val="962"/>
    <w:qFormat/>
    <w:pPr>
      <w:jc w:val="center"/>
      <w:spacing w:before="240" w:after="60" w:line="312" w:lineRule="auto"/>
      <w:outlineLvl w:val="1"/>
    </w:pPr>
    <w:rPr>
      <w:rFonts w:ascii="Cambria" w:hAnsi="Cambria"/>
      <w:b/>
      <w:bCs/>
      <w:sz w:val="32"/>
      <w:szCs w:val="32"/>
    </w:rPr>
  </w:style>
  <w:style w:type="character" w:styleId="962">
    <w:name w:val="副标题 Char"/>
    <w:next w:val="962"/>
    <w:link w:val="961"/>
    <w:rPr>
      <w:rFonts w:ascii="Cambria" w:hAnsi="Cambria" w:eastAsia="宋体" w:cs="Times New Roman"/>
      <w:b/>
      <w:bCs/>
      <w:sz w:val="32"/>
      <w:szCs w:val="32"/>
    </w:rPr>
  </w:style>
  <w:style w:type="paragraph" w:styleId="963">
    <w:name w:val="目录 6"/>
    <w:basedOn w:val="900"/>
    <w:next w:val="900"/>
    <w:link w:val="900"/>
    <w:pPr>
      <w:ind w:left="2100"/>
    </w:pPr>
    <w:rPr>
      <w:rFonts w:ascii="Calibri" w:hAnsi="Calibri" w:eastAsia="宋体" w:cs="Times New Roman"/>
      <w:szCs w:val="22"/>
    </w:rPr>
  </w:style>
  <w:style w:type="paragraph" w:styleId="964">
    <w:name w:val="正文文本缩进 3"/>
    <w:basedOn w:val="900"/>
    <w:next w:val="964"/>
    <w:link w:val="965"/>
    <w:pPr>
      <w:ind w:left="420"/>
      <w:spacing w:after="120"/>
    </w:pPr>
    <w:rPr>
      <w:rFonts w:ascii="Times New Roman" w:hAnsi="Times New Roman"/>
      <w:sz w:val="16"/>
      <w:szCs w:val="16"/>
    </w:rPr>
  </w:style>
  <w:style w:type="character" w:styleId="965">
    <w:name w:val="正文文本缩进 3 Char"/>
    <w:next w:val="965"/>
    <w:link w:val="964"/>
    <w:rPr>
      <w:rFonts w:ascii="Times New Roman" w:hAnsi="Times New Roman" w:eastAsia="宋体" w:cs="Times New Roman"/>
      <w:sz w:val="16"/>
      <w:szCs w:val="16"/>
    </w:rPr>
  </w:style>
  <w:style w:type="paragraph" w:styleId="966">
    <w:name w:val="目录 2"/>
    <w:basedOn w:val="900"/>
    <w:next w:val="900"/>
    <w:link w:val="900"/>
    <w:uiPriority w:val="39"/>
    <w:pPr>
      <w:ind w:left="420"/>
    </w:pPr>
    <w:rPr>
      <w:rFonts w:ascii="Times New Roman" w:hAnsi="Times New Roman" w:eastAsia="宋体" w:cs="Times New Roman"/>
      <w:szCs w:val="20"/>
    </w:rPr>
  </w:style>
  <w:style w:type="paragraph" w:styleId="967">
    <w:name w:val="目录 9"/>
    <w:basedOn w:val="900"/>
    <w:next w:val="900"/>
    <w:link w:val="900"/>
    <w:pPr>
      <w:ind w:left="3360"/>
    </w:pPr>
    <w:rPr>
      <w:rFonts w:ascii="Calibri" w:hAnsi="Calibri" w:eastAsia="宋体" w:cs="Times New Roman"/>
      <w:szCs w:val="22"/>
    </w:rPr>
  </w:style>
  <w:style w:type="paragraph" w:styleId="968">
    <w:name w:val="正文文本 2"/>
    <w:basedOn w:val="900"/>
    <w:next w:val="968"/>
    <w:link w:val="969"/>
    <w:pPr>
      <w:ind w:firstLine="250"/>
      <w:spacing w:before="156" w:after="120" w:line="480" w:lineRule="auto"/>
    </w:pPr>
    <w:rPr>
      <w:rFonts w:ascii="Times New Roman" w:hAnsi="Times New Roman"/>
      <w:sz w:val="24"/>
    </w:rPr>
  </w:style>
  <w:style w:type="character" w:styleId="969">
    <w:name w:val="正文文本 2 Char"/>
    <w:next w:val="969"/>
    <w:link w:val="968"/>
    <w:rPr>
      <w:rFonts w:ascii="Times New Roman" w:hAnsi="Times New Roman" w:eastAsia="宋体" w:cs="Times New Roman"/>
      <w:sz w:val="24"/>
      <w:szCs w:val="24"/>
    </w:rPr>
  </w:style>
  <w:style w:type="paragraph" w:styleId="970">
    <w:name w:val="列表接续 2"/>
    <w:basedOn w:val="900"/>
    <w:next w:val="970"/>
    <w:link w:val="900"/>
    <w:pPr>
      <w:ind w:left="840"/>
      <w:spacing w:after="120"/>
    </w:pPr>
    <w:rPr>
      <w:rFonts w:ascii="Calibri" w:hAnsi="Calibri" w:eastAsia="宋体" w:cs="Times New Roman"/>
    </w:rPr>
  </w:style>
  <w:style w:type="paragraph" w:styleId="971">
    <w:name w:val="HTML 预设格式"/>
    <w:basedOn w:val="900"/>
    <w:next w:val="971"/>
    <w:link w:val="97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2">
    <w:name w:val="HTML 预设格式 Char"/>
    <w:next w:val="972"/>
    <w:link w:val="971"/>
    <w:rPr>
      <w:rFonts w:ascii="宋体" w:hAnsi="宋体" w:eastAsia="宋体" w:cs="宋体"/>
      <w:sz w:val="24"/>
      <w:szCs w:val="24"/>
    </w:rPr>
  </w:style>
  <w:style w:type="paragraph" w:styleId="973">
    <w:name w:val="普通(网站)"/>
    <w:basedOn w:val="900"/>
    <w:next w:val="973"/>
    <w:link w:val="900"/>
    <w:uiPriority w:val="99"/>
    <w:pPr>
      <w:jc w:val="left"/>
      <w:spacing w:before="100" w:beforeAutospacing="1" w:after="100" w:afterAutospacing="1"/>
      <w:widowControl/>
    </w:pPr>
    <w:rPr>
      <w:rFonts w:ascii="宋体" w:hAnsi="宋体" w:eastAsia="宋体" w:cs="宋体"/>
      <w:sz w:val="24"/>
    </w:rPr>
  </w:style>
  <w:style w:type="paragraph" w:styleId="974">
    <w:name w:val="标题"/>
    <w:basedOn w:val="900"/>
    <w:next w:val="974"/>
    <w:link w:val="975"/>
    <w:qFormat/>
    <w:pPr>
      <w:jc w:val="center"/>
      <w:spacing w:before="240" w:after="60" w:line="360" w:lineRule="auto"/>
      <w:outlineLvl w:val="0"/>
    </w:pPr>
    <w:rPr>
      <w:rFonts w:ascii="宋体" w:hAnsi="宋体"/>
      <w:b/>
      <w:bCs/>
      <w:sz w:val="32"/>
      <w:szCs w:val="32"/>
    </w:rPr>
  </w:style>
  <w:style w:type="character" w:styleId="975">
    <w:name w:val="标题 Char"/>
    <w:next w:val="975"/>
    <w:link w:val="974"/>
    <w:rPr>
      <w:rFonts w:ascii="宋体" w:hAnsi="宋体" w:eastAsia="宋体" w:cs="Arial"/>
      <w:b/>
      <w:bCs/>
      <w:sz w:val="32"/>
      <w:szCs w:val="32"/>
    </w:rPr>
  </w:style>
  <w:style w:type="paragraph" w:styleId="976">
    <w:name w:val="批注主题"/>
    <w:basedOn w:val="932"/>
    <w:next w:val="932"/>
    <w:link w:val="977"/>
    <w:rPr>
      <w:b/>
      <w:bCs/>
    </w:rPr>
  </w:style>
  <w:style w:type="character" w:styleId="977">
    <w:name w:val="批注主题 Char"/>
    <w:next w:val="977"/>
    <w:link w:val="976"/>
    <w:rPr>
      <w:rFonts w:ascii="Times New Roman" w:hAnsi="Times New Roman" w:eastAsia="宋体" w:cs="Times New Roman"/>
      <w:b/>
      <w:bCs/>
      <w:sz w:val="21"/>
      <w:szCs w:val="24"/>
    </w:rPr>
  </w:style>
  <w:style w:type="paragraph" w:styleId="978">
    <w:name w:val="正文首行缩进"/>
    <w:basedOn w:val="936"/>
    <w:next w:val="978"/>
    <w:link w:val="979"/>
    <w:pPr>
      <w:ind w:firstLine="420"/>
      <w:jc w:val="both"/>
      <w:spacing w:before="156" w:after="120" w:line="300" w:lineRule="auto"/>
    </w:pPr>
    <w:rPr>
      <w:sz w:val="24"/>
      <w:szCs w:val="24"/>
    </w:rPr>
  </w:style>
  <w:style w:type="character" w:styleId="979">
    <w:name w:val="正文首行缩进 Char"/>
    <w:next w:val="979"/>
    <w:link w:val="978"/>
    <w:rPr>
      <w:rFonts w:ascii="方正大黑简体" w:hAnsi="Times New Roman" w:eastAsia="方正大黑简体" w:cs="Times New Roman"/>
      <w:position w:val="6"/>
      <w:sz w:val="24"/>
      <w:szCs w:val="24"/>
      <w:lang w:val="en-US" w:eastAsia="zh-CN" w:bidi="ar-SA"/>
    </w:rPr>
  </w:style>
  <w:style w:type="paragraph" w:styleId="980">
    <w:name w:val="正文首行缩进 2"/>
    <w:basedOn w:val="938"/>
    <w:next w:val="980"/>
    <w:link w:val="981"/>
    <w:pPr>
      <w:ind w:left="420" w:firstLine="420"/>
      <w:spacing w:after="120" w:line="240" w:lineRule="auto"/>
    </w:pPr>
    <w:rPr>
      <w:rFonts w:ascii="Tahoma" w:hAnsi="Tahoma"/>
      <w:sz w:val="21"/>
      <w:szCs w:val="24"/>
    </w:rPr>
  </w:style>
  <w:style w:type="character" w:styleId="981">
    <w:name w:val="正文首行缩进 2 Char"/>
    <w:next w:val="981"/>
    <w:link w:val="980"/>
    <w:rPr>
      <w:rFonts w:ascii="Tahoma" w:hAnsi="Tahoma" w:eastAsia="方正仿宋简体" w:cs="Times New Roman"/>
      <w:sz w:val="21"/>
      <w:szCs w:val="24"/>
      <w:lang w:val="en-US" w:eastAsia="zh-CN" w:bidi="ar-SA"/>
    </w:rPr>
  </w:style>
  <w:style w:type="character" w:styleId="982">
    <w:name w:val="要点"/>
    <w:next w:val="982"/>
    <w:link w:val="900"/>
    <w:qFormat/>
    <w:rPr>
      <w:rFonts w:ascii="Times New Roman" w:hAnsi="Times New Roman" w:eastAsia="宋体" w:cs="Times New Roman"/>
      <w:b/>
      <w:bCs/>
    </w:rPr>
  </w:style>
  <w:style w:type="character" w:styleId="983">
    <w:name w:val="页码"/>
    <w:next w:val="983"/>
    <w:link w:val="900"/>
    <w:rPr>
      <w:rFonts w:ascii="Times New Roman" w:hAnsi="Times New Roman" w:eastAsia="宋体" w:cs="Times New Roman"/>
    </w:rPr>
  </w:style>
  <w:style w:type="character" w:styleId="984">
    <w:name w:val="访问过的超链接"/>
    <w:next w:val="984"/>
    <w:link w:val="900"/>
    <w:rPr>
      <w:rFonts w:ascii="Times New Roman" w:hAnsi="Times New Roman" w:eastAsia="宋体" w:cs="Times New Roman"/>
      <w:color w:val="800080"/>
      <w:u w:val="single"/>
    </w:rPr>
  </w:style>
  <w:style w:type="character" w:styleId="985">
    <w:name w:val="强调"/>
    <w:next w:val="985"/>
    <w:link w:val="900"/>
    <w:uiPriority w:val="20"/>
    <w:qFormat/>
    <w:rPr>
      <w:rFonts w:ascii="Times New Roman" w:hAnsi="Times New Roman" w:eastAsia="宋体" w:cs="Times New Roman"/>
      <w:b/>
      <w:bCs/>
      <w:i w:val="0"/>
      <w:iCs w:val="0"/>
    </w:rPr>
  </w:style>
  <w:style w:type="character" w:styleId="986">
    <w:name w:val="HTML 打字机"/>
    <w:next w:val="986"/>
    <w:link w:val="900"/>
    <w:rPr>
      <w:rFonts w:ascii="黑体" w:hAnsi="Courier New" w:eastAsia="黑体" w:cs="Courier New"/>
      <w:sz w:val="14"/>
      <w:szCs w:val="14"/>
    </w:rPr>
  </w:style>
  <w:style w:type="character" w:styleId="987">
    <w:name w:val="超链接"/>
    <w:next w:val="987"/>
    <w:link w:val="900"/>
    <w:uiPriority w:val="99"/>
    <w:rPr>
      <w:rFonts w:ascii="Times New Roman" w:hAnsi="Times New Roman" w:eastAsia="宋体" w:cs="Times New Roman"/>
      <w:color w:val="0000ff"/>
      <w:u w:val="single"/>
    </w:rPr>
  </w:style>
  <w:style w:type="character" w:styleId="988">
    <w:name w:val="批注引用"/>
    <w:next w:val="988"/>
    <w:link w:val="900"/>
    <w:rPr>
      <w:rFonts w:ascii="Times New Roman" w:hAnsi="Times New Roman" w:eastAsia="宋体" w:cs="Times New Roman"/>
      <w:sz w:val="21"/>
      <w:szCs w:val="21"/>
    </w:rPr>
  </w:style>
  <w:style w:type="character" w:styleId="989">
    <w:name w:val="Formatvorlage Formatvorlage Links:  0&quot; Hängend:  13.5 ch + MingLiU Zchn"/>
    <w:next w:val="989"/>
    <w:link w:val="990"/>
    <w:rPr>
      <w:rFonts w:ascii="Arial" w:hAnsi="Arial" w:eastAsia="Times New Roman" w:cs="Times New Roman"/>
      <w:sz w:val="24"/>
    </w:rPr>
  </w:style>
  <w:style w:type="paragraph" w:styleId="990">
    <w:name w:val="Formatvorlage Formatvorlage Links:  0&quot; Hängend:  13.5 ch + MingLiU"/>
    <w:basedOn w:val="900"/>
    <w:next w:val="990"/>
    <w:link w:val="989"/>
    <w:pPr>
      <w:ind w:left="3240" w:hanging="3240"/>
    </w:pPr>
    <w:rPr>
      <w:rFonts w:ascii="Arial" w:hAnsi="Arial" w:eastAsia="Times New Roman"/>
      <w:sz w:val="24"/>
      <w:szCs w:val="20"/>
    </w:rPr>
  </w:style>
  <w:style w:type="character" w:styleId="991">
    <w:name w:val="para"/>
    <w:next w:val="991"/>
    <w:link w:val="900"/>
    <w:rPr>
      <w:rFonts w:ascii="Times New Roman" w:hAnsi="Times New Roman" w:eastAsia="宋体" w:cs="Times New Roman"/>
    </w:rPr>
  </w:style>
  <w:style w:type="character" w:styleId="992">
    <w:name w:val="方案正文 Char"/>
    <w:next w:val="992"/>
    <w:link w:val="993"/>
    <w:rPr>
      <w:rFonts w:ascii="Times New Roman" w:hAnsi="Times New Roman" w:eastAsia="宋体" w:cs="Times New Roman"/>
      <w:sz w:val="24"/>
      <w:szCs w:val="24"/>
    </w:rPr>
  </w:style>
  <w:style w:type="paragraph" w:styleId="993">
    <w:name w:val="方案正文"/>
    <w:basedOn w:val="900"/>
    <w:next w:val="993"/>
    <w:link w:val="992"/>
    <w:pPr>
      <w:spacing w:line="360" w:lineRule="auto"/>
    </w:pPr>
    <w:rPr>
      <w:rFonts w:ascii="Times New Roman" w:hAnsi="Times New Roman"/>
      <w:sz w:val="24"/>
    </w:rPr>
  </w:style>
  <w:style w:type="character" w:styleId="994">
    <w:name w:val="indetail1"/>
    <w:next w:val="994"/>
    <w:link w:val="900"/>
    <w:rPr>
      <w:rFonts w:ascii="Times New Roman" w:hAnsi="Times New Roman" w:eastAsia="宋体" w:cs="Times New Roman"/>
      <w:sz w:val="18"/>
      <w:szCs w:val="18"/>
    </w:rPr>
  </w:style>
  <w:style w:type="character" w:styleId="995">
    <w:name w:val="Default Char"/>
    <w:next w:val="995"/>
    <w:link w:val="996"/>
    <w:rPr>
      <w:rFonts w:ascii="Futura Heavy" w:eastAsia="Futura Heavy"/>
      <w:color w:val="000000"/>
      <w:sz w:val="24"/>
      <w:szCs w:val="24"/>
      <w:lang w:val="en-US" w:eastAsia="zh-CN" w:bidi="ar-SA"/>
    </w:rPr>
  </w:style>
  <w:style w:type="paragraph" w:styleId="996">
    <w:name w:val="Default"/>
    <w:next w:val="996"/>
    <w:link w:val="995"/>
    <w:pPr>
      <w:widowControl w:val="off"/>
    </w:pPr>
    <w:rPr>
      <w:rFonts w:ascii="Futura Heavy" w:eastAsia="Futura Heavy"/>
      <w:color w:val="000000"/>
      <w:sz w:val="24"/>
      <w:szCs w:val="24"/>
      <w:lang w:val="en-US" w:eastAsia="zh-CN" w:bidi="ar-SA"/>
    </w:rPr>
  </w:style>
  <w:style w:type="character" w:styleId="997">
    <w:name w:val="content021"/>
    <w:next w:val="997"/>
    <w:link w:val="900"/>
    <w:rPr>
      <w:rFonts w:ascii="Tahoma" w:hAnsi="Tahoma" w:eastAsia="宋体" w:cs="Times New Roman"/>
      <w:sz w:val="24"/>
      <w:szCs w:val="24"/>
      <w:lang w:val="en-US" w:eastAsia="zh-CN" w:bidi="ar-SA"/>
    </w:rPr>
  </w:style>
  <w:style w:type="character" w:styleId="998">
    <w:name w:val="rmv1"/>
    <w:next w:val="998"/>
    <w:link w:val="900"/>
    <w:rPr>
      <w:rFonts w:ascii="Times New Roman" w:hAnsi="Times New Roman" w:eastAsia="宋体" w:cs="Times New Roman"/>
      <w:vanish w:val="0"/>
    </w:rPr>
  </w:style>
  <w:style w:type="character" w:styleId="999">
    <w:name w:val="加点正文缩进 Char"/>
    <w:next w:val="999"/>
    <w:link w:val="1000"/>
    <w:rPr>
      <w:rFonts w:ascii="宋体" w:hAnsi="宋体" w:eastAsia="宋体" w:cs="Times New Roman"/>
      <w:sz w:val="24"/>
      <w:szCs w:val="24"/>
    </w:rPr>
  </w:style>
  <w:style w:type="paragraph" w:styleId="1000">
    <w:name w:val="加点正文缩进"/>
    <w:basedOn w:val="900"/>
    <w:next w:val="1000"/>
    <w:link w:val="999"/>
    <w:pPr>
      <w:ind w:left="840" w:hanging="420"/>
      <w:spacing w:line="300" w:lineRule="auto"/>
      <w:tabs>
        <w:tab w:val="left" w:pos="840" w:leader="none"/>
      </w:tabs>
    </w:pPr>
    <w:rPr>
      <w:rFonts w:ascii="宋体" w:hAnsi="宋体"/>
      <w:sz w:val="24"/>
    </w:rPr>
  </w:style>
  <w:style w:type="character" w:styleId="1001">
    <w:name w:val="Char Char2"/>
    <w:next w:val="1001"/>
    <w:link w:val="900"/>
    <w:rPr>
      <w:rFonts w:ascii="Cambria" w:hAnsi="Cambria" w:eastAsia="宋体" w:cs="Times New Roman"/>
      <w:b/>
      <w:bCs/>
      <w:sz w:val="24"/>
      <w:szCs w:val="24"/>
    </w:rPr>
  </w:style>
  <w:style w:type="character" w:styleId="1002">
    <w:name w:val="maywed421"/>
    <w:next w:val="1002"/>
    <w:link w:val="900"/>
    <w:rPr>
      <w:rFonts w:ascii="Times New Roman" w:hAnsi="Times New Roman" w:eastAsia="宋体" w:cs="Times New Roman"/>
      <w:color w:val="366fb6"/>
      <w:u w:val="none"/>
    </w:rPr>
  </w:style>
  <w:style w:type="character" w:styleId="1003">
    <w:name w:val="日期 Char1"/>
    <w:next w:val="1003"/>
    <w:link w:val="900"/>
    <w:rPr>
      <w:rFonts w:ascii="Times New Roman" w:hAnsi="Times New Roman" w:eastAsia="宋体" w:cs="Times New Roman"/>
      <w:sz w:val="21"/>
      <w:szCs w:val="24"/>
    </w:rPr>
  </w:style>
  <w:style w:type="character" w:styleId="1004">
    <w:name w:val="正文缩进 Char1"/>
    <w:next w:val="1004"/>
    <w:link w:val="900"/>
    <w:rPr>
      <w:rFonts w:ascii="Times New Roman" w:hAnsi="Times New Roman" w:eastAsia="楷体_GB2312" w:cs="Times New Roman"/>
      <w:sz w:val="24"/>
      <w:lang w:bidi="ar-SA"/>
    </w:rPr>
  </w:style>
  <w:style w:type="character" w:styleId="1005">
    <w:name w:val="font-12"/>
    <w:next w:val="1005"/>
    <w:link w:val="900"/>
    <w:rPr>
      <w:rFonts w:ascii="Times New Roman" w:hAnsi="Times New Roman" w:eastAsia="宋体" w:cs="Times New Roman"/>
    </w:rPr>
  </w:style>
  <w:style w:type="character" w:styleId="1006">
    <w:name w:val="zi61"/>
    <w:next w:val="1006"/>
    <w:link w:val="900"/>
    <w:rPr>
      <w:rFonts w:ascii="Times New Roman" w:hAnsi="Times New Roman" w:eastAsia="宋体" w:cs="Times New Roman"/>
      <w:b/>
      <w:bCs/>
      <w:color w:val="ff0000"/>
      <w:sz w:val="24"/>
      <w:szCs w:val="24"/>
      <w:u w:val="none"/>
    </w:rPr>
  </w:style>
  <w:style w:type="character" w:styleId="1007">
    <w:name w:val="标题 1 Char,南通标题 1 Char,章 Char,章节标题 Char,Heading One Char"/>
    <w:next w:val="1007"/>
    <w:link w:val="900"/>
    <w:rPr>
      <w:rFonts w:ascii="Times New Roman" w:hAnsi="Times New Roman" w:eastAsia="宋体" w:cs="Times New Roman"/>
      <w:b/>
      <w:bCs/>
      <w:sz w:val="44"/>
      <w:szCs w:val="44"/>
    </w:rPr>
  </w:style>
  <w:style w:type="character" w:styleId="1008">
    <w:name w:val="标题 6 Char1,H6 Char,Bullet list Char,第五层条 Char,BOD 4 Char,h6 Char,Third Subheading Char,PIM 6 Char,Legal Level 1. Char,L6 Char,正文六级标题 Char,Bullet (Single Lines) Char,(I) Char,•H6 Char,Ref Heading 3 Char,rh3 Char,Ref Heading 31 Char,rh31 Char,H61 Char"/>
    <w:next w:val="1008"/>
    <w:link w:val="900"/>
    <w:rPr>
      <w:rFonts w:ascii="Cambria" w:hAnsi="Cambria" w:eastAsia="宋体" w:cs="Times New Roman"/>
      <w:b/>
      <w:bCs/>
      <w:sz w:val="24"/>
      <w:szCs w:val="24"/>
    </w:rPr>
  </w:style>
  <w:style w:type="character" w:styleId="1009">
    <w:name w:val="NICMAN Body Text Char Char"/>
    <w:next w:val="1009"/>
    <w:link w:val="900"/>
    <w:rPr>
      <w:rFonts w:ascii="方正大黑简体" w:hAnsi="Times New Roman" w:eastAsia="方正大黑简体" w:cs="Times New Roman"/>
      <w:position w:val="6"/>
      <w:sz w:val="30"/>
      <w:lang w:val="en-US" w:eastAsia="zh-CN" w:bidi="ar-SA"/>
    </w:rPr>
  </w:style>
  <w:style w:type="character" w:styleId="1010">
    <w:name w:val="lh201"/>
    <w:next w:val="1010"/>
    <w:link w:val="900"/>
    <w:rPr>
      <w:rFonts w:ascii="Times New Roman" w:hAnsi="Times New Roman" w:eastAsia="宋体" w:cs="Times New Roman"/>
      <w:color w:val="666666"/>
    </w:rPr>
  </w:style>
  <w:style w:type="character" w:styleId="1011">
    <w:name w:val="unnamed31"/>
    <w:next w:val="1011"/>
    <w:link w:val="900"/>
    <w:rPr>
      <w:rFonts w:hint="eastAsia" w:ascii="宋体" w:hAnsi="宋体" w:eastAsia="宋体" w:cs="Times New Roman"/>
      <w:i w:val="0"/>
      <w:iCs w:val="0"/>
      <w:color w:val="000099"/>
      <w:spacing w:val="0"/>
      <w:sz w:val="18"/>
      <w:szCs w:val="18"/>
      <w:u w:val="none"/>
    </w:rPr>
  </w:style>
  <w:style w:type="character" w:styleId="1012">
    <w:name w:val="style2 style26"/>
    <w:next w:val="1012"/>
    <w:link w:val="900"/>
    <w:rPr>
      <w:rFonts w:ascii="Times New Roman" w:hAnsi="Times New Roman" w:eastAsia="宋体" w:cs="Times New Roman"/>
    </w:rPr>
  </w:style>
  <w:style w:type="character" w:styleId="1013">
    <w:name w:val="digest1"/>
    <w:next w:val="1013"/>
    <w:link w:val="900"/>
    <w:rPr>
      <w:rFonts w:ascii="Times New Roman" w:hAnsi="Times New Roman" w:eastAsia="宋体" w:cs="Times New Roman"/>
      <w:color w:val="3a4343"/>
      <w:sz w:val="20"/>
      <w:lang w:val="en-US" w:eastAsia="zh-CN"/>
    </w:rPr>
  </w:style>
  <w:style w:type="character" w:styleId="1014">
    <w:name w:val="不用8 Char,注意框体 Char,标题6 Char,Legal Level 1.1.1. Char,表 Char,（A） Char,h8 Char,Alt+8 Char,AppendixSubHead Char,正文八级标题 Char Char"/>
    <w:next w:val="1014"/>
    <w:link w:val="900"/>
    <w:rPr>
      <w:rFonts w:ascii="Arial" w:hAnsi="Arial" w:eastAsia="黑体" w:cs="Times New Roman"/>
      <w:sz w:val="24"/>
      <w:szCs w:val="24"/>
      <w:lang w:bidi="he-IL"/>
    </w:rPr>
  </w:style>
  <w:style w:type="character" w:styleId="1015">
    <w:name w:val="普通 (Web) Char Char Char"/>
    <w:next w:val="1015"/>
    <w:link w:val="900"/>
    <w:rPr>
      <w:rFonts w:ascii="Times New Roman" w:hAnsi="Times New Roman" w:eastAsia="宋体" w:cs="Times New Roman"/>
      <w:sz w:val="24"/>
      <w:lang w:val="en-US" w:eastAsia="zh-CN"/>
    </w:rPr>
  </w:style>
  <w:style w:type="character" w:styleId="1016">
    <w:name w:val="11"/>
    <w:next w:val="1016"/>
    <w:link w:val="900"/>
    <w:rPr>
      <w:rFonts w:ascii="Times New Roman" w:hAnsi="Times New Roman" w:eastAsia="宋体" w:cs="Times New Roman"/>
      <w:sz w:val="36"/>
      <w:szCs w:val="36"/>
    </w:rPr>
  </w:style>
  <w:style w:type="character" w:styleId="1017">
    <w:name w:val="hang1"/>
    <w:next w:val="1017"/>
    <w:link w:val="900"/>
    <w:rPr>
      <w:rFonts w:ascii="Times New Roman" w:hAnsi="Times New Roman" w:eastAsia="宋体" w:cs="Times New Roman"/>
    </w:rPr>
  </w:style>
  <w:style w:type="character" w:styleId="1018">
    <w:name w:val="正文文本缩进 3 Char1"/>
    <w:next w:val="1018"/>
    <w:link w:val="900"/>
    <w:rPr>
      <w:rFonts w:ascii="Times New Roman" w:hAnsi="Times New Roman" w:eastAsia="宋体" w:cs="Times New Roman"/>
      <w:sz w:val="16"/>
      <w:szCs w:val="16"/>
    </w:rPr>
  </w:style>
  <w:style w:type="character" w:styleId="1019">
    <w:name w:val="标题 2 Char Char"/>
    <w:next w:val="1019"/>
    <w:link w:val="900"/>
    <w:rPr>
      <w:rFonts w:ascii="Arial" w:hAnsi="Arial" w:eastAsia="黑体" w:cs="Times New Roman"/>
      <w:b/>
      <w:spacing w:val="-6"/>
      <w:sz w:val="30"/>
      <w:szCs w:val="32"/>
      <w:lang w:val="en-US" w:eastAsia="zh-CN" w:bidi="ar-SA"/>
    </w:rPr>
  </w:style>
  <w:style w:type="character" w:styleId="1020">
    <w:name w:val="info4"/>
    <w:next w:val="1020"/>
    <w:link w:val="900"/>
    <w:rPr>
      <w:rFonts w:ascii="Times New Roman" w:hAnsi="Times New Roman" w:eastAsia="宋体" w:cs="Times New Roman"/>
    </w:rPr>
  </w:style>
  <w:style w:type="character" w:styleId="1021">
    <w:name w:val="unnamed101"/>
    <w:next w:val="1021"/>
    <w:link w:val="900"/>
    <w:rPr>
      <w:rFonts w:ascii="Times New Roman" w:hAnsi="Times New Roman" w:eastAsia="宋体" w:cs="Times New Roman"/>
      <w:sz w:val="20"/>
      <w:szCs w:val="20"/>
    </w:rPr>
  </w:style>
  <w:style w:type="character" w:styleId="1022">
    <w:name w:val="unnamed2"/>
    <w:next w:val="1022"/>
    <w:link w:val="900"/>
    <w:rPr>
      <w:rFonts w:ascii="Times New Roman" w:hAnsi="Times New Roman" w:eastAsia="宋体" w:cs="Times New Roman"/>
    </w:rPr>
  </w:style>
  <w:style w:type="character" w:styleId="1023">
    <w:name w:val="+正文 Char3"/>
    <w:next w:val="1023"/>
    <w:link w:val="1024"/>
    <w:rPr>
      <w:rFonts w:ascii="Tahoma" w:hAnsi="Tahoma" w:eastAsia="宋体" w:cs="Times New Roman"/>
      <w:sz w:val="24"/>
      <w:szCs w:val="28"/>
    </w:rPr>
  </w:style>
  <w:style w:type="paragraph" w:styleId="1024">
    <w:name w:val="+正文"/>
    <w:basedOn w:val="900"/>
    <w:next w:val="1024"/>
    <w:link w:val="1023"/>
    <w:pPr>
      <w:ind w:firstLine="200"/>
      <w:spacing w:line="360" w:lineRule="auto"/>
    </w:pPr>
    <w:rPr>
      <w:rFonts w:ascii="Tahoma" w:hAnsi="Tahoma"/>
      <w:sz w:val="24"/>
      <w:szCs w:val="28"/>
    </w:rPr>
  </w:style>
  <w:style w:type="character" w:styleId="1025">
    <w:name w:val="*正文 Char"/>
    <w:next w:val="1025"/>
    <w:link w:val="1026"/>
    <w:rPr>
      <w:rFonts w:ascii="宋体" w:hAnsi="宋体" w:eastAsia="宋体" w:cs="Times New Roman"/>
      <w:sz w:val="21"/>
      <w:szCs w:val="24"/>
    </w:rPr>
  </w:style>
  <w:style w:type="paragraph" w:styleId="1026">
    <w:name w:val="*正文"/>
    <w:basedOn w:val="900"/>
    <w:next w:val="1026"/>
    <w:link w:val="1025"/>
    <w:pPr>
      <w:ind w:firstLine="480"/>
      <w:spacing w:line="300" w:lineRule="auto"/>
    </w:pPr>
    <w:rPr>
      <w:rFonts w:ascii="宋体" w:hAnsi="宋体"/>
    </w:rPr>
  </w:style>
  <w:style w:type="character" w:styleId="1027">
    <w:name w:val="s"/>
    <w:next w:val="1027"/>
    <w:link w:val="900"/>
    <w:rPr>
      <w:rFonts w:ascii="Times New Roman" w:hAnsi="Times New Roman" w:eastAsia="宋体" w:cs="Times New Roman"/>
    </w:rPr>
  </w:style>
  <w:style w:type="character" w:styleId="1028">
    <w:name w:val="fontstyle01"/>
    <w:next w:val="1028"/>
    <w:link w:val="900"/>
    <w:rPr>
      <w:rFonts w:hint="eastAsia" w:ascii="宋体" w:hAnsi="宋体" w:eastAsia="宋体" w:cs="Times New Roman"/>
      <w:b w:val="0"/>
      <w:bCs w:val="0"/>
      <w:i w:val="0"/>
      <w:iCs w:val="0"/>
      <w:color w:val="000000"/>
      <w:sz w:val="24"/>
      <w:szCs w:val="24"/>
    </w:rPr>
  </w:style>
  <w:style w:type="character" w:styleId="1029">
    <w:name w:val="第一章 标题 2 Char Char,Heading 2 Hidden Char Char,Heading 2 CCBS Char Char,heading 2 Char Char,H2 Char Char,h2 Char Char,PIM2 Char Char,Titre3 Char Char,HD2 Char Char,sect 1.2 Char Char,H21 Char Char,sect 1.21 Char Char,H22 Char Char,sect 1.22 Char Char"/>
    <w:next w:val="1029"/>
    <w:link w:val="900"/>
    <w:rPr>
      <w:rFonts w:ascii="Arial" w:hAnsi="Arial" w:eastAsia="黑体" w:cs="Times New Roman"/>
      <w:b/>
      <w:bCs/>
      <w:sz w:val="32"/>
      <w:szCs w:val="32"/>
    </w:rPr>
  </w:style>
  <w:style w:type="character" w:styleId="1030">
    <w:name w:val="Char Char5"/>
    <w:next w:val="1030"/>
    <w:link w:val="900"/>
    <w:rPr>
      <w:rFonts w:ascii="Times New Roman" w:hAnsi="Times New Roman" w:eastAsia="宋体" w:cs="Times New Roman"/>
      <w:b/>
      <w:bCs/>
      <w:sz w:val="32"/>
      <w:szCs w:val="32"/>
    </w:rPr>
  </w:style>
  <w:style w:type="character" w:styleId="1031">
    <w:name w:val="Plain Text Char Char"/>
    <w:next w:val="1031"/>
    <w:link w:val="1032"/>
    <w:rPr>
      <w:rFonts w:ascii="宋体" w:hAnsi="Courier New" w:eastAsia="楷体_GB2312" w:cs="Times New Roman"/>
      <w:sz w:val="28"/>
    </w:rPr>
  </w:style>
  <w:style w:type="paragraph" w:styleId="1032">
    <w:name w:val="纯文本1"/>
    <w:basedOn w:val="900"/>
    <w:next w:val="1032"/>
    <w:link w:val="1031"/>
    <w:qFormat/>
    <w:rPr>
      <w:rFonts w:ascii="宋体" w:hAnsi="Courier New" w:eastAsia="楷体_GB2312"/>
      <w:sz w:val="28"/>
      <w:szCs w:val="20"/>
    </w:rPr>
  </w:style>
  <w:style w:type="character" w:styleId="1033">
    <w:name w:val="Char Char3"/>
    <w:next w:val="1033"/>
    <w:link w:val="900"/>
    <w:rPr>
      <w:rFonts w:ascii="Times New Roman" w:hAnsi="Times New Roman" w:eastAsia="宋体" w:cs="Times New Roman"/>
      <w:b/>
      <w:bCs/>
      <w:sz w:val="28"/>
      <w:szCs w:val="28"/>
    </w:rPr>
  </w:style>
  <w:style w:type="character" w:styleId="1034">
    <w:name w:val="wenzi41"/>
    <w:next w:val="1034"/>
    <w:link w:val="900"/>
    <w:rPr>
      <w:rFonts w:ascii="Times New Roman" w:hAnsi="Times New Roman" w:eastAsia="宋体" w:cs="Times New Roman"/>
      <w:b/>
      <w:bCs/>
      <w:color w:val="c52900"/>
      <w:sz w:val="18"/>
      <w:szCs w:val="18"/>
      <w:u w:val="none"/>
    </w:rPr>
  </w:style>
  <w:style w:type="character" w:styleId="1035">
    <w:name w:val="p_inzi1"/>
    <w:next w:val="1035"/>
    <w:link w:val="900"/>
    <w:rPr>
      <w:rFonts w:ascii="Times New Roman" w:hAnsi="Times New Roman" w:eastAsia="宋体" w:cs="Times New Roman"/>
      <w:color w:val="171717"/>
      <w:sz w:val="17"/>
      <w:szCs w:val="17"/>
    </w:rPr>
  </w:style>
  <w:style w:type="character" w:styleId="1036">
    <w:name w:val="不明显强调"/>
    <w:next w:val="1036"/>
    <w:link w:val="900"/>
    <w:qFormat/>
    <w:rPr>
      <w:rFonts w:ascii="Times New Roman" w:hAnsi="Times New Roman" w:eastAsia="宋体" w:cs="Times New Roman"/>
      <w:i/>
      <w:iCs/>
      <w:color w:val="808080"/>
    </w:rPr>
  </w:style>
  <w:style w:type="character" w:styleId="1037">
    <w:name w:val="ca-1"/>
    <w:next w:val="1037"/>
    <w:link w:val="900"/>
    <w:rPr>
      <w:rFonts w:ascii="Times New Roman" w:hAnsi="Times New Roman" w:eastAsia="宋体" w:cs="Times New Roman"/>
    </w:rPr>
  </w:style>
  <w:style w:type="character" w:styleId="1038">
    <w:name w:val="t31"/>
    <w:next w:val="1038"/>
    <w:link w:val="900"/>
    <w:rPr>
      <w:sz w:val="21"/>
      <w:szCs w:val="21"/>
    </w:rPr>
  </w:style>
  <w:style w:type="character" w:styleId="1039">
    <w:name w:val="title_emph1"/>
    <w:next w:val="1039"/>
    <w:link w:val="900"/>
    <w:rPr>
      <w:rFonts w:ascii="Arial" w:hAnsi="Arial" w:eastAsia="宋体" w:cs="Times New Roman"/>
      <w:b/>
      <w:sz w:val="18"/>
    </w:rPr>
  </w:style>
  <w:style w:type="character" w:styleId="1040">
    <w:name w:val="3zw1"/>
    <w:next w:val="1040"/>
    <w:link w:val="900"/>
    <w:rPr>
      <w:rFonts w:ascii="Tahoma" w:hAnsi="Tahoma" w:eastAsia="宋体" w:cs="Times New Roman"/>
      <w:color w:val="000000"/>
      <w:sz w:val="21"/>
      <w:szCs w:val="21"/>
      <w:lang w:val="en-US" w:eastAsia="zh-CN" w:bidi="ar-SA"/>
    </w:rPr>
  </w:style>
  <w:style w:type="character" w:styleId="1041">
    <w:name w:val="标题 7 Char1"/>
    <w:next w:val="1041"/>
    <w:link w:val="900"/>
    <w:rPr>
      <w:rFonts w:ascii="Times New Roman" w:hAnsi="Times New Roman" w:eastAsia="宋体" w:cs="Times New Roman"/>
      <w:b/>
      <w:bCs/>
      <w:sz w:val="24"/>
      <w:szCs w:val="24"/>
    </w:rPr>
  </w:style>
  <w:style w:type="character" w:styleId="1042">
    <w:name w:val="15"/>
    <w:next w:val="1042"/>
    <w:link w:val="900"/>
    <w:rPr>
      <w:rFonts w:ascii="Times New Roman" w:hAnsi="Times New Roman" w:eastAsia="宋体" w:cs="Times New Roman"/>
    </w:rPr>
  </w:style>
  <w:style w:type="character" w:styleId="1043">
    <w:name w:val="titleblack14px1"/>
    <w:next w:val="1043"/>
    <w:link w:val="900"/>
    <w:rPr>
      <w:rFonts w:ascii="Times New Roman" w:hAnsi="Times New Roman" w:eastAsia="宋体" w:cs="Times New Roman"/>
      <w:b/>
      <w:color w:val="000000"/>
      <w:sz w:val="28"/>
    </w:rPr>
  </w:style>
  <w:style w:type="character" w:styleId="1044">
    <w:name w:val="biaoti1"/>
    <w:next w:val="1044"/>
    <w:link w:val="900"/>
    <w:rPr>
      <w:rFonts w:ascii="Tahoma" w:hAnsi="Tahoma" w:eastAsia="宋体" w:cs="Times New Roman"/>
      <w:b/>
      <w:bCs/>
      <w:color w:val="336699"/>
      <w:sz w:val="21"/>
      <w:szCs w:val="21"/>
      <w:u w:val="none"/>
      <w:lang w:val="en-US" w:eastAsia="zh-CN" w:bidi="ar-SA"/>
    </w:rPr>
  </w:style>
  <w:style w:type="character" w:styleId="1045">
    <w:name w:val="ct-def21"/>
    <w:next w:val="1045"/>
    <w:link w:val="900"/>
    <w:rPr>
      <w:rFonts w:hint="eastAsia" w:ascii="宋体" w:hAnsi="宋体" w:eastAsia="宋体" w:cs="Times New Roman"/>
      <w:color w:val="000000"/>
      <w:spacing w:val="0"/>
      <w:sz w:val="18"/>
      <w:u w:val="none"/>
    </w:rPr>
  </w:style>
  <w:style w:type="character" w:styleId="1046">
    <w:name w:val="Char Char1"/>
    <w:next w:val="1046"/>
    <w:link w:val="900"/>
    <w:rPr>
      <w:rFonts w:ascii="宋体" w:hAnsi="宋体" w:eastAsia="宋体" w:cs="Times New Roman"/>
      <w:sz w:val="24"/>
      <w:szCs w:val="24"/>
      <w:lang w:val="en-US" w:eastAsia="zh-CN" w:bidi="ar-SA"/>
    </w:rPr>
  </w:style>
  <w:style w:type="character" w:styleId="1047">
    <w:name w:val="label"/>
    <w:next w:val="1047"/>
    <w:link w:val="900"/>
    <w:rPr>
      <w:rFonts w:ascii="Times New Roman" w:hAnsi="Times New Roman" w:eastAsia="宋体" w:cs="Times New Roman"/>
    </w:rPr>
  </w:style>
  <w:style w:type="character" w:styleId="1048">
    <w:name w:val="Char Char6"/>
    <w:next w:val="1048"/>
    <w:link w:val="900"/>
    <w:rPr>
      <w:rFonts w:ascii="Times New Roman" w:hAnsi="Times New Roman" w:eastAsia="宋体" w:cs="Times New Roman"/>
      <w:b/>
      <w:bCs/>
      <w:sz w:val="44"/>
      <w:szCs w:val="44"/>
      <w:lang w:val="en-US" w:eastAsia="zh-CN" w:bidi="ar-SA"/>
    </w:rPr>
  </w:style>
  <w:style w:type="character" w:styleId="1049">
    <w:name w:val="+列表编号 Char Char"/>
    <w:next w:val="1049"/>
    <w:link w:val="900"/>
    <w:rPr>
      <w:rFonts w:ascii="Tahoma" w:hAnsi="Tahoma" w:eastAsia="宋体" w:cs="Times New Roman"/>
      <w:b/>
      <w:spacing w:val="8"/>
      <w:sz w:val="24"/>
      <w:szCs w:val="24"/>
      <w:lang w:val="en-US" w:eastAsia="zh-CN" w:bidi="ar-SA"/>
    </w:rPr>
  </w:style>
  <w:style w:type="character" w:styleId="1050">
    <w:name w:val="Char Char Char Char Char Char Char Char Char"/>
    <w:next w:val="1050"/>
    <w:link w:val="1051"/>
    <w:rPr>
      <w:rFonts w:ascii="Tahoma" w:hAnsi="Tahoma" w:eastAsia="宋体" w:cs="Times New Roman"/>
      <w:sz w:val="24"/>
    </w:rPr>
  </w:style>
  <w:style w:type="paragraph" w:styleId="1051">
    <w:name w:val="Char Char Char Char Char Char Char"/>
    <w:basedOn w:val="900"/>
    <w:next w:val="1051"/>
    <w:link w:val="1050"/>
    <w:pPr>
      <w:ind w:firstLine="480"/>
      <w:spacing w:line="360" w:lineRule="auto"/>
    </w:pPr>
    <w:rPr>
      <w:rFonts w:ascii="Tahoma" w:hAnsi="Tahoma"/>
      <w:sz w:val="24"/>
      <w:szCs w:val="20"/>
    </w:rPr>
  </w:style>
  <w:style w:type="character" w:styleId="1052">
    <w:name w:val="Char Char"/>
    <w:next w:val="1052"/>
    <w:link w:val="900"/>
    <w:rPr>
      <w:rFonts w:ascii="Cambria" w:hAnsi="Cambria" w:eastAsia="宋体" w:cs="Times New Roman"/>
      <w:b/>
      <w:bCs/>
      <w:sz w:val="32"/>
      <w:szCs w:val="32"/>
    </w:rPr>
  </w:style>
  <w:style w:type="character" w:styleId="1053">
    <w:name w:val="标准正文 Char Char"/>
    <w:next w:val="1053"/>
    <w:link w:val="1054"/>
    <w:rPr>
      <w:rFonts w:ascii="仿宋_GB2312" w:hAnsi="Times New Roman" w:eastAsia="仿宋_GB2312" w:cs="Times New Roman"/>
      <w:sz w:val="24"/>
      <w:lang w:val="en-US" w:eastAsia="zh-CN" w:bidi="ar-SA"/>
    </w:rPr>
  </w:style>
  <w:style w:type="paragraph" w:styleId="1054">
    <w:name w:val="标准正文 Char"/>
    <w:basedOn w:val="900"/>
    <w:next w:val="1054"/>
    <w:link w:val="1053"/>
    <w:pPr>
      <w:spacing w:before="312" w:after="312" w:line="288" w:lineRule="auto"/>
    </w:pPr>
    <w:rPr>
      <w:rFonts w:ascii="仿宋_GB2312" w:hAnsi="Times New Roman" w:eastAsia="仿宋_GB2312"/>
      <w:sz w:val="24"/>
      <w:szCs w:val="20"/>
    </w:rPr>
  </w:style>
  <w:style w:type="character" w:styleId="1055">
    <w:name w:val="文档结构图 Char1"/>
    <w:next w:val="1055"/>
    <w:link w:val="900"/>
    <w:rPr>
      <w:rFonts w:ascii="宋体" w:hAnsi="Times New Roman" w:eastAsia="宋体" w:cs="Times New Roman"/>
      <w:sz w:val="18"/>
      <w:szCs w:val="18"/>
    </w:rPr>
  </w:style>
  <w:style w:type="character" w:styleId="1056">
    <w:name w:val="正文文本缩进 2 Char1"/>
    <w:next w:val="1056"/>
    <w:link w:val="900"/>
    <w:rPr>
      <w:rFonts w:ascii="Times New Roman" w:hAnsi="Times New Roman" w:eastAsia="宋体" w:cs="Times New Roman"/>
      <w:sz w:val="21"/>
      <w:szCs w:val="24"/>
    </w:rPr>
  </w:style>
  <w:style w:type="character" w:styleId="1057">
    <w:name w:val="正文文本 Char1"/>
    <w:next w:val="1057"/>
    <w:link w:val="900"/>
    <w:rPr>
      <w:rFonts w:ascii="Times New Roman" w:hAnsi="Times New Roman" w:eastAsia="宋体" w:cs="Times New Roman"/>
      <w:sz w:val="21"/>
      <w:szCs w:val="24"/>
    </w:rPr>
  </w:style>
  <w:style w:type="character" w:styleId="1058">
    <w:name w:val="Char Char4"/>
    <w:next w:val="1058"/>
    <w:link w:val="900"/>
    <w:rPr>
      <w:rFonts w:ascii="Cambria" w:hAnsi="Cambria" w:eastAsia="宋体" w:cs="Times New Roman"/>
      <w:b/>
      <w:bCs/>
      <w:sz w:val="28"/>
      <w:szCs w:val="28"/>
    </w:rPr>
  </w:style>
  <w:style w:type="character" w:styleId="1059">
    <w:name w:val="样式 楷体_GB2312 四号 加粗"/>
    <w:next w:val="1059"/>
    <w:link w:val="900"/>
    <w:rPr>
      <w:rFonts w:ascii="楷体_GB2312" w:hAnsi="楷体_GB2312" w:eastAsia="楷体_GB2312" w:cs="Times New Roman"/>
      <w:b/>
      <w:bCs/>
      <w:sz w:val="28"/>
      <w:szCs w:val="24"/>
      <w:lang w:val="en-US" w:eastAsia="zh-CN" w:bidi="ar-SA"/>
    </w:rPr>
  </w:style>
  <w:style w:type="character" w:styleId="1060">
    <w:name w:val="css_041a1"/>
    <w:next w:val="1060"/>
    <w:link w:val="900"/>
    <w:rPr>
      <w:rFonts w:ascii="Times New Roman" w:hAnsi="Times New Roman" w:eastAsia="宋体" w:cs="Times New Roman"/>
      <w:color w:val="0033cc"/>
      <w:sz w:val="18"/>
      <w:szCs w:val="18"/>
    </w:rPr>
  </w:style>
  <w:style w:type="character" w:styleId="1061">
    <w:name w:val="标书正文格式 Char1"/>
    <w:next w:val="1061"/>
    <w:link w:val="1062"/>
    <w:rPr>
      <w:rFonts w:eastAsia="楷体_GB2312"/>
      <w:sz w:val="24"/>
      <w:szCs w:val="24"/>
      <w:lang w:val="en-US" w:eastAsia="zh-CN" w:bidi="ar-SA"/>
    </w:rPr>
  </w:style>
  <w:style w:type="paragraph" w:styleId="1062">
    <w:name w:val="标书正文格式"/>
    <w:next w:val="1062"/>
    <w:link w:val="1061"/>
    <w:pPr>
      <w:ind w:firstLine="200"/>
      <w:spacing w:line="360" w:lineRule="auto"/>
    </w:pPr>
    <w:rPr>
      <w:rFonts w:eastAsia="楷体_GB2312"/>
      <w:sz w:val="24"/>
      <w:szCs w:val="24"/>
      <w:lang w:val="en-US" w:eastAsia="zh-CN" w:bidi="ar-SA"/>
    </w:rPr>
  </w:style>
  <w:style w:type="character" w:styleId="1063">
    <w:name w:val="apple-style-span"/>
    <w:next w:val="1063"/>
    <w:link w:val="900"/>
    <w:rPr>
      <w:rFonts w:ascii="Times New Roman" w:hAnsi="Times New Roman" w:eastAsia="宋体" w:cs="Times New Roman"/>
    </w:rPr>
  </w:style>
  <w:style w:type="character" w:styleId="1064">
    <w:name w:val="Plain Text Char"/>
    <w:next w:val="1064"/>
    <w:link w:val="1065"/>
    <w:qFormat/>
    <w:rPr>
      <w:rFonts w:ascii="宋体" w:hAnsi="Courier New" w:eastAsia="楷体_GB2312"/>
      <w:sz w:val="26"/>
    </w:rPr>
  </w:style>
  <w:style w:type="paragraph" w:styleId="1065">
    <w:name w:val="纯文本2"/>
    <w:basedOn w:val="900"/>
    <w:next w:val="1065"/>
    <w:link w:val="1064"/>
    <w:qFormat/>
    <w:rPr>
      <w:rFonts w:ascii="宋体" w:hAnsi="Courier New" w:eastAsia="楷体_GB2312"/>
      <w:sz w:val="26"/>
      <w:szCs w:val="20"/>
    </w:rPr>
  </w:style>
  <w:style w:type="character" w:styleId="1066">
    <w:name w:val="保驾"/>
    <w:next w:val="1066"/>
    <w:link w:val="900"/>
    <w:rPr>
      <w:rFonts w:ascii="Times New Roman" w:hAnsi="Times New Roman" w:eastAsia="宋体" w:cs="Times New Roman"/>
      <w:sz w:val="18"/>
    </w:rPr>
  </w:style>
  <w:style w:type="character" w:styleId="1067">
    <w:name w:val="ca-0"/>
    <w:next w:val="1067"/>
    <w:link w:val="900"/>
    <w:rPr>
      <w:rFonts w:ascii="Times New Roman" w:hAnsi="Times New Roman" w:eastAsia="宋体" w:cs="Times New Roman"/>
    </w:rPr>
  </w:style>
  <w:style w:type="character" w:styleId="1068">
    <w:name w:val="+正文 Char Char Char Char"/>
    <w:next w:val="1068"/>
    <w:link w:val="900"/>
    <w:rPr>
      <w:rFonts w:ascii="Tahoma" w:hAnsi="Tahoma" w:eastAsia="宋体" w:cs="Times New Roman"/>
      <w:sz w:val="24"/>
      <w:szCs w:val="28"/>
      <w:lang w:val="en-US" w:eastAsia="zh-CN" w:bidi="ar-SA"/>
    </w:rPr>
  </w:style>
  <w:style w:type="character" w:styleId="1069">
    <w:name w:val="bei21"/>
    <w:next w:val="1069"/>
    <w:link w:val="900"/>
    <w:rPr>
      <w:rFonts w:ascii="Times New Roman" w:hAnsi="Times New Roman" w:eastAsia="宋体" w:cs="Times New Roman"/>
    </w:rPr>
  </w:style>
  <w:style w:type="character" w:styleId="1070">
    <w:name w:val="txt1"/>
    <w:next w:val="1070"/>
    <w:link w:val="900"/>
    <w:rPr>
      <w:rFonts w:ascii="Times New Roman" w:hAnsi="Times New Roman" w:eastAsia="宋体" w:cs="Times New Roman"/>
    </w:rPr>
  </w:style>
  <w:style w:type="character" w:styleId="1071">
    <w:name w:val="正文文本 3 Char1"/>
    <w:next w:val="1071"/>
    <w:link w:val="900"/>
    <w:rPr>
      <w:rFonts w:ascii="Times New Roman" w:hAnsi="Times New Roman" w:eastAsia="宋体" w:cs="Times New Roman"/>
      <w:sz w:val="16"/>
      <w:szCs w:val="16"/>
    </w:rPr>
  </w:style>
  <w:style w:type="character" w:styleId="1072">
    <w:name w:val="页脚 Char1"/>
    <w:next w:val="1072"/>
    <w:link w:val="900"/>
    <w:rPr>
      <w:rFonts w:ascii="Times New Roman" w:hAnsi="Times New Roman" w:eastAsia="宋体" w:cs="Times New Roman"/>
      <w:sz w:val="18"/>
      <w:szCs w:val="18"/>
    </w:rPr>
  </w:style>
  <w:style w:type="character" w:styleId="1073">
    <w:name w:val="正文文本 3 Char2"/>
    <w:next w:val="1073"/>
    <w:link w:val="900"/>
    <w:rPr>
      <w:rFonts w:ascii="Times New Roman" w:hAnsi="Times New Roman" w:eastAsia="宋体" w:cs="Times New Roman"/>
      <w:sz w:val="16"/>
      <w:szCs w:val="16"/>
    </w:rPr>
  </w:style>
  <w:style w:type="character" w:styleId="1074">
    <w:name w:val="letter list Char,PIM 7 Char,sdf Char,Alt+7 Char,L7 Char,H TIMES1 Char,正文七级标题 Char,不用 Char,st Char,(use for appendix) Char,List(1) Char,Bulleted list Char,cnc Char,Caption number (column-wide) Char,ITT t7 Char,PA Appendix Major Char,lettered list Char"/>
    <w:next w:val="1074"/>
    <w:link w:val="900"/>
    <w:rPr>
      <w:rFonts w:ascii="宋体" w:hAnsi="宋体" w:eastAsia="宋体" w:cs="Times New Roman"/>
      <w:b/>
      <w:bCs/>
      <w:sz w:val="24"/>
      <w:szCs w:val="24"/>
    </w:rPr>
  </w:style>
  <w:style w:type="character" w:styleId="1075">
    <w:name w:val="+标题3 Char Char"/>
    <w:next w:val="1075"/>
    <w:link w:val="900"/>
    <w:rPr>
      <w:rFonts w:ascii="Tahoma" w:hAnsi="Tahoma" w:eastAsia="宋体" w:cs="Times New Roman"/>
      <w:b/>
      <w:bCs/>
      <w:sz w:val="24"/>
      <w:szCs w:val="28"/>
      <w:lang w:val="en-US" w:eastAsia="zh-CN" w:bidi="ar-SA"/>
    </w:rPr>
  </w:style>
  <w:style w:type="character" w:styleId="1076">
    <w:name w:val="newsbg1"/>
    <w:next w:val="1076"/>
    <w:link w:val="900"/>
    <w:rPr>
      <w:rFonts w:ascii="Times New Roman" w:hAnsi="Times New Roman" w:eastAsia="宋体" w:cs="Times New Roman"/>
    </w:rPr>
  </w:style>
  <w:style w:type="character" w:styleId="1077">
    <w:name w:val="+正文 Char Char Char2"/>
    <w:next w:val="1077"/>
    <w:link w:val="900"/>
    <w:rPr>
      <w:rFonts w:ascii="Tahoma" w:hAnsi="Tahoma" w:eastAsia="宋体" w:cs="Times New Roman"/>
      <w:sz w:val="24"/>
      <w:szCs w:val="24"/>
      <w:lang w:val="en-US" w:eastAsia="zh-CN" w:bidi="ar-SA"/>
    </w:rPr>
  </w:style>
  <w:style w:type="character" w:styleId="1078">
    <w:name w:val="xiangxicanshu1"/>
    <w:next w:val="1078"/>
    <w:link w:val="900"/>
    <w:rPr>
      <w:rFonts w:ascii="ˎ̥" w:hAnsi="ˎ̥" w:eastAsia="宋体" w:cs="Times New Roman"/>
      <w:b/>
      <w:bCs/>
      <w:color w:val="6f6f6f"/>
      <w:sz w:val="18"/>
      <w:szCs w:val="18"/>
    </w:rPr>
  </w:style>
  <w:style w:type="character" w:styleId="1079">
    <w:name w:val="Char Char Char Char Char Char Char Char"/>
    <w:next w:val="1079"/>
    <w:link w:val="900"/>
    <w:rPr>
      <w:rFonts w:ascii="Tahoma" w:hAnsi="Tahoma" w:eastAsia="宋体" w:cs="Times New Roman"/>
      <w:sz w:val="24"/>
      <w:lang w:val="en-US" w:eastAsia="zh-CN"/>
    </w:rPr>
  </w:style>
  <w:style w:type="character" w:styleId="1080">
    <w:name w:val="td21"/>
    <w:next w:val="1080"/>
    <w:link w:val="900"/>
    <w:rPr>
      <w:rFonts w:ascii="Tahoma" w:hAnsi="Tahoma" w:eastAsia="宋体" w:cs="Times New Roman"/>
      <w:sz w:val="21"/>
      <w:szCs w:val="21"/>
      <w:u w:val="none"/>
      <w:lang w:val="en-US" w:eastAsia="zh-CN" w:bidi="ar-SA"/>
    </w:rPr>
  </w:style>
  <w:style w:type="character" w:styleId="1081">
    <w:name w:val="style1"/>
    <w:next w:val="1081"/>
    <w:link w:val="900"/>
    <w:rPr>
      <w:rFonts w:ascii="Times New Roman" w:hAnsi="Times New Roman" w:eastAsia="宋体" w:cs="Times New Roman"/>
    </w:rPr>
  </w:style>
  <w:style w:type="character" w:styleId="1082">
    <w:name w:val="gray_b"/>
    <w:next w:val="1082"/>
    <w:link w:val="900"/>
    <w:rPr>
      <w:rFonts w:ascii="Times New Roman" w:hAnsi="Times New Roman" w:eastAsia="宋体" w:cs="Times New Roman"/>
    </w:rPr>
  </w:style>
  <w:style w:type="character" w:styleId="1083">
    <w:name w:val="xiangxicanshu_txt21"/>
    <w:next w:val="1083"/>
    <w:link w:val="900"/>
    <w:rPr>
      <w:rFonts w:ascii="Arial" w:hAnsi="Arial" w:eastAsia="宋体" w:cs="Arial"/>
      <w:b w:val="0"/>
      <w:bCs w:val="0"/>
      <w:color w:val="6f6f6f"/>
      <w:sz w:val="18"/>
      <w:szCs w:val="18"/>
    </w:rPr>
  </w:style>
  <w:style w:type="character" w:styleId="1084">
    <w:name w:val="p_inzi_cu1"/>
    <w:next w:val="1084"/>
    <w:link w:val="900"/>
    <w:rPr>
      <w:rFonts w:ascii="Times New Roman" w:hAnsi="Times New Roman" w:eastAsia="宋体" w:cs="Times New Roman"/>
      <w:b/>
      <w:bCs/>
      <w:color w:val="171717"/>
      <w:sz w:val="17"/>
      <w:szCs w:val="17"/>
    </w:rPr>
  </w:style>
  <w:style w:type="character" w:styleId="1085">
    <w:name w:val="body1"/>
    <w:next w:val="1085"/>
    <w:link w:val="900"/>
    <w:rPr>
      <w:rFonts w:ascii="Calibri" w:hAnsi="Calibri" w:eastAsia="宋体" w:cs="Times New Roman"/>
      <w:sz w:val="18"/>
      <w:szCs w:val="18"/>
      <w:lang w:val="en-US" w:eastAsia="zh-CN" w:bidi="ar-SA"/>
    </w:rPr>
  </w:style>
  <w:style w:type="character" w:styleId="1086">
    <w:name w:val="纯文本 Char1"/>
    <w:next w:val="1086"/>
    <w:link w:val="900"/>
    <w:rPr>
      <w:rFonts w:ascii="宋体" w:hAnsi="Courier New" w:eastAsia="宋体" w:cs="Courier New"/>
      <w:sz w:val="21"/>
      <w:szCs w:val="21"/>
    </w:rPr>
  </w:style>
  <w:style w:type="character" w:styleId="1087">
    <w:name w:val="param_td12"/>
    <w:next w:val="1087"/>
    <w:link w:val="900"/>
    <w:rPr>
      <w:rFonts w:ascii="Times New Roman" w:hAnsi="Times New Roman" w:eastAsia="宋体" w:cs="Times New Roman"/>
    </w:rPr>
  </w:style>
  <w:style w:type="character" w:styleId="1088">
    <w:name w:val="font"/>
    <w:next w:val="1088"/>
    <w:link w:val="900"/>
    <w:rPr>
      <w:rFonts w:ascii="Tahoma" w:hAnsi="Tahoma" w:eastAsia="宋体" w:cs="Times New Roman"/>
      <w:sz w:val="24"/>
      <w:szCs w:val="24"/>
      <w:lang w:val="en-US" w:eastAsia="zh-CN" w:bidi="ar-SA"/>
    </w:rPr>
  </w:style>
  <w:style w:type="character" w:styleId="1089">
    <w:name w:val="f141"/>
    <w:next w:val="1089"/>
    <w:link w:val="900"/>
    <w:rPr>
      <w:rFonts w:ascii="Tahoma" w:hAnsi="Tahoma" w:eastAsia="宋体" w:cs="Times New Roman"/>
      <w:sz w:val="24"/>
      <w:szCs w:val="24"/>
      <w:lang w:val="en-US" w:eastAsia="zh-CN" w:bidi="ar-SA"/>
    </w:rPr>
  </w:style>
  <w:style w:type="character" w:styleId="1090">
    <w:name w:val="批注主题 Char1"/>
    <w:next w:val="1090"/>
    <w:link w:val="900"/>
    <w:rPr>
      <w:rFonts w:ascii="Tahoma" w:hAnsi="Tahoma" w:eastAsia="宋体" w:cs="Times New Roman"/>
      <w:b/>
      <w:bCs/>
      <w:sz w:val="21"/>
      <w:szCs w:val="24"/>
    </w:rPr>
  </w:style>
  <w:style w:type="character" w:styleId="1091">
    <w:name w:val="td1301"/>
    <w:next w:val="1091"/>
    <w:link w:val="900"/>
    <w:rPr>
      <w:rFonts w:ascii="Times New Roman" w:hAnsi="Times New Roman" w:eastAsia="宋体" w:cs="Times New Roman"/>
    </w:rPr>
  </w:style>
  <w:style w:type="character" w:styleId="1092">
    <w:name w:val="style21"/>
    <w:next w:val="1092"/>
    <w:link w:val="900"/>
    <w:rPr>
      <w:rFonts w:ascii="Times New Roman" w:hAnsi="Times New Roman" w:eastAsia="宋体" w:cs="Times New Roman"/>
      <w:b/>
      <w:bCs/>
      <w:sz w:val="24"/>
      <w:szCs w:val="24"/>
    </w:rPr>
  </w:style>
  <w:style w:type="character" w:styleId="1093">
    <w:name w:val="line"/>
    <w:next w:val="1093"/>
    <w:link w:val="900"/>
    <w:rPr>
      <w:rFonts w:ascii="Times New Roman" w:hAnsi="Times New Roman" w:eastAsia="宋体" w:cs="Times New Roman"/>
    </w:rPr>
  </w:style>
  <w:style w:type="character" w:styleId="1094">
    <w:name w:val="Normal with Symbol Char"/>
    <w:next w:val="1094"/>
    <w:link w:val="1095"/>
    <w:rPr>
      <w:rFonts w:ascii="Arial" w:hAnsi="Arial" w:eastAsia="宋体" w:cs="Times New Roman"/>
      <w:sz w:val="24"/>
      <w:szCs w:val="24"/>
    </w:rPr>
  </w:style>
  <w:style w:type="paragraph" w:styleId="1095">
    <w:name w:val="Normal with Symbol"/>
    <w:basedOn w:val="900"/>
    <w:next w:val="1095"/>
    <w:link w:val="1094"/>
    <w:pPr>
      <w:ind w:left="990" w:hanging="180"/>
      <w:jc w:val="left"/>
      <w:spacing w:before="120" w:after="120"/>
      <w:widowControl/>
      <w:tabs>
        <w:tab w:val="left" w:pos="990" w:leader="none"/>
      </w:tabs>
    </w:pPr>
    <w:rPr>
      <w:rFonts w:ascii="Arial" w:hAnsi="Arial"/>
      <w:sz w:val="24"/>
    </w:rPr>
  </w:style>
  <w:style w:type="character" w:styleId="1096">
    <w:name w:val="No Spacing Char"/>
    <w:next w:val="1096"/>
    <w:link w:val="1097"/>
    <w:rPr>
      <w:lang w:val="en-GB" w:eastAsia="en-US" w:bidi="ar-SA"/>
    </w:rPr>
  </w:style>
  <w:style w:type="paragraph" w:styleId="1097">
    <w:name w:val="无间隔1"/>
    <w:next w:val="1097"/>
    <w:link w:val="1096"/>
    <w:pPr>
      <w:spacing w:line="240" w:lineRule="atLeast"/>
    </w:pPr>
    <w:rPr>
      <w:lang w:val="en-GB" w:eastAsia="en-US" w:bidi="ar-SA"/>
    </w:rPr>
  </w:style>
  <w:style w:type="character" w:styleId="1098">
    <w:name w:val="apple-converted-space"/>
    <w:next w:val="1098"/>
    <w:link w:val="900"/>
    <w:rPr>
      <w:rFonts w:ascii="Tahoma" w:hAnsi="Tahoma" w:eastAsia="宋体" w:cs="Times New Roman"/>
      <w:sz w:val="24"/>
      <w:szCs w:val="24"/>
      <w:lang w:val="en-US" w:eastAsia="zh-CN" w:bidi="ar-SA"/>
    </w:rPr>
  </w:style>
  <w:style w:type="character" w:styleId="1099">
    <w:name w:val="style141"/>
    <w:next w:val="1099"/>
    <w:link w:val="900"/>
    <w:rPr>
      <w:rFonts w:hint="eastAsia" w:ascii="黑体" w:hAnsi="Times New Roman" w:eastAsia="黑体" w:cs="Times New Roman"/>
      <w:b/>
      <w:bCs/>
      <w:color w:val="be4040"/>
      <w:sz w:val="41"/>
      <w:szCs w:val="41"/>
    </w:rPr>
  </w:style>
  <w:style w:type="character" w:styleId="1100">
    <w:name w:val="华宇段落1 Char Char"/>
    <w:next w:val="1100"/>
    <w:link w:val="900"/>
    <w:rPr>
      <w:rFonts w:ascii="Times New Roman" w:hAnsi="Times New Roman" w:eastAsia="宋体" w:cs="Times New Roman"/>
      <w:sz w:val="24"/>
      <w:lang w:val="en-US" w:eastAsia="zh-CN"/>
    </w:rPr>
  </w:style>
  <w:style w:type="character" w:styleId="1101">
    <w:name w:val="h3 Char,Heading 3 - old Char,Level 3 Head Char,H3 Char,level_3 Char,PIM 3 Char,sect1.2.3 Char,sect1.2.31 Char,sect1.2.32 Char,sect1.2.311 Char,sect1.2.33 Char,sect1.2.312 Char,l3 Char,CT Char,3rd level Char,ISO2 Char,L3 Char,3 Char,sl3 Char,BOD 0 Char"/>
    <w:next w:val="1101"/>
    <w:link w:val="900"/>
    <w:rPr>
      <w:rFonts w:ascii="宋体" w:hAnsi="宋体" w:eastAsia="宋体" w:cs="Times New Roman"/>
      <w:sz w:val="28"/>
      <w:lang w:val="en-US" w:eastAsia="zh-CN" w:bidi="ar-SA"/>
    </w:rPr>
  </w:style>
  <w:style w:type="character" w:styleId="1102">
    <w:name w:val="e1"/>
    <w:next w:val="1102"/>
    <w:link w:val="900"/>
    <w:rPr>
      <w:rFonts w:ascii="Tahoma" w:hAnsi="Tahoma" w:eastAsia="宋体" w:cs="Times New Roman"/>
      <w:sz w:val="21"/>
      <w:szCs w:val="24"/>
      <w:lang w:val="en-US" w:eastAsia="zh-CN" w:bidi="ar-SA"/>
    </w:rPr>
  </w:style>
  <w:style w:type="character" w:styleId="1103">
    <w:name w:val="style101"/>
    <w:next w:val="1103"/>
    <w:link w:val="900"/>
    <w:rPr>
      <w:rFonts w:ascii="Arial" w:hAnsi="Arial" w:eastAsia="宋体" w:cs="Arial"/>
      <w:b/>
      <w:bCs/>
      <w:color w:val="003272"/>
      <w:sz w:val="36"/>
      <w:szCs w:val="36"/>
    </w:rPr>
  </w:style>
  <w:style w:type="character" w:styleId="1104">
    <w:name w:val="标题 5 Char1,H5 Char"/>
    <w:next w:val="1104"/>
    <w:link w:val="900"/>
    <w:rPr>
      <w:rFonts w:ascii="Times New Roman" w:hAnsi="Times New Roman" w:eastAsia="宋体" w:cs="Times New Roman"/>
      <w:b/>
      <w:bCs/>
      <w:sz w:val="28"/>
      <w:szCs w:val="28"/>
    </w:rPr>
  </w:style>
  <w:style w:type="character" w:styleId="1105">
    <w:name w:val="正文文本缩进 Char1"/>
    <w:next w:val="1105"/>
    <w:link w:val="900"/>
    <w:rPr>
      <w:rFonts w:ascii="Times New Roman" w:hAnsi="Times New Roman" w:eastAsia="宋体" w:cs="Times New Roman"/>
      <w:sz w:val="21"/>
      <w:szCs w:val="24"/>
    </w:rPr>
  </w:style>
  <w:style w:type="character" w:styleId="1106">
    <w:name w:val="释义正文2"/>
    <w:next w:val="1106"/>
    <w:link w:val="900"/>
    <w:rPr>
      <w:rFonts w:ascii="Times New Roman" w:hAnsi="Times New Roman" w:eastAsia="宋体" w:cs="Times New Roman"/>
      <w:sz w:val="24"/>
    </w:rPr>
  </w:style>
  <w:style w:type="character" w:styleId="1107">
    <w:name w:val="style2"/>
    <w:next w:val="1107"/>
    <w:link w:val="900"/>
    <w:rPr>
      <w:rFonts w:ascii="Times New Roman" w:hAnsi="Times New Roman" w:eastAsia="宋体" w:cs="Times New Roman"/>
    </w:rPr>
  </w:style>
  <w:style w:type="character" w:styleId="1108">
    <w:name w:val="h3 Char1,Heading 3 - old Char1,Level 3 Head Char1,H3 Char1,level_3 Char1,PIM 3 Char1,sect1.2.3 Char1,sect1.2.31 Char1,sect1.2.32 Char1,sect1.2.311 Char1,sect1.2.33 Char1,sect1.2.312 Char1,l3 Char1,CT Char1,3rd level Char1,ISO2 Char1,L3 Char1,3 Char1"/>
    <w:next w:val="1108"/>
    <w:link w:val="900"/>
    <w:rPr>
      <w:rFonts w:ascii="宋体" w:hAnsi="宋体" w:eastAsia="宋体" w:cs="Times New Roman"/>
      <w:sz w:val="28"/>
      <w:lang w:val="en-US" w:eastAsia="zh-CN" w:bidi="ar-SA"/>
    </w:rPr>
  </w:style>
  <w:style w:type="character" w:styleId="1109">
    <w:name w:val="标题 8 Char1"/>
    <w:next w:val="1109"/>
    <w:link w:val="900"/>
    <w:rPr>
      <w:rFonts w:ascii="Cambria" w:hAnsi="Cambria" w:eastAsia="宋体" w:cs="Times New Roman"/>
      <w:sz w:val="24"/>
      <w:szCs w:val="24"/>
    </w:rPr>
  </w:style>
  <w:style w:type="character" w:styleId="1110">
    <w:name w:val="样式 仿宋_GB2312 四号 黑色"/>
    <w:next w:val="1110"/>
    <w:link w:val="900"/>
    <w:rPr>
      <w:rFonts w:ascii="仿宋_GB2312" w:hAnsi="仿宋_GB2312" w:eastAsia="仿宋_GB2312" w:cs="Times New Roman"/>
      <w:color w:val="000000"/>
      <w:sz w:val="24"/>
    </w:rPr>
  </w:style>
  <w:style w:type="character" w:styleId="1111">
    <w:name w:val="grame"/>
    <w:next w:val="1111"/>
    <w:link w:val="900"/>
    <w:rPr>
      <w:rFonts w:ascii="Times New Roman" w:hAnsi="Times New Roman" w:eastAsia="宋体" w:cs="Times New Roman"/>
    </w:rPr>
  </w:style>
  <w:style w:type="character" w:styleId="1112">
    <w:name w:val="访问过的超链接1"/>
    <w:next w:val="1112"/>
    <w:link w:val="900"/>
    <w:rPr>
      <w:rFonts w:ascii="Tahoma" w:hAnsi="Tahoma" w:eastAsia="宋体" w:cs="Times New Roman"/>
      <w:color w:val="954f72"/>
      <w:sz w:val="24"/>
      <w:szCs w:val="24"/>
      <w:u w:val="single"/>
      <w:lang w:val="en-US" w:eastAsia="zh-CN" w:bidi="ar-SA"/>
    </w:rPr>
  </w:style>
  <w:style w:type="character" w:styleId="1113">
    <w:name w:val="maintext1"/>
    <w:next w:val="1113"/>
    <w:link w:val="900"/>
    <w:rPr>
      <w:rFonts w:ascii="ˎ̥" w:hAnsi="ˎ̥" w:eastAsia="宋体" w:cs="Times New Roman"/>
      <w:color w:val="000000"/>
      <w:spacing w:val="24"/>
      <w:sz w:val="20"/>
      <w:szCs w:val="20"/>
    </w:rPr>
  </w:style>
  <w:style w:type="character" w:styleId="1114">
    <w:name w:val="页眉 Char1"/>
    <w:next w:val="1114"/>
    <w:link w:val="900"/>
    <w:rPr>
      <w:rFonts w:ascii="Times New Roman" w:hAnsi="Times New Roman" w:eastAsia="宋体" w:cs="Times New Roman"/>
      <w:sz w:val="18"/>
      <w:szCs w:val="18"/>
    </w:rPr>
  </w:style>
  <w:style w:type="character" w:styleId="1115">
    <w:name w:val="正文文本 2 Char1"/>
    <w:next w:val="1115"/>
    <w:link w:val="900"/>
    <w:rPr>
      <w:rFonts w:ascii="Times New Roman" w:hAnsi="Times New Roman" w:eastAsia="宋体" w:cs="Times New Roman"/>
      <w:sz w:val="21"/>
      <w:szCs w:val="24"/>
    </w:rPr>
  </w:style>
  <w:style w:type="paragraph" w:styleId="1116">
    <w:name w:val="正文缩进2"/>
    <w:basedOn w:val="900"/>
    <w:next w:val="1116"/>
    <w:link w:val="900"/>
    <w:pPr>
      <w:ind w:firstLine="480"/>
      <w:spacing w:line="360" w:lineRule="auto"/>
    </w:pPr>
    <w:rPr>
      <w:rFonts w:ascii="Times New Roman" w:hAnsi="Times New Roman" w:eastAsia="宋体" w:cs="Times New Roman"/>
      <w:sz w:val="24"/>
      <w:szCs w:val="20"/>
    </w:rPr>
  </w:style>
  <w:style w:type="paragraph" w:styleId="1117">
    <w:name w:val="xl59"/>
    <w:basedOn w:val="900"/>
    <w:next w:val="1117"/>
    <w:link w:val="900"/>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118">
    <w:name w:val="xl49"/>
    <w:basedOn w:val="900"/>
    <w:next w:val="1118"/>
    <w:link w:val="9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19">
    <w:name w:val="列出段落1"/>
    <w:basedOn w:val="900"/>
    <w:next w:val="1119"/>
    <w:link w:val="900"/>
    <w:pPr>
      <w:ind w:firstLine="420"/>
    </w:pPr>
    <w:rPr>
      <w:rFonts w:ascii="宋体" w:hAnsi="宋体" w:eastAsia="宋体" w:cs="Times New Roman"/>
      <w:sz w:val="24"/>
    </w:rPr>
  </w:style>
  <w:style w:type="paragraph" w:styleId="1120">
    <w:name w:val="msonormalcxspmiddle"/>
    <w:basedOn w:val="900"/>
    <w:next w:val="1120"/>
    <w:link w:val="900"/>
    <w:pPr>
      <w:jc w:val="left"/>
      <w:widowControl/>
    </w:pPr>
    <w:rPr>
      <w:rFonts w:ascii="宋体" w:hAnsi="宋体" w:eastAsia="宋体" w:cs="宋体"/>
      <w:sz w:val="24"/>
    </w:rPr>
  </w:style>
  <w:style w:type="paragraph" w:styleId="1121">
    <w:name w:val="正文文本 21"/>
    <w:basedOn w:val="900"/>
    <w:next w:val="1121"/>
    <w:link w:val="900"/>
    <w:pPr>
      <w:ind w:firstLine="480"/>
      <w:jc w:val="left"/>
      <w:spacing w:line="400" w:lineRule="exact"/>
    </w:pPr>
    <w:rPr>
      <w:rFonts w:ascii="仿宋_GB2312" w:hAnsi="Times New Roman" w:eastAsia="仿宋_GB2312" w:cs="Times New Roman"/>
      <w:sz w:val="24"/>
      <w:szCs w:val="20"/>
    </w:rPr>
  </w:style>
  <w:style w:type="paragraph" w:styleId="1122">
    <w:name w:val="04论文正文"/>
    <w:basedOn w:val="900"/>
    <w:next w:val="1122"/>
    <w:link w:val="900"/>
    <w:pPr>
      <w:ind w:firstLine="480"/>
      <w:spacing w:line="400" w:lineRule="exact"/>
    </w:pPr>
    <w:rPr>
      <w:rFonts w:ascii="Times New Roman" w:hAnsi="Times New Roman" w:eastAsia="宋体" w:cs="宋体"/>
      <w:sz w:val="24"/>
    </w:rPr>
  </w:style>
  <w:style w:type="paragraph" w:styleId="1123">
    <w:name w:val="正文文本 Char Char"/>
    <w:basedOn w:val="900"/>
    <w:next w:val="1123"/>
    <w:link w:val="900"/>
    <w:pPr>
      <w:jc w:val="center"/>
    </w:pPr>
    <w:rPr>
      <w:rFonts w:ascii="Times New Roman" w:hAnsi="Times New Roman" w:eastAsia="宋体" w:cs="Times New Roman"/>
      <w:szCs w:val="20"/>
    </w:rPr>
  </w:style>
  <w:style w:type="paragraph" w:styleId="1124">
    <w:name w:val="xl69"/>
    <w:basedOn w:val="900"/>
    <w:next w:val="1124"/>
    <w:link w:val="900"/>
    <w:pPr>
      <w:jc w:val="left"/>
      <w:spacing w:before="100" w:beforeAutospacing="1" w:after="100" w:afterAutospacing="1"/>
      <w:widowControl/>
    </w:pPr>
    <w:rPr>
      <w:rFonts w:ascii="Microsoft Sans Serif" w:hAnsi="Microsoft Sans Serif" w:eastAsia="宋体" w:cs="Microsoft Sans Serif"/>
      <w:sz w:val="24"/>
    </w:rPr>
  </w:style>
  <w:style w:type="paragraph" w:styleId="1125">
    <w:name w:val="样式 仿宋_GB2312 四号 黑色 行距: 1.5 倍行距2"/>
    <w:basedOn w:val="900"/>
    <w:next w:val="1125"/>
    <w:link w:val="900"/>
    <w:pPr>
      <w:spacing w:line="360" w:lineRule="auto"/>
    </w:pPr>
    <w:rPr>
      <w:rFonts w:ascii="仿宋_GB2312" w:hAnsi="Times New Roman" w:eastAsia="仿宋_GB2312" w:cs="Times New Roman"/>
      <w:color w:val="000000"/>
      <w:sz w:val="24"/>
      <w:szCs w:val="20"/>
    </w:rPr>
  </w:style>
  <w:style w:type="paragraph" w:styleId="1126">
    <w:name w:val="Plain Text1"/>
    <w:basedOn w:val="900"/>
    <w:next w:val="1126"/>
    <w:link w:val="900"/>
    <w:rPr>
      <w:rFonts w:ascii="宋体" w:hAnsi="Courier New" w:eastAsia="楷体_GB2312" w:cs="宋体"/>
      <w:sz w:val="26"/>
      <w:szCs w:val="26"/>
    </w:rPr>
  </w:style>
  <w:style w:type="paragraph" w:styleId="1127">
    <w:name w:val="封面标题"/>
    <w:basedOn w:val="900"/>
    <w:next w:val="1127"/>
    <w:link w:val="900"/>
    <w:pPr>
      <w:jc w:val="center"/>
      <w:spacing w:line="360" w:lineRule="auto"/>
    </w:pPr>
    <w:rPr>
      <w:rFonts w:ascii="Times New Roman" w:hAnsi="Times New Roman" w:eastAsia="黑体" w:cs="Times New Roman"/>
      <w:b/>
      <w:bCs/>
      <w:sz w:val="52"/>
      <w:szCs w:val="48"/>
    </w:rPr>
  </w:style>
  <w:style w:type="paragraph" w:styleId="1128">
    <w:name w:val="修订"/>
    <w:next w:val="1128"/>
    <w:link w:val="900"/>
    <w:rPr>
      <w:sz w:val="21"/>
      <w:szCs w:val="24"/>
      <w:lang w:val="en-US" w:eastAsia="zh-CN" w:bidi="ar-SA"/>
    </w:rPr>
  </w:style>
  <w:style w:type="paragraph" w:styleId="1129">
    <w:name w:val="文档正文"/>
    <w:basedOn w:val="900"/>
    <w:next w:val="1129"/>
    <w:link w:val="900"/>
    <w:pPr>
      <w:ind w:firstLine="567"/>
      <w:spacing w:line="480" w:lineRule="atLeast"/>
    </w:pPr>
    <w:rPr>
      <w:rFonts w:ascii="仿宋_GB2312" w:hAnsi="Calibri" w:eastAsia="仿宋_GB2312" w:cs="Times New Roman"/>
      <w:sz w:val="28"/>
      <w:szCs w:val="20"/>
    </w:rPr>
  </w:style>
  <w:style w:type="paragraph" w:styleId="1130">
    <w:name w:val="样式 标题 4 + 仿宋_GB2312"/>
    <w:basedOn w:val="904"/>
    <w:next w:val="1130"/>
    <w:link w:val="900"/>
    <w:pPr>
      <w:keepLines w:val="0"/>
      <w:spacing w:before="0" w:after="0" w:line="300" w:lineRule="auto"/>
    </w:pPr>
    <w:rPr>
      <w:rFonts w:ascii="仿宋_GB2312" w:hAnsi="仿宋_GB2312" w:eastAsia="仿宋_GB2312" w:cs="Times New Roman"/>
      <w:color w:val="ff00ff"/>
      <w:sz w:val="30"/>
      <w:szCs w:val="30"/>
    </w:rPr>
  </w:style>
  <w:style w:type="paragraph" w:styleId="1131">
    <w:name w:val="xl45"/>
    <w:basedOn w:val="900"/>
    <w:next w:val="1131"/>
    <w:link w:val="900"/>
    <w:pPr>
      <w:jc w:val="left"/>
      <w:spacing w:before="100" w:beforeAutospacing="1" w:after="100" w:afterAutospacing="1"/>
      <w:widowControl/>
    </w:pPr>
    <w:rPr>
      <w:rFonts w:hint="eastAsia" w:ascii="仿宋_GB2312" w:hAnsi="宋体" w:eastAsia="仿宋_GB2312" w:cs="Times New Roman"/>
      <w:sz w:val="24"/>
    </w:rPr>
  </w:style>
  <w:style w:type="paragraph" w:styleId="1132">
    <w:name w:val="段落缩进2 小四"/>
    <w:basedOn w:val="900"/>
    <w:next w:val="1132"/>
    <w:link w:val="900"/>
    <w:pPr>
      <w:ind w:firstLine="480"/>
      <w:spacing w:line="360" w:lineRule="auto"/>
      <w:tabs>
        <w:tab w:val="left" w:pos="1800" w:leader="none"/>
      </w:tabs>
    </w:pPr>
    <w:rPr>
      <w:rFonts w:ascii="宋体" w:hAnsi="宋体" w:eastAsia="宋体" w:cs="Times New Roman"/>
      <w:sz w:val="24"/>
    </w:rPr>
  </w:style>
  <w:style w:type="paragraph" w:styleId="1133">
    <w:name w:val="xl24"/>
    <w:basedOn w:val="900"/>
    <w:next w:val="1133"/>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134">
    <w:name w:val="方案文档"/>
    <w:basedOn w:val="900"/>
    <w:next w:val="1134"/>
    <w:link w:val="900"/>
    <w:pPr>
      <w:ind w:firstLine="225"/>
      <w:spacing w:before="120" w:after="120" w:line="360" w:lineRule="auto"/>
    </w:pPr>
    <w:rPr>
      <w:rFonts w:ascii="Arial" w:hAnsi="Arial" w:eastAsia="宋体" w:cs="Times New Roman"/>
      <w:sz w:val="24"/>
      <w:szCs w:val="20"/>
    </w:rPr>
  </w:style>
  <w:style w:type="paragraph" w:styleId="1135">
    <w:name w:val="paragraph"/>
    <w:basedOn w:val="900"/>
    <w:next w:val="1135"/>
    <w:link w:val="900"/>
    <w:pPr>
      <w:jc w:val="left"/>
      <w:spacing w:before="100" w:beforeAutospacing="1" w:after="100" w:afterAutospacing="1"/>
      <w:widowControl/>
    </w:pPr>
    <w:rPr>
      <w:rFonts w:ascii="宋体" w:hAnsi="宋体" w:cs="宋体"/>
      <w:sz w:val="24"/>
    </w:rPr>
  </w:style>
  <w:style w:type="paragraph" w:styleId="1136">
    <w:name w:val="pa-1"/>
    <w:basedOn w:val="900"/>
    <w:next w:val="1136"/>
    <w:link w:val="900"/>
    <w:pPr>
      <w:jc w:val="left"/>
      <w:spacing w:before="150" w:after="150"/>
      <w:widowControl/>
    </w:pPr>
    <w:rPr>
      <w:rFonts w:ascii="宋体" w:hAnsi="宋体" w:eastAsia="宋体" w:cs="宋体"/>
      <w:sz w:val="24"/>
    </w:rPr>
  </w:style>
  <w:style w:type="paragraph" w:styleId="1137">
    <w:name w:val="性能表格"/>
    <w:basedOn w:val="900"/>
    <w:next w:val="1137"/>
    <w:link w:val="900"/>
    <w:pPr>
      <w:spacing w:line="360" w:lineRule="atLeast"/>
    </w:pPr>
    <w:rPr>
      <w:rFonts w:ascii="Times New Roman" w:hAnsi="Times New Roman" w:eastAsia="宋体" w:cs="Times New Roman"/>
      <w:sz w:val="24"/>
      <w:szCs w:val="20"/>
    </w:rPr>
  </w:style>
  <w:style w:type="paragraph" w:styleId="1138">
    <w:name w:val="para1"/>
    <w:basedOn w:val="900"/>
    <w:next w:val="1138"/>
    <w:link w:val="900"/>
    <w:pPr>
      <w:jc w:val="left"/>
      <w:spacing w:before="100" w:beforeAutospacing="1" w:after="100" w:afterAutospacing="1"/>
      <w:widowControl/>
    </w:pPr>
    <w:rPr>
      <w:rFonts w:ascii="宋体" w:hAnsi="宋体" w:eastAsia="宋体" w:cs="宋体"/>
      <w:sz w:val="24"/>
    </w:rPr>
  </w:style>
  <w:style w:type="paragraph" w:styleId="1139">
    <w:name w:val="标头1"/>
    <w:basedOn w:val="903"/>
    <w:next w:val="1139"/>
    <w:link w:val="900"/>
    <w:pPr>
      <w:spacing w:before="120" w:after="80" w:line="240" w:lineRule="auto"/>
    </w:pPr>
    <w:rPr>
      <w:rFonts w:ascii="Times New Roman" w:hAnsi="Times New Roman" w:eastAsia="黑体" w:cs="Times New Roman"/>
      <w:b w:val="0"/>
      <w:bCs w:val="0"/>
      <w:sz w:val="28"/>
      <w:szCs w:val="20"/>
    </w:rPr>
  </w:style>
  <w:style w:type="paragraph" w:styleId="1140">
    <w:name w:val="body4"/>
    <w:basedOn w:val="900"/>
    <w:next w:val="905"/>
    <w:link w:val="900"/>
    <w:pPr>
      <w:ind w:left="3960" w:firstLine="22"/>
      <w:jc w:val="left"/>
      <w:widowControl/>
    </w:pPr>
    <w:rPr>
      <w:rFonts w:ascii="仿宋_GB2312" w:hAnsi="Times New Roman" w:eastAsia="仿宋_GB2312" w:cs="Times New Roman"/>
      <w:sz w:val="28"/>
      <w:szCs w:val="20"/>
    </w:rPr>
  </w:style>
  <w:style w:type="paragraph" w:styleId="1141">
    <w:name w:val="xl48"/>
    <w:basedOn w:val="900"/>
    <w:next w:val="1141"/>
    <w:link w:val="90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142">
    <w:name w:val="chen"/>
    <w:basedOn w:val="964"/>
    <w:next w:val="1142"/>
    <w:link w:val="900"/>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143">
    <w:name w:val="我的正文"/>
    <w:basedOn w:val="900"/>
    <w:next w:val="1143"/>
    <w:link w:val="900"/>
    <w:pPr>
      <w:jc w:val="left"/>
      <w:spacing w:line="300" w:lineRule="auto"/>
      <w:widowControl/>
    </w:pPr>
    <w:rPr>
      <w:rFonts w:ascii="Times New Roman" w:hAnsi="Times New Roman" w:eastAsia="楷体_GB2312" w:cs="Times New Roman"/>
      <w:spacing w:val="8"/>
      <w:sz w:val="24"/>
    </w:rPr>
  </w:style>
  <w:style w:type="paragraph" w:styleId="1144">
    <w:name w:val="+注："/>
    <w:basedOn w:val="900"/>
    <w:next w:val="1144"/>
    <w:link w:val="900"/>
    <w:pPr>
      <w:ind w:firstLine="200"/>
      <w:spacing w:line="360" w:lineRule="auto"/>
    </w:pPr>
    <w:rPr>
      <w:rFonts w:ascii="Calibri" w:hAnsi="Calibri" w:eastAsia="宋体" w:cs="Times New Roman"/>
      <w:szCs w:val="21"/>
    </w:rPr>
  </w:style>
  <w:style w:type="paragraph" w:styleId="1145">
    <w:name w:val="Char1"/>
    <w:basedOn w:val="900"/>
    <w:next w:val="1145"/>
    <w:link w:val="900"/>
    <w:pPr>
      <w:tabs>
        <w:tab w:val="left" w:pos="360" w:leader="none"/>
      </w:tabs>
    </w:pPr>
    <w:rPr>
      <w:rFonts w:ascii="Calibri" w:hAnsi="Calibri" w:eastAsia="宋体" w:cs="Times New Roman"/>
    </w:rPr>
  </w:style>
  <w:style w:type="paragraph" w:styleId="1146">
    <w:name w:val="图"/>
    <w:basedOn w:val="900"/>
    <w:next w:val="1146"/>
    <w:link w:val="900"/>
    <w:pPr>
      <w:jc w:val="center"/>
      <w:keepNext/>
      <w:spacing w:before="60" w:after="60" w:line="300" w:lineRule="auto"/>
    </w:pPr>
    <w:rPr>
      <w:rFonts w:ascii="Calibri" w:hAnsi="Calibri" w:eastAsia="宋体" w:cs="Times New Roman"/>
      <w:spacing w:val="20"/>
      <w:sz w:val="24"/>
      <w:szCs w:val="20"/>
    </w:rPr>
  </w:style>
  <w:style w:type="paragraph" w:styleId="1147">
    <w:name w:val="样式 样式 首行缩进:  2 字符 + 首行缩进:  2 字符"/>
    <w:basedOn w:val="900"/>
    <w:next w:val="1147"/>
    <w:link w:val="900"/>
    <w:pPr>
      <w:ind w:firstLine="420"/>
      <w:spacing w:line="360" w:lineRule="auto"/>
      <w:tabs>
        <w:tab w:val="left" w:pos="1800" w:leader="none"/>
      </w:tabs>
    </w:pPr>
    <w:rPr>
      <w:rFonts w:ascii="Times New Roman" w:hAnsi="Times New Roman" w:eastAsia="宋体" w:cs="宋体"/>
      <w:sz w:val="24"/>
      <w:szCs w:val="20"/>
    </w:rPr>
  </w:style>
  <w:style w:type="paragraph" w:styleId="1148">
    <w:name w:val="样式2"/>
    <w:basedOn w:val="906"/>
    <w:next w:val="1148"/>
    <w:link w:val="900"/>
    <w:pPr>
      <w:ind w:left="1080" w:hanging="1080"/>
      <w:spacing w:before="240" w:after="64" w:line="320" w:lineRule="auto"/>
      <w:tabs>
        <w:tab w:val="left" w:pos="3578" w:leader="none"/>
      </w:tabs>
    </w:pPr>
    <w:rPr>
      <w:rFonts w:ascii="Arial" w:hAnsi="Arial" w:eastAsia="黑体" w:cs="Times New Roman"/>
      <w:sz w:val="24"/>
    </w:rPr>
  </w:style>
  <w:style w:type="paragraph" w:styleId="1149">
    <w:name w:val="Char Char Char Char1"/>
    <w:basedOn w:val="900"/>
    <w:next w:val="1149"/>
    <w:link w:val="900"/>
    <w:pPr>
      <w:ind w:left="495" w:hanging="495"/>
      <w:tabs>
        <w:tab w:val="left" w:pos="495" w:leader="none"/>
      </w:tabs>
    </w:pPr>
    <w:rPr>
      <w:rFonts w:ascii="Calibri" w:hAnsi="Calibri" w:eastAsia="宋体" w:cs="Times New Roman"/>
    </w:rPr>
  </w:style>
  <w:style w:type="paragraph" w:styleId="1150">
    <w:name w:val="1"/>
    <w:next w:val="1150"/>
    <w:link w:val="900"/>
    <w:pPr>
      <w:jc w:val="both"/>
      <w:widowControl w:val="off"/>
    </w:pPr>
    <w:rPr>
      <w:sz w:val="21"/>
      <w:szCs w:val="24"/>
      <w:lang w:val="en-US" w:eastAsia="zh-CN" w:bidi="ar-SA"/>
    </w:rPr>
  </w:style>
  <w:style w:type="paragraph" w:styleId="1151">
    <w:name w:val="t14black"/>
    <w:basedOn w:val="900"/>
    <w:next w:val="1151"/>
    <w:link w:val="900"/>
    <w:pPr>
      <w:jc w:val="left"/>
      <w:spacing w:before="100" w:beforeAutospacing="1" w:after="100" w:afterAutospacing="1"/>
      <w:widowControl/>
    </w:pPr>
    <w:rPr>
      <w:rFonts w:ascii="宋体" w:hAnsi="宋体" w:eastAsia="宋体" w:cs="Times New Roman"/>
      <w:sz w:val="24"/>
    </w:rPr>
  </w:style>
  <w:style w:type="paragraph" w:styleId="1152">
    <w:name w:val="Char Char Char"/>
    <w:basedOn w:val="900"/>
    <w:next w:val="1152"/>
    <w:link w:val="900"/>
    <w:pPr>
      <w:spacing w:line="360" w:lineRule="auto"/>
    </w:pPr>
    <w:rPr>
      <w:rFonts w:ascii="Times New Roman" w:hAnsi="Times New Roman" w:eastAsia="宋体" w:cs="Times New Roman"/>
      <w:sz w:val="24"/>
      <w:szCs w:val="20"/>
    </w:rPr>
  </w:style>
  <w:style w:type="paragraph" w:styleId="1153">
    <w:name w:val="+列表1"/>
    <w:basedOn w:val="900"/>
    <w:next w:val="1153"/>
    <w:link w:val="900"/>
    <w:pPr>
      <w:jc w:val="center"/>
    </w:pPr>
    <w:rPr>
      <w:rFonts w:ascii="Calibri" w:hAnsi="Calibri" w:eastAsia="宋体" w:cs="Times New Roman"/>
      <w:sz w:val="24"/>
    </w:rPr>
  </w:style>
  <w:style w:type="paragraph" w:styleId="1154">
    <w:name w:val="段"/>
    <w:next w:val="1154"/>
    <w:link w:val="900"/>
    <w:qFormat/>
    <w:pPr>
      <w:ind w:firstLine="200"/>
      <w:jc w:val="both"/>
    </w:pPr>
    <w:rPr>
      <w:rFonts w:ascii="宋体"/>
      <w:sz w:val="21"/>
      <w:lang w:val="en-US" w:eastAsia="zh-CN" w:bidi="ar-SA"/>
    </w:rPr>
  </w:style>
  <w:style w:type="paragraph" w:styleId="1155">
    <w:name w:val="+▲"/>
    <w:basedOn w:val="1156"/>
    <w:next w:val="1155"/>
    <w:link w:val="900"/>
    <w:pPr>
      <w:ind w:left="930" w:firstLine="0"/>
      <w:tabs>
        <w:tab w:val="left" w:pos="930" w:leader="none"/>
      </w:tabs>
    </w:pPr>
    <w:rPr>
      <w:rFonts w:ascii="Calibri" w:hAnsi="Calibri" w:eastAsia="宋体" w:cs="Times New Roman"/>
    </w:rPr>
  </w:style>
  <w:style w:type="paragraph" w:styleId="1156">
    <w:name w:val="+正文 Char"/>
    <w:basedOn w:val="900"/>
    <w:next w:val="1156"/>
    <w:link w:val="900"/>
    <w:pPr>
      <w:ind w:firstLine="200"/>
      <w:spacing w:line="360" w:lineRule="auto"/>
    </w:pPr>
    <w:rPr>
      <w:rFonts w:ascii="Calibri" w:hAnsi="Calibri" w:eastAsia="宋体" w:cs="Times New Roman"/>
      <w:sz w:val="24"/>
      <w:szCs w:val="28"/>
    </w:rPr>
  </w:style>
  <w:style w:type="paragraph" w:styleId="1157">
    <w:name w:val="font0"/>
    <w:basedOn w:val="900"/>
    <w:next w:val="1157"/>
    <w:link w:val="900"/>
    <w:pPr>
      <w:jc w:val="left"/>
      <w:spacing w:before="100" w:beforeAutospacing="1" w:after="100" w:afterAutospacing="1"/>
      <w:widowControl/>
    </w:pPr>
    <w:rPr>
      <w:rFonts w:hint="eastAsia" w:ascii="宋体" w:hAnsi="宋体" w:eastAsia="宋体" w:cs="Times New Roman"/>
      <w:sz w:val="24"/>
    </w:rPr>
  </w:style>
  <w:style w:type="paragraph" w:styleId="1158">
    <w:name w:val="缺省文本:1"/>
    <w:basedOn w:val="900"/>
    <w:next w:val="1158"/>
    <w:link w:val="900"/>
    <w:pPr>
      <w:jc w:val="left"/>
    </w:pPr>
    <w:rPr>
      <w:rFonts w:ascii="宋体" w:hAnsi="Times New Roman" w:eastAsia="宋体" w:cs="Times New Roman"/>
      <w:sz w:val="24"/>
      <w:szCs w:val="20"/>
    </w:rPr>
  </w:style>
  <w:style w:type="paragraph" w:styleId="1159">
    <w:name w:val="xl36"/>
    <w:basedOn w:val="900"/>
    <w:next w:val="1159"/>
    <w:link w:val="900"/>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60">
    <w:name w:val="样式 标题 1 + (西文) 宋体 小四"/>
    <w:basedOn w:val="901"/>
    <w:next w:val="1160"/>
    <w:link w:val="900"/>
    <w:pPr>
      <w:outlineLvl w:val="9"/>
    </w:pPr>
    <w:rPr>
      <w:rFonts w:ascii="宋体" w:hAnsi="宋体" w:eastAsia="宋体" w:cs="Times New Roman"/>
      <w:sz w:val="24"/>
    </w:rPr>
  </w:style>
  <w:style w:type="paragraph" w:styleId="1161">
    <w:name w:val="xl43"/>
    <w:basedOn w:val="900"/>
    <w:next w:val="1161"/>
    <w:link w:val="900"/>
    <w:pPr>
      <w:jc w:val="center"/>
      <w:spacing w:before="100" w:beforeAutospacing="1" w:after="100" w:afterAutospacing="1"/>
      <w:widowControl/>
    </w:pPr>
    <w:rPr>
      <w:rFonts w:ascii="宋体" w:hAnsi="宋体" w:eastAsia="宋体" w:cs="Times New Roman"/>
      <w:b/>
      <w:bCs/>
      <w:sz w:val="32"/>
      <w:szCs w:val="32"/>
    </w:rPr>
  </w:style>
  <w:style w:type="paragraph" w:styleId="1162">
    <w:name w:val="小点说明"/>
    <w:basedOn w:val="900"/>
    <w:next w:val="1162"/>
    <w:link w:val="900"/>
    <w:pPr>
      <w:ind w:left="360" w:firstLine="80"/>
      <w:spacing w:line="360" w:lineRule="auto"/>
      <w:tabs>
        <w:tab w:val="left" w:pos="392" w:leader="none"/>
      </w:tabs>
    </w:pPr>
    <w:rPr>
      <w:rFonts w:ascii="宋体" w:hAnsi="Arial" w:eastAsia="宋体" w:cs="Times New Roman"/>
      <w:szCs w:val="20"/>
    </w:rPr>
  </w:style>
  <w:style w:type="paragraph" w:styleId="1163">
    <w:name w:val="二级条标题"/>
    <w:basedOn w:val="1164"/>
    <w:next w:val="900"/>
    <w:link w:val="900"/>
    <w:pPr>
      <w:ind w:left="480" w:hanging="480"/>
      <w:tabs>
        <w:tab w:val="left" w:pos="480" w:leader="none"/>
      </w:tabs>
      <w:outlineLvl w:val="3"/>
    </w:pPr>
    <w:rPr>
      <w:rFonts w:ascii="Calibri" w:hAnsi="Calibri" w:eastAsia="宋体" w:cs="Times New Roman"/>
    </w:rPr>
  </w:style>
  <w:style w:type="paragraph" w:styleId="1164">
    <w:name w:val="一级条标题"/>
    <w:basedOn w:val="900"/>
    <w:next w:val="900"/>
    <w:link w:val="900"/>
    <w:pPr>
      <w:ind w:left="420"/>
      <w:widowControl/>
      <w:tabs>
        <w:tab w:val="left" w:pos="360" w:leader="none"/>
      </w:tabs>
      <w:outlineLvl w:val="2"/>
    </w:pPr>
    <w:rPr>
      <w:rFonts w:ascii="黑体" w:hAnsi="Calibri" w:eastAsia="黑体" w:cs="Times New Roman"/>
      <w:szCs w:val="20"/>
    </w:rPr>
  </w:style>
  <w:style w:type="paragraph" w:styleId="1165">
    <w:name w:val="无间隔"/>
    <w:next w:val="1165"/>
    <w:link w:val="900"/>
    <w:qFormat/>
    <w:pPr>
      <w:widowControl w:val="off"/>
    </w:pPr>
    <w:rPr>
      <w:sz w:val="24"/>
      <w:szCs w:val="24"/>
      <w:lang w:val="en-US" w:eastAsia="zh-CN" w:bidi="ar-SA"/>
    </w:rPr>
  </w:style>
  <w:style w:type="paragraph" w:styleId="1166">
    <w:name w:val="纯文本11"/>
    <w:basedOn w:val="900"/>
    <w:next w:val="1166"/>
    <w:link w:val="900"/>
    <w:rPr>
      <w:rFonts w:hint="eastAsia" w:ascii="宋体" w:hAnsi="Courier New" w:eastAsia="楷体_GB2312" w:cs="Times New Roman"/>
      <w:sz w:val="28"/>
      <w:szCs w:val="20"/>
    </w:rPr>
  </w:style>
  <w:style w:type="paragraph" w:styleId="1167">
    <w:name w:val="Char11"/>
    <w:basedOn w:val="900"/>
    <w:next w:val="1167"/>
    <w:link w:val="900"/>
    <w:pPr>
      <w:jc w:val="left"/>
      <w:spacing w:after="160" w:line="240" w:lineRule="exact"/>
      <w:widowControl/>
    </w:pPr>
    <w:rPr>
      <w:rFonts w:ascii="Verdana" w:hAnsi="Verdana" w:eastAsia="宋体" w:cs="Times New Roman"/>
      <w:sz w:val="20"/>
      <w:szCs w:val="20"/>
      <w:lang w:eastAsia="en-US"/>
    </w:rPr>
  </w:style>
  <w:style w:type="paragraph" w:styleId="1168">
    <w:name w:val="font10"/>
    <w:basedOn w:val="900"/>
    <w:next w:val="1168"/>
    <w:link w:val="900"/>
    <w:pPr>
      <w:jc w:val="left"/>
      <w:spacing w:before="100" w:beforeAutospacing="1" w:after="100" w:afterAutospacing="1"/>
      <w:widowControl/>
    </w:pPr>
    <w:rPr>
      <w:rFonts w:ascii="宋体" w:hAnsi="宋体" w:eastAsia="宋体" w:cs="宋体"/>
      <w:szCs w:val="21"/>
    </w:rPr>
  </w:style>
  <w:style w:type="paragraph" w:styleId="1169">
    <w:name w:val="正文文字"/>
    <w:basedOn w:val="900"/>
    <w:next w:val="1169"/>
    <w:link w:val="900"/>
    <w:pPr>
      <w:spacing w:after="156" w:line="300" w:lineRule="auto"/>
    </w:pPr>
    <w:rPr>
      <w:rFonts w:ascii="Times New Roman" w:hAnsi="Times New Roman" w:eastAsia="宋体" w:cs="Times New Roman"/>
      <w:szCs w:val="20"/>
    </w:rPr>
  </w:style>
  <w:style w:type="paragraph" w:styleId="1170">
    <w:name w:val="标准正文"/>
    <w:basedOn w:val="938"/>
    <w:next w:val="1170"/>
    <w:link w:val="900"/>
    <w:pPr>
      <w:ind w:left="0" w:firstLine="482"/>
      <w:spacing w:before="60" w:after="60" w:line="360" w:lineRule="auto"/>
    </w:pPr>
    <w:rPr>
      <w:rFonts w:ascii="Arial" w:hAnsi="Arial" w:eastAsia="宋体" w:cs="Times New Roman"/>
      <w:szCs w:val="24"/>
    </w:rPr>
  </w:style>
  <w:style w:type="paragraph" w:styleId="1171">
    <w:name w:val="五级条标题"/>
    <w:basedOn w:val="1172"/>
    <w:next w:val="900"/>
    <w:link w:val="900"/>
    <w:pPr>
      <w:tabs>
        <w:tab w:val="left" w:pos="2520" w:leader="none"/>
      </w:tabs>
      <w:outlineLvl w:val="6"/>
    </w:pPr>
    <w:rPr>
      <w:rFonts w:ascii="Calibri" w:hAnsi="Calibri" w:eastAsia="宋体" w:cs="Times New Roman"/>
    </w:rPr>
  </w:style>
  <w:style w:type="paragraph" w:styleId="1172">
    <w:name w:val="四级条标题"/>
    <w:basedOn w:val="1173"/>
    <w:next w:val="900"/>
    <w:link w:val="900"/>
    <w:pPr>
      <w:ind w:left="480"/>
      <w:tabs>
        <w:tab w:val="left" w:pos="2100" w:leader="none"/>
      </w:tabs>
      <w:outlineLvl w:val="5"/>
    </w:pPr>
    <w:rPr>
      <w:rFonts w:ascii="Calibri" w:hAnsi="Calibri" w:eastAsia="宋体" w:cs="Times New Roman"/>
    </w:rPr>
  </w:style>
  <w:style w:type="paragraph" w:styleId="1173">
    <w:name w:val="三级条标题"/>
    <w:basedOn w:val="1163"/>
    <w:next w:val="900"/>
    <w:link w:val="900"/>
    <w:pPr>
      <w:ind w:left="0"/>
      <w:tabs>
        <w:tab w:val="left" w:pos="360" w:leader="none"/>
      </w:tabs>
      <w:outlineLvl w:val="4"/>
    </w:pPr>
    <w:rPr>
      <w:rFonts w:ascii="Calibri" w:hAnsi="Calibri" w:eastAsia="宋体" w:cs="Times New Roman"/>
    </w:rPr>
  </w:style>
  <w:style w:type="paragraph" w:styleId="1174">
    <w:name w:val="Default Paragraph Font Para Char Char Char Char Char Char"/>
    <w:basedOn w:val="900"/>
    <w:next w:val="1174"/>
    <w:link w:val="900"/>
    <w:pPr>
      <w:jc w:val="left"/>
      <w:spacing w:after="160" w:line="240" w:lineRule="exact"/>
      <w:widowControl/>
    </w:pPr>
    <w:rPr>
      <w:rFonts w:ascii="Verdana" w:hAnsi="Verdana" w:eastAsia="宋体" w:cs="Times New Roman"/>
      <w:sz w:val="20"/>
      <w:szCs w:val="20"/>
      <w:lang w:eastAsia="en-US"/>
    </w:rPr>
  </w:style>
  <w:style w:type="paragraph" w:styleId="1175">
    <w:name w:val="表文字"/>
    <w:next w:val="1175"/>
    <w:link w:val="900"/>
    <w:rPr>
      <w:rFonts w:ascii="宋体"/>
      <w:lang w:val="en-US" w:eastAsia="zh-CN" w:bidi="ar-SA"/>
    </w:rPr>
  </w:style>
  <w:style w:type="paragraph" w:styleId="1176">
    <w:name w:val="xl27"/>
    <w:basedOn w:val="900"/>
    <w:next w:val="1176"/>
    <w:link w:val="90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177">
    <w:name w:val="xl77"/>
    <w:basedOn w:val="900"/>
    <w:next w:val="1177"/>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78">
    <w:name w:val="样式 四号 首行缩进:  2 字符"/>
    <w:basedOn w:val="900"/>
    <w:next w:val="1178"/>
    <w:link w:val="900"/>
    <w:pPr>
      <w:ind w:firstLine="560"/>
      <w:spacing w:line="360" w:lineRule="auto"/>
    </w:pPr>
    <w:rPr>
      <w:rFonts w:ascii="Times New Roman" w:hAnsi="Times New Roman" w:eastAsia="宋体" w:cs="Times New Roman"/>
      <w:sz w:val="24"/>
      <w:szCs w:val="28"/>
    </w:rPr>
  </w:style>
  <w:style w:type="paragraph" w:styleId="1179">
    <w:name w:val="默认段落字体 Para Char Char Char Char"/>
    <w:basedOn w:val="900"/>
    <w:next w:val="1179"/>
    <w:link w:val="900"/>
    <w:rPr>
      <w:rFonts w:ascii="Times New Roman" w:hAnsi="Times New Roman" w:eastAsia="宋体" w:cs="Times New Roman"/>
      <w:sz w:val="20"/>
      <w:szCs w:val="20"/>
    </w:rPr>
  </w:style>
  <w:style w:type="paragraph" w:styleId="1180">
    <w:name w:val="目录1"/>
    <w:basedOn w:val="900"/>
    <w:next w:val="1180"/>
    <w:link w:val="900"/>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181">
    <w:name w:val="xl29"/>
    <w:basedOn w:val="900"/>
    <w:next w:val="1181"/>
    <w:link w:val="90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182">
    <w:name w:val="xl25"/>
    <w:basedOn w:val="900"/>
    <w:next w:val="1182"/>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183">
    <w:name w:val="paragraph1"/>
    <w:basedOn w:val="900"/>
    <w:next w:val="1183"/>
    <w:link w:val="900"/>
    <w:pPr>
      <w:ind w:firstLine="480"/>
      <w:spacing w:after="93" w:line="360" w:lineRule="auto"/>
    </w:pPr>
    <w:rPr>
      <w:rFonts w:ascii="Times New Roman" w:hAnsi="Times New Roman" w:eastAsia="宋体" w:cs="Times New Roman"/>
      <w:sz w:val="24"/>
    </w:rPr>
  </w:style>
  <w:style w:type="paragraph" w:styleId="1184">
    <w:name w:val="xl65"/>
    <w:basedOn w:val="900"/>
    <w:next w:val="1184"/>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185">
    <w:name w:val="xl54"/>
    <w:basedOn w:val="900"/>
    <w:next w:val="1185"/>
    <w:link w:val="900"/>
    <w:pPr>
      <w:jc w:val="center"/>
      <w:spacing w:before="100" w:beforeAutospacing="1" w:after="100" w:afterAutospacing="1"/>
      <w:widowControl/>
    </w:pPr>
    <w:rPr>
      <w:rFonts w:hint="eastAsia" w:ascii="隶书" w:hAnsi="宋体" w:eastAsia="隶书" w:cs="Times New Roman"/>
      <w:sz w:val="48"/>
      <w:szCs w:val="48"/>
    </w:rPr>
  </w:style>
  <w:style w:type="paragraph" w:styleId="1186">
    <w:name w:val="Char1 Char Char Char Char Char Char"/>
    <w:basedOn w:val="900"/>
    <w:next w:val="1186"/>
    <w:link w:val="900"/>
    <w:rPr>
      <w:rFonts w:ascii="Tahoma" w:hAnsi="Tahoma" w:eastAsia="宋体" w:cs="Times New Roman"/>
      <w:sz w:val="24"/>
      <w:szCs w:val="20"/>
    </w:rPr>
  </w:style>
  <w:style w:type="paragraph" w:styleId="1187">
    <w:name w:val="xl70"/>
    <w:basedOn w:val="900"/>
    <w:next w:val="1187"/>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88">
    <w:name w:val="有符号正文"/>
    <w:basedOn w:val="900"/>
    <w:next w:val="1188"/>
    <w:link w:val="900"/>
    <w:pPr>
      <w:ind w:firstLine="200"/>
      <w:spacing w:line="400" w:lineRule="exact"/>
    </w:pPr>
    <w:rPr>
      <w:rFonts w:ascii="Arial" w:hAnsi="Arial" w:eastAsia="宋体" w:cs="Times New Roman"/>
    </w:rPr>
  </w:style>
  <w:style w:type="paragraph" w:styleId="1189">
    <w:name w:val="xl41"/>
    <w:basedOn w:val="900"/>
    <w:next w:val="1189"/>
    <w:link w:val="900"/>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190">
    <w:name w:val="样式 仿宋_GB2312 四号 黑色 左 行距: 1.5 倍行距"/>
    <w:basedOn w:val="900"/>
    <w:next w:val="1190"/>
    <w:link w:val="900"/>
    <w:pPr>
      <w:jc w:val="left"/>
      <w:spacing w:line="360" w:lineRule="auto"/>
    </w:pPr>
    <w:rPr>
      <w:rFonts w:ascii="仿宋_GB2312" w:hAnsi="宋体" w:eastAsia="仿宋_GB2312" w:cs="Times New Roman"/>
      <w:color w:val="000000"/>
      <w:sz w:val="24"/>
      <w:szCs w:val="20"/>
    </w:rPr>
  </w:style>
  <w:style w:type="paragraph" w:styleId="1191">
    <w:name w:val="小标题 1"/>
    <w:basedOn w:val="900"/>
    <w:next w:val="1191"/>
    <w:link w:val="900"/>
    <w:pPr>
      <w:spacing w:line="360" w:lineRule="atLeast"/>
    </w:pPr>
    <w:rPr>
      <w:rFonts w:ascii="文鼎粗黑" w:hAnsi="Times New Roman" w:eastAsia="文鼎粗黑" w:cs="Times New Roman"/>
      <w:sz w:val="22"/>
      <w:szCs w:val="20"/>
    </w:rPr>
  </w:style>
  <w:style w:type="paragraph" w:styleId="1192">
    <w:name w:val="FA正文"/>
    <w:basedOn w:val="900"/>
    <w:next w:val="1192"/>
    <w:link w:val="900"/>
    <w:pPr>
      <w:spacing w:line="360" w:lineRule="auto"/>
    </w:pPr>
    <w:rPr>
      <w:rFonts w:ascii="Times New Roman" w:hAnsi="Times New Roman" w:eastAsia="宋体" w:cs="Times New Roman"/>
      <w:sz w:val="24"/>
      <w:szCs w:val="21"/>
    </w:rPr>
  </w:style>
  <w:style w:type="paragraph" w:styleId="1193">
    <w:name w:val="xl78"/>
    <w:basedOn w:val="900"/>
    <w:next w:val="1193"/>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194">
    <w:name w:val="+标题2"/>
    <w:basedOn w:val="902"/>
    <w:next w:val="1194"/>
    <w:link w:val="900"/>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195">
    <w:name w:val="yyn2"/>
    <w:basedOn w:val="900"/>
    <w:next w:val="1195"/>
    <w:link w:val="900"/>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196">
    <w:name w:val="默认段落字体 Para Char Char Char Char Char Char Char Char Char1 Char Char Char Char"/>
    <w:basedOn w:val="900"/>
    <w:next w:val="1196"/>
    <w:link w:val="900"/>
    <w:rPr>
      <w:rFonts w:ascii="Tahoma" w:hAnsi="Tahoma" w:eastAsia="宋体" w:cs="Times New Roman"/>
      <w:sz w:val="24"/>
      <w:szCs w:val="20"/>
    </w:rPr>
  </w:style>
  <w:style w:type="paragraph" w:styleId="1197">
    <w:name w:val="xl40"/>
    <w:basedOn w:val="900"/>
    <w:next w:val="1197"/>
    <w:link w:val="900"/>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198">
    <w:name w:val="Char Char Char Char Char Char Char Char Char1 Char"/>
    <w:basedOn w:val="929"/>
    <w:next w:val="1198"/>
    <w:link w:val="900"/>
    <w:pPr>
      <w:spacing w:line="360" w:lineRule="auto"/>
    </w:pPr>
    <w:rPr>
      <w:rFonts w:ascii="Calibri" w:hAnsi="Calibri" w:eastAsia="宋体" w:cs="Times New Roman"/>
      <w:szCs w:val="24"/>
      <w:lang w:val="en-US" w:eastAsia="zh-CN"/>
    </w:rPr>
  </w:style>
  <w:style w:type="paragraph" w:styleId="1199">
    <w:name w:val="Char Char Char Char Char Char1 Char"/>
    <w:basedOn w:val="900"/>
    <w:next w:val="1199"/>
    <w:link w:val="900"/>
    <w:pPr>
      <w:jc w:val="left"/>
      <w:spacing w:after="160" w:line="240" w:lineRule="exact"/>
      <w:widowControl/>
    </w:pPr>
    <w:rPr>
      <w:rFonts w:ascii="Verdana" w:hAnsi="Verdana" w:eastAsia="宋体" w:cs="Times New Roman"/>
      <w:sz w:val="20"/>
      <w:szCs w:val="20"/>
      <w:lang w:eastAsia="en-US"/>
    </w:rPr>
  </w:style>
  <w:style w:type="paragraph" w:styleId="1200">
    <w:name w:val="表格标题"/>
    <w:basedOn w:val="1201"/>
    <w:next w:val="1200"/>
    <w:link w:val="900"/>
    <w:pPr>
      <w:jc w:val="center"/>
    </w:pPr>
    <w:rPr>
      <w:rFonts w:ascii="Times New Roman" w:hAnsi="Times New Roman" w:eastAsia="宋体" w:cs="Times New Roman"/>
      <w:b/>
    </w:rPr>
  </w:style>
  <w:style w:type="paragraph" w:styleId="1201">
    <w:name w:val="表格正文"/>
    <w:basedOn w:val="900"/>
    <w:next w:val="1201"/>
    <w:link w:val="900"/>
    <w:pPr>
      <w:spacing w:line="240" w:lineRule="atLeast"/>
    </w:pPr>
    <w:rPr>
      <w:rFonts w:ascii="Times New Roman" w:hAnsi="Times New Roman" w:eastAsia="楷体_GB2312" w:cs="Times New Roman"/>
      <w:sz w:val="24"/>
      <w:szCs w:val="20"/>
    </w:rPr>
  </w:style>
  <w:style w:type="paragraph" w:styleId="1202">
    <w:name w:val="+正文 Char Char2 Char Char"/>
    <w:basedOn w:val="900"/>
    <w:next w:val="1202"/>
    <w:link w:val="900"/>
    <w:pPr>
      <w:ind w:firstLine="200"/>
      <w:spacing w:line="360" w:lineRule="auto"/>
    </w:pPr>
    <w:rPr>
      <w:rFonts w:ascii="Calibri" w:hAnsi="Calibri" w:eastAsia="宋体" w:cs="Times New Roman"/>
      <w:sz w:val="24"/>
      <w:szCs w:val="28"/>
    </w:rPr>
  </w:style>
  <w:style w:type="paragraph" w:styleId="1203">
    <w:name w:val="样式 标题 5H5h5Second Subheadingdashdsdddash1ds1dd1dash2d..."/>
    <w:basedOn w:val="905"/>
    <w:next w:val="1203"/>
    <w:link w:val="900"/>
    <w:pPr>
      <w:keepLines w:val="0"/>
      <w:keepNext w:val="0"/>
      <w:spacing w:before="468" w:after="312" w:line="360" w:lineRule="auto"/>
      <w:tabs>
        <w:tab w:val="left" w:pos="1800" w:leader="none"/>
      </w:tabs>
    </w:pPr>
    <w:rPr>
      <w:rFonts w:ascii="黑体" w:hAnsi="Times New Roman" w:eastAsia="黑体" w:cs="宋体"/>
      <w:sz w:val="24"/>
      <w:szCs w:val="20"/>
    </w:rPr>
  </w:style>
  <w:style w:type="paragraph" w:styleId="1204">
    <w:name w:val="xl42"/>
    <w:basedOn w:val="900"/>
    <w:next w:val="1204"/>
    <w:link w:val="900"/>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05">
    <w:name w:val="pa-0"/>
    <w:basedOn w:val="900"/>
    <w:next w:val="1205"/>
    <w:link w:val="900"/>
    <w:pPr>
      <w:jc w:val="left"/>
      <w:spacing w:before="150" w:after="150"/>
      <w:widowControl/>
    </w:pPr>
    <w:rPr>
      <w:rFonts w:ascii="宋体" w:hAnsi="宋体" w:eastAsia="宋体" w:cs="宋体"/>
      <w:sz w:val="24"/>
    </w:rPr>
  </w:style>
  <w:style w:type="paragraph" w:styleId="1206">
    <w:name w:val="Plain Text"/>
    <w:basedOn w:val="900"/>
    <w:next w:val="1206"/>
    <w:link w:val="900"/>
    <w:rPr>
      <w:rFonts w:hint="eastAsia" w:ascii="宋体" w:hAnsi="Courier New" w:eastAsia="楷体_GB2312" w:cs="Times New Roman"/>
      <w:sz w:val="28"/>
      <w:szCs w:val="20"/>
    </w:rPr>
  </w:style>
  <w:style w:type="paragraph" w:styleId="1207">
    <w:name w:val="font11"/>
    <w:basedOn w:val="900"/>
    <w:next w:val="1207"/>
    <w:link w:val="900"/>
    <w:pPr>
      <w:jc w:val="left"/>
      <w:spacing w:before="100" w:beforeAutospacing="1" w:after="100" w:afterAutospacing="1"/>
      <w:widowControl/>
    </w:pPr>
    <w:rPr>
      <w:rFonts w:ascii="宋体" w:hAnsi="宋体" w:eastAsia="宋体" w:cs="宋体"/>
      <w:color w:val="000000"/>
      <w:sz w:val="18"/>
      <w:szCs w:val="18"/>
    </w:rPr>
  </w:style>
  <w:style w:type="paragraph" w:styleId="1208">
    <w:name w:val="正文4"/>
    <w:basedOn w:val="900"/>
    <w:next w:val="1208"/>
    <w:link w:val="900"/>
    <w:pPr>
      <w:ind w:firstLine="480"/>
      <w:spacing w:line="360" w:lineRule="auto"/>
    </w:pPr>
    <w:rPr>
      <w:rFonts w:ascii="宋体" w:hAnsi="宋体" w:eastAsia="宋体" w:cs="Times New Roman"/>
      <w:sz w:val="24"/>
    </w:rPr>
  </w:style>
  <w:style w:type="paragraph" w:styleId="1209">
    <w:name w:val="符号与编号"/>
    <w:basedOn w:val="900"/>
    <w:next w:val="1209"/>
    <w:link w:val="900"/>
    <w:pPr>
      <w:ind w:left="425" w:hanging="425"/>
      <w:spacing w:line="360" w:lineRule="auto"/>
      <w:tabs>
        <w:tab w:val="left" w:pos="425" w:leader="none"/>
      </w:tabs>
    </w:pPr>
    <w:rPr>
      <w:rFonts w:ascii="宋体" w:hAnsi="宋体" w:eastAsia="宋体" w:cs="Times New Roman"/>
      <w:sz w:val="28"/>
      <w:szCs w:val="28"/>
    </w:rPr>
  </w:style>
  <w:style w:type="paragraph" w:styleId="1210">
    <w:name w:val="xl76"/>
    <w:basedOn w:val="900"/>
    <w:next w:val="1210"/>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211">
    <w:name w:val="xl71"/>
    <w:basedOn w:val="900"/>
    <w:next w:val="1211"/>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12">
    <w:name w:val="P1"/>
    <w:next w:val="1212"/>
    <w:link w:val="900"/>
    <w:pPr>
      <w:ind w:left="2304" w:hanging="576"/>
      <w:jc w:val="both"/>
      <w:spacing w:after="240" w:line="0" w:lineRule="atLeast"/>
      <w:widowControl w:val="off"/>
    </w:pPr>
    <w:rPr>
      <w:rFonts w:eastAsia="全真中明體"/>
      <w:spacing w:val="30"/>
      <w:sz w:val="24"/>
      <w:lang w:val="en-GB" w:eastAsia="zh-TW" w:bidi="ar-SA"/>
    </w:rPr>
  </w:style>
  <w:style w:type="paragraph" w:styleId="1213">
    <w:name w:val="List Paragraph"/>
    <w:basedOn w:val="900"/>
    <w:next w:val="1213"/>
    <w:link w:val="900"/>
    <w:pPr>
      <w:ind w:firstLine="420"/>
    </w:pPr>
    <w:rPr>
      <w:rFonts w:ascii="Times New Roman" w:hAnsi="Times New Roman" w:eastAsia="宋体" w:cs="Times New Roman"/>
      <w:szCs w:val="20"/>
    </w:rPr>
  </w:style>
  <w:style w:type="paragraph" w:styleId="1214">
    <w:name w:val="p0"/>
    <w:basedOn w:val="900"/>
    <w:next w:val="1214"/>
    <w:link w:val="900"/>
    <w:pPr>
      <w:jc w:val="left"/>
      <w:spacing w:before="100" w:beforeAutospacing="1" w:after="100" w:afterAutospacing="1"/>
      <w:widowControl/>
    </w:pPr>
    <w:rPr>
      <w:rFonts w:ascii="宋体" w:hAnsi="宋体" w:eastAsia="宋体" w:cs="宋体"/>
      <w:sz w:val="24"/>
    </w:rPr>
  </w:style>
  <w:style w:type="paragraph" w:styleId="1215">
    <w:name w:val="纯文本111"/>
    <w:basedOn w:val="900"/>
    <w:next w:val="1215"/>
    <w:link w:val="900"/>
    <w:pPr>
      <w:jc w:val="left"/>
      <w:widowControl/>
    </w:pPr>
    <w:rPr>
      <w:rFonts w:ascii="宋体" w:hAnsi="Courier New" w:eastAsia="楷体_GB2312" w:cs="Times New Roman"/>
      <w:sz w:val="26"/>
      <w:szCs w:val="20"/>
    </w:rPr>
  </w:style>
  <w:style w:type="paragraph" w:styleId="1216">
    <w:name w:val="body3"/>
    <w:basedOn w:val="900"/>
    <w:next w:val="904"/>
    <w:link w:val="900"/>
    <w:pPr>
      <w:ind w:left="2610" w:right="210"/>
      <w:jc w:val="left"/>
      <w:spacing w:line="0" w:lineRule="atLeast"/>
      <w:widowControl/>
    </w:pPr>
    <w:rPr>
      <w:rFonts w:ascii="宋体" w:hAnsi="Times New Roman" w:eastAsia="宋体" w:cs="Times New Roman"/>
      <w:sz w:val="28"/>
      <w:szCs w:val="20"/>
    </w:rPr>
  </w:style>
  <w:style w:type="paragraph" w:styleId="1217">
    <w:name w:val="+●"/>
    <w:basedOn w:val="1156"/>
    <w:next w:val="1217"/>
    <w:link w:val="900"/>
    <w:pPr>
      <w:ind w:left="2940" w:firstLine="0"/>
      <w:tabs>
        <w:tab w:val="left" w:pos="2940" w:leader="none"/>
      </w:tabs>
    </w:pPr>
    <w:rPr>
      <w:rFonts w:ascii="Calibri" w:hAnsi="Calibri" w:eastAsia="宋体" w:cs="Times New Roman"/>
    </w:rPr>
  </w:style>
  <w:style w:type="paragraph" w:styleId="1218">
    <w:name w:val="Char Char Char Char Char Char Char1"/>
    <w:basedOn w:val="900"/>
    <w:next w:val="1218"/>
    <w:link w:val="900"/>
    <w:pPr>
      <w:ind w:firstLine="480"/>
      <w:spacing w:line="360" w:lineRule="auto"/>
    </w:pPr>
    <w:rPr>
      <w:rFonts w:ascii="Tahoma" w:hAnsi="Tahoma" w:eastAsia="宋体" w:cs="Times New Roman"/>
      <w:sz w:val="24"/>
      <w:szCs w:val="20"/>
    </w:rPr>
  </w:style>
  <w:style w:type="paragraph" w:styleId="1219">
    <w:name w:val="列出段落"/>
    <w:basedOn w:val="900"/>
    <w:next w:val="1219"/>
    <w:link w:val="900"/>
    <w:qFormat/>
    <w:pPr>
      <w:ind w:firstLine="420"/>
    </w:pPr>
    <w:rPr>
      <w:rFonts w:ascii="Calibri" w:hAnsi="Calibri" w:eastAsia="宋体" w:cs="Times New Roman"/>
      <w:szCs w:val="22"/>
    </w:rPr>
  </w:style>
  <w:style w:type="paragraph" w:styleId="1220">
    <w:name w:val="样式 目录 3 + 左侧:  1.71 字符"/>
    <w:basedOn w:val="942"/>
    <w:next w:val="1220"/>
    <w:link w:val="900"/>
    <w:pPr>
      <w:ind w:left="480" w:firstLine="420"/>
      <w:tabs>
        <w:tab w:val="right" w:pos="8296" w:leader="dot"/>
      </w:tabs>
    </w:pPr>
    <w:rPr>
      <w:rFonts w:ascii="Times New Roman" w:hAnsi="Times New Roman" w:eastAsia="宋体" w:cs="Times New Roman"/>
      <w:szCs w:val="20"/>
    </w:rPr>
  </w:style>
  <w:style w:type="paragraph" w:styleId="1221">
    <w:name w:val="样式 标题 4 + (西文) 宋体 小四"/>
    <w:basedOn w:val="900"/>
    <w:next w:val="1221"/>
    <w:link w:val="900"/>
    <w:pPr>
      <w:spacing w:line="360" w:lineRule="auto"/>
    </w:pPr>
    <w:rPr>
      <w:rFonts w:ascii="宋体" w:hAnsi="宋体" w:eastAsia="仿宋_GB2312" w:cs="Times New Roman"/>
      <w:sz w:val="24"/>
      <w:szCs w:val="20"/>
    </w:rPr>
  </w:style>
  <w:style w:type="paragraph" w:styleId="1222">
    <w:name w:val="样式 正文缩进 + 首行缩进:  2 字符"/>
    <w:basedOn w:val="920"/>
    <w:next w:val="1222"/>
    <w:link w:val="900"/>
    <w:pPr>
      <w:ind w:firstLine="480"/>
      <w:jc w:val="both"/>
      <w:spacing w:line="360" w:lineRule="auto"/>
    </w:pPr>
    <w:rPr>
      <w:rFonts w:ascii="Times New Roman" w:hAnsi="Times New Roman" w:eastAsia="宋体" w:cs="宋体"/>
    </w:rPr>
  </w:style>
  <w:style w:type="paragraph" w:styleId="1223">
    <w:name w:val="样式 标题4 + &amp;#23435.&amp;#20307. 五号 段前: 自动 段后: 自动"/>
    <w:basedOn w:val="920"/>
    <w:next w:val="1223"/>
    <w:link w:val="900"/>
    <w:pPr>
      <w:ind w:firstLine="200"/>
      <w:spacing w:line="360" w:lineRule="auto"/>
      <w:widowControl/>
    </w:pPr>
    <w:rPr>
      <w:rFonts w:ascii="&amp;#23435;&amp;#20307;" w:hAnsi="&amp;#23435;&amp;#20307;" w:eastAsia="宋体" w:cs="Times New Roman"/>
      <w:color w:val="000000"/>
    </w:rPr>
  </w:style>
  <w:style w:type="paragraph" w:styleId="1224">
    <w:name w:val="font6"/>
    <w:basedOn w:val="900"/>
    <w:next w:val="1224"/>
    <w:link w:val="900"/>
    <w:pPr>
      <w:jc w:val="left"/>
      <w:spacing w:before="100" w:beforeAutospacing="1" w:after="100" w:afterAutospacing="1"/>
      <w:widowControl/>
    </w:pPr>
    <w:rPr>
      <w:rFonts w:hint="eastAsia" w:ascii="宋体" w:hAnsi="宋体" w:eastAsia="宋体" w:cs="Times New Roman"/>
      <w:sz w:val="18"/>
      <w:szCs w:val="18"/>
    </w:rPr>
  </w:style>
  <w:style w:type="paragraph" w:styleId="1225">
    <w:name w:val="勾"/>
    <w:basedOn w:val="900"/>
    <w:next w:val="1225"/>
    <w:link w:val="900"/>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226">
    <w:name w:val="样式1"/>
    <w:basedOn w:val="900"/>
    <w:next w:val="1226"/>
    <w:link w:val="900"/>
    <w:pPr>
      <w:ind w:left="660" w:hanging="660"/>
      <w:tabs>
        <w:tab w:val="left" w:pos="660" w:leader="none"/>
        <w:tab w:val="left" w:pos="709" w:leader="none"/>
      </w:tabs>
    </w:pPr>
    <w:rPr>
      <w:rFonts w:ascii="宋体" w:hAnsi="宋体" w:eastAsia="宋体" w:cs="Times New Roman"/>
      <w:szCs w:val="21"/>
    </w:rPr>
  </w:style>
  <w:style w:type="paragraph" w:styleId="1227">
    <w:name w:val="Char Char Char Char Char Char Char Char Char Char Char Char Char Char Char Char"/>
    <w:basedOn w:val="900"/>
    <w:next w:val="1227"/>
    <w:link w:val="900"/>
    <w:rPr>
      <w:rFonts w:ascii="仿宋_GB2312" w:hAnsi="Times New Roman" w:eastAsia="仿宋_GB2312" w:cs="Times New Roman"/>
      <w:b/>
      <w:sz w:val="28"/>
      <w:szCs w:val="20"/>
    </w:rPr>
  </w:style>
  <w:style w:type="paragraph" w:styleId="1228">
    <w:name w:val="xl37"/>
    <w:basedOn w:val="900"/>
    <w:next w:val="1228"/>
    <w:link w:val="90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229">
    <w:name w:val="正文(首行缩进)"/>
    <w:next w:val="1229"/>
    <w:link w:val="900"/>
    <w:pPr>
      <w:ind w:firstLine="420"/>
      <w:jc w:val="both"/>
      <w:spacing w:line="360" w:lineRule="auto"/>
    </w:pPr>
    <w:rPr>
      <w:rFonts w:ascii="宋体" w:hAnsi="宋体"/>
      <w:sz w:val="24"/>
      <w:szCs w:val="24"/>
      <w:lang w:val="en-US" w:eastAsia="zh-CN" w:bidi="ar-SA"/>
    </w:rPr>
  </w:style>
  <w:style w:type="paragraph" w:styleId="1230">
    <w:name w:val="+1."/>
    <w:basedOn w:val="1156"/>
    <w:next w:val="1230"/>
    <w:link w:val="900"/>
    <w:pPr>
      <w:ind w:left="198" w:firstLine="0"/>
      <w:tabs>
        <w:tab w:val="left" w:pos="624" w:leader="none"/>
      </w:tabs>
    </w:pPr>
    <w:rPr>
      <w:rFonts w:ascii="Calibri" w:hAnsi="Calibri" w:eastAsia="宋体" w:cs="Times New Roman"/>
    </w:rPr>
  </w:style>
  <w:style w:type="paragraph" w:styleId="1231">
    <w:name w:val="xl30"/>
    <w:basedOn w:val="900"/>
    <w:next w:val="1231"/>
    <w:link w:val="90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232">
    <w:name w:val="公司名称"/>
    <w:basedOn w:val="900"/>
    <w:next w:val="1232"/>
    <w:link w:val="900"/>
    <w:pPr>
      <w:jc w:val="center"/>
      <w:spacing w:line="360" w:lineRule="auto"/>
      <w:tabs>
        <w:tab w:val="left" w:pos="540" w:leader="none"/>
      </w:tabs>
    </w:pPr>
    <w:rPr>
      <w:rFonts w:ascii="Times New Roman" w:hAnsi="Times New Roman" w:eastAsia="黑体" w:cs="Times New Roman"/>
      <w:b/>
      <w:sz w:val="32"/>
      <w:szCs w:val="48"/>
    </w:rPr>
  </w:style>
  <w:style w:type="paragraph" w:styleId="1233">
    <w:name w:val="样式 标题 3h3H3sect1.2.3l3CT第二层条3rd level31.1.1BOD 0h31h..."/>
    <w:basedOn w:val="903"/>
    <w:next w:val="1233"/>
    <w:link w:val="900"/>
    <w:pPr>
      <w:spacing w:before="120" w:after="80" w:line="360" w:lineRule="auto"/>
    </w:pPr>
    <w:rPr>
      <w:rFonts w:ascii="Arial" w:hAnsi="Arial" w:eastAsia="黑体" w:cs="Times New Roman"/>
      <w:b w:val="0"/>
      <w:bCs w:val="0"/>
      <w:sz w:val="30"/>
      <w:szCs w:val="20"/>
    </w:rPr>
  </w:style>
  <w:style w:type="paragraph" w:styleId="1234">
    <w:name w:val="标书正文"/>
    <w:basedOn w:val="936"/>
    <w:next w:val="1234"/>
    <w:link w:val="900"/>
    <w:pPr>
      <w:ind w:firstLine="200"/>
      <w:jc w:val="both"/>
      <w:spacing w:before="156" w:after="156" w:line="400" w:lineRule="exact"/>
      <w:widowControl/>
    </w:pPr>
    <w:rPr>
      <w:rFonts w:ascii="黑体" w:hAnsi="Times New Roman" w:eastAsia="宋体" w:cs="Times New Roman"/>
      <w:position w:val="0"/>
      <w:sz w:val="24"/>
    </w:rPr>
  </w:style>
  <w:style w:type="paragraph" w:styleId="1235">
    <w:name w:val="xl75"/>
    <w:basedOn w:val="900"/>
    <w:next w:val="1235"/>
    <w:link w:val="90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36">
    <w:name w:val="列表内容"/>
    <w:basedOn w:val="900"/>
    <w:next w:val="900"/>
    <w:link w:val="900"/>
    <w:pPr>
      <w:ind w:firstLine="200"/>
      <w:jc w:val="left"/>
      <w:widowControl/>
      <w:tabs>
        <w:tab w:val="left" w:pos="840" w:leader="none"/>
      </w:tabs>
    </w:pPr>
    <w:rPr>
      <w:rFonts w:ascii="Calibri" w:hAnsi="Calibri" w:eastAsia="宋体" w:cs="Times New Roman"/>
      <w:sz w:val="18"/>
    </w:rPr>
  </w:style>
  <w:style w:type="paragraph" w:styleId="1237">
    <w:name w:val="样式 段落缩进2 小四 + 段前: 15.6 磅"/>
    <w:basedOn w:val="1132"/>
    <w:next w:val="1237"/>
    <w:link w:val="900"/>
    <w:pPr>
      <w:spacing w:before="312"/>
      <w:tabs>
        <w:tab w:val="left" w:pos="1800" w:leader="none"/>
      </w:tabs>
    </w:pPr>
    <w:rPr>
      <w:rFonts w:ascii="Times New Roman" w:hAnsi="Times New Roman" w:eastAsia="宋体" w:cs="Times New Roman"/>
      <w:szCs w:val="20"/>
    </w:rPr>
  </w:style>
  <w:style w:type="paragraph" w:styleId="1238">
    <w:name w:val="EHPT"/>
    <w:basedOn w:val="900"/>
    <w:next w:val="936"/>
    <w:link w:val="900"/>
    <w:pPr>
      <w:ind w:right="-694"/>
    </w:pPr>
    <w:rPr>
      <w:rFonts w:ascii="Times New Roman" w:hAnsi="Times New Roman" w:eastAsia="宋体" w:cs="Times New Roman"/>
      <w:sz w:val="24"/>
      <w:szCs w:val="20"/>
    </w:rPr>
  </w:style>
  <w:style w:type="paragraph" w:styleId="1239">
    <w:name w:val="普文W"/>
    <w:basedOn w:val="943"/>
    <w:next w:val="1239"/>
    <w:link w:val="900"/>
    <w:pPr>
      <w:spacing w:before="120" w:after="120" w:line="360" w:lineRule="auto"/>
    </w:pPr>
    <w:rPr>
      <w:rFonts w:ascii="Times New Roman" w:hAnsi="Times New Roman" w:eastAsia="宋体" w:cs="Times New Roman"/>
      <w:sz w:val="24"/>
    </w:rPr>
  </w:style>
  <w:style w:type="paragraph" w:styleId="1240">
    <w:name w:val="Char Char1 Char Char Char Char Char Char Char"/>
    <w:basedOn w:val="900"/>
    <w:next w:val="1240"/>
    <w:link w:val="900"/>
    <w:rPr>
      <w:rFonts w:ascii="Tahoma" w:hAnsi="Tahoma" w:eastAsia="宋体" w:cs="Times New Roman"/>
      <w:sz w:val="24"/>
      <w:szCs w:val="20"/>
    </w:rPr>
  </w:style>
  <w:style w:type="paragraph" w:styleId="1241">
    <w:name w:val="默认段落字体 Para Char Char Char Char Char Char Char"/>
    <w:basedOn w:val="900"/>
    <w:next w:val="1241"/>
    <w:link w:val="900"/>
    <w:rPr>
      <w:rFonts w:ascii="Tahoma" w:hAnsi="Tahoma" w:eastAsia="宋体" w:cs="Times New Roman"/>
      <w:sz w:val="24"/>
      <w:szCs w:val="20"/>
    </w:rPr>
  </w:style>
  <w:style w:type="paragraph" w:styleId="1242">
    <w:name w:val="Char Char Char Char Char1 Char Char Char Char Char Char Char"/>
    <w:basedOn w:val="900"/>
    <w:next w:val="1242"/>
    <w:link w:val="900"/>
    <w:rPr>
      <w:rFonts w:ascii="Calibri" w:hAnsi="Calibri" w:eastAsia="宋体" w:cs="Times New Roman"/>
    </w:rPr>
  </w:style>
  <w:style w:type="paragraph" w:styleId="1243">
    <w:name w:val="样式 标题 3h33rd levelHeading 3 - oldH3l3CT3章标题1Level 3 Hea..."/>
    <w:basedOn w:val="903"/>
    <w:next w:val="1243"/>
    <w:link w:val="900"/>
    <w:pPr>
      <w:contextualSpacing/>
      <w:keepLines w:val="0"/>
      <w:keepNext w:val="0"/>
      <w:spacing w:before="120" w:after="120" w:line="288" w:lineRule="auto"/>
    </w:pPr>
    <w:rPr>
      <w:rFonts w:ascii="Arial" w:hAnsi="Arial" w:eastAsia="宋体" w:cs="宋体"/>
      <w:color w:val="000000"/>
      <w:sz w:val="24"/>
      <w:szCs w:val="20"/>
    </w:rPr>
  </w:style>
  <w:style w:type="paragraph" w:styleId="1244">
    <w:name w:val="xl47"/>
    <w:basedOn w:val="900"/>
    <w:next w:val="1244"/>
    <w:link w:val="900"/>
    <w:pPr>
      <w:jc w:val="left"/>
      <w:spacing w:before="100" w:beforeAutospacing="1" w:after="100" w:afterAutospacing="1"/>
      <w:widowControl/>
    </w:pPr>
    <w:rPr>
      <w:rFonts w:hint="eastAsia" w:ascii="仿宋_GB2312" w:hAnsi="宋体" w:eastAsia="仿宋_GB2312" w:cs="Times New Roman"/>
      <w:sz w:val="22"/>
      <w:szCs w:val="22"/>
    </w:rPr>
  </w:style>
  <w:style w:type="paragraph" w:styleId="1245">
    <w:name w:val="xl28"/>
    <w:basedOn w:val="900"/>
    <w:next w:val="1245"/>
    <w:link w:val="900"/>
    <w:pPr>
      <w:jc w:val="left"/>
      <w:spacing w:before="100" w:beforeAutospacing="1" w:after="100" w:afterAutospacing="1"/>
      <w:widowControl/>
    </w:pPr>
    <w:rPr>
      <w:rFonts w:ascii="Times New Roman" w:hAnsi="Times New Roman" w:eastAsia="宋体" w:cs="Times New Roman"/>
      <w:sz w:val="24"/>
    </w:rPr>
  </w:style>
  <w:style w:type="paragraph" w:styleId="1246">
    <w:name w:val="样式 正文文本缩进 2 + Times New Roman 首行缩进:  1.06 厘米 行距: 固定值 30 磅"/>
    <w:basedOn w:val="948"/>
    <w:next w:val="1246"/>
    <w:link w:val="900"/>
    <w:pPr>
      <w:ind w:firstLine="601"/>
      <w:spacing w:line="540" w:lineRule="exact"/>
    </w:pPr>
    <w:rPr>
      <w:rFonts w:ascii="Tahoma" w:hAnsi="Tahoma" w:eastAsia="宋体" w:cs="Times New Roman"/>
      <w:sz w:val="28"/>
      <w:szCs w:val="28"/>
    </w:rPr>
  </w:style>
  <w:style w:type="paragraph" w:styleId="1247">
    <w:name w:val="Body Text1"/>
    <w:basedOn w:val="900"/>
    <w:next w:val="964"/>
    <w:link w:val="900"/>
    <w:pPr>
      <w:ind w:firstLine="480"/>
      <w:spacing w:before="156" w:after="156" w:line="360" w:lineRule="auto"/>
    </w:pPr>
    <w:rPr>
      <w:rFonts w:ascii="Arial" w:hAnsi="Arial" w:eastAsia="宋体" w:cs="Times New Roman"/>
      <w:sz w:val="24"/>
      <w:szCs w:val="20"/>
    </w:rPr>
  </w:style>
  <w:style w:type="paragraph" w:styleId="1248">
    <w:name w:val="Char Char Char Char Char Char Char Char Char1 Char1"/>
    <w:basedOn w:val="929"/>
    <w:next w:val="1248"/>
    <w:link w:val="900"/>
    <w:pPr>
      <w:spacing w:line="360" w:lineRule="auto"/>
    </w:pPr>
    <w:rPr>
      <w:rFonts w:ascii="Tahoma" w:hAnsi="Tahoma" w:eastAsia="宋体" w:cs="Times New Roman"/>
      <w:sz w:val="24"/>
      <w:szCs w:val="24"/>
      <w:lang w:val="en-US" w:eastAsia="zh-CN"/>
    </w:rPr>
  </w:style>
  <w:style w:type="paragraph" w:styleId="1249">
    <w:name w:val="+(1)"/>
    <w:basedOn w:val="1156"/>
    <w:next w:val="1249"/>
    <w:link w:val="900"/>
    <w:pPr>
      <w:ind w:left="1140" w:firstLine="0"/>
      <w:tabs>
        <w:tab w:val="left" w:pos="1140" w:leader="none"/>
      </w:tabs>
    </w:pPr>
    <w:rPr>
      <w:rFonts w:ascii="Calibri" w:hAnsi="Calibri" w:eastAsia="宋体" w:cs="Times New Roman"/>
    </w:rPr>
  </w:style>
  <w:style w:type="paragraph" w:styleId="1250">
    <w:name w:val="默认段落字体 Para Char Char Char"/>
    <w:basedOn w:val="900"/>
    <w:next w:val="1250"/>
    <w:link w:val="900"/>
    <w:pPr>
      <w:ind w:firstLine="200"/>
      <w:spacing w:line="360" w:lineRule="auto"/>
    </w:pPr>
    <w:rPr>
      <w:rFonts w:ascii="Times New Roman" w:hAnsi="Times New Roman" w:eastAsia="宋体" w:cs="Times New Roman"/>
    </w:rPr>
  </w:style>
  <w:style w:type="paragraph" w:styleId="1251">
    <w:name w:val=" Char Char Char Char"/>
    <w:basedOn w:val="900"/>
    <w:next w:val="1251"/>
    <w:link w:val="900"/>
    <w:pPr>
      <w:jc w:val="left"/>
      <w:spacing w:after="160" w:line="240" w:lineRule="exact"/>
      <w:widowControl/>
    </w:pPr>
    <w:rPr>
      <w:rFonts w:ascii="Times New Roman" w:hAnsi="Times New Roman" w:eastAsia="宋体" w:cs="Times New Roman"/>
      <w:sz w:val="24"/>
      <w:szCs w:val="21"/>
    </w:rPr>
  </w:style>
  <w:style w:type="paragraph" w:styleId="1252">
    <w:name w:val="Char Char Char Char Char Char Char Char Char Char Char1 Char Char Char Char Char Char Char Char Char Char"/>
    <w:basedOn w:val="900"/>
    <w:next w:val="1252"/>
    <w:link w:val="900"/>
    <w:rPr>
      <w:rFonts w:ascii="Tahoma" w:hAnsi="Tahoma" w:eastAsia="宋体" w:cs="Times New Roman"/>
      <w:sz w:val="24"/>
      <w:szCs w:val="20"/>
    </w:rPr>
  </w:style>
  <w:style w:type="paragraph" w:styleId="1253">
    <w:name w:val="xl39"/>
    <w:basedOn w:val="900"/>
    <w:next w:val="1253"/>
    <w:link w:val="900"/>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54">
    <w:name w:val="正文_9"/>
    <w:next w:val="1254"/>
    <w:link w:val="900"/>
    <w:pPr>
      <w:jc w:val="both"/>
      <w:widowControl w:val="off"/>
    </w:pPr>
    <w:rPr>
      <w:sz w:val="21"/>
      <w:szCs w:val="24"/>
      <w:lang w:val="en-US" w:eastAsia="zh-CN" w:bidi="ar-SA"/>
    </w:rPr>
  </w:style>
  <w:style w:type="paragraph" w:styleId="1255">
    <w:name w:val="样式 仿宋_GB2312 四号 黑色 行距: 1.5 倍行距"/>
    <w:basedOn w:val="900"/>
    <w:next w:val="1255"/>
    <w:link w:val="900"/>
    <w:pPr>
      <w:ind w:firstLine="560"/>
      <w:spacing w:line="360" w:lineRule="auto"/>
    </w:pPr>
    <w:rPr>
      <w:rFonts w:ascii="仿宋_GB2312" w:hAnsi="宋体" w:eastAsia="仿宋_GB2312" w:cs="Times New Roman"/>
      <w:color w:val="000000"/>
      <w:sz w:val="24"/>
      <w:szCs w:val="20"/>
    </w:rPr>
  </w:style>
  <w:style w:type="paragraph" w:styleId="1256">
    <w:name w:val="正文文本缩进1"/>
    <w:basedOn w:val="900"/>
    <w:next w:val="1256"/>
    <w:link w:val="900"/>
    <w:pPr>
      <w:ind w:left="-360" w:firstLine="540"/>
      <w:jc w:val="left"/>
      <w:widowControl/>
    </w:pPr>
    <w:rPr>
      <w:rFonts w:ascii="宋体" w:hAnsi="宋体" w:eastAsia="宋体" w:cs="Times New Roman"/>
      <w:sz w:val="24"/>
    </w:rPr>
  </w:style>
  <w:style w:type="paragraph" w:styleId="1257">
    <w:name w:val="yehuda"/>
    <w:basedOn w:val="900"/>
    <w:next w:val="1257"/>
    <w:link w:val="900"/>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258">
    <w:name w:val="Char Char Char Char Char Char Char Char Char Char"/>
    <w:basedOn w:val="900"/>
    <w:next w:val="1258"/>
    <w:link w:val="900"/>
    <w:pPr>
      <w:ind w:left="495" w:hanging="495"/>
      <w:tabs>
        <w:tab w:val="left" w:pos="495" w:leader="none"/>
      </w:tabs>
    </w:pPr>
    <w:rPr>
      <w:rFonts w:ascii="Times New Roman" w:hAnsi="Times New Roman" w:eastAsia="宋体" w:cs="Times New Roman"/>
      <w:sz w:val="24"/>
    </w:rPr>
  </w:style>
  <w:style w:type="paragraph" w:styleId="1259">
    <w:name w:val="样式SZA"/>
    <w:basedOn w:val="936"/>
    <w:next w:val="1259"/>
    <w:link w:val="900"/>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paragraph" w:styleId="1260">
    <w:name w:val="纯文本3"/>
    <w:basedOn w:val="900"/>
    <w:next w:val="1260"/>
    <w:link w:val="900"/>
    <w:uiPriority w:val="99"/>
    <w:qFormat/>
    <w:rPr>
      <w:rFonts w:hint="eastAsia" w:ascii="宋体" w:hAnsi="Courier New" w:eastAsia="楷体_GB2312" w:cs="Times New Roman"/>
      <w:sz w:val="28"/>
      <w:szCs w:val="20"/>
    </w:rPr>
  </w:style>
  <w:style w:type="paragraph" w:styleId="1261">
    <w:name w:val="def正文"/>
    <w:basedOn w:val="936"/>
    <w:next w:val="1261"/>
    <w:link w:val="900"/>
    <w:pPr>
      <w:ind w:firstLine="562"/>
      <w:jc w:val="both"/>
      <w:spacing w:line="360" w:lineRule="auto"/>
      <w:widowControl/>
    </w:pPr>
    <w:rPr>
      <w:rFonts w:ascii="楷体_GB2312" w:hAnsi="Times New Roman" w:eastAsia="楷体_GB2312" w:cs="Times New Roman"/>
      <w:b/>
      <w:position w:val="0"/>
      <w:sz w:val="28"/>
      <w:szCs w:val="28"/>
    </w:rPr>
  </w:style>
  <w:style w:type="paragraph" w:styleId="1262">
    <w:name w:val="xl46"/>
    <w:basedOn w:val="900"/>
    <w:next w:val="1262"/>
    <w:link w:val="900"/>
    <w:pPr>
      <w:jc w:val="left"/>
      <w:spacing w:before="100" w:beforeAutospacing="1" w:after="100" w:afterAutospacing="1"/>
      <w:widowControl/>
    </w:pPr>
    <w:rPr>
      <w:rFonts w:hint="eastAsia" w:ascii="仿宋_GB2312" w:hAnsi="宋体" w:eastAsia="仿宋_GB2312" w:cs="Times New Roman"/>
      <w:sz w:val="24"/>
    </w:rPr>
  </w:style>
  <w:style w:type="paragraph" w:styleId="1263">
    <w:name w:val="xl50"/>
    <w:basedOn w:val="900"/>
    <w:next w:val="1263"/>
    <w:link w:val="90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264">
    <w:name w:val="xl32"/>
    <w:basedOn w:val="900"/>
    <w:next w:val="1264"/>
    <w:link w:val="900"/>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265">
    <w:name w:val="样式4"/>
    <w:basedOn w:val="900"/>
    <w:next w:val="1265"/>
    <w:link w:val="900"/>
    <w:pPr>
      <w:ind w:left="420" w:hanging="420"/>
      <w:spacing w:line="360" w:lineRule="auto"/>
      <w:tabs>
        <w:tab w:val="left" w:pos="420" w:leader="none"/>
      </w:tabs>
    </w:pPr>
    <w:rPr>
      <w:rFonts w:ascii="Times New Roman" w:hAnsi="Times New Roman" w:eastAsia="宋体" w:cs="Times New Roman"/>
      <w:sz w:val="24"/>
    </w:rPr>
  </w:style>
  <w:style w:type="paragraph" w:styleId="1266">
    <w:name w:val="标题 4宋体"/>
    <w:basedOn w:val="904"/>
    <w:next w:val="1266"/>
    <w:link w:val="900"/>
    <w:pPr>
      <w:jc w:val="left"/>
      <w:keepLines w:val="0"/>
      <w:spacing w:before="0" w:after="0" w:line="360" w:lineRule="auto"/>
    </w:pPr>
    <w:rPr>
      <w:rFonts w:ascii="宋体" w:hAnsi="宋体" w:eastAsia="宋体" w:cs="Times New Roman"/>
      <w:color w:val="000000"/>
      <w:sz w:val="24"/>
      <w:szCs w:val="20"/>
    </w:rPr>
  </w:style>
  <w:style w:type="paragraph" w:styleId="1267">
    <w:name w:val="font12"/>
    <w:basedOn w:val="900"/>
    <w:next w:val="1267"/>
    <w:link w:val="900"/>
    <w:pPr>
      <w:jc w:val="left"/>
      <w:spacing w:before="100" w:beforeAutospacing="1" w:after="100" w:afterAutospacing="1"/>
      <w:widowControl/>
    </w:pPr>
    <w:rPr>
      <w:rFonts w:ascii="宋体" w:hAnsi="宋体" w:eastAsia="宋体" w:cs="宋体"/>
      <w:sz w:val="18"/>
      <w:szCs w:val="18"/>
    </w:rPr>
  </w:style>
  <w:style w:type="paragraph" w:styleId="1268">
    <w:name w:val="Char"/>
    <w:basedOn w:val="900"/>
    <w:next w:val="1268"/>
    <w:link w:val="900"/>
    <w:pPr>
      <w:ind w:left="495" w:hanging="495"/>
      <w:tabs>
        <w:tab w:val="left" w:pos="495" w:leader="none"/>
      </w:tabs>
    </w:pPr>
    <w:rPr>
      <w:rFonts w:ascii="Times New Roman" w:hAnsi="Times New Roman" w:eastAsia="宋体" w:cs="Times New Roman"/>
    </w:rPr>
  </w:style>
  <w:style w:type="paragraph" w:styleId="1269">
    <w:name w:val="style25 style2 style26"/>
    <w:basedOn w:val="900"/>
    <w:next w:val="1269"/>
    <w:link w:val="900"/>
    <w:pPr>
      <w:jc w:val="left"/>
      <w:spacing w:before="100" w:beforeAutospacing="1" w:after="100" w:afterAutospacing="1"/>
      <w:widowControl/>
    </w:pPr>
    <w:rPr>
      <w:rFonts w:ascii="Arial Unicode MS" w:hAnsi="Arial Unicode MS" w:eastAsia="宋体" w:cs="Times New Roman"/>
      <w:sz w:val="24"/>
    </w:rPr>
  </w:style>
  <w:style w:type="paragraph" w:styleId="1270">
    <w:name w:val="样式 标题 4H4h4PIM 4第三层条bulletblbbheading 4 + Indent: Left 0..."/>
    <w:basedOn w:val="904"/>
    <w:next w:val="1127"/>
    <w:link w:val="900"/>
    <w:pPr>
      <w:ind w:left="360"/>
      <w:keepLines w:val="0"/>
      <w:keepNext w:val="0"/>
      <w:spacing w:before="468" w:after="312" w:line="360" w:lineRule="auto"/>
      <w:tabs>
        <w:tab w:val="left" w:pos="1800" w:leader="none"/>
      </w:tabs>
    </w:pPr>
    <w:rPr>
      <w:rFonts w:ascii="黑体" w:hAnsi="Times New Roman" w:eastAsia="黑体" w:cs="宋体"/>
      <w:szCs w:val="20"/>
    </w:rPr>
  </w:style>
  <w:style w:type="paragraph" w:styleId="1271">
    <w:name w:val="+标题4"/>
    <w:basedOn w:val="904"/>
    <w:next w:val="1271"/>
    <w:link w:val="900"/>
    <w:pPr>
      <w:spacing w:before="0" w:after="0" w:line="360" w:lineRule="auto"/>
      <w:tabs>
        <w:tab w:val="left" w:pos="0" w:leader="none"/>
      </w:tabs>
    </w:pPr>
    <w:rPr>
      <w:rFonts w:ascii="Times New Roman" w:hAnsi="Times New Roman" w:eastAsia="宋体" w:cs="Times New Roman"/>
      <w:sz w:val="24"/>
    </w:rPr>
  </w:style>
  <w:style w:type="paragraph" w:styleId="1272">
    <w:name w:val="xl44"/>
    <w:basedOn w:val="900"/>
    <w:next w:val="1272"/>
    <w:link w:val="900"/>
    <w:pPr>
      <w:jc w:val="left"/>
      <w:spacing w:before="100" w:beforeAutospacing="1" w:after="100" w:afterAutospacing="1"/>
      <w:widowControl/>
    </w:pPr>
    <w:rPr>
      <w:rFonts w:ascii="Times New Roman" w:hAnsi="Times New Roman" w:eastAsia="宋体" w:cs="Times New Roman"/>
      <w:sz w:val="24"/>
    </w:rPr>
  </w:style>
  <w:style w:type="paragraph" w:styleId="1273">
    <w:name w:val="xl67"/>
    <w:basedOn w:val="900"/>
    <w:next w:val="1273"/>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74">
    <w:name w:val="列出段落11"/>
    <w:basedOn w:val="900"/>
    <w:next w:val="1274"/>
    <w:link w:val="900"/>
    <w:pPr>
      <w:ind w:firstLine="420"/>
    </w:pPr>
    <w:rPr>
      <w:rFonts w:ascii="Calibri" w:hAnsi="Calibri" w:eastAsia="宋体" w:cs="Times New Roman"/>
      <w:szCs w:val="22"/>
    </w:rPr>
  </w:style>
  <w:style w:type="paragraph" w:styleId="1275">
    <w:name w:val="+标题1"/>
    <w:basedOn w:val="901"/>
    <w:next w:val="1275"/>
    <w:link w:val="900"/>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76">
    <w:name w:val="P3"/>
    <w:next w:val="1276"/>
    <w:link w:val="900"/>
    <w:pPr>
      <w:ind w:left="2880" w:hanging="576"/>
      <w:jc w:val="both"/>
      <w:spacing w:after="240" w:line="0" w:lineRule="atLeast"/>
      <w:widowControl w:val="off"/>
    </w:pPr>
    <w:rPr>
      <w:rFonts w:eastAsia="全真中明體"/>
      <w:spacing w:val="30"/>
      <w:sz w:val="24"/>
      <w:lang w:val="en-GB" w:eastAsia="zh-TW" w:bidi="ar-SA"/>
    </w:rPr>
  </w:style>
  <w:style w:type="paragraph" w:styleId="1277">
    <w:name w:val="_Style 50"/>
    <w:basedOn w:val="900"/>
    <w:next w:val="943"/>
    <w:link w:val="900"/>
    <w:pPr>
      <w:spacing w:line="360" w:lineRule="auto"/>
    </w:pPr>
    <w:rPr>
      <w:rFonts w:ascii="宋体" w:hAnsi="Courier New" w:eastAsia="宋体" w:cs="Times New Roman"/>
      <w:szCs w:val="20"/>
    </w:rPr>
  </w:style>
  <w:style w:type="paragraph" w:styleId="1278">
    <w:name w:val="样式 目录 4 +"/>
    <w:basedOn w:val="958"/>
    <w:next w:val="1278"/>
    <w:link w:val="900"/>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279">
    <w:name w:val="Char Char Char Char"/>
    <w:basedOn w:val="900"/>
    <w:next w:val="1279"/>
    <w:link w:val="900"/>
    <w:rPr>
      <w:rFonts w:ascii="Times New Roman" w:hAnsi="Times New Roman" w:eastAsia="宋体" w:cs="Times New Roman"/>
    </w:rPr>
  </w:style>
  <w:style w:type="paragraph" w:styleId="1280">
    <w:name w:val="样式 标题 5 + 加粗 左侧:  0 厘米 悬挂缩进: 10.08 字符 行距: 1.5 倍行距"/>
    <w:basedOn w:val="905"/>
    <w:next w:val="1280"/>
    <w:link w:val="900"/>
    <w:pPr>
      <w:ind w:left="1008" w:hanging="1008"/>
      <w:spacing w:before="120" w:after="120" w:line="360" w:lineRule="auto"/>
    </w:pPr>
    <w:rPr>
      <w:rFonts w:ascii="Arial" w:hAnsi="Arial" w:eastAsia="黑体" w:cs="Times New Roman"/>
      <w:b w:val="0"/>
      <w:bCs w:val="0"/>
      <w:sz w:val="24"/>
      <w:szCs w:val="20"/>
    </w:rPr>
  </w:style>
  <w:style w:type="paragraph" w:styleId="1281">
    <w:name w:val="摘要"/>
    <w:basedOn w:val="900"/>
    <w:next w:val="902"/>
    <w:link w:val="900"/>
    <w:pPr>
      <w:spacing w:line="360" w:lineRule="auto"/>
    </w:pPr>
    <w:rPr>
      <w:rFonts w:ascii="Times New Roman" w:hAnsi="Times New Roman" w:eastAsia="黑体" w:cs="Times New Roman"/>
      <w:sz w:val="24"/>
      <w:szCs w:val="20"/>
    </w:rPr>
  </w:style>
  <w:style w:type="paragraph" w:styleId="1282">
    <w:name w:val="Table Text"/>
    <w:basedOn w:val="900"/>
    <w:next w:val="1282"/>
    <w:link w:val="900"/>
    <w:semiHidden/>
    <w:qFormat/>
    <w:rPr>
      <w:rFonts w:ascii="微软雅黑" w:hAnsi="微软雅黑" w:eastAsia="微软雅黑" w:cs="微软雅黑"/>
      <w:sz w:val="20"/>
      <w:szCs w:val="20"/>
    </w:rPr>
  </w:style>
  <w:style w:type="paragraph" w:styleId="1283">
    <w:name w:val="xl73"/>
    <w:basedOn w:val="900"/>
    <w:next w:val="1283"/>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4">
    <w:name w:val="标题 11"/>
    <w:basedOn w:val="900"/>
    <w:next w:val="1284"/>
    <w:link w:val="900"/>
    <w:qFormat/>
    <w:pPr>
      <w:keepLines/>
      <w:keepNext/>
      <w:spacing w:before="340" w:after="330" w:line="576" w:lineRule="auto"/>
      <w:outlineLvl w:val="0"/>
    </w:pPr>
    <w:rPr>
      <w:rFonts w:ascii="Times New Roman" w:hAnsi="Times New Roman" w:eastAsia="楷体_GB2312"/>
      <w:b/>
      <w:sz w:val="44"/>
      <w:szCs w:val="20"/>
    </w:rPr>
  </w:style>
  <w:style w:type="paragraph" w:styleId="1285">
    <w:name w:val="次小点说明"/>
    <w:basedOn w:val="900"/>
    <w:next w:val="1285"/>
    <w:link w:val="900"/>
    <w:pPr>
      <w:ind w:left="625" w:hanging="425"/>
      <w:spacing w:line="360" w:lineRule="auto"/>
      <w:tabs>
        <w:tab w:val="left" w:pos="425" w:leader="none"/>
      </w:tabs>
    </w:pPr>
    <w:rPr>
      <w:rFonts w:ascii="Times New Roman" w:hAnsi="Times New Roman" w:eastAsia="宋体" w:cs="Times New Roman"/>
    </w:rPr>
  </w:style>
  <w:style w:type="paragraph" w:styleId="1286">
    <w:name w:val="华宇段落1 Char"/>
    <w:basedOn w:val="900"/>
    <w:next w:val="1286"/>
    <w:link w:val="900"/>
    <w:pPr>
      <w:ind w:firstLine="200"/>
      <w:spacing w:line="360" w:lineRule="auto"/>
    </w:pPr>
    <w:rPr>
      <w:rFonts w:ascii="Times New Roman" w:hAnsi="Times New Roman" w:eastAsia="宋体" w:cs="Times New Roman"/>
      <w:sz w:val="24"/>
      <w:szCs w:val="20"/>
    </w:rPr>
  </w:style>
  <w:style w:type="paragraph" w:styleId="1287">
    <w:name w:val="Alt+X_首行空2"/>
    <w:basedOn w:val="900"/>
    <w:next w:val="1287"/>
    <w:link w:val="900"/>
    <w:pPr>
      <w:ind w:firstLine="480"/>
      <w:spacing w:line="360" w:lineRule="auto"/>
    </w:pPr>
    <w:rPr>
      <w:rFonts w:ascii="Times New Roman" w:hAnsi="Times New Roman" w:eastAsia="宋体" w:cs="宋体"/>
      <w:sz w:val="24"/>
    </w:rPr>
  </w:style>
  <w:style w:type="paragraph" w:styleId="1288">
    <w:name w:val="xl35"/>
    <w:basedOn w:val="900"/>
    <w:next w:val="1288"/>
    <w:link w:val="90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289">
    <w:name w:val="Plain Text2"/>
    <w:basedOn w:val="900"/>
    <w:next w:val="1289"/>
    <w:link w:val="900"/>
    <w:rPr>
      <w:rFonts w:ascii="宋体" w:hAnsi="Courier New" w:eastAsia="楷体_GB2312" w:cs="Times New Roman"/>
      <w:sz w:val="28"/>
      <w:szCs w:val="20"/>
    </w:rPr>
  </w:style>
  <w:style w:type="paragraph" w:styleId="1290">
    <w:name w:val="+列表2"/>
    <w:basedOn w:val="900"/>
    <w:next w:val="1290"/>
    <w:link w:val="900"/>
    <w:pPr>
      <w:jc w:val="center"/>
    </w:pPr>
    <w:rPr>
      <w:rFonts w:ascii="Calibri" w:hAnsi="Calibri" w:eastAsia="宋体" w:cs="Times New Roman"/>
      <w:sz w:val="18"/>
      <w:szCs w:val="21"/>
    </w:rPr>
  </w:style>
  <w:style w:type="paragraph" w:styleId="1291">
    <w:name w:val="+标题3"/>
    <w:basedOn w:val="903"/>
    <w:next w:val="1291"/>
    <w:link w:val="900"/>
    <w:pPr>
      <w:spacing w:before="0" w:after="0" w:line="360" w:lineRule="auto"/>
    </w:pPr>
    <w:rPr>
      <w:rFonts w:ascii="Calibri" w:hAnsi="宋体" w:eastAsia="宋体" w:cs="Times New Roman"/>
      <w:b w:val="0"/>
      <w:bCs w:val="0"/>
      <w:sz w:val="28"/>
      <w:szCs w:val="28"/>
    </w:rPr>
  </w:style>
  <w:style w:type="paragraph" w:styleId="1292">
    <w:name w:val="样式6"/>
    <w:basedOn w:val="903"/>
    <w:next w:val="1292"/>
    <w:link w:val="900"/>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293">
    <w:name w:val="表格"/>
    <w:basedOn w:val="900"/>
    <w:next w:val="1293"/>
    <w:link w:val="900"/>
    <w:rPr>
      <w:rFonts w:ascii="Arial" w:hAnsi="Arial" w:eastAsia="宋体" w:cs="Times New Roman"/>
      <w:sz w:val="24"/>
      <w:szCs w:val="20"/>
    </w:rPr>
  </w:style>
  <w:style w:type="paragraph" w:styleId="1294">
    <w:name w:val="TOC 标题"/>
    <w:basedOn w:val="901"/>
    <w:next w:val="900"/>
    <w:link w:val="900"/>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295">
    <w:name w:val="样式 标题 2H2sect 1.2H21sect 1.21H22sect 1.22H211sect 1.211..."/>
    <w:basedOn w:val="902"/>
    <w:next w:val="900"/>
    <w:link w:val="900"/>
    <w:pPr>
      <w:spacing w:line="415" w:lineRule="auto"/>
      <w:tabs>
        <w:tab w:val="left" w:pos="1800" w:leader="none"/>
      </w:tabs>
    </w:pPr>
    <w:rPr>
      <w:rFonts w:ascii="宋体" w:hAnsi="宋体" w:eastAsia="宋体" w:cs="Times New Roman"/>
    </w:rPr>
  </w:style>
  <w:style w:type="paragraph" w:styleId="1296">
    <w:name w:val="缩进正文"/>
    <w:basedOn w:val="900"/>
    <w:next w:val="1296"/>
    <w:link w:val="900"/>
    <w:pPr>
      <w:jc w:val="left"/>
      <w:spacing w:line="360" w:lineRule="auto"/>
      <w:widowControl/>
    </w:pPr>
    <w:rPr>
      <w:rFonts w:ascii="宋体" w:hAnsi="Times New Roman" w:eastAsia="宋体" w:cs="Times New Roman"/>
      <w:sz w:val="24"/>
      <w:szCs w:val="20"/>
      <w:lang w:val="en-US" w:eastAsia="zh-CN"/>
    </w:rPr>
  </w:style>
  <w:style w:type="paragraph" w:styleId="1297">
    <w:name w:val="xl66"/>
    <w:basedOn w:val="900"/>
    <w:next w:val="1297"/>
    <w:link w:val="9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98">
    <w:name w:val="xl68"/>
    <w:basedOn w:val="900"/>
    <w:next w:val="1298"/>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99">
    <w:name w:val="样式 仿宋_GB2312 小三"/>
    <w:basedOn w:val="900"/>
    <w:next w:val="1299"/>
    <w:link w:val="900"/>
    <w:pPr>
      <w:ind w:firstLine="600"/>
    </w:pPr>
    <w:rPr>
      <w:rFonts w:ascii="仿宋_GB2312" w:hAnsi="Times New Roman" w:eastAsia="仿宋_GB2312" w:cs="Times New Roman"/>
      <w:sz w:val="24"/>
      <w:szCs w:val="20"/>
    </w:rPr>
  </w:style>
  <w:style w:type="paragraph" w:styleId="1300">
    <w:name w:val="word2"/>
    <w:basedOn w:val="900"/>
    <w:next w:val="1300"/>
    <w:link w:val="900"/>
    <w:pPr>
      <w:jc w:val="left"/>
      <w:spacing w:before="100" w:beforeAutospacing="1" w:after="100" w:afterAutospacing="1" w:line="348" w:lineRule="atLeast"/>
      <w:widowControl/>
    </w:pPr>
    <w:rPr>
      <w:rFonts w:ascii="宋体" w:hAnsi="宋体" w:eastAsia="宋体" w:cs="Times New Roman"/>
      <w:szCs w:val="20"/>
    </w:rPr>
  </w:style>
  <w:style w:type="paragraph" w:styleId="1301">
    <w:name w:val="标准"/>
    <w:basedOn w:val="900"/>
    <w:next w:val="1301"/>
    <w:link w:val="900"/>
    <w:pPr>
      <w:spacing w:line="300" w:lineRule="exact"/>
    </w:pPr>
    <w:rPr>
      <w:rFonts w:ascii="Footlight MT Light" w:hAnsi="Footlight MT Light" w:eastAsia="宋体" w:cs="Times New Roman"/>
      <w:b/>
      <w:sz w:val="28"/>
      <w:szCs w:val="20"/>
    </w:rPr>
  </w:style>
  <w:style w:type="paragraph" w:styleId="1302">
    <w:name w:val="xl33"/>
    <w:basedOn w:val="900"/>
    <w:next w:val="1302"/>
    <w:link w:val="900"/>
    <w:pPr>
      <w:jc w:val="center"/>
      <w:spacing w:before="100" w:beforeAutospacing="1" w:after="100" w:afterAutospacing="1"/>
      <w:widowControl/>
    </w:pPr>
    <w:rPr>
      <w:rFonts w:ascii="Times New Roman" w:hAnsi="Times New Roman" w:eastAsia="宋体" w:cs="Times New Roman"/>
      <w:sz w:val="24"/>
    </w:rPr>
  </w:style>
  <w:style w:type="paragraph" w:styleId="1303">
    <w:name w:val="xl38"/>
    <w:basedOn w:val="900"/>
    <w:next w:val="1303"/>
    <w:link w:val="900"/>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04">
    <w:name w:val="xl72"/>
    <w:basedOn w:val="900"/>
    <w:next w:val="1304"/>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05">
    <w:name w:val="+正文 Char Char5 Char"/>
    <w:basedOn w:val="900"/>
    <w:next w:val="1305"/>
    <w:link w:val="900"/>
    <w:pPr>
      <w:ind w:firstLine="200"/>
      <w:spacing w:line="360" w:lineRule="auto"/>
    </w:pPr>
    <w:rPr>
      <w:rFonts w:ascii="Calibri" w:hAnsi="Calibri" w:eastAsia="宋体" w:cs="Times New Roman"/>
      <w:sz w:val="24"/>
      <w:szCs w:val="20"/>
    </w:rPr>
  </w:style>
  <w:style w:type="paragraph" w:styleId="1306">
    <w:name w:val="打对勾的标号1"/>
    <w:basedOn w:val="900"/>
    <w:next w:val="1306"/>
    <w:link w:val="900"/>
    <w:pPr>
      <w:tabs>
        <w:tab w:val="left" w:pos="540" w:leader="none"/>
      </w:tabs>
    </w:pPr>
    <w:rPr>
      <w:rFonts w:ascii="宋体" w:hAnsi="Calibri" w:eastAsia="宋体" w:cs="Times New Roman"/>
      <w:color w:val="000000"/>
      <w:sz w:val="28"/>
      <w:szCs w:val="20"/>
      <w:lang w:val="en-GB"/>
    </w:rPr>
  </w:style>
  <w:style w:type="paragraph" w:styleId="1307">
    <w:name w:val="xl52"/>
    <w:basedOn w:val="900"/>
    <w:next w:val="1307"/>
    <w:link w:val="90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308">
    <w:name w:val="_Style 14"/>
    <w:basedOn w:val="900"/>
    <w:next w:val="1308"/>
    <w:link w:val="900"/>
    <w:rPr>
      <w:rFonts w:ascii="Times New Roman" w:hAnsi="Times New Roman" w:eastAsia="宋体" w:cs="Times New Roman"/>
      <w:szCs w:val="20"/>
    </w:rPr>
  </w:style>
  <w:style w:type="paragraph" w:styleId="1309">
    <w:name w:val="font9"/>
    <w:basedOn w:val="900"/>
    <w:next w:val="1309"/>
    <w:link w:val="900"/>
    <w:pPr>
      <w:jc w:val="left"/>
      <w:spacing w:before="100" w:beforeAutospacing="1" w:after="100" w:afterAutospacing="1"/>
      <w:widowControl/>
    </w:pPr>
    <w:rPr>
      <w:rFonts w:ascii="宋体" w:hAnsi="宋体" w:eastAsia="宋体" w:cs="宋体"/>
      <w:color w:val="000000"/>
      <w:sz w:val="18"/>
      <w:szCs w:val="18"/>
    </w:rPr>
  </w:style>
  <w:style w:type="paragraph" w:styleId="1310">
    <w:name w:val="style1style2"/>
    <w:basedOn w:val="900"/>
    <w:next w:val="1310"/>
    <w:link w:val="900"/>
    <w:pPr>
      <w:jc w:val="left"/>
      <w:spacing w:before="100" w:beforeAutospacing="1" w:after="100" w:afterAutospacing="1"/>
      <w:widowControl/>
    </w:pPr>
    <w:rPr>
      <w:rFonts w:ascii="宋体" w:hAnsi="宋体" w:eastAsia="宋体" w:cs="宋体"/>
      <w:sz w:val="24"/>
    </w:rPr>
  </w:style>
  <w:style w:type="paragraph" w:styleId="1311">
    <w:name w:val="_Style 104"/>
    <w:basedOn w:val="900"/>
    <w:next w:val="1311"/>
    <w:link w:val="900"/>
    <w:pPr>
      <w:spacing w:after="160" w:line="240" w:lineRule="exact"/>
    </w:pPr>
    <w:rPr>
      <w:rFonts w:ascii="Times New Roman" w:hAnsi="Times New Roman" w:eastAsia="宋体" w:cs="Times New Roman"/>
      <w:szCs w:val="20"/>
    </w:rPr>
  </w:style>
  <w:style w:type="paragraph" w:styleId="1312">
    <w:name w:val="xl34"/>
    <w:basedOn w:val="900"/>
    <w:next w:val="1312"/>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3">
    <w:name w:val="font7"/>
    <w:basedOn w:val="900"/>
    <w:next w:val="1313"/>
    <w:link w:val="900"/>
    <w:pPr>
      <w:jc w:val="left"/>
      <w:spacing w:before="100" w:beforeAutospacing="1" w:after="100" w:afterAutospacing="1"/>
      <w:widowControl/>
    </w:pPr>
    <w:rPr>
      <w:rFonts w:ascii="Times New Roman" w:hAnsi="Times New Roman" w:eastAsia="宋体" w:cs="Times New Roman"/>
      <w:sz w:val="24"/>
    </w:rPr>
  </w:style>
  <w:style w:type="paragraph" w:styleId="1314">
    <w:name w:val="xl51"/>
    <w:basedOn w:val="900"/>
    <w:next w:val="1314"/>
    <w:link w:val="900"/>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15">
    <w:name w:val="页眉文档编号"/>
    <w:next w:val="1315"/>
    <w:link w:val="900"/>
    <w:pPr>
      <w:jc w:val="center"/>
    </w:pPr>
    <w:rPr>
      <w:sz w:val="21"/>
      <w:lang w:val="en-US" w:eastAsia="zh-CN" w:bidi="ar-SA"/>
    </w:rPr>
  </w:style>
  <w:style w:type="paragraph" w:styleId="1316">
    <w:name w:val="样式 标题 2H2 + 宋体 小三"/>
    <w:basedOn w:val="902"/>
    <w:next w:val="1316"/>
    <w:link w:val="900"/>
    <w:pPr>
      <w:jc w:val="center"/>
      <w:spacing w:before="156" w:after="20" w:line="360" w:lineRule="auto"/>
    </w:pPr>
    <w:rPr>
      <w:rFonts w:ascii="宋体" w:hAnsi="宋体" w:eastAsia="幼圆" w:cs="Times New Roman"/>
      <w:bCs w:val="0"/>
      <w:sz w:val="52"/>
      <w:szCs w:val="20"/>
    </w:rPr>
  </w:style>
  <w:style w:type="paragraph" w:styleId="1317">
    <w:name w:val="6"/>
    <w:basedOn w:val="900"/>
    <w:next w:val="936"/>
    <w:link w:val="900"/>
    <w:pPr>
      <w:spacing w:after="120"/>
    </w:pPr>
    <w:rPr>
      <w:rFonts w:ascii="Times New Roman" w:hAnsi="Times New Roman" w:eastAsia="宋体" w:cs="Times New Roman"/>
    </w:rPr>
  </w:style>
  <w:style w:type="paragraph" w:styleId="1318">
    <w:name w:val="正文(标书)"/>
    <w:basedOn w:val="920"/>
    <w:next w:val="1318"/>
    <w:link w:val="900"/>
    <w:pPr>
      <w:ind w:firstLine="510"/>
      <w:spacing w:before="40" w:line="360" w:lineRule="auto"/>
    </w:pPr>
    <w:rPr>
      <w:rFonts w:ascii="宋体" w:hAnsi="Times New Roman" w:eastAsia="宋体" w:cs="Times New Roman"/>
    </w:rPr>
  </w:style>
  <w:style w:type="paragraph" w:styleId="1319">
    <w:name w:val="Char2"/>
    <w:basedOn w:val="900"/>
    <w:next w:val="1319"/>
    <w:link w:val="900"/>
    <w:rPr>
      <w:rFonts w:ascii="Tahoma" w:hAnsi="Tahoma" w:eastAsia="宋体" w:cs="Times New Roman"/>
      <w:sz w:val="24"/>
      <w:szCs w:val="20"/>
    </w:rPr>
  </w:style>
  <w:style w:type="paragraph" w:styleId="1320">
    <w:name w:val="项目编号A"/>
    <w:basedOn w:val="900"/>
    <w:next w:val="1320"/>
    <w:link w:val="900"/>
    <w:pPr>
      <w:ind w:left="959" w:hanging="420"/>
      <w:spacing w:line="360" w:lineRule="auto"/>
      <w:tabs>
        <w:tab w:val="left" w:pos="959" w:leader="none"/>
      </w:tabs>
    </w:pPr>
    <w:rPr>
      <w:rFonts w:ascii="Arial" w:hAnsi="Arial" w:eastAsia="宋体" w:cs="Times New Roman"/>
      <w:sz w:val="24"/>
      <w:szCs w:val="20"/>
    </w:rPr>
  </w:style>
  <w:style w:type="paragraph" w:styleId="1321">
    <w:name w:val="Char Char1 Char Char Char Char Char Char Char Char Char Char Char Char Char Char Char"/>
    <w:basedOn w:val="900"/>
    <w:next w:val="1321"/>
    <w:link w:val="900"/>
    <w:pPr>
      <w:jc w:val="left"/>
      <w:spacing w:after="160" w:line="240" w:lineRule="exact"/>
      <w:widowControl/>
    </w:pPr>
    <w:rPr>
      <w:rFonts w:ascii="Verdana" w:hAnsi="Verdana" w:eastAsia="宋体" w:cs="Times New Roman"/>
      <w:sz w:val="20"/>
      <w:szCs w:val="20"/>
      <w:lang w:eastAsia="en-US"/>
    </w:rPr>
  </w:style>
  <w:style w:type="paragraph" w:styleId="1322">
    <w:name w:val="+正文 Char Char5"/>
    <w:basedOn w:val="900"/>
    <w:next w:val="1322"/>
    <w:link w:val="900"/>
    <w:pPr>
      <w:ind w:firstLine="200"/>
    </w:pPr>
    <w:rPr>
      <w:rFonts w:ascii="Calibri" w:hAnsi="Calibri" w:eastAsia="宋体" w:cs="Times New Roman"/>
      <w:sz w:val="24"/>
    </w:rPr>
  </w:style>
  <w:style w:type="paragraph" w:styleId="1323">
    <w:name w:val="样式 样式 样式 标题 3sect1.2.3h3H3l3CTl3+toc 3heading 3Sub-section Tit....."/>
    <w:basedOn w:val="1324"/>
    <w:next w:val="1323"/>
    <w:link w:val="900"/>
    <w:pPr>
      <w:spacing w:before="468" w:after="312"/>
      <w:tabs>
        <w:tab w:val="left" w:pos="1800" w:leader="none"/>
      </w:tabs>
    </w:pPr>
    <w:rPr>
      <w:rFonts w:ascii="Times New Roman" w:hAnsi="Times New Roman" w:eastAsia="宋体" w:cs="Times New Roman"/>
    </w:rPr>
  </w:style>
  <w:style w:type="paragraph" w:styleId="1324">
    <w:name w:val="样式 样式 标题 3sect1.2.3h3H3l3CTl3+toc 3heading 3Sub-section Tit... +..."/>
    <w:basedOn w:val="900"/>
    <w:next w:val="1324"/>
    <w:link w:val="900"/>
    <w:pPr>
      <w:spacing w:before="468" w:after="312" w:line="412" w:lineRule="auto"/>
      <w:tabs>
        <w:tab w:val="left" w:pos="1800" w:leader="none"/>
      </w:tabs>
      <w:outlineLvl w:val="2"/>
    </w:pPr>
    <w:rPr>
      <w:rFonts w:ascii="Times New Roman" w:hAnsi="Times New Roman" w:eastAsia="黑体" w:cs="宋体"/>
      <w:b/>
      <w:bCs/>
      <w:sz w:val="30"/>
      <w:szCs w:val="20"/>
    </w:rPr>
  </w:style>
  <w:style w:type="paragraph" w:styleId="1325">
    <w:name w:val="接續本文"/>
    <w:basedOn w:val="936"/>
    <w:next w:val="1325"/>
    <w:link w:val="900"/>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326">
    <w:name w:val="xl79"/>
    <w:basedOn w:val="900"/>
    <w:next w:val="1326"/>
    <w:link w:val="900"/>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27">
    <w:name w:val="a0"/>
    <w:basedOn w:val="900"/>
    <w:next w:val="1327"/>
    <w:link w:val="900"/>
    <w:pPr>
      <w:jc w:val="left"/>
      <w:spacing w:before="100" w:beforeAutospacing="1" w:after="100" w:afterAutospacing="1"/>
      <w:widowControl/>
    </w:pPr>
    <w:rPr>
      <w:rFonts w:ascii="宋体" w:hAnsi="宋体" w:eastAsia="宋体" w:cs="宋体"/>
      <w:sz w:val="24"/>
    </w:rPr>
  </w:style>
  <w:style w:type="paragraph" w:styleId="1328">
    <w:name w:val="xl55"/>
    <w:basedOn w:val="900"/>
    <w:next w:val="1328"/>
    <w:link w:val="900"/>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329">
    <w:name w:val="样式 仿宋_GB2312 四号 黑色 行距: 1.5 倍行距1"/>
    <w:basedOn w:val="900"/>
    <w:next w:val="1329"/>
    <w:link w:val="900"/>
    <w:pPr>
      <w:spacing w:line="360" w:lineRule="auto"/>
    </w:pPr>
    <w:rPr>
      <w:rFonts w:ascii="仿宋_GB2312" w:hAnsi="宋体" w:eastAsia="仿宋_GB2312" w:cs="Times New Roman"/>
      <w:color w:val="000000"/>
      <w:sz w:val="24"/>
      <w:szCs w:val="20"/>
    </w:rPr>
  </w:style>
  <w:style w:type="paragraph" w:styleId="1330">
    <w:name w:val="列项——（一级）"/>
    <w:next w:val="1330"/>
    <w:link w:val="900"/>
    <w:pPr>
      <w:ind w:left="420" w:hanging="420"/>
      <w:jc w:val="both"/>
      <w:widowControl w:val="off"/>
      <w:tabs>
        <w:tab w:val="left" w:pos="420" w:leader="none"/>
        <w:tab w:val="left" w:pos="900" w:leader="none"/>
      </w:tabs>
    </w:pPr>
    <w:rPr>
      <w:rFonts w:ascii="宋体"/>
      <w:sz w:val="21"/>
      <w:lang w:val="en-US" w:eastAsia="zh-CN" w:bidi="ar-SA"/>
    </w:rPr>
  </w:style>
  <w:style w:type="paragraph" w:styleId="1331">
    <w:name w:val="图表"/>
    <w:basedOn w:val="900"/>
    <w:next w:val="1332"/>
    <w:link w:val="900"/>
    <w:pPr>
      <w:ind w:left="-420" w:right="-1349"/>
      <w:jc w:val="center"/>
      <w:spacing w:before="120" w:line="240" w:lineRule="atLeast"/>
    </w:pPr>
    <w:rPr>
      <w:rFonts w:ascii="宋体" w:hAnsi="Arial" w:eastAsia="宋体" w:cs="Times New Roman"/>
      <w:sz w:val="28"/>
      <w:szCs w:val="20"/>
      <w:lang w:val="en-US" w:eastAsia="zh-CN"/>
    </w:rPr>
  </w:style>
  <w:style w:type="paragraph" w:styleId="1332">
    <w:name w:val="图表说明"/>
    <w:basedOn w:val="900"/>
    <w:next w:val="900"/>
    <w:link w:val="900"/>
    <w:pPr>
      <w:ind w:left="-420" w:right="-1349"/>
      <w:jc w:val="center"/>
      <w:spacing w:after="120" w:line="240" w:lineRule="atLeast"/>
    </w:pPr>
    <w:rPr>
      <w:rFonts w:ascii="Arial" w:hAnsi="Arial" w:eastAsia="楷体_GB2312" w:cs="Times New Roman"/>
      <w:sz w:val="24"/>
      <w:szCs w:val="20"/>
    </w:rPr>
  </w:style>
  <w:style w:type="paragraph" w:styleId="1333">
    <w:name w:val="+正文 Char6"/>
    <w:basedOn w:val="900"/>
    <w:next w:val="1333"/>
    <w:link w:val="900"/>
    <w:pPr>
      <w:ind w:firstLine="200"/>
      <w:spacing w:line="360" w:lineRule="auto"/>
    </w:pPr>
    <w:rPr>
      <w:rFonts w:ascii="Calibri" w:hAnsi="Calibri" w:eastAsia="宋体" w:cs="Times New Roman"/>
      <w:sz w:val="24"/>
    </w:rPr>
  </w:style>
  <w:style w:type="paragraph" w:styleId="1334">
    <w:name w:val="tytytyty"/>
    <w:basedOn w:val="900"/>
    <w:next w:val="1334"/>
    <w:link w:val="900"/>
    <w:pPr>
      <w:ind w:left="359" w:firstLine="480"/>
      <w:spacing w:line="360" w:lineRule="auto"/>
    </w:pPr>
    <w:rPr>
      <w:rFonts w:ascii="Times New Roman" w:hAnsi="Times New Roman" w:eastAsia="宋体" w:cs="Times New Roman"/>
      <w:sz w:val="24"/>
      <w:lang w:eastAsia="ar-SA"/>
    </w:rPr>
  </w:style>
  <w:style w:type="paragraph" w:styleId="1335">
    <w:name w:val="xl53"/>
    <w:basedOn w:val="900"/>
    <w:next w:val="1335"/>
    <w:link w:val="900"/>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336">
    <w:name w:val="xl26"/>
    <w:basedOn w:val="900"/>
    <w:next w:val="1336"/>
    <w:link w:val="9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37">
    <w:name w:val="样式 样式 标题 4H4Ref Heading 1rh1Heading sqlsect 1.2.3.4h4PIM 4b... +..."/>
    <w:basedOn w:val="900"/>
    <w:next w:val="1337"/>
    <w:link w:val="900"/>
    <w:pPr>
      <w:keepNext/>
      <w:spacing w:before="360" w:after="240" w:line="300" w:lineRule="auto"/>
      <w:tabs>
        <w:tab w:val="left" w:pos="3085" w:leader="none"/>
      </w:tabs>
      <w:outlineLvl w:val="3"/>
    </w:pPr>
    <w:rPr>
      <w:rFonts w:ascii="宋体" w:hAnsi="宋体" w:eastAsia="宋体" w:cs="Times New Roman"/>
      <w:b/>
      <w:szCs w:val="20"/>
    </w:rPr>
  </w:style>
  <w:style w:type="paragraph" w:styleId="1338">
    <w:name w:val="样式 标题 4"/>
    <w:basedOn w:val="904"/>
    <w:next w:val="1338"/>
    <w:link w:val="900"/>
    <w:pPr>
      <w:spacing w:before="0" w:after="0" w:line="374" w:lineRule="auto"/>
    </w:pPr>
    <w:rPr>
      <w:rFonts w:ascii="宋体" w:hAnsi="宋体" w:eastAsia="宋体" w:cs="Times New Roman"/>
      <w:sz w:val="30"/>
      <w:szCs w:val="20"/>
    </w:rPr>
  </w:style>
  <w:style w:type="paragraph" w:styleId="1339">
    <w:name w:val="xl31"/>
    <w:basedOn w:val="900"/>
    <w:next w:val="1339"/>
    <w:link w:val="900"/>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340">
    <w:name w:val="样式 宋体 四号 行距: 固定值 25 磅1"/>
    <w:basedOn w:val="900"/>
    <w:next w:val="1340"/>
    <w:link w:val="900"/>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341">
    <w:name w:val="Ｃ"/>
    <w:basedOn w:val="900"/>
    <w:next w:val="1341"/>
    <w:link w:val="900"/>
    <w:pPr>
      <w:ind w:right="210"/>
      <w:jc w:val="center"/>
      <w:keepNext/>
      <w:spacing w:line="0" w:lineRule="atLeast"/>
      <w:widowControl/>
    </w:pPr>
    <w:rPr>
      <w:rFonts w:ascii="宋体" w:hAnsi="Times New Roman" w:eastAsia="宋体" w:cs="Times New Roman"/>
      <w:sz w:val="16"/>
      <w:szCs w:val="20"/>
    </w:rPr>
  </w:style>
  <w:style w:type="paragraph" w:styleId="1342">
    <w:name w:val="正文段"/>
    <w:basedOn w:val="900"/>
    <w:next w:val="1342"/>
    <w:link w:val="900"/>
    <w:pPr>
      <w:ind w:firstLine="454"/>
      <w:spacing w:after="240" w:line="360" w:lineRule="atLeast"/>
      <w:widowControl/>
    </w:pPr>
    <w:rPr>
      <w:rFonts w:ascii="宋体" w:hAnsi="Times New Roman" w:eastAsia="宋体" w:cs="Times New Roman"/>
      <w:sz w:val="24"/>
      <w:szCs w:val="20"/>
    </w:rPr>
  </w:style>
  <w:style w:type="paragraph" w:styleId="1343">
    <w:name w:val="样式 纯文本 + 仿宋_GB2312 黑色 行距: 1.5 倍行距1"/>
    <w:basedOn w:val="943"/>
    <w:next w:val="1343"/>
    <w:link w:val="900"/>
    <w:pPr>
      <w:ind w:firstLine="560"/>
      <w:spacing w:line="360" w:lineRule="auto"/>
    </w:pPr>
    <w:rPr>
      <w:rFonts w:ascii="仿宋_GB2312" w:hAnsi="宋体" w:eastAsia="仿宋_GB2312" w:cs="Times New Roman"/>
      <w:color w:val="000000"/>
      <w:sz w:val="24"/>
    </w:rPr>
  </w:style>
  <w:style w:type="paragraph" w:styleId="1344">
    <w:name w:val="大标题"/>
    <w:basedOn w:val="900"/>
    <w:next w:val="1344"/>
    <w:link w:val="900"/>
    <w:pPr>
      <w:jc w:val="center"/>
    </w:pPr>
    <w:rPr>
      <w:rFonts w:ascii="Times New Roman" w:hAnsi="Times New Roman" w:eastAsia="黑体" w:cs="宋体"/>
      <w:sz w:val="44"/>
      <w:szCs w:val="20"/>
    </w:rPr>
  </w:style>
  <w:style w:type="paragraph" w:styleId="1345">
    <w:name w:val="Char Char Char1 Char"/>
    <w:basedOn w:val="900"/>
    <w:next w:val="1345"/>
    <w:link w:val="900"/>
    <w:pPr>
      <w:jc w:val="left"/>
      <w:spacing w:before="93" w:after="93" w:line="240" w:lineRule="exact"/>
      <w:widowControl/>
    </w:pPr>
    <w:rPr>
      <w:rFonts w:ascii="Verdana" w:hAnsi="Verdana" w:eastAsia="宋体" w:cs="Times New Roman"/>
      <w:sz w:val="20"/>
      <w:szCs w:val="20"/>
      <w:lang w:eastAsia="en-US"/>
    </w:rPr>
  </w:style>
  <w:style w:type="paragraph" w:styleId="1346">
    <w:name w:val="FP-Title2"/>
    <w:next w:val="1346"/>
    <w:link w:val="900"/>
    <w:pPr>
      <w:spacing w:before="240" w:after="60"/>
    </w:pPr>
    <w:rPr>
      <w:rFonts w:ascii="Arial" w:hAnsi="Arial"/>
      <w:b/>
      <w:sz w:val="24"/>
      <w:lang w:val="en-GB" w:eastAsia="en-US" w:bidi="ar-SA"/>
    </w:rPr>
  </w:style>
  <w:style w:type="paragraph" w:styleId="1347">
    <w:name w:val="xl74"/>
    <w:basedOn w:val="900"/>
    <w:next w:val="1347"/>
    <w:link w:val="9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48">
    <w:name w:val="Blockquote"/>
    <w:basedOn w:val="900"/>
    <w:next w:val="1348"/>
    <w:link w:val="900"/>
    <w:pPr>
      <w:ind w:left="360" w:right="360"/>
      <w:jc w:val="left"/>
      <w:spacing w:before="100" w:after="100"/>
    </w:pPr>
    <w:rPr>
      <w:rFonts w:ascii="Times New Roman" w:hAnsi="Times New Roman" w:eastAsia="宋体" w:cs="Times New Roman"/>
      <w:sz w:val="24"/>
      <w:szCs w:val="21"/>
    </w:rPr>
  </w:style>
  <w:style w:type="paragraph" w:styleId="1349">
    <w:name w:val="南通方案正文"/>
    <w:basedOn w:val="900"/>
    <w:next w:val="1349"/>
    <w:link w:val="900"/>
    <w:pPr>
      <w:ind w:firstLine="480"/>
      <w:spacing w:line="360" w:lineRule="auto"/>
    </w:pPr>
    <w:rPr>
      <w:rFonts w:ascii="Times New Roman" w:hAnsi="Times New Roman" w:eastAsia="宋体" w:cs="宋体"/>
      <w:sz w:val="24"/>
      <w:szCs w:val="20"/>
    </w:rPr>
  </w:style>
  <w:style w:type="paragraph" w:styleId="1350">
    <w:name w:val="默认段落字体 Para Char Char Char Char Char Char Char Char Char1 Char Char Char Char Char Char Char"/>
    <w:basedOn w:val="929"/>
    <w:next w:val="1350"/>
    <w:link w:val="900"/>
    <w:rPr>
      <w:rFonts w:ascii="Tahoma" w:hAnsi="Tahoma" w:eastAsia="宋体" w:cs="Times New Roman"/>
      <w:sz w:val="24"/>
    </w:rPr>
  </w:style>
  <w:style w:type="paragraph" w:styleId="1351">
    <w:name w:val="notice2"/>
    <w:basedOn w:val="900"/>
    <w:next w:val="1351"/>
    <w:link w:val="900"/>
    <w:pPr>
      <w:jc w:val="left"/>
      <w:spacing w:after="150"/>
      <w:widowControl/>
    </w:pPr>
    <w:rPr>
      <w:rFonts w:ascii="宋体" w:hAnsi="宋体" w:eastAsia="宋体" w:cs="宋体"/>
      <w:color w:val="339900"/>
      <w:sz w:val="24"/>
    </w:rPr>
  </w:style>
  <w:style w:type="paragraph" w:styleId="1352">
    <w:name w:val="SS正文首行缩进 +"/>
    <w:basedOn w:val="978"/>
    <w:next w:val="1352"/>
    <w:link w:val="900"/>
    <w:pPr>
      <w:ind w:firstLine="480"/>
      <w:spacing w:before="156" w:after="156" w:line="360" w:lineRule="auto"/>
    </w:pPr>
    <w:rPr>
      <w:rFonts w:ascii="Times New Roman" w:hAnsi="Times New Roman" w:eastAsia="宋体" w:cs="Times New Roman"/>
      <w:szCs w:val="20"/>
    </w:rPr>
  </w:style>
  <w:style w:type="paragraph" w:styleId="1353">
    <w:name w:val="msonormalcxsplast"/>
    <w:basedOn w:val="900"/>
    <w:next w:val="1353"/>
    <w:link w:val="900"/>
    <w:pPr>
      <w:jc w:val="left"/>
      <w:widowControl/>
    </w:pPr>
    <w:rPr>
      <w:rFonts w:ascii="宋体" w:hAnsi="宋体" w:eastAsia="宋体" w:cs="宋体"/>
      <w:sz w:val="24"/>
    </w:rPr>
  </w:style>
  <w:style w:type="paragraph" w:styleId="1354">
    <w:name w:val="font8"/>
    <w:basedOn w:val="900"/>
    <w:next w:val="1354"/>
    <w:link w:val="900"/>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55">
    <w:name w:val="font5"/>
    <w:basedOn w:val="900"/>
    <w:next w:val="1355"/>
    <w:link w:val="900"/>
    <w:pPr>
      <w:jc w:val="left"/>
      <w:spacing w:before="100" w:beforeAutospacing="1" w:after="100" w:afterAutospacing="1"/>
      <w:widowControl/>
    </w:pPr>
    <w:rPr>
      <w:rFonts w:hint="eastAsia" w:ascii="宋体" w:hAnsi="宋体" w:eastAsia="宋体" w:cs="Times New Roman"/>
      <w:sz w:val="24"/>
    </w:rPr>
  </w:style>
  <w:style w:type="paragraph" w:styleId="1356">
    <w:name w:val="样式 样式 仿宋_GB2312 小三 + 首行缩进:  2 字符"/>
    <w:basedOn w:val="1299"/>
    <w:next w:val="1356"/>
    <w:link w:val="900"/>
    <w:pPr>
      <w:ind w:firstLine="0"/>
      <w:jc w:val="center"/>
      <w:spacing w:line="360" w:lineRule="auto"/>
    </w:pPr>
    <w:rPr>
      <w:rFonts w:ascii="Times New Roman" w:hAnsi="Times New Roman" w:eastAsia="宋体" w:cs="Times New Roman"/>
    </w:rPr>
  </w:style>
  <w:style w:type="paragraph" w:styleId="1357">
    <w:name w:val="简单回函地址"/>
    <w:basedOn w:val="900"/>
    <w:next w:val="1357"/>
    <w:link w:val="900"/>
    <w:rPr>
      <w:rFonts w:ascii="宋体" w:hAnsi="宋体" w:eastAsia="宋体" w:cs="Times New Roman"/>
      <w:color w:val="000000"/>
      <w:szCs w:val="21"/>
    </w:rPr>
  </w:style>
  <w:style w:type="paragraph" w:styleId="1358">
    <w:name w:val="样式 目录 3 + 左侧:  1.71 字符1"/>
    <w:basedOn w:val="942"/>
    <w:next w:val="1358"/>
    <w:link w:val="900"/>
    <w:pPr>
      <w:ind w:left="200" w:firstLine="200"/>
      <w:tabs>
        <w:tab w:val="right" w:pos="8296" w:leader="dot"/>
      </w:tabs>
    </w:pPr>
    <w:rPr>
      <w:rFonts w:ascii="Times New Roman" w:hAnsi="Times New Roman" w:eastAsia="宋体" w:cs="Times New Roman"/>
      <w:szCs w:val="20"/>
    </w:rPr>
  </w:style>
  <w:style w:type="paragraph" w:styleId="1359">
    <w:name w:val="图表题"/>
    <w:basedOn w:val="900"/>
    <w:next w:val="1359"/>
    <w:link w:val="900"/>
    <w:pPr>
      <w:jc w:val="center"/>
      <w:spacing w:line="400" w:lineRule="exact"/>
    </w:pPr>
    <w:rPr>
      <w:rFonts w:ascii="Times New Roman" w:hAnsi="Times New Roman" w:eastAsia="宋体" w:cs="Times New Roman"/>
      <w:szCs w:val="20"/>
    </w:rPr>
  </w:style>
  <w:style w:type="character" w:styleId="1360">
    <w:name w:val="custom-tag-placeholder-class"/>
    <w:next w:val="1360"/>
    <w:link w:val="900"/>
  </w:style>
  <w:style w:type="character" w:styleId="1361" w:default="1">
    <w:name w:val="Default Paragraph Font"/>
    <w:uiPriority w:val="1"/>
    <w:semiHidden/>
    <w:unhideWhenUsed/>
  </w:style>
  <w:style w:type="numbering" w:styleId="1362" w:default="1">
    <w:name w:val="No List"/>
    <w:uiPriority w:val="99"/>
    <w:semiHidden/>
    <w:unhideWhenUsed/>
  </w:style>
  <w:style w:type="table" w:styleId="13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wmf"/><Relationship Id="rId15" Type="http://schemas.openxmlformats.org/officeDocument/2006/relationships/image" Target="media/image3.wmf"/><Relationship Id="rId16" Type="http://schemas.openxmlformats.org/officeDocument/2006/relationships/image" Target="media/image4.wmf"/><Relationship Id="rId17"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Lucky_star</dc:creator>
  <cp:lastModifiedBy>王燕</cp:lastModifiedBy>
  <cp:revision>5</cp:revision>
  <dcterms:created xsi:type="dcterms:W3CDTF">2024-02-19T03:00:00Z</dcterms:created>
  <dcterms:modified xsi:type="dcterms:W3CDTF">2025-02-13T07:22:58Z</dcterms:modified>
  <cp:version>917504</cp:version>
</cp:coreProperties>
</file>