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新沂市2024年农作物重大病虫疫情防控</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项目编号：</w:t>
      </w:r>
      <w:r>
        <w:rPr>
          <w:rFonts w:hint="eastAsia" w:ascii="宋体" w:hAnsi="宋体" w:eastAsia="宋体" w:cs="宋体"/>
          <w:b/>
          <w:strike w:val="0"/>
          <w:color w:val="auto"/>
          <w:sz w:val="32"/>
          <w:lang w:eastAsia="zh-CN"/>
        </w:rPr>
        <w:t xml:space="preserve">JSZC-320381-XZGB-G2024-0020</w:t>
      </w: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新沂市农业农村局</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bookmarkStart w:id="0" w:name="_GoBack"/>
      <w:r/>
      <w:bookmarkEnd w:id="0"/>
      <w:r/>
      <w:r/>
    </w:p>
    <w:p>
      <w:pPr>
        <w:ind w:firstLine="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采购代理机构：</w:t>
      </w:r>
      <w:r>
        <w:rPr>
          <w:rFonts w:hint="eastAsia" w:ascii="宋体" w:hAnsi="宋体" w:eastAsia="宋体" w:cs="宋体"/>
          <w:b/>
          <w:strike w:val="0"/>
          <w:color w:val="auto"/>
          <w:sz w:val="32"/>
          <w:lang w:eastAsia="zh-CN"/>
        </w:rPr>
        <w:t xml:space="preserve">徐州国邦工程咨询管理有限公司</w:t>
      </w:r>
      <w:r/>
    </w:p>
    <w:p>
      <w:pPr>
        <w:ind w:left="256" w:right="6" w:firstLine="624"/>
        <w:jc w:val="both"/>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二〇二</w:t>
      </w:r>
      <w:r>
        <w:rPr>
          <w:rFonts w:hint="eastAsia" w:ascii="宋体" w:hAnsi="宋体" w:eastAsia="宋体" w:cs="宋体"/>
          <w:b/>
          <w:sz w:val="32"/>
          <w:lang w:eastAsia="zh-CN"/>
        </w:rPr>
        <w:t xml:space="preserve">四</w:t>
      </w:r>
      <w:r>
        <w:rPr>
          <w:rFonts w:ascii="宋体" w:hAnsi="宋体" w:eastAsia="宋体" w:cs="宋体"/>
          <w:b/>
          <w:sz w:val="32"/>
          <w:lang w:eastAsia="zh-CN"/>
        </w:rPr>
        <w:t xml:space="preserve">年</w:t>
      </w:r>
      <w:r>
        <w:rPr>
          <w:rFonts w:hint="eastAsia" w:ascii="宋体" w:hAnsi="宋体" w:eastAsia="宋体" w:cs="宋体"/>
          <w:b/>
          <w:color w:val="auto"/>
          <w:sz w:val="32"/>
          <w:lang w:eastAsia="zh-CN"/>
        </w:rPr>
        <w:t xml:space="preserve">八</w:t>
      </w:r>
      <w:r>
        <w:rPr>
          <w:rFonts w:ascii="宋体" w:hAnsi="宋体" w:eastAsia="宋体" w:cs="宋体"/>
          <w:b/>
          <w:sz w:val="32"/>
          <w:lang w:eastAsia="zh-CN"/>
        </w:rPr>
        <w:t xml:space="preserve">月</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687"/>
          <w:rFonts w:ascii="宋体" w:hAnsi="宋体" w:eastAsia="宋体" w:cs="宋体"/>
          <w:color w:val="auto"/>
          <w:sz w:val="28"/>
          <w:u w:val="none"/>
          <w:lang w:eastAsia="zh-CN"/>
        </w:rPr>
        <w:t xml:space="preserve">第一章</w:t>
      </w:r>
      <w:r>
        <w:rPr>
          <w:rStyle w:val="687"/>
          <w:rFonts w:hint="eastAsia" w:ascii="宋体" w:hAnsi="宋体" w:eastAsia="宋体" w:cs="宋体"/>
          <w:color w:val="auto"/>
          <w:sz w:val="28"/>
          <w:u w:val="none"/>
          <w:lang w:eastAsia="zh-CN"/>
        </w:rPr>
        <w:t xml:space="preserve">   </w:t>
      </w:r>
      <w:r>
        <w:rPr>
          <w:rStyle w:val="687"/>
          <w:rFonts w:ascii="宋体" w:hAnsi="宋体" w:eastAsia="宋体" w:cs="宋体"/>
          <w:color w:val="auto"/>
          <w:sz w:val="28"/>
          <w:u w:val="none"/>
          <w:lang w:eastAsia="zh-CN"/>
        </w:rPr>
        <w:t xml:space="preserve">投标邀请</w:t>
      </w:r>
      <w:r>
        <w:rPr>
          <w:rStyle w:val="687"/>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687"/>
          <w:rFonts w:ascii="宋体" w:hAnsi="宋体" w:eastAsia="宋体" w:cs="宋体"/>
          <w:color w:val="auto"/>
          <w:sz w:val="28"/>
          <w:u w:val="none"/>
          <w:lang w:eastAsia="zh-CN"/>
        </w:rPr>
        <w:t xml:space="preserve">第二章</w:t>
      </w:r>
      <w:r>
        <w:rPr>
          <w:rStyle w:val="687"/>
          <w:rFonts w:hint="eastAsia" w:ascii="宋体" w:hAnsi="宋体" w:eastAsia="宋体" w:cs="宋体"/>
          <w:color w:val="auto"/>
          <w:sz w:val="28"/>
          <w:u w:val="none"/>
          <w:lang w:eastAsia="zh-CN"/>
        </w:rPr>
        <w:t xml:space="preserve">   </w:t>
      </w:r>
      <w:r>
        <w:rPr>
          <w:rStyle w:val="687"/>
          <w:rFonts w:ascii="宋体" w:hAnsi="宋体" w:eastAsia="宋体" w:cs="宋体"/>
          <w:color w:val="auto"/>
          <w:sz w:val="28"/>
          <w:u w:val="none"/>
          <w:lang w:eastAsia="zh-CN"/>
        </w:rPr>
        <w:t xml:space="preserve">投标人须知</w:t>
      </w:r>
      <w:r>
        <w:rPr>
          <w:rStyle w:val="687"/>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687"/>
          <w:rFonts w:ascii="宋体" w:hAnsi="宋体" w:eastAsia="宋体" w:cs="宋体"/>
          <w:color w:val="auto"/>
          <w:sz w:val="28"/>
          <w:u w:val="none"/>
          <w:lang w:eastAsia="zh-CN"/>
        </w:rPr>
        <w:t xml:space="preserve">第三章</w:t>
      </w:r>
      <w:r>
        <w:rPr>
          <w:rStyle w:val="687"/>
          <w:rFonts w:hint="eastAsia" w:ascii="宋体" w:hAnsi="宋体" w:eastAsia="宋体" w:cs="宋体"/>
          <w:color w:val="auto"/>
          <w:sz w:val="28"/>
          <w:u w:val="none"/>
          <w:lang w:eastAsia="zh-CN"/>
        </w:rPr>
        <w:t xml:space="preserve">   </w:t>
      </w:r>
      <w:r>
        <w:rPr>
          <w:rStyle w:val="687"/>
          <w:rFonts w:ascii="宋体" w:hAnsi="宋体" w:eastAsia="宋体" w:cs="宋体"/>
          <w:color w:val="auto"/>
          <w:sz w:val="28"/>
          <w:u w:val="none"/>
          <w:lang w:eastAsia="zh-CN"/>
        </w:rPr>
        <w:t xml:space="preserve">投标资料表</w:t>
      </w:r>
      <w:r>
        <w:rPr>
          <w:rStyle w:val="687"/>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687"/>
          <w:rFonts w:ascii="宋体" w:hAnsi="宋体" w:eastAsia="宋体" w:cs="宋体"/>
          <w:color w:val="auto"/>
          <w:sz w:val="28"/>
          <w:u w:val="none"/>
          <w:lang w:eastAsia="zh-CN"/>
        </w:rPr>
        <w:t xml:space="preserve">第四章</w:t>
      </w:r>
      <w:r>
        <w:rPr>
          <w:rStyle w:val="687"/>
          <w:rFonts w:hint="eastAsia" w:ascii="宋体" w:hAnsi="宋体" w:eastAsia="宋体" w:cs="宋体"/>
          <w:color w:val="auto"/>
          <w:sz w:val="28"/>
          <w:u w:val="none"/>
          <w:lang w:eastAsia="zh-CN"/>
        </w:rPr>
        <w:t xml:space="preserve">   </w:t>
      </w:r>
      <w:r>
        <w:rPr>
          <w:rStyle w:val="687"/>
          <w:rFonts w:ascii="宋体" w:hAnsi="宋体" w:eastAsia="宋体" w:cs="宋体"/>
          <w:color w:val="auto"/>
          <w:sz w:val="28"/>
          <w:u w:val="none"/>
          <w:lang w:eastAsia="zh-CN"/>
        </w:rPr>
        <w:t xml:space="preserve">评标标准</w:t>
      </w:r>
      <w:r>
        <w:rPr>
          <w:rStyle w:val="687"/>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687"/>
          <w:rFonts w:ascii="宋体" w:hAnsi="宋体" w:eastAsia="宋体" w:cs="宋体"/>
          <w:color w:val="auto"/>
          <w:sz w:val="28"/>
          <w:u w:val="none"/>
          <w:lang w:eastAsia="zh-CN"/>
        </w:rPr>
        <w:t xml:space="preserve">第五章</w:t>
      </w:r>
      <w:r>
        <w:rPr>
          <w:rStyle w:val="687"/>
          <w:rFonts w:hint="eastAsia" w:ascii="宋体" w:hAnsi="宋体" w:eastAsia="宋体" w:cs="宋体"/>
          <w:color w:val="auto"/>
          <w:sz w:val="28"/>
          <w:u w:val="none"/>
          <w:lang w:eastAsia="zh-CN"/>
        </w:rPr>
        <w:t xml:space="preserve">   </w:t>
      </w:r>
      <w:r>
        <w:rPr>
          <w:rStyle w:val="687"/>
          <w:rFonts w:ascii="宋体" w:hAnsi="宋体" w:eastAsia="宋体" w:cs="宋体"/>
          <w:color w:val="auto"/>
          <w:sz w:val="28"/>
          <w:u w:val="none"/>
          <w:lang w:eastAsia="zh-CN"/>
        </w:rPr>
        <w:t xml:space="preserve">采购需求</w:t>
      </w:r>
      <w:r>
        <w:rPr>
          <w:rStyle w:val="687"/>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687"/>
          <w:rFonts w:ascii="宋体" w:hAnsi="宋体" w:eastAsia="宋体" w:cs="宋体"/>
          <w:color w:val="auto"/>
          <w:sz w:val="28"/>
          <w:u w:val="none"/>
          <w:lang w:eastAsia="zh-CN"/>
        </w:rPr>
        <w:t xml:space="preserve">第六章</w:t>
      </w:r>
      <w:r>
        <w:rPr>
          <w:rStyle w:val="687"/>
          <w:rFonts w:hint="eastAsia" w:ascii="宋体" w:hAnsi="宋体" w:eastAsia="宋体" w:cs="宋体"/>
          <w:color w:val="auto"/>
          <w:sz w:val="28"/>
          <w:u w:val="none"/>
          <w:lang w:eastAsia="zh-CN"/>
        </w:rPr>
        <w:t xml:space="preserve">   </w:t>
      </w:r>
      <w:r>
        <w:rPr>
          <w:rStyle w:val="687"/>
          <w:rFonts w:ascii="宋体" w:hAnsi="宋体" w:eastAsia="宋体" w:cs="宋体"/>
          <w:color w:val="auto"/>
          <w:sz w:val="28"/>
          <w:u w:val="none"/>
          <w:lang w:eastAsia="zh-CN"/>
        </w:rPr>
        <w:t xml:space="preserve">拟签订的合同文本</w:t>
      </w:r>
      <w:r>
        <w:rPr>
          <w:rStyle w:val="687"/>
          <w:rFonts w:ascii="宋体" w:hAnsi="宋体" w:eastAsia="宋体" w:cs="宋体"/>
          <w:color w:val="auto"/>
          <w:sz w:val="28"/>
          <w:u w:val="none"/>
          <w:lang w:eastAsia="zh-CN"/>
        </w:rPr>
        <w:fldChar w:fldCharType="end"/>
      </w:r>
      <w:r/>
    </w:p>
    <w:p>
      <w:pPr>
        <w:jc w:val="both"/>
        <w:spacing w:after="0" w:line="600" w:lineRule="auto"/>
        <w:rPr>
          <w:rStyle w:val="687"/>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687"/>
          <w:rFonts w:ascii="宋体" w:hAnsi="宋体" w:eastAsia="宋体" w:cs="宋体"/>
          <w:color w:val="auto"/>
          <w:sz w:val="28"/>
          <w:u w:val="none"/>
          <w:lang w:eastAsia="zh-CN"/>
        </w:rPr>
        <w:t xml:space="preserve">第七章</w:t>
      </w:r>
      <w:r>
        <w:rPr>
          <w:rStyle w:val="687"/>
          <w:rFonts w:hint="eastAsia" w:ascii="宋体" w:hAnsi="宋体" w:eastAsia="宋体" w:cs="宋体"/>
          <w:color w:val="auto"/>
          <w:sz w:val="28"/>
          <w:u w:val="none"/>
          <w:lang w:eastAsia="zh-CN"/>
        </w:rPr>
        <w:t xml:space="preserve">   </w:t>
      </w:r>
      <w:r>
        <w:rPr>
          <w:rStyle w:val="687"/>
          <w:rFonts w:ascii="宋体" w:hAnsi="宋体" w:eastAsia="宋体" w:cs="宋体"/>
          <w:color w:val="auto"/>
          <w:sz w:val="28"/>
          <w:u w:val="none"/>
          <w:lang w:eastAsia="zh-CN"/>
        </w:rPr>
        <w:t xml:space="preserve">投标文件相关格式</w:t>
      </w:r>
      <w:r>
        <w:rPr>
          <w:rStyle w:val="687"/>
          <w:rFonts w:ascii="宋体" w:hAnsi="宋体" w:eastAsia="宋体" w:cs="宋体"/>
          <w:color w:val="auto"/>
          <w:sz w:val="28"/>
          <w:u w:val="none"/>
          <w:lang w:eastAsia="zh-CN"/>
        </w:rPr>
        <w:fldChar w:fldCharType="end"/>
      </w:r>
      <w:r>
        <w:rPr>
          <w:rStyle w:val="687"/>
          <w:rFonts w:ascii="宋体" w:hAnsi="宋体" w:eastAsia="宋体" w:cs="宋体"/>
          <w:color w:val="auto"/>
          <w:sz w:val="28"/>
          <w:u w:val="none"/>
          <w:lang w:eastAsia="zh-CN"/>
        </w:rPr>
        <w:br w:type="page" w:clear="all"/>
      </w:r>
      <w:r/>
    </w:p>
    <w:p>
      <w:pPr>
        <w:pStyle w:val="69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第一章投标邀请</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项目概况</w:t>
      </w:r>
      <w:r/>
    </w:p>
    <w:p>
      <w:pPr>
        <w:ind w:firstLine="600"/>
        <w:spacing w:line="360" w:lineRule="auto"/>
        <w:rPr>
          <w:rFonts w:ascii="宋体" w:hAnsi="宋体" w:cs="仿宋"/>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trike w:val="0"/>
          <w:color w:val="auto"/>
          <w:sz w:val="24"/>
          <w:u w:val="single"/>
          <w:lang w:eastAsia="zh-CN"/>
        </w:rPr>
        <w:t xml:space="preserve">徐州国邦工程咨询管理有限公司</w:t>
      </w:r>
      <w:r>
        <w:rPr>
          <w:rFonts w:hint="eastAsia" w:ascii="宋体" w:hAnsi="宋体" w:cs="仿宋"/>
          <w:sz w:val="24"/>
          <w:lang w:eastAsia="zh-CN"/>
        </w:rPr>
        <w:t xml:space="preserve">对</w:t>
      </w:r>
      <w:r>
        <w:rPr>
          <w:rFonts w:hint="eastAsia" w:ascii="宋体" w:hAnsi="宋体" w:eastAsia="宋体" w:cs="宋体"/>
          <w:sz w:val="24"/>
          <w:u w:val="single"/>
          <w:lang w:eastAsia="zh-CN"/>
        </w:rPr>
        <w:t xml:space="preserve">新沂市2024年农作物重大病虫疫情防控</w:t>
      </w:r>
      <w:r>
        <w:rPr>
          <w:rFonts w:hint="eastAsia" w:ascii="宋体" w:hAnsi="宋体" w:cs="仿宋"/>
          <w:sz w:val="24"/>
          <w:lang w:eastAsia="zh-CN"/>
        </w:rPr>
        <w:t xml:space="preserve">进行公开招标采购，现邀请符合相关条件的供应商投标。</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875"/>
        <w:ind w:left="480"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（一）项目名称：新沂市2024年农作物重大病虫疫情防控</w:t>
      </w:r>
      <w:r/>
    </w:p>
    <w:p>
      <w:pPr>
        <w:pStyle w:val="693"/>
        <w:ind w:left="480"/>
        <w:jc w:val="both"/>
        <w:spacing w:before="0" w:after="0" w:line="400" w:lineRule="atLeas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（二）项目编号：</w:t>
      </w:r>
      <w:r>
        <w:rPr>
          <w:rFonts w:hint="eastAsia" w:cs="宋体" w:asciiTheme="minorEastAsia" w:hAnsiTheme="minorEastAsia" w:eastAsiaTheme="minorEastAsia"/>
          <w:strike w:val="0"/>
          <w:color w:val="auto"/>
          <w:sz w:val="24"/>
          <w:szCs w:val="24"/>
          <w:lang w:eastAsia="zh-CN"/>
        </w:rPr>
        <w:t xml:space="preserve">JSZC-320381-XZGB-G2024-0020</w:t>
      </w:r>
      <w:r/>
    </w:p>
    <w:p>
      <w:pPr>
        <w:pStyle w:val="693"/>
        <w:ind w:left="480"/>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693"/>
        <w:ind w:firstLine="482"/>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1</w:t>
      </w:r>
      <w:r>
        <w:rPr>
          <w:rFonts w:ascii="宋体" w:hAnsi="宋体" w:eastAsia="宋体" w:cs="宋体"/>
          <w:sz w:val="24"/>
          <w:szCs w:val="24"/>
          <w:lang w:eastAsia="zh-CN"/>
        </w:rPr>
        <w:t xml:space="preserve">）潜在供应商访问电子招标投标交易平台的网络地址和方法：</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Arial" w:hAnsi="Arial" w:eastAsia="Arial" w:cs="Arial"/>
          <w:sz w:val="24"/>
          <w:szCs w:val="24"/>
          <w:lang w:eastAsia="zh-CN"/>
        </w:rPr>
        <w:t xml:space="preserve">①</w:t>
      </w:r>
      <w:r>
        <w:rPr>
          <w:rFonts w:ascii="宋体" w:hAnsi="宋体" w:eastAsia="宋体" w:cs="宋体"/>
          <w:sz w:val="24"/>
          <w:szCs w:val="24"/>
          <w:lang w:eastAsia="zh-CN"/>
        </w:rPr>
        <w:t xml:space="preserve">登录 </w:t>
      </w:r>
      <w:r>
        <w:rPr>
          <w:rFonts w:ascii="Arial" w:hAnsi="Arial" w:eastAsia="Arial" w:cs="Arial"/>
          <w:sz w:val="24"/>
          <w:szCs w:val="24"/>
          <w:lang w:eastAsia="zh-CN"/>
        </w:rPr>
        <w:t xml:space="preserve">http://jszfcg.jsczt.cn/</w:t>
      </w:r>
      <w:r>
        <w:rPr>
          <w:rFonts w:ascii="宋体" w:hAnsi="宋体" w:eastAsia="宋体" w:cs="宋体"/>
          <w:sz w:val="24"/>
          <w:szCs w:val="24"/>
          <w:lang w:eastAsia="zh-CN"/>
        </w:rPr>
        <w:t xml:space="preserve">，或进入徐州政府采购网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用户登录，点击</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进入系统。</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供应商需办理</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系统目前仅支持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，省内各地区办理的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全省通用。</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数字证书</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的办理材料详见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快速服务</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下载专区</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中的《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办理材料、操作手册及控件下载》。</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2</w:t>
      </w:r>
      <w:r>
        <w:rPr>
          <w:rFonts w:ascii="宋体" w:hAnsi="宋体" w:eastAsia="宋体" w:cs="宋体"/>
          <w:sz w:val="24"/>
          <w:szCs w:val="24"/>
          <w:lang w:eastAsia="zh-CN"/>
        </w:rPr>
        <w:t xml:space="preserve">）采购代理机构将数据电文形式的招标文件加载至电子招标投标交易平台，供潜在供应商下载或者查阅。</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3</w:t>
      </w:r>
      <w:r>
        <w:rPr>
          <w:rFonts w:ascii="宋体" w:hAnsi="宋体" w:eastAsia="宋体" w:cs="宋体"/>
          <w:sz w:val="24"/>
          <w:szCs w:val="24"/>
          <w:lang w:eastAsia="zh-CN"/>
        </w:rPr>
        <w:t xml:space="preserve">）售价：免费。</w:t>
      </w:r>
      <w:r>
        <w:rPr>
          <w:rFonts w:ascii="Arial" w:hAnsi="Arial" w:eastAsia="Arial" w:cs="Arial"/>
          <w:sz w:val="24"/>
          <w:szCs w:val="24"/>
          <w:lang w:eastAsia="zh-CN"/>
        </w:rPr>
        <w:t xml:space="preserve"> </w:t>
      </w:r>
      <w:r/>
    </w:p>
    <w:p>
      <w:pPr>
        <w:ind w:firstLine="480"/>
        <w:spacing w:before="22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特别说明：2024年0</w:t>
      </w:r>
      <w:r>
        <w:rPr>
          <w:rFonts w:hint="eastAsia" w:ascii="宋体" w:hAnsi="宋体" w:eastAsia="宋体" w:cs="宋体"/>
          <w:sz w:val="24"/>
          <w:szCs w:val="24"/>
          <w:lang w:val="en-US" w:eastAsia="zh-CN"/>
        </w:rPr>
        <w:t xml:space="preserve">8</w:t>
      </w:r>
      <w:r>
        <w:rPr>
          <w:rFonts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11</w:t>
      </w:r>
      <w:r>
        <w:rPr>
          <w:rFonts w:ascii="宋体" w:hAnsi="宋体" w:eastAsia="宋体" w:cs="宋体"/>
          <w:sz w:val="24"/>
          <w:szCs w:val="24"/>
          <w:lang w:eastAsia="zh-CN"/>
        </w:rPr>
        <w:t xml:space="preserve">日后仍可以下载招标文件，2024年0</w:t>
      </w:r>
      <w:r>
        <w:rPr>
          <w:rFonts w:hint="eastAsia" w:ascii="宋体" w:hAnsi="宋体" w:eastAsia="宋体" w:cs="宋体"/>
          <w:sz w:val="24"/>
          <w:szCs w:val="24"/>
          <w:lang w:val="en-US" w:eastAsia="zh-CN"/>
        </w:rPr>
        <w:t xml:space="preserve">8</w:t>
      </w:r>
      <w:r>
        <w:rPr>
          <w:rFonts w:ascii="宋体" w:hAnsi="宋体" w:eastAsia="宋体" w:cs="宋体"/>
          <w:sz w:val="24"/>
          <w:szCs w:val="24"/>
          <w:lang w:eastAsia="zh-CN"/>
        </w:rPr>
        <w:t xml:space="preserve">月11</w:t>
      </w:r>
      <w:r>
        <w:rPr>
          <w:rFonts w:ascii="宋体" w:hAnsi="宋体" w:eastAsia="宋体" w:cs="宋体"/>
          <w:sz w:val="24"/>
          <w:szCs w:val="24"/>
          <w:lang w:eastAsia="zh-CN"/>
        </w:rPr>
        <w:t xml:space="preserve">日后下载的招标文件，视为非有效方式且不作为供应商权益受到损害的证明材料和依据。</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firstLine="482"/>
        <w:spacing w:after="0" w:line="360" w:lineRule="auto"/>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1.投标截止时间：</w:t>
      </w:r>
      <w:r>
        <w:rPr>
          <w:rFonts w:ascii="宋体" w:hAnsi="宋体" w:eastAsia="宋体" w:cs="宋体"/>
          <w:color w:val="ff0000"/>
          <w:sz w:val="24"/>
          <w:u w:val="single"/>
          <w:lang w:eastAsia="zh-CN"/>
        </w:rPr>
        <w:t xml:space="preserve">202</w:t>
      </w:r>
      <w:r>
        <w:rPr>
          <w:rFonts w:hint="eastAsia" w:ascii="宋体" w:hAnsi="宋体" w:eastAsia="宋体" w:cs="宋体"/>
          <w:color w:val="ff0000"/>
          <w:sz w:val="24"/>
          <w:u w:val="single"/>
          <w:lang w:eastAsia="zh-CN"/>
        </w:rPr>
        <w:t xml:space="preserve">4</w:t>
      </w:r>
      <w:r>
        <w:rPr>
          <w:rFonts w:ascii="宋体" w:hAnsi="宋体" w:eastAsia="宋体" w:cs="宋体"/>
          <w:color w:val="ff0000"/>
          <w:sz w:val="24"/>
          <w:lang w:eastAsia="zh-CN"/>
        </w:rPr>
        <w:t xml:space="preserve">年</w:t>
      </w:r>
      <w:r>
        <w:rPr>
          <w:rFonts w:hint="eastAsia" w:ascii="宋体" w:hAnsi="宋体" w:eastAsia="宋体" w:cs="宋体"/>
          <w:color w:val="ff0000"/>
          <w:sz w:val="24"/>
          <w:u w:val="single"/>
          <w:lang w:val="en-US" w:eastAsia="zh-CN"/>
        </w:rPr>
        <w:t xml:space="preserve">09</w:t>
      </w:r>
      <w:r>
        <w:rPr>
          <w:rFonts w:ascii="宋体" w:hAnsi="宋体" w:eastAsia="宋体" w:cs="宋体"/>
          <w:color w:val="ff0000"/>
          <w:sz w:val="24"/>
          <w:lang w:eastAsia="zh-CN"/>
        </w:rPr>
        <w:t xml:space="preserve">月</w:t>
      </w:r>
      <w:r>
        <w:rPr>
          <w:rFonts w:hint="eastAsia" w:ascii="宋体" w:hAnsi="宋体" w:eastAsia="宋体" w:cs="宋体"/>
          <w:color w:val="ff0000"/>
          <w:sz w:val="24"/>
          <w:u w:val="single"/>
          <w:lang w:val="en-US" w:eastAsia="zh-CN"/>
        </w:rPr>
        <w:t xml:space="preserve">10</w:t>
      </w:r>
      <w:r>
        <w:rPr>
          <w:rFonts w:ascii="宋体" w:hAnsi="宋体" w:eastAsia="宋体" w:cs="宋体"/>
          <w:color w:val="ff0000"/>
          <w:sz w:val="24"/>
          <w:lang w:eastAsia="zh-CN"/>
        </w:rPr>
        <w:t xml:space="preserve">日北京时间</w:t>
      </w:r>
      <w:r>
        <w:rPr>
          <w:rFonts w:hint="eastAsia" w:ascii="宋体" w:hAnsi="宋体" w:eastAsia="宋体" w:cs="宋体"/>
          <w:color w:val="ff0000"/>
          <w:sz w:val="24"/>
          <w:lang w:val="en-US" w:eastAsia="zh-CN"/>
        </w:rPr>
        <w:t xml:space="preserve">09</w:t>
      </w:r>
      <w:r>
        <w:rPr>
          <w:rFonts w:hint="eastAsia" w:ascii="宋体" w:hAnsi="宋体" w:eastAsia="宋体" w:cs="宋体"/>
          <w:color w:val="ff0000"/>
          <w:sz w:val="24"/>
          <w:lang w:eastAsia="zh-CN"/>
        </w:rPr>
        <w:t xml:space="preserve">:30</w:t>
      </w:r>
      <w:r>
        <w:rPr>
          <w:rFonts w:ascii="宋体" w:hAnsi="宋体" w:eastAsia="宋体" w:cs="宋体"/>
          <w:color w:val="ff0000"/>
          <w:sz w:val="24"/>
          <w:lang w:eastAsia="zh-CN"/>
        </w:rPr>
        <w:t xml:space="preserve">。</w:t>
      </w:r>
      <w:r/>
    </w:p>
    <w:p>
      <w:pPr>
        <w:ind w:firstLine="482"/>
        <w:spacing w:after="0" w:line="360" w:lineRule="auto"/>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2.开标时间：</w:t>
      </w:r>
      <w:r>
        <w:rPr>
          <w:rFonts w:ascii="宋体" w:hAnsi="宋体" w:eastAsia="宋体" w:cs="宋体"/>
          <w:color w:val="ff0000"/>
          <w:sz w:val="24"/>
          <w:u w:val="single"/>
          <w:lang w:eastAsia="zh-CN"/>
        </w:rPr>
        <w:t xml:space="preserve">202</w:t>
      </w:r>
      <w:r>
        <w:rPr>
          <w:rFonts w:hint="eastAsia" w:ascii="宋体" w:hAnsi="宋体" w:eastAsia="宋体" w:cs="宋体"/>
          <w:color w:val="ff0000"/>
          <w:sz w:val="24"/>
          <w:u w:val="single"/>
          <w:lang w:eastAsia="zh-CN"/>
        </w:rPr>
        <w:t xml:space="preserve">4</w:t>
      </w:r>
      <w:r>
        <w:rPr>
          <w:rFonts w:ascii="宋体" w:hAnsi="宋体" w:eastAsia="宋体" w:cs="宋体"/>
          <w:color w:val="ff0000"/>
          <w:sz w:val="24"/>
          <w:lang w:eastAsia="zh-CN"/>
        </w:rPr>
        <w:t xml:space="preserve">年</w:t>
      </w:r>
      <w:r>
        <w:rPr>
          <w:rFonts w:hint="eastAsia" w:ascii="宋体" w:hAnsi="宋体" w:eastAsia="宋体" w:cs="宋体"/>
          <w:color w:val="ff0000"/>
          <w:sz w:val="24"/>
          <w:u w:val="single"/>
          <w:lang w:eastAsia="zh-CN"/>
        </w:rPr>
        <w:t xml:space="preserve">09</w:t>
      </w:r>
      <w:r>
        <w:rPr>
          <w:rFonts w:ascii="宋体" w:hAnsi="宋体" w:eastAsia="宋体" w:cs="宋体"/>
          <w:color w:val="ff0000"/>
          <w:sz w:val="24"/>
          <w:lang w:eastAsia="zh-CN"/>
        </w:rPr>
        <w:t xml:space="preserve">月</w:t>
      </w:r>
      <w:r>
        <w:rPr>
          <w:rFonts w:hint="eastAsia" w:ascii="宋体" w:hAnsi="宋体" w:eastAsia="宋体" w:cs="宋体"/>
          <w:color w:val="ff0000"/>
          <w:sz w:val="24"/>
          <w:u w:val="single"/>
          <w:lang w:val="en-US" w:eastAsia="zh-CN"/>
        </w:rPr>
        <w:t xml:space="preserve">10</w:t>
      </w:r>
      <w:r>
        <w:rPr>
          <w:rFonts w:ascii="宋体" w:hAnsi="宋体" w:eastAsia="宋体" w:cs="宋体"/>
          <w:color w:val="ff0000"/>
          <w:sz w:val="24"/>
          <w:lang w:eastAsia="zh-CN"/>
        </w:rPr>
        <w:t xml:space="preserve">日北京时间</w:t>
      </w:r>
      <w:r>
        <w:rPr>
          <w:rFonts w:hint="eastAsia" w:ascii="宋体" w:hAnsi="宋体" w:eastAsia="宋体" w:cs="宋体"/>
          <w:color w:val="ff0000"/>
          <w:sz w:val="24"/>
          <w:lang w:val="en-US" w:eastAsia="zh-CN"/>
        </w:rPr>
        <w:t xml:space="preserve">09</w:t>
      </w:r>
      <w:r>
        <w:rPr>
          <w:rFonts w:hint="eastAsia" w:ascii="宋体" w:hAnsi="宋体" w:eastAsia="宋体" w:cs="宋体"/>
          <w:color w:val="ff0000"/>
          <w:sz w:val="24"/>
          <w:lang w:eastAsia="zh-CN"/>
        </w:rPr>
        <w:t xml:space="preserve">:30</w:t>
      </w:r>
      <w:r>
        <w:rPr>
          <w:rFonts w:ascii="宋体" w:hAnsi="宋体" w:eastAsia="宋体" w:cs="宋体"/>
          <w:color w:val="ff0000"/>
          <w:sz w:val="24"/>
          <w:lang w:eastAsia="zh-CN"/>
        </w:rPr>
        <w:t xml:space="preserve">。</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3.开标地点：“苏采云”系统“开标大厅”或进入徐州政府采购网--业务工作--用户登录，点击“苏采云”进入系统“开标大厅”。</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五、采购人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新沂市农业农村局</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江苏徐州市新沂市新东路101号</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3.联系人：程大勇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0516-68805009</w:t>
      </w:r>
      <w:r>
        <w:rPr>
          <w:rFonts w:ascii="宋体" w:hAnsi="宋体" w:eastAsia="宋体" w:cs="宋体"/>
          <w:sz w:val="24"/>
          <w:lang w:eastAsia="zh-CN"/>
        </w:rPr>
        <w:t xml:space="preserve">  </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firstLine="480"/>
        <w:jc w:val="both"/>
        <w:spacing w:after="0" w:line="40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w:t>
      </w:r>
      <w:r>
        <w:rPr>
          <w:rFonts w:ascii="宋体" w:hAnsi="宋体" w:eastAsia="宋体" w:cs="宋体"/>
          <w:sz w:val="24"/>
          <w:lang w:eastAsia="zh-CN"/>
        </w:rPr>
        <w:t xml:space="preserve">名称：</w:t>
      </w:r>
      <w:r>
        <w:rPr>
          <w:rFonts w:hint="eastAsia" w:ascii="宋体" w:hAnsi="宋体" w:eastAsia="宋体" w:cs="宋体"/>
          <w:color w:val="auto"/>
          <w:sz w:val="24"/>
          <w:lang w:eastAsia="zh-CN"/>
        </w:rPr>
        <w:t xml:space="preserve">徐州国邦工程咨询管理有限公司</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新沂市新安镇钟吾花园商住楼5室4F</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 采购项目联系人：</w:t>
      </w:r>
      <w:r>
        <w:rPr>
          <w:rFonts w:hint="eastAsia" w:ascii="宋体" w:hAnsi="宋体" w:eastAsia="宋体" w:cs="宋体"/>
          <w:color w:val="auto"/>
          <w:sz w:val="24"/>
          <w:lang w:eastAsia="zh-CN"/>
        </w:rPr>
        <w:t xml:space="preserve">蔡伦</w:t>
      </w:r>
      <w:r>
        <w:rPr>
          <w:rFonts w:hint="eastAsia"/>
          <w:color w:val="auto"/>
          <w:lang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15996901355</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692"/>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第二章投标人须知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fldChar w:fldCharType="begin"/>
      </w:r>
      <w:r>
        <w:instrText xml:space="preserve"> HYPERLINK "http://www.caigou2003.com/" \o "http://www.caigou2003.com/" </w:instrText>
      </w:r>
      <w:r>
        <w:fldChar w:fldCharType="separate"/>
      </w:r>
      <w:r>
        <w:rPr>
          <w:lang w:eastAsia="zh-CN"/>
        </w:rPr>
        <w:t xml:space="preserve">政府采购</w:t>
      </w:r>
      <w:r>
        <w:rPr>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8241"/>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条款</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一、总则</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新沂市农业农村局</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本次采购采用的政府采购方式：公开招标</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采购人确定的采购项目属性：货物</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本项目采购代理机构：</w:t>
            </w:r>
            <w:r>
              <w:rPr>
                <w:rFonts w:hint="eastAsia" w:ascii="宋体" w:hAnsi="宋体" w:eastAsia="宋体" w:cs="宋体"/>
                <w:color w:val="auto"/>
                <w:sz w:val="24"/>
                <w:lang w:eastAsia="zh-CN"/>
              </w:rPr>
              <w:t xml:space="preserve">徐州国邦工程咨询管理有限公司</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投标人的资格条件：</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一、符合《中华人民共和国政府采购法》第二十二条的规定；</w:t>
            </w:r>
            <w:r/>
          </w:p>
          <w:p>
            <w:pPr>
              <w:rPr>
                <w:rFonts w:ascii="宋体" w:hAnsi="宋体" w:cs="仿宋"/>
                <w:b/>
                <w:sz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ascii="宋体" w:hAnsi="宋体" w:cs="仿宋"/>
                <w:b/>
                <w:sz w:val="24"/>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三、本项目的特定资格要求：无</w:t>
            </w:r>
            <w:r>
              <w:rPr>
                <w:rFonts w:hint="eastAsia" w:cs="仿宋" w:asciiTheme="minorEastAsia" w:hAnsiTheme="minorEastAsia"/>
                <w:b/>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同时明确相关事项如下：</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一、本项目不接受联合体参与采购活动。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四、查询及使用供应商信用记录：</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2.中国政府采购网（</w:t>
            </w:r>
            <w:r>
              <w:fldChar w:fldCharType="begin"/>
            </w:r>
            <w:r>
              <w:instrText xml:space="preserve"> HYPERLINK "http://www.ccgp.gov.cn/" \o "http://www.ccgp.gov.cn/" </w:instrText>
            </w:r>
            <w:r>
              <w:fldChar w:fldCharType="separate"/>
            </w:r>
            <w:r>
              <w:rPr>
                <w:rFonts w:cs="仿宋" w:asciiTheme="minorEastAsia" w:hAnsiTheme="minorEastAsia"/>
                <w:sz w:val="24"/>
                <w:szCs w:val="24"/>
                <w:lang w:eastAsia="zh-CN"/>
              </w:rPr>
              <w:t xml:space="preserve">www.ccgp.gov.cn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3.“信用江苏”网（www.jscredit.gov.cn）；</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4.“信用中国（江苏徐州）”网</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 </w:t>
            </w:r>
            <w:r>
              <w:fldChar w:fldCharType="begin"/>
            </w:r>
            <w:r>
              <w:instrText xml:space="preserve"> HYPERLINK "http://www.xuzhoucredit.gov.cn/" \o "http://www.xuzhoucredit.gov.cn/" </w:instrText>
            </w:r>
            <w:r>
              <w:fldChar w:fldCharType="separate"/>
            </w:r>
            <w:r>
              <w:rPr>
                <w:rFonts w:cs="仿宋" w:asciiTheme="minorEastAsia" w:hAnsiTheme="minorEastAsia"/>
                <w:sz w:val="24"/>
                <w:szCs w:val="24"/>
                <w:lang w:eastAsia="zh-CN"/>
              </w:rPr>
              <w:t xml:space="preserve">http</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//www.xuzhoucredit.gov.cn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招标代理服务费由中标人支付，标准见附件《招标代理服务收费标准》。</w:t>
            </w:r>
            <w:r/>
          </w:p>
        </w:tc>
      </w:tr>
      <w:tr>
        <w:trP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二、招标</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不安排现场踏勘</w:t>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不安排开标前答疑会</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三、投标</w:t>
            </w:r>
            <w:r/>
          </w:p>
        </w:tc>
      </w:tr>
      <w:tr>
        <w:trP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投标文件的语言为中文。</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687"/>
                <w:rFonts w:ascii="宋体" w:hAnsi="宋体" w:eastAsia="宋体" w:cs="宋体"/>
                <w:color w:val="auto"/>
                <w:sz w:val="24"/>
                <w:u w:val="none"/>
                <w:lang w:eastAsia="zh-CN"/>
              </w:rPr>
              <w:t xml:space="preserve">http://jszfcg.jsc</w:t>
            </w:r>
            <w:r>
              <w:rPr>
                <w:rStyle w:val="687"/>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after="0" w:line="240" w:lineRule="auto"/>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线上投标文件编制要求（以电子采购文件提供的格式和要求为准）。</w:t>
            </w:r>
            <w:r/>
          </w:p>
          <w:p>
            <w:pPr>
              <w:pStyle w:val="876"/>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一、基本目录</w:t>
            </w:r>
            <w:r/>
          </w:p>
          <w:p>
            <w:pPr>
              <w:pStyle w:val="876"/>
              <w:ind w:firstLine="439"/>
              <w:jc w:val="left"/>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ind w:firstLine="240"/>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3.所投产品的环境标志产品认证证书原件的扫描件（如有）。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（2）环境标志产品认证证书是否符合要求，采购人评标时查询中国政府采购网（www.ccgp.gov.cn）相关内容后确定。</w:t>
            </w:r>
            <w:r/>
          </w:p>
          <w:p>
            <w:pPr>
              <w:ind w:firstLine="198"/>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4.所投产品的节能产品认证证书原件的扫描件（如有）。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（2）节能产品认证证书是否符合要求，采购人评标时查询中国政府采购网（www.ccgp.gov.cn）相关内容后确定。</w:t>
            </w:r>
            <w:r/>
          </w:p>
          <w:p>
            <w:pPr>
              <w:pStyle w:val="876"/>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二、资格条件（1-6必须提供，加盖电子签章，否则投标无效）</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1.具有独立承担民事责任的能力，提供投标人合法有效的法人的营业执照(或事业单位法人证书)或其他组织应提供合法证明文件的原件扫描件(加盖电子签章)。</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财务状况报告，至少提供：即提供投标人的本项目开标时间前6个月内的资产负债表原件的扫描件1份；投标人的本项目开标时间前6个月内任何1月（不含开标当月）利润表月报表原件的扫描件1份。（加盖电子签章）；</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4.具备履行合同所必需的设备和专业技术能力的证明材料提供具备履行合同所必需的设备和专业技术能力的书面声明）格式见招标文件第七章《投标文件相关格式》）。</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5.投标人参加政府采购活动前3年内在经营活动中没有重大违法记录的书面声明（加盖电子签章，格式见招标文件第七章《投标文件相关格式》）。</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6.提供的货物全部由符合政策要求的中小企业制造，提供《中小企业声明函》（填写完整，加盖电子签章，格式见招标文件第七章《投标文件相关格式》）。</w:t>
            </w:r>
            <w:r/>
          </w:p>
          <w:p>
            <w:pPr>
              <w:pStyle w:val="876"/>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注：监狱企业和残疾人福利性单位等同于小微企业。</w:t>
            </w:r>
            <w:r/>
          </w:p>
          <w:p>
            <w:pPr>
              <w:pStyle w:val="876"/>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76"/>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76"/>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76"/>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6"/>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76"/>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三、符合条件（必须提供，否则投标无效）</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(一)报价</w:t>
            </w:r>
            <w:r/>
          </w:p>
          <w:p>
            <w:pPr>
              <w:ind w:firstLine="480"/>
              <w:rPr>
                <w:rFonts w:ascii="宋体" w:hAnsi="宋体" w:cs="仿宋"/>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《开标一览表》要求加盖电子签章，格式见本文件第七章《投标文件相关格式》。</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（二）商务资信</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76"/>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（三）技术响应</w:t>
            </w:r>
            <w:r/>
          </w:p>
          <w:p>
            <w:pPr>
              <w:pStyle w:val="876"/>
              <w:ind w:firstLine="439"/>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876"/>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四、综合评审评分项</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（一）技术部分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1、设备、工艺流程，包装标识、使用说明书（根据评分细则和项目要求自行编写，并附相关证明材料扫描件)；</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2、质量控制措施（要求见招标文件第六章《采购需求》及第四章《评标标准》)；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3、项目实施方案（要求见招标文件第六章《采购需求》及第四章《评标标准》)；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4、技术指导方案（要求见招标文件第六章《采购需求》及第四章《评标标准》)；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5、售后服务方案（要求见招标文件第六章《采购需求》及第四章《评标标准》)。</w:t>
            </w:r>
            <w:r/>
          </w:p>
          <w:p>
            <w:pPr>
              <w:ind w:firstLine="480"/>
              <w:rPr>
                <w:lang w:eastAsia="zh-CN"/>
              </w:rPr>
            </w:pPr>
            <w:r>
              <w:rPr>
                <w:rFonts w:hint="eastAsia" w:cs="宋体" w:asciiTheme="minorEastAsia" w:hAnsiTheme="minorEastAsia"/>
                <w:sz w:val="24"/>
                <w:szCs w:val="24"/>
                <w:lang w:eastAsia="zh-CN"/>
              </w:rPr>
              <w:t xml:space="preserve">6.评分细则中评分得分需提供的相关证明材料。</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（二）商务部分</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1.投标人业绩（要求见招标文件第四章《评标标准》中《评分细则》）。</w:t>
            </w:r>
            <w:r/>
          </w:p>
          <w:p>
            <w:pPr>
              <w:ind w:firstLine="480"/>
              <w:jc w:val="both"/>
              <w:spacing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2.投标人实力</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w:t>
            </w:r>
            <w:r>
              <w:rPr>
                <w:rFonts w:ascii="宋体" w:hAnsi="宋体" w:eastAsia="宋体" w:cs="宋体"/>
                <w:sz w:val="24"/>
                <w:lang w:eastAsia="zh-CN"/>
              </w:rPr>
              <w:t xml:space="preserve">.投标人其它证明文件及材料。</w:t>
            </w:r>
            <w:r/>
          </w:p>
          <w:p>
            <w:pPr>
              <w:pStyle w:val="876"/>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五、价格折扣文件格式</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企业报价折扣证明：无</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1.投标人应对以上文件的合法性、真实性负责。</w:t>
            </w:r>
            <w:r/>
          </w:p>
          <w:p>
            <w:pPr>
              <w:pStyle w:val="676"/>
              <w:rPr>
                <w:lang w:eastAsia="zh-CN"/>
              </w:rPr>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商务条件见：</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1.招标文件第四章《评标标准》中《评分细则》</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2.招标文件第三章《投标资料表》中12.1和12.2</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交货和提供服务的时间见：招标文件第五章《采购需求》及招标文件第六章《拟签订的合同文本》。</w:t>
            </w:r>
            <w:r/>
          </w:p>
        </w:tc>
      </w:tr>
      <w:tr>
        <w:trP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本项目不接受超过</w:t>
            </w:r>
            <w:r>
              <w:rPr>
                <w:rFonts w:hint="eastAsia" w:ascii="宋体" w:hAnsi="宋体" w:eastAsia="宋体" w:cs="宋体"/>
                <w:b/>
                <w:sz w:val="24"/>
                <w:u w:val="single"/>
                <w:lang w:eastAsia="zh-CN"/>
              </w:rPr>
              <w:t xml:space="preserve">56万</w:t>
            </w:r>
            <w:r>
              <w:rPr>
                <w:rFonts w:ascii="宋体" w:hAnsi="宋体" w:eastAsia="宋体" w:cs="宋体"/>
                <w:b/>
                <w:sz w:val="24"/>
                <w:u w:val="single"/>
                <w:lang w:eastAsia="zh-CN"/>
              </w:rPr>
              <w:t xml:space="preserve">元</w:t>
            </w:r>
            <w:r>
              <w:rPr>
                <w:rFonts w:ascii="宋体" w:hAnsi="宋体" w:eastAsia="宋体" w:cs="宋体"/>
                <w:b/>
                <w:sz w:val="24"/>
                <w:lang w:eastAsia="zh-CN"/>
              </w:rPr>
              <w:t xml:space="preserve">人民币（采购预算金额）的投标报价；</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以人民币报价。</w:t>
            </w:r>
            <w:r/>
          </w:p>
        </w:tc>
      </w:tr>
      <w:tr>
        <w:trP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76"/>
              <w:spacing w:line="400" w:lineRule="exact"/>
              <w:rPr>
                <w:rStyle w:val="687"/>
                <w:rFonts w:cs="宋体" w:asciiTheme="minorEastAsia" w:hAnsiTheme="minorEastAsia" w:eastAsiaTheme="minorEastAsia"/>
                <w:color w:val="auto"/>
                <w:sz w:val="24"/>
                <w:szCs w:val="24"/>
                <w:u w:val="none"/>
              </w:rPr>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687"/>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687"/>
                <w:rFonts w:hint="eastAsia" w:cs="宋体" w:asciiTheme="minorEastAsia" w:hAnsiTheme="minorEastAsia" w:eastAsiaTheme="minorEastAsia"/>
                <w:color w:val="auto"/>
                <w:sz w:val="24"/>
                <w:szCs w:val="24"/>
                <w:u w:val="none"/>
              </w:rPr>
              <w:fldChar w:fldCharType="end"/>
            </w:r>
            <w:r/>
          </w:p>
          <w:p>
            <w:pPr>
              <w:pStyle w:val="876"/>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76"/>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见本文件第三章《投标资料表》中12.1和12.2</w:t>
            </w:r>
            <w:r/>
          </w:p>
        </w:tc>
      </w:tr>
      <w:tr>
        <w:trP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投标文件接收截止时间：</w:t>
            </w:r>
            <w:r>
              <w:rPr>
                <w:rFonts w:ascii="宋体" w:hAnsi="宋体" w:eastAsia="宋体" w:cs="宋体"/>
                <w:b/>
                <w:color w:val="ff0000"/>
                <w:sz w:val="24"/>
                <w:lang w:eastAsia="zh-CN"/>
              </w:rPr>
              <w:t xml:space="preserve">202</w:t>
            </w:r>
            <w:r>
              <w:rPr>
                <w:rFonts w:hint="eastAsia" w:ascii="宋体" w:hAnsi="宋体" w:eastAsia="宋体" w:cs="宋体"/>
                <w:b/>
                <w:color w:val="ff0000"/>
                <w:sz w:val="24"/>
                <w:lang w:eastAsia="zh-CN"/>
              </w:rPr>
              <w:t xml:space="preserve">4</w:t>
            </w:r>
            <w:r>
              <w:rPr>
                <w:rFonts w:ascii="宋体" w:hAnsi="宋体" w:eastAsia="宋体" w:cs="宋体"/>
                <w:b/>
                <w:color w:val="ff0000"/>
                <w:sz w:val="24"/>
                <w:lang w:eastAsia="zh-CN"/>
              </w:rPr>
              <w:t xml:space="preserve">年</w:t>
            </w:r>
            <w:r>
              <w:rPr>
                <w:rFonts w:hint="eastAsia" w:ascii="宋体" w:hAnsi="宋体" w:eastAsia="宋体" w:cs="宋体"/>
                <w:b/>
                <w:color w:val="ff0000"/>
                <w:sz w:val="24"/>
                <w:lang w:eastAsia="zh-CN"/>
              </w:rPr>
              <w:t xml:space="preserve">09</w:t>
            </w:r>
            <w:r>
              <w:rPr>
                <w:rFonts w:ascii="宋体" w:hAnsi="宋体" w:eastAsia="宋体" w:cs="宋体"/>
                <w:b/>
                <w:color w:val="ff0000"/>
                <w:sz w:val="24"/>
                <w:lang w:eastAsia="zh-CN"/>
              </w:rPr>
              <w:t xml:space="preserve">月</w:t>
            </w:r>
            <w:r>
              <w:rPr>
                <w:rFonts w:hint="eastAsia" w:ascii="宋体" w:hAnsi="宋体" w:eastAsia="宋体" w:cs="宋体"/>
                <w:b/>
                <w:color w:val="ff0000"/>
                <w:sz w:val="24"/>
                <w:lang w:eastAsia="zh-CN"/>
              </w:rPr>
              <w:t xml:space="preserve">10</w:t>
            </w:r>
            <w:r>
              <w:rPr>
                <w:rFonts w:ascii="宋体" w:hAnsi="宋体" w:eastAsia="宋体" w:cs="宋体"/>
                <w:b/>
                <w:color w:val="ff0000"/>
                <w:sz w:val="24"/>
                <w:lang w:eastAsia="zh-CN"/>
              </w:rPr>
              <w:t xml:space="preserve">日北京时间</w:t>
            </w:r>
            <w:r>
              <w:rPr>
                <w:rFonts w:hint="eastAsia" w:ascii="宋体" w:hAnsi="宋体" w:eastAsia="宋体" w:cs="宋体"/>
                <w:b/>
                <w:color w:val="ff0000"/>
                <w:sz w:val="24"/>
                <w:lang w:eastAsia="zh-CN"/>
              </w:rPr>
              <w:t xml:space="preserve">09</w:t>
            </w:r>
            <w:r>
              <w:rPr>
                <w:rFonts w:ascii="宋体" w:hAnsi="宋体" w:eastAsia="宋体" w:cs="宋体"/>
                <w:b/>
                <w:color w:val="ff0000"/>
                <w:sz w:val="24"/>
                <w:lang w:eastAsia="zh-CN"/>
              </w:rPr>
              <w:t xml:space="preserve">：30</w:t>
            </w:r>
            <w:r/>
          </w:p>
          <w:p>
            <w:pPr>
              <w:jc w:val="both"/>
              <w:spacing w:before="21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投标人应在提交投标文件的截止时间前，将电子投标文件上传系统。在达到开标时间后，使用CA数字证书解密各自投标文件。</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四、开标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开标时间：</w:t>
            </w:r>
            <w:r>
              <w:rPr>
                <w:rFonts w:ascii="宋体" w:hAnsi="宋体" w:eastAsia="宋体" w:cs="宋体"/>
                <w:b/>
                <w:color w:val="ff0000"/>
                <w:sz w:val="24"/>
                <w:lang w:eastAsia="zh-CN"/>
              </w:rPr>
              <w:t xml:space="preserve">202</w:t>
            </w:r>
            <w:r>
              <w:rPr>
                <w:rFonts w:hint="eastAsia" w:ascii="宋体" w:hAnsi="宋体" w:eastAsia="宋体" w:cs="宋体"/>
                <w:b/>
                <w:color w:val="ff0000"/>
                <w:sz w:val="24"/>
                <w:lang w:eastAsia="zh-CN"/>
              </w:rPr>
              <w:t xml:space="preserve">4</w:t>
            </w:r>
            <w:r>
              <w:rPr>
                <w:rFonts w:ascii="宋体" w:hAnsi="宋体" w:eastAsia="宋体" w:cs="宋体"/>
                <w:b/>
                <w:color w:val="ff0000"/>
                <w:sz w:val="24"/>
                <w:lang w:eastAsia="zh-CN"/>
              </w:rPr>
              <w:t xml:space="preserve">年</w:t>
            </w:r>
            <w:r>
              <w:rPr>
                <w:rFonts w:hint="eastAsia" w:ascii="宋体" w:hAnsi="宋体" w:eastAsia="宋体" w:cs="宋体"/>
                <w:b/>
                <w:color w:val="ff0000"/>
                <w:sz w:val="24"/>
                <w:lang w:eastAsia="zh-CN"/>
              </w:rPr>
              <w:t xml:space="preserve">09</w:t>
            </w:r>
            <w:r>
              <w:rPr>
                <w:rFonts w:ascii="宋体" w:hAnsi="宋体" w:eastAsia="宋体" w:cs="宋体"/>
                <w:b/>
                <w:color w:val="ff0000"/>
                <w:sz w:val="24"/>
                <w:lang w:eastAsia="zh-CN"/>
              </w:rPr>
              <w:t xml:space="preserve">月</w:t>
            </w:r>
            <w:r>
              <w:rPr>
                <w:rFonts w:hint="eastAsia" w:ascii="宋体" w:hAnsi="宋体" w:eastAsia="宋体" w:cs="宋体"/>
                <w:b/>
                <w:color w:val="ff0000"/>
                <w:sz w:val="24"/>
                <w:lang w:eastAsia="zh-CN"/>
              </w:rPr>
              <w:t xml:space="preserve">10</w:t>
            </w:r>
            <w:r>
              <w:rPr>
                <w:rFonts w:ascii="宋体" w:hAnsi="宋体" w:eastAsia="宋体" w:cs="宋体"/>
                <w:b/>
                <w:color w:val="ff0000"/>
                <w:sz w:val="24"/>
                <w:lang w:eastAsia="zh-CN"/>
              </w:rPr>
              <w:t xml:space="preserve">日北京时间</w:t>
            </w:r>
            <w:r>
              <w:rPr>
                <w:rFonts w:hint="eastAsia" w:ascii="宋体" w:hAnsi="宋体" w:eastAsia="宋体" w:cs="宋体"/>
                <w:b/>
                <w:color w:val="ff0000"/>
                <w:sz w:val="24"/>
                <w:lang w:eastAsia="zh-CN"/>
              </w:rPr>
              <w:t xml:space="preserve">09</w:t>
            </w:r>
            <w:r>
              <w:rPr>
                <w:rFonts w:ascii="宋体" w:hAnsi="宋体" w:eastAsia="宋体" w:cs="宋体"/>
                <w:b/>
                <w:color w:val="ff0000"/>
                <w:sz w:val="24"/>
                <w:lang w:eastAsia="zh-CN"/>
              </w:rPr>
              <w:t xml:space="preserve">：30 </w:t>
            </w:r>
            <w:r/>
          </w:p>
          <w:p>
            <w:pPr>
              <w:ind w:left="241" w:hanging="241"/>
              <w:jc w:val="both"/>
              <w:spacing w:after="0" w:line="380" w:lineRule="atLeast"/>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开标地点：</w:t>
            </w:r>
            <w:r>
              <w:rPr>
                <w:rFonts w:hint="eastAsia" w:ascii="宋体" w:hAnsi="宋体" w:eastAsia="宋体" w:cs="宋体"/>
                <w:bCs/>
                <w:sz w:val="24"/>
                <w:lang w:eastAsia="zh-CN"/>
              </w:rPr>
              <w:t xml:space="preserve">“苏采云”系统（网址： http://jszfcg.jsczt.cn/）“开标大厅”或进入徐州政府采购网（网址：</w:t>
            </w:r>
            <w:r>
              <w:fldChar w:fldCharType="begin"/>
            </w:r>
            <w:r>
              <w:instrText xml:space="preserve"> HYPERLINK "http://czj.xz.gov.cn/Home/HomeIndex）--业务工作--用户登录，点击" </w:instrText>
            </w:r>
            <w:r>
              <w:fldChar w:fldCharType="separate"/>
            </w:r>
            <w:r>
              <w:rPr>
                <w:rStyle w:val="687"/>
                <w:rFonts w:hint="eastAsia" w:ascii="宋体" w:hAnsi="宋体" w:eastAsia="宋体" w:cs="宋体"/>
                <w:bCs/>
                <w:color w:val="auto"/>
                <w:sz w:val="24"/>
                <w:lang w:eastAsia="zh-CN"/>
              </w:rPr>
              <w:t xml:space="preserve">http://czj.xz.gov.cn/Home/HomeIndex）--业务工作--用户登录，点击“苏采云”进入系统“开标大厅”。</w:t>
            </w:r>
            <w:r>
              <w:rPr>
                <w:rStyle w:val="687"/>
                <w:rFonts w:hint="eastAsia" w:ascii="宋体" w:hAnsi="宋体" w:eastAsia="宋体" w:cs="宋体"/>
                <w:bCs/>
                <w:color w:val="auto"/>
                <w:sz w:val="24"/>
                <w:lang w:eastAsia="zh-CN"/>
              </w:rPr>
              <w:fldChar w:fldCharType="end"/>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招标文件规定的需要公示的内容：投标人名称、投标价格。</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五、评标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采用综合评分法。</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特别说明：</w:t>
            </w:r>
            <w:r>
              <w:rPr>
                <w:rFonts w:ascii="宋体" w:hAnsi="宋体" w:eastAsia="宋体" w:cs="宋体"/>
                <w:color w:val="ff0000"/>
                <w:sz w:val="24"/>
                <w:lang w:eastAsia="zh-CN"/>
              </w:rPr>
              <w:t xml:space="preserve">“苏采云”系统通过“江苏省政府采购一体化不见面开标大厅”提醒投标人。投标人自行查看，投标人因自身原因不及时查看导致没收到信息，“苏采云”系统不承担任何责任。</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七、政府采购合同</w:t>
            </w:r>
            <w:r/>
          </w:p>
        </w:tc>
      </w:tr>
      <w:tr>
        <w:trP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八、询问和质疑</w:t>
            </w:r>
            <w:r/>
          </w:p>
        </w:tc>
      </w:tr>
      <w:tr>
        <w:trPr>
          <w:trHeight w:val="10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质疑接收人：</w:t>
            </w:r>
            <w:r>
              <w:rPr>
                <w:rFonts w:hint="eastAsia" w:ascii="宋体" w:hAnsi="宋体" w:eastAsia="宋体" w:cs="宋体"/>
                <w:color w:val="auto"/>
                <w:sz w:val="24"/>
                <w:lang w:eastAsia="zh-CN"/>
              </w:rPr>
              <w:t xml:space="preserve">蔡伦</w:t>
            </w:r>
            <w:r>
              <w:rPr>
                <w:rFonts w:ascii="宋体" w:hAnsi="宋体" w:eastAsia="宋体" w:cs="宋体"/>
                <w:color w:val="auto"/>
                <w:sz w:val="24"/>
                <w:lang w:eastAsia="zh-CN"/>
              </w:rPr>
              <w:t xml:space="preserve">    </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15996901355</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新沂市新安镇钟吾花园商住楼5室4F</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附加</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中标人在收到中标通知书时，须向采购代理机构提交《开标一览表》的数据文件（WORD格式）。</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徐州国邦工程咨询管理有限公司</w:t>
            </w:r>
            <w:r>
              <w:rPr>
                <w:rFonts w:ascii="宋体" w:hAnsi="宋体" w:eastAsia="宋体" w:cs="宋体"/>
                <w:sz w:val="24"/>
                <w:lang w:eastAsia="zh-CN"/>
              </w:rPr>
              <w:t xml:space="preserve">账户。</w:t>
            </w:r>
            <w:r/>
          </w:p>
        </w:tc>
      </w:tr>
    </w:tbl>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附件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徐州市政府采购代理服务费行业指导价格</w:t>
      </w:r>
      <w:r/>
    </w:p>
    <w:tbl>
      <w:tblPr>
        <w:tblStyle w:val="663"/>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1324"/>
        <w:gridCol w:w="1264"/>
        <w:gridCol w:w="1315"/>
        <w:gridCol w:w="1978"/>
      </w:tblGrid>
      <w:tr>
        <w:trPr>
          <w:jc w:val="center"/>
          <w:trHeight w:val="59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中标金额</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工程</w:t>
            </w:r>
            <w:r/>
          </w:p>
        </w:tc>
        <w:tc>
          <w:tcPr>
            <w:tcW w:w="19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收费上下限</w:t>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100万以下</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c>
          <w:tcPr>
            <w:tcW w:w="1978"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最低5千元</w:t>
            </w:r>
            <w:r/>
          </w:p>
          <w:p>
            <w:pPr>
              <w:jc w:val="center"/>
              <w:spacing w:line="360" w:lineRule="auto"/>
              <w:rPr>
                <w:rFonts w:ascii="宋体" w:hAnsi="宋体" w:cs="宋体"/>
                <w:sz w:val="24"/>
                <w:szCs w:val="24"/>
              </w:rPr>
            </w:pPr>
            <w:r>
              <w:rPr>
                <w:rFonts w:hint="eastAsia" w:ascii="宋体" w:hAnsi="宋体" w:cs="宋体"/>
                <w:sz w:val="24"/>
                <w:szCs w:val="24"/>
              </w:rPr>
              <w:t xml:space="preserve">最高15万元</w:t>
            </w:r>
            <w:r/>
          </w:p>
          <w:p>
            <w:pPr>
              <w:ind w:firstLine="240"/>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100万~500万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0.70%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500万~1000万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0.45%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l000万~5000万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5000万~l亿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1亿~5亿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5亿~10亿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10亿~50亿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60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50亿以上</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ind w:left="64" w:firstLine="480"/>
        <w:spacing w:line="380" w:lineRule="exact"/>
        <w:rPr>
          <w:rFonts w:ascii="宋体" w:hAnsi="宋体" w:cs="宋体"/>
          <w:sz w:val="24"/>
        </w:rPr>
      </w:pPr>
      <w:r>
        <w:rPr>
          <w:rFonts w:hint="eastAsia" w:ascii="宋体" w:hAnsi="宋体" w:cs="宋体"/>
          <w:sz w:val="24"/>
        </w:rPr>
        <w:t xml:space="preserve">说明：</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1.按上表计算的收费为代理服务全过程的收费金额。各社会代理机构不再收取采购文件制作售卖费用。</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2.代理服务费按差额定率累进法计算。</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3.代理服务费基准金额（按差额定率累进法计算的）=中标金额（按差额定率累进法计算的） * 费率（%）</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4.代理服务费应收取金额=代理服务费基准金额（按差额定率累进法计算的）的合计数。</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5.计算出的代理服务费应收取金额如低于5千元，按5千元收取；如高于15万元，按15万元收取。</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6.定点类等无金额或事先不能计算出价格总额的项目，按中标（成交）金额100万元计算服务费。</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7.多个采购包（标段）项目按总项目中标（成交）金额收费，最高不超过15万元。</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8.代理服务账户信息：</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开户行：中国工商银行新沂南京路支行</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户  名：徐州国邦工程咨询管理有限公司                                        </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账  号：1106027309210072751</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注:备注项目名称（可简写）</w:t>
      </w:r>
      <w:r/>
    </w:p>
    <w:p>
      <w:pPr>
        <w:rPr>
          <w:rFonts w:ascii="宋体" w:hAnsi="宋体" w:eastAsia="宋体" w:cs="宋体"/>
          <w:b/>
          <w:sz w:val="32"/>
          <w:lang w:eastAsia="zh-CN"/>
        </w:rPr>
      </w:pPr>
      <w:r>
        <w:rPr>
          <w:rFonts w:ascii="宋体" w:hAnsi="宋体" w:eastAsia="宋体" w:cs="宋体"/>
          <w:b/>
          <w:sz w:val="32"/>
          <w:lang w:eastAsia="zh-CN"/>
        </w:rPr>
        <w:br w:type="page" w:clear="all"/>
      </w:r>
      <w:r/>
    </w:p>
    <w:p>
      <w:pPr>
        <w:pStyle w:val="692"/>
        <w:jc w:val="center"/>
        <w:keepLines w:val="0"/>
        <w:keepNext w:val="0"/>
        <w:spacing w:before="214" w:after="214" w:line="480" w:lineRule="atLeast"/>
        <w:widowControl w:val="off"/>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第四章  评标标准</w:t>
      </w:r>
      <w:r/>
    </w:p>
    <w:tbl>
      <w:tblPr>
        <w:tblStyle w:val="685"/>
        <w:tblpPr w:horzAnchor="page" w:tblpXSpec="center" w:vertAnchor="text" w:tblpY="854" w:leftFromText="180" w:topFromText="0" w:rightFromText="180" w:bottomFromText="0"/>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568"/>
        <w:gridCol w:w="6516"/>
      </w:tblGrid>
      <w:tr>
        <w:trPr>
          <w:jc w:val="center"/>
          <w:trHeight w:val="454"/>
        </w:trPr>
        <w:tc>
          <w:tcPr>
            <w:gridSpan w:val="2"/>
            <w:tcMar>
              <w:left w:w="108" w:type="dxa"/>
              <w:top w:w="0" w:type="dxa"/>
              <w:right w:w="108" w:type="dxa"/>
              <w:bottom w:w="0" w:type="dxa"/>
            </w:tcMar>
            <w:tcW w:w="3147"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评分项目</w:t>
            </w:r>
            <w:r/>
          </w:p>
        </w:tc>
        <w:tc>
          <w:tcPr>
            <w:tcMar>
              <w:left w:w="108" w:type="dxa"/>
              <w:top w:w="0" w:type="dxa"/>
              <w:right w:w="108" w:type="dxa"/>
              <w:bottom w:w="0" w:type="dxa"/>
            </w:tcMar>
            <w:tcW w:w="6516"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评分细则</w:t>
            </w:r>
            <w:r/>
          </w:p>
        </w:tc>
      </w:tr>
      <w:tr>
        <w:trPr>
          <w:jc w:val="center"/>
          <w:trHeight w:val="1558"/>
        </w:trPr>
        <w:tc>
          <w:tcPr>
            <w:gridSpan w:val="2"/>
            <w:tcMar>
              <w:left w:w="108" w:type="dxa"/>
              <w:top w:w="0" w:type="dxa"/>
              <w:right w:w="108" w:type="dxa"/>
              <w:bottom w:w="0" w:type="dxa"/>
            </w:tcMar>
            <w:tcW w:w="3147"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投标价格</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采用低价优先法计算，即满足招标文件要求且投标人评审价格最低的投标报价为评标基准价，其价格得分为满分。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各投标人价格得分=最低报价（投标人的最低评审价格）÷各投标人评审价格×30。（按四舍五入取至小数点后两位）</w:t>
            </w:r>
            <w:r/>
          </w:p>
        </w:tc>
      </w:tr>
      <w:tr>
        <w:trPr>
          <w:jc w:val="center"/>
          <w:trHeight w:val="709"/>
        </w:trPr>
        <w:tc>
          <w:tcPr>
            <w:tcMar>
              <w:left w:w="108" w:type="dxa"/>
              <w:top w:w="0" w:type="dxa"/>
              <w:right w:w="108" w:type="dxa"/>
              <w:bottom w:w="0" w:type="dxa"/>
            </w:tcMar>
            <w:tcW w:w="1579"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商务</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w:t>
            </w:r>
            <w:r/>
          </w:p>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项目业绩</w:t>
            </w:r>
            <w:r/>
          </w:p>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2021年8月1日 (含)至今，合同内容为与本次投标产品类似的销售业绩合同，每份得2分,最高得4分。（投标人为合同乙方，以合同签订时间为准）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投标文件中应提供上述合同原件扫描件并加盖投标人电子印章。</w:t>
            </w:r>
            <w:r/>
          </w:p>
        </w:tc>
      </w:tr>
      <w:tr>
        <w:trPr>
          <w:jc w:val="center"/>
          <w:trHeight w:val="660"/>
        </w:trPr>
        <w:tc>
          <w:tcPr>
            <w:tcMar>
              <w:left w:w="108" w:type="dxa"/>
              <w:top w:w="0" w:type="dxa"/>
              <w:right w:w="108" w:type="dxa"/>
              <w:bottom w:w="0" w:type="dxa"/>
            </w:tcMar>
            <w:tcW w:w="1579" w:type="dxa"/>
            <w:vAlign w:val="center"/>
            <w:vMerge w:val="restart"/>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设备、工艺流程，包装标识、使用说明书</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（13分）</w:t>
            </w:r>
            <w:r/>
          </w:p>
        </w:tc>
        <w:tc>
          <w:tcPr>
            <w:tcMar>
              <w:left w:w="108" w:type="dxa"/>
              <w:top w:w="0" w:type="dxa"/>
              <w:right w:w="108" w:type="dxa"/>
              <w:bottom w:w="0" w:type="dxa"/>
            </w:tcMar>
            <w:tcW w:w="6516" w:type="dxa"/>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投标人提供证明资料包含（但不限于）①所投产品生产商具备的主要设备清单、</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工艺流程、</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包装标识、</w:t>
            </w:r>
            <w:r>
              <w:rPr>
                <w:rFonts w:hint="eastAsia" w:ascii="宋体" w:hAnsi="宋体" w:cs="宋体"/>
                <w:sz w:val="21"/>
                <w:szCs w:val="21"/>
                <w:lang w:eastAsia="zh-CN"/>
              </w:rPr>
              <w:t xml:space="preserve">④</w:t>
            </w:r>
            <w:r>
              <w:rPr>
                <w:rFonts w:hint="eastAsia" w:ascii="宋体" w:hAnsi="宋体" w:eastAsia="宋体" w:cs="宋体"/>
                <w:sz w:val="21"/>
                <w:szCs w:val="21"/>
                <w:lang w:eastAsia="zh-CN"/>
              </w:rPr>
              <w:t xml:space="preserve">使用说明书等内容；要求资料完整、有效、针对性强。</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663"/>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质量控制措施（10分）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质量控制措施包含（但不限于）①原材料的选择、</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生产过程的控制、</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质量的检测、</w:t>
            </w:r>
            <w:r>
              <w:rPr>
                <w:rFonts w:hint="eastAsia" w:ascii="宋体" w:hAnsi="宋体" w:cs="宋体"/>
                <w:sz w:val="21"/>
                <w:szCs w:val="21"/>
                <w:lang w:eastAsia="zh-CN"/>
              </w:rPr>
              <w:t xml:space="preserve">④生产</w:t>
            </w:r>
            <w:r>
              <w:rPr>
                <w:rFonts w:hint="eastAsia" w:ascii="宋体" w:hAnsi="宋体" w:eastAsia="宋体" w:cs="宋体"/>
                <w:sz w:val="21"/>
                <w:szCs w:val="21"/>
                <w:lang w:eastAsia="zh-CN"/>
              </w:rPr>
              <w:t xml:space="preserve">工艺技术、</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仓库储存等相关内容；</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缺陷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项目实施方案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Pr>
            <w:r>
              <w:rPr>
                <w:rFonts w:hint="eastAsia" w:ascii="宋体" w:hAnsi="宋体" w:cs="宋体"/>
                <w:sz w:val="21"/>
                <w:szCs w:val="21"/>
                <w:lang w:eastAsia="zh-CN"/>
              </w:rPr>
              <w:t xml:space="preserve">根据投标人提供的方案包含（但不限于）①针对本项目的总体概述、②配送方案措施、③进度保障措施、④对本项目重难点的措施等方面进行总体评价</w:t>
            </w:r>
            <w:r>
              <w:rPr>
                <w:rFonts w:ascii="宋体" w:hAnsi="宋体" w:cs="宋体"/>
                <w:sz w:val="21"/>
                <w:szCs w:val="21"/>
                <w:lang w:eastAsia="zh-CN"/>
              </w:rPr>
              <w:t xml:space="preserve">。</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技术指导方案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技术指导方案包含（但不限于）①指导培训的内容、</w:t>
            </w:r>
            <w:r>
              <w:rPr>
                <w:rFonts w:hint="eastAsia" w:ascii="宋体" w:hAnsi="宋体" w:cs="宋体"/>
                <w:sz w:val="21"/>
                <w:szCs w:val="21"/>
                <w:lang w:eastAsia="zh-CN"/>
              </w:rPr>
              <w:t xml:space="preserve">②现场指导方案的流程</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特殊情况的处理、</w:t>
            </w:r>
            <w:r>
              <w:rPr>
                <w:rFonts w:hint="eastAsia" w:ascii="宋体" w:hAnsi="宋体" w:cs="宋体"/>
                <w:sz w:val="21"/>
                <w:szCs w:val="21"/>
                <w:lang w:eastAsia="zh-CN"/>
              </w:rPr>
              <w:t xml:space="preserve">④本项目技术针对性的指导、</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专业性指导人员的经验及能力；</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应急方案（10分）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投标人提供的应急方案包含（</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①特殊天气的配送措施、</w:t>
            </w:r>
            <w:r>
              <w:rPr>
                <w:rFonts w:hint="eastAsia" w:ascii="宋体" w:hAnsi="宋体" w:cs="宋体"/>
                <w:sz w:val="21"/>
                <w:szCs w:val="21"/>
                <w:lang w:eastAsia="zh-CN"/>
              </w:rPr>
              <w:t xml:space="preserve">②及时处理特殊情况的响应时间、③专业应急处理团队、④临时需求应急计划等相关内容；要求方案内容完整、合理、项目针对性强。</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line="420" w:lineRule="exact"/>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4、提供的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line="420" w:lineRule="exact"/>
              <w:rPr>
                <w:lang w:eastAsia="zh-CN"/>
              </w:rP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after="0" w:line="420" w:lineRule="exact"/>
              <w:widowControl w:val="off"/>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售后服务方案（10分）</w:t>
            </w:r>
            <w:r/>
          </w:p>
          <w:p>
            <w:pPr>
              <w:ind w:left="-106" w:hanging="1"/>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Mar>
              <w:left w:w="108" w:type="dxa"/>
              <w:top w:w="0" w:type="dxa"/>
              <w:right w:w="108" w:type="dxa"/>
              <w:bottom w:w="0" w:type="dxa"/>
            </w:tcMar>
            <w:tcW w:w="6516" w:type="dxa"/>
            <w:vAlign w:val="center"/>
            <w:textDirection w:val="lrTb"/>
            <w:noWrap w:val="false"/>
          </w:tcPr>
          <w:p>
            <w:pPr>
              <w:spacing w:after="0" w:line="420" w:lineRule="exact"/>
              <w:widowControl w:val="off"/>
              <w:rPr>
                <w:rFonts w:ascii="宋体" w:hAnsi="宋体" w:eastAsia="宋体" w:cs="宋体"/>
                <w:sz w:val="21"/>
                <w:szCs w:val="21"/>
                <w:lang w:eastAsia="zh-CN"/>
              </w:rPr>
            </w:pPr>
            <w:r>
              <w:rPr>
                <w:rFonts w:hint="eastAsia" w:ascii="宋体" w:hAnsi="宋体" w:cs="宋体"/>
                <w:sz w:val="21"/>
                <w:szCs w:val="21"/>
                <w:lang w:eastAsia="zh-CN"/>
              </w:rPr>
              <w:t xml:space="preserve">售后服务方案内容</w:t>
            </w:r>
            <w:r>
              <w:rPr>
                <w:rFonts w:hint="eastAsia" w:ascii="宋体" w:hAnsi="宋体" w:eastAsia="宋体" w:cs="宋体"/>
                <w:sz w:val="21"/>
                <w:szCs w:val="21"/>
                <w:lang w:eastAsia="zh-CN"/>
              </w:rPr>
              <w:t xml:space="preserve">包括</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①质保期响应时间相匹配的售后力量、②投诉处理预案、③服务保障承诺</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④</w:t>
            </w:r>
            <w:r>
              <w:rPr>
                <w:rFonts w:hint="eastAsia" w:ascii="宋体" w:hAnsi="宋体" w:cs="宋体"/>
                <w:sz w:val="21"/>
                <w:szCs w:val="21"/>
                <w:lang w:eastAsia="zh-CN"/>
              </w:rPr>
              <w:t xml:space="preserve">质保期外提供的售后服务</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要求内容完整、合理、可行性强。</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after="0" w:line="420" w:lineRule="exact"/>
              <w:widowControl w:val="off"/>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bl>
    <w:p>
      <w:pPr>
        <w:pStyle w:val="664"/>
        <w:keepLines w:val="0"/>
        <w:keepNext w:val="0"/>
        <w:spacing w:after="0"/>
        <w:widowControl w:val="off"/>
        <w:rPr>
          <w:lang w:eastAsia="zh-CN"/>
        </w:rPr>
      </w:pPr>
      <w:r>
        <w:rPr>
          <w:lang w:eastAsia="zh-CN"/>
        </w:rPr>
      </w:r>
      <w:r/>
    </w:p>
    <w:p>
      <w:pPr>
        <w:rPr>
          <w:rFonts w:ascii="宋体" w:hAnsi="宋体" w:cs="宋体"/>
          <w:sz w:val="24"/>
          <w:lang w:eastAsia="zh-CN"/>
        </w:rPr>
      </w:pPr>
      <w:r>
        <w:rPr>
          <w:rFonts w:ascii="宋体" w:hAnsi="宋体" w:cs="宋体"/>
          <w:sz w:val="24"/>
          <w:lang w:eastAsia="zh-CN"/>
        </w:rPr>
      </w:r>
      <w:r/>
    </w:p>
    <w:p>
      <w:pPr>
        <w:rPr>
          <w:rFonts w:asciiTheme="minorEastAsia" w:hAnsiTheme="minorEastAsia" w:cstheme="minorEastAsia"/>
          <w:sz w:val="24"/>
          <w:lang w:eastAsia="zh-CN"/>
        </w:rPr>
      </w:pPr>
      <w:r>
        <w:rPr>
          <w:rFonts w:hint="eastAsia" w:asciiTheme="minorEastAsia" w:hAnsiTheme="minorEastAsia" w:cstheme="minorEastAsia"/>
          <w:sz w:val="24"/>
          <w:lang w:eastAsia="zh-CN"/>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firstLine="1807"/>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 </w:t>
      </w:r>
      <w:r/>
    </w:p>
    <w:p>
      <w:pPr>
        <w:rPr>
          <w:rFonts w:ascii="宋体" w:hAnsi="宋体" w:eastAsia="宋体" w:cs="宋体"/>
          <w:b/>
          <w:sz w:val="32"/>
          <w:lang w:eastAsia="zh-CN"/>
        </w:rPr>
      </w:pPr>
      <w:r>
        <w:rPr>
          <w:lang w:eastAsia="zh-CN"/>
        </w:rPr>
        <w:t xml:space="preserve">                                                            </w:t>
      </w: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562"/>
        <w:spacing w:before="240" w:after="24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一、项目概况</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1、项目名称：新沂市2024年农作物重大病虫疫情防控</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lang w:eastAsia="zh-CN"/>
        </w:rPr>
        <w:t xml:space="preserve">采购预算总金额为</w:t>
      </w:r>
      <w:r>
        <w:rPr>
          <w:rFonts w:hint="eastAsia" w:ascii="宋体" w:hAnsi="宋体" w:eastAsia="宋体" w:cs="宋体"/>
          <w:b/>
          <w:spacing w:val="2"/>
          <w:sz w:val="24"/>
          <w:szCs w:val="24"/>
          <w:u w:val="single"/>
          <w:lang w:eastAsia="zh-CN"/>
        </w:rPr>
        <w:t xml:space="preserve">56万元</w:t>
      </w:r>
      <w:r>
        <w:rPr>
          <w:rFonts w:hint="eastAsia" w:ascii="宋体" w:hAnsi="宋体" w:eastAsia="宋体" w:cs="宋体"/>
          <w:spacing w:val="2"/>
          <w:sz w:val="24"/>
          <w:szCs w:val="24"/>
          <w:lang w:eastAsia="zh-CN"/>
        </w:rPr>
        <w:t xml:space="preserve">人民币</w:t>
      </w:r>
      <w:r>
        <w:rPr>
          <w:rFonts w:hint="eastAsia" w:ascii="宋体" w:hAnsi="宋体" w:eastAsia="宋体" w:cs="宋体"/>
          <w:b/>
          <w:spacing w:val="2"/>
          <w:sz w:val="24"/>
          <w:szCs w:val="24"/>
          <w:lang w:eastAsia="zh-CN"/>
        </w:rPr>
        <w:t xml:space="preserve">，</w:t>
      </w:r>
      <w:r>
        <w:rPr>
          <w:rFonts w:hint="eastAsia" w:ascii="宋体" w:hAnsi="宋体" w:eastAsia="宋体" w:cs="宋体"/>
          <w:sz w:val="24"/>
          <w:szCs w:val="24"/>
          <w:lang w:eastAsia="zh-CN"/>
        </w:rPr>
        <w:t xml:space="preserve">超过预算金额的投标文件不予接受。</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3、采购范围：因工作需要，现需采购40%丙硫菌唑·戊唑醇悬浮剂、40%戊唑·咪鲜胺悬乳剂等小麦病虫防控药剂，具体内容详见招标文件及采购清单。</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4、本项目最大限度提高采购质量，在保证产品质量的前提下，扩大服务面积，故以供应商投标的每亩综合成本价作为竞争价。本项目不接受超过采购预算总金额及对应“采购金额”的投标报价，否则作无效标处理</w:t>
      </w:r>
      <w:r>
        <w:rPr>
          <w:rFonts w:hint="eastAsia" w:ascii="宋体" w:hAnsi="宋体" w:eastAsia="宋体" w:cs="宋体"/>
          <w:sz w:val="24"/>
          <w:szCs w:val="24"/>
          <w:lang w:eastAsia="zh-CN"/>
        </w:rPr>
        <w:t xml:space="preserve">。</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spacing w:before="240" w:after="240" w:line="71"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二、采购清单及技术要求</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采购内容：</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产品名称：40%丙硫菌唑·戊唑醇悬浮剂；规格：每包（瓶）≤50g（ml）；PD证；生产日期：2024年7月1日之后；登记对象：含小麦赤霉病。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2.62</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产品名称：45%戊唑.咪鲜胺水乳剂；规格：每包（瓶）≤50g（ml）；PD证；生产日期：2024年7月1日之后；登记对象：含小麦赤霉病。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3.00</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产品名称：0.01%14-羟基芸苔素甾醇水剂；规格：每包（瓶）≤10g（ml）；PD证；生产日期：2024年7月1日之后；登记对象：含小麦田调节生长。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0.82吨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bl>
    <w:p>
      <w:pPr>
        <w:pStyle w:val="664"/>
        <w:rPr>
          <w:rFonts w:eastAsiaTheme="minorEastAsia"/>
          <w:lang w:eastAsia="zh-CN"/>
        </w:rPr>
      </w:pPr>
      <w:r>
        <w:rPr>
          <w:rFonts w:eastAsiaTheme="minorEastAsia"/>
          <w:lang w:eastAsia="zh-CN"/>
        </w:rPr>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2、交货时间：成交供应商在合同签订并接到采购人供货通知后30日内将采购的货物送到甲方指定地点。</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60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4"/>
          <w:szCs w:val="24"/>
          <w:lang w:eastAsia="zh-CN"/>
        </w:rPr>
        <w:t xml:space="preserve">4、产品质保期：质保期壹年（自交货验收合格之日起计）。</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详见招标文件《拟签订的合同文本》。</w:t>
      </w:r>
      <w:r>
        <w:rPr>
          <w:lang w:eastAsia="zh-CN"/>
        </w:rPr>
        <w:br w:type="page" w:clear="all"/>
      </w:r>
      <w:r/>
    </w:p>
    <w:p>
      <w:pPr>
        <w:pStyle w:val="69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left="1400" w:hanging="140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项目名称：新沂市2024年农作物重大病虫疫情防控</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项目编号：</w:t>
      </w:r>
      <w:r/>
    </w:p>
    <w:p>
      <w:pPr>
        <w:spacing w:before="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2655"/>
        <w:jc w:val="both"/>
        <w:spacing w:line="240" w:lineRule="auto"/>
        <w:rPr>
          <w:rFonts w:ascii="宋体" w:hAnsi="宋体" w:eastAsia="宋体" w:cs="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t xml:space="preserve">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采购人（甲方）：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成交供应商（乙方）：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合同签订日期： 年 月 日</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友情提醒：采购人与中标、成交供应商应当在中标、成交通知书发出之日起三十日内，按照采购文件确定的事项签订政府采购合同。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lang w:eastAsia="zh-CN"/>
        </w:rPr>
        <w:t xml:space="preserve">  </w:t>
      </w:r>
      <w:r>
        <w:rPr>
          <w:rFonts w:hint="eastAsia" w:ascii="宋体" w:hAnsi="宋体" w:eastAsia="宋体" w:cs="宋体"/>
          <w:sz w:val="21"/>
          <w:lang w:eastAsia="zh-CN"/>
        </w:rPr>
        <w:t xml:space="preserve">    </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第二条合同范围</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第三条价格</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第四条支付</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第五条交货</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第六条包装和标记</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第七条技术资料</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第八条安装</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第九条验收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第十条售后服务和技术培训</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第十一条索赔</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第十二条不可抗力</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第十三条合同的终止</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第十四条争议的解决</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第十五条适用法律</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第十八条合同生效及其他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除本合同上下文中另有规定外，下列各词语定义如下：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1.1“买方”见《合同专用条款》。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1.2“卖方”见《合同专用条款》。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1.3“工作现场”见《合同专用条款》。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1.4“合同标的”见合同附件4。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1.5“技术资料”是指与合同标的的安装、试运行、验收、操作以及维修有关的技术指标、规格、图纸和文件。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1.6“技术培训”是指在合同标的的安装、试运行、验收、操作、维修以及其他方面卖方给予买方的培训。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1.7“安装”是指有关合同标的、备件和材料的安装工作。</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1.8“试运行”是指为验明合同标的的技术性能，在安装完毕后对合同标的进行的测试。</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1.10“合同货币”见《合同专用条款》。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1.11“合同价格”见合同附件4。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1.12“合同生效日”见《合同协议书》（合同附件1）第5 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1.13“日”是指日历天数。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1.14“月”是指日历月数。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 合同范围</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2.1买方同意从卖方购买、卖方同意向买方出售和提供的合同标的以及相关售后服务、技术培训和技术资料。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 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 合同总价见《合同专用条款》。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3.2 合同总价是固定价格。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 支付</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4.2卖方有义务根据合同的规定向买方支付违约金和/或赔偿金时。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 交货</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5.1交货期限、批次和交货条件见《合同专用条款》。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5.2交货地点见《合同专用条款》。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5.3在《合同专用条款》规定的期限内，卖方应将合同号、合同标的的名称、数量、金额、包装件数以及交货的时间以书面方式通知买方。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5.4卖方应按下列规定交付合同标的：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5.4.1卖方负责将合同标的送至《合同专用条款》规定的交货地点。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5.4.2买方出具的收据日期是合同标的的实际交货日期。</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5.5如果卖方未能按照合同规定的交货期限交货，卖方应按《合同专用条款》的规定支付违约金或提供其他救济。</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 包装与标记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6.1除非合同中另有规定，合同标的应保持产品制造企业原包装完好。</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6.2在合同标的的每件包装中都应附有下列单据：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装箱明细单；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质量合格证；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 技术资料交付的期限和方式见《合同专用条款》。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 安装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合同标的的安装期限见《合同专用条款》。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 验收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9.1合同标的的试运行、验收见《合同专用条款》。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9.2如果合同附件2 所规定的所有技术性能在验收中都已经达到，双方应在验收合格后5 日内签署验收书。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9.3买方派出1-3名技术人员参加项目实施，卖方应积极配合甲方派出的1-3名技术人员监督管理。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 售后服务和技术培训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10.1售后服务和技术培训见合同附件3。</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 索赔</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卖方替换不符合合同规定的合同标的。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按质量低劣的程度、买方受损害的程度及损失的数额对合同标的进行降价。</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拒收合同标的。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D. 赔偿由卖方违约引起的其他损失。</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 不可抗力</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 合同的终止</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卖方在合同规定的交货期限后未能按《合同专用条款》中规定的最终期限交付合同标的和/或技术资料；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合同标的未能达到合同附件2 规定的技术性能；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卖方未能履行合同项下任何其它义务，并且在收到买方违约通知后未能按《合同专用条款》中规定的期限对其违约行为作出补救。</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13.3如果买方认定卖方在投标或执行合同中有腐败或欺诈行为,买方有权在任何时候发出书面通知终止合同。</w:t>
      </w:r>
      <w:r/>
    </w:p>
    <w:p>
      <w:pPr>
        <w:ind w:left="1" w:firstLine="538"/>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A.“腐败行为”系指在招标、采购和合同执行等过程中，为谋求利益、影响相关人员而提供、给予、接受或索取任何有价物的行为。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B.“欺诈行为”系指为了影响招标、采购和合同执行等过程而隐瞒事实，从而给买方造成损害的行为，其中包括响应供应商之间的串通行为。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13.4 在买方全部或部分终止合同的情况下，卖方应按《合同专用条款》的规定对买方给予补偿。</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 争议的解决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14.1 因执行本合同所发生的或者与本合同有关的一切争议由合同双方通过友好协商解决，如果不能协商一致，按《合同专用条款》规定的方式解决。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 适用法律</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15.1 本合同的执行和争议的解决适用中华人民共和国的法律并按中华人民共和国的法律进行解释。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16.1卖方应保证买方在使用合同标的时不受第三方提出侵犯其专利权、版权、商标权或其他权利的起诉。一旦出现侵权，卖方承担全部责任。</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17.2上述秘密，卖方只能用于本合同，而且只能由卖方相应的人员使用；没有必要接触的卖方人员，不得接触。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17.3卖方应当采取适当有效的方式保护所获取的上述秘密。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 合同生效及其他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 本合同在合同协议书（合同附件1）规定的条件全部满足后生效。</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18.3 合同双方各自承担与本合同有关的应负税费。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18.4合同双方除非《合同专用条款》另有规定，所有合同文件及相关的修订和合同双方之间的书面联络，应使用中文书就并按中文解释。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18.5对本合同的任何补充、增添或修改以书面方式进行。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18.6没有另一方的事先书面同意，合同任何一方不得将合同项下的任何权利和义务转让给第三方。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18.8合同条款中的标题和边注仅供参考使用，不应视为合同的一部分，也不影响本文的解释。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18.9合同构成买方和卖方之间就合同主要内容方面的完整协议，并且取代合同签订前所有关于这方面的通讯、协商、协议(不论是书面的，还是口头的)。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第一条 定义</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 “买方”为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 “卖方”为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 “工作现场”为</w:t>
      </w:r>
      <w:r>
        <w:rPr>
          <w:rFonts w:hint="eastAsia" w:ascii="宋体" w:hAnsi="宋体" w:eastAsia="宋体" w:cs="宋体"/>
          <w:u w:val="single"/>
          <w:lang w:eastAsia="zh-CN"/>
        </w:rPr>
        <w:t xml:space="preserve">买方指定地点</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 “合同货币”即</w:t>
      </w:r>
      <w:r>
        <w:rPr>
          <w:rFonts w:hint="eastAsia" w:ascii="宋体" w:hAnsi="宋体" w:eastAsia="宋体" w:cs="宋体"/>
          <w:u w:val="single"/>
          <w:lang w:eastAsia="zh-CN"/>
        </w:rPr>
        <w:t xml:space="preserve">人民币</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第二条 合同范围</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2.1买方同意从卖方购买、卖方同意向买方出售的合同标的是</w:t>
      </w:r>
      <w:r>
        <w:rPr>
          <w:rFonts w:hint="eastAsia" w:ascii="宋体" w:hAnsi="宋体" w:eastAsia="宋体" w:cs="宋体"/>
          <w:u w:val="single"/>
          <w:lang w:eastAsia="zh-CN"/>
        </w:rPr>
        <w:t xml:space="preserve">   </w:t>
      </w:r>
      <w:r>
        <w:rPr>
          <w:rFonts w:hint="eastAsia" w:ascii="宋体" w:hAnsi="宋体" w:eastAsia="宋体" w:cs="宋体"/>
          <w:lang w:eastAsia="zh-CN"/>
        </w:rPr>
        <w:t xml:space="preserve">。详见合同附件。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第三条 价格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3.1合同总价为￥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第四条 支付</w:t>
      </w:r>
      <w:r/>
    </w:p>
    <w:p>
      <w:pPr>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本合同总金额为人民币大写金额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元（小写金额：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元），经双方协商一致，选择以下第</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种付款方式：</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（一）付款方式（提交预付款保函的）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元整，在双方签订合同，乙方向甲方出具等额预付款保函后15日内，办理政府采购资金结算手续支付给乙方。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 (</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元整，合同标的全部交付并验收合格后15日内，由买方办理政府采购资金结算手续，经审核后支付给卖方。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（二）付款方式（不提交预付款保函的）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百分之三十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30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元整，在双方签订合同后，买方收到乙方正式发票15日内办理政府采购资金结算手续支付给乙方。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百分之七十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70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元整，合同标的全部交付并验收合格后，买方收到乙方正式发票15日内，由买方办理政府采购资金结算手续，经审核后支付给卖方。</w:t>
      </w:r>
      <w:r/>
    </w:p>
    <w:p>
      <w:pPr>
        <w:ind w:firstLine="562"/>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注</w:t>
      </w:r>
      <w:r>
        <w:rPr>
          <w:rFonts w:hint="eastAsia" w:ascii="宋体" w:hAnsi="宋体" w:eastAsia="宋体" w:cs="宋体"/>
          <w:lang w:eastAsia="zh-CN"/>
        </w:rPr>
        <w:t xml:space="preserve">：</w:t>
      </w:r>
      <w:r>
        <w:rPr>
          <w:rFonts w:hint="eastAsia" w:ascii="宋体" w:hAnsi="宋体" w:eastAsia="宋体" w:cs="宋体"/>
          <w:b/>
          <w:lang w:eastAsia="zh-CN"/>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第五条 交货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5.1合同生效日后，卖方应根据买方的要求进行供货。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 交货地点为买方指定地点。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5.3卖方应在不迟于每批合同标的备妥待运前</w:t>
      </w:r>
      <w:r>
        <w:rPr>
          <w:rFonts w:hint="eastAsia" w:ascii="宋体" w:hAnsi="宋体" w:eastAsia="宋体" w:cs="宋体"/>
          <w:u w:val="single"/>
          <w:lang w:eastAsia="zh-CN"/>
        </w:rPr>
        <w:t xml:space="preserve"> 5</w:t>
      </w:r>
      <w:r>
        <w:rPr>
          <w:rFonts w:hint="eastAsia" w:ascii="宋体" w:hAnsi="宋体" w:eastAsia="宋体" w:cs="宋体"/>
          <w:lang w:eastAsia="zh-CN"/>
        </w:rPr>
        <w:t xml:space="preserve">日通知买方。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5.5如果卖方未能按照合同规定的交货期限交货，卖方应按每天迟交合同标的金额的百分之</w:t>
      </w:r>
      <w:r>
        <w:rPr>
          <w:rFonts w:hint="eastAsia" w:ascii="宋体" w:hAnsi="宋体" w:eastAsia="宋体" w:cs="宋体"/>
          <w:u w:val="single"/>
          <w:lang w:eastAsia="zh-CN"/>
        </w:rPr>
        <w:t xml:space="preserve">一</w:t>
      </w:r>
      <w:r>
        <w:rPr>
          <w:rFonts w:hint="eastAsia" w:ascii="宋体" w:hAnsi="宋体" w:eastAsia="宋体" w:cs="宋体"/>
          <w:lang w:eastAsia="zh-CN"/>
        </w:rPr>
        <w:t xml:space="preserve"> (</w:t>
      </w:r>
      <w:r>
        <w:rPr>
          <w:rFonts w:hint="eastAsia" w:ascii="宋体" w:hAnsi="宋体" w:eastAsia="宋体" w:cs="宋体"/>
          <w:u w:val="single"/>
          <w:lang w:eastAsia="zh-CN"/>
        </w:rPr>
        <w:t xml:space="preserve">1</w:t>
      </w:r>
      <w:r>
        <w:rPr>
          <w:rFonts w:hint="eastAsia" w:ascii="宋体" w:hAnsi="宋体" w:eastAsia="宋体" w:cs="宋体"/>
          <w:lang w:eastAsia="zh-CN"/>
        </w:rPr>
        <w:t xml:space="preserve">%)的比率支付违约金。违约金的总金额不超过合同总价的百分之</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 ，违约金的支付不能免除卖方继续交付相关合同标的的义务。</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如果卖方在合同规定的交货期限后</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日内仍未能交付全部或部分标的，在不妨碍买方采取其他救济手段的情况下，买方可以向卖方发出书面违约通知从而全部或部分地终止合同。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第六条 技术资料</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 技术资料随合同标的同时交付给买方。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第七条 安装</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7.1合同生效日后，卖方应根据买方的要求进行分批次供货并验收完毕。</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第八条 验收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签订合同后，所有标的出厂需经买方验收后方可发货。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8.2 合同标的的验收应在卖方的协助下进行。合同标的全部交付完毕后，卖方可向买方书面提出验收要求，买方在接到书面要求后</w:t>
      </w:r>
      <w:r>
        <w:rPr>
          <w:rFonts w:hint="eastAsia" w:ascii="宋体" w:hAnsi="宋体" w:eastAsia="宋体" w:cs="宋体"/>
          <w:u w:val="single"/>
          <w:lang w:eastAsia="zh-CN"/>
        </w:rPr>
        <w:t xml:space="preserve">10 </w:t>
      </w:r>
      <w:r>
        <w:rPr>
          <w:rFonts w:hint="eastAsia" w:ascii="宋体" w:hAnsi="宋体" w:eastAsia="宋体" w:cs="宋体"/>
          <w:lang w:eastAsia="zh-CN"/>
        </w:rPr>
        <w:t xml:space="preserve">日进行验收。如果验收因卖方原因发生迟延和/ 或在其它情况下发生额外费用，买方有权就因迟延发生的损害和损失和/或任何额外费用请求赔偿。</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第九条 索赔</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9.1买方有权选择本条款规定的任意或全部救济方式。</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第十条 不可抗力</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如果不可抗力事件的影响持续超过20日，合同任何一方均有权发出书面通知终止合同。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第十一条 合同的终止</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11.1如果卖方有下述违约行为，买方可以全部或部分地终止合同：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卖方在合同规定的交货期限后</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日内仍未能交付合同标的和/ 或技术资料；或者卖方未能履行合同项下任何其它义务，并且在收到买方违约通知后</w:t>
      </w:r>
      <w:r>
        <w:rPr>
          <w:rFonts w:hint="eastAsia" w:ascii="宋体" w:hAnsi="宋体" w:eastAsia="宋体" w:cs="宋体"/>
          <w:u w:val="single"/>
          <w:lang w:eastAsia="zh-CN"/>
        </w:rPr>
        <w:t xml:space="preserve">5</w:t>
      </w:r>
      <w:r>
        <w:rPr>
          <w:rFonts w:hint="eastAsia" w:ascii="宋体" w:hAnsi="宋体" w:eastAsia="宋体" w:cs="宋体"/>
          <w:lang w:eastAsia="zh-CN"/>
        </w:rPr>
        <w:t xml:space="preserve">日内仍未能对其违约行为作出补救。</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第十二条 争议的解决</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12.1如果不能协商一致，合同任何一方有权向买方所在地人民法院提起诉讼。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第十三条 合同生效及其他</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13.1按照《财政部关于做好政府采购信息公开工作的通知》（财库〔2015〕135号），买方依据《保守国家秘密法》等法律制度规定确定本合同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部分涉及国家秘密，该涉及国家秘密部分不公告；买方依据《反不正当竞争法》等法律制度的规定与卖方约定本合同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部分涉及商业秘密，该涉及商业秘密部分不公告。</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 合同双方的通讯地址：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rPr>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合同附件1：合同协议书</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合同附件2：技术规格和技术性能</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合同附件3：售后服务</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合同附件4：供货范围和价格清单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(要求见招标文件第七章《投标文件相关格式》中《开标一览表》和《分项价格表》；合同见卖方投标文件。)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hint="eastAsia" w:ascii="宋体" w:hAnsi="宋体" w:eastAsia="宋体" w:cs="宋体"/>
          <w:lang w:eastAsia="zh-CN"/>
        </w:rPr>
        <w:br w:type="page" w:clear="all"/>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合同协议书</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合同编号:____________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签字日期:____________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签字地点:____________ </w:t>
      </w:r>
      <w:r/>
    </w:p>
    <w:p>
      <w:pPr>
        <w:ind w:firstLine="41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10"/>
        <w:spacing w:before="240" w:after="24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 （买方名称）（以下简称“买方”）已接受</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（卖方名称）（以下简称“卖方”）对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（项目名称）（项目编号： ）的投标。</w:t>
      </w:r>
      <w:r>
        <w:rPr>
          <w:rFonts w:hint="eastAsia" w:ascii="宋体" w:hAnsi="宋体" w:eastAsia="宋体" w:cs="宋体"/>
        </w:rPr>
        <w:t xml:space="preserve">买方和卖方共同达成如下协议。</w:t>
      </w:r>
      <w:r/>
    </w:p>
    <w:p>
      <w:pPr>
        <w:numPr>
          <w:ilvl w:val="0"/>
          <w:numId w:val="1"/>
        </w:num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本合同协议书中的词语和术语的含义与合同条款中定义的相同。</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以下文件应构成买方和卖方之间达成的合同，若各文件之间存在含糊不清或互相冲突之处，优先顺序应按下列文件顺序解释。</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合同协议书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中标通知书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合同专用条款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合同通用条款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除合同附件1外的合同附件</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其他文件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考虑到买方将按照本合同向卖方支付合同价款，卖方在此保证全部按照合同的规定向买方提供合同标的、技术资料、售后服务及技术培训。</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考虑到卖方将按合同规定提供合同标的、技术资料、售后服务及技术培训，买方在此保证按照合同规定的时间和方式向卖方支付合同价款。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本合同在下列条件全部满足后生效，生效日期以下列条件全部满足的最晚日期为准： </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双方加盖公章或合同专用章；</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合同一式</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份，具有同等法律效力，买方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份，卖方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份，政府采购管理部门二份备案。</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7.本合同其他未尽事宜及与采购文件有矛盾之处，以采购文件[项目编号：  ]为准。</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买方和卖方由其正式授权代表于上述所写日期和地点签订本合同。</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ind w:firstLine="3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开户银行：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银行帐号： </w:t>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69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1. 投标函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2. 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3. 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4．偏离表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5. 授权委托书</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6. 中小企业声明函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7. 残疾人福利性单位声明函</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宋体" w:hAnsi="宋体" w:eastAsia="宋体" w:cs="宋体"/>
          <w:b/>
          <w:sz w:val="36"/>
          <w:lang w:eastAsia="zh-CN"/>
        </w:rPr>
      </w:pPr>
      <w:r>
        <w:rPr>
          <w:rFonts w:ascii="宋体" w:hAnsi="宋体" w:eastAsia="宋体" w:cs="宋体"/>
          <w:b/>
          <w:sz w:val="36"/>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新沂市农业农村局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徐州国邦工程咨询管理有限公司</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新沂市2024年农作物重大病虫疫情防控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JSZC-320381-XZGB-G2024-0020</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据此函，投标人承诺并同意如下：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投标人唯一投标报价见《开标一览表》。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投标人将按招标文件的规定履行合同责任和义务。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投标有效期为开标之日后90天。</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投标人同意在授予合同后，按照有关规定支付公证费(如有)。</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w:t>
      </w:r>
      <w:r>
        <w:rPr>
          <w:rFonts w:hint="eastAsia" w:ascii="宋体" w:hAnsi="宋体" w:eastAsia="宋体" w:cs="宋体"/>
          <w:sz w:val="24"/>
          <w:lang w:eastAsia="zh-CN"/>
        </w:rPr>
        <w:t xml:space="preserve">徐州国邦工程咨询管理有限公司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徐州国邦工程咨询管理有限公司</w:t>
      </w:r>
      <w:r>
        <w:rPr>
          <w:rFonts w:ascii="宋体" w:hAnsi="宋体" w:eastAsia="宋体" w:cs="宋体"/>
          <w:sz w:val="24"/>
          <w:lang w:eastAsia="zh-CN"/>
        </w:rPr>
        <w:t xml:space="preserve">确定。</w:t>
      </w:r>
      <w:r/>
    </w:p>
    <w:p>
      <w:pPr>
        <w:ind w:right="29"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9.徐州国邦工程咨询管理有限公司</w:t>
      </w:r>
      <w:r>
        <w:rPr>
          <w:rFonts w:ascii="宋体" w:hAnsi="宋体" w:eastAsia="宋体" w:cs="宋体"/>
          <w:sz w:val="24"/>
          <w:lang w:eastAsia="zh-CN"/>
        </w:rPr>
        <w:t xml:space="preserve">有权将我单位本项目的《开标一览表》和《分项价格表》予以公示。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电话：</w:t>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5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新沂市2024年农作物重大病虫疫情防控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JSZC-320381-XZGB-G2024-0020</w:t>
      </w:r>
      <w:r>
        <w:rPr>
          <w:rFonts w:ascii="宋体" w:hAnsi="宋体" w:eastAsia="宋体" w:cs="宋体"/>
          <w:color w:val="ff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标  段：</w:t>
      </w:r>
      <w:r/>
    </w:p>
    <w:p>
      <w:pPr>
        <w:rPr>
          <w:lang w:eastAsia="zh-CN"/>
        </w:rPr>
        <w:pBdr>
          <w:top w:val="none" w:color="000000" w:sz="0" w:space="0"/>
          <w:left w:val="none" w:color="000000" w:sz="0" w:space="0"/>
          <w:bottom w:val="none" w:color="000000" w:sz="0" w:space="0"/>
          <w:right w:val="none" w:color="000000" w:sz="0" w:space="0"/>
        </w:pBdr>
      </w:pPr>
      <w:r>
        <w:rPr>
          <w:lang w:eastAsia="zh-CN"/>
        </w:rPr>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每亩次综合成本价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（小写，保留两位小数，元）</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新沂市2024年农作物重大病虫疫情防控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每亩次综合</w:t>
            </w:r>
            <w:r>
              <w:rPr>
                <w:rFonts w:hint="eastAsia" w:ascii="宋体" w:hAnsi="宋体" w:eastAsia="宋体" w:cs="宋体"/>
                <w:lang w:eastAsia="zh-CN"/>
              </w:rPr>
              <w:t xml:space="preserve">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元</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56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ascii="宋体" w:hAnsi="宋体" w:eastAsia="宋体" w:cs="宋体"/>
          <w:lang w:eastAsia="zh-CN"/>
        </w:rPr>
        <w:t xml:space="preserve"> </w:t>
      </w:r>
      <w:r>
        <w:rPr>
          <w:rFonts w:hint="eastAsia" w:ascii="宋体" w:hAnsi="宋体" w:eastAsia="宋体" w:cs="宋体"/>
          <w:lang w:eastAsia="zh-CN"/>
        </w:rPr>
        <w:t xml:space="preserve">根据各产品的投标单价报价，按照对应产品的小麦赤霉病的最高登记剂量，或者登记用于小麦调节生长的最高使用浓度并以每亩50斤用水量为标准，分别计算出相应产品的可供货面积，然后将可供货面积相加，得出可供货总面积。最后，用采购预算金额56万元除以可供货总面积，计算得出每亩次综合成本价（四舍五入，保留两位小数）。</w:t>
      </w:r>
      <w:r/>
    </w:p>
    <w:p>
      <w:pPr>
        <w:pStyle w:val="664"/>
        <w:rPr>
          <w:rFonts w:eastAsiaTheme="minorEastAsia"/>
          <w:lang w:eastAsia="zh-CN"/>
        </w:rPr>
      </w:pPr>
      <w:r>
        <w:rPr>
          <w:rFonts w:eastAsiaTheme="minorEastAsia"/>
          <w:lang w:eastAsia="zh-CN"/>
        </w:rPr>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新沂市2024年农作物重大病虫疫情防控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JSZC-320381-XZGB-G2024-0020</w:t>
      </w:r>
      <w:r>
        <w:rPr>
          <w:rFonts w:ascii="宋体" w:hAnsi="宋体" w:eastAsia="宋体" w:cs="宋体"/>
          <w:sz w:val="24"/>
          <w:lang w:eastAsia="zh-CN"/>
        </w:rPr>
        <w:t xml:space="preserve"> </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tbl>
      <w:tblPr>
        <w:tblStyle w:val="685"/>
        <w:tblW w:w="106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975"/>
        <w:gridCol w:w="1080"/>
        <w:gridCol w:w="1133"/>
        <w:gridCol w:w="1367"/>
        <w:gridCol w:w="1325"/>
        <w:gridCol w:w="1294"/>
        <w:gridCol w:w="986"/>
        <w:gridCol w:w="986"/>
        <w:gridCol w:w="986"/>
      </w:tblGrid>
      <w:tr>
        <w:trPr>
          <w:trHeight w:val="29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2"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序号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产品名称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包装</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规格</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生产企业名称（全称）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生产企业类型（大型、中型、小型、微型、监狱企业、享受政府采购支持政策的残疾人福利性单位）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2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采购金额（万元）</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9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单价</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报价</w:t>
            </w:r>
            <w:r/>
          </w:p>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（万元/吨）</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供货吨数（保留两位小数，不得低于采购最低数量）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eastAsia="zh-CN"/>
              </w:rPr>
              <w:t xml:space="preserve">产品登记小麦相关病虫的亩最高用量（g、ml）</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eastAsia="zh-CN"/>
              </w:rPr>
              <w:t xml:space="preserve">按最高亩登记剂量计算，可供货面积（亩）</w:t>
            </w:r>
            <w:r/>
          </w:p>
        </w:tc>
      </w:tr>
      <w:tr>
        <w:trP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2"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25"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9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2"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25" w:type="dxa"/>
            <w:vAlign w:val="center"/>
            <w:textDirection w:val="lrTb"/>
            <w:noWrap w:val="false"/>
          </w:tcPr>
          <w:p>
            <w:pP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9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2"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7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80"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25"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9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bl>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518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ind w:firstLine="56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1．如果不提供详细分项报价将视为没有实质性响应招标文件。</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投标人对以上数据的真实性负责。</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w:t>
      </w:r>
      <w:r>
        <w:rPr>
          <w:rFonts w:hint="eastAsia" w:ascii="宋体" w:hAnsi="宋体" w:cs="仿宋"/>
          <w:b/>
          <w:bCs/>
          <w:sz w:val="24"/>
          <w:szCs w:val="28"/>
          <w:lang w:eastAsia="zh-CN"/>
        </w:rPr>
        <w:t xml:space="preserve">采购人或采购代理机构有权将以上内容进行公示。</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新沂市2024年农作物重大病虫疫情防控</w:t>
      </w:r>
      <w:r/>
    </w:p>
    <w:p>
      <w:pPr>
        <w:jc w:val="both"/>
        <w:spacing w:after="0" w:line="85"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JSZC-320381-XZGB-G2024-0020</w:t>
      </w:r>
      <w:r>
        <w:rPr>
          <w:rFonts w:ascii="宋体" w:hAnsi="宋体" w:eastAsia="宋体" w:cs="宋体"/>
          <w:color w:val="ff0000"/>
          <w:sz w:val="24"/>
          <w:lang w:eastAsia="zh-CN"/>
        </w:rPr>
        <w:t xml:space="preserve"> </w:t>
      </w:r>
      <w:r/>
    </w:p>
    <w:tbl>
      <w:tblPr>
        <w:tblStyle w:val="6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617"/>
        <w:gridCol w:w="1700"/>
        <w:gridCol w:w="2049"/>
        <w:gridCol w:w="1887"/>
        <w:gridCol w:w="1050"/>
      </w:tblGrid>
      <w:tr>
        <w:trPr>
          <w:trHeight w:val="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7"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676"/>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新沂市2024年农作物重大病虫疫情防控</w:t>
      </w:r>
      <w:r>
        <w:rPr>
          <w:rFonts w:ascii="宋体" w:hAnsi="宋体" w:eastAsia="宋体" w:cs="宋体"/>
          <w:sz w:val="24"/>
          <w:lang w:eastAsia="zh-CN"/>
        </w:rPr>
        <w:t xml:space="preserve">）项目[项目编号：</w:t>
      </w:r>
      <w:r>
        <w:rPr>
          <w:rFonts w:hint="eastAsia" w:ascii="宋体" w:hAnsi="宋体" w:eastAsia="宋体" w:cs="宋体"/>
          <w:sz w:val="24"/>
          <w:lang w:eastAsia="zh-CN"/>
        </w:rPr>
        <w:t xml:space="preserve">      </w:t>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新沂市2024年农作物重大病虫疫情防控</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JSZC-320381-XZGB-G2024-0020</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3513"/>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本项目采购项目属性为：</w:t>
      </w:r>
      <w:r>
        <w:rPr>
          <w:rFonts w:hint="eastAsia" w:ascii="宋体" w:hAnsi="宋体" w:eastAsia="宋体" w:cs="宋体"/>
          <w:b/>
          <w:u w:val="single"/>
          <w:lang w:eastAsia="zh-CN"/>
        </w:rPr>
        <w:t xml:space="preserve">基础化学品及相关产品</w:t>
      </w:r>
      <w:r>
        <w:rPr>
          <w:rFonts w:hint="eastAsia" w:ascii="宋体" w:hAnsi="宋体" w:eastAsia="宋体" w:cs="宋体"/>
          <w:b/>
          <w:lang w:eastAsia="zh-CN"/>
        </w:rPr>
        <w:t xml:space="preserve">。</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备注：</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1、从业人员、营业收入、资产总额填报上一年度数据，无上一年度数据的新成立企业可不填报。</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2、《中小企业声明函》查询渠道参考工业和信息化部发布的中小企业规模自测小程序。</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rPr>
          <w:rFonts w:ascii="宋体" w:hAnsi="宋体" w:eastAsia="宋体" w:cs="宋体"/>
          <w:lang w:eastAsia="zh-CN"/>
        </w:rPr>
        <mc:AlternateContent>
          <mc:Choice Requires="wpg">
            <w:drawing>
              <wp:inline xmlns:wp="http://schemas.openxmlformats.org/drawingml/2006/wordprocessingDrawing" distT="0" distB="0" distL="0" distR="0">
                <wp:extent cx="2857500" cy="57150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857500" cy="57150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0pt;height:450.0pt;mso-wrap-distance-left:0.0pt;mso-wrap-distance-top:0.0pt;mso-wrap-distance-right:0.0pt;mso-wrap-distance-bottom:0.0pt;" stroked="f">
                <v:path textboxrect="0,0,0,0"/>
                <v:imagedata r:id="rId12" o:title=""/>
              </v:shape>
            </w:pict>
          </mc:Fallback>
        </mc:AlternateContent>
      </w:r>
      <w:r/>
    </w:p>
    <w:p>
      <w:pPr>
        <w:ind w:right="6" w:firstLine="482"/>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pStyle w:val="664"/>
        <w:rPr>
          <w:rFonts w:eastAsiaTheme="minorEastAsia"/>
          <w:lang w:eastAsia="zh-CN"/>
        </w:rPr>
      </w:pPr>
      <w:r>
        <w:rPr>
          <w:rFonts w:eastAsiaTheme="minorEastAsia"/>
          <w:lang w:eastAsia="zh-CN"/>
        </w:rPr>
      </w:r>
      <w:r/>
    </w:p>
    <w:p>
      <w:pPr>
        <w:rPr>
          <w:lang w:eastAsia="zh-CN"/>
        </w:rPr>
      </w:pPr>
      <w:r>
        <w:rPr>
          <w:lang w:eastAsia="zh-CN"/>
        </w:rPr>
      </w:r>
      <w:r/>
    </w:p>
    <w:p>
      <w:pPr>
        <w:pStyle w:val="664"/>
        <w:rPr>
          <w:rFonts w:eastAsiaTheme="minorEastAsia"/>
          <w:lang w:eastAsia="zh-CN"/>
        </w:rPr>
      </w:pPr>
      <w:r>
        <w:rPr>
          <w:rFonts w:eastAsiaTheme="minorEastAsia"/>
          <w:lang w:eastAsia="zh-CN"/>
        </w:rPr>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新沂市2024年农作物重大病虫疫情防控</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ascii="宋体" w:hAnsi="宋体" w:eastAsia="宋体" w:cs="宋体"/>
          <w:color w:val="auto"/>
          <w:sz w:val="24"/>
          <w:lang w:eastAsia="zh-CN"/>
        </w:rPr>
        <w:t xml:space="preserve">JSZC-320381-XZGB-G2024-0020</w:t>
      </w:r>
      <w:r>
        <w:rPr>
          <w:rFonts w:ascii="宋体" w:hAnsi="宋体" w:eastAsia="宋体" w:cs="宋体"/>
          <w:color w:val="ff0000"/>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新沂市2024年农作物重大病虫疫情防控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JSZC-320381-XZGB-G2024-0020</w:t>
      </w:r>
      <w:r>
        <w:rPr>
          <w:rFonts w:ascii="宋体" w:hAnsi="宋体" w:eastAsia="宋体" w:cs="宋体"/>
          <w:color w:val="auto"/>
          <w:sz w:val="24"/>
          <w:lang w:eastAsia="zh-CN"/>
        </w:rPr>
        <w:t xml:space="preserve">]</w:t>
      </w:r>
      <w:r>
        <w:rPr>
          <w:rFonts w:ascii="宋体" w:hAnsi="宋体" w:eastAsia="宋体" w:cs="宋体"/>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新沂市2024年农作物重大病虫疫情防控</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项目编号：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新沂市2024年农作物重大病虫疫情防控</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sectPr>
      <w:footerReference w:type="default" r:id="rId9"/>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仿宋_GB2312">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907808"/>
      <w:rPr/>
    </w:sdtPr>
    <w:sdtContent>
      <w:p>
        <w:pPr>
          <w:pStyle w:val="702"/>
          <w:jc w:val="center"/>
          <w:rPr>
            <w:sz w:val="18"/>
          </w:rPr>
        </w:pPr>
        <w:r>
          <w:rPr>
            <w:sz w:val="18"/>
          </w:rPr>
          <w:fldChar w:fldCharType="begin"/>
        </w:r>
        <w:r>
          <w:rPr>
            <w:sz w:val="18"/>
          </w:rPr>
          <w:instrText xml:space="preserve">PAGE   \* MERGEFORMAT</w:instrText>
        </w:r>
        <w:r>
          <w:rPr>
            <w:sz w:val="18"/>
          </w:rPr>
          <w:fldChar w:fldCharType="separate"/>
        </w:r>
        <w:r>
          <w:rPr>
            <w:sz w:val="18"/>
            <w:lang w:val="zh-CN" w:eastAsia="zh-CN"/>
          </w:rPr>
          <w:t xml:space="preserve">49</w:t>
        </w:r>
        <w:r>
          <w:rPr>
            <w:sz w:val="18"/>
          </w:rPr>
          <w:fldChar w:fldCharType="end"/>
        </w:r>
        <w:r/>
      </w:p>
    </w:sdtContent>
  </w:sdt>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TOC Heading"/>
    <w:uiPriority w:val="39"/>
    <w:unhideWhenUsed/>
  </w:style>
  <w:style w:type="paragraph" w:styleId="661" w:default="1">
    <w:name w:val="Normal"/>
    <w:next w:val="664"/>
    <w:uiPriority w:val="0"/>
    <w:qFormat/>
    <w:pPr>
      <w:spacing w:after="200" w:line="276" w:lineRule="auto"/>
    </w:pPr>
    <w:rPr>
      <w:rFonts w:asciiTheme="minorHAnsi" w:hAnsiTheme="minorHAnsi" w:eastAsiaTheme="minorEastAsia" w:cstheme="minorBidi"/>
      <w:sz w:val="22"/>
      <w:szCs w:val="22"/>
      <w:lang w:val="en-US" w:eastAsia="en-US" w:bidi="ar-SA"/>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Heading 4"/>
    <w:basedOn w:val="661"/>
    <w:next w:val="661"/>
    <w:uiPriority w:val="9"/>
    <w:unhideWhenUsed/>
    <w:qFormat/>
    <w:pPr>
      <w:keepLines/>
      <w:keepNext/>
      <w:spacing w:before="320"/>
      <w:outlineLvl w:val="3"/>
    </w:pPr>
    <w:rPr>
      <w:rFonts w:ascii="Arial" w:hAnsi="Arial" w:eastAsia="Arial" w:cs="Arial"/>
      <w:b/>
      <w:bCs/>
      <w:sz w:val="26"/>
      <w:szCs w:val="26"/>
    </w:rPr>
  </w:style>
  <w:style w:type="paragraph" w:styleId="665">
    <w:name w:val="toc 7"/>
    <w:basedOn w:val="661"/>
    <w:next w:val="661"/>
    <w:uiPriority w:val="39"/>
    <w:unhideWhenUsed/>
    <w:qFormat/>
    <w:pPr>
      <w:ind w:left="1701"/>
      <w:spacing w:after="57"/>
    </w:pPr>
  </w:style>
  <w:style w:type="paragraph" w:styleId="666">
    <w:name w:val="Body Text"/>
    <w:basedOn w:val="661"/>
    <w:link w:val="874"/>
    <w:uiPriority w:val="99"/>
    <w:qFormat/>
    <w:pPr>
      <w:jc w:val="both"/>
      <w:spacing w:after="120" w:line="240" w:lineRule="auto"/>
      <w:widowControl w:val="off"/>
    </w:pPr>
    <w:rPr>
      <w:rFonts w:ascii="Calibri" w:hAnsi="Calibri" w:eastAsia="宋体" w:cs="Times New Roman"/>
      <w:sz w:val="21"/>
      <w:szCs w:val="24"/>
      <w:lang w:eastAsia="zh-CN"/>
    </w:rPr>
  </w:style>
  <w:style w:type="paragraph" w:styleId="667">
    <w:name w:val="Body Text Indent"/>
    <w:basedOn w:val="661"/>
    <w:link w:val="873"/>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668">
    <w:name w:val="Block Text"/>
    <w:basedOn w:val="661"/>
    <w:uiPriority w:val="99"/>
    <w:unhideWhenUsed/>
    <w:qFormat/>
    <w:pPr>
      <w:ind w:left="1440" w:right="1440"/>
      <w:spacing w:after="120"/>
    </w:pPr>
  </w:style>
  <w:style w:type="paragraph" w:styleId="669">
    <w:name w:val="toc 5"/>
    <w:basedOn w:val="661"/>
    <w:next w:val="661"/>
    <w:uiPriority w:val="39"/>
    <w:unhideWhenUsed/>
    <w:qFormat/>
    <w:pPr>
      <w:ind w:left="1134"/>
      <w:spacing w:after="57"/>
    </w:pPr>
  </w:style>
  <w:style w:type="paragraph" w:styleId="670">
    <w:name w:val="toc 3"/>
    <w:basedOn w:val="661"/>
    <w:next w:val="661"/>
    <w:uiPriority w:val="39"/>
    <w:unhideWhenUsed/>
    <w:qFormat/>
    <w:pPr>
      <w:ind w:left="567"/>
      <w:spacing w:after="57"/>
    </w:pPr>
  </w:style>
  <w:style w:type="paragraph" w:styleId="671">
    <w:name w:val="toc 8"/>
    <w:basedOn w:val="661"/>
    <w:next w:val="661"/>
    <w:uiPriority w:val="39"/>
    <w:unhideWhenUsed/>
    <w:qFormat/>
    <w:pPr>
      <w:ind w:left="1984"/>
      <w:spacing w:after="57"/>
    </w:pPr>
  </w:style>
  <w:style w:type="paragraph" w:styleId="672">
    <w:name w:val="endnote text"/>
    <w:basedOn w:val="661"/>
    <w:link w:val="867"/>
    <w:uiPriority w:val="99"/>
    <w:semiHidden/>
    <w:unhideWhenUsed/>
    <w:qFormat/>
    <w:pPr>
      <w:spacing w:after="0" w:line="240" w:lineRule="auto"/>
    </w:pPr>
    <w:rPr>
      <w:sz w:val="20"/>
    </w:rPr>
  </w:style>
  <w:style w:type="paragraph" w:styleId="673">
    <w:name w:val="Balloon Text"/>
    <w:basedOn w:val="661"/>
    <w:link w:val="871"/>
    <w:uiPriority w:val="99"/>
    <w:semiHidden/>
    <w:unhideWhenUsed/>
    <w:qFormat/>
    <w:pPr>
      <w:spacing w:after="0" w:line="240" w:lineRule="auto"/>
    </w:pPr>
    <w:rPr>
      <w:sz w:val="18"/>
      <w:szCs w:val="18"/>
    </w:rPr>
  </w:style>
  <w:style w:type="paragraph" w:styleId="674">
    <w:name w:val="Footer"/>
    <w:basedOn w:val="661"/>
    <w:link w:val="883"/>
    <w:uiPriority w:val="99"/>
    <w:semiHidden/>
    <w:unhideWhenUsed/>
    <w:qFormat/>
    <w:pPr>
      <w:spacing w:line="240" w:lineRule="auto"/>
      <w:tabs>
        <w:tab w:val="center" w:pos="4153" w:leader="none"/>
        <w:tab w:val="right" w:pos="8306" w:leader="none"/>
      </w:tabs>
    </w:pPr>
    <w:rPr>
      <w:sz w:val="18"/>
      <w:szCs w:val="18"/>
    </w:rPr>
  </w:style>
  <w:style w:type="paragraph" w:styleId="675">
    <w:name w:val="Header"/>
    <w:basedOn w:val="661"/>
    <w:link w:val="882"/>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76">
    <w:name w:val="toc 1"/>
    <w:basedOn w:val="661"/>
    <w:next w:val="661"/>
    <w:uiPriority w:val="39"/>
    <w:unhideWhenUsed/>
    <w:qFormat/>
    <w:pPr>
      <w:spacing w:after="57"/>
    </w:pPr>
  </w:style>
  <w:style w:type="paragraph" w:styleId="677">
    <w:name w:val="toc 4"/>
    <w:basedOn w:val="661"/>
    <w:next w:val="661"/>
    <w:uiPriority w:val="39"/>
    <w:unhideWhenUsed/>
    <w:qFormat/>
    <w:pPr>
      <w:ind w:left="850"/>
      <w:spacing w:after="57"/>
    </w:pPr>
  </w:style>
  <w:style w:type="paragraph" w:styleId="678">
    <w:name w:val="Subtitle"/>
    <w:basedOn w:val="661"/>
    <w:next w:val="661"/>
    <w:link w:val="733"/>
    <w:uiPriority w:val="11"/>
    <w:qFormat/>
    <w:pPr>
      <w:spacing w:before="200"/>
    </w:pPr>
    <w:rPr>
      <w:sz w:val="24"/>
      <w:szCs w:val="24"/>
    </w:rPr>
  </w:style>
  <w:style w:type="paragraph" w:styleId="679">
    <w:name w:val="footnote text"/>
    <w:basedOn w:val="661"/>
    <w:link w:val="866"/>
    <w:uiPriority w:val="99"/>
    <w:semiHidden/>
    <w:unhideWhenUsed/>
    <w:qFormat/>
    <w:pPr>
      <w:spacing w:after="40" w:line="240" w:lineRule="auto"/>
    </w:pPr>
    <w:rPr>
      <w:sz w:val="18"/>
    </w:rPr>
  </w:style>
  <w:style w:type="paragraph" w:styleId="680">
    <w:name w:val="toc 6"/>
    <w:basedOn w:val="661"/>
    <w:next w:val="661"/>
    <w:uiPriority w:val="39"/>
    <w:unhideWhenUsed/>
    <w:qFormat/>
    <w:pPr>
      <w:ind w:left="1417"/>
      <w:spacing w:after="57"/>
    </w:pPr>
  </w:style>
  <w:style w:type="paragraph" w:styleId="681">
    <w:name w:val="table of figures"/>
    <w:basedOn w:val="661"/>
    <w:next w:val="661"/>
    <w:uiPriority w:val="99"/>
    <w:unhideWhenUsed/>
    <w:qFormat/>
    <w:pPr>
      <w:spacing w:after="0"/>
    </w:pPr>
  </w:style>
  <w:style w:type="paragraph" w:styleId="682">
    <w:name w:val="toc 2"/>
    <w:basedOn w:val="661"/>
    <w:next w:val="661"/>
    <w:uiPriority w:val="39"/>
    <w:unhideWhenUsed/>
    <w:qFormat/>
    <w:pPr>
      <w:ind w:left="283"/>
      <w:spacing w:after="57"/>
    </w:pPr>
  </w:style>
  <w:style w:type="paragraph" w:styleId="683">
    <w:name w:val="toc 9"/>
    <w:basedOn w:val="661"/>
    <w:next w:val="661"/>
    <w:uiPriority w:val="39"/>
    <w:unhideWhenUsed/>
    <w:qFormat/>
    <w:pPr>
      <w:ind w:left="2268"/>
      <w:spacing w:after="57"/>
    </w:pPr>
  </w:style>
  <w:style w:type="paragraph" w:styleId="684">
    <w:name w:val="Title"/>
    <w:basedOn w:val="661"/>
    <w:next w:val="661"/>
    <w:link w:val="732"/>
    <w:uiPriority w:val="10"/>
    <w:qFormat/>
    <w:pPr>
      <w:contextualSpacing/>
      <w:spacing w:before="300"/>
    </w:pPr>
    <w:rPr>
      <w:sz w:val="48"/>
      <w:szCs w:val="48"/>
    </w:rPr>
  </w:style>
  <w:style w:type="table" w:styleId="685">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uiPriority w:val="99"/>
    <w:semiHidden/>
    <w:unhideWhenUsed/>
    <w:qFormat/>
    <w:rPr>
      <w:vertAlign w:val="superscript"/>
    </w:rPr>
  </w:style>
  <w:style w:type="character" w:styleId="687">
    <w:name w:val="Hyperlink"/>
    <w:uiPriority w:val="99"/>
    <w:unhideWhenUsed/>
    <w:qFormat/>
    <w:rPr>
      <w:color w:val="0563c1" w:themeColor="hyperlink"/>
      <w:u w:val="single"/>
    </w:rPr>
  </w:style>
  <w:style w:type="character" w:styleId="688">
    <w:name w:val="footnote reference"/>
    <w:uiPriority w:val="99"/>
    <w:unhideWhenUsed/>
    <w:qFormat/>
    <w:rPr>
      <w:vertAlign w:val="superscript"/>
    </w:rPr>
  </w:style>
  <w:style w:type="paragraph" w:styleId="689" w:customStyle="1">
    <w:name w:val="Footer"/>
    <w:basedOn w:val="661"/>
    <w:link w:val="881"/>
    <w:uiPriority w:val="99"/>
    <w:semiHidden/>
    <w:unhideWhenUsed/>
    <w:qFormat/>
    <w:pPr>
      <w:spacing w:line="240" w:lineRule="auto"/>
      <w:tabs>
        <w:tab w:val="center" w:pos="4153" w:leader="none"/>
        <w:tab w:val="right" w:pos="8306" w:leader="none"/>
      </w:tabs>
    </w:pPr>
    <w:rPr>
      <w:sz w:val="18"/>
      <w:szCs w:val="18"/>
    </w:rPr>
  </w:style>
  <w:style w:type="paragraph" w:styleId="690" w:customStyle="1">
    <w:name w:val="Header"/>
    <w:basedOn w:val="661"/>
    <w:link w:val="880"/>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91" w:customStyle="1">
    <w:name w:val="TOC 标题1"/>
    <w:uiPriority w:val="39"/>
    <w:unhideWhenUsed/>
    <w:qFormat/>
    <w:rPr>
      <w:rFonts w:asciiTheme="minorHAnsi" w:hAnsiTheme="minorHAnsi" w:eastAsiaTheme="minorEastAsia" w:cstheme="minorBidi"/>
      <w:lang w:val="en-US" w:eastAsia="zh-CN" w:bidi="ar-SA"/>
    </w:rPr>
  </w:style>
  <w:style w:type="paragraph" w:styleId="692" w:customStyle="1">
    <w:name w:val="Heading 1"/>
    <w:basedOn w:val="661"/>
    <w:next w:val="661"/>
    <w:link w:val="723"/>
    <w:uiPriority w:val="9"/>
    <w:qFormat/>
    <w:pPr>
      <w:keepLines/>
      <w:keepNext/>
      <w:spacing w:before="480"/>
      <w:outlineLvl w:val="0"/>
    </w:pPr>
    <w:rPr>
      <w:rFonts w:ascii="Arial" w:hAnsi="Arial" w:eastAsia="Arial" w:cs="Arial"/>
      <w:sz w:val="40"/>
      <w:szCs w:val="40"/>
    </w:rPr>
  </w:style>
  <w:style w:type="paragraph" w:styleId="693" w:customStyle="1">
    <w:name w:val="Heading 2"/>
    <w:basedOn w:val="661"/>
    <w:next w:val="661"/>
    <w:link w:val="724"/>
    <w:uiPriority w:val="9"/>
    <w:unhideWhenUsed/>
    <w:qFormat/>
    <w:pPr>
      <w:keepLines/>
      <w:keepNext/>
      <w:spacing w:before="360"/>
      <w:outlineLvl w:val="1"/>
    </w:pPr>
    <w:rPr>
      <w:rFonts w:ascii="Arial" w:hAnsi="Arial" w:eastAsia="Arial" w:cs="Arial"/>
      <w:sz w:val="34"/>
    </w:rPr>
  </w:style>
  <w:style w:type="paragraph" w:styleId="694" w:customStyle="1">
    <w:name w:val="Heading 3"/>
    <w:basedOn w:val="661"/>
    <w:next w:val="661"/>
    <w:link w:val="725"/>
    <w:uiPriority w:val="9"/>
    <w:unhideWhenUsed/>
    <w:qFormat/>
    <w:pPr>
      <w:keepLines/>
      <w:keepNext/>
      <w:spacing w:before="320"/>
      <w:outlineLvl w:val="2"/>
    </w:pPr>
    <w:rPr>
      <w:rFonts w:ascii="Arial" w:hAnsi="Arial" w:eastAsia="Arial" w:cs="Arial"/>
      <w:sz w:val="30"/>
      <w:szCs w:val="30"/>
    </w:rPr>
  </w:style>
  <w:style w:type="paragraph" w:styleId="695" w:customStyle="1">
    <w:name w:val="Heading 41"/>
    <w:basedOn w:val="661"/>
    <w:next w:val="661"/>
    <w:link w:val="726"/>
    <w:uiPriority w:val="9"/>
    <w:unhideWhenUsed/>
    <w:qFormat/>
    <w:pPr>
      <w:keepLines/>
      <w:keepNext/>
      <w:spacing w:before="320"/>
      <w:outlineLvl w:val="3"/>
    </w:pPr>
    <w:rPr>
      <w:rFonts w:ascii="Arial" w:hAnsi="Arial" w:eastAsia="Arial" w:cs="Arial"/>
      <w:b/>
      <w:bCs/>
      <w:sz w:val="26"/>
      <w:szCs w:val="26"/>
    </w:rPr>
  </w:style>
  <w:style w:type="paragraph" w:styleId="696" w:customStyle="1">
    <w:name w:val="Heading 5"/>
    <w:basedOn w:val="661"/>
    <w:next w:val="661"/>
    <w:link w:val="727"/>
    <w:uiPriority w:val="9"/>
    <w:unhideWhenUsed/>
    <w:qFormat/>
    <w:pPr>
      <w:keepLines/>
      <w:keepNext/>
      <w:spacing w:before="320"/>
      <w:outlineLvl w:val="4"/>
    </w:pPr>
    <w:rPr>
      <w:rFonts w:ascii="Arial" w:hAnsi="Arial" w:eastAsia="Arial" w:cs="Arial"/>
      <w:b/>
      <w:bCs/>
      <w:sz w:val="24"/>
      <w:szCs w:val="24"/>
    </w:rPr>
  </w:style>
  <w:style w:type="paragraph" w:styleId="697" w:customStyle="1">
    <w:name w:val="Heading 6"/>
    <w:basedOn w:val="661"/>
    <w:next w:val="661"/>
    <w:link w:val="728"/>
    <w:uiPriority w:val="9"/>
    <w:unhideWhenUsed/>
    <w:qFormat/>
    <w:pPr>
      <w:keepLines/>
      <w:keepNext/>
      <w:spacing w:before="320"/>
      <w:outlineLvl w:val="5"/>
    </w:pPr>
    <w:rPr>
      <w:rFonts w:ascii="Arial" w:hAnsi="Arial" w:eastAsia="Arial" w:cs="Arial"/>
      <w:b/>
      <w:bCs/>
    </w:rPr>
  </w:style>
  <w:style w:type="paragraph" w:styleId="698" w:customStyle="1">
    <w:name w:val="Heading 7"/>
    <w:basedOn w:val="661"/>
    <w:next w:val="661"/>
    <w:link w:val="729"/>
    <w:uiPriority w:val="9"/>
    <w:unhideWhenUsed/>
    <w:qFormat/>
    <w:pPr>
      <w:keepLines/>
      <w:keepNext/>
      <w:spacing w:before="320"/>
      <w:outlineLvl w:val="6"/>
    </w:pPr>
    <w:rPr>
      <w:rFonts w:ascii="Arial" w:hAnsi="Arial" w:eastAsia="Arial" w:cs="Arial"/>
      <w:b/>
      <w:bCs/>
      <w:i/>
      <w:iCs/>
    </w:rPr>
  </w:style>
  <w:style w:type="paragraph" w:styleId="699" w:customStyle="1">
    <w:name w:val="Heading 8"/>
    <w:basedOn w:val="661"/>
    <w:next w:val="661"/>
    <w:link w:val="730"/>
    <w:uiPriority w:val="9"/>
    <w:unhideWhenUsed/>
    <w:qFormat/>
    <w:pPr>
      <w:keepLines/>
      <w:keepNext/>
      <w:spacing w:before="320"/>
      <w:outlineLvl w:val="7"/>
    </w:pPr>
    <w:rPr>
      <w:rFonts w:ascii="Arial" w:hAnsi="Arial" w:eastAsia="Arial" w:cs="Arial"/>
      <w:i/>
      <w:iCs/>
    </w:rPr>
  </w:style>
  <w:style w:type="paragraph" w:styleId="700" w:customStyle="1">
    <w:name w:val="Heading 9"/>
    <w:basedOn w:val="661"/>
    <w:next w:val="661"/>
    <w:link w:val="731"/>
    <w:uiPriority w:val="9"/>
    <w:unhideWhenUsed/>
    <w:qFormat/>
    <w:pPr>
      <w:keepLines/>
      <w:keepNext/>
      <w:spacing w:before="320"/>
      <w:outlineLvl w:val="8"/>
    </w:pPr>
    <w:rPr>
      <w:rFonts w:ascii="Arial" w:hAnsi="Arial" w:eastAsia="Arial" w:cs="Arial"/>
      <w:i/>
      <w:iCs/>
      <w:sz w:val="21"/>
      <w:szCs w:val="21"/>
    </w:rPr>
  </w:style>
  <w:style w:type="paragraph" w:styleId="701" w:customStyle="1">
    <w:name w:val="Caption"/>
    <w:basedOn w:val="661"/>
    <w:next w:val="661"/>
    <w:uiPriority w:val="35"/>
    <w:semiHidden/>
    <w:unhideWhenUsed/>
    <w:qFormat/>
    <w:rPr>
      <w:b/>
      <w:bCs/>
      <w:color w:val="5b9bd5" w:themeColor="accent1"/>
      <w:sz w:val="18"/>
      <w:szCs w:val="18"/>
    </w:rPr>
  </w:style>
  <w:style w:type="paragraph" w:styleId="702" w:customStyle="1">
    <w:name w:val="Footer1"/>
    <w:basedOn w:val="661"/>
    <w:link w:val="740"/>
    <w:uiPriority w:val="99"/>
    <w:unhideWhenUsed/>
    <w:qFormat/>
    <w:pPr>
      <w:spacing w:after="0" w:line="240" w:lineRule="auto"/>
      <w:tabs>
        <w:tab w:val="center" w:pos="7143" w:leader="none"/>
        <w:tab w:val="right" w:pos="14287" w:leader="none"/>
      </w:tabs>
    </w:pPr>
  </w:style>
  <w:style w:type="paragraph" w:styleId="703" w:customStyle="1">
    <w:name w:val="Header1"/>
    <w:basedOn w:val="661"/>
    <w:link w:val="738"/>
    <w:uiPriority w:val="99"/>
    <w:unhideWhenUsed/>
    <w:qFormat/>
    <w:pPr>
      <w:spacing w:after="0" w:line="240" w:lineRule="auto"/>
      <w:tabs>
        <w:tab w:val="center" w:pos="7143" w:leader="none"/>
        <w:tab w:val="right" w:pos="14287" w:leader="none"/>
      </w:tabs>
    </w:pPr>
  </w:style>
  <w:style w:type="paragraph" w:styleId="704" w:customStyle="1">
    <w:name w:val="TOC 标题113"/>
    <w:uiPriority w:val="39"/>
    <w:unhideWhenUsed/>
    <w:qFormat/>
    <w:rPr>
      <w:rFonts w:asciiTheme="minorHAnsi" w:hAnsiTheme="minorHAnsi" w:eastAsiaTheme="minorEastAsia" w:cstheme="minorBidi"/>
      <w:lang w:val="en-US" w:eastAsia="zh-CN" w:bidi="ar-SA"/>
    </w:rPr>
  </w:style>
  <w:style w:type="paragraph" w:styleId="705" w:customStyle="1">
    <w:name w:val="TOC 标题112"/>
    <w:uiPriority w:val="39"/>
    <w:unhideWhenUsed/>
    <w:qFormat/>
    <w:rPr>
      <w:rFonts w:asciiTheme="minorHAnsi" w:hAnsiTheme="minorHAnsi" w:eastAsiaTheme="minorEastAsia" w:cstheme="minorBidi"/>
      <w:lang w:val="en-US" w:eastAsia="zh-CN" w:bidi="ar-SA"/>
    </w:rPr>
  </w:style>
  <w:style w:type="character" w:styleId="706" w:customStyle="1">
    <w:name w:val="Heading 2 Char"/>
    <w:basedOn w:val="662"/>
    <w:uiPriority w:val="9"/>
    <w:qFormat/>
    <w:rPr>
      <w:rFonts w:ascii="Arial" w:hAnsi="Arial" w:eastAsia="Arial" w:cs="Arial"/>
      <w:sz w:val="34"/>
    </w:rPr>
  </w:style>
  <w:style w:type="character" w:styleId="707" w:customStyle="1">
    <w:name w:val="Heading 3 Char"/>
    <w:basedOn w:val="662"/>
    <w:uiPriority w:val="9"/>
    <w:qFormat/>
    <w:rPr>
      <w:rFonts w:ascii="Arial" w:hAnsi="Arial" w:eastAsia="Arial" w:cs="Arial"/>
      <w:sz w:val="30"/>
      <w:szCs w:val="30"/>
    </w:rPr>
  </w:style>
  <w:style w:type="character" w:styleId="708" w:customStyle="1">
    <w:name w:val="Heading 4 Char"/>
    <w:basedOn w:val="662"/>
    <w:uiPriority w:val="9"/>
    <w:qFormat/>
    <w:rPr>
      <w:rFonts w:ascii="Arial" w:hAnsi="Arial" w:eastAsia="Arial" w:cs="Arial"/>
      <w:b/>
      <w:bCs/>
      <w:sz w:val="26"/>
      <w:szCs w:val="26"/>
    </w:rPr>
  </w:style>
  <w:style w:type="character" w:styleId="709" w:customStyle="1">
    <w:name w:val="Heading 5 Char"/>
    <w:basedOn w:val="662"/>
    <w:uiPriority w:val="9"/>
    <w:qFormat/>
    <w:rPr>
      <w:rFonts w:ascii="Arial" w:hAnsi="Arial" w:eastAsia="Arial" w:cs="Arial"/>
      <w:b/>
      <w:bCs/>
      <w:sz w:val="24"/>
      <w:szCs w:val="24"/>
    </w:rPr>
  </w:style>
  <w:style w:type="character" w:styleId="710" w:customStyle="1">
    <w:name w:val="Heading 6 Char"/>
    <w:basedOn w:val="662"/>
    <w:uiPriority w:val="9"/>
    <w:qFormat/>
    <w:rPr>
      <w:rFonts w:ascii="Arial" w:hAnsi="Arial" w:eastAsia="Arial" w:cs="Arial"/>
      <w:b/>
      <w:bCs/>
      <w:sz w:val="22"/>
      <w:szCs w:val="22"/>
    </w:rPr>
  </w:style>
  <w:style w:type="character" w:styleId="711" w:customStyle="1">
    <w:name w:val="Heading 7 Char"/>
    <w:basedOn w:val="662"/>
    <w:uiPriority w:val="9"/>
    <w:qFormat/>
    <w:rPr>
      <w:rFonts w:ascii="Arial" w:hAnsi="Arial" w:eastAsia="Arial" w:cs="Arial"/>
      <w:b/>
      <w:bCs/>
      <w:i/>
      <w:iCs/>
      <w:sz w:val="22"/>
      <w:szCs w:val="22"/>
    </w:rPr>
  </w:style>
  <w:style w:type="character" w:styleId="712" w:customStyle="1">
    <w:name w:val="Heading 8 Char"/>
    <w:basedOn w:val="662"/>
    <w:uiPriority w:val="9"/>
    <w:qFormat/>
    <w:rPr>
      <w:rFonts w:ascii="Arial" w:hAnsi="Arial" w:eastAsia="Arial" w:cs="Arial"/>
      <w:i/>
      <w:iCs/>
      <w:sz w:val="22"/>
      <w:szCs w:val="22"/>
    </w:rPr>
  </w:style>
  <w:style w:type="character" w:styleId="713" w:customStyle="1">
    <w:name w:val="Heading 9 Char"/>
    <w:basedOn w:val="662"/>
    <w:uiPriority w:val="9"/>
    <w:qFormat/>
    <w:rPr>
      <w:rFonts w:ascii="Arial" w:hAnsi="Arial" w:eastAsia="Arial" w:cs="Arial"/>
      <w:i/>
      <w:iCs/>
      <w:sz w:val="21"/>
      <w:szCs w:val="21"/>
    </w:rPr>
  </w:style>
  <w:style w:type="character" w:styleId="714" w:customStyle="1">
    <w:name w:val="Title Char"/>
    <w:basedOn w:val="662"/>
    <w:uiPriority w:val="10"/>
    <w:qFormat/>
    <w:rPr>
      <w:sz w:val="48"/>
      <w:szCs w:val="48"/>
    </w:rPr>
  </w:style>
  <w:style w:type="character" w:styleId="715" w:customStyle="1">
    <w:name w:val="Subtitle Char"/>
    <w:basedOn w:val="662"/>
    <w:uiPriority w:val="11"/>
    <w:qFormat/>
    <w:rPr>
      <w:sz w:val="24"/>
      <w:szCs w:val="24"/>
    </w:rPr>
  </w:style>
  <w:style w:type="character" w:styleId="716" w:customStyle="1">
    <w:name w:val="Quote Char"/>
    <w:uiPriority w:val="29"/>
    <w:qFormat/>
    <w:rPr>
      <w:i/>
    </w:rPr>
  </w:style>
  <w:style w:type="character" w:styleId="717" w:customStyle="1">
    <w:name w:val="Intense Quote Char"/>
    <w:uiPriority w:val="30"/>
    <w:qFormat/>
    <w:rPr>
      <w:i/>
    </w:rPr>
  </w:style>
  <w:style w:type="character" w:styleId="718" w:customStyle="1">
    <w:name w:val="Header Char"/>
    <w:basedOn w:val="662"/>
    <w:uiPriority w:val="99"/>
    <w:qFormat/>
  </w:style>
  <w:style w:type="character" w:styleId="719" w:customStyle="1">
    <w:name w:val="Caption Char"/>
    <w:uiPriority w:val="99"/>
    <w:qFormat/>
  </w:style>
  <w:style w:type="character" w:styleId="720" w:customStyle="1">
    <w:name w:val="Footnote Text Char"/>
    <w:uiPriority w:val="99"/>
    <w:qFormat/>
    <w:rPr>
      <w:sz w:val="18"/>
    </w:rPr>
  </w:style>
  <w:style w:type="character" w:styleId="721" w:customStyle="1">
    <w:name w:val="Endnote Text Char"/>
    <w:uiPriority w:val="99"/>
    <w:qFormat/>
    <w:rPr>
      <w:sz w:val="20"/>
    </w:rPr>
  </w:style>
  <w:style w:type="paragraph" w:styleId="722" w:customStyle="1">
    <w:name w:val="TOC 标题111"/>
    <w:uiPriority w:val="39"/>
    <w:unhideWhenUsed/>
    <w:qFormat/>
    <w:rPr>
      <w:rFonts w:asciiTheme="minorHAnsi" w:hAnsiTheme="minorHAnsi" w:eastAsiaTheme="minorEastAsia" w:cstheme="minorBidi"/>
      <w:lang w:val="en-US" w:eastAsia="zh-CN" w:bidi="ar-SA"/>
    </w:rPr>
  </w:style>
  <w:style w:type="character" w:styleId="723" w:customStyle="1">
    <w:name w:val="标题 1 Char"/>
    <w:link w:val="692"/>
    <w:uiPriority w:val="9"/>
    <w:qFormat/>
    <w:rPr>
      <w:rFonts w:ascii="Arial" w:hAnsi="Arial" w:eastAsia="Arial" w:cs="Arial"/>
      <w:sz w:val="40"/>
      <w:szCs w:val="40"/>
    </w:rPr>
  </w:style>
  <w:style w:type="character" w:styleId="724" w:customStyle="1">
    <w:name w:val="标题 2 Char"/>
    <w:link w:val="693"/>
    <w:uiPriority w:val="9"/>
    <w:qFormat/>
    <w:rPr>
      <w:rFonts w:ascii="Arial" w:hAnsi="Arial" w:eastAsia="Arial" w:cs="Arial"/>
      <w:sz w:val="34"/>
    </w:rPr>
  </w:style>
  <w:style w:type="character" w:styleId="725" w:customStyle="1">
    <w:name w:val="标题 3 Char"/>
    <w:link w:val="694"/>
    <w:uiPriority w:val="9"/>
    <w:qFormat/>
    <w:rPr>
      <w:rFonts w:ascii="Arial" w:hAnsi="Arial" w:eastAsia="Arial" w:cs="Arial"/>
      <w:sz w:val="30"/>
      <w:szCs w:val="30"/>
    </w:rPr>
  </w:style>
  <w:style w:type="character" w:styleId="726" w:customStyle="1">
    <w:name w:val="标题 4 Char"/>
    <w:link w:val="695"/>
    <w:uiPriority w:val="9"/>
    <w:qFormat/>
    <w:rPr>
      <w:rFonts w:ascii="Arial" w:hAnsi="Arial" w:eastAsia="Arial" w:cs="Arial"/>
      <w:b/>
      <w:bCs/>
      <w:sz w:val="26"/>
      <w:szCs w:val="26"/>
    </w:rPr>
  </w:style>
  <w:style w:type="character" w:styleId="727" w:customStyle="1">
    <w:name w:val="标题 5 Char"/>
    <w:link w:val="696"/>
    <w:uiPriority w:val="9"/>
    <w:qFormat/>
    <w:rPr>
      <w:rFonts w:ascii="Arial" w:hAnsi="Arial" w:eastAsia="Arial" w:cs="Arial"/>
      <w:b/>
      <w:bCs/>
      <w:sz w:val="24"/>
      <w:szCs w:val="24"/>
    </w:rPr>
  </w:style>
  <w:style w:type="character" w:styleId="728" w:customStyle="1">
    <w:name w:val="标题 6 Char"/>
    <w:link w:val="697"/>
    <w:uiPriority w:val="9"/>
    <w:qFormat/>
    <w:rPr>
      <w:rFonts w:ascii="Arial" w:hAnsi="Arial" w:eastAsia="Arial" w:cs="Arial"/>
      <w:b/>
      <w:bCs/>
      <w:sz w:val="22"/>
      <w:szCs w:val="22"/>
    </w:rPr>
  </w:style>
  <w:style w:type="character" w:styleId="729" w:customStyle="1">
    <w:name w:val="标题 7 Char"/>
    <w:link w:val="698"/>
    <w:uiPriority w:val="9"/>
    <w:qFormat/>
    <w:rPr>
      <w:rFonts w:ascii="Arial" w:hAnsi="Arial" w:eastAsia="Arial" w:cs="Arial"/>
      <w:b/>
      <w:bCs/>
      <w:i/>
      <w:iCs/>
      <w:sz w:val="22"/>
      <w:szCs w:val="22"/>
    </w:rPr>
  </w:style>
  <w:style w:type="character" w:styleId="730" w:customStyle="1">
    <w:name w:val="标题 8 Char"/>
    <w:link w:val="699"/>
    <w:uiPriority w:val="9"/>
    <w:qFormat/>
    <w:rPr>
      <w:rFonts w:ascii="Arial" w:hAnsi="Arial" w:eastAsia="Arial" w:cs="Arial"/>
      <w:i/>
      <w:iCs/>
      <w:sz w:val="22"/>
      <w:szCs w:val="22"/>
    </w:rPr>
  </w:style>
  <w:style w:type="character" w:styleId="731" w:customStyle="1">
    <w:name w:val="标题 9 Char"/>
    <w:link w:val="700"/>
    <w:uiPriority w:val="9"/>
    <w:qFormat/>
    <w:rPr>
      <w:rFonts w:ascii="Arial" w:hAnsi="Arial" w:eastAsia="Arial" w:cs="Arial"/>
      <w:i/>
      <w:iCs/>
      <w:sz w:val="21"/>
      <w:szCs w:val="21"/>
    </w:rPr>
  </w:style>
  <w:style w:type="character" w:styleId="732" w:customStyle="1">
    <w:name w:val="标题 Char"/>
    <w:link w:val="684"/>
    <w:uiPriority w:val="10"/>
    <w:qFormat/>
    <w:rPr>
      <w:sz w:val="48"/>
      <w:szCs w:val="48"/>
    </w:rPr>
  </w:style>
  <w:style w:type="character" w:styleId="733" w:customStyle="1">
    <w:name w:val="副标题 Char"/>
    <w:link w:val="678"/>
    <w:uiPriority w:val="11"/>
    <w:qFormat/>
    <w:rPr>
      <w:sz w:val="24"/>
      <w:szCs w:val="24"/>
    </w:rPr>
  </w:style>
  <w:style w:type="paragraph" w:styleId="734">
    <w:name w:val="Quote"/>
    <w:basedOn w:val="661"/>
    <w:next w:val="661"/>
    <w:link w:val="735"/>
    <w:uiPriority w:val="29"/>
    <w:qFormat/>
    <w:pPr>
      <w:ind w:left="720" w:right="720"/>
    </w:pPr>
    <w:rPr>
      <w:i/>
    </w:rPr>
  </w:style>
  <w:style w:type="character" w:styleId="735" w:customStyle="1">
    <w:name w:val="引用 Char"/>
    <w:link w:val="734"/>
    <w:uiPriority w:val="29"/>
    <w:qFormat/>
    <w:rPr>
      <w:i/>
    </w:rPr>
  </w:style>
  <w:style w:type="paragraph" w:styleId="736">
    <w:name w:val="Intense Quote"/>
    <w:basedOn w:val="661"/>
    <w:next w:val="661"/>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Char"/>
    <w:link w:val="736"/>
    <w:uiPriority w:val="30"/>
    <w:qFormat/>
    <w:rPr>
      <w:i/>
    </w:rPr>
  </w:style>
  <w:style w:type="character" w:styleId="738" w:customStyle="1">
    <w:name w:val="页眉 Char"/>
    <w:link w:val="703"/>
    <w:uiPriority w:val="99"/>
    <w:qFormat/>
  </w:style>
  <w:style w:type="character" w:styleId="739" w:customStyle="1">
    <w:name w:val="Footer Char"/>
    <w:uiPriority w:val="99"/>
    <w:qFormat/>
  </w:style>
  <w:style w:type="character" w:styleId="740" w:customStyle="1">
    <w:name w:val="页脚 Char"/>
    <w:link w:val="702"/>
    <w:uiPriority w:val="99"/>
    <w:qFormat/>
  </w:style>
  <w:style w:type="table" w:styleId="741"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0"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1"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3"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4"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7"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8"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9"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0"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1"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3"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84"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5"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6"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87"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8"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6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6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7"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0"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1"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2"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3"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4"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1"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2" w:customStyle="1">
    <w:name w:val="List Table 6 Colorful - Accent 1"/>
    <w:basedOn w:val="66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33"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34"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35"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36"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37"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8"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6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6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7"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1"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2"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4"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5"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脚注文本 Char"/>
    <w:link w:val="679"/>
    <w:uiPriority w:val="99"/>
    <w:qFormat/>
    <w:rPr>
      <w:sz w:val="18"/>
    </w:rPr>
  </w:style>
  <w:style w:type="character" w:styleId="867" w:customStyle="1">
    <w:name w:val="尾注文本 Char"/>
    <w:link w:val="672"/>
    <w:uiPriority w:val="99"/>
    <w:qFormat/>
    <w:rPr>
      <w:sz w:val="20"/>
    </w:rPr>
  </w:style>
  <w:style w:type="paragraph" w:styleId="868"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69">
    <w:name w:val="No Spacing"/>
    <w:basedOn w:val="661"/>
    <w:uiPriority w:val="1"/>
    <w:qFormat/>
    <w:pPr>
      <w:spacing w:after="0" w:line="240" w:lineRule="auto"/>
    </w:pPr>
  </w:style>
  <w:style w:type="paragraph" w:styleId="870">
    <w:name w:val="List Paragraph"/>
    <w:basedOn w:val="661"/>
    <w:uiPriority w:val="34"/>
    <w:qFormat/>
    <w:pPr>
      <w:contextualSpacing/>
      <w:ind w:left="720"/>
    </w:pPr>
  </w:style>
  <w:style w:type="character" w:styleId="871" w:customStyle="1">
    <w:name w:val="批注框文本 Char"/>
    <w:basedOn w:val="662"/>
    <w:link w:val="673"/>
    <w:uiPriority w:val="99"/>
    <w:semiHidden/>
    <w:qFormat/>
    <w:rPr>
      <w:sz w:val="18"/>
      <w:szCs w:val="18"/>
    </w:rPr>
  </w:style>
  <w:style w:type="paragraph" w:styleId="872" w:customStyle="1">
    <w:name w:val="正文12"/>
    <w:next w:val="661"/>
    <w:uiPriority w:val="0"/>
    <w:qFormat/>
    <w:pPr>
      <w:jc w:val="both"/>
      <w:widowControl w:val="off"/>
    </w:pPr>
    <w:rPr>
      <w:rFonts w:ascii="Calibri" w:hAnsi="Calibri" w:eastAsia="Calibri" w:cs="Times New Roman"/>
      <w:sz w:val="21"/>
      <w:szCs w:val="24"/>
      <w:lang w:val="en-US" w:eastAsia="zh-CN" w:bidi="ar-SA"/>
    </w:rPr>
  </w:style>
  <w:style w:type="character" w:styleId="873" w:customStyle="1">
    <w:name w:val="正文文本缩进 Char"/>
    <w:basedOn w:val="662"/>
    <w:link w:val="667"/>
    <w:uiPriority w:val="0"/>
    <w:qFormat/>
    <w:rPr>
      <w:rFonts w:ascii="Calibri" w:hAnsi="Calibri" w:eastAsia="宋体" w:cs="Times New Roman"/>
      <w:sz w:val="21"/>
      <w:szCs w:val="24"/>
      <w:lang w:eastAsia="zh-CN"/>
    </w:rPr>
  </w:style>
  <w:style w:type="character" w:styleId="874" w:customStyle="1">
    <w:name w:val="正文文本 Char"/>
    <w:basedOn w:val="662"/>
    <w:link w:val="666"/>
    <w:uiPriority w:val="99"/>
    <w:qFormat/>
    <w:rPr>
      <w:rFonts w:ascii="Calibri" w:hAnsi="Calibri" w:eastAsia="宋体" w:cs="Times New Roman"/>
      <w:sz w:val="21"/>
      <w:szCs w:val="24"/>
      <w:lang w:eastAsia="zh-CN"/>
    </w:rPr>
  </w:style>
  <w:style w:type="paragraph" w:styleId="875" w:customStyle="1">
    <w:name w:val="正文11"/>
    <w:next w:val="661"/>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876" w:customStyle="1">
    <w:name w:val="正文1"/>
    <w:basedOn w:val="661"/>
    <w:next w:val="661"/>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character" w:styleId="877" w:customStyle="1">
    <w:name w:val="Heading 1 Char"/>
    <w:basedOn w:val="662"/>
    <w:uiPriority w:val="9"/>
    <w:qFormat/>
    <w:rPr>
      <w:rFonts w:ascii="Arial" w:hAnsi="Arial" w:eastAsia="Arial" w:cs="Arial"/>
      <w:sz w:val="40"/>
      <w:szCs w:val="40"/>
    </w:rPr>
  </w:style>
  <w:style w:type="character" w:styleId="878" w:customStyle="1">
    <w:name w:val="wyg1"/>
    <w:uiPriority w:val="6"/>
    <w:qFormat/>
    <w:rPr>
      <w:rFonts w:ascii="Times New Roman" w:hAnsi="Times New Roman" w:eastAsia="宋体" w:cs="Times New Roman"/>
      <w:lang w:val="en-US" w:eastAsia="zh-CN" w:bidi="ar-SA"/>
    </w:rPr>
  </w:style>
  <w:style w:type="paragraph" w:styleId="879" w:customStyle="1">
    <w:name w:val="文本块11"/>
    <w:basedOn w:val="661"/>
    <w:uiPriority w:val="0"/>
    <w:unhideWhenUsed/>
    <w:qFormat/>
    <w:pPr>
      <w:ind w:left="256" w:right="6" w:firstLine="624"/>
      <w:spacing w:before="100" w:beforeAutospacing="1" w:after="100" w:afterAutospacing="1"/>
    </w:pPr>
    <w:rPr>
      <w:rFonts w:eastAsia="仿宋"/>
      <w:sz w:val="28"/>
      <w:szCs w:val="28"/>
    </w:rPr>
  </w:style>
  <w:style w:type="character" w:styleId="880" w:customStyle="1">
    <w:name w:val="页眉 Char1"/>
    <w:basedOn w:val="662"/>
    <w:link w:val="690"/>
    <w:uiPriority w:val="99"/>
    <w:semiHidden/>
    <w:qFormat/>
    <w:rPr>
      <w:sz w:val="18"/>
      <w:szCs w:val="18"/>
      <w:lang w:eastAsia="en-US"/>
    </w:rPr>
  </w:style>
  <w:style w:type="character" w:styleId="881" w:customStyle="1">
    <w:name w:val="页脚 Char1"/>
    <w:basedOn w:val="662"/>
    <w:link w:val="689"/>
    <w:uiPriority w:val="99"/>
    <w:semiHidden/>
    <w:qFormat/>
    <w:rPr>
      <w:sz w:val="18"/>
      <w:szCs w:val="18"/>
      <w:lang w:eastAsia="en-US"/>
    </w:rPr>
  </w:style>
  <w:style w:type="character" w:styleId="882" w:customStyle="1">
    <w:name w:val="页眉 Char2"/>
    <w:basedOn w:val="662"/>
    <w:link w:val="675"/>
    <w:uiPriority w:val="99"/>
    <w:semiHidden/>
    <w:qFormat/>
    <w:rPr>
      <w:sz w:val="18"/>
      <w:szCs w:val="18"/>
      <w:lang w:eastAsia="en-US"/>
    </w:rPr>
  </w:style>
  <w:style w:type="character" w:styleId="883" w:customStyle="1">
    <w:name w:val="页脚 Char2"/>
    <w:basedOn w:val="662"/>
    <w:link w:val="674"/>
    <w:uiPriority w:val="99"/>
    <w:semiHidden/>
    <w:qFormat/>
    <w:rPr>
      <w:sz w:val="18"/>
      <w:szCs w:val="18"/>
      <w:lang w:eastAsia="en-US"/>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D82397-C109-471E-B077-CC731BEB3FC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蔡伦</cp:lastModifiedBy>
  <cp:revision>239</cp:revision>
  <dcterms:created xsi:type="dcterms:W3CDTF">2024-05-08T08:30:00Z</dcterms:created>
  <dcterms:modified xsi:type="dcterms:W3CDTF">2024-08-02T03:17:30Z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0B2DEABF5B9C4B46A767C70B4C164D80_13</vt:lpwstr>
  </property>
</Properties>
</file>