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2C24FF">
      <w:pPr>
        <w:shd w:val="clear"/>
        <w:rPr>
          <w:color w:val="000000" w:themeColor="text1"/>
          <w:highlight w:val="none"/>
          <w14:textFill>
            <w14:solidFill>
              <w14:schemeClr w14:val="tx1"/>
            </w14:solidFill>
          </w14:textFill>
        </w:rPr>
      </w:pPr>
    </w:p>
    <w:p w14:paraId="159E4BFE">
      <w:pPr>
        <w:shd w:val="clear"/>
        <w:rPr>
          <w:color w:val="000000" w:themeColor="text1"/>
          <w:highlight w:val="none"/>
          <w14:textFill>
            <w14:solidFill>
              <w14:schemeClr w14:val="tx1"/>
            </w14:solidFill>
          </w14:textFill>
        </w:rPr>
      </w:pPr>
    </w:p>
    <w:p w14:paraId="17A97B3D">
      <w:pPr>
        <w:shd w:val="clear"/>
        <w:rPr>
          <w:b/>
          <w:color w:val="000000" w:themeColor="text1"/>
          <w:sz w:val="96"/>
          <w:szCs w:val="96"/>
          <w:highlight w:val="none"/>
          <w14:textFill>
            <w14:solidFill>
              <w14:schemeClr w14:val="tx1"/>
            </w14:solidFill>
          </w14:textFill>
        </w:rPr>
      </w:pPr>
    </w:p>
    <w:p w14:paraId="1D828323">
      <w:pPr>
        <w:shd w:val="clear"/>
        <w:jc w:val="center"/>
        <w:rPr>
          <w:b/>
          <w:color w:val="000000" w:themeColor="text1"/>
          <w:sz w:val="96"/>
          <w:szCs w:val="96"/>
          <w:highlight w:val="none"/>
          <w14:textFill>
            <w14:solidFill>
              <w14:schemeClr w14:val="tx1"/>
            </w14:solidFill>
          </w14:textFill>
        </w:rPr>
      </w:pPr>
      <w:r>
        <w:rPr>
          <w:rFonts w:hint="eastAsia"/>
          <w:b/>
          <w:color w:val="000000" w:themeColor="text1"/>
          <w:sz w:val="96"/>
          <w:szCs w:val="96"/>
          <w:highlight w:val="none"/>
          <w14:textFill>
            <w14:solidFill>
              <w14:schemeClr w14:val="tx1"/>
            </w14:solidFill>
          </w14:textFill>
        </w:rPr>
        <w:t xml:space="preserve">招 标 </w:t>
      </w:r>
      <w:r>
        <w:rPr>
          <w:b/>
          <w:color w:val="000000" w:themeColor="text1"/>
          <w:sz w:val="96"/>
          <w:szCs w:val="96"/>
          <w:highlight w:val="none"/>
          <w14:textFill>
            <w14:solidFill>
              <w14:schemeClr w14:val="tx1"/>
            </w14:solidFill>
          </w14:textFill>
        </w:rPr>
        <w:t>文</w:t>
      </w:r>
      <w:r>
        <w:rPr>
          <w:rFonts w:hint="eastAsia"/>
          <w:b/>
          <w:color w:val="000000" w:themeColor="text1"/>
          <w:sz w:val="96"/>
          <w:szCs w:val="96"/>
          <w:highlight w:val="none"/>
          <w14:textFill>
            <w14:solidFill>
              <w14:schemeClr w14:val="tx1"/>
            </w14:solidFill>
          </w14:textFill>
        </w:rPr>
        <w:t xml:space="preserve"> </w:t>
      </w:r>
      <w:r>
        <w:rPr>
          <w:b/>
          <w:color w:val="000000" w:themeColor="text1"/>
          <w:sz w:val="96"/>
          <w:szCs w:val="96"/>
          <w:highlight w:val="none"/>
          <w14:textFill>
            <w14:solidFill>
              <w14:schemeClr w14:val="tx1"/>
            </w14:solidFill>
          </w14:textFill>
        </w:rPr>
        <w:t>件</w:t>
      </w:r>
      <w:bookmarkStart w:id="352" w:name="_GoBack"/>
      <w:bookmarkEnd w:id="352"/>
    </w:p>
    <w:p w14:paraId="2F65F47B">
      <w:pPr>
        <w:shd w:val="clear"/>
        <w:rPr>
          <w:color w:val="000000" w:themeColor="text1"/>
          <w:highlight w:val="none"/>
          <w14:textFill>
            <w14:solidFill>
              <w14:schemeClr w14:val="tx1"/>
            </w14:solidFill>
          </w14:textFill>
        </w:rPr>
      </w:pPr>
    </w:p>
    <w:p w14:paraId="53B5F628">
      <w:pPr>
        <w:shd w:val="clear"/>
        <w:rPr>
          <w:color w:val="000000" w:themeColor="text1"/>
          <w:highlight w:val="none"/>
          <w14:textFill>
            <w14:solidFill>
              <w14:schemeClr w14:val="tx1"/>
            </w14:solidFill>
          </w14:textFill>
        </w:rPr>
      </w:pPr>
    </w:p>
    <w:p w14:paraId="048869AD">
      <w:pPr>
        <w:shd w:val="clear"/>
        <w:rPr>
          <w:color w:val="000000" w:themeColor="text1"/>
          <w:highlight w:val="none"/>
          <w14:textFill>
            <w14:solidFill>
              <w14:schemeClr w14:val="tx1"/>
            </w14:solidFill>
          </w14:textFill>
        </w:rPr>
      </w:pPr>
    </w:p>
    <w:p w14:paraId="5A095555">
      <w:pPr>
        <w:shd w:val="clear"/>
        <w:rPr>
          <w:b/>
          <w:color w:val="000000" w:themeColor="text1"/>
          <w:sz w:val="44"/>
          <w:szCs w:val="44"/>
          <w:highlight w:val="none"/>
          <w14:textFill>
            <w14:solidFill>
              <w14:schemeClr w14:val="tx1"/>
            </w14:solidFill>
          </w14:textFill>
        </w:rPr>
      </w:pPr>
    </w:p>
    <w:p w14:paraId="7B99494C">
      <w:pPr>
        <w:shd w:val="clear"/>
        <w:ind w:left="-38" w:leftChars="-18" w:firstLine="36" w:firstLineChars="9"/>
        <w:jc w:val="left"/>
        <w:rPr>
          <w:rFonts w:hint="eastAsia" w:eastAsia="宋体"/>
          <w:b/>
          <w:color w:val="000000" w:themeColor="text1"/>
          <w:sz w:val="40"/>
          <w:szCs w:val="40"/>
          <w:highlight w:val="none"/>
          <w:lang w:eastAsia="zh-CN"/>
          <w14:textFill>
            <w14:solidFill>
              <w14:schemeClr w14:val="tx1"/>
            </w14:solidFill>
          </w14:textFill>
        </w:rPr>
      </w:pPr>
      <w:r>
        <w:rPr>
          <w:b/>
          <w:color w:val="000000" w:themeColor="text1"/>
          <w:sz w:val="40"/>
          <w:szCs w:val="40"/>
          <w:highlight w:val="none"/>
          <w14:textFill>
            <w14:solidFill>
              <w14:schemeClr w14:val="tx1"/>
            </w14:solidFill>
          </w14:textFill>
        </w:rPr>
        <w:t>项目编号：</w:t>
      </w:r>
      <w:r>
        <w:rPr>
          <w:rFonts w:hint="eastAsia"/>
          <w:b/>
          <w:color w:val="000000" w:themeColor="text1"/>
          <w:sz w:val="40"/>
          <w:szCs w:val="40"/>
          <w:highlight w:val="none"/>
          <w:lang w:eastAsia="zh-CN"/>
          <w14:textFill>
            <w14:solidFill>
              <w14:schemeClr w14:val="tx1"/>
            </w14:solidFill>
          </w14:textFill>
        </w:rPr>
        <w:t>JSZC-320581-HXGW-G2024-0101</w:t>
      </w:r>
    </w:p>
    <w:p w14:paraId="3978D02F">
      <w:pPr>
        <w:shd w:val="clear"/>
        <w:autoSpaceDE w:val="0"/>
        <w:autoSpaceDN w:val="0"/>
        <w:adjustRightInd w:val="0"/>
        <w:spacing w:line="360" w:lineRule="auto"/>
        <w:ind w:left="-38" w:leftChars="-18" w:firstLine="36" w:firstLineChars="9"/>
        <w:jc w:val="left"/>
        <w:rPr>
          <w:rFonts w:hint="eastAsia" w:eastAsia="宋体"/>
          <w:b/>
          <w:color w:val="000000" w:themeColor="text1"/>
          <w:sz w:val="40"/>
          <w:szCs w:val="40"/>
          <w:highlight w:val="none"/>
          <w:lang w:eastAsia="zh-CN"/>
          <w14:textFill>
            <w14:solidFill>
              <w14:schemeClr w14:val="tx1"/>
            </w14:solidFill>
          </w14:textFill>
        </w:rPr>
      </w:pPr>
      <w:r>
        <w:rPr>
          <w:b/>
          <w:color w:val="000000" w:themeColor="text1"/>
          <w:sz w:val="40"/>
          <w:szCs w:val="40"/>
          <w:highlight w:val="none"/>
          <w14:textFill>
            <w14:solidFill>
              <w14:schemeClr w14:val="tx1"/>
            </w14:solidFill>
          </w14:textFill>
        </w:rPr>
        <w:t>项目名称：</w:t>
      </w:r>
      <w:r>
        <w:rPr>
          <w:rFonts w:hint="eastAsia"/>
          <w:b/>
          <w:sz w:val="40"/>
          <w:szCs w:val="40"/>
          <w:highlight w:val="none"/>
          <w:lang w:eastAsia="zh-CN"/>
        </w:rPr>
        <w:t>2025年度常熟市市级河道保洁服务</w:t>
      </w:r>
    </w:p>
    <w:p w14:paraId="31F21954">
      <w:pPr>
        <w:shd w:val="clear"/>
        <w:autoSpaceDE w:val="0"/>
        <w:autoSpaceDN w:val="0"/>
        <w:adjustRightInd w:val="0"/>
        <w:spacing w:line="360" w:lineRule="auto"/>
        <w:ind w:left="-38" w:leftChars="-18" w:firstLine="36" w:firstLineChars="9"/>
        <w:jc w:val="left"/>
        <w:rPr>
          <w:b/>
          <w:color w:val="000000" w:themeColor="text1"/>
          <w:sz w:val="40"/>
          <w:szCs w:val="40"/>
          <w:highlight w:val="none"/>
          <w14:textFill>
            <w14:solidFill>
              <w14:schemeClr w14:val="tx1"/>
            </w14:solidFill>
          </w14:textFill>
        </w:rPr>
      </w:pPr>
      <w:r>
        <w:rPr>
          <w:rFonts w:hint="eastAsia"/>
          <w:b/>
          <w:color w:val="000000" w:themeColor="text1"/>
          <w:sz w:val="40"/>
          <w:szCs w:val="40"/>
          <w:highlight w:val="none"/>
          <w14:textFill>
            <w14:solidFill>
              <w14:schemeClr w14:val="tx1"/>
            </w14:solidFill>
          </w14:textFill>
        </w:rPr>
        <w:t>项目属性：服务类项目</w:t>
      </w:r>
    </w:p>
    <w:p w14:paraId="1E500D8C">
      <w:pPr>
        <w:shd w:val="clear"/>
        <w:autoSpaceDE w:val="0"/>
        <w:autoSpaceDN w:val="0"/>
        <w:adjustRightInd w:val="0"/>
        <w:spacing w:line="360" w:lineRule="auto"/>
        <w:ind w:left="-38" w:leftChars="-18" w:firstLine="36" w:firstLineChars="9"/>
        <w:jc w:val="left"/>
        <w:rPr>
          <w:b/>
          <w:color w:val="000000" w:themeColor="text1"/>
          <w:sz w:val="40"/>
          <w:szCs w:val="40"/>
          <w:highlight w:val="none"/>
          <w14:textFill>
            <w14:solidFill>
              <w14:schemeClr w14:val="tx1"/>
            </w14:solidFill>
          </w14:textFill>
        </w:rPr>
      </w:pPr>
      <w:r>
        <w:rPr>
          <w:rFonts w:hint="eastAsia"/>
          <w:b/>
          <w:color w:val="000000" w:themeColor="text1"/>
          <w:sz w:val="40"/>
          <w:szCs w:val="40"/>
          <w:highlight w:val="none"/>
          <w14:textFill>
            <w14:solidFill>
              <w14:schemeClr w14:val="tx1"/>
            </w14:solidFill>
          </w14:textFill>
        </w:rPr>
        <w:t>标的所属行业：其他未列明行业</w:t>
      </w:r>
    </w:p>
    <w:p w14:paraId="3B64869B">
      <w:pPr>
        <w:shd w:val="clear"/>
        <w:autoSpaceDE w:val="0"/>
        <w:autoSpaceDN w:val="0"/>
        <w:adjustRightInd w:val="0"/>
        <w:spacing w:line="360" w:lineRule="auto"/>
        <w:ind w:leftChars="-95" w:hanging="199" w:hangingChars="45"/>
        <w:jc w:val="left"/>
        <w:rPr>
          <w:b/>
          <w:color w:val="000000" w:themeColor="text1"/>
          <w:sz w:val="44"/>
          <w:szCs w:val="44"/>
          <w:highlight w:val="none"/>
          <w14:textFill>
            <w14:solidFill>
              <w14:schemeClr w14:val="tx1"/>
            </w14:solidFill>
          </w14:textFill>
        </w:rPr>
      </w:pPr>
    </w:p>
    <w:p w14:paraId="54FE8E3A">
      <w:pPr>
        <w:shd w:val="clear"/>
        <w:autoSpaceDE w:val="0"/>
        <w:autoSpaceDN w:val="0"/>
        <w:adjustRightInd w:val="0"/>
        <w:spacing w:line="360" w:lineRule="auto"/>
        <w:jc w:val="center"/>
        <w:rPr>
          <w:b/>
          <w:color w:val="000000" w:themeColor="text1"/>
          <w:sz w:val="44"/>
          <w:szCs w:val="44"/>
          <w:highlight w:val="none"/>
          <w:u w:val="single"/>
          <w14:textFill>
            <w14:solidFill>
              <w14:schemeClr w14:val="tx1"/>
            </w14:solidFill>
          </w14:textFill>
        </w:rPr>
      </w:pPr>
    </w:p>
    <w:p w14:paraId="15D0EA57">
      <w:pPr>
        <w:shd w:val="clear"/>
        <w:jc w:val="center"/>
        <w:rPr>
          <w:b/>
          <w:color w:val="000000" w:themeColor="text1"/>
          <w:sz w:val="44"/>
          <w:szCs w:val="44"/>
          <w:highlight w:val="none"/>
          <w14:textFill>
            <w14:solidFill>
              <w14:schemeClr w14:val="tx1"/>
            </w14:solidFill>
          </w14:textFill>
        </w:rPr>
      </w:pPr>
    </w:p>
    <w:p w14:paraId="6A5650EC">
      <w:pPr>
        <w:shd w:val="clear"/>
        <w:rPr>
          <w:b/>
          <w:color w:val="000000" w:themeColor="text1"/>
          <w:sz w:val="44"/>
          <w:szCs w:val="44"/>
          <w:highlight w:val="none"/>
          <w14:textFill>
            <w14:solidFill>
              <w14:schemeClr w14:val="tx1"/>
            </w14:solidFill>
          </w14:textFill>
        </w:rPr>
      </w:pPr>
    </w:p>
    <w:p w14:paraId="69404B2C">
      <w:pPr>
        <w:shd w:val="clear"/>
        <w:rPr>
          <w:b/>
          <w:color w:val="000000" w:themeColor="text1"/>
          <w:sz w:val="44"/>
          <w:szCs w:val="44"/>
          <w:highlight w:val="none"/>
          <w14:textFill>
            <w14:solidFill>
              <w14:schemeClr w14:val="tx1"/>
            </w14:solidFill>
          </w14:textFill>
        </w:rPr>
      </w:pPr>
    </w:p>
    <w:p w14:paraId="0535DFE2">
      <w:pPr>
        <w:shd w:val="clear"/>
        <w:rPr>
          <w:b/>
          <w:color w:val="000000" w:themeColor="text1"/>
          <w:sz w:val="44"/>
          <w:szCs w:val="44"/>
          <w:highlight w:val="none"/>
          <w14:textFill>
            <w14:solidFill>
              <w14:schemeClr w14:val="tx1"/>
            </w14:solidFill>
          </w14:textFill>
        </w:rPr>
      </w:pPr>
    </w:p>
    <w:p w14:paraId="4881A9E6">
      <w:pPr>
        <w:shd w:val="clear"/>
        <w:rPr>
          <w:b/>
          <w:color w:val="000000" w:themeColor="text1"/>
          <w:sz w:val="44"/>
          <w:szCs w:val="44"/>
          <w:highlight w:val="none"/>
          <w14:textFill>
            <w14:solidFill>
              <w14:schemeClr w14:val="tx1"/>
            </w14:solidFill>
          </w14:textFill>
        </w:rPr>
      </w:pPr>
    </w:p>
    <w:p w14:paraId="72527B16">
      <w:pPr>
        <w:shd w:val="clear"/>
        <w:rPr>
          <w:b/>
          <w:color w:val="000000" w:themeColor="text1"/>
          <w:sz w:val="44"/>
          <w:szCs w:val="44"/>
          <w:highlight w:val="none"/>
          <w14:textFill>
            <w14:solidFill>
              <w14:schemeClr w14:val="tx1"/>
            </w14:solidFill>
          </w14:textFill>
        </w:rPr>
      </w:pPr>
    </w:p>
    <w:p w14:paraId="747055A1">
      <w:pPr>
        <w:shd w:val="clear"/>
        <w:rPr>
          <w:b/>
          <w:color w:val="000000" w:themeColor="text1"/>
          <w:sz w:val="44"/>
          <w:szCs w:val="44"/>
          <w:highlight w:val="none"/>
          <w14:textFill>
            <w14:solidFill>
              <w14:schemeClr w14:val="tx1"/>
            </w14:solidFill>
          </w14:textFill>
        </w:rPr>
      </w:pPr>
    </w:p>
    <w:p w14:paraId="6EC4B465">
      <w:pPr>
        <w:shd w:val="clear"/>
        <w:spacing w:line="360" w:lineRule="auto"/>
        <w:jc w:val="center"/>
        <w:rPr>
          <w:b/>
          <w:sz w:val="44"/>
          <w:szCs w:val="44"/>
          <w:highlight w:val="none"/>
        </w:rPr>
      </w:pPr>
      <w:r>
        <w:rPr>
          <w:rFonts w:hint="eastAsia"/>
          <w:b/>
          <w:sz w:val="44"/>
          <w:szCs w:val="44"/>
          <w:highlight w:val="none"/>
        </w:rPr>
        <w:t>涵熙（苏州）工程顾问有限公司</w:t>
      </w:r>
    </w:p>
    <w:p w14:paraId="57D53DEC">
      <w:pPr>
        <w:shd w:val="clear"/>
        <w:jc w:val="center"/>
        <w:rPr>
          <w:b/>
          <w:sz w:val="44"/>
          <w:szCs w:val="44"/>
          <w:highlight w:val="none"/>
        </w:rPr>
        <w:sectPr>
          <w:headerReference r:id="rId5" w:type="first"/>
          <w:headerReference r:id="rId3" w:type="default"/>
          <w:footerReference r:id="rId6" w:type="default"/>
          <w:headerReference r:id="rId4" w:type="even"/>
          <w:footerReference r:id="rId7" w:type="even"/>
          <w:pgSz w:w="11907" w:h="16840"/>
          <w:pgMar w:top="1134" w:right="242" w:bottom="1418" w:left="1365" w:header="567" w:footer="794" w:gutter="0"/>
          <w:pgNumType w:start="0"/>
          <w:cols w:space="720" w:num="1"/>
          <w:titlePg/>
          <w:docGrid w:type="lines" w:linePitch="305" w:charSpace="0"/>
        </w:sectPr>
      </w:pPr>
      <w:r>
        <w:rPr>
          <w:rFonts w:hint="eastAsia"/>
          <w:b/>
          <w:sz w:val="44"/>
          <w:szCs w:val="44"/>
          <w:highlight w:val="none"/>
        </w:rPr>
        <w:t>2024年</w:t>
      </w:r>
      <w:r>
        <w:rPr>
          <w:rFonts w:hint="eastAsia"/>
          <w:b/>
          <w:sz w:val="44"/>
          <w:szCs w:val="44"/>
          <w:highlight w:val="none"/>
          <w:lang w:val="en-US" w:eastAsia="zh-CN"/>
        </w:rPr>
        <w:t>12</w:t>
      </w:r>
      <w:r>
        <w:rPr>
          <w:rFonts w:hint="eastAsia"/>
          <w:b/>
          <w:sz w:val="44"/>
          <w:szCs w:val="44"/>
          <w:highlight w:val="none"/>
        </w:rPr>
        <w:t>月</w:t>
      </w:r>
      <w:r>
        <w:rPr>
          <w:rFonts w:hint="eastAsia"/>
          <w:b/>
          <w:sz w:val="44"/>
          <w:szCs w:val="44"/>
          <w:highlight w:val="none"/>
          <w:lang w:val="en-US" w:eastAsia="zh-CN"/>
        </w:rPr>
        <w:t>04</w:t>
      </w:r>
      <w:r>
        <w:rPr>
          <w:rFonts w:hint="eastAsia"/>
          <w:b/>
          <w:sz w:val="44"/>
          <w:szCs w:val="44"/>
          <w:highlight w:val="none"/>
        </w:rPr>
        <w:t>日</w:t>
      </w:r>
    </w:p>
    <w:p w14:paraId="0EFD92F7">
      <w:pPr>
        <w:shd w:val="clear"/>
        <w:jc w:val="cente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目录</w:t>
      </w:r>
      <w:bookmarkStart w:id="0" w:name="_Toc158691765"/>
    </w:p>
    <w:p w14:paraId="0A776EA8">
      <w:pPr>
        <w:pStyle w:val="37"/>
        <w:tabs>
          <w:tab w:val="right" w:leader="dot" w:pos="9660"/>
          <w:tab w:val="clear" w:pos="9450"/>
        </w:tabs>
      </w:pPr>
      <w:r>
        <w:rPr>
          <w:color w:val="000000" w:themeColor="text1"/>
          <w:sz w:val="28"/>
          <w:szCs w:val="36"/>
          <w:highlight w:val="none"/>
          <w14:textFill>
            <w14:solidFill>
              <w14:schemeClr w14:val="tx1"/>
            </w14:solidFill>
          </w14:textFill>
        </w:rPr>
        <w:fldChar w:fldCharType="begin"/>
      </w:r>
      <w:r>
        <w:rPr>
          <w:color w:val="000000" w:themeColor="text1"/>
          <w:sz w:val="28"/>
          <w:szCs w:val="36"/>
          <w:highlight w:val="none"/>
          <w14:textFill>
            <w14:solidFill>
              <w14:schemeClr w14:val="tx1"/>
            </w14:solidFill>
          </w14:textFill>
        </w:rPr>
        <w:instrText xml:space="preserve"> TOC \o "1-3" \h \z \u </w:instrText>
      </w:r>
      <w:r>
        <w:rPr>
          <w:color w:val="000000" w:themeColor="text1"/>
          <w:sz w:val="28"/>
          <w:szCs w:val="36"/>
          <w:highlight w:val="none"/>
          <w14:textFill>
            <w14:solidFill>
              <w14:schemeClr w14:val="tx1"/>
            </w14:solidFill>
          </w14:textFill>
        </w:rPr>
        <w:fldChar w:fldCharType="separate"/>
      </w:r>
      <w:r>
        <w:rPr>
          <w:color w:val="000000" w:themeColor="text1"/>
          <w:szCs w:val="36"/>
          <w:highlight w:val="none"/>
          <w14:textFill>
            <w14:solidFill>
              <w14:schemeClr w14:val="tx1"/>
            </w14:solidFill>
          </w14:textFill>
        </w:rPr>
        <w:fldChar w:fldCharType="begin"/>
      </w:r>
      <w:r>
        <w:rPr>
          <w:szCs w:val="36"/>
          <w:highlight w:val="none"/>
        </w:rPr>
        <w:instrText xml:space="preserve"> HYPERLINK \l _Toc22327 </w:instrText>
      </w:r>
      <w:r>
        <w:rPr>
          <w:szCs w:val="36"/>
          <w:highlight w:val="none"/>
        </w:rPr>
        <w:fldChar w:fldCharType="separate"/>
      </w:r>
      <w:r>
        <w:rPr>
          <w:rFonts w:ascii="Times New Roman"/>
          <w:highlight w:val="none"/>
        </w:rPr>
        <w:t>第一章</w:t>
      </w:r>
      <w:r>
        <w:rPr>
          <w:rFonts w:hint="eastAsia" w:ascii="Times New Roman"/>
          <w:highlight w:val="none"/>
        </w:rPr>
        <w:t xml:space="preserve"> 投标</w:t>
      </w:r>
      <w:r>
        <w:rPr>
          <w:rFonts w:ascii="Times New Roman"/>
          <w:highlight w:val="none"/>
        </w:rPr>
        <w:t>邀请</w:t>
      </w:r>
      <w:r>
        <w:tab/>
      </w:r>
      <w:r>
        <w:fldChar w:fldCharType="begin"/>
      </w:r>
      <w:r>
        <w:instrText xml:space="preserve"> PAGEREF _Toc22327 \h </w:instrText>
      </w:r>
      <w:r>
        <w:fldChar w:fldCharType="separate"/>
      </w:r>
      <w:r>
        <w:t>1</w:t>
      </w:r>
      <w:r>
        <w:fldChar w:fldCharType="end"/>
      </w:r>
      <w:r>
        <w:rPr>
          <w:color w:val="000000" w:themeColor="text1"/>
          <w:szCs w:val="36"/>
          <w:highlight w:val="none"/>
          <w14:textFill>
            <w14:solidFill>
              <w14:schemeClr w14:val="tx1"/>
            </w14:solidFill>
          </w14:textFill>
        </w:rPr>
        <w:fldChar w:fldCharType="end"/>
      </w:r>
    </w:p>
    <w:p w14:paraId="4A5C4723">
      <w:pPr>
        <w:pStyle w:val="3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_Toc852 </w:instrText>
      </w:r>
      <w:r>
        <w:rPr>
          <w:szCs w:val="36"/>
          <w:highlight w:val="none"/>
        </w:rPr>
        <w:fldChar w:fldCharType="separate"/>
      </w:r>
      <w:r>
        <w:rPr>
          <w:rFonts w:ascii="Times New Roman"/>
          <w:highlight w:val="none"/>
        </w:rPr>
        <w:t>第二章</w:t>
      </w:r>
      <w:r>
        <w:rPr>
          <w:rFonts w:hint="eastAsia" w:ascii="Times New Roman"/>
          <w:highlight w:val="none"/>
        </w:rPr>
        <w:t xml:space="preserve"> 投标人</w:t>
      </w:r>
      <w:r>
        <w:rPr>
          <w:rFonts w:ascii="Times New Roman"/>
          <w:highlight w:val="none"/>
        </w:rPr>
        <w:t>须知</w:t>
      </w:r>
      <w:r>
        <w:tab/>
      </w:r>
      <w:r>
        <w:fldChar w:fldCharType="begin"/>
      </w:r>
      <w:r>
        <w:instrText xml:space="preserve"> PAGEREF _Toc852 \h </w:instrText>
      </w:r>
      <w:r>
        <w:fldChar w:fldCharType="separate"/>
      </w:r>
      <w:r>
        <w:t>5</w:t>
      </w:r>
      <w:r>
        <w:fldChar w:fldCharType="end"/>
      </w:r>
      <w:r>
        <w:rPr>
          <w:color w:val="000000" w:themeColor="text1"/>
          <w:szCs w:val="36"/>
          <w:highlight w:val="none"/>
          <w14:textFill>
            <w14:solidFill>
              <w14:schemeClr w14:val="tx1"/>
            </w14:solidFill>
          </w14:textFill>
        </w:rPr>
        <w:fldChar w:fldCharType="end"/>
      </w:r>
    </w:p>
    <w:p w14:paraId="381AC857">
      <w:pPr>
        <w:pStyle w:val="3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_Toc1178 </w:instrText>
      </w:r>
      <w:r>
        <w:rPr>
          <w:szCs w:val="36"/>
          <w:highlight w:val="none"/>
        </w:rPr>
        <w:fldChar w:fldCharType="separate"/>
      </w:r>
      <w:r>
        <w:rPr>
          <w:rFonts w:ascii="Times New Roman" w:hAnsi="Times New Roman"/>
          <w:highlight w:val="none"/>
        </w:rPr>
        <w:t>第</w:t>
      </w:r>
      <w:r>
        <w:rPr>
          <w:rFonts w:hint="eastAsia" w:ascii="Times New Roman" w:hAnsi="Times New Roman"/>
          <w:highlight w:val="none"/>
        </w:rPr>
        <w:t>三</w:t>
      </w:r>
      <w:r>
        <w:rPr>
          <w:rFonts w:ascii="Times New Roman" w:hAnsi="Times New Roman"/>
          <w:highlight w:val="none"/>
        </w:rPr>
        <w:t>章 合同</w:t>
      </w:r>
      <w:r>
        <w:rPr>
          <w:rFonts w:hint="eastAsia" w:ascii="Times New Roman" w:hAnsi="Times New Roman"/>
          <w:highlight w:val="none"/>
        </w:rPr>
        <w:t>文本</w:t>
      </w:r>
      <w:r>
        <w:tab/>
      </w:r>
      <w:r>
        <w:fldChar w:fldCharType="begin"/>
      </w:r>
      <w:r>
        <w:instrText xml:space="preserve"> PAGEREF _Toc1178 \h </w:instrText>
      </w:r>
      <w:r>
        <w:fldChar w:fldCharType="separate"/>
      </w:r>
      <w:r>
        <w:t>15</w:t>
      </w:r>
      <w:r>
        <w:fldChar w:fldCharType="end"/>
      </w:r>
      <w:r>
        <w:rPr>
          <w:color w:val="000000" w:themeColor="text1"/>
          <w:szCs w:val="36"/>
          <w:highlight w:val="none"/>
          <w14:textFill>
            <w14:solidFill>
              <w14:schemeClr w14:val="tx1"/>
            </w14:solidFill>
          </w14:textFill>
        </w:rPr>
        <w:fldChar w:fldCharType="end"/>
      </w:r>
    </w:p>
    <w:p w14:paraId="5AF84A47">
      <w:pPr>
        <w:pStyle w:val="3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_Toc8223 </w:instrText>
      </w:r>
      <w:r>
        <w:rPr>
          <w:szCs w:val="36"/>
          <w:highlight w:val="none"/>
        </w:rPr>
        <w:fldChar w:fldCharType="separate"/>
      </w:r>
      <w:r>
        <w:rPr>
          <w:rFonts w:ascii="Times New Roman"/>
          <w:highlight w:val="none"/>
        </w:rPr>
        <w:t xml:space="preserve">第四章 </w:t>
      </w:r>
      <w:r>
        <w:rPr>
          <w:rFonts w:hint="eastAsia" w:ascii="Times New Roman"/>
          <w:highlight w:val="none"/>
        </w:rPr>
        <w:t>采购</w:t>
      </w:r>
      <w:r>
        <w:rPr>
          <w:rFonts w:ascii="Times New Roman"/>
          <w:highlight w:val="none"/>
        </w:rPr>
        <w:t>需求</w:t>
      </w:r>
      <w:r>
        <w:tab/>
      </w:r>
      <w:r>
        <w:fldChar w:fldCharType="begin"/>
      </w:r>
      <w:r>
        <w:instrText xml:space="preserve"> PAGEREF _Toc8223 \h </w:instrText>
      </w:r>
      <w:r>
        <w:fldChar w:fldCharType="separate"/>
      </w:r>
      <w:r>
        <w:t>23</w:t>
      </w:r>
      <w:r>
        <w:fldChar w:fldCharType="end"/>
      </w:r>
      <w:r>
        <w:rPr>
          <w:color w:val="000000" w:themeColor="text1"/>
          <w:szCs w:val="36"/>
          <w:highlight w:val="none"/>
          <w14:textFill>
            <w14:solidFill>
              <w14:schemeClr w14:val="tx1"/>
            </w14:solidFill>
          </w14:textFill>
        </w:rPr>
        <w:fldChar w:fldCharType="end"/>
      </w:r>
    </w:p>
    <w:p w14:paraId="0730B2D5">
      <w:pPr>
        <w:pStyle w:val="3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_Toc30408 </w:instrText>
      </w:r>
      <w:r>
        <w:rPr>
          <w:szCs w:val="36"/>
          <w:highlight w:val="none"/>
        </w:rPr>
        <w:fldChar w:fldCharType="separate"/>
      </w:r>
      <w:r>
        <w:rPr>
          <w:rFonts w:ascii="Times New Roman" w:hAnsi="Times New Roman"/>
          <w:highlight w:val="none"/>
        </w:rPr>
        <w:t>第五章 评审</w:t>
      </w:r>
      <w:r>
        <w:rPr>
          <w:rFonts w:hint="eastAsia" w:ascii="Times New Roman" w:hAnsi="Times New Roman"/>
          <w:highlight w:val="none"/>
        </w:rPr>
        <w:t>方法与评审</w:t>
      </w:r>
      <w:r>
        <w:rPr>
          <w:rFonts w:ascii="Times New Roman" w:hAnsi="Times New Roman"/>
          <w:highlight w:val="none"/>
        </w:rPr>
        <w:t>标准</w:t>
      </w:r>
      <w:r>
        <w:tab/>
      </w:r>
      <w:r>
        <w:fldChar w:fldCharType="begin"/>
      </w:r>
      <w:r>
        <w:instrText xml:space="preserve"> PAGEREF _Toc30408 \h </w:instrText>
      </w:r>
      <w:r>
        <w:fldChar w:fldCharType="separate"/>
      </w:r>
      <w:r>
        <w:t>29</w:t>
      </w:r>
      <w:r>
        <w:fldChar w:fldCharType="end"/>
      </w:r>
      <w:r>
        <w:rPr>
          <w:color w:val="000000" w:themeColor="text1"/>
          <w:szCs w:val="36"/>
          <w:highlight w:val="none"/>
          <w14:textFill>
            <w14:solidFill>
              <w14:schemeClr w14:val="tx1"/>
            </w14:solidFill>
          </w14:textFill>
        </w:rPr>
        <w:fldChar w:fldCharType="end"/>
      </w:r>
    </w:p>
    <w:p w14:paraId="4E7899EA">
      <w:pPr>
        <w:pStyle w:val="37"/>
        <w:tabs>
          <w:tab w:val="right" w:leader="dot" w:pos="9660"/>
          <w:tab w:val="clear" w:pos="9450"/>
        </w:tabs>
      </w:pPr>
      <w:r>
        <w:rPr>
          <w:color w:val="000000" w:themeColor="text1"/>
          <w:szCs w:val="36"/>
          <w:highlight w:val="none"/>
          <w14:textFill>
            <w14:solidFill>
              <w14:schemeClr w14:val="tx1"/>
            </w14:solidFill>
          </w14:textFill>
        </w:rPr>
        <w:fldChar w:fldCharType="begin"/>
      </w:r>
      <w:r>
        <w:rPr>
          <w:szCs w:val="36"/>
          <w:highlight w:val="none"/>
        </w:rPr>
        <w:instrText xml:space="preserve"> HYPERLINK \l _Toc22994 </w:instrText>
      </w:r>
      <w:r>
        <w:rPr>
          <w:szCs w:val="36"/>
          <w:highlight w:val="none"/>
        </w:rPr>
        <w:fldChar w:fldCharType="separate"/>
      </w:r>
      <w:r>
        <w:rPr>
          <w:rFonts w:ascii="Times New Roman" w:hAnsi="Times New Roman"/>
          <w:highlight w:val="none"/>
        </w:rPr>
        <w:t>第</w:t>
      </w:r>
      <w:r>
        <w:rPr>
          <w:rFonts w:hint="eastAsia" w:ascii="Times New Roman" w:hAnsi="Times New Roman"/>
          <w:highlight w:val="none"/>
        </w:rPr>
        <w:t>六</w:t>
      </w:r>
      <w:r>
        <w:rPr>
          <w:rFonts w:ascii="Times New Roman" w:hAnsi="Times New Roman"/>
          <w:highlight w:val="none"/>
        </w:rPr>
        <w:t>章</w:t>
      </w:r>
      <w:r>
        <w:rPr>
          <w:rFonts w:hint="eastAsia" w:ascii="Times New Roman" w:hAnsi="Times New Roman"/>
          <w:highlight w:val="none"/>
        </w:rPr>
        <w:t xml:space="preserve"> 投标文件</w:t>
      </w:r>
      <w:r>
        <w:rPr>
          <w:rFonts w:ascii="Times New Roman" w:hAnsi="Times New Roman"/>
          <w:highlight w:val="none"/>
        </w:rPr>
        <w:t>格式</w:t>
      </w:r>
      <w:r>
        <w:tab/>
      </w:r>
      <w:r>
        <w:fldChar w:fldCharType="begin"/>
      </w:r>
      <w:r>
        <w:instrText xml:space="preserve"> PAGEREF _Toc22994 \h </w:instrText>
      </w:r>
      <w:r>
        <w:fldChar w:fldCharType="separate"/>
      </w:r>
      <w:r>
        <w:t>34</w:t>
      </w:r>
      <w:r>
        <w:fldChar w:fldCharType="end"/>
      </w:r>
      <w:r>
        <w:rPr>
          <w:color w:val="000000" w:themeColor="text1"/>
          <w:szCs w:val="36"/>
          <w:highlight w:val="none"/>
          <w14:textFill>
            <w14:solidFill>
              <w14:schemeClr w14:val="tx1"/>
            </w14:solidFill>
          </w14:textFill>
        </w:rPr>
        <w:fldChar w:fldCharType="end"/>
      </w:r>
    </w:p>
    <w:p w14:paraId="37BD41B4">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_Toc5013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 开标一览表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_Toc5013 \h </w:instrText>
      </w:r>
      <w:r>
        <w:rPr>
          <w:rFonts w:hint="eastAsia" w:ascii="宋体" w:hAnsi="宋体" w:eastAsia="宋体" w:cs="宋体"/>
        </w:rPr>
        <w:fldChar w:fldCharType="separate"/>
      </w:r>
      <w:r>
        <w:rPr>
          <w:rFonts w:hint="eastAsia" w:ascii="宋体" w:hAnsi="宋体" w:eastAsia="宋体" w:cs="宋体"/>
        </w:rPr>
        <w:t>36</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092B2E95">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_Toc13787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 xml:space="preserve">附件2 </w:t>
      </w:r>
      <w:r>
        <w:rPr>
          <w:rFonts w:hint="eastAsia" w:ascii="宋体" w:hAnsi="宋体" w:eastAsia="宋体" w:cs="宋体"/>
          <w:kern w:val="2"/>
          <w:szCs w:val="28"/>
        </w:rPr>
        <w:t>报价明细表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_Toc13787 \h </w:instrText>
      </w:r>
      <w:r>
        <w:rPr>
          <w:rFonts w:hint="eastAsia" w:ascii="宋体" w:hAnsi="宋体" w:eastAsia="宋体" w:cs="宋体"/>
        </w:rPr>
        <w:fldChar w:fldCharType="separate"/>
      </w:r>
      <w:r>
        <w:rPr>
          <w:rFonts w:hint="eastAsia" w:ascii="宋体" w:hAnsi="宋体" w:eastAsia="宋体" w:cs="宋体"/>
        </w:rPr>
        <w:t>37</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3415EFE5">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_Toc14283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lang w:val="en-US" w:eastAsia="zh-CN"/>
        </w:rPr>
        <w:t xml:space="preserve">附件3 </w:t>
      </w:r>
      <w:r>
        <w:rPr>
          <w:rFonts w:hint="eastAsia" w:ascii="宋体" w:hAnsi="宋体" w:eastAsia="宋体" w:cs="宋体"/>
          <w:bCs/>
          <w:szCs w:val="28"/>
          <w:highlight w:val="none"/>
          <w:lang w:eastAsia="zh-CN"/>
        </w:rPr>
        <w:t>投入要素明细表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_Toc14283 \h </w:instrText>
      </w:r>
      <w:r>
        <w:rPr>
          <w:rFonts w:hint="eastAsia" w:ascii="宋体" w:hAnsi="宋体" w:eastAsia="宋体" w:cs="宋体"/>
        </w:rPr>
        <w:fldChar w:fldCharType="separate"/>
      </w:r>
      <w:r>
        <w:rPr>
          <w:rFonts w:hint="eastAsia" w:ascii="宋体" w:hAnsi="宋体" w:eastAsia="宋体" w:cs="宋体"/>
        </w:rPr>
        <w:t>41</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639A1484">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_Toc12642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4</w:t>
      </w:r>
      <w:r>
        <w:rPr>
          <w:rFonts w:hint="eastAsia" w:ascii="宋体" w:hAnsi="宋体" w:eastAsia="宋体" w:cs="宋体"/>
          <w:highlight w:val="none"/>
        </w:rPr>
        <w:t xml:space="preserve"> 具备履行合同所必需的设备和专业技术能力的书面声明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_Toc12642 \h </w:instrText>
      </w:r>
      <w:r>
        <w:rPr>
          <w:rFonts w:hint="eastAsia" w:ascii="宋体" w:hAnsi="宋体" w:eastAsia="宋体" w:cs="宋体"/>
        </w:rPr>
        <w:fldChar w:fldCharType="separate"/>
      </w:r>
      <w:r>
        <w:rPr>
          <w:rFonts w:hint="eastAsia" w:ascii="宋体" w:hAnsi="宋体" w:eastAsia="宋体" w:cs="宋体"/>
        </w:rPr>
        <w:t>42</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528DF6A0">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_Toc22870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5</w:t>
      </w:r>
      <w:r>
        <w:rPr>
          <w:rFonts w:hint="eastAsia" w:ascii="宋体" w:hAnsi="宋体" w:eastAsia="宋体" w:cs="宋体"/>
          <w:highlight w:val="none"/>
        </w:rPr>
        <w:t xml:space="preserve"> 参加政府采购活动前3年内在经营活动中没有重大违法记录的书面声明</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_Toc22870 \h </w:instrText>
      </w:r>
      <w:r>
        <w:rPr>
          <w:rFonts w:hint="eastAsia" w:ascii="宋体" w:hAnsi="宋体" w:eastAsia="宋体" w:cs="宋体"/>
        </w:rPr>
        <w:fldChar w:fldCharType="separate"/>
      </w:r>
      <w:r>
        <w:rPr>
          <w:rFonts w:hint="eastAsia" w:ascii="宋体" w:hAnsi="宋体" w:eastAsia="宋体" w:cs="宋体"/>
        </w:rPr>
        <w:t>43</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1AF7FFE9">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_Toc10883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6</w:t>
      </w:r>
      <w:r>
        <w:rPr>
          <w:rFonts w:hint="eastAsia" w:ascii="宋体" w:hAnsi="宋体" w:eastAsia="宋体" w:cs="宋体"/>
          <w:highlight w:val="none"/>
        </w:rPr>
        <w:t xml:space="preserve"> 法人授权书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_Toc10883 \h </w:instrText>
      </w:r>
      <w:r>
        <w:rPr>
          <w:rFonts w:hint="eastAsia" w:ascii="宋体" w:hAnsi="宋体" w:eastAsia="宋体" w:cs="宋体"/>
        </w:rPr>
        <w:fldChar w:fldCharType="separate"/>
      </w:r>
      <w:r>
        <w:rPr>
          <w:rFonts w:hint="eastAsia" w:ascii="宋体" w:hAnsi="宋体" w:eastAsia="宋体" w:cs="宋体"/>
        </w:rPr>
        <w:t>44</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1EE52B14">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_Toc1620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7</w:t>
      </w:r>
      <w:r>
        <w:rPr>
          <w:rFonts w:hint="eastAsia" w:ascii="宋体" w:hAnsi="宋体" w:eastAsia="宋体" w:cs="宋体"/>
          <w:highlight w:val="none"/>
        </w:rPr>
        <w:t xml:space="preserve"> 投标函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_Toc1620 \h </w:instrText>
      </w:r>
      <w:r>
        <w:rPr>
          <w:rFonts w:hint="eastAsia" w:ascii="宋体" w:hAnsi="宋体" w:eastAsia="宋体" w:cs="宋体"/>
        </w:rPr>
        <w:fldChar w:fldCharType="separate"/>
      </w:r>
      <w:r>
        <w:rPr>
          <w:rFonts w:hint="eastAsia" w:ascii="宋体" w:hAnsi="宋体" w:eastAsia="宋体" w:cs="宋体"/>
        </w:rPr>
        <w:t>45</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1BE96667">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_Toc17800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附件</w:t>
      </w:r>
      <w:r>
        <w:rPr>
          <w:rFonts w:hint="eastAsia" w:ascii="宋体" w:hAnsi="宋体" w:eastAsia="宋体" w:cs="宋体"/>
          <w:bCs/>
          <w:szCs w:val="28"/>
          <w:highlight w:val="none"/>
          <w:lang w:val="en-US" w:eastAsia="zh-CN"/>
        </w:rPr>
        <w:t>8</w:t>
      </w:r>
      <w:r>
        <w:rPr>
          <w:rFonts w:hint="eastAsia" w:ascii="宋体" w:hAnsi="宋体" w:eastAsia="宋体" w:cs="宋体"/>
          <w:bCs/>
          <w:szCs w:val="28"/>
          <w:highlight w:val="none"/>
        </w:rPr>
        <w:t xml:space="preserve"> 中小企业声明函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_Toc17800 \h </w:instrText>
      </w:r>
      <w:r>
        <w:rPr>
          <w:rFonts w:hint="eastAsia" w:ascii="宋体" w:hAnsi="宋体" w:eastAsia="宋体" w:cs="宋体"/>
        </w:rPr>
        <w:fldChar w:fldCharType="separate"/>
      </w:r>
      <w:r>
        <w:rPr>
          <w:rFonts w:hint="eastAsia" w:ascii="宋体" w:hAnsi="宋体" w:eastAsia="宋体" w:cs="宋体"/>
        </w:rPr>
        <w:t>46</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5F12BA3B">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_Toc3558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rPr>
        <w:t>附件</w:t>
      </w:r>
      <w:r>
        <w:rPr>
          <w:rFonts w:hint="eastAsia" w:ascii="宋体" w:hAnsi="宋体" w:eastAsia="宋体" w:cs="宋体"/>
          <w:bCs/>
          <w:szCs w:val="28"/>
          <w:highlight w:val="none"/>
          <w:lang w:val="en-US" w:eastAsia="zh-CN"/>
        </w:rPr>
        <w:t>9</w:t>
      </w:r>
      <w:r>
        <w:rPr>
          <w:rFonts w:hint="eastAsia" w:ascii="宋体" w:hAnsi="宋体" w:eastAsia="宋体" w:cs="宋体"/>
          <w:bCs/>
          <w:szCs w:val="28"/>
          <w:highlight w:val="none"/>
        </w:rPr>
        <w:t xml:space="preserve"> 残疾人福利性单位声明函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_Toc3558 \h </w:instrText>
      </w:r>
      <w:r>
        <w:rPr>
          <w:rFonts w:hint="eastAsia" w:ascii="宋体" w:hAnsi="宋体" w:eastAsia="宋体" w:cs="宋体"/>
        </w:rPr>
        <w:fldChar w:fldCharType="separate"/>
      </w:r>
      <w:r>
        <w:rPr>
          <w:rFonts w:hint="eastAsia" w:ascii="宋体" w:hAnsi="宋体" w:eastAsia="宋体" w:cs="宋体"/>
        </w:rPr>
        <w:t>47</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048CDE0A">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_Toc26890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10</w:t>
      </w:r>
      <w:r>
        <w:rPr>
          <w:rFonts w:hint="eastAsia" w:ascii="宋体" w:hAnsi="宋体" w:eastAsia="宋体" w:cs="宋体"/>
          <w:highlight w:val="none"/>
        </w:rPr>
        <w:t xml:space="preserve"> 实质性要求响应及偏离表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_Toc26890 \h </w:instrText>
      </w:r>
      <w:r>
        <w:rPr>
          <w:rFonts w:hint="eastAsia" w:ascii="宋体" w:hAnsi="宋体" w:eastAsia="宋体" w:cs="宋体"/>
        </w:rPr>
        <w:fldChar w:fldCharType="separate"/>
      </w:r>
      <w:r>
        <w:rPr>
          <w:rFonts w:hint="eastAsia" w:ascii="宋体" w:hAnsi="宋体" w:eastAsia="宋体" w:cs="宋体"/>
        </w:rPr>
        <w:t>48</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752A48B4">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_Toc10326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w:t>
      </w:r>
      <w:r>
        <w:rPr>
          <w:rFonts w:hint="eastAsia" w:ascii="宋体" w:hAnsi="宋体" w:eastAsia="宋体" w:cs="宋体"/>
          <w:highlight w:val="none"/>
          <w:lang w:val="en-US" w:eastAsia="zh-CN"/>
        </w:rPr>
        <w:t>11</w:t>
      </w:r>
      <w:r>
        <w:rPr>
          <w:rFonts w:hint="eastAsia" w:ascii="宋体" w:hAnsi="宋体" w:eastAsia="宋体" w:cs="宋体"/>
          <w:highlight w:val="none"/>
        </w:rPr>
        <w:t xml:space="preserve"> 服务要求响应及偏离表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_Toc10326 \h </w:instrText>
      </w:r>
      <w:r>
        <w:rPr>
          <w:rFonts w:hint="eastAsia" w:ascii="宋体" w:hAnsi="宋体" w:eastAsia="宋体" w:cs="宋体"/>
        </w:rPr>
        <w:fldChar w:fldCharType="separate"/>
      </w:r>
      <w:r>
        <w:rPr>
          <w:rFonts w:hint="eastAsia" w:ascii="宋体" w:hAnsi="宋体" w:eastAsia="宋体" w:cs="宋体"/>
        </w:rPr>
        <w:t>49</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3BB6F85E">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_Toc28660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2</w:t>
      </w:r>
      <w:r>
        <w:rPr>
          <w:rFonts w:hint="eastAsia" w:ascii="宋体" w:hAnsi="宋体" w:eastAsia="宋体" w:cs="宋体"/>
          <w:highlight w:val="none"/>
        </w:rPr>
        <w:t xml:space="preserve"> 项目实施方案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_Toc28660 \h </w:instrText>
      </w:r>
      <w:r>
        <w:rPr>
          <w:rFonts w:hint="eastAsia" w:ascii="宋体" w:hAnsi="宋体" w:eastAsia="宋体" w:cs="宋体"/>
        </w:rPr>
        <w:fldChar w:fldCharType="separate"/>
      </w:r>
      <w:r>
        <w:rPr>
          <w:rFonts w:hint="eastAsia" w:ascii="宋体" w:hAnsi="宋体" w:eastAsia="宋体" w:cs="宋体"/>
        </w:rPr>
        <w:t>50</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77CABB5E">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_Toc24968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3</w:t>
      </w:r>
      <w:r>
        <w:rPr>
          <w:rFonts w:hint="eastAsia" w:ascii="宋体" w:hAnsi="宋体" w:eastAsia="宋体" w:cs="宋体"/>
          <w:highlight w:val="none"/>
        </w:rPr>
        <w:t xml:space="preserve"> 项目组人员一览表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_Toc24968 \h </w:instrText>
      </w:r>
      <w:r>
        <w:rPr>
          <w:rFonts w:hint="eastAsia" w:ascii="宋体" w:hAnsi="宋体" w:eastAsia="宋体" w:cs="宋体"/>
        </w:rPr>
        <w:fldChar w:fldCharType="separate"/>
      </w:r>
      <w:r>
        <w:rPr>
          <w:rFonts w:hint="eastAsia" w:ascii="宋体" w:hAnsi="宋体" w:eastAsia="宋体" w:cs="宋体"/>
        </w:rPr>
        <w:t>51</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561A92F6">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_Toc26809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4</w:t>
      </w:r>
      <w:r>
        <w:rPr>
          <w:rFonts w:hint="eastAsia" w:ascii="宋体" w:hAnsi="宋体" w:eastAsia="宋体" w:cs="宋体"/>
          <w:highlight w:val="none"/>
        </w:rPr>
        <w:t xml:space="preserve"> 设备配备一览表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_Toc26809 \h </w:instrText>
      </w:r>
      <w:r>
        <w:rPr>
          <w:rFonts w:hint="eastAsia" w:ascii="宋体" w:hAnsi="宋体" w:eastAsia="宋体" w:cs="宋体"/>
        </w:rPr>
        <w:fldChar w:fldCharType="separate"/>
      </w:r>
      <w:r>
        <w:rPr>
          <w:rFonts w:hint="eastAsia" w:ascii="宋体" w:hAnsi="宋体" w:eastAsia="宋体" w:cs="宋体"/>
        </w:rPr>
        <w:t>52</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636D4339">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_Toc24525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5</w:t>
      </w:r>
      <w:r>
        <w:rPr>
          <w:rFonts w:hint="eastAsia" w:ascii="宋体" w:hAnsi="宋体" w:eastAsia="宋体" w:cs="宋体"/>
          <w:highlight w:val="none"/>
        </w:rPr>
        <w:t xml:space="preserve"> 业绩一览表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_Toc24525 \h </w:instrText>
      </w:r>
      <w:r>
        <w:rPr>
          <w:rFonts w:hint="eastAsia" w:ascii="宋体" w:hAnsi="宋体" w:eastAsia="宋体" w:cs="宋体"/>
        </w:rPr>
        <w:fldChar w:fldCharType="separate"/>
      </w:r>
      <w:r>
        <w:rPr>
          <w:rFonts w:hint="eastAsia" w:ascii="宋体" w:hAnsi="宋体" w:eastAsia="宋体" w:cs="宋体"/>
        </w:rPr>
        <w:t>53</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41C9FC6F">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_Toc13129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6</w:t>
      </w:r>
      <w:r>
        <w:rPr>
          <w:rFonts w:hint="eastAsia" w:ascii="宋体" w:hAnsi="宋体" w:eastAsia="宋体" w:cs="宋体"/>
          <w:highlight w:val="none"/>
        </w:rPr>
        <w:t xml:space="preserve"> 商务条件响应及偏离表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_Toc13129 \h </w:instrText>
      </w:r>
      <w:r>
        <w:rPr>
          <w:rFonts w:hint="eastAsia" w:ascii="宋体" w:hAnsi="宋体" w:eastAsia="宋体" w:cs="宋体"/>
        </w:rPr>
        <w:fldChar w:fldCharType="separate"/>
      </w:r>
      <w:r>
        <w:rPr>
          <w:rFonts w:hint="eastAsia" w:ascii="宋体" w:hAnsi="宋体" w:eastAsia="宋体" w:cs="宋体"/>
        </w:rPr>
        <w:t>54</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45D282F8">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_Toc12956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7 人员及船只到位期限承诺书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_Toc12956 \h </w:instrText>
      </w:r>
      <w:r>
        <w:rPr>
          <w:rFonts w:hint="eastAsia" w:ascii="宋体" w:hAnsi="宋体" w:eastAsia="宋体" w:cs="宋体"/>
        </w:rPr>
        <w:fldChar w:fldCharType="separate"/>
      </w:r>
      <w:r>
        <w:rPr>
          <w:rFonts w:hint="eastAsia" w:ascii="宋体" w:hAnsi="宋体" w:eastAsia="宋体" w:cs="宋体"/>
        </w:rPr>
        <w:t>55</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7F884B43">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_Toc7039 </w:instrText>
      </w:r>
      <w:r>
        <w:rPr>
          <w:rFonts w:hint="eastAsia" w:ascii="宋体" w:hAnsi="宋体" w:eastAsia="宋体" w:cs="宋体"/>
          <w:szCs w:val="36"/>
          <w:highlight w:val="none"/>
        </w:rPr>
        <w:fldChar w:fldCharType="separate"/>
      </w:r>
      <w:r>
        <w:rPr>
          <w:rFonts w:hint="eastAsia" w:ascii="宋体" w:hAnsi="宋体" w:eastAsia="宋体" w:cs="宋体"/>
          <w:highlight w:val="none"/>
        </w:rPr>
        <w:t>附件1</w:t>
      </w:r>
      <w:r>
        <w:rPr>
          <w:rFonts w:hint="eastAsia" w:ascii="宋体" w:hAnsi="宋体" w:eastAsia="宋体" w:cs="宋体"/>
          <w:highlight w:val="none"/>
          <w:lang w:val="en-US" w:eastAsia="zh-CN"/>
        </w:rPr>
        <w:t>8</w:t>
      </w:r>
      <w:r>
        <w:rPr>
          <w:rFonts w:hint="eastAsia" w:ascii="宋体" w:hAnsi="宋体" w:eastAsia="宋体" w:cs="宋体"/>
          <w:highlight w:val="none"/>
        </w:rPr>
        <w:t xml:space="preserve"> </w:t>
      </w:r>
      <w:r>
        <w:rPr>
          <w:rFonts w:hint="eastAsia" w:ascii="宋体" w:hAnsi="宋体" w:eastAsia="宋体" w:cs="宋体"/>
          <w:bCs/>
          <w:szCs w:val="28"/>
          <w:highlight w:val="none"/>
        </w:rPr>
        <w:t>其他证明文件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_Toc7039 \h </w:instrText>
      </w:r>
      <w:r>
        <w:rPr>
          <w:rFonts w:hint="eastAsia" w:ascii="宋体" w:hAnsi="宋体" w:eastAsia="宋体" w:cs="宋体"/>
        </w:rPr>
        <w:fldChar w:fldCharType="separate"/>
      </w:r>
      <w:r>
        <w:rPr>
          <w:rFonts w:hint="eastAsia" w:ascii="宋体" w:hAnsi="宋体" w:eastAsia="宋体" w:cs="宋体"/>
        </w:rPr>
        <w:t>56</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5EC144AB">
      <w:pPr>
        <w:pStyle w:val="47"/>
        <w:tabs>
          <w:tab w:val="right" w:leader="dot" w:pos="9660"/>
          <w:tab w:val="clear" w:pos="9450"/>
        </w:tabs>
        <w:rPr>
          <w:rFonts w:hint="eastAsia" w:ascii="宋体" w:hAnsi="宋体" w:eastAsia="宋体" w:cs="宋体"/>
        </w:rPr>
      </w:pPr>
      <w:r>
        <w:rPr>
          <w:rFonts w:hint="eastAsia" w:ascii="宋体" w:hAnsi="宋体" w:eastAsia="宋体" w:cs="宋体"/>
          <w:color w:val="000000" w:themeColor="text1"/>
          <w:szCs w:val="36"/>
          <w:highlight w:val="none"/>
          <w14:textFill>
            <w14:solidFill>
              <w14:schemeClr w14:val="tx1"/>
            </w14:solidFill>
          </w14:textFill>
        </w:rPr>
        <w:fldChar w:fldCharType="begin"/>
      </w:r>
      <w:r>
        <w:rPr>
          <w:rFonts w:hint="eastAsia" w:ascii="宋体" w:hAnsi="宋体" w:eastAsia="宋体" w:cs="宋体"/>
          <w:szCs w:val="36"/>
          <w:highlight w:val="none"/>
        </w:rPr>
        <w:instrText xml:space="preserve"> HYPERLINK \l _Toc28599 </w:instrText>
      </w:r>
      <w:r>
        <w:rPr>
          <w:rFonts w:hint="eastAsia" w:ascii="宋体" w:hAnsi="宋体" w:eastAsia="宋体" w:cs="宋体"/>
          <w:szCs w:val="36"/>
          <w:highlight w:val="none"/>
        </w:rPr>
        <w:fldChar w:fldCharType="separate"/>
      </w:r>
      <w:r>
        <w:rPr>
          <w:rFonts w:hint="eastAsia" w:ascii="宋体" w:hAnsi="宋体" w:eastAsia="宋体" w:cs="宋体"/>
          <w:bCs/>
          <w:szCs w:val="28"/>
          <w:highlight w:val="none"/>
          <w:lang w:val="en-US" w:eastAsia="zh-CN"/>
        </w:rPr>
        <w:t>附件19电子附件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_Toc28599 \h </w:instrText>
      </w:r>
      <w:r>
        <w:rPr>
          <w:rFonts w:hint="eastAsia" w:ascii="宋体" w:hAnsi="宋体" w:eastAsia="宋体" w:cs="宋体"/>
        </w:rPr>
        <w:fldChar w:fldCharType="separate"/>
      </w:r>
      <w:r>
        <w:rPr>
          <w:rFonts w:hint="eastAsia" w:ascii="宋体" w:hAnsi="宋体" w:eastAsia="宋体" w:cs="宋体"/>
        </w:rPr>
        <w:t>57</w:t>
      </w:r>
      <w:r>
        <w:rPr>
          <w:rFonts w:hint="eastAsia" w:ascii="宋体" w:hAnsi="宋体" w:eastAsia="宋体" w:cs="宋体"/>
        </w:rPr>
        <w:fldChar w:fldCharType="end"/>
      </w:r>
      <w:r>
        <w:rPr>
          <w:rFonts w:hint="eastAsia" w:ascii="宋体" w:hAnsi="宋体" w:eastAsia="宋体" w:cs="宋体"/>
          <w:color w:val="000000" w:themeColor="text1"/>
          <w:szCs w:val="36"/>
          <w:highlight w:val="none"/>
          <w14:textFill>
            <w14:solidFill>
              <w14:schemeClr w14:val="tx1"/>
            </w14:solidFill>
          </w14:textFill>
        </w:rPr>
        <w:fldChar w:fldCharType="end"/>
      </w:r>
    </w:p>
    <w:p w14:paraId="25D81E9A">
      <w:pPr>
        <w:pStyle w:val="7"/>
        <w:shd w:val="clear"/>
        <w:rPr>
          <w:color w:val="000000" w:themeColor="text1"/>
          <w:szCs w:val="36"/>
          <w:highlight w:val="none"/>
          <w14:textFill>
            <w14:solidFill>
              <w14:schemeClr w14:val="tx1"/>
            </w14:solidFill>
          </w14:textFill>
        </w:rPr>
        <w:sectPr>
          <w:footerReference r:id="rId9" w:type="first"/>
          <w:footerReference r:id="rId8" w:type="default"/>
          <w:pgSz w:w="11907" w:h="16840"/>
          <w:pgMar w:top="1134" w:right="882" w:bottom="1134" w:left="1365" w:header="567" w:footer="794" w:gutter="0"/>
          <w:cols w:space="720" w:num="1"/>
          <w:titlePg/>
          <w:docGrid w:type="lines" w:linePitch="305" w:charSpace="0"/>
        </w:sectPr>
      </w:pPr>
      <w:r>
        <w:rPr>
          <w:color w:val="000000" w:themeColor="text1"/>
          <w:szCs w:val="36"/>
          <w:highlight w:val="none"/>
          <w14:textFill>
            <w14:solidFill>
              <w14:schemeClr w14:val="tx1"/>
            </w14:solidFill>
          </w14:textFill>
        </w:rPr>
        <w:fldChar w:fldCharType="end"/>
      </w:r>
      <w:bookmarkStart w:id="1" w:name="_Toc315875312"/>
      <w:bookmarkStart w:id="2" w:name="_Toc315868049"/>
    </w:p>
    <w:p w14:paraId="24E09037">
      <w:pPr>
        <w:pStyle w:val="7"/>
        <w:shd w:val="clear"/>
        <w:rPr>
          <w:rFonts w:ascii="Times New Roman"/>
          <w:color w:val="000000" w:themeColor="text1"/>
          <w:highlight w:val="none"/>
          <w14:textFill>
            <w14:solidFill>
              <w14:schemeClr w14:val="tx1"/>
            </w14:solidFill>
          </w14:textFill>
        </w:rPr>
      </w:pPr>
      <w:bookmarkStart w:id="3" w:name="_Toc22327"/>
      <w:r>
        <w:rPr>
          <w:rFonts w:ascii="Times New Roman"/>
          <w:color w:val="000000" w:themeColor="text1"/>
          <w:highlight w:val="none"/>
          <w14:textFill>
            <w14:solidFill>
              <w14:schemeClr w14:val="tx1"/>
            </w14:solidFill>
          </w14:textFill>
        </w:rPr>
        <w:t>第一章</w:t>
      </w:r>
      <w:r>
        <w:rPr>
          <w:rFonts w:hint="eastAsia" w:ascii="Times New Roman"/>
          <w:color w:val="000000" w:themeColor="text1"/>
          <w:highlight w:val="none"/>
          <w14:textFill>
            <w14:solidFill>
              <w14:schemeClr w14:val="tx1"/>
            </w14:solidFill>
          </w14:textFill>
        </w:rPr>
        <w:t xml:space="preserve"> 投标</w:t>
      </w:r>
      <w:r>
        <w:rPr>
          <w:rFonts w:ascii="Times New Roman"/>
          <w:color w:val="000000" w:themeColor="text1"/>
          <w:highlight w:val="none"/>
          <w14:textFill>
            <w14:solidFill>
              <w14:schemeClr w14:val="tx1"/>
            </w14:solidFill>
          </w14:textFill>
        </w:rPr>
        <w:t>邀请</w:t>
      </w:r>
      <w:bookmarkEnd w:id="0"/>
      <w:bookmarkEnd w:id="1"/>
      <w:bookmarkEnd w:id="2"/>
      <w:bookmarkEnd w:id="3"/>
    </w:p>
    <w:p w14:paraId="701940D9">
      <w:pPr>
        <w:widowControl/>
        <w:shd w:val="clear"/>
        <w:spacing w:line="440" w:lineRule="exact"/>
        <w:ind w:firstLine="480" w:firstLineChars="200"/>
        <w:rPr>
          <w:rFonts w:ascii="宋体" w:hAnsi="宋体"/>
          <w:sz w:val="24"/>
          <w:szCs w:val="24"/>
          <w:highlight w:val="none"/>
        </w:rPr>
      </w:pPr>
      <w:r>
        <w:rPr>
          <w:rFonts w:hint="eastAsia" w:ascii="宋体" w:hAnsi="宋体"/>
          <w:sz w:val="24"/>
          <w:szCs w:val="24"/>
          <w:highlight w:val="none"/>
        </w:rPr>
        <w:t>受</w:t>
      </w:r>
      <w:r>
        <w:rPr>
          <w:rFonts w:hint="eastAsia" w:ascii="宋体" w:hAnsi="宋体"/>
          <w:sz w:val="24"/>
          <w:szCs w:val="24"/>
          <w:highlight w:val="none"/>
          <w:lang w:eastAsia="zh-CN"/>
        </w:rPr>
        <w:t>常熟市水务局</w:t>
      </w:r>
      <w:r>
        <w:rPr>
          <w:rFonts w:hint="eastAsia" w:ascii="宋体" w:hAnsi="宋体"/>
          <w:sz w:val="24"/>
          <w:szCs w:val="24"/>
          <w:highlight w:val="none"/>
        </w:rPr>
        <w:t>的委托，涵熙（苏州）工程顾问有限公司就</w:t>
      </w:r>
      <w:r>
        <w:rPr>
          <w:rFonts w:hint="eastAsia" w:ascii="宋体" w:hAnsi="宋体"/>
          <w:sz w:val="24"/>
          <w:szCs w:val="24"/>
          <w:highlight w:val="none"/>
          <w:lang w:eastAsia="zh-CN"/>
        </w:rPr>
        <w:t>2025年度常熟市市级河道保洁服务</w:t>
      </w:r>
      <w:r>
        <w:rPr>
          <w:rFonts w:hint="eastAsia" w:ascii="宋体" w:hAnsi="宋体"/>
          <w:sz w:val="24"/>
          <w:szCs w:val="24"/>
          <w:highlight w:val="none"/>
        </w:rPr>
        <w:t>（</w:t>
      </w:r>
      <w:r>
        <w:rPr>
          <w:rFonts w:hint="eastAsia" w:ascii="宋体" w:hAnsi="宋体"/>
          <w:sz w:val="24"/>
          <w:szCs w:val="24"/>
          <w:highlight w:val="none"/>
          <w:lang w:eastAsia="zh-CN"/>
        </w:rPr>
        <w:t>JSZC-320581-HXGW-G2024-0101</w:t>
      </w:r>
      <w:r>
        <w:rPr>
          <w:rFonts w:hint="eastAsia" w:ascii="宋体" w:hAnsi="宋体"/>
          <w:sz w:val="24"/>
          <w:szCs w:val="24"/>
          <w:highlight w:val="none"/>
        </w:rPr>
        <w:t>）项目进行公开招标采购，欢迎符合条件的供应商投标。</w:t>
      </w:r>
    </w:p>
    <w:tbl>
      <w:tblPr>
        <w:tblStyle w:val="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6"/>
      </w:tblGrid>
      <w:tr w14:paraId="1C4E3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9876" w:type="dxa"/>
          </w:tcPr>
          <w:p w14:paraId="340ED249">
            <w:pPr>
              <w:shd w:val="clear"/>
              <w:spacing w:line="440" w:lineRule="exact"/>
              <w:jc w:val="left"/>
              <w:rPr>
                <w:rFonts w:ascii="宋体" w:hAnsi="宋体" w:cs="宋体"/>
                <w:sz w:val="24"/>
                <w:szCs w:val="24"/>
                <w:highlight w:val="none"/>
              </w:rPr>
            </w:pPr>
            <w:bookmarkStart w:id="4" w:name="OLE_LINK1"/>
            <w:r>
              <w:rPr>
                <w:rFonts w:hint="eastAsia" w:ascii="宋体" w:hAnsi="宋体" w:cs="宋体"/>
                <w:sz w:val="24"/>
                <w:szCs w:val="24"/>
                <w:highlight w:val="none"/>
              </w:rPr>
              <w:t>项目概况：</w:t>
            </w:r>
          </w:p>
          <w:p w14:paraId="580290C1">
            <w:pPr>
              <w:shd w:val="clear"/>
              <w:spacing w:line="440" w:lineRule="exact"/>
              <w:jc w:val="left"/>
              <w:rPr>
                <w:rFonts w:ascii="宋体" w:hAnsi="宋体" w:cs="宋体"/>
                <w:sz w:val="24"/>
                <w:szCs w:val="24"/>
                <w:highlight w:val="none"/>
              </w:rPr>
            </w:pPr>
            <w:r>
              <w:rPr>
                <w:rFonts w:hint="eastAsia" w:ascii="宋体" w:hAnsi="宋体" w:cs="宋体"/>
                <w:sz w:val="24"/>
                <w:szCs w:val="24"/>
                <w:highlight w:val="none"/>
                <w:u w:val="single"/>
                <w:lang w:eastAsia="zh-CN"/>
              </w:rPr>
              <w:t>2025年度常熟市市级河道保洁服务</w:t>
            </w:r>
            <w:r>
              <w:rPr>
                <w:rFonts w:hint="eastAsia" w:ascii="宋体" w:hAnsi="宋体" w:cs="宋体"/>
                <w:sz w:val="24"/>
                <w:szCs w:val="24"/>
                <w:highlight w:val="none"/>
              </w:rPr>
              <w:t>项目的潜在供应商应在“苏采云政府采购一体化平台”中参与项目获取招标文件，并于</w:t>
            </w:r>
            <w:r>
              <w:rPr>
                <w:rFonts w:hint="eastAsia" w:ascii="宋体" w:hAnsi="宋体" w:cs="宋体"/>
                <w:sz w:val="24"/>
                <w:szCs w:val="24"/>
                <w:highlight w:val="none"/>
                <w:u w:val="single"/>
              </w:rPr>
              <w:t>2024年</w:t>
            </w:r>
            <w:r>
              <w:rPr>
                <w:rFonts w:hint="eastAsia" w:ascii="宋体" w:hAnsi="宋体" w:cs="宋体"/>
                <w:sz w:val="24"/>
                <w:szCs w:val="24"/>
                <w:highlight w:val="none"/>
                <w:u w:val="single"/>
                <w:lang w:val="en-US" w:eastAsia="zh-CN"/>
              </w:rPr>
              <w:t>12</w:t>
            </w:r>
            <w:r>
              <w:rPr>
                <w:rFonts w:hint="eastAsia" w:ascii="宋体" w:hAnsi="宋体" w:cs="宋体"/>
                <w:sz w:val="24"/>
                <w:szCs w:val="24"/>
                <w:highlight w:val="none"/>
                <w:u w:val="single"/>
              </w:rPr>
              <w:t>月</w:t>
            </w:r>
            <w:r>
              <w:rPr>
                <w:rFonts w:hint="eastAsia" w:ascii="宋体" w:hAnsi="宋体" w:cs="宋体"/>
                <w:sz w:val="24"/>
                <w:szCs w:val="24"/>
                <w:highlight w:val="none"/>
                <w:u w:val="single"/>
                <w:lang w:val="en-US" w:eastAsia="zh-CN"/>
              </w:rPr>
              <w:t>27</w:t>
            </w:r>
            <w:r>
              <w:rPr>
                <w:rFonts w:hint="eastAsia" w:ascii="宋体" w:hAnsi="宋体" w:cs="宋体"/>
                <w:sz w:val="24"/>
                <w:szCs w:val="24"/>
                <w:highlight w:val="none"/>
                <w:u w:val="single"/>
              </w:rPr>
              <w:t>日</w:t>
            </w:r>
            <w:r>
              <w:rPr>
                <w:rFonts w:hint="eastAsia" w:ascii="宋体" w:hAnsi="宋体" w:cs="宋体"/>
                <w:sz w:val="24"/>
                <w:szCs w:val="24"/>
                <w:highlight w:val="none"/>
                <w:u w:val="single"/>
                <w:lang w:val="en-US" w:eastAsia="zh-CN"/>
              </w:rPr>
              <w:t>9</w:t>
            </w:r>
            <w:r>
              <w:rPr>
                <w:rFonts w:hint="eastAsia" w:ascii="宋体" w:hAnsi="宋体" w:cs="宋体"/>
                <w:sz w:val="24"/>
                <w:szCs w:val="24"/>
                <w:highlight w:val="none"/>
                <w:u w:val="single"/>
              </w:rPr>
              <w:t>点00分</w:t>
            </w:r>
            <w:r>
              <w:rPr>
                <w:rFonts w:hint="eastAsia" w:ascii="宋体" w:hAnsi="宋体" w:cs="宋体"/>
                <w:sz w:val="24"/>
                <w:szCs w:val="24"/>
                <w:highlight w:val="none"/>
              </w:rPr>
              <w:t>（北京时间）前按规定提交投标文件。</w:t>
            </w:r>
          </w:p>
        </w:tc>
      </w:tr>
    </w:tbl>
    <w:p w14:paraId="59C3D20B">
      <w:pPr>
        <w:shd w:val="clear"/>
        <w:spacing w:line="460" w:lineRule="exac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一、项目</w:t>
      </w:r>
      <w:r>
        <w:rPr>
          <w:rFonts w:hint="eastAsia" w:ascii="宋体" w:hAnsi="宋体"/>
          <w:b/>
          <w:color w:val="000000" w:themeColor="text1"/>
          <w:sz w:val="24"/>
          <w:szCs w:val="24"/>
          <w:highlight w:val="none"/>
          <w14:textFill>
            <w14:solidFill>
              <w14:schemeClr w14:val="tx1"/>
            </w14:solidFill>
          </w14:textFill>
        </w:rPr>
        <w:t>基本情况</w:t>
      </w:r>
    </w:p>
    <w:p w14:paraId="3B6B0B57">
      <w:pPr>
        <w:shd w:val="clear"/>
        <w:spacing w:line="440" w:lineRule="exact"/>
        <w:ind w:firstLine="480" w:firstLineChars="200"/>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项目编号：</w:t>
      </w:r>
      <w:r>
        <w:rPr>
          <w:rFonts w:hint="eastAsia" w:ascii="宋体" w:hAnsi="宋体"/>
          <w:color w:val="000000" w:themeColor="text1"/>
          <w:sz w:val="24"/>
          <w:szCs w:val="24"/>
          <w:highlight w:val="none"/>
          <w:lang w:eastAsia="zh-CN"/>
          <w14:textFill>
            <w14:solidFill>
              <w14:schemeClr w14:val="tx1"/>
            </w14:solidFill>
          </w14:textFill>
        </w:rPr>
        <w:t>JSZC-320581-HXGW-G2024-0101</w:t>
      </w:r>
    </w:p>
    <w:p w14:paraId="0DE499FD">
      <w:pPr>
        <w:shd w:val="clear"/>
        <w:spacing w:line="440" w:lineRule="exact"/>
        <w:ind w:firstLine="480" w:firstLineChars="200"/>
        <w:rPr>
          <w:rFonts w:hint="eastAsia" w:ascii="宋体" w:hAnsi="宋体" w:eastAsia="宋体"/>
          <w:color w:val="auto"/>
          <w:sz w:val="24"/>
          <w:szCs w:val="24"/>
          <w:highlight w:val="none"/>
          <w:lang w:eastAsia="zh-CN"/>
        </w:rPr>
      </w:pPr>
      <w:r>
        <w:rPr>
          <w:rFonts w:ascii="宋体" w:hAnsi="宋体"/>
          <w:color w:val="auto"/>
          <w:sz w:val="24"/>
          <w:szCs w:val="24"/>
          <w:highlight w:val="none"/>
        </w:rPr>
        <w:t>项目名称：</w:t>
      </w:r>
      <w:r>
        <w:rPr>
          <w:rFonts w:hint="eastAsia" w:ascii="宋体" w:hAnsi="宋体"/>
          <w:color w:val="auto"/>
          <w:sz w:val="24"/>
          <w:szCs w:val="24"/>
          <w:highlight w:val="none"/>
          <w:lang w:eastAsia="zh-CN"/>
        </w:rPr>
        <w:t>2025年度常熟市市级河道保洁服务</w:t>
      </w:r>
    </w:p>
    <w:p w14:paraId="42A01B62">
      <w:pPr>
        <w:shd w:val="clear"/>
        <w:spacing w:line="44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采购方式：公开招标</w:t>
      </w:r>
    </w:p>
    <w:p w14:paraId="6A75491F">
      <w:pPr>
        <w:shd w:val="clear"/>
        <w:spacing w:line="44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rPr>
        <w:t>预算金额：</w:t>
      </w:r>
      <w:bookmarkStart w:id="5" w:name="_Toc35393622"/>
      <w:bookmarkStart w:id="6" w:name="_Toc28359080"/>
      <w:bookmarkStart w:id="7" w:name="_Toc35393791"/>
      <w:bookmarkStart w:id="8" w:name="_Toc28359003"/>
    </w:p>
    <w:p w14:paraId="6A1124E0">
      <w:pPr>
        <w:shd w:val="clear"/>
        <w:spacing w:line="44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第一包：人民币</w:t>
      </w:r>
      <w:r>
        <w:rPr>
          <w:rFonts w:hint="eastAsia" w:ascii="宋体" w:hAnsi="宋体"/>
          <w:color w:val="auto"/>
          <w:sz w:val="24"/>
          <w:szCs w:val="24"/>
          <w:highlight w:val="none"/>
          <w:lang w:eastAsia="zh-CN"/>
        </w:rPr>
        <w:t>1209000.00</w:t>
      </w:r>
      <w:r>
        <w:rPr>
          <w:rFonts w:hint="eastAsia" w:ascii="宋体" w:hAnsi="宋体"/>
          <w:color w:val="auto"/>
          <w:sz w:val="24"/>
          <w:szCs w:val="24"/>
          <w:highlight w:val="none"/>
        </w:rPr>
        <w:t>元。</w:t>
      </w:r>
    </w:p>
    <w:p w14:paraId="4B73C4F4">
      <w:pPr>
        <w:shd w:val="clear"/>
        <w:spacing w:line="44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第二包：人民币</w:t>
      </w:r>
      <w:r>
        <w:rPr>
          <w:rFonts w:hint="eastAsia" w:ascii="宋体" w:hAnsi="宋体"/>
          <w:color w:val="auto"/>
          <w:sz w:val="24"/>
          <w:szCs w:val="24"/>
          <w:highlight w:val="none"/>
          <w:lang w:eastAsia="zh-CN"/>
        </w:rPr>
        <w:t>1314000.00</w:t>
      </w:r>
      <w:r>
        <w:rPr>
          <w:rFonts w:hint="eastAsia" w:ascii="宋体" w:hAnsi="宋体"/>
          <w:color w:val="auto"/>
          <w:sz w:val="24"/>
          <w:szCs w:val="24"/>
          <w:highlight w:val="none"/>
        </w:rPr>
        <w:t>元。</w:t>
      </w:r>
    </w:p>
    <w:p w14:paraId="44A73578">
      <w:pPr>
        <w:shd w:val="clear"/>
        <w:spacing w:line="44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第三包：人民币</w:t>
      </w:r>
      <w:r>
        <w:rPr>
          <w:rFonts w:hint="eastAsia" w:ascii="宋体" w:hAnsi="宋体"/>
          <w:color w:val="auto"/>
          <w:sz w:val="24"/>
          <w:szCs w:val="24"/>
          <w:highlight w:val="none"/>
          <w:lang w:eastAsia="zh-CN"/>
        </w:rPr>
        <w:t>1171000.00</w:t>
      </w:r>
      <w:r>
        <w:rPr>
          <w:rFonts w:hint="eastAsia" w:ascii="宋体" w:hAnsi="宋体"/>
          <w:color w:val="auto"/>
          <w:sz w:val="24"/>
          <w:szCs w:val="24"/>
          <w:highlight w:val="none"/>
        </w:rPr>
        <w:t>元。</w:t>
      </w:r>
    </w:p>
    <w:p w14:paraId="51B4E443">
      <w:pPr>
        <w:shd w:val="clear"/>
        <w:spacing w:line="44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第四包：人民币</w:t>
      </w:r>
      <w:r>
        <w:rPr>
          <w:rFonts w:hint="eastAsia" w:ascii="宋体" w:hAnsi="宋体"/>
          <w:color w:val="auto"/>
          <w:sz w:val="24"/>
          <w:szCs w:val="24"/>
          <w:highlight w:val="none"/>
          <w:lang w:eastAsia="zh-CN"/>
        </w:rPr>
        <w:t>1395000.00</w:t>
      </w:r>
      <w:r>
        <w:rPr>
          <w:rFonts w:hint="eastAsia" w:ascii="宋体" w:hAnsi="宋体"/>
          <w:color w:val="auto"/>
          <w:sz w:val="24"/>
          <w:szCs w:val="24"/>
          <w:highlight w:val="none"/>
        </w:rPr>
        <w:t>元。</w:t>
      </w:r>
    </w:p>
    <w:p w14:paraId="1180D3A7">
      <w:pPr>
        <w:shd w:val="clear"/>
        <w:spacing w:line="44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采购需求：本项目共分4个分包，投标人可以投其中一个分包，也可以投全部分包，本项目4个分包不兼中，已评审完的分包中被确定中标人的，在后续分包中不具有得标权。主要包括：对常熟市</w:t>
      </w:r>
      <w:r>
        <w:rPr>
          <w:rFonts w:hint="eastAsia" w:ascii="宋体" w:hAnsi="宋体"/>
          <w:color w:val="auto"/>
          <w:sz w:val="24"/>
          <w:szCs w:val="24"/>
          <w:highlight w:val="none"/>
          <w:lang w:val="en-US" w:eastAsia="zh-CN"/>
        </w:rPr>
        <w:t>三环路以外</w:t>
      </w:r>
      <w:r>
        <w:rPr>
          <w:rFonts w:hint="eastAsia" w:ascii="宋体" w:hAnsi="宋体"/>
          <w:color w:val="auto"/>
          <w:sz w:val="24"/>
          <w:szCs w:val="24"/>
          <w:highlight w:val="none"/>
        </w:rPr>
        <w:t>市级河道水域的垃圾杂物和水生植物的打捞，桥堍、</w:t>
      </w:r>
      <w:r>
        <w:rPr>
          <w:rFonts w:hint="eastAsia" w:ascii="宋体" w:hAnsi="宋体"/>
          <w:color w:val="auto"/>
          <w:sz w:val="24"/>
          <w:szCs w:val="24"/>
          <w:highlight w:val="none"/>
          <w:lang w:eastAsia="zh-CN"/>
        </w:rPr>
        <w:t>斜坡</w:t>
      </w:r>
      <w:r>
        <w:rPr>
          <w:rFonts w:hint="eastAsia" w:ascii="宋体" w:hAnsi="宋体"/>
          <w:color w:val="auto"/>
          <w:sz w:val="24"/>
          <w:szCs w:val="24"/>
          <w:highlight w:val="none"/>
        </w:rPr>
        <w:t>零星垃圾、无序垦种的清理，在水生植物爆发期间的突击打捞，将河道打捞及</w:t>
      </w:r>
      <w:r>
        <w:rPr>
          <w:rFonts w:hint="eastAsia" w:ascii="宋体" w:hAnsi="宋体"/>
          <w:color w:val="auto"/>
          <w:sz w:val="24"/>
          <w:szCs w:val="24"/>
          <w:highlight w:val="none"/>
          <w:lang w:eastAsia="zh-CN"/>
        </w:rPr>
        <w:t>斜坡</w:t>
      </w:r>
      <w:r>
        <w:rPr>
          <w:rFonts w:hint="eastAsia" w:ascii="宋体" w:hAnsi="宋体"/>
          <w:color w:val="auto"/>
          <w:sz w:val="24"/>
          <w:szCs w:val="24"/>
          <w:highlight w:val="none"/>
        </w:rPr>
        <w:t>清理的垃圾上岸，并按照投标人承诺的垃圾处置方案及政府相关要求进行处置。</w:t>
      </w:r>
    </w:p>
    <w:p w14:paraId="199CB2C7">
      <w:pPr>
        <w:shd w:val="clear"/>
        <w:spacing w:line="44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第一包：</w:t>
      </w:r>
      <w:r>
        <w:rPr>
          <w:rFonts w:hint="eastAsia" w:ascii="宋体" w:hAnsi="宋体"/>
          <w:color w:val="auto"/>
          <w:sz w:val="24"/>
          <w:szCs w:val="24"/>
          <w:highlight w:val="none"/>
          <w:lang w:eastAsia="zh-CN"/>
        </w:rPr>
        <w:t>2025年度常熟市市级河道保洁服务</w:t>
      </w:r>
      <w:r>
        <w:rPr>
          <w:rFonts w:hint="eastAsia" w:ascii="宋体" w:hAnsi="宋体"/>
          <w:color w:val="auto"/>
          <w:sz w:val="24"/>
          <w:szCs w:val="24"/>
          <w:highlight w:val="none"/>
        </w:rPr>
        <w:t>（第1包）</w:t>
      </w:r>
    </w:p>
    <w:p w14:paraId="70A4F72E">
      <w:pPr>
        <w:shd w:val="clear"/>
        <w:spacing w:line="44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注：包括走马塘、锡北运河、官塘、张家港、南福山塘、北福山塘、望虞河。</w:t>
      </w:r>
    </w:p>
    <w:p w14:paraId="74F7E125">
      <w:pPr>
        <w:shd w:val="clear"/>
        <w:spacing w:line="44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第二包：</w:t>
      </w:r>
      <w:r>
        <w:rPr>
          <w:rFonts w:hint="eastAsia" w:ascii="宋体" w:hAnsi="宋体"/>
          <w:color w:val="auto"/>
          <w:sz w:val="24"/>
          <w:szCs w:val="24"/>
          <w:highlight w:val="none"/>
          <w:lang w:eastAsia="zh-CN"/>
        </w:rPr>
        <w:t>2025年度常熟市市级河道保洁服务</w:t>
      </w:r>
      <w:r>
        <w:rPr>
          <w:rFonts w:hint="eastAsia" w:ascii="宋体" w:hAnsi="宋体"/>
          <w:color w:val="auto"/>
          <w:sz w:val="24"/>
          <w:szCs w:val="24"/>
          <w:highlight w:val="none"/>
        </w:rPr>
        <w:t>（第2包）</w:t>
      </w:r>
    </w:p>
    <w:p w14:paraId="2C1E1841">
      <w:pPr>
        <w:shd w:val="clear"/>
        <w:spacing w:line="44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注：包括盐铁塘</w:t>
      </w:r>
      <w:r>
        <w:rPr>
          <w:rFonts w:hint="eastAsia" w:ascii="宋体" w:hAnsi="宋体"/>
          <w:color w:val="auto"/>
          <w:sz w:val="24"/>
          <w:szCs w:val="24"/>
          <w:highlight w:val="none"/>
          <w:lang w:eastAsia="zh-CN"/>
        </w:rPr>
        <w:t>、</w:t>
      </w:r>
      <w:r>
        <w:rPr>
          <w:rFonts w:hint="eastAsia" w:ascii="宋体" w:hAnsi="宋体"/>
          <w:color w:val="auto"/>
          <w:sz w:val="24"/>
          <w:szCs w:val="24"/>
          <w:highlight w:val="none"/>
        </w:rPr>
        <w:t>常浒河</w:t>
      </w:r>
      <w:r>
        <w:rPr>
          <w:rFonts w:hint="eastAsia" w:ascii="宋体" w:hAnsi="宋体"/>
          <w:color w:val="auto"/>
          <w:sz w:val="24"/>
          <w:szCs w:val="24"/>
          <w:highlight w:val="none"/>
          <w:lang w:eastAsia="zh-CN"/>
        </w:rPr>
        <w:t>、</w:t>
      </w:r>
      <w:r>
        <w:rPr>
          <w:rFonts w:hint="eastAsia" w:ascii="宋体" w:hAnsi="宋体"/>
          <w:color w:val="auto"/>
          <w:sz w:val="24"/>
          <w:szCs w:val="24"/>
          <w:highlight w:val="none"/>
        </w:rPr>
        <w:t>新开环河</w:t>
      </w:r>
      <w:r>
        <w:rPr>
          <w:rFonts w:hint="eastAsia" w:ascii="宋体" w:hAnsi="宋体"/>
          <w:color w:val="auto"/>
          <w:sz w:val="24"/>
          <w:szCs w:val="24"/>
          <w:highlight w:val="none"/>
          <w:lang w:eastAsia="zh-CN"/>
        </w:rPr>
        <w:t>、</w:t>
      </w:r>
      <w:r>
        <w:rPr>
          <w:rFonts w:hint="eastAsia" w:ascii="宋体" w:hAnsi="宋体"/>
          <w:color w:val="auto"/>
          <w:sz w:val="24"/>
          <w:szCs w:val="24"/>
          <w:highlight w:val="none"/>
        </w:rPr>
        <w:t>耿泾</w:t>
      </w:r>
      <w:r>
        <w:rPr>
          <w:rFonts w:hint="eastAsia" w:ascii="宋体" w:hAnsi="宋体"/>
          <w:color w:val="auto"/>
          <w:sz w:val="24"/>
          <w:szCs w:val="24"/>
          <w:highlight w:val="none"/>
          <w:lang w:eastAsia="zh-CN"/>
        </w:rPr>
        <w:t>、</w:t>
      </w:r>
      <w:r>
        <w:rPr>
          <w:rFonts w:hint="eastAsia" w:ascii="宋体" w:hAnsi="宋体"/>
          <w:color w:val="auto"/>
          <w:sz w:val="24"/>
          <w:szCs w:val="24"/>
          <w:highlight w:val="none"/>
        </w:rPr>
        <w:t>海洋泾</w:t>
      </w:r>
      <w:r>
        <w:rPr>
          <w:rFonts w:hint="eastAsia" w:ascii="宋体" w:hAnsi="宋体"/>
          <w:color w:val="auto"/>
          <w:sz w:val="24"/>
          <w:szCs w:val="24"/>
          <w:highlight w:val="none"/>
          <w:lang w:eastAsia="zh-CN"/>
        </w:rPr>
        <w:t>、</w:t>
      </w:r>
      <w:r>
        <w:rPr>
          <w:rFonts w:hint="eastAsia" w:ascii="宋体" w:hAnsi="宋体"/>
          <w:color w:val="auto"/>
          <w:sz w:val="24"/>
          <w:szCs w:val="24"/>
          <w:highlight w:val="none"/>
        </w:rPr>
        <w:t>花板塘</w:t>
      </w:r>
      <w:r>
        <w:rPr>
          <w:rFonts w:hint="eastAsia" w:ascii="宋体" w:hAnsi="宋体"/>
          <w:color w:val="auto"/>
          <w:sz w:val="24"/>
          <w:szCs w:val="24"/>
          <w:highlight w:val="none"/>
          <w:lang w:eastAsia="zh-CN"/>
        </w:rPr>
        <w:t>、</w:t>
      </w:r>
      <w:r>
        <w:rPr>
          <w:rFonts w:hint="eastAsia" w:ascii="宋体" w:hAnsi="宋体"/>
          <w:color w:val="auto"/>
          <w:sz w:val="24"/>
          <w:szCs w:val="24"/>
          <w:highlight w:val="none"/>
        </w:rPr>
        <w:t>徐六泾</w:t>
      </w:r>
      <w:r>
        <w:rPr>
          <w:rFonts w:hint="eastAsia" w:ascii="宋体" w:hAnsi="宋体"/>
          <w:color w:val="auto"/>
          <w:sz w:val="24"/>
          <w:szCs w:val="24"/>
          <w:highlight w:val="none"/>
          <w:lang w:eastAsia="zh-CN"/>
        </w:rPr>
        <w:t>、</w:t>
      </w:r>
      <w:r>
        <w:rPr>
          <w:rFonts w:hint="eastAsia" w:ascii="宋体" w:hAnsi="宋体"/>
          <w:color w:val="auto"/>
          <w:sz w:val="24"/>
          <w:szCs w:val="24"/>
          <w:highlight w:val="none"/>
        </w:rPr>
        <w:t>青墩塘</w:t>
      </w:r>
      <w:r>
        <w:rPr>
          <w:rFonts w:hint="eastAsia" w:ascii="宋体" w:hAnsi="宋体"/>
          <w:color w:val="auto"/>
          <w:sz w:val="24"/>
          <w:szCs w:val="24"/>
          <w:highlight w:val="none"/>
          <w:lang w:eastAsia="zh-CN"/>
        </w:rPr>
        <w:t>、</w:t>
      </w:r>
      <w:r>
        <w:rPr>
          <w:rFonts w:hint="eastAsia" w:ascii="宋体" w:hAnsi="宋体"/>
          <w:color w:val="auto"/>
          <w:sz w:val="24"/>
          <w:szCs w:val="24"/>
          <w:highlight w:val="none"/>
        </w:rPr>
        <w:t>张家港。</w:t>
      </w:r>
    </w:p>
    <w:p w14:paraId="31D459F4">
      <w:pPr>
        <w:shd w:val="clear"/>
        <w:spacing w:line="44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第三包：</w:t>
      </w:r>
      <w:r>
        <w:rPr>
          <w:rFonts w:hint="eastAsia" w:ascii="宋体" w:hAnsi="宋体"/>
          <w:color w:val="auto"/>
          <w:sz w:val="24"/>
          <w:szCs w:val="24"/>
          <w:highlight w:val="none"/>
          <w:lang w:eastAsia="zh-CN"/>
        </w:rPr>
        <w:t>2025年度常熟市市级河道保洁服务</w:t>
      </w:r>
      <w:r>
        <w:rPr>
          <w:rFonts w:hint="eastAsia" w:ascii="宋体" w:hAnsi="宋体"/>
          <w:color w:val="auto"/>
          <w:sz w:val="24"/>
          <w:szCs w:val="24"/>
          <w:highlight w:val="none"/>
        </w:rPr>
        <w:t>（第3包）</w:t>
      </w:r>
    </w:p>
    <w:p w14:paraId="07A6AB06">
      <w:pPr>
        <w:shd w:val="clear"/>
        <w:spacing w:line="44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注：包括盐铁塘、徐六泾、金泾、白茆塘、三泾。</w:t>
      </w:r>
    </w:p>
    <w:p w14:paraId="59F0754C">
      <w:pPr>
        <w:shd w:val="clear"/>
        <w:spacing w:line="44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第四包：</w:t>
      </w:r>
      <w:r>
        <w:rPr>
          <w:rFonts w:hint="eastAsia" w:ascii="宋体" w:hAnsi="宋体"/>
          <w:color w:val="auto"/>
          <w:sz w:val="24"/>
          <w:szCs w:val="24"/>
          <w:highlight w:val="none"/>
          <w:lang w:eastAsia="zh-CN"/>
        </w:rPr>
        <w:t>2025年度常熟市市级河道保洁服务</w:t>
      </w:r>
      <w:r>
        <w:rPr>
          <w:rFonts w:hint="eastAsia" w:ascii="宋体" w:hAnsi="宋体"/>
          <w:color w:val="auto"/>
          <w:sz w:val="24"/>
          <w:szCs w:val="24"/>
          <w:highlight w:val="none"/>
        </w:rPr>
        <w:t>（第4包）</w:t>
      </w:r>
    </w:p>
    <w:p w14:paraId="393747A3">
      <w:pPr>
        <w:shd w:val="clear"/>
        <w:spacing w:line="440" w:lineRule="exact"/>
        <w:ind w:firstLine="480" w:firstLineChars="200"/>
        <w:rPr>
          <w:rFonts w:hint="eastAsia" w:ascii="宋体" w:hAnsi="宋体"/>
          <w:sz w:val="24"/>
          <w:szCs w:val="24"/>
          <w:highlight w:val="none"/>
        </w:rPr>
      </w:pPr>
      <w:r>
        <w:rPr>
          <w:rFonts w:hint="eastAsia" w:ascii="宋体" w:hAnsi="宋体"/>
          <w:sz w:val="24"/>
          <w:szCs w:val="24"/>
          <w:highlight w:val="none"/>
        </w:rPr>
        <w:t>注：包括尤泾、张家港、大滃、蛇泾（含济民塘）、辛安塘、元和塘、苏家滃。</w:t>
      </w:r>
    </w:p>
    <w:p w14:paraId="07A14378">
      <w:pPr>
        <w:shd w:val="clear"/>
        <w:spacing w:line="440" w:lineRule="exact"/>
        <w:ind w:firstLine="480" w:firstLineChars="200"/>
        <w:rPr>
          <w:rFonts w:ascii="宋体" w:hAnsi="宋体"/>
          <w:color w:val="000000" w:themeColor="text1"/>
          <w:sz w:val="24"/>
          <w:szCs w:val="24"/>
          <w:highlight w:val="yellow"/>
          <w14:textFill>
            <w14:solidFill>
              <w14:schemeClr w14:val="tx1"/>
            </w14:solidFill>
          </w14:textFill>
        </w:rPr>
      </w:pPr>
    </w:p>
    <w:p w14:paraId="33C4255E">
      <w:pPr>
        <w:shd w:val="clear"/>
        <w:spacing w:line="440" w:lineRule="exact"/>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合同履行期限：1年（自2025年1月1日开始至2025年12月31日止）。</w:t>
      </w:r>
    </w:p>
    <w:p w14:paraId="35854019">
      <w:pPr>
        <w:shd w:val="clear"/>
        <w:spacing w:line="44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本项目不接受</w:t>
      </w:r>
      <w:r>
        <w:rPr>
          <w:rFonts w:ascii="宋体" w:hAnsi="宋体"/>
          <w:color w:val="000000" w:themeColor="text1"/>
          <w:sz w:val="24"/>
          <w:szCs w:val="24"/>
          <w:highlight w:val="none"/>
          <w14:textFill>
            <w14:solidFill>
              <w14:schemeClr w14:val="tx1"/>
            </w14:solidFill>
          </w14:textFill>
        </w:rPr>
        <w:t>联合体</w:t>
      </w:r>
      <w:r>
        <w:rPr>
          <w:rFonts w:hint="eastAsia" w:ascii="宋体" w:hAnsi="宋体"/>
          <w:color w:val="000000" w:themeColor="text1"/>
          <w:sz w:val="24"/>
          <w:szCs w:val="24"/>
          <w:highlight w:val="none"/>
          <w14:textFill>
            <w14:solidFill>
              <w14:schemeClr w14:val="tx1"/>
            </w14:solidFill>
          </w14:textFill>
        </w:rPr>
        <w:t>。</w:t>
      </w:r>
    </w:p>
    <w:p w14:paraId="45B4C39D">
      <w:pPr>
        <w:shd w:val="clear"/>
        <w:spacing w:line="46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二、申请人的资格要求：</w:t>
      </w:r>
      <w:bookmarkEnd w:id="5"/>
      <w:bookmarkEnd w:id="6"/>
      <w:bookmarkEnd w:id="7"/>
      <w:bookmarkEnd w:id="8"/>
    </w:p>
    <w:p w14:paraId="07CDE4A0">
      <w:pPr>
        <w:shd w:val="clear"/>
        <w:spacing w:line="440" w:lineRule="exact"/>
        <w:ind w:firstLine="480" w:firstLineChars="200"/>
        <w:rPr>
          <w:rFonts w:ascii="宋体" w:hAnsi="宋体"/>
          <w:color w:val="000000" w:themeColor="text1"/>
          <w:sz w:val="24"/>
          <w:szCs w:val="24"/>
          <w:highlight w:val="none"/>
          <w14:textFill>
            <w14:solidFill>
              <w14:schemeClr w14:val="tx1"/>
            </w14:solidFill>
          </w14:textFill>
        </w:rPr>
      </w:pPr>
      <w:bookmarkStart w:id="9" w:name="_Toc28359085"/>
      <w:bookmarkStart w:id="10" w:name="_Toc35393627"/>
      <w:bookmarkStart w:id="11" w:name="_Toc28359008"/>
      <w:bookmarkStart w:id="12" w:name="_Toc35393796"/>
      <w:r>
        <w:rPr>
          <w:rFonts w:hint="eastAsia" w:ascii="宋体" w:hAnsi="宋体"/>
          <w:color w:val="000000" w:themeColor="text1"/>
          <w:sz w:val="24"/>
          <w:szCs w:val="24"/>
          <w:highlight w:val="none"/>
          <w14:textFill>
            <w14:solidFill>
              <w14:schemeClr w14:val="tx1"/>
            </w14:solidFill>
          </w14:textFill>
        </w:rPr>
        <w:t>1、满足《中华人民共和国政府采购法》第二十二条规定；</w:t>
      </w:r>
    </w:p>
    <w:p w14:paraId="5C161B97">
      <w:pPr>
        <w:shd w:val="clear"/>
        <w:spacing w:line="440" w:lineRule="exact"/>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2、落实政府采购政策需满足的资格要求：</w:t>
      </w:r>
    </w:p>
    <w:p w14:paraId="3DBFBF52">
      <w:pPr>
        <w:shd w:val="clear"/>
        <w:spacing w:line="440" w:lineRule="exact"/>
        <w:ind w:firstLine="482" w:firstLineChars="200"/>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本项目专门面向中小企业采购，所属行业为其他未列明行业，投标时须提供《中小企业声明函》。</w:t>
      </w:r>
    </w:p>
    <w:p w14:paraId="30FD9B2B">
      <w:pPr>
        <w:shd w:val="clear"/>
        <w:spacing w:line="440" w:lineRule="exact"/>
        <w:ind w:firstLine="482" w:firstLineChars="200"/>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注：对残疾人福利性单位、监狱企业视同小型、微型企业，但须按要求提供有关声明函或证明文件。</w:t>
      </w:r>
    </w:p>
    <w:p w14:paraId="152B1239">
      <w:pPr>
        <w:numPr>
          <w:ilvl w:val="0"/>
          <w:numId w:val="4"/>
        </w:numPr>
        <w:shd w:val="clear"/>
        <w:spacing w:line="440" w:lineRule="exact"/>
        <w:ind w:firstLine="480" w:firstLineChars="200"/>
        <w:rPr>
          <w:rFonts w:ascii="宋体" w:hAnsi="宋体"/>
          <w:sz w:val="24"/>
          <w:szCs w:val="24"/>
          <w:highlight w:val="none"/>
        </w:rPr>
      </w:pPr>
      <w:r>
        <w:rPr>
          <w:rFonts w:hint="eastAsia" w:ascii="宋体" w:hAnsi="宋体"/>
          <w:sz w:val="24"/>
          <w:szCs w:val="24"/>
          <w:highlight w:val="none"/>
        </w:rPr>
        <w:t>本项目的特定资格要求：</w:t>
      </w:r>
    </w:p>
    <w:p w14:paraId="6905C802">
      <w:pPr>
        <w:shd w:val="clear"/>
        <w:spacing w:line="440" w:lineRule="exact"/>
        <w:ind w:firstLine="480" w:firstLineChars="200"/>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未被“信用中国”网站（www.creditchina.gov.cn）列入失信被执行人、重大税收违法案件当事人名单、政府采购严重失信行为记录名单。</w:t>
      </w:r>
    </w:p>
    <w:p w14:paraId="67E9EEE2">
      <w:pPr>
        <w:shd w:val="clear"/>
        <w:spacing w:line="440" w:lineRule="exact"/>
        <w:rPr>
          <w:b/>
          <w:color w:val="000000" w:themeColor="text1"/>
          <w:sz w:val="24"/>
          <w:szCs w:val="24"/>
          <w:highlight w:val="none"/>
          <w14:textFill>
            <w14:solidFill>
              <w14:schemeClr w14:val="tx1"/>
            </w14:solidFill>
          </w14:textFill>
        </w:rPr>
      </w:pPr>
      <w:r>
        <w:rPr>
          <w:b/>
          <w:color w:val="000000" w:themeColor="text1"/>
          <w:sz w:val="24"/>
          <w:szCs w:val="24"/>
          <w:highlight w:val="none"/>
          <w14:textFill>
            <w14:solidFill>
              <w14:schemeClr w14:val="tx1"/>
            </w14:solidFill>
          </w14:textFill>
        </w:rPr>
        <w:t>三、获取</w:t>
      </w:r>
      <w:r>
        <w:rPr>
          <w:rFonts w:hint="eastAsia"/>
          <w:b/>
          <w:color w:val="000000" w:themeColor="text1"/>
          <w:sz w:val="24"/>
          <w:szCs w:val="24"/>
          <w:highlight w:val="none"/>
          <w14:textFill>
            <w14:solidFill>
              <w14:schemeClr w14:val="tx1"/>
            </w14:solidFill>
          </w14:textFill>
        </w:rPr>
        <w:t>招标文件</w:t>
      </w:r>
      <w:r>
        <w:rPr>
          <w:b/>
          <w:color w:val="000000" w:themeColor="text1"/>
          <w:sz w:val="24"/>
          <w:szCs w:val="24"/>
          <w:highlight w:val="none"/>
          <w14:textFill>
            <w14:solidFill>
              <w14:schemeClr w14:val="tx1"/>
            </w14:solidFill>
          </w14:textFill>
        </w:rPr>
        <w:t>：</w:t>
      </w:r>
    </w:p>
    <w:p w14:paraId="320C868A">
      <w:pPr>
        <w:shd w:val="clear"/>
        <w:spacing w:line="460" w:lineRule="exact"/>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时间：2024年</w:t>
      </w:r>
      <w:r>
        <w:rPr>
          <w:rFonts w:hint="eastAsia" w:ascii="宋体" w:hAnsi="宋体"/>
          <w:color w:val="000000" w:themeColor="text1"/>
          <w:sz w:val="24"/>
          <w:szCs w:val="24"/>
          <w:highlight w:val="none"/>
          <w:lang w:val="en-US" w:eastAsia="zh-CN"/>
          <w14:textFill>
            <w14:solidFill>
              <w14:schemeClr w14:val="tx1"/>
            </w14:solidFill>
          </w14:textFill>
        </w:rPr>
        <w:t>12</w:t>
      </w:r>
      <w:r>
        <w:rPr>
          <w:rFonts w:ascii="宋体" w:hAnsi="宋体"/>
          <w:color w:val="000000" w:themeColor="text1"/>
          <w:sz w:val="24"/>
          <w:szCs w:val="24"/>
          <w:highlight w:val="none"/>
          <w14:textFill>
            <w14:solidFill>
              <w14:schemeClr w14:val="tx1"/>
            </w14:solidFill>
          </w14:textFill>
        </w:rPr>
        <w:t>月</w:t>
      </w:r>
      <w:r>
        <w:rPr>
          <w:rFonts w:hint="eastAsia" w:ascii="宋体" w:hAnsi="宋体"/>
          <w:color w:val="000000" w:themeColor="text1"/>
          <w:sz w:val="24"/>
          <w:szCs w:val="24"/>
          <w:highlight w:val="none"/>
          <w:lang w:val="en-US" w:eastAsia="zh-CN"/>
          <w14:textFill>
            <w14:solidFill>
              <w14:schemeClr w14:val="tx1"/>
            </w14:solidFill>
          </w14:textFill>
        </w:rPr>
        <w:t>04</w:t>
      </w:r>
      <w:r>
        <w:rPr>
          <w:rFonts w:ascii="宋体" w:hAnsi="宋体"/>
          <w:color w:val="000000" w:themeColor="text1"/>
          <w:sz w:val="24"/>
          <w:szCs w:val="24"/>
          <w:highlight w:val="none"/>
          <w14:textFill>
            <w14:solidFill>
              <w14:schemeClr w14:val="tx1"/>
            </w14:solidFill>
          </w14:textFill>
        </w:rPr>
        <w:t>日</w:t>
      </w:r>
      <w:r>
        <w:rPr>
          <w:rFonts w:hint="eastAsia" w:ascii="宋体" w:hAnsi="宋体"/>
          <w:color w:val="000000" w:themeColor="text1"/>
          <w:sz w:val="24"/>
          <w:szCs w:val="24"/>
          <w:highlight w:val="none"/>
          <w14:textFill>
            <w14:solidFill>
              <w14:schemeClr w14:val="tx1"/>
            </w14:solidFill>
          </w14:textFill>
        </w:rPr>
        <w:t>至2024年</w:t>
      </w:r>
      <w:r>
        <w:rPr>
          <w:rFonts w:hint="eastAsia" w:ascii="宋体" w:hAnsi="宋体"/>
          <w:color w:val="000000" w:themeColor="text1"/>
          <w:sz w:val="24"/>
          <w:szCs w:val="24"/>
          <w:highlight w:val="none"/>
          <w:lang w:val="en-US" w:eastAsia="zh-CN"/>
          <w14:textFill>
            <w14:solidFill>
              <w14:schemeClr w14:val="tx1"/>
            </w14:solidFill>
          </w14:textFill>
        </w:rPr>
        <w:t>12</w:t>
      </w:r>
      <w:r>
        <w:rPr>
          <w:rFonts w:hint="eastAsia" w:ascii="宋体" w:hAnsi="宋体"/>
          <w:color w:val="000000" w:themeColor="text1"/>
          <w:sz w:val="24"/>
          <w:szCs w:val="24"/>
          <w:highlight w:val="none"/>
          <w14:textFill>
            <w14:solidFill>
              <w14:schemeClr w14:val="tx1"/>
            </w14:solidFill>
          </w14:textFill>
        </w:rPr>
        <w:t>月</w:t>
      </w:r>
      <w:r>
        <w:rPr>
          <w:rFonts w:hint="eastAsia" w:ascii="宋体" w:hAnsi="宋体"/>
          <w:color w:val="000000" w:themeColor="text1"/>
          <w:sz w:val="24"/>
          <w:szCs w:val="24"/>
          <w:highlight w:val="none"/>
          <w:lang w:val="en-US" w:eastAsia="zh-CN"/>
          <w14:textFill>
            <w14:solidFill>
              <w14:schemeClr w14:val="tx1"/>
            </w14:solidFill>
          </w14:textFill>
        </w:rPr>
        <w:t>12</w:t>
      </w:r>
      <w:r>
        <w:rPr>
          <w:rFonts w:hint="eastAsia" w:ascii="宋体" w:hAnsi="宋体"/>
          <w:color w:val="000000" w:themeColor="text1"/>
          <w:sz w:val="24"/>
          <w:szCs w:val="24"/>
          <w:highlight w:val="none"/>
          <w14:textFill>
            <w14:solidFill>
              <w14:schemeClr w14:val="tx1"/>
            </w14:solidFill>
          </w14:textFill>
        </w:rPr>
        <w:t>日，每天上午00:00-12:00,下午12:00-23:59（北京时间，法定节假日除外）。</w:t>
      </w:r>
    </w:p>
    <w:p w14:paraId="615FB3BF">
      <w:pPr>
        <w:shd w:val="clear"/>
        <w:spacing w:line="460" w:lineRule="exact"/>
        <w:ind w:firstLine="480" w:firstLineChars="200"/>
        <w:rPr>
          <w:rFonts w:ascii="Times New Roman" w:hAnsi="Times New Roman"/>
          <w:sz w:val="24"/>
          <w:szCs w:val="24"/>
          <w:highlight w:val="none"/>
        </w:rPr>
      </w:pPr>
      <w:r>
        <w:rPr>
          <w:rFonts w:ascii="宋体" w:hAnsi="宋体"/>
          <w:color w:val="000000" w:themeColor="text1"/>
          <w:sz w:val="24"/>
          <w:szCs w:val="24"/>
          <w:highlight w:val="none"/>
          <w14:textFill>
            <w14:solidFill>
              <w14:schemeClr w14:val="tx1"/>
            </w14:solidFill>
          </w14:textFill>
        </w:rPr>
        <w:t>方式：</w:t>
      </w:r>
      <w:r>
        <w:rPr>
          <w:rFonts w:ascii="Times New Roman" w:hAnsi="Times New Roman"/>
          <w:sz w:val="24"/>
          <w:szCs w:val="24"/>
          <w:highlight w:val="none"/>
        </w:rPr>
        <w:t>在</w:t>
      </w:r>
      <w:r>
        <w:rPr>
          <w:rFonts w:hint="eastAsia" w:ascii="Times New Roman" w:hAnsi="Times New Roman"/>
          <w:sz w:val="24"/>
          <w:szCs w:val="24"/>
          <w:highlight w:val="none"/>
        </w:rPr>
        <w:t>“</w:t>
      </w:r>
      <w:r>
        <w:rPr>
          <w:rFonts w:ascii="Times New Roman" w:hAnsi="Times New Roman"/>
          <w:sz w:val="24"/>
          <w:szCs w:val="21"/>
          <w:highlight w:val="none"/>
        </w:rPr>
        <w:t>苏采云政府采购一体化平台</w:t>
      </w:r>
      <w:r>
        <w:rPr>
          <w:rFonts w:hint="eastAsia" w:ascii="Times New Roman" w:hAnsi="Times New Roman"/>
          <w:sz w:val="24"/>
          <w:szCs w:val="24"/>
          <w:highlight w:val="none"/>
        </w:rPr>
        <w:t>”</w:t>
      </w:r>
      <w:r>
        <w:rPr>
          <w:rFonts w:ascii="Times New Roman" w:hAnsi="Times New Roman"/>
          <w:sz w:val="24"/>
          <w:szCs w:val="24"/>
          <w:highlight w:val="none"/>
        </w:rPr>
        <w:t>自行免费下载</w:t>
      </w:r>
      <w:r>
        <w:rPr>
          <w:rFonts w:hint="eastAsia" w:ascii="Times New Roman" w:hAnsi="Times New Roman"/>
          <w:sz w:val="24"/>
          <w:szCs w:val="24"/>
          <w:highlight w:val="none"/>
        </w:rPr>
        <w:t>招标文件</w:t>
      </w:r>
      <w:r>
        <w:rPr>
          <w:rFonts w:ascii="Times New Roman" w:hAnsi="Times New Roman"/>
          <w:sz w:val="24"/>
          <w:szCs w:val="24"/>
          <w:highlight w:val="none"/>
        </w:rPr>
        <w:t>。</w:t>
      </w:r>
    </w:p>
    <w:p w14:paraId="31EE141F">
      <w:pPr>
        <w:shd w:val="clear"/>
        <w:spacing w:line="460" w:lineRule="exact"/>
        <w:ind w:firstLine="480" w:firstLineChars="200"/>
        <w:rPr>
          <w:rFonts w:ascii="Times New Roman" w:hAnsi="Times New Roman"/>
          <w:sz w:val="24"/>
          <w:szCs w:val="24"/>
          <w:highlight w:val="none"/>
        </w:rPr>
      </w:pPr>
      <w:r>
        <w:rPr>
          <w:rFonts w:ascii="Times New Roman" w:hAnsi="Times New Roman"/>
          <w:sz w:val="24"/>
          <w:szCs w:val="24"/>
          <w:highlight w:val="none"/>
        </w:rPr>
        <w:t>（1）参与采购活动：供应商进入苏州市政府采购网，</w:t>
      </w:r>
      <w:r>
        <w:rPr>
          <w:rFonts w:ascii="Times New Roman" w:hAnsi="Times New Roman"/>
          <w:color w:val="000000"/>
          <w:sz w:val="24"/>
          <w:highlight w:val="none"/>
        </w:rPr>
        <w:t>点击网站首页底部苏采云图标，</w:t>
      </w:r>
      <w:r>
        <w:rPr>
          <w:rFonts w:ascii="Times New Roman" w:hAnsi="Times New Roman"/>
          <w:sz w:val="24"/>
          <w:szCs w:val="24"/>
          <w:highlight w:val="none"/>
        </w:rPr>
        <w:t>插入CA证书登陆</w:t>
      </w:r>
      <w:r>
        <w:rPr>
          <w:rFonts w:hint="eastAsia" w:ascii="Times New Roman" w:hAnsi="Times New Roman"/>
          <w:sz w:val="24"/>
          <w:szCs w:val="24"/>
          <w:highlight w:val="none"/>
        </w:rPr>
        <w:t>“</w:t>
      </w:r>
      <w:r>
        <w:rPr>
          <w:rFonts w:ascii="Times New Roman" w:hAnsi="Times New Roman"/>
          <w:sz w:val="24"/>
          <w:szCs w:val="24"/>
          <w:highlight w:val="none"/>
        </w:rPr>
        <w:t>苏采云</w:t>
      </w:r>
      <w:r>
        <w:rPr>
          <w:rFonts w:hint="eastAsia" w:ascii="Times New Roman" w:hAnsi="Times New Roman"/>
          <w:sz w:val="24"/>
          <w:szCs w:val="24"/>
          <w:highlight w:val="none"/>
        </w:rPr>
        <w:t>”</w:t>
      </w:r>
      <w:r>
        <w:rPr>
          <w:rFonts w:ascii="Times New Roman" w:hAnsi="Times New Roman"/>
          <w:sz w:val="24"/>
          <w:szCs w:val="24"/>
          <w:highlight w:val="none"/>
        </w:rPr>
        <w:t>系统后选择具体项目，点击</w:t>
      </w:r>
      <w:r>
        <w:rPr>
          <w:rFonts w:hint="eastAsia" w:ascii="Times New Roman" w:hAnsi="Times New Roman"/>
          <w:sz w:val="24"/>
          <w:szCs w:val="24"/>
          <w:highlight w:val="none"/>
        </w:rPr>
        <w:t>“</w:t>
      </w:r>
      <w:r>
        <w:rPr>
          <w:rFonts w:ascii="Times New Roman" w:hAnsi="Times New Roman"/>
          <w:sz w:val="24"/>
          <w:szCs w:val="24"/>
          <w:highlight w:val="none"/>
        </w:rPr>
        <w:t>我要参与</w:t>
      </w:r>
      <w:r>
        <w:rPr>
          <w:rFonts w:hint="eastAsia" w:ascii="Times New Roman" w:hAnsi="Times New Roman"/>
          <w:sz w:val="24"/>
          <w:szCs w:val="24"/>
          <w:highlight w:val="none"/>
        </w:rPr>
        <w:t>”</w:t>
      </w:r>
      <w:r>
        <w:rPr>
          <w:rFonts w:ascii="Times New Roman" w:hAnsi="Times New Roman"/>
          <w:sz w:val="24"/>
          <w:szCs w:val="24"/>
          <w:highlight w:val="none"/>
        </w:rPr>
        <w:t>并签章提交《投标供应商确认函》，提交《投标供应商确认函》日期视同为依法获取</w:t>
      </w:r>
      <w:r>
        <w:rPr>
          <w:rFonts w:hint="eastAsia" w:ascii="Times New Roman" w:hAnsi="Times New Roman"/>
          <w:sz w:val="24"/>
          <w:szCs w:val="24"/>
          <w:highlight w:val="none"/>
        </w:rPr>
        <w:t>招标文件</w:t>
      </w:r>
      <w:r>
        <w:rPr>
          <w:rFonts w:ascii="Times New Roman" w:hAnsi="Times New Roman"/>
          <w:sz w:val="24"/>
          <w:szCs w:val="24"/>
          <w:highlight w:val="none"/>
        </w:rPr>
        <w:t>日期。对《投标供应商确认函》供应商应予打印保留。</w:t>
      </w:r>
    </w:p>
    <w:p w14:paraId="63FF59F2">
      <w:pPr>
        <w:shd w:val="clear"/>
        <w:spacing w:line="440" w:lineRule="exact"/>
        <w:ind w:firstLine="480" w:firstLineChars="200"/>
        <w:rPr>
          <w:rFonts w:ascii="Times New Roman" w:hAnsi="Times New Roman"/>
          <w:sz w:val="24"/>
          <w:szCs w:val="24"/>
          <w:highlight w:val="none"/>
        </w:rPr>
      </w:pPr>
      <w:r>
        <w:rPr>
          <w:rFonts w:ascii="Times New Roman" w:hAnsi="Times New Roman"/>
          <w:sz w:val="24"/>
          <w:szCs w:val="24"/>
          <w:highlight w:val="none"/>
        </w:rPr>
        <w:t>（2）电子投标准备：供应商在</w:t>
      </w:r>
      <w:r>
        <w:rPr>
          <w:rFonts w:hint="eastAsia" w:ascii="Times New Roman" w:hAnsi="Times New Roman"/>
          <w:sz w:val="24"/>
          <w:szCs w:val="24"/>
          <w:highlight w:val="none"/>
        </w:rPr>
        <w:t>“</w:t>
      </w:r>
      <w:r>
        <w:rPr>
          <w:rFonts w:ascii="Times New Roman" w:hAnsi="Times New Roman"/>
          <w:sz w:val="24"/>
          <w:szCs w:val="24"/>
          <w:highlight w:val="none"/>
        </w:rPr>
        <w:t>苏采云</w:t>
      </w:r>
      <w:r>
        <w:rPr>
          <w:rFonts w:hint="eastAsia" w:ascii="Times New Roman" w:hAnsi="Times New Roman"/>
          <w:sz w:val="24"/>
          <w:szCs w:val="24"/>
          <w:highlight w:val="none"/>
        </w:rPr>
        <w:t>”</w:t>
      </w:r>
      <w:r>
        <w:rPr>
          <w:rFonts w:ascii="Times New Roman" w:hAnsi="Times New Roman"/>
          <w:sz w:val="24"/>
          <w:szCs w:val="24"/>
          <w:highlight w:val="none"/>
        </w:rPr>
        <w:t>系统中操作成功参与项目后，必须在</w:t>
      </w:r>
      <w:r>
        <w:rPr>
          <w:rFonts w:hint="eastAsia" w:ascii="Times New Roman" w:hAnsi="Times New Roman"/>
          <w:sz w:val="24"/>
          <w:szCs w:val="24"/>
          <w:highlight w:val="none"/>
        </w:rPr>
        <w:t>“</w:t>
      </w:r>
      <w:r>
        <w:rPr>
          <w:rFonts w:ascii="Times New Roman" w:hAnsi="Times New Roman"/>
          <w:sz w:val="24"/>
          <w:szCs w:val="24"/>
          <w:highlight w:val="none"/>
        </w:rPr>
        <w:t>已参与项目</w:t>
      </w:r>
      <w:r>
        <w:rPr>
          <w:rFonts w:hint="eastAsia" w:ascii="Times New Roman" w:hAnsi="Times New Roman"/>
          <w:sz w:val="24"/>
          <w:szCs w:val="24"/>
          <w:highlight w:val="none"/>
        </w:rPr>
        <w:t>”</w:t>
      </w:r>
      <w:r>
        <w:rPr>
          <w:rFonts w:ascii="Times New Roman" w:hAnsi="Times New Roman"/>
          <w:sz w:val="24"/>
          <w:szCs w:val="24"/>
          <w:highlight w:val="none"/>
        </w:rPr>
        <w:t>界面中下载电子招标文件（后缀名为</w:t>
      </w:r>
      <w:r>
        <w:rPr>
          <w:rFonts w:hint="eastAsia" w:ascii="Times New Roman" w:hAnsi="Times New Roman"/>
          <w:sz w:val="24"/>
          <w:szCs w:val="24"/>
          <w:highlight w:val="none"/>
        </w:rPr>
        <w:t>“</w:t>
      </w:r>
      <w:r>
        <w:rPr>
          <w:rFonts w:ascii="Times New Roman" w:hAnsi="Times New Roman"/>
          <w:sz w:val="24"/>
          <w:szCs w:val="24"/>
          <w:highlight w:val="none"/>
        </w:rPr>
        <w:t>.kedt</w:t>
      </w:r>
      <w:r>
        <w:rPr>
          <w:rFonts w:hint="eastAsia" w:ascii="Times New Roman" w:hAnsi="Times New Roman"/>
          <w:sz w:val="24"/>
          <w:szCs w:val="24"/>
          <w:highlight w:val="none"/>
        </w:rPr>
        <w:t>”</w:t>
      </w:r>
      <w:r>
        <w:rPr>
          <w:rFonts w:ascii="Times New Roman" w:hAnsi="Times New Roman"/>
          <w:sz w:val="24"/>
          <w:szCs w:val="24"/>
          <w:highlight w:val="none"/>
        </w:rPr>
        <w:t>）并导入政府采购客户端工具后方可进行电子投标文件的制作和提交（具体详见《苏采云系统供应商操作手册》，网址链接https://czju.suzhou.gov.cn/zfcg/html/content/20231220161910031.shtml）。</w:t>
      </w:r>
    </w:p>
    <w:p w14:paraId="744CFE4B">
      <w:pPr>
        <w:shd w:val="clear"/>
        <w:spacing w:line="440" w:lineRule="exact"/>
        <w:ind w:firstLine="480" w:firstLineChars="200"/>
        <w:rPr>
          <w:rFonts w:ascii="Times New Roman" w:hAnsi="Times New Roman"/>
          <w:sz w:val="24"/>
          <w:szCs w:val="24"/>
          <w:highlight w:val="none"/>
        </w:rPr>
      </w:pPr>
      <w:r>
        <w:rPr>
          <w:rFonts w:hint="eastAsia" w:ascii="Times New Roman" w:hAnsi="Times New Roman"/>
          <w:sz w:val="24"/>
          <w:szCs w:val="24"/>
          <w:highlight w:val="none"/>
        </w:rPr>
        <w:t>售价：免费。</w:t>
      </w:r>
    </w:p>
    <w:p w14:paraId="72AE4F6C">
      <w:pPr>
        <w:shd w:val="clear"/>
        <w:spacing w:line="440" w:lineRule="exact"/>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四、</w:t>
      </w:r>
      <w:r>
        <w:rPr>
          <w:rFonts w:hint="eastAsia"/>
          <w:b/>
          <w:sz w:val="24"/>
          <w:szCs w:val="24"/>
          <w:highlight w:val="none"/>
        </w:rPr>
        <w:t>提交投标文件截止时间、开标时间和地点</w:t>
      </w:r>
      <w:r>
        <w:rPr>
          <w:b/>
          <w:sz w:val="24"/>
          <w:szCs w:val="24"/>
          <w:highlight w:val="none"/>
        </w:rPr>
        <w:t>：</w:t>
      </w:r>
    </w:p>
    <w:p w14:paraId="0BC2539F">
      <w:pPr>
        <w:widowControl/>
        <w:shd w:val="clear"/>
        <w:spacing w:line="44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2024年</w:t>
      </w:r>
      <w:r>
        <w:rPr>
          <w:rFonts w:hint="eastAsia" w:ascii="宋体" w:hAnsi="宋体" w:cs="宋体"/>
          <w:kern w:val="0"/>
          <w:sz w:val="24"/>
          <w:szCs w:val="24"/>
          <w:highlight w:val="none"/>
          <w:lang w:val="en-US" w:eastAsia="zh-CN"/>
        </w:rPr>
        <w:t>12</w:t>
      </w:r>
      <w:r>
        <w:rPr>
          <w:rFonts w:hint="eastAsia" w:ascii="宋体" w:hAnsi="宋体" w:cs="宋体"/>
          <w:kern w:val="0"/>
          <w:sz w:val="24"/>
          <w:szCs w:val="24"/>
          <w:highlight w:val="none"/>
        </w:rPr>
        <w:t>月</w:t>
      </w:r>
      <w:r>
        <w:rPr>
          <w:rFonts w:hint="eastAsia" w:ascii="宋体" w:hAnsi="宋体" w:cs="宋体"/>
          <w:kern w:val="0"/>
          <w:sz w:val="24"/>
          <w:szCs w:val="24"/>
          <w:highlight w:val="none"/>
          <w:lang w:val="en-US" w:eastAsia="zh-CN"/>
        </w:rPr>
        <w:t>20</w:t>
      </w:r>
      <w:r>
        <w:rPr>
          <w:rFonts w:hint="eastAsia" w:ascii="宋体" w:hAnsi="宋体" w:cs="宋体"/>
          <w:kern w:val="0"/>
          <w:sz w:val="24"/>
          <w:szCs w:val="24"/>
          <w:highlight w:val="none"/>
        </w:rPr>
        <w:t>日</w:t>
      </w:r>
      <w:r>
        <w:rPr>
          <w:rFonts w:hint="eastAsia" w:ascii="宋体" w:hAnsi="宋体" w:cs="宋体"/>
          <w:kern w:val="0"/>
          <w:sz w:val="24"/>
          <w:szCs w:val="24"/>
          <w:highlight w:val="none"/>
          <w:lang w:val="en-US" w:eastAsia="zh-CN"/>
        </w:rPr>
        <w:t>13</w:t>
      </w:r>
      <w:r>
        <w:rPr>
          <w:rFonts w:hint="eastAsia" w:ascii="宋体" w:hAnsi="宋体" w:cs="宋体"/>
          <w:kern w:val="0"/>
          <w:sz w:val="24"/>
          <w:szCs w:val="24"/>
          <w:highlight w:val="none"/>
        </w:rPr>
        <w:t>点00分（北京时间）</w:t>
      </w:r>
    </w:p>
    <w:p w14:paraId="5FA893D1">
      <w:pPr>
        <w:widowControl/>
        <w:shd w:val="clear"/>
        <w:spacing w:line="440" w:lineRule="exact"/>
        <w:ind w:firstLine="480" w:firstLineChars="200"/>
        <w:rPr>
          <w:sz w:val="24"/>
          <w:szCs w:val="24"/>
          <w:highlight w:val="none"/>
        </w:rPr>
      </w:pPr>
      <w:r>
        <w:rPr>
          <w:rFonts w:hint="eastAsia"/>
          <w:sz w:val="24"/>
          <w:szCs w:val="24"/>
          <w:highlight w:val="none"/>
        </w:rPr>
        <w:t>本项目采用电子化采购形式，供应商应当按照《苏采云系统供应商操作手册》规定，须在投标截止时间前制作并上传电子投标文件至“苏采云”系统，否则视为放弃参加该采购项目。</w:t>
      </w:r>
    </w:p>
    <w:p w14:paraId="1D4F4EDD">
      <w:pPr>
        <w:widowControl/>
        <w:shd w:val="clear"/>
        <w:spacing w:line="440" w:lineRule="exact"/>
        <w:ind w:firstLine="480" w:firstLineChars="200"/>
        <w:rPr>
          <w:sz w:val="24"/>
          <w:szCs w:val="24"/>
          <w:highlight w:val="none"/>
        </w:rPr>
      </w:pPr>
      <w:r>
        <w:rPr>
          <w:rFonts w:hint="eastAsia"/>
          <w:sz w:val="24"/>
          <w:szCs w:val="24"/>
          <w:highlight w:val="none"/>
        </w:rPr>
        <w:t>本项目采用不见面开标，供应商登录“苏采云”系统在平台首页点击“开标大厅”，进入江苏省政府采购一体化不见面开标（采购）大厅，选择对应项目，并按系统提示完成开标流程。</w:t>
      </w:r>
    </w:p>
    <w:p w14:paraId="677E8B9F">
      <w:pPr>
        <w:widowControl/>
        <w:shd w:val="clear"/>
        <w:spacing w:line="440" w:lineRule="exact"/>
        <w:ind w:firstLine="480" w:firstLineChars="200"/>
        <w:rPr>
          <w:sz w:val="24"/>
          <w:szCs w:val="24"/>
          <w:highlight w:val="none"/>
        </w:rPr>
      </w:pPr>
      <w:r>
        <w:rPr>
          <w:rFonts w:hint="eastAsia"/>
          <w:sz w:val="24"/>
          <w:szCs w:val="24"/>
          <w:highlight w:val="none"/>
        </w:rPr>
        <w:t>开标地点：苏采云系统网上开标大厅</w:t>
      </w:r>
    </w:p>
    <w:p w14:paraId="0328630B">
      <w:pPr>
        <w:shd w:val="clear"/>
        <w:spacing w:line="440" w:lineRule="exact"/>
        <w:rPr>
          <w:rFonts w:ascii="宋体" w:hAnsi="宋体" w:cs="宋体"/>
          <w:b/>
          <w:sz w:val="24"/>
          <w:szCs w:val="24"/>
          <w:highlight w:val="none"/>
        </w:rPr>
      </w:pPr>
      <w:r>
        <w:rPr>
          <w:rFonts w:hint="eastAsia" w:ascii="宋体" w:hAnsi="宋体" w:cs="宋体"/>
          <w:b/>
          <w:sz w:val="24"/>
          <w:szCs w:val="24"/>
          <w:highlight w:val="none"/>
        </w:rPr>
        <w:t>五、</w:t>
      </w:r>
      <w:bookmarkEnd w:id="4"/>
      <w:bookmarkEnd w:id="9"/>
      <w:bookmarkEnd w:id="10"/>
      <w:bookmarkEnd w:id="11"/>
      <w:bookmarkEnd w:id="12"/>
      <w:r>
        <w:rPr>
          <w:rFonts w:hint="eastAsia" w:ascii="宋体" w:hAnsi="宋体" w:cs="宋体"/>
          <w:b/>
          <w:sz w:val="24"/>
          <w:szCs w:val="24"/>
          <w:highlight w:val="none"/>
        </w:rPr>
        <w:t>公告期限：</w:t>
      </w:r>
    </w:p>
    <w:p w14:paraId="278F8D23">
      <w:pPr>
        <w:widowControl/>
        <w:shd w:val="clear"/>
        <w:spacing w:line="440" w:lineRule="exact"/>
        <w:ind w:firstLine="480" w:firstLineChars="200"/>
        <w:rPr>
          <w:sz w:val="24"/>
          <w:szCs w:val="24"/>
          <w:highlight w:val="none"/>
        </w:rPr>
      </w:pPr>
      <w:r>
        <w:rPr>
          <w:rFonts w:hint="eastAsia"/>
          <w:sz w:val="24"/>
          <w:szCs w:val="24"/>
          <w:highlight w:val="none"/>
        </w:rPr>
        <w:t>自本公告发布之日起5个工作日。</w:t>
      </w:r>
    </w:p>
    <w:p w14:paraId="28458260">
      <w:pPr>
        <w:shd w:val="clear"/>
        <w:spacing w:line="440" w:lineRule="exact"/>
        <w:rPr>
          <w:rFonts w:hAnsi="宋体"/>
          <w:b/>
          <w:sz w:val="24"/>
          <w:szCs w:val="24"/>
          <w:highlight w:val="none"/>
        </w:rPr>
      </w:pPr>
      <w:r>
        <w:rPr>
          <w:rFonts w:hint="eastAsia" w:hAnsi="宋体"/>
          <w:b/>
          <w:sz w:val="24"/>
          <w:szCs w:val="24"/>
          <w:highlight w:val="none"/>
        </w:rPr>
        <w:t>六、其他补充事宜：</w:t>
      </w:r>
    </w:p>
    <w:p w14:paraId="40C70DC2">
      <w:pPr>
        <w:shd w:val="clea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1、根据省财政厅《关于更换全省政府采购交易系统C 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p>
    <w:p w14:paraId="1A1C978B">
      <w:pPr>
        <w:shd w:val="clea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2、供应商在“苏采云”系统操作过程中如有疑问，请按以下方式联系：</w:t>
      </w:r>
    </w:p>
    <w:p w14:paraId="5C61C18B">
      <w:pPr>
        <w:shd w:val="clea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CA技术咨询电话：400-608-6099；电子签章技术咨询电话：15380932027、15371015030、13675197356、13675197221；系统使用指导与咨询电话：13914088964、18261002950，0512-69820854、0519-86722802。</w:t>
      </w:r>
    </w:p>
    <w:p w14:paraId="36EEBD35">
      <w:pPr>
        <w:shd w:val="clea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3、有关本次采购的事项若存在变动或修改，敬请及时关注“苏州市政府采购网”发布的更正公告</w:t>
      </w:r>
      <w:bookmarkStart w:id="13" w:name="_Hlk87882297"/>
      <w:r>
        <w:rPr>
          <w:rFonts w:hint="eastAsia" w:ascii="宋体" w:hAnsi="宋体" w:cs="宋体"/>
          <w:sz w:val="24"/>
          <w:szCs w:val="32"/>
          <w:highlight w:val="none"/>
        </w:rPr>
        <w:t>，并按规定获取相关信息内容。</w:t>
      </w:r>
      <w:bookmarkEnd w:id="13"/>
    </w:p>
    <w:p w14:paraId="18D39DF1">
      <w:pPr>
        <w:shd w:val="clea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4、本次采购项目有关时间要求均以北京时间为标准，使用24小时制。</w:t>
      </w:r>
    </w:p>
    <w:p w14:paraId="1079BC1F">
      <w:pPr>
        <w:shd w:val="clea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5、公告媒体：</w:t>
      </w:r>
      <w:r>
        <w:rPr>
          <w:sz w:val="24"/>
          <w:highlight w:val="none"/>
        </w:rPr>
        <w:t>苏州市政府采购网</w:t>
      </w:r>
      <w:r>
        <w:rPr>
          <w:rFonts w:hint="eastAsia"/>
          <w:sz w:val="24"/>
          <w:highlight w:val="none"/>
          <w:lang w:eastAsia="zh-CN"/>
        </w:rPr>
        <w:t>、</w:t>
      </w:r>
      <w:r>
        <w:rPr>
          <w:rFonts w:hint="eastAsia"/>
          <w:sz w:val="24"/>
          <w:highlight w:val="none"/>
          <w:lang w:val="en-US" w:eastAsia="zh-CN"/>
        </w:rPr>
        <w:t>江苏政府采购网</w:t>
      </w:r>
      <w:r>
        <w:rPr>
          <w:rFonts w:hint="eastAsia" w:ascii="宋体" w:hAnsi="宋体" w:cs="宋体"/>
          <w:sz w:val="24"/>
          <w:szCs w:val="32"/>
          <w:highlight w:val="none"/>
        </w:rPr>
        <w:t>。</w:t>
      </w:r>
    </w:p>
    <w:p w14:paraId="719FBCD9">
      <w:pPr>
        <w:shd w:val="clear"/>
        <w:spacing w:line="440" w:lineRule="exact"/>
        <w:ind w:firstLine="480" w:firstLineChars="200"/>
        <w:rPr>
          <w:rFonts w:ascii="宋体" w:hAnsi="宋体" w:cs="宋体"/>
          <w:sz w:val="24"/>
          <w:szCs w:val="32"/>
          <w:highlight w:val="none"/>
        </w:rPr>
      </w:pPr>
      <w:r>
        <w:rPr>
          <w:rFonts w:hint="eastAsia" w:ascii="宋体" w:hAnsi="宋体" w:cs="宋体"/>
          <w:sz w:val="24"/>
          <w:szCs w:val="32"/>
          <w:highlight w:val="none"/>
        </w:rPr>
        <w:t>6、</w:t>
      </w:r>
      <w:r>
        <w:rPr>
          <w:rFonts w:hint="eastAsia" w:ascii="宋体" w:hAnsi="宋体" w:cs="宋体"/>
          <w:sz w:val="24"/>
          <w:szCs w:val="24"/>
          <w:highlight w:val="none"/>
        </w:rPr>
        <w:t>本项目不收取</w:t>
      </w:r>
      <w:r>
        <w:rPr>
          <w:rFonts w:hint="eastAsia" w:ascii="宋体" w:hAnsi="宋体" w:cs="宋体"/>
          <w:sz w:val="24"/>
          <w:szCs w:val="24"/>
          <w:highlight w:val="none"/>
          <w:lang w:eastAsia="zh-CN"/>
        </w:rPr>
        <w:t>投标</w:t>
      </w:r>
      <w:r>
        <w:rPr>
          <w:rFonts w:hint="eastAsia" w:ascii="宋体" w:hAnsi="宋体" w:cs="宋体"/>
          <w:sz w:val="24"/>
          <w:szCs w:val="24"/>
          <w:highlight w:val="none"/>
        </w:rPr>
        <w:t>保证金。</w:t>
      </w:r>
    </w:p>
    <w:p w14:paraId="6CA560ED">
      <w:pPr>
        <w:shd w:val="clear"/>
        <w:spacing w:line="440" w:lineRule="exact"/>
        <w:rPr>
          <w:rFonts w:ascii="宋体" w:hAnsi="宋体" w:cs="宋体"/>
          <w:b/>
          <w:sz w:val="24"/>
          <w:szCs w:val="24"/>
          <w:highlight w:val="none"/>
        </w:rPr>
      </w:pPr>
      <w:r>
        <w:rPr>
          <w:rFonts w:hint="eastAsia" w:ascii="宋体" w:hAnsi="宋体" w:cs="宋体"/>
          <w:b/>
          <w:sz w:val="24"/>
          <w:szCs w:val="24"/>
          <w:highlight w:val="none"/>
        </w:rPr>
        <w:t>七、凡对本次采购提出询问，请按以下方式联系。</w:t>
      </w:r>
    </w:p>
    <w:p w14:paraId="2D8AB5F6">
      <w:pPr>
        <w:shd w:val="clear"/>
        <w:spacing w:line="440" w:lineRule="exact"/>
        <w:ind w:firstLine="480" w:firstLineChars="200"/>
        <w:rPr>
          <w:rFonts w:hint="eastAsia" w:ascii="宋体" w:hAnsi="宋体" w:cs="宋体"/>
          <w:sz w:val="24"/>
          <w:szCs w:val="32"/>
          <w:highlight w:val="none"/>
        </w:rPr>
      </w:pPr>
      <w:bookmarkStart w:id="14" w:name="_Toc158691766"/>
      <w:bookmarkStart w:id="15" w:name="_Toc315868050"/>
      <w:bookmarkStart w:id="16" w:name="_Toc315875313"/>
      <w:r>
        <w:rPr>
          <w:rFonts w:hint="eastAsia" w:ascii="宋体" w:hAnsi="宋体" w:cs="宋体"/>
          <w:sz w:val="24"/>
          <w:szCs w:val="32"/>
          <w:highlight w:val="none"/>
        </w:rPr>
        <w:t>1、采购人信息</w:t>
      </w:r>
    </w:p>
    <w:p w14:paraId="179435F0">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单位名称：</w:t>
      </w:r>
      <w:r>
        <w:rPr>
          <w:rFonts w:hint="eastAsia" w:ascii="宋体" w:hAnsi="宋体" w:cs="宋体"/>
          <w:sz w:val="24"/>
          <w:szCs w:val="32"/>
          <w:highlight w:val="none"/>
          <w:lang w:eastAsia="zh-CN"/>
        </w:rPr>
        <w:t>常熟市水务局</w:t>
      </w:r>
    </w:p>
    <w:p w14:paraId="150C7E44">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单位地址：常熟市珠江路172号</w:t>
      </w:r>
    </w:p>
    <w:p w14:paraId="79CBFCAF">
      <w:pPr>
        <w:shd w:val="clear"/>
        <w:spacing w:line="440" w:lineRule="exact"/>
        <w:ind w:firstLine="480" w:firstLineChars="200"/>
        <w:rPr>
          <w:rFonts w:hint="default" w:ascii="宋体" w:hAnsi="宋体" w:eastAsia="宋体" w:cs="宋体"/>
          <w:sz w:val="24"/>
          <w:szCs w:val="32"/>
          <w:highlight w:val="none"/>
          <w:lang w:val="en-US" w:eastAsia="zh-CN"/>
        </w:rPr>
      </w:pPr>
      <w:r>
        <w:rPr>
          <w:rFonts w:hint="eastAsia" w:ascii="宋体" w:hAnsi="宋体" w:cs="宋体"/>
          <w:sz w:val="24"/>
          <w:szCs w:val="32"/>
          <w:highlight w:val="none"/>
        </w:rPr>
        <w:t>联系人：朱铭松</w:t>
      </w:r>
    </w:p>
    <w:p w14:paraId="3030D0F9">
      <w:pPr>
        <w:shd w:val="clear"/>
        <w:spacing w:line="440" w:lineRule="exact"/>
        <w:ind w:firstLine="480" w:firstLineChars="200"/>
        <w:rPr>
          <w:rFonts w:hint="default" w:ascii="宋体" w:hAnsi="宋体" w:eastAsia="宋体" w:cs="宋体"/>
          <w:sz w:val="24"/>
          <w:szCs w:val="32"/>
          <w:highlight w:val="none"/>
          <w:lang w:val="en-US" w:eastAsia="zh-CN"/>
        </w:rPr>
      </w:pPr>
      <w:r>
        <w:rPr>
          <w:rFonts w:hint="eastAsia" w:ascii="宋体" w:hAnsi="宋体" w:cs="宋体"/>
          <w:sz w:val="24"/>
          <w:szCs w:val="32"/>
          <w:highlight w:val="none"/>
        </w:rPr>
        <w:t>联系方式：</w:t>
      </w:r>
      <w:bookmarkStart w:id="17" w:name="_Toc28359009"/>
      <w:bookmarkStart w:id="18" w:name="_Toc28359086"/>
      <w:r>
        <w:rPr>
          <w:rFonts w:hint="eastAsia" w:ascii="宋体" w:hAnsi="宋体" w:cs="宋体"/>
          <w:sz w:val="24"/>
          <w:szCs w:val="32"/>
          <w:highlight w:val="none"/>
        </w:rPr>
        <w:t>0512-52349290</w:t>
      </w:r>
    </w:p>
    <w:bookmarkEnd w:id="17"/>
    <w:bookmarkEnd w:id="18"/>
    <w:p w14:paraId="1F644C36">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2、采购代理机构信息</w:t>
      </w:r>
    </w:p>
    <w:p w14:paraId="211988AC">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单位名称：涵熙（苏州）工程顾问有限公司</w:t>
      </w:r>
    </w:p>
    <w:p w14:paraId="70A4E0AF">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单位地址：常熟市山茶花路10号</w:t>
      </w:r>
    </w:p>
    <w:p w14:paraId="576D2BB2">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联系人：王蔼玲</w:t>
      </w:r>
    </w:p>
    <w:p w14:paraId="2823D2DF">
      <w:pPr>
        <w:shd w:val="clear"/>
        <w:spacing w:line="440" w:lineRule="exact"/>
        <w:ind w:firstLine="480" w:firstLineChars="200"/>
        <w:rPr>
          <w:rFonts w:hint="eastAsia" w:ascii="宋体" w:hAnsi="宋体" w:cs="宋体"/>
          <w:sz w:val="24"/>
          <w:szCs w:val="32"/>
          <w:highlight w:val="none"/>
          <w:lang w:eastAsia="zh-CN"/>
        </w:rPr>
      </w:pPr>
      <w:r>
        <w:rPr>
          <w:rFonts w:hint="eastAsia" w:ascii="宋体" w:hAnsi="宋体" w:cs="宋体"/>
          <w:sz w:val="24"/>
          <w:szCs w:val="32"/>
          <w:highlight w:val="none"/>
        </w:rPr>
        <w:t>联系方式：</w:t>
      </w:r>
      <w:r>
        <w:rPr>
          <w:rFonts w:hint="eastAsia" w:ascii="宋体" w:hAnsi="宋体" w:cs="宋体"/>
          <w:sz w:val="24"/>
          <w:szCs w:val="32"/>
          <w:highlight w:val="none"/>
          <w:lang w:eastAsia="zh-CN"/>
        </w:rPr>
        <w:t>0512-52952666</w:t>
      </w:r>
    </w:p>
    <w:p w14:paraId="5320A535">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3、项目联系方式</w:t>
      </w:r>
    </w:p>
    <w:p w14:paraId="40545252">
      <w:pPr>
        <w:shd w:val="clear"/>
        <w:spacing w:line="440" w:lineRule="exact"/>
        <w:ind w:firstLine="480" w:firstLineChars="200"/>
        <w:rPr>
          <w:rFonts w:hint="eastAsia" w:ascii="宋体" w:hAnsi="宋体" w:cs="宋体"/>
          <w:sz w:val="24"/>
          <w:szCs w:val="32"/>
          <w:highlight w:val="none"/>
        </w:rPr>
      </w:pPr>
      <w:r>
        <w:rPr>
          <w:rFonts w:hint="eastAsia" w:ascii="宋体" w:hAnsi="宋体" w:cs="宋体"/>
          <w:sz w:val="24"/>
          <w:szCs w:val="32"/>
          <w:highlight w:val="none"/>
        </w:rPr>
        <w:t>项目联系人：王蔼玲</w:t>
      </w:r>
    </w:p>
    <w:p w14:paraId="08CC8DCC">
      <w:pPr>
        <w:shd w:val="clear"/>
        <w:spacing w:line="440" w:lineRule="exact"/>
        <w:ind w:firstLine="480" w:firstLineChars="200"/>
        <w:rPr>
          <w:rFonts w:hint="eastAsia" w:ascii="宋体" w:hAnsi="宋体" w:cs="宋体"/>
          <w:sz w:val="24"/>
          <w:szCs w:val="32"/>
          <w:highlight w:val="none"/>
          <w:lang w:eastAsia="zh-CN"/>
        </w:rPr>
      </w:pPr>
      <w:r>
        <w:rPr>
          <w:rFonts w:hint="eastAsia" w:ascii="宋体" w:hAnsi="宋体" w:cs="宋体"/>
          <w:sz w:val="24"/>
          <w:szCs w:val="32"/>
          <w:highlight w:val="none"/>
        </w:rPr>
        <w:t>电话：</w:t>
      </w:r>
      <w:r>
        <w:rPr>
          <w:rFonts w:hint="eastAsia" w:ascii="宋体" w:hAnsi="宋体" w:cs="宋体"/>
          <w:sz w:val="24"/>
          <w:szCs w:val="32"/>
          <w:highlight w:val="none"/>
          <w:lang w:eastAsia="zh-CN"/>
        </w:rPr>
        <w:t>0512-52952666</w:t>
      </w:r>
    </w:p>
    <w:p w14:paraId="2C9914F9">
      <w:pPr>
        <w:shd w:val="clear"/>
        <w:spacing w:line="440" w:lineRule="exact"/>
        <w:ind w:firstLine="5400" w:firstLineChars="2250"/>
        <w:jc w:val="right"/>
        <w:rPr>
          <w:sz w:val="24"/>
          <w:szCs w:val="24"/>
          <w:highlight w:val="none"/>
        </w:rPr>
      </w:pPr>
    </w:p>
    <w:p w14:paraId="3170D521">
      <w:pPr>
        <w:shd w:val="clear"/>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br w:type="page"/>
      </w:r>
    </w:p>
    <w:p w14:paraId="105B7E19">
      <w:pPr>
        <w:pStyle w:val="7"/>
        <w:shd w:val="clear"/>
        <w:rPr>
          <w:rFonts w:ascii="Times New Roman" w:hAnsi="Times New Roman"/>
          <w:color w:val="000000" w:themeColor="text1"/>
          <w:highlight w:val="none"/>
          <w14:textFill>
            <w14:solidFill>
              <w14:schemeClr w14:val="tx1"/>
            </w14:solidFill>
          </w14:textFill>
        </w:rPr>
      </w:pPr>
      <w:bookmarkStart w:id="19" w:name="_Toc852"/>
      <w:r>
        <w:rPr>
          <w:rFonts w:ascii="Times New Roman"/>
          <w:color w:val="000000" w:themeColor="text1"/>
          <w:highlight w:val="none"/>
          <w14:textFill>
            <w14:solidFill>
              <w14:schemeClr w14:val="tx1"/>
            </w14:solidFill>
          </w14:textFill>
        </w:rPr>
        <w:t>第二章</w:t>
      </w:r>
      <w:r>
        <w:rPr>
          <w:rFonts w:hint="eastAsia" w:ascii="Times New Roman"/>
          <w:color w:val="000000" w:themeColor="text1"/>
          <w:highlight w:val="none"/>
          <w14:textFill>
            <w14:solidFill>
              <w14:schemeClr w14:val="tx1"/>
            </w14:solidFill>
          </w14:textFill>
        </w:rPr>
        <w:t xml:space="preserve"> </w:t>
      </w:r>
      <w:r>
        <w:rPr>
          <w:rFonts w:hint="eastAsia" w:ascii="Times New Roman"/>
          <w:highlight w:val="none"/>
        </w:rPr>
        <w:t>投标人</w:t>
      </w:r>
      <w:r>
        <w:rPr>
          <w:rFonts w:ascii="Times New Roman"/>
          <w:color w:val="000000" w:themeColor="text1"/>
          <w:highlight w:val="none"/>
          <w14:textFill>
            <w14:solidFill>
              <w14:schemeClr w14:val="tx1"/>
            </w14:solidFill>
          </w14:textFill>
        </w:rPr>
        <w:t>须知</w:t>
      </w:r>
      <w:bookmarkEnd w:id="14"/>
      <w:bookmarkEnd w:id="15"/>
      <w:bookmarkEnd w:id="16"/>
      <w:bookmarkEnd w:id="19"/>
    </w:p>
    <w:p w14:paraId="6B24D557">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20" w:name="_Toc17674"/>
      <w:bookmarkStart w:id="21" w:name="_Toc19236"/>
      <w:bookmarkStart w:id="22" w:name="_Toc22217"/>
      <w:bookmarkStart w:id="23" w:name="_Toc14411"/>
      <w:bookmarkStart w:id="24" w:name="_Toc4302"/>
      <w:bookmarkStart w:id="25" w:name="_Toc26983"/>
      <w:bookmarkStart w:id="26" w:name="_Toc21213"/>
      <w:bookmarkStart w:id="27" w:name="_Toc25166"/>
      <w:bookmarkStart w:id="28" w:name="_Toc13772"/>
      <w:bookmarkStart w:id="29" w:name="_Toc1525"/>
      <w:bookmarkStart w:id="30" w:name="_Toc16898"/>
      <w:bookmarkStart w:id="31" w:name="_Toc11952"/>
      <w:r>
        <w:rPr>
          <w:rFonts w:ascii="Times New Roman" w:hAnsi="Times New Roman"/>
          <w:b/>
          <w:bCs/>
          <w:color w:val="000000"/>
          <w:sz w:val="32"/>
          <w:szCs w:val="32"/>
          <w:highlight w:val="none"/>
        </w:rPr>
        <w:t>一、总则</w:t>
      </w:r>
      <w:bookmarkEnd w:id="20"/>
      <w:bookmarkEnd w:id="21"/>
      <w:bookmarkEnd w:id="22"/>
      <w:bookmarkEnd w:id="23"/>
      <w:bookmarkEnd w:id="24"/>
      <w:bookmarkEnd w:id="25"/>
      <w:bookmarkEnd w:id="26"/>
      <w:bookmarkEnd w:id="27"/>
      <w:bookmarkEnd w:id="28"/>
      <w:bookmarkEnd w:id="29"/>
      <w:bookmarkEnd w:id="30"/>
      <w:bookmarkEnd w:id="31"/>
    </w:p>
    <w:p w14:paraId="062FD96E">
      <w:pPr>
        <w:keepNext/>
        <w:keepLines/>
        <w:shd w:val="clear"/>
        <w:spacing w:line="440" w:lineRule="exact"/>
        <w:ind w:firstLine="138" w:firstLineChars="49"/>
        <w:rPr>
          <w:rFonts w:ascii="Times New Roman" w:hAnsi="Times New Roman"/>
          <w:b/>
          <w:kern w:val="0"/>
          <w:sz w:val="24"/>
          <w:szCs w:val="24"/>
          <w:highlight w:val="none"/>
        </w:rPr>
      </w:pPr>
      <w:r>
        <w:rPr>
          <w:rFonts w:ascii="Times New Roman" w:hAnsi="Times New Roman"/>
          <w:b/>
          <w:color w:val="000000"/>
          <w:kern w:val="0"/>
          <w:sz w:val="28"/>
          <w:szCs w:val="28"/>
          <w:highlight w:val="none"/>
        </w:rPr>
        <w:t>1、采购方式及适用法律</w:t>
      </w:r>
    </w:p>
    <w:p w14:paraId="1ECBCD63">
      <w:pPr>
        <w:shd w:val="clear"/>
        <w:spacing w:line="440" w:lineRule="exact"/>
        <w:ind w:firstLine="480" w:firstLineChars="20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1.1 本次政府采购活动采取</w:t>
      </w:r>
      <w:r>
        <w:rPr>
          <w:rFonts w:hint="eastAsia" w:ascii="Times New Roman" w:hAnsi="Times New Roman"/>
          <w:color w:val="000000"/>
          <w:kern w:val="0"/>
          <w:sz w:val="24"/>
          <w:szCs w:val="24"/>
          <w:highlight w:val="none"/>
        </w:rPr>
        <w:t>公开招标</w:t>
      </w:r>
      <w:r>
        <w:rPr>
          <w:rFonts w:ascii="Times New Roman" w:hAnsi="Times New Roman"/>
          <w:color w:val="000000"/>
          <w:kern w:val="0"/>
          <w:sz w:val="24"/>
          <w:szCs w:val="24"/>
          <w:highlight w:val="none"/>
        </w:rPr>
        <w:t>方式，本</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仅适用于</w:t>
      </w:r>
      <w:r>
        <w:rPr>
          <w:rFonts w:hint="eastAsia" w:ascii="Times New Roman" w:hAnsi="Times New Roman"/>
          <w:color w:val="000000"/>
          <w:kern w:val="0"/>
          <w:sz w:val="24"/>
          <w:szCs w:val="24"/>
          <w:highlight w:val="none"/>
        </w:rPr>
        <w:t>招标公告</w:t>
      </w:r>
      <w:r>
        <w:rPr>
          <w:rFonts w:ascii="Times New Roman" w:hAnsi="Times New Roman"/>
          <w:color w:val="000000"/>
          <w:kern w:val="0"/>
          <w:sz w:val="24"/>
          <w:szCs w:val="24"/>
          <w:highlight w:val="none"/>
        </w:rPr>
        <w:t>中所述项目。</w:t>
      </w:r>
    </w:p>
    <w:p w14:paraId="60A9DDAB">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1.2本次招标及由此产生的合同受中华人民共和国有关的法律法规制约和保护</w:t>
      </w:r>
      <w:r>
        <w:rPr>
          <w:rFonts w:ascii="Times New Roman" w:hAnsi="Times New Roman"/>
          <w:color w:val="000000"/>
          <w:kern w:val="0"/>
          <w:sz w:val="24"/>
          <w:szCs w:val="24"/>
          <w:highlight w:val="none"/>
        </w:rPr>
        <w:t>。</w:t>
      </w:r>
    </w:p>
    <w:p w14:paraId="62BF3418">
      <w:pPr>
        <w:keepNext/>
        <w:keepLines/>
        <w:shd w:val="clear"/>
        <w:spacing w:line="440" w:lineRule="exact"/>
        <w:ind w:firstLine="138" w:firstLineChars="49"/>
        <w:rPr>
          <w:rFonts w:ascii="Times New Roman" w:hAnsi="Times New Roman"/>
          <w:b/>
          <w:kern w:val="0"/>
          <w:sz w:val="24"/>
          <w:szCs w:val="24"/>
          <w:highlight w:val="none"/>
        </w:rPr>
      </w:pPr>
      <w:r>
        <w:rPr>
          <w:rFonts w:ascii="Times New Roman" w:hAnsi="Times New Roman"/>
          <w:b/>
          <w:color w:val="000000"/>
          <w:kern w:val="0"/>
          <w:sz w:val="28"/>
          <w:szCs w:val="28"/>
          <w:highlight w:val="none"/>
        </w:rPr>
        <w:t>2、</w:t>
      </w:r>
      <w:r>
        <w:rPr>
          <w:rFonts w:hint="eastAsia" w:ascii="Times New Roman" w:hAnsi="Times New Roman"/>
          <w:b/>
          <w:color w:val="000000"/>
          <w:kern w:val="0"/>
          <w:sz w:val="28"/>
          <w:szCs w:val="28"/>
          <w:highlight w:val="none"/>
        </w:rPr>
        <w:t>定义</w:t>
      </w:r>
    </w:p>
    <w:p w14:paraId="5FA98B89">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2.1</w:t>
      </w:r>
      <w:r>
        <w:rPr>
          <w:rFonts w:hint="eastAsia" w:ascii="Times New Roman" w:hAnsi="Times New Roman"/>
          <w:color w:val="000000"/>
          <w:kern w:val="0"/>
          <w:sz w:val="24"/>
          <w:szCs w:val="24"/>
          <w:highlight w:val="none"/>
        </w:rPr>
        <w:t>“采购</w:t>
      </w:r>
      <w:r>
        <w:rPr>
          <w:rFonts w:ascii="Times New Roman" w:hAnsi="Times New Roman"/>
          <w:color w:val="000000"/>
          <w:kern w:val="0"/>
          <w:sz w:val="24"/>
          <w:szCs w:val="24"/>
          <w:highlight w:val="none"/>
        </w:rPr>
        <w:t>人</w:t>
      </w:r>
      <w:r>
        <w:rPr>
          <w:rFonts w:hint="eastAsia" w:ascii="Times New Roman" w:hAnsi="Times New Roman"/>
          <w:color w:val="000000"/>
          <w:kern w:val="0"/>
          <w:sz w:val="24"/>
          <w:szCs w:val="24"/>
          <w:highlight w:val="none"/>
        </w:rPr>
        <w:t>”</w:t>
      </w:r>
      <w:r>
        <w:rPr>
          <w:rFonts w:ascii="Times New Roman" w:hAnsi="Times New Roman"/>
          <w:color w:val="000000"/>
          <w:kern w:val="0"/>
          <w:sz w:val="24"/>
          <w:szCs w:val="24"/>
          <w:highlight w:val="none"/>
        </w:rPr>
        <w:t>系指</w:t>
      </w:r>
      <w:r>
        <w:rPr>
          <w:rFonts w:hint="eastAsia" w:ascii="Times New Roman" w:hAnsi="Times New Roman"/>
          <w:color w:val="000000"/>
          <w:kern w:val="0"/>
          <w:sz w:val="24"/>
          <w:szCs w:val="24"/>
          <w:highlight w:val="none"/>
        </w:rPr>
        <w:t>购买本项目货物并接受相关服务的国家机关、事业单位、团体组织。</w:t>
      </w:r>
    </w:p>
    <w:p w14:paraId="2A4A79B6">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2.2“采购代理机构”</w:t>
      </w:r>
      <w:r>
        <w:rPr>
          <w:rFonts w:ascii="Times New Roman" w:hAnsi="Times New Roman"/>
          <w:color w:val="000000"/>
          <w:kern w:val="0"/>
          <w:sz w:val="24"/>
          <w:szCs w:val="24"/>
          <w:highlight w:val="none"/>
        </w:rPr>
        <w:t>系指</w:t>
      </w:r>
      <w:r>
        <w:rPr>
          <w:rFonts w:hint="eastAsia" w:ascii="Times New Roman" w:hAnsi="Times New Roman"/>
          <w:color w:val="000000"/>
          <w:kern w:val="0"/>
          <w:sz w:val="24"/>
          <w:szCs w:val="24"/>
          <w:highlight w:val="none"/>
        </w:rPr>
        <w:t>依法接受采购人委托，从事货物和服务等政府采购业务的采购代理机构</w:t>
      </w:r>
      <w:r>
        <w:rPr>
          <w:rFonts w:ascii="Times New Roman" w:hAnsi="Times New Roman"/>
          <w:color w:val="000000"/>
          <w:kern w:val="0"/>
          <w:sz w:val="24"/>
          <w:szCs w:val="24"/>
          <w:highlight w:val="none"/>
        </w:rPr>
        <w:t>（以下简称</w:t>
      </w:r>
      <w:r>
        <w:rPr>
          <w:rFonts w:hint="eastAsia" w:ascii="Times New Roman" w:hAnsi="Times New Roman"/>
          <w:color w:val="000000"/>
          <w:kern w:val="0"/>
          <w:sz w:val="24"/>
          <w:szCs w:val="24"/>
          <w:highlight w:val="none"/>
        </w:rPr>
        <w:t>“代理机构”</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。本项目采购代理机构为涵熙（苏州）工程顾问有限公司。</w:t>
      </w:r>
    </w:p>
    <w:p w14:paraId="0A221E1B">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2.</w:t>
      </w:r>
      <w:r>
        <w:rPr>
          <w:rFonts w:hint="eastAsia" w:ascii="Times New Roman" w:hAnsi="Times New Roman"/>
          <w:color w:val="000000"/>
          <w:kern w:val="0"/>
          <w:sz w:val="24"/>
          <w:szCs w:val="24"/>
          <w:highlight w:val="none"/>
        </w:rPr>
        <w:t>3“</w:t>
      </w:r>
      <w:r>
        <w:rPr>
          <w:rFonts w:ascii="Times New Roman" w:hAnsi="Times New Roman"/>
          <w:color w:val="000000"/>
          <w:sz w:val="24"/>
          <w:szCs w:val="21"/>
          <w:highlight w:val="none"/>
        </w:rPr>
        <w:t>投标人</w:t>
      </w:r>
      <w:r>
        <w:rPr>
          <w:rFonts w:hint="eastAsia" w:ascii="Times New Roman" w:hAnsi="Times New Roman"/>
          <w:color w:val="000000"/>
          <w:kern w:val="0"/>
          <w:sz w:val="24"/>
          <w:szCs w:val="24"/>
          <w:highlight w:val="none"/>
        </w:rPr>
        <w:t>”</w:t>
      </w:r>
      <w:r>
        <w:rPr>
          <w:rFonts w:ascii="Times New Roman" w:hAnsi="Times New Roman"/>
          <w:color w:val="000000"/>
          <w:kern w:val="0"/>
          <w:sz w:val="24"/>
          <w:szCs w:val="24"/>
          <w:highlight w:val="none"/>
        </w:rPr>
        <w:t>系指</w:t>
      </w:r>
      <w:r>
        <w:rPr>
          <w:rFonts w:hint="eastAsia" w:ascii="Times New Roman" w:hAnsi="Times New Roman"/>
          <w:color w:val="000000"/>
          <w:kern w:val="0"/>
          <w:sz w:val="24"/>
          <w:szCs w:val="24"/>
          <w:highlight w:val="none"/>
        </w:rPr>
        <w:t>响应招标、参加投标竞争的供应商。</w:t>
      </w:r>
    </w:p>
    <w:p w14:paraId="4C588427">
      <w:pPr>
        <w:keepNext/>
        <w:keepLines/>
        <w:shd w:val="clear"/>
        <w:spacing w:line="440" w:lineRule="exact"/>
        <w:ind w:firstLine="138" w:firstLineChars="49"/>
        <w:rPr>
          <w:rFonts w:ascii="Times New Roman" w:hAnsi="Times New Roman"/>
          <w:b/>
          <w:color w:val="000000"/>
          <w:kern w:val="0"/>
          <w:sz w:val="28"/>
          <w:szCs w:val="28"/>
          <w:highlight w:val="none"/>
        </w:rPr>
      </w:pPr>
      <w:r>
        <w:rPr>
          <w:rFonts w:ascii="Times New Roman" w:hAnsi="Times New Roman"/>
          <w:b/>
          <w:color w:val="000000"/>
          <w:kern w:val="0"/>
          <w:sz w:val="28"/>
          <w:szCs w:val="28"/>
          <w:highlight w:val="none"/>
        </w:rPr>
        <w:t>3、</w:t>
      </w:r>
      <w:r>
        <w:rPr>
          <w:rFonts w:hint="eastAsia" w:ascii="Times New Roman" w:hAnsi="Times New Roman"/>
          <w:b/>
          <w:color w:val="000000"/>
          <w:kern w:val="0"/>
          <w:sz w:val="28"/>
          <w:szCs w:val="28"/>
          <w:highlight w:val="none"/>
        </w:rPr>
        <w:t>合格的投标人</w:t>
      </w:r>
    </w:p>
    <w:p w14:paraId="2F1D02EC">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3.1 满足招标公告中供应商的资格要求的规定，详见《第一章 投标邀请》中投标人资格要求。</w:t>
      </w:r>
    </w:p>
    <w:p w14:paraId="67F4ED92">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3.2 满足本文件实质性要求和条件的规定。</w:t>
      </w:r>
    </w:p>
    <w:p w14:paraId="65382B71">
      <w:pPr>
        <w:keepNext/>
        <w:keepLines/>
        <w:shd w:val="clear"/>
        <w:spacing w:line="440" w:lineRule="exact"/>
        <w:ind w:firstLine="138" w:firstLineChars="49"/>
        <w:rPr>
          <w:rFonts w:ascii="Times New Roman" w:hAnsi="Times New Roman"/>
          <w:b/>
          <w:color w:val="000000"/>
          <w:kern w:val="0"/>
          <w:sz w:val="28"/>
          <w:szCs w:val="28"/>
          <w:highlight w:val="none"/>
        </w:rPr>
      </w:pPr>
      <w:r>
        <w:rPr>
          <w:rFonts w:ascii="Times New Roman" w:hAnsi="Times New Roman"/>
          <w:b/>
          <w:color w:val="000000"/>
          <w:kern w:val="0"/>
          <w:sz w:val="28"/>
          <w:szCs w:val="28"/>
          <w:highlight w:val="none"/>
        </w:rPr>
        <w:t>4、</w:t>
      </w:r>
      <w:r>
        <w:rPr>
          <w:rFonts w:hint="eastAsia" w:ascii="Times New Roman" w:hAnsi="Times New Roman"/>
          <w:b/>
          <w:color w:val="000000"/>
          <w:kern w:val="0"/>
          <w:sz w:val="28"/>
          <w:szCs w:val="28"/>
          <w:highlight w:val="none"/>
        </w:rPr>
        <w:t>投标</w:t>
      </w:r>
      <w:r>
        <w:rPr>
          <w:rFonts w:ascii="Times New Roman" w:hAnsi="Times New Roman"/>
          <w:b/>
          <w:color w:val="000000"/>
          <w:kern w:val="0"/>
          <w:sz w:val="28"/>
          <w:szCs w:val="28"/>
          <w:highlight w:val="none"/>
        </w:rPr>
        <w:t>费用</w:t>
      </w:r>
    </w:p>
    <w:p w14:paraId="028CC5C7">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4.1</w:t>
      </w:r>
      <w:r>
        <w:rPr>
          <w:rFonts w:hint="eastAsia" w:ascii="Times New Roman" w:hAnsi="Times New Roman"/>
          <w:color w:val="000000"/>
          <w:kern w:val="0"/>
          <w:sz w:val="24"/>
          <w:szCs w:val="24"/>
          <w:highlight w:val="none"/>
        </w:rPr>
        <w:t>无论投标过程中的做法和结果如何，</w:t>
      </w:r>
      <w:r>
        <w:rPr>
          <w:rFonts w:ascii="Times New Roman" w:hAnsi="Times New Roman"/>
          <w:color w:val="000000"/>
          <w:kern w:val="0"/>
          <w:sz w:val="24"/>
          <w:szCs w:val="24"/>
          <w:highlight w:val="none"/>
        </w:rPr>
        <w:t>投标人应自行承担所有与准备和参加投标有关的</w:t>
      </w:r>
      <w:r>
        <w:rPr>
          <w:rFonts w:hint="eastAsia" w:ascii="Times New Roman" w:hAnsi="Times New Roman"/>
          <w:color w:val="000000"/>
          <w:kern w:val="0"/>
          <w:sz w:val="24"/>
          <w:szCs w:val="24"/>
          <w:highlight w:val="none"/>
        </w:rPr>
        <w:t>全部</w:t>
      </w:r>
      <w:r>
        <w:rPr>
          <w:rFonts w:ascii="Times New Roman" w:hAnsi="Times New Roman"/>
          <w:color w:val="000000"/>
          <w:kern w:val="0"/>
          <w:sz w:val="24"/>
          <w:szCs w:val="24"/>
          <w:highlight w:val="none"/>
        </w:rPr>
        <w:t>费用</w:t>
      </w:r>
      <w:r>
        <w:rPr>
          <w:rFonts w:hint="eastAsia" w:ascii="Times New Roman" w:hAnsi="Times New Roman"/>
          <w:color w:val="000000"/>
          <w:kern w:val="0"/>
          <w:sz w:val="24"/>
          <w:szCs w:val="24"/>
          <w:highlight w:val="none"/>
        </w:rPr>
        <w:t>。</w:t>
      </w:r>
    </w:p>
    <w:p w14:paraId="2583F17C">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4.2本次</w:t>
      </w:r>
      <w:r>
        <w:rPr>
          <w:rFonts w:hint="eastAsia" w:ascii="Times New Roman" w:hAnsi="Times New Roman"/>
          <w:color w:val="000000"/>
          <w:kern w:val="0"/>
          <w:sz w:val="24"/>
          <w:szCs w:val="24"/>
          <w:highlight w:val="none"/>
        </w:rPr>
        <w:t>招标采购代理机构</w:t>
      </w:r>
      <w:r>
        <w:rPr>
          <w:rFonts w:ascii="Times New Roman" w:hAnsi="Times New Roman"/>
          <w:color w:val="000000"/>
          <w:kern w:val="0"/>
          <w:sz w:val="24"/>
          <w:szCs w:val="24"/>
          <w:highlight w:val="none"/>
        </w:rPr>
        <w:t>和采购人不收取标书工本费。</w:t>
      </w:r>
    </w:p>
    <w:p w14:paraId="3A9A4506">
      <w:pPr>
        <w:shd w:val="clear"/>
        <w:spacing w:line="440" w:lineRule="exact"/>
        <w:ind w:firstLine="480"/>
        <w:rPr>
          <w:rFonts w:hint="eastAsia"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4.3本项目采购代理服务费由中标人支付，在代理机构发成交通知书时由中标人向采购代理机构一次性付清</w:t>
      </w:r>
      <w:r>
        <w:rPr>
          <w:rFonts w:hint="eastAsia" w:ascii="Times New Roman" w:hAnsi="Times New Roman"/>
          <w:color w:val="000000"/>
          <w:kern w:val="0"/>
          <w:sz w:val="24"/>
          <w:szCs w:val="24"/>
          <w:highlight w:val="none"/>
          <w:lang w:val="en-US" w:eastAsia="zh-CN"/>
        </w:rPr>
        <w:t>中标</w:t>
      </w:r>
      <w:r>
        <w:rPr>
          <w:rFonts w:hint="eastAsia" w:ascii="Times New Roman" w:hAnsi="Times New Roman"/>
          <w:color w:val="000000"/>
          <w:kern w:val="0"/>
          <w:sz w:val="24"/>
          <w:szCs w:val="24"/>
          <w:highlight w:val="none"/>
        </w:rPr>
        <w:t>服务费。中标服务费分别为：</w:t>
      </w:r>
    </w:p>
    <w:p w14:paraId="495C3401">
      <w:pPr>
        <w:shd w:val="clear"/>
        <w:spacing w:line="440" w:lineRule="exact"/>
        <w:ind w:firstLine="480"/>
        <w:rPr>
          <w:rFonts w:hint="eastAsia"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第一包：人民币</w:t>
      </w:r>
      <w:r>
        <w:rPr>
          <w:rFonts w:hint="eastAsia" w:ascii="Times New Roman" w:hAnsi="Times New Roman"/>
          <w:color w:val="000000"/>
          <w:kern w:val="0"/>
          <w:sz w:val="24"/>
          <w:szCs w:val="24"/>
          <w:highlight w:val="none"/>
          <w:lang w:val="en-US" w:eastAsia="zh-CN"/>
        </w:rPr>
        <w:t>壹万壹仟陆佰柒拾</w:t>
      </w:r>
      <w:r>
        <w:rPr>
          <w:rFonts w:hint="eastAsia" w:ascii="Times New Roman" w:hAnsi="Times New Roman"/>
          <w:color w:val="000000"/>
          <w:kern w:val="0"/>
          <w:sz w:val="24"/>
          <w:szCs w:val="24"/>
          <w:highlight w:val="none"/>
        </w:rPr>
        <w:t>元整（</w:t>
      </w:r>
      <w:r>
        <w:rPr>
          <w:rFonts w:hint="eastAsia" w:ascii="Times New Roman" w:hAnsi="Times New Roman"/>
          <w:color w:val="000000"/>
          <w:kern w:val="0"/>
          <w:sz w:val="24"/>
          <w:szCs w:val="24"/>
          <w:highlight w:val="none"/>
          <w:lang w:val="en-US" w:eastAsia="zh-CN"/>
        </w:rPr>
        <w:t>¥11670.00</w:t>
      </w:r>
      <w:r>
        <w:rPr>
          <w:rFonts w:hint="eastAsia" w:ascii="Times New Roman" w:hAnsi="Times New Roman"/>
          <w:color w:val="000000"/>
          <w:kern w:val="0"/>
          <w:sz w:val="24"/>
          <w:szCs w:val="24"/>
          <w:highlight w:val="none"/>
        </w:rPr>
        <w:t>元）；</w:t>
      </w:r>
    </w:p>
    <w:p w14:paraId="40C67098">
      <w:pPr>
        <w:shd w:val="clear"/>
        <w:spacing w:line="440" w:lineRule="exact"/>
        <w:ind w:firstLine="480"/>
        <w:rPr>
          <w:rFonts w:hint="eastAsia"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第二包：人民币</w:t>
      </w:r>
      <w:r>
        <w:rPr>
          <w:rFonts w:hint="eastAsia" w:ascii="Times New Roman" w:hAnsi="Times New Roman"/>
          <w:color w:val="000000"/>
          <w:kern w:val="0"/>
          <w:sz w:val="24"/>
          <w:szCs w:val="24"/>
          <w:highlight w:val="none"/>
          <w:lang w:val="en-US" w:eastAsia="zh-CN"/>
        </w:rPr>
        <w:t>壹万贰仟贰佰伍拾捌</w:t>
      </w:r>
      <w:r>
        <w:rPr>
          <w:rFonts w:hint="eastAsia" w:ascii="Times New Roman" w:hAnsi="Times New Roman"/>
          <w:color w:val="000000"/>
          <w:kern w:val="0"/>
          <w:sz w:val="24"/>
          <w:szCs w:val="24"/>
          <w:highlight w:val="none"/>
        </w:rPr>
        <w:t>元整（</w:t>
      </w:r>
      <w:r>
        <w:rPr>
          <w:rFonts w:hint="eastAsia" w:ascii="Times New Roman" w:hAnsi="Times New Roman"/>
          <w:color w:val="000000"/>
          <w:kern w:val="0"/>
          <w:sz w:val="24"/>
          <w:szCs w:val="24"/>
          <w:highlight w:val="none"/>
          <w:lang w:val="en-US" w:eastAsia="zh-CN"/>
        </w:rPr>
        <w:t>¥</w:t>
      </w:r>
      <w:r>
        <w:rPr>
          <w:rFonts w:hint="eastAsia" w:ascii="Times New Roman" w:hAnsi="Times New Roman"/>
          <w:color w:val="000000"/>
          <w:kern w:val="0"/>
          <w:sz w:val="24"/>
          <w:szCs w:val="24"/>
          <w:highlight w:val="none"/>
        </w:rPr>
        <w:t>1</w:t>
      </w:r>
      <w:r>
        <w:rPr>
          <w:rFonts w:hint="eastAsia" w:ascii="Times New Roman" w:hAnsi="Times New Roman"/>
          <w:color w:val="000000"/>
          <w:kern w:val="0"/>
          <w:sz w:val="24"/>
          <w:szCs w:val="24"/>
          <w:highlight w:val="none"/>
          <w:lang w:val="en-US" w:eastAsia="zh-CN"/>
        </w:rPr>
        <w:t>2258</w:t>
      </w:r>
      <w:r>
        <w:rPr>
          <w:rFonts w:hint="eastAsia" w:ascii="Times New Roman" w:hAnsi="Times New Roman"/>
          <w:color w:val="000000"/>
          <w:kern w:val="0"/>
          <w:sz w:val="24"/>
          <w:szCs w:val="24"/>
          <w:highlight w:val="none"/>
        </w:rPr>
        <w:t>.00元）；</w:t>
      </w:r>
    </w:p>
    <w:p w14:paraId="1809E000">
      <w:pPr>
        <w:shd w:val="clear"/>
        <w:spacing w:line="440" w:lineRule="exact"/>
        <w:ind w:firstLine="480"/>
        <w:rPr>
          <w:rFonts w:hint="eastAsia"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第三包：人民币</w:t>
      </w:r>
      <w:r>
        <w:rPr>
          <w:rFonts w:hint="eastAsia" w:ascii="Times New Roman" w:hAnsi="Times New Roman"/>
          <w:color w:val="000000"/>
          <w:kern w:val="0"/>
          <w:sz w:val="24"/>
          <w:szCs w:val="24"/>
          <w:highlight w:val="none"/>
          <w:lang w:val="en-US" w:eastAsia="zh-CN"/>
        </w:rPr>
        <w:t>壹万壹仟肆佰伍拾捌</w:t>
      </w:r>
      <w:r>
        <w:rPr>
          <w:rFonts w:hint="eastAsia" w:ascii="Times New Roman" w:hAnsi="Times New Roman"/>
          <w:color w:val="000000"/>
          <w:kern w:val="0"/>
          <w:sz w:val="24"/>
          <w:szCs w:val="24"/>
          <w:highlight w:val="none"/>
        </w:rPr>
        <w:t>元整（</w:t>
      </w:r>
      <w:r>
        <w:rPr>
          <w:rFonts w:hint="eastAsia" w:ascii="Times New Roman" w:hAnsi="Times New Roman"/>
          <w:color w:val="000000"/>
          <w:kern w:val="0"/>
          <w:sz w:val="24"/>
          <w:szCs w:val="24"/>
          <w:highlight w:val="none"/>
          <w:lang w:val="en-US" w:eastAsia="zh-CN"/>
        </w:rPr>
        <w:t>¥11458</w:t>
      </w:r>
      <w:r>
        <w:rPr>
          <w:rFonts w:hint="eastAsia" w:ascii="Times New Roman" w:hAnsi="Times New Roman"/>
          <w:color w:val="000000"/>
          <w:kern w:val="0"/>
          <w:sz w:val="24"/>
          <w:szCs w:val="24"/>
          <w:highlight w:val="none"/>
        </w:rPr>
        <w:t>.00元）；</w:t>
      </w:r>
    </w:p>
    <w:p w14:paraId="02111755">
      <w:pPr>
        <w:shd w:val="clear"/>
        <w:spacing w:line="440" w:lineRule="exact"/>
        <w:ind w:firstLine="480"/>
        <w:rPr>
          <w:rFonts w:hint="eastAsia"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第四包：人民币</w:t>
      </w:r>
      <w:r>
        <w:rPr>
          <w:rFonts w:hint="eastAsia" w:ascii="Times New Roman" w:hAnsi="Times New Roman"/>
          <w:color w:val="000000"/>
          <w:kern w:val="0"/>
          <w:sz w:val="24"/>
          <w:szCs w:val="24"/>
          <w:highlight w:val="none"/>
          <w:lang w:val="en-US" w:eastAsia="zh-CN"/>
        </w:rPr>
        <w:t>壹万贰仟柒佰壹拾贰</w:t>
      </w:r>
      <w:r>
        <w:rPr>
          <w:rFonts w:hint="eastAsia" w:ascii="Times New Roman" w:hAnsi="Times New Roman"/>
          <w:color w:val="000000"/>
          <w:kern w:val="0"/>
          <w:sz w:val="24"/>
          <w:szCs w:val="24"/>
          <w:highlight w:val="none"/>
        </w:rPr>
        <w:t>元整（</w:t>
      </w:r>
      <w:r>
        <w:rPr>
          <w:rFonts w:hint="eastAsia" w:ascii="Times New Roman" w:hAnsi="Times New Roman"/>
          <w:color w:val="000000"/>
          <w:kern w:val="0"/>
          <w:sz w:val="24"/>
          <w:szCs w:val="24"/>
          <w:highlight w:val="none"/>
          <w:lang w:val="en-US" w:eastAsia="zh-CN"/>
        </w:rPr>
        <w:t>¥</w:t>
      </w:r>
      <w:r>
        <w:rPr>
          <w:rFonts w:hint="eastAsia" w:ascii="Times New Roman" w:hAnsi="Times New Roman"/>
          <w:color w:val="000000"/>
          <w:kern w:val="0"/>
          <w:sz w:val="24"/>
          <w:szCs w:val="24"/>
          <w:highlight w:val="none"/>
        </w:rPr>
        <w:t>1</w:t>
      </w:r>
      <w:r>
        <w:rPr>
          <w:rFonts w:hint="eastAsia" w:ascii="Times New Roman" w:hAnsi="Times New Roman"/>
          <w:color w:val="000000"/>
          <w:kern w:val="0"/>
          <w:sz w:val="24"/>
          <w:szCs w:val="24"/>
          <w:highlight w:val="none"/>
          <w:lang w:val="en-US" w:eastAsia="zh-CN"/>
        </w:rPr>
        <w:t>2712</w:t>
      </w:r>
      <w:r>
        <w:rPr>
          <w:rFonts w:hint="eastAsia" w:ascii="Times New Roman" w:hAnsi="Times New Roman"/>
          <w:color w:val="000000"/>
          <w:kern w:val="0"/>
          <w:sz w:val="24"/>
          <w:szCs w:val="24"/>
          <w:highlight w:val="none"/>
        </w:rPr>
        <w:t>.00元）。</w:t>
      </w:r>
    </w:p>
    <w:p w14:paraId="313207DF">
      <w:pPr>
        <w:keepNext/>
        <w:keepLines/>
        <w:shd w:val="clear"/>
        <w:spacing w:line="440" w:lineRule="exact"/>
        <w:ind w:firstLine="138" w:firstLineChars="49"/>
        <w:rPr>
          <w:rFonts w:ascii="Times New Roman" w:hAnsi="Times New Roman"/>
          <w:b/>
          <w:color w:val="000000"/>
          <w:kern w:val="0"/>
          <w:sz w:val="28"/>
          <w:szCs w:val="28"/>
          <w:highlight w:val="none"/>
        </w:rPr>
      </w:pPr>
      <w:r>
        <w:rPr>
          <w:rFonts w:ascii="Times New Roman" w:hAnsi="Times New Roman"/>
          <w:b/>
          <w:color w:val="000000"/>
          <w:kern w:val="0"/>
          <w:sz w:val="28"/>
          <w:szCs w:val="28"/>
          <w:highlight w:val="none"/>
        </w:rPr>
        <w:t>5、</w:t>
      </w:r>
      <w:r>
        <w:rPr>
          <w:rFonts w:hint="eastAsia" w:ascii="Times New Roman" w:hAnsi="Times New Roman"/>
          <w:b/>
          <w:color w:val="000000"/>
          <w:kern w:val="0"/>
          <w:sz w:val="28"/>
          <w:szCs w:val="28"/>
          <w:highlight w:val="none"/>
        </w:rPr>
        <w:t>招标文件</w:t>
      </w:r>
      <w:r>
        <w:rPr>
          <w:rFonts w:ascii="Times New Roman" w:hAnsi="Times New Roman"/>
          <w:b/>
          <w:color w:val="000000"/>
          <w:kern w:val="0"/>
          <w:sz w:val="28"/>
          <w:szCs w:val="28"/>
          <w:highlight w:val="none"/>
        </w:rPr>
        <w:t>的约束力</w:t>
      </w:r>
    </w:p>
    <w:p w14:paraId="11F427F3">
      <w:pPr>
        <w:shd w:val="clear"/>
        <w:spacing w:line="440" w:lineRule="exact"/>
        <w:ind w:firstLine="480"/>
        <w:rPr>
          <w:rFonts w:hint="eastAsia" w:ascii="宋体" w:hAnsi="宋体"/>
          <w:color w:val="000000"/>
          <w:sz w:val="24"/>
          <w:szCs w:val="24"/>
          <w:highlight w:val="none"/>
        </w:rPr>
      </w:pPr>
      <w:r>
        <w:rPr>
          <w:rFonts w:ascii="Times New Roman" w:hAnsi="Times New Roman"/>
          <w:color w:val="000000"/>
          <w:kern w:val="0"/>
          <w:sz w:val="24"/>
          <w:szCs w:val="24"/>
          <w:highlight w:val="none"/>
        </w:rPr>
        <w:t>5.1</w:t>
      </w:r>
      <w:r>
        <w:rPr>
          <w:rFonts w:hint="eastAsia" w:ascii="宋体" w:hAnsi="宋体"/>
          <w:color w:val="000000"/>
          <w:sz w:val="24"/>
          <w:szCs w:val="24"/>
          <w:highlight w:val="none"/>
        </w:rPr>
        <w:t>投标人一旦参加本项目采购活动，即被认为接受了本招标文件的规定和约束。</w:t>
      </w:r>
    </w:p>
    <w:p w14:paraId="11B96057">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32" w:name="_Toc5354"/>
      <w:bookmarkStart w:id="33" w:name="_Toc5867"/>
      <w:bookmarkStart w:id="34" w:name="_Toc24886"/>
      <w:bookmarkStart w:id="35" w:name="_Toc15419"/>
      <w:bookmarkStart w:id="36" w:name="_Toc11533"/>
      <w:bookmarkStart w:id="37" w:name="_Toc3850"/>
      <w:bookmarkStart w:id="38" w:name="_Toc13416"/>
      <w:bookmarkStart w:id="39" w:name="_Toc11314"/>
      <w:bookmarkStart w:id="40" w:name="_Toc2267"/>
      <w:bookmarkStart w:id="41" w:name="_Toc26221"/>
      <w:bookmarkStart w:id="42" w:name="_Toc20302"/>
      <w:bookmarkStart w:id="43" w:name="_Toc10408"/>
      <w:r>
        <w:rPr>
          <w:rFonts w:ascii="Times New Roman" w:hAnsi="Times New Roman"/>
          <w:b/>
          <w:bCs/>
          <w:color w:val="000000"/>
          <w:sz w:val="32"/>
          <w:szCs w:val="32"/>
          <w:highlight w:val="none"/>
        </w:rPr>
        <w:t>二、</w:t>
      </w:r>
      <w:bookmarkEnd w:id="32"/>
      <w:bookmarkEnd w:id="33"/>
      <w:bookmarkEnd w:id="34"/>
      <w:bookmarkEnd w:id="35"/>
      <w:bookmarkEnd w:id="36"/>
      <w:bookmarkEnd w:id="37"/>
      <w:r>
        <w:rPr>
          <w:rFonts w:hint="eastAsia" w:ascii="Times New Roman" w:hAnsi="Times New Roman"/>
          <w:b/>
          <w:bCs/>
          <w:color w:val="000000"/>
          <w:sz w:val="32"/>
          <w:szCs w:val="32"/>
          <w:highlight w:val="none"/>
        </w:rPr>
        <w:t>招标文件</w:t>
      </w:r>
      <w:bookmarkEnd w:id="38"/>
      <w:bookmarkEnd w:id="39"/>
      <w:bookmarkEnd w:id="40"/>
      <w:bookmarkEnd w:id="41"/>
      <w:bookmarkEnd w:id="42"/>
      <w:bookmarkEnd w:id="43"/>
    </w:p>
    <w:p w14:paraId="358CD36B">
      <w:pPr>
        <w:keepNext/>
        <w:keepLines/>
        <w:shd w:val="clear"/>
        <w:spacing w:line="440" w:lineRule="exact"/>
        <w:ind w:firstLine="138" w:firstLineChars="49"/>
        <w:rPr>
          <w:rFonts w:ascii="Times New Roman" w:hAnsi="Times New Roman"/>
          <w:b/>
          <w:color w:val="000000"/>
          <w:kern w:val="0"/>
          <w:sz w:val="28"/>
          <w:szCs w:val="28"/>
          <w:highlight w:val="none"/>
        </w:rPr>
      </w:pPr>
      <w:r>
        <w:rPr>
          <w:rFonts w:ascii="Times New Roman" w:hAnsi="Times New Roman"/>
          <w:b/>
          <w:color w:val="000000"/>
          <w:kern w:val="0"/>
          <w:sz w:val="28"/>
          <w:szCs w:val="28"/>
          <w:highlight w:val="none"/>
        </w:rPr>
        <w:t>6、</w:t>
      </w:r>
      <w:r>
        <w:rPr>
          <w:rFonts w:hint="eastAsia" w:ascii="Times New Roman" w:hAnsi="Times New Roman"/>
          <w:b/>
          <w:color w:val="000000"/>
          <w:kern w:val="0"/>
          <w:sz w:val="28"/>
          <w:szCs w:val="28"/>
          <w:highlight w:val="none"/>
        </w:rPr>
        <w:t>招标文件</w:t>
      </w:r>
      <w:r>
        <w:rPr>
          <w:rFonts w:ascii="Times New Roman" w:hAnsi="Times New Roman"/>
          <w:b/>
          <w:color w:val="000000"/>
          <w:kern w:val="0"/>
          <w:sz w:val="28"/>
          <w:szCs w:val="28"/>
          <w:highlight w:val="none"/>
        </w:rPr>
        <w:t>构成</w:t>
      </w:r>
    </w:p>
    <w:p w14:paraId="27350A7D">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6.1</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由以下部分组成：</w:t>
      </w:r>
    </w:p>
    <w:p w14:paraId="419BB8B2">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（1）投标邀请</w:t>
      </w:r>
    </w:p>
    <w:p w14:paraId="2DA1E4EF">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（2）投标人须知</w:t>
      </w:r>
    </w:p>
    <w:p w14:paraId="6163AA1E">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（3）合同文本</w:t>
      </w:r>
    </w:p>
    <w:p w14:paraId="32C7F8F5">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（4）采购需求</w:t>
      </w:r>
    </w:p>
    <w:p w14:paraId="62BF1C67">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（5）评标方法与评标标准</w:t>
      </w:r>
    </w:p>
    <w:p w14:paraId="1C8C4164">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（6）投标文件格式</w:t>
      </w:r>
    </w:p>
    <w:p w14:paraId="6C9FA1CE">
      <w:pPr>
        <w:shd w:val="clear"/>
        <w:spacing w:line="440" w:lineRule="exact"/>
        <w:ind w:firstLine="787" w:firstLineChars="328"/>
        <w:rPr>
          <w:rFonts w:ascii="Times New Roman" w:hAnsi="Times New Roman"/>
          <w:kern w:val="0"/>
          <w:sz w:val="24"/>
          <w:szCs w:val="24"/>
          <w:highlight w:val="none"/>
        </w:rPr>
      </w:pPr>
      <w:r>
        <w:rPr>
          <w:rFonts w:ascii="Times New Roman" w:hAnsi="Times New Roman"/>
          <w:color w:val="000000"/>
          <w:kern w:val="0"/>
          <w:sz w:val="24"/>
          <w:szCs w:val="24"/>
          <w:highlight w:val="none"/>
        </w:rPr>
        <w:t>请仔细检查</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是否齐全，如有缺漏请立即与代理机构联系解决。</w:t>
      </w:r>
    </w:p>
    <w:p w14:paraId="497E74CB">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350128A">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6.3 招标文件及其更正事项如不是直接从指定媒体地址下载获得的，采购人或代理机构对招标文件及其补遗的真实性、完整性不承担任何责任。</w:t>
      </w:r>
    </w:p>
    <w:p w14:paraId="319C25FB">
      <w:pPr>
        <w:keepNext/>
        <w:keepLines/>
        <w:shd w:val="clear"/>
        <w:spacing w:line="440" w:lineRule="exact"/>
        <w:ind w:firstLine="138" w:firstLineChars="49"/>
        <w:rPr>
          <w:rFonts w:ascii="Times New Roman" w:hAnsi="Times New Roman"/>
          <w:b/>
          <w:color w:val="000000"/>
          <w:kern w:val="0"/>
          <w:sz w:val="28"/>
          <w:szCs w:val="28"/>
          <w:highlight w:val="none"/>
        </w:rPr>
      </w:pPr>
      <w:r>
        <w:rPr>
          <w:rFonts w:ascii="Times New Roman" w:hAnsi="Times New Roman"/>
          <w:b/>
          <w:color w:val="000000"/>
          <w:kern w:val="0"/>
          <w:sz w:val="28"/>
          <w:szCs w:val="28"/>
          <w:highlight w:val="none"/>
        </w:rPr>
        <w:t>7、</w:t>
      </w:r>
      <w:r>
        <w:rPr>
          <w:rFonts w:hint="eastAsia" w:ascii="Times New Roman" w:hAnsi="Times New Roman"/>
          <w:b/>
          <w:color w:val="000000"/>
          <w:kern w:val="0"/>
          <w:sz w:val="28"/>
          <w:szCs w:val="28"/>
          <w:highlight w:val="none"/>
        </w:rPr>
        <w:t>招标文件</w:t>
      </w:r>
      <w:r>
        <w:rPr>
          <w:rFonts w:ascii="Times New Roman" w:hAnsi="Times New Roman"/>
          <w:b/>
          <w:color w:val="000000"/>
          <w:kern w:val="0"/>
          <w:sz w:val="28"/>
          <w:szCs w:val="28"/>
          <w:highlight w:val="none"/>
        </w:rPr>
        <w:t>的澄清</w:t>
      </w:r>
      <w:r>
        <w:rPr>
          <w:rFonts w:hint="eastAsia" w:ascii="Times New Roman" w:hAnsi="Times New Roman"/>
          <w:b/>
          <w:color w:val="000000"/>
          <w:kern w:val="0"/>
          <w:sz w:val="28"/>
          <w:szCs w:val="28"/>
          <w:highlight w:val="none"/>
        </w:rPr>
        <w:t>、修改</w:t>
      </w:r>
    </w:p>
    <w:p w14:paraId="5B0182E8">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7</w:t>
      </w:r>
      <w:r>
        <w:rPr>
          <w:rFonts w:hint="eastAsia" w:ascii="Times New Roman" w:hAnsi="Times New Roman"/>
          <w:color w:val="000000"/>
          <w:kern w:val="0"/>
          <w:sz w:val="24"/>
          <w:szCs w:val="24"/>
          <w:highlight w:val="none"/>
        </w:rPr>
        <w:t>.1</w:t>
      </w:r>
      <w:bookmarkStart w:id="44" w:name="_Toc19823"/>
      <w:bookmarkStart w:id="45" w:name="_Toc20364"/>
      <w:bookmarkStart w:id="46" w:name="_Toc9687"/>
      <w:bookmarkStart w:id="47" w:name="_Toc18617"/>
      <w:bookmarkStart w:id="48" w:name="_Toc20675"/>
      <w:bookmarkStart w:id="49" w:name="_Toc25813"/>
      <w:r>
        <w:rPr>
          <w:rFonts w:hint="eastAsia" w:ascii="Times New Roman" w:hAnsi="Times New Roman"/>
          <w:color w:val="000000"/>
          <w:kern w:val="0"/>
          <w:sz w:val="24"/>
          <w:szCs w:val="24"/>
          <w:highlight w:val="none"/>
        </w:rPr>
        <w:t>出于实际需要或澄清投标人问题的情况下，代理机构可对已发出的招标文件进行必要的澄清或者修改，并将在指定媒体上发布。各投标人应在投标截止时间前关注苏州市政府采购网“补充通知”栏，按规定获取相关信息内容，否则其投标风险由投标人承担。</w:t>
      </w:r>
    </w:p>
    <w:p w14:paraId="44567DB3">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7.2 代理机构有权按照法定的要求顺延投标截止时间和开标时间。</w:t>
      </w:r>
    </w:p>
    <w:p w14:paraId="443F23C2">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7.3 有关澄清或者修改的内容将作为招标文件的组成部分，对所有投标人具有约束力。</w:t>
      </w:r>
    </w:p>
    <w:p w14:paraId="7ACBFF44">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50" w:name="_Toc23549"/>
      <w:bookmarkStart w:id="51" w:name="_Toc13966"/>
      <w:bookmarkStart w:id="52" w:name="_Toc17185"/>
      <w:bookmarkStart w:id="53" w:name="_Toc8359"/>
      <w:bookmarkStart w:id="54" w:name="_Toc8969"/>
      <w:bookmarkStart w:id="55" w:name="_Toc31086"/>
      <w:r>
        <w:rPr>
          <w:rFonts w:ascii="Times New Roman" w:hAnsi="Times New Roman"/>
          <w:b/>
          <w:bCs/>
          <w:color w:val="000000"/>
          <w:sz w:val="32"/>
          <w:szCs w:val="32"/>
          <w:highlight w:val="none"/>
        </w:rPr>
        <w:t>三、</w:t>
      </w:r>
      <w:r>
        <w:rPr>
          <w:rFonts w:hint="eastAsia" w:ascii="Times New Roman" w:hAnsi="Times New Roman"/>
          <w:b/>
          <w:bCs/>
          <w:color w:val="000000"/>
          <w:sz w:val="32"/>
          <w:szCs w:val="32"/>
          <w:highlight w:val="none"/>
        </w:rPr>
        <w:t>投标文件</w:t>
      </w:r>
      <w:r>
        <w:rPr>
          <w:rFonts w:ascii="Times New Roman" w:hAnsi="Times New Roman"/>
          <w:b/>
          <w:bCs/>
          <w:color w:val="000000"/>
          <w:sz w:val="32"/>
          <w:szCs w:val="32"/>
          <w:highlight w:val="none"/>
        </w:rPr>
        <w:t>的编制</w:t>
      </w:r>
      <w:bookmarkEnd w:id="44"/>
      <w:bookmarkEnd w:id="45"/>
      <w:bookmarkEnd w:id="46"/>
      <w:bookmarkEnd w:id="47"/>
      <w:bookmarkEnd w:id="48"/>
      <w:bookmarkEnd w:id="49"/>
      <w:bookmarkEnd w:id="50"/>
      <w:bookmarkEnd w:id="51"/>
      <w:bookmarkEnd w:id="52"/>
      <w:bookmarkEnd w:id="53"/>
      <w:bookmarkEnd w:id="54"/>
      <w:bookmarkEnd w:id="55"/>
    </w:p>
    <w:p w14:paraId="4C596009">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8</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投标文件</w:t>
      </w:r>
      <w:r>
        <w:rPr>
          <w:rFonts w:ascii="Times New Roman" w:hAnsi="Times New Roman"/>
          <w:b/>
          <w:color w:val="000000"/>
          <w:kern w:val="0"/>
          <w:sz w:val="28"/>
          <w:szCs w:val="28"/>
          <w:highlight w:val="none"/>
        </w:rPr>
        <w:t>的语言及度量衡单位</w:t>
      </w:r>
    </w:p>
    <w:p w14:paraId="6DB93AA9">
      <w:pPr>
        <w:shd w:val="clear"/>
        <w:spacing w:line="440" w:lineRule="exact"/>
        <w:ind w:firstLine="480"/>
        <w:rPr>
          <w:rFonts w:ascii="Times New Roman" w:hAnsi="Times New Roman"/>
          <w:kern w:val="0"/>
          <w:sz w:val="24"/>
          <w:szCs w:val="24"/>
          <w:highlight w:val="none"/>
        </w:rPr>
      </w:pPr>
      <w:r>
        <w:rPr>
          <w:rFonts w:hint="eastAsia" w:ascii="Times New Roman" w:hAnsi="Times New Roman"/>
          <w:color w:val="000000"/>
          <w:kern w:val="0"/>
          <w:sz w:val="24"/>
          <w:szCs w:val="24"/>
          <w:highlight w:val="none"/>
        </w:rPr>
        <w:t>8</w:t>
      </w:r>
      <w:r>
        <w:rPr>
          <w:rFonts w:ascii="Times New Roman" w:hAnsi="Times New Roman"/>
          <w:color w:val="000000"/>
          <w:kern w:val="0"/>
          <w:sz w:val="24"/>
          <w:szCs w:val="24"/>
          <w:highlight w:val="none"/>
        </w:rPr>
        <w:t>.1</w:t>
      </w:r>
      <w:r>
        <w:rPr>
          <w:rFonts w:hint="eastAsia" w:ascii="Times New Roman" w:hAnsi="Times New Roman"/>
          <w:color w:val="000000"/>
          <w:kern w:val="0"/>
          <w:sz w:val="24"/>
          <w:szCs w:val="24"/>
          <w:highlight w:val="none"/>
        </w:rPr>
        <w:t>投标人提交的投标文件以及投标人与代理机构就有关投标的所有来往通知、函件和文件均应使用</w:t>
      </w:r>
      <w:r>
        <w:rPr>
          <w:rFonts w:hint="eastAsia" w:ascii="Times New Roman" w:hAnsi="Times New Roman"/>
          <w:b/>
          <w:bCs/>
          <w:color w:val="000000"/>
          <w:kern w:val="0"/>
          <w:sz w:val="24"/>
          <w:szCs w:val="24"/>
          <w:highlight w:val="none"/>
        </w:rPr>
        <w:t>简体中文</w:t>
      </w:r>
      <w:r>
        <w:rPr>
          <w:rFonts w:hint="eastAsia" w:ascii="Times New Roman" w:hAnsi="Times New Roman"/>
          <w:color w:val="000000"/>
          <w:kern w:val="0"/>
          <w:sz w:val="24"/>
          <w:szCs w:val="24"/>
          <w:highlight w:val="none"/>
        </w:rPr>
        <w:t>。</w:t>
      </w:r>
    </w:p>
    <w:p w14:paraId="4B17CAD7">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8</w:t>
      </w:r>
      <w:r>
        <w:rPr>
          <w:rFonts w:ascii="Times New Roman" w:hAnsi="Times New Roman"/>
          <w:color w:val="000000"/>
          <w:kern w:val="0"/>
          <w:sz w:val="24"/>
          <w:szCs w:val="24"/>
          <w:highlight w:val="none"/>
        </w:rPr>
        <w:t>.2除技术性能另有规定外，</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所使用的度量衡单位，均须采用国家法定计量单位。</w:t>
      </w:r>
    </w:p>
    <w:p w14:paraId="2040579B">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9</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投标文件</w:t>
      </w:r>
      <w:r>
        <w:rPr>
          <w:rFonts w:ascii="Times New Roman" w:hAnsi="Times New Roman"/>
          <w:b/>
          <w:color w:val="000000"/>
          <w:kern w:val="0"/>
          <w:sz w:val="28"/>
          <w:szCs w:val="28"/>
          <w:highlight w:val="none"/>
        </w:rPr>
        <w:t>构成</w:t>
      </w:r>
    </w:p>
    <w:p w14:paraId="7263D7BF">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9.1投标人编写的投标文件应包括资格证明文件、开标一览表、</w:t>
      </w:r>
      <w:r>
        <w:rPr>
          <w:rFonts w:hint="eastAsia" w:ascii="Times New Roman" w:hAnsi="Times New Roman"/>
          <w:color w:val="000000"/>
          <w:kern w:val="0"/>
          <w:sz w:val="24"/>
          <w:szCs w:val="24"/>
          <w:highlight w:val="none"/>
          <w:lang w:eastAsia="zh-CN"/>
        </w:rPr>
        <w:t>报价明细表、投入要素明细表</w:t>
      </w:r>
      <w:r>
        <w:rPr>
          <w:rFonts w:hint="eastAsia" w:ascii="Times New Roman" w:hAnsi="Times New Roman"/>
          <w:color w:val="000000"/>
          <w:kern w:val="0"/>
          <w:sz w:val="24"/>
          <w:szCs w:val="24"/>
          <w:highlight w:val="none"/>
        </w:rPr>
        <w:t>、投标函、技术（或商务）要求响应及偏离表、详细配置表、项目实施方案、其他证明文件等部分。</w:t>
      </w:r>
    </w:p>
    <w:p w14:paraId="7B3DE4D9">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9.2 如标书制作工具中格式和内容与指定媒体发布的招标文件不一致，请以指定媒体发布的招标文件为准。</w:t>
      </w:r>
    </w:p>
    <w:p w14:paraId="0621F229">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10、证明投标人及投标标的符合招标文件规定的文件</w:t>
      </w:r>
    </w:p>
    <w:p w14:paraId="071ADAF2">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10.1 投标人应按照招标文件要求提交证明文件，证明其及投标标的符合招标文件规定。</w:t>
      </w:r>
    </w:p>
    <w:p w14:paraId="2DD8DEE9">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10.2招标文件对证明文件无明确形式要求的，证明文件可以以文字资料、图纸和数据等形式提交。</w:t>
      </w:r>
    </w:p>
    <w:p w14:paraId="7ABD446F">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11、投标函和开标一览表</w:t>
      </w:r>
    </w:p>
    <w:p w14:paraId="7C718162">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11.1投标人应按照招标文件中提供的格式完整、正确填写投标函、开标一览表。</w:t>
      </w:r>
    </w:p>
    <w:p w14:paraId="1AB4E4E1">
      <w:pPr>
        <w:keepNext/>
        <w:keepLines/>
        <w:shd w:val="clear"/>
        <w:spacing w:line="440" w:lineRule="exact"/>
        <w:ind w:firstLine="138" w:firstLineChars="49"/>
        <w:rPr>
          <w:rFonts w:hint="eastAsia" w:ascii="Times New Roman" w:hAnsi="Times New Roman" w:eastAsia="宋体"/>
          <w:b/>
          <w:color w:val="000000"/>
          <w:kern w:val="0"/>
          <w:sz w:val="28"/>
          <w:szCs w:val="28"/>
          <w:highlight w:val="none"/>
          <w:lang w:eastAsia="zh-CN"/>
        </w:rPr>
      </w:pPr>
      <w:r>
        <w:rPr>
          <w:rFonts w:ascii="Times New Roman" w:hAnsi="Times New Roman"/>
          <w:b/>
          <w:color w:val="000000"/>
          <w:kern w:val="0"/>
          <w:sz w:val="28"/>
          <w:szCs w:val="28"/>
          <w:highlight w:val="none"/>
        </w:rPr>
        <w:t>12</w:t>
      </w:r>
      <w:r>
        <w:rPr>
          <w:rFonts w:hint="eastAsia"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lang w:eastAsia="zh-CN"/>
        </w:rPr>
        <w:t>报价明细表、投入要素明细表</w:t>
      </w:r>
    </w:p>
    <w:p w14:paraId="60F6B605">
      <w:pPr>
        <w:shd w:val="clear"/>
        <w:spacing w:line="500" w:lineRule="exact"/>
        <w:ind w:firstLine="480"/>
        <w:rPr>
          <w:rFonts w:ascii="宋体" w:hAnsi="宋体"/>
          <w:bCs/>
          <w:color w:val="000000"/>
          <w:sz w:val="24"/>
          <w:szCs w:val="21"/>
          <w:highlight w:val="none"/>
        </w:rPr>
      </w:pPr>
      <w:r>
        <w:rPr>
          <w:rFonts w:hint="eastAsia" w:ascii="Times New Roman" w:hAnsi="Times New Roman"/>
          <w:color w:val="000000"/>
          <w:kern w:val="0"/>
          <w:sz w:val="24"/>
          <w:szCs w:val="24"/>
          <w:highlight w:val="none"/>
        </w:rPr>
        <w:t>12.1</w:t>
      </w:r>
      <w:r>
        <w:rPr>
          <w:rFonts w:hint="eastAsia" w:ascii="宋体" w:hAnsi="宋体"/>
          <w:color w:val="000000"/>
          <w:sz w:val="24"/>
          <w:szCs w:val="21"/>
          <w:highlight w:val="none"/>
        </w:rPr>
        <w:t>投标人应按照招标文件规定格式填报</w:t>
      </w:r>
      <w:r>
        <w:rPr>
          <w:rFonts w:hint="eastAsia" w:ascii="宋体" w:hAnsi="宋体"/>
          <w:color w:val="000000"/>
          <w:sz w:val="24"/>
          <w:szCs w:val="21"/>
          <w:highlight w:val="none"/>
          <w:lang w:eastAsia="zh-CN"/>
        </w:rPr>
        <w:t>报价明细表、投入要素明细表</w:t>
      </w:r>
      <w:r>
        <w:rPr>
          <w:rFonts w:hint="eastAsia" w:ascii="宋体" w:hAnsi="宋体"/>
          <w:color w:val="000000"/>
          <w:sz w:val="24"/>
          <w:szCs w:val="21"/>
          <w:highlight w:val="none"/>
        </w:rPr>
        <w:t>。</w:t>
      </w:r>
    </w:p>
    <w:p w14:paraId="68F03D61">
      <w:pPr>
        <w:shd w:val="clear"/>
        <w:spacing w:line="500" w:lineRule="exact"/>
        <w:ind w:firstLine="480"/>
        <w:rPr>
          <w:rFonts w:ascii="Times New Roman" w:hAnsi="Times New Roman"/>
          <w:color w:val="000000"/>
          <w:kern w:val="0"/>
          <w:sz w:val="24"/>
          <w:szCs w:val="24"/>
          <w:highlight w:val="none"/>
        </w:rPr>
      </w:pPr>
      <w:r>
        <w:rPr>
          <w:rFonts w:hint="eastAsia" w:ascii="Times New Roman" w:hAnsi="Times New Roman"/>
          <w:sz w:val="24"/>
          <w:szCs w:val="24"/>
          <w:highlight w:val="none"/>
        </w:rPr>
        <w:t>1</w:t>
      </w:r>
      <w:r>
        <w:rPr>
          <w:rFonts w:ascii="Times New Roman" w:hAnsi="Times New Roman"/>
          <w:sz w:val="24"/>
          <w:szCs w:val="24"/>
          <w:highlight w:val="none"/>
        </w:rPr>
        <w:t>2.</w:t>
      </w:r>
      <w:r>
        <w:rPr>
          <w:rFonts w:hint="eastAsia" w:ascii="Times New Roman" w:hAnsi="Times New Roman"/>
          <w:sz w:val="24"/>
          <w:szCs w:val="24"/>
          <w:highlight w:val="none"/>
        </w:rPr>
        <w:t>2</w:t>
      </w:r>
      <w:r>
        <w:rPr>
          <w:rFonts w:ascii="宋体" w:hAnsi="宋体"/>
          <w:color w:val="000000"/>
          <w:sz w:val="24"/>
          <w:szCs w:val="21"/>
          <w:highlight w:val="none"/>
        </w:rPr>
        <w:t xml:space="preserve"> </w:t>
      </w:r>
      <w:r>
        <w:rPr>
          <w:rFonts w:hint="eastAsia" w:ascii="宋体" w:hAnsi="宋体"/>
          <w:bCs/>
          <w:color w:val="000000"/>
          <w:sz w:val="24"/>
          <w:szCs w:val="21"/>
          <w:highlight w:val="none"/>
        </w:rPr>
        <w:t>投标货币。投标文件中的单价和总价无特殊规定的采用人民币报价，以元为单位标注。</w:t>
      </w:r>
      <w:r>
        <w:rPr>
          <w:rFonts w:hint="eastAsia" w:ascii="宋体" w:hAnsi="宋体"/>
          <w:color w:val="000000"/>
          <w:sz w:val="24"/>
          <w:szCs w:val="21"/>
          <w:highlight w:val="none"/>
        </w:rPr>
        <w:t>招标文件中另有规定的按规定执行。</w:t>
      </w:r>
    </w:p>
    <w:p w14:paraId="3553CD72">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13</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服务、商务要求响应及偏离表</w:t>
      </w:r>
    </w:p>
    <w:p w14:paraId="54CBE2EC">
      <w:pPr>
        <w:shd w:val="clear"/>
        <w:spacing w:line="500" w:lineRule="exact"/>
        <w:ind w:firstLine="480"/>
        <w:rPr>
          <w:rFonts w:ascii="宋体" w:hAnsi="Arial" w:cs="宋体"/>
          <w:color w:val="000000"/>
          <w:sz w:val="24"/>
          <w:szCs w:val="21"/>
          <w:highlight w:val="none"/>
          <w:lang w:val="zh-CN"/>
        </w:rPr>
      </w:pPr>
      <w:r>
        <w:rPr>
          <w:rFonts w:hint="eastAsia" w:ascii="Times New Roman" w:hAnsi="Times New Roman"/>
          <w:color w:val="000000"/>
          <w:kern w:val="0"/>
          <w:sz w:val="24"/>
          <w:szCs w:val="24"/>
          <w:highlight w:val="none"/>
        </w:rPr>
        <w:t>13.1</w:t>
      </w:r>
      <w:r>
        <w:rPr>
          <w:rFonts w:hint="eastAsia" w:ascii="宋体" w:hAnsi="Arial" w:cs="宋体"/>
          <w:color w:val="000000"/>
          <w:sz w:val="24"/>
          <w:szCs w:val="21"/>
          <w:highlight w:val="none"/>
          <w:lang w:val="zh-CN"/>
        </w:rPr>
        <w:t>投标人需对招标文件中的服务要求与商务要求逐项作出响应或偏离，并说明原因。</w:t>
      </w:r>
    </w:p>
    <w:p w14:paraId="51CC7FBD">
      <w:pPr>
        <w:shd w:val="clear"/>
        <w:spacing w:line="500" w:lineRule="exact"/>
        <w:ind w:firstLine="480"/>
        <w:rPr>
          <w:rFonts w:ascii="宋体" w:hAnsi="Arial" w:cs="宋体"/>
          <w:sz w:val="24"/>
          <w:highlight w:val="none"/>
          <w:lang w:val="zh-CN"/>
        </w:rPr>
      </w:pPr>
      <w:r>
        <w:rPr>
          <w:rFonts w:hint="eastAsia" w:ascii="Times New Roman" w:hAnsi="Times New Roman"/>
          <w:sz w:val="24"/>
          <w:szCs w:val="24"/>
          <w:highlight w:val="none"/>
        </w:rPr>
        <w:t>1</w:t>
      </w:r>
      <w:r>
        <w:rPr>
          <w:rFonts w:ascii="Times New Roman" w:hAnsi="Times New Roman"/>
          <w:sz w:val="24"/>
          <w:szCs w:val="24"/>
          <w:highlight w:val="none"/>
        </w:rPr>
        <w:t>3</w:t>
      </w:r>
      <w:r>
        <w:rPr>
          <w:rFonts w:hint="eastAsia" w:ascii="Times New Roman" w:hAnsi="Times New Roman"/>
          <w:sz w:val="24"/>
          <w:szCs w:val="24"/>
          <w:highlight w:val="none"/>
        </w:rPr>
        <w:t>.2</w:t>
      </w:r>
      <w:r>
        <w:rPr>
          <w:rFonts w:hint="eastAsia" w:ascii="宋体" w:hAnsi="Arial" w:cs="宋体"/>
          <w:color w:val="000000"/>
          <w:sz w:val="24"/>
          <w:szCs w:val="21"/>
          <w:highlight w:val="none"/>
          <w:lang w:val="zh-CN"/>
        </w:rPr>
        <w:t xml:space="preserve"> </w:t>
      </w:r>
      <w:r>
        <w:rPr>
          <w:rFonts w:hint="eastAsia" w:ascii="宋体" w:hAnsi="Arial" w:cs="宋体"/>
          <w:sz w:val="24"/>
          <w:highlight w:val="none"/>
          <w:lang w:val="zh-CN"/>
        </w:rPr>
        <w:t>投标人需按照招标文件要求，在投标文件中提供与服务要求和商务要求相关的证明材料。（如有）</w:t>
      </w:r>
    </w:p>
    <w:p w14:paraId="418ED627">
      <w:pPr>
        <w:keepNext/>
        <w:keepLines/>
        <w:spacing w:line="440" w:lineRule="exact"/>
        <w:ind w:firstLine="141" w:firstLineChars="50"/>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14、项目服务说明、项目组人员一览表、设备配备一览表</w:t>
      </w:r>
      <w:r>
        <w:rPr>
          <w:rFonts w:hint="eastAsia" w:ascii="Times New Roman" w:hAnsi="Times New Roman"/>
          <w:b/>
          <w:color w:val="000000"/>
          <w:kern w:val="0"/>
          <w:sz w:val="28"/>
          <w:szCs w:val="28"/>
          <w:highlight w:val="none"/>
          <w:lang w:eastAsia="zh-CN"/>
        </w:rPr>
        <w:t>、</w:t>
      </w:r>
      <w:r>
        <w:rPr>
          <w:rFonts w:hint="eastAsia" w:ascii="Times New Roman" w:hAnsi="Times New Roman"/>
          <w:b/>
          <w:color w:val="000000"/>
          <w:kern w:val="0"/>
          <w:sz w:val="28"/>
          <w:szCs w:val="28"/>
          <w:highlight w:val="none"/>
        </w:rPr>
        <w:t>业绩情况</w:t>
      </w:r>
    </w:p>
    <w:p w14:paraId="2CC2C113">
      <w:pPr>
        <w:spacing w:line="500" w:lineRule="exact"/>
        <w:ind w:firstLine="480"/>
        <w:rPr>
          <w:rFonts w:ascii="Times New Roman" w:hAnsi="Times New Roman"/>
          <w:sz w:val="24"/>
          <w:szCs w:val="24"/>
        </w:rPr>
      </w:pPr>
      <w:r>
        <w:rPr>
          <w:rFonts w:hint="eastAsia" w:ascii="Times New Roman" w:hAnsi="Times New Roman"/>
          <w:sz w:val="24"/>
          <w:szCs w:val="24"/>
        </w:rPr>
        <w:t>14.1</w:t>
      </w:r>
      <w:bookmarkStart w:id="56" w:name="_Toc14577359"/>
      <w:bookmarkStart w:id="57" w:name="_Toc49090510"/>
      <w:r>
        <w:rPr>
          <w:rFonts w:hint="eastAsia" w:ascii="Times New Roman" w:hAnsi="Times New Roman"/>
          <w:sz w:val="24"/>
          <w:szCs w:val="24"/>
        </w:rPr>
        <w:t>投标人需根据招标文件要求提供有关项目服务方案</w:t>
      </w:r>
      <w:r>
        <w:rPr>
          <w:rFonts w:hint="eastAsia" w:ascii="Times New Roman" w:hAnsi="Times New Roman"/>
          <w:sz w:val="24"/>
          <w:szCs w:val="24"/>
          <w:lang w:eastAsia="zh-CN"/>
        </w:rPr>
        <w:t>、</w:t>
      </w:r>
      <w:r>
        <w:rPr>
          <w:rFonts w:hint="eastAsia" w:ascii="Times New Roman" w:hAnsi="Times New Roman"/>
          <w:sz w:val="24"/>
          <w:szCs w:val="24"/>
        </w:rPr>
        <w:t>项目组人员一览表</w:t>
      </w:r>
      <w:r>
        <w:rPr>
          <w:rFonts w:hint="eastAsia" w:ascii="Times New Roman" w:hAnsi="Times New Roman"/>
          <w:sz w:val="24"/>
          <w:szCs w:val="24"/>
          <w:lang w:eastAsia="zh-CN"/>
        </w:rPr>
        <w:t>、设备配备一览表</w:t>
      </w:r>
      <w:r>
        <w:rPr>
          <w:rFonts w:hint="eastAsia" w:ascii="Times New Roman" w:hAnsi="Times New Roman"/>
          <w:sz w:val="24"/>
          <w:szCs w:val="24"/>
        </w:rPr>
        <w:t>。</w:t>
      </w:r>
    </w:p>
    <w:p w14:paraId="66C1F474">
      <w:pPr>
        <w:spacing w:line="500" w:lineRule="exact"/>
        <w:ind w:firstLine="480"/>
        <w:rPr>
          <w:rFonts w:ascii="Times New Roman" w:hAnsi="Times New Roman"/>
          <w:sz w:val="24"/>
          <w:szCs w:val="24"/>
        </w:rPr>
      </w:pPr>
      <w:r>
        <w:rPr>
          <w:rFonts w:hint="eastAsia" w:ascii="Times New Roman" w:hAnsi="Times New Roman"/>
          <w:sz w:val="24"/>
          <w:szCs w:val="24"/>
        </w:rPr>
        <w:t>14.2 投标人需根据招标文件要求提供实施的类似项目业绩情况。</w:t>
      </w:r>
    </w:p>
    <w:bookmarkEnd w:id="56"/>
    <w:bookmarkEnd w:id="57"/>
    <w:p w14:paraId="68F831D4">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15</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投标</w:t>
      </w:r>
      <w:r>
        <w:rPr>
          <w:rFonts w:ascii="Times New Roman" w:hAnsi="Times New Roman"/>
          <w:b/>
          <w:color w:val="000000"/>
          <w:kern w:val="0"/>
          <w:sz w:val="28"/>
          <w:szCs w:val="28"/>
          <w:highlight w:val="none"/>
        </w:rPr>
        <w:t>有效期</w:t>
      </w:r>
    </w:p>
    <w:p w14:paraId="2D3B7175">
      <w:pPr>
        <w:shd w:val="clear"/>
        <w:spacing w:line="440" w:lineRule="exact"/>
        <w:ind w:firstLine="480"/>
        <w:rPr>
          <w:rFonts w:ascii="Times New Roman" w:hAnsi="Times New Roman"/>
          <w:kern w:val="0"/>
          <w:sz w:val="24"/>
          <w:szCs w:val="24"/>
          <w:highlight w:val="none"/>
        </w:rPr>
      </w:pPr>
      <w:r>
        <w:rPr>
          <w:rFonts w:hint="eastAsia" w:ascii="Times New Roman" w:hAnsi="Times New Roman"/>
          <w:color w:val="000000"/>
          <w:kern w:val="0"/>
          <w:sz w:val="24"/>
          <w:szCs w:val="24"/>
          <w:highlight w:val="none"/>
        </w:rPr>
        <w:t>15</w:t>
      </w:r>
      <w:r>
        <w:rPr>
          <w:rFonts w:ascii="Times New Roman" w:hAnsi="Times New Roman"/>
          <w:color w:val="000000"/>
          <w:kern w:val="0"/>
          <w:sz w:val="24"/>
          <w:szCs w:val="24"/>
          <w:highlight w:val="none"/>
        </w:rPr>
        <w:t>.1</w:t>
      </w:r>
      <w:r>
        <w:rPr>
          <w:rFonts w:hint="eastAsia" w:ascii="Times New Roman" w:hAnsi="Times New Roman"/>
          <w:color w:val="000000"/>
          <w:kern w:val="0"/>
          <w:sz w:val="24"/>
          <w:szCs w:val="24"/>
          <w:highlight w:val="none"/>
        </w:rPr>
        <w:t>投标</w:t>
      </w:r>
      <w:r>
        <w:rPr>
          <w:rFonts w:ascii="Times New Roman" w:hAnsi="Times New Roman"/>
          <w:color w:val="000000"/>
          <w:kern w:val="0"/>
          <w:sz w:val="24"/>
          <w:szCs w:val="24"/>
          <w:highlight w:val="none"/>
        </w:rPr>
        <w:t>有效期为代理机构规定的提交</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截止之日后</w:t>
      </w:r>
      <w:r>
        <w:rPr>
          <w:rFonts w:ascii="Times New Roman" w:hAnsi="Times New Roman"/>
          <w:b/>
          <w:bCs/>
          <w:color w:val="000000"/>
          <w:kern w:val="0"/>
          <w:sz w:val="24"/>
          <w:szCs w:val="24"/>
          <w:highlight w:val="none"/>
          <w:u w:val="single"/>
        </w:rPr>
        <w:t>六十（60）天</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投标有效期</w:t>
      </w:r>
      <w:r>
        <w:rPr>
          <w:rFonts w:ascii="Times New Roman" w:hAnsi="Times New Roman"/>
          <w:color w:val="000000"/>
          <w:kern w:val="0"/>
          <w:sz w:val="24"/>
          <w:szCs w:val="24"/>
          <w:highlight w:val="none"/>
        </w:rPr>
        <w:t>比规定短的将被视为非实质性响应</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而予以拒绝。</w:t>
      </w:r>
    </w:p>
    <w:p w14:paraId="614268A4">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16</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投标有效期</w:t>
      </w:r>
      <w:r>
        <w:rPr>
          <w:rFonts w:ascii="Times New Roman" w:hAnsi="Times New Roman"/>
          <w:b/>
          <w:color w:val="000000"/>
          <w:kern w:val="0"/>
          <w:sz w:val="28"/>
          <w:szCs w:val="28"/>
          <w:highlight w:val="none"/>
        </w:rPr>
        <w:t>的延长</w:t>
      </w:r>
    </w:p>
    <w:p w14:paraId="48C30B11">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2CE33CFF">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58" w:name="_Toc24414"/>
      <w:bookmarkStart w:id="59" w:name="_Toc25796"/>
      <w:bookmarkStart w:id="60" w:name="_Toc13568"/>
      <w:bookmarkStart w:id="61" w:name="_Toc5321"/>
      <w:bookmarkStart w:id="62" w:name="_Toc16363"/>
      <w:bookmarkStart w:id="63" w:name="_Toc18928"/>
      <w:bookmarkStart w:id="64" w:name="_Toc18011"/>
      <w:bookmarkStart w:id="65" w:name="_Toc1373"/>
      <w:bookmarkStart w:id="66" w:name="_Toc8187"/>
      <w:bookmarkStart w:id="67" w:name="_Toc30450"/>
      <w:bookmarkStart w:id="68" w:name="_Toc14870"/>
      <w:bookmarkStart w:id="69" w:name="_Toc959"/>
      <w:r>
        <w:rPr>
          <w:rFonts w:ascii="Times New Roman" w:hAnsi="Times New Roman"/>
          <w:b/>
          <w:bCs/>
          <w:color w:val="000000"/>
          <w:sz w:val="32"/>
          <w:szCs w:val="32"/>
          <w:highlight w:val="none"/>
        </w:rPr>
        <w:t>四、</w:t>
      </w:r>
      <w:r>
        <w:rPr>
          <w:rFonts w:hint="eastAsia" w:ascii="Times New Roman" w:hAnsi="Times New Roman"/>
          <w:b/>
          <w:bCs/>
          <w:color w:val="000000"/>
          <w:sz w:val="32"/>
          <w:szCs w:val="32"/>
          <w:highlight w:val="none"/>
        </w:rPr>
        <w:t>投标文件</w:t>
      </w:r>
      <w:r>
        <w:rPr>
          <w:rFonts w:ascii="Times New Roman" w:hAnsi="Times New Roman"/>
          <w:b/>
          <w:bCs/>
          <w:color w:val="000000"/>
          <w:sz w:val="32"/>
          <w:szCs w:val="32"/>
          <w:highlight w:val="none"/>
        </w:rPr>
        <w:t>的递交</w:t>
      </w:r>
      <w:bookmarkEnd w:id="58"/>
      <w:bookmarkEnd w:id="59"/>
      <w:bookmarkEnd w:id="60"/>
      <w:bookmarkEnd w:id="61"/>
      <w:bookmarkEnd w:id="62"/>
      <w:bookmarkEnd w:id="63"/>
      <w:bookmarkEnd w:id="64"/>
      <w:bookmarkEnd w:id="65"/>
      <w:bookmarkEnd w:id="66"/>
      <w:bookmarkEnd w:id="67"/>
      <w:bookmarkEnd w:id="68"/>
      <w:bookmarkEnd w:id="69"/>
    </w:p>
    <w:p w14:paraId="5885AC4B">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17</w:t>
      </w:r>
      <w:r>
        <w:rPr>
          <w:rFonts w:ascii="Times New Roman" w:hAnsi="Times New Roman"/>
          <w:b/>
          <w:color w:val="000000"/>
          <w:kern w:val="0"/>
          <w:sz w:val="28"/>
          <w:szCs w:val="28"/>
          <w:highlight w:val="none"/>
        </w:rPr>
        <w:t>、电子</w:t>
      </w:r>
      <w:r>
        <w:rPr>
          <w:rFonts w:hint="eastAsia" w:ascii="Times New Roman" w:hAnsi="Times New Roman"/>
          <w:b/>
          <w:color w:val="000000"/>
          <w:kern w:val="0"/>
          <w:sz w:val="28"/>
          <w:szCs w:val="28"/>
          <w:highlight w:val="none"/>
        </w:rPr>
        <w:t>投标文件</w:t>
      </w:r>
      <w:r>
        <w:rPr>
          <w:rFonts w:ascii="Times New Roman" w:hAnsi="Times New Roman"/>
          <w:b/>
          <w:color w:val="000000"/>
          <w:kern w:val="0"/>
          <w:sz w:val="28"/>
          <w:szCs w:val="28"/>
          <w:highlight w:val="none"/>
        </w:rPr>
        <w:t>的递交</w:t>
      </w:r>
    </w:p>
    <w:p w14:paraId="1A63BCBC">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17.1投标人应当按照《苏采云系统投标人操作手册》规定，在提交投标文件截止时间前制作并上传电子投标文件。</w:t>
      </w:r>
    </w:p>
    <w:p w14:paraId="1E1E5A13">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17.2如投标人投报多个分包的，应分别制作所投每个分包的投标文件，再根据此文档分别制作所投每个分包的电子投标文件。按规定将所投每个分包的的电子投标文件分别上传到对应分包页面中。如未上传的视同为未参加本项目对应分包的投标。</w:t>
      </w:r>
    </w:p>
    <w:p w14:paraId="17158260">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18</w:t>
      </w:r>
      <w:r>
        <w:rPr>
          <w:rFonts w:ascii="Times New Roman" w:hAnsi="Times New Roman"/>
          <w:b/>
          <w:color w:val="000000"/>
          <w:kern w:val="0"/>
          <w:sz w:val="28"/>
          <w:szCs w:val="28"/>
          <w:highlight w:val="none"/>
        </w:rPr>
        <w:t>、提交</w:t>
      </w:r>
      <w:r>
        <w:rPr>
          <w:rFonts w:hint="eastAsia" w:ascii="Times New Roman" w:hAnsi="Times New Roman"/>
          <w:b/>
          <w:color w:val="000000"/>
          <w:kern w:val="0"/>
          <w:sz w:val="28"/>
          <w:szCs w:val="28"/>
          <w:highlight w:val="none"/>
        </w:rPr>
        <w:t>投标文件</w:t>
      </w:r>
      <w:r>
        <w:rPr>
          <w:rFonts w:ascii="Times New Roman" w:hAnsi="Times New Roman"/>
          <w:b/>
          <w:color w:val="000000"/>
          <w:kern w:val="0"/>
          <w:sz w:val="28"/>
          <w:szCs w:val="28"/>
          <w:highlight w:val="none"/>
        </w:rPr>
        <w:t>截止时间</w:t>
      </w:r>
    </w:p>
    <w:p w14:paraId="4C3C2C56">
      <w:pPr>
        <w:shd w:val="clear"/>
        <w:spacing w:line="440" w:lineRule="exact"/>
        <w:ind w:firstLine="480"/>
        <w:rPr>
          <w:rFonts w:ascii="Times New Roman" w:hAnsi="Times New Roman"/>
          <w:b/>
          <w:bCs/>
          <w:i w:val="0"/>
          <w:iCs w:val="0"/>
          <w:kern w:val="0"/>
          <w:sz w:val="24"/>
          <w:szCs w:val="24"/>
          <w:highlight w:val="none"/>
          <w:u w:val="none"/>
        </w:rPr>
      </w:pPr>
      <w:r>
        <w:rPr>
          <w:rFonts w:hint="eastAsia" w:ascii="Times New Roman" w:hAnsi="Times New Roman"/>
          <w:b/>
          <w:bCs/>
          <w:i w:val="0"/>
          <w:iCs w:val="0"/>
          <w:color w:val="000000"/>
          <w:kern w:val="0"/>
          <w:sz w:val="24"/>
          <w:szCs w:val="24"/>
          <w:highlight w:val="none"/>
          <w:u w:val="none"/>
        </w:rPr>
        <w:t>18.</w:t>
      </w:r>
      <w:r>
        <w:rPr>
          <w:rFonts w:ascii="Times New Roman" w:hAnsi="Times New Roman"/>
          <w:b/>
          <w:bCs/>
          <w:i w:val="0"/>
          <w:iCs w:val="0"/>
          <w:color w:val="000000"/>
          <w:kern w:val="0"/>
          <w:sz w:val="24"/>
          <w:szCs w:val="24"/>
          <w:highlight w:val="none"/>
          <w:u w:val="none"/>
        </w:rPr>
        <w:t>1</w:t>
      </w:r>
      <w:r>
        <w:rPr>
          <w:rFonts w:hint="eastAsia" w:ascii="Times New Roman" w:hAnsi="Times New Roman"/>
          <w:b/>
          <w:bCs/>
          <w:i w:val="0"/>
          <w:iCs w:val="0"/>
          <w:color w:val="000000"/>
          <w:kern w:val="0"/>
          <w:sz w:val="24"/>
          <w:szCs w:val="24"/>
          <w:highlight w:val="none"/>
          <w:u w:val="none"/>
        </w:rPr>
        <w:t>投标人</w:t>
      </w:r>
      <w:r>
        <w:rPr>
          <w:rFonts w:ascii="Times New Roman" w:hAnsi="Times New Roman"/>
          <w:b/>
          <w:bCs/>
          <w:i w:val="0"/>
          <w:iCs w:val="0"/>
          <w:color w:val="000000"/>
          <w:kern w:val="0"/>
          <w:sz w:val="24"/>
          <w:szCs w:val="24"/>
          <w:highlight w:val="none"/>
          <w:u w:val="none"/>
        </w:rPr>
        <w:t>上传电子</w:t>
      </w:r>
      <w:r>
        <w:rPr>
          <w:rFonts w:hint="eastAsia" w:ascii="Times New Roman" w:hAnsi="Times New Roman"/>
          <w:b/>
          <w:bCs/>
          <w:i w:val="0"/>
          <w:iCs w:val="0"/>
          <w:color w:val="000000"/>
          <w:kern w:val="0"/>
          <w:sz w:val="24"/>
          <w:szCs w:val="24"/>
          <w:highlight w:val="none"/>
          <w:u w:val="none"/>
        </w:rPr>
        <w:t>投标文件</w:t>
      </w:r>
      <w:r>
        <w:rPr>
          <w:rFonts w:ascii="Times New Roman" w:hAnsi="Times New Roman"/>
          <w:b/>
          <w:bCs/>
          <w:i w:val="0"/>
          <w:iCs w:val="0"/>
          <w:color w:val="000000"/>
          <w:kern w:val="0"/>
          <w:sz w:val="24"/>
          <w:szCs w:val="24"/>
          <w:highlight w:val="none"/>
          <w:u w:val="none"/>
        </w:rPr>
        <w:t>的时间不得迟于</w:t>
      </w:r>
      <w:r>
        <w:rPr>
          <w:rFonts w:hint="eastAsia" w:ascii="Times New Roman" w:hAnsi="Times New Roman"/>
          <w:b/>
          <w:bCs/>
          <w:i w:val="0"/>
          <w:iCs w:val="0"/>
          <w:color w:val="000000"/>
          <w:kern w:val="0"/>
          <w:sz w:val="24"/>
          <w:szCs w:val="24"/>
          <w:highlight w:val="none"/>
          <w:u w:val="none"/>
        </w:rPr>
        <w:t>招标公告</w:t>
      </w:r>
      <w:r>
        <w:rPr>
          <w:rFonts w:ascii="Times New Roman" w:hAnsi="Times New Roman"/>
          <w:b/>
          <w:bCs/>
          <w:i w:val="0"/>
          <w:iCs w:val="0"/>
          <w:color w:val="000000"/>
          <w:kern w:val="0"/>
          <w:sz w:val="24"/>
          <w:szCs w:val="24"/>
          <w:highlight w:val="none"/>
          <w:u w:val="none"/>
        </w:rPr>
        <w:t>中规定的提交</w:t>
      </w:r>
      <w:r>
        <w:rPr>
          <w:rFonts w:hint="eastAsia" w:ascii="Times New Roman" w:hAnsi="Times New Roman"/>
          <w:b/>
          <w:bCs/>
          <w:i w:val="0"/>
          <w:iCs w:val="0"/>
          <w:color w:val="000000"/>
          <w:kern w:val="0"/>
          <w:sz w:val="24"/>
          <w:szCs w:val="24"/>
          <w:highlight w:val="none"/>
          <w:u w:val="none"/>
        </w:rPr>
        <w:t>投标文件</w:t>
      </w:r>
      <w:r>
        <w:rPr>
          <w:rFonts w:ascii="Times New Roman" w:hAnsi="Times New Roman"/>
          <w:b/>
          <w:bCs/>
          <w:i w:val="0"/>
          <w:iCs w:val="0"/>
          <w:color w:val="000000"/>
          <w:kern w:val="0"/>
          <w:sz w:val="24"/>
          <w:szCs w:val="24"/>
          <w:highlight w:val="none"/>
          <w:u w:val="none"/>
        </w:rPr>
        <w:t>截止时间。</w:t>
      </w:r>
    </w:p>
    <w:p w14:paraId="783EC739">
      <w:pPr>
        <w:shd w:val="clear"/>
        <w:spacing w:line="440" w:lineRule="exact"/>
        <w:ind w:firstLine="480"/>
        <w:rPr>
          <w:rFonts w:ascii="Times New Roman" w:hAnsi="Times New Roman"/>
          <w:kern w:val="0"/>
          <w:sz w:val="24"/>
          <w:szCs w:val="24"/>
          <w:highlight w:val="none"/>
        </w:rPr>
      </w:pP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应充分考虑到网络环境、网络带宽等风险因素，如因</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自身原因造成的电子</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上传不成功的</w:t>
      </w:r>
      <w:r>
        <w:rPr>
          <w:rFonts w:hint="eastAsia" w:ascii="Times New Roman" w:hAnsi="Times New Roman"/>
          <w:color w:val="000000"/>
          <w:kern w:val="0"/>
          <w:sz w:val="24"/>
          <w:szCs w:val="24"/>
          <w:highlight w:val="none"/>
        </w:rPr>
        <w:t>作</w:t>
      </w:r>
      <w:r>
        <w:rPr>
          <w:rFonts w:ascii="Times New Roman" w:hAnsi="Times New Roman"/>
          <w:color w:val="000000"/>
          <w:kern w:val="0"/>
          <w:sz w:val="24"/>
          <w:szCs w:val="24"/>
          <w:highlight w:val="none"/>
        </w:rPr>
        <w:t>无效响应处理。</w:t>
      </w:r>
    </w:p>
    <w:p w14:paraId="17A12CDD">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18.2代理机构可以按照规定，通过修改招标文件酌情延长提交投标文件截止日期，在此情况下，投标人的所有权利和义务以及投标人受制的截止日期均应以延长后新的截止日期为准。</w:t>
      </w:r>
    </w:p>
    <w:p w14:paraId="094AE924">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19</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投标文件</w:t>
      </w:r>
      <w:r>
        <w:rPr>
          <w:rFonts w:ascii="Times New Roman" w:hAnsi="Times New Roman"/>
          <w:b/>
          <w:color w:val="000000"/>
          <w:kern w:val="0"/>
          <w:sz w:val="28"/>
          <w:szCs w:val="28"/>
          <w:highlight w:val="none"/>
        </w:rPr>
        <w:t>的拒收</w:t>
      </w:r>
    </w:p>
    <w:p w14:paraId="71798412">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19.1代理机构拒绝接收在其规定的提交投标文件截止时间后上传的任何电子投标文件。</w:t>
      </w:r>
    </w:p>
    <w:p w14:paraId="5BDC1FB8">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20</w:t>
      </w:r>
      <w:r>
        <w:rPr>
          <w:rFonts w:ascii="Times New Roman" w:hAnsi="Times New Roman"/>
          <w:b/>
          <w:color w:val="000000"/>
          <w:kern w:val="0"/>
          <w:sz w:val="28"/>
          <w:szCs w:val="28"/>
          <w:highlight w:val="none"/>
        </w:rPr>
        <w:t>、</w:t>
      </w:r>
      <w:r>
        <w:rPr>
          <w:rFonts w:hint="eastAsia" w:ascii="Times New Roman" w:hAnsi="Times New Roman"/>
          <w:b/>
          <w:color w:val="000000"/>
          <w:kern w:val="0"/>
          <w:sz w:val="28"/>
          <w:szCs w:val="28"/>
          <w:highlight w:val="none"/>
        </w:rPr>
        <w:t>投标文件</w:t>
      </w:r>
      <w:r>
        <w:rPr>
          <w:rFonts w:ascii="Times New Roman" w:hAnsi="Times New Roman"/>
          <w:b/>
          <w:color w:val="000000"/>
          <w:kern w:val="0"/>
          <w:sz w:val="28"/>
          <w:szCs w:val="28"/>
          <w:highlight w:val="none"/>
        </w:rPr>
        <w:t>的撤回和修改</w:t>
      </w:r>
    </w:p>
    <w:p w14:paraId="060DFD79">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20.1投标文件的撤回</w:t>
      </w:r>
    </w:p>
    <w:p w14:paraId="066DB8B1">
      <w:pPr>
        <w:shd w:val="clear"/>
        <w:spacing w:line="440" w:lineRule="exact"/>
        <w:ind w:firstLine="787" w:firstLineChars="328"/>
        <w:rPr>
          <w:rFonts w:ascii="Times New Roman" w:hAnsi="Times New Roman"/>
          <w:kern w:val="0"/>
          <w:sz w:val="24"/>
          <w:szCs w:val="24"/>
          <w:highlight w:val="none"/>
        </w:rPr>
      </w:pPr>
      <w:r>
        <w:rPr>
          <w:rFonts w:ascii="Times New Roman" w:hAnsi="Times New Roman"/>
          <w:color w:val="000000"/>
          <w:kern w:val="0"/>
          <w:sz w:val="24"/>
          <w:szCs w:val="24"/>
          <w:highlight w:val="none"/>
        </w:rPr>
        <w:t>21.1.1电子</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的撤回</w:t>
      </w:r>
    </w:p>
    <w:p w14:paraId="47018BBD">
      <w:pPr>
        <w:shd w:val="clear"/>
        <w:spacing w:line="440" w:lineRule="exact"/>
        <w:ind w:firstLine="787" w:firstLineChars="328"/>
        <w:rPr>
          <w:rFonts w:ascii="Times New Roman" w:hAnsi="Times New Roman"/>
          <w:kern w:val="0"/>
          <w:sz w:val="24"/>
          <w:szCs w:val="24"/>
          <w:highlight w:val="none"/>
        </w:rPr>
      </w:pP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可在提交</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截止时间前，撤回其电子</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，具体操作方法见《</w:t>
      </w:r>
      <w:r>
        <w:rPr>
          <w:rFonts w:ascii="Times New Roman" w:hAnsi="Times New Roman"/>
          <w:sz w:val="24"/>
          <w:szCs w:val="24"/>
          <w:highlight w:val="none"/>
        </w:rPr>
        <w:t>苏采云系统</w:t>
      </w:r>
      <w:r>
        <w:rPr>
          <w:rFonts w:hint="eastAsia" w:ascii="Times New Roman" w:hAnsi="Times New Roman"/>
          <w:sz w:val="24"/>
          <w:szCs w:val="24"/>
          <w:highlight w:val="none"/>
        </w:rPr>
        <w:t>投标人</w:t>
      </w:r>
      <w:r>
        <w:rPr>
          <w:rFonts w:ascii="Times New Roman" w:hAnsi="Times New Roman"/>
          <w:sz w:val="24"/>
          <w:szCs w:val="24"/>
          <w:highlight w:val="none"/>
        </w:rPr>
        <w:t>操作手册</w:t>
      </w:r>
      <w:r>
        <w:rPr>
          <w:rFonts w:ascii="Times New Roman" w:hAnsi="Times New Roman"/>
          <w:color w:val="000000"/>
          <w:kern w:val="0"/>
          <w:sz w:val="24"/>
          <w:szCs w:val="24"/>
          <w:highlight w:val="none"/>
        </w:rPr>
        <w:t>》。</w:t>
      </w:r>
    </w:p>
    <w:p w14:paraId="294FAD02">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21.1.2</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撤回电子</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，则认为其不再参与本项目</w:t>
      </w:r>
      <w:r>
        <w:rPr>
          <w:rFonts w:hint="eastAsia" w:ascii="Times New Roman" w:hAnsi="Times New Roman"/>
          <w:color w:val="000000"/>
          <w:kern w:val="0"/>
          <w:sz w:val="24"/>
          <w:szCs w:val="24"/>
          <w:highlight w:val="none"/>
          <w:lang w:eastAsia="zh-CN"/>
        </w:rPr>
        <w:t>投标</w:t>
      </w:r>
      <w:r>
        <w:rPr>
          <w:rFonts w:ascii="Times New Roman" w:hAnsi="Times New Roman"/>
          <w:color w:val="000000"/>
          <w:kern w:val="0"/>
          <w:sz w:val="24"/>
          <w:szCs w:val="24"/>
          <w:highlight w:val="none"/>
        </w:rPr>
        <w:t>活动。</w:t>
      </w:r>
    </w:p>
    <w:p w14:paraId="28A30195">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20.2投标文件的修改</w:t>
      </w:r>
    </w:p>
    <w:p w14:paraId="76F69ECF">
      <w:pPr>
        <w:shd w:val="clear"/>
        <w:spacing w:line="440" w:lineRule="exact"/>
        <w:ind w:firstLine="787" w:firstLineChars="328"/>
        <w:rPr>
          <w:rFonts w:ascii="Times New Roman" w:hAnsi="Times New Roman"/>
          <w:kern w:val="0"/>
          <w:sz w:val="24"/>
          <w:szCs w:val="24"/>
          <w:highlight w:val="none"/>
        </w:rPr>
      </w:pP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可在提交</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截止时间前，对其电子</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进行修改，具体操作方法见《</w:t>
      </w:r>
      <w:r>
        <w:rPr>
          <w:rFonts w:ascii="Times New Roman" w:hAnsi="Times New Roman"/>
          <w:sz w:val="24"/>
          <w:szCs w:val="24"/>
          <w:highlight w:val="none"/>
        </w:rPr>
        <w:t>苏采云系统</w:t>
      </w:r>
      <w:r>
        <w:rPr>
          <w:rFonts w:hint="eastAsia" w:ascii="Times New Roman" w:hAnsi="Times New Roman"/>
          <w:sz w:val="24"/>
          <w:szCs w:val="24"/>
          <w:highlight w:val="none"/>
        </w:rPr>
        <w:t>投标人</w:t>
      </w:r>
      <w:r>
        <w:rPr>
          <w:rFonts w:ascii="Times New Roman" w:hAnsi="Times New Roman"/>
          <w:sz w:val="24"/>
          <w:szCs w:val="24"/>
          <w:highlight w:val="none"/>
        </w:rPr>
        <w:t>操作手册</w:t>
      </w:r>
      <w:r>
        <w:rPr>
          <w:rFonts w:ascii="Times New Roman" w:hAnsi="Times New Roman"/>
          <w:color w:val="000000"/>
          <w:kern w:val="0"/>
          <w:sz w:val="24"/>
          <w:szCs w:val="24"/>
          <w:highlight w:val="none"/>
        </w:rPr>
        <w:t>》。</w:t>
      </w:r>
    </w:p>
    <w:p w14:paraId="2603F2AF">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20.3在提交投标文件截止时间之后，投标人不得对其电子投标文件作任何修改。</w:t>
      </w:r>
    </w:p>
    <w:p w14:paraId="060AC2F7">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20.4在提交投标文件截止时间至招标文件中规定的投标有效期满之间的这段时间内，投标人不得撤回其投标文件。</w:t>
      </w:r>
    </w:p>
    <w:p w14:paraId="2AF1B1A0">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70" w:name="_Toc19354"/>
      <w:bookmarkStart w:id="71" w:name="_Toc7502"/>
      <w:bookmarkStart w:id="72" w:name="_Toc1603"/>
      <w:bookmarkStart w:id="73" w:name="_Toc32035"/>
      <w:bookmarkStart w:id="74" w:name="_Toc29345"/>
      <w:bookmarkStart w:id="75" w:name="_Toc8142"/>
      <w:bookmarkStart w:id="76" w:name="_Toc25244"/>
      <w:bookmarkStart w:id="77" w:name="_Toc26408"/>
      <w:bookmarkStart w:id="78" w:name="_Toc28189"/>
      <w:bookmarkStart w:id="79" w:name="_Toc5428"/>
      <w:bookmarkStart w:id="80" w:name="_Toc19232"/>
      <w:bookmarkStart w:id="81" w:name="_Toc15284"/>
      <w:r>
        <w:rPr>
          <w:rFonts w:ascii="Times New Roman" w:hAnsi="Times New Roman"/>
          <w:b/>
          <w:bCs/>
          <w:color w:val="000000"/>
          <w:sz w:val="32"/>
          <w:szCs w:val="32"/>
          <w:highlight w:val="none"/>
        </w:rPr>
        <w:t>五</w:t>
      </w:r>
      <w:r>
        <w:rPr>
          <w:rFonts w:hint="eastAsia" w:ascii="Times New Roman" w:hAnsi="Times New Roman"/>
          <w:b/>
          <w:bCs/>
          <w:color w:val="000000"/>
          <w:sz w:val="32"/>
          <w:szCs w:val="32"/>
          <w:highlight w:val="none"/>
        </w:rPr>
        <w:t>、</w:t>
      </w:r>
      <w:r>
        <w:rPr>
          <w:rFonts w:hint="eastAsia" w:ascii="Times New Roman" w:hAnsi="Times New Roman"/>
          <w:b/>
          <w:bCs/>
          <w:color w:val="000000"/>
          <w:sz w:val="32"/>
          <w:szCs w:val="32"/>
          <w:highlight w:val="none"/>
          <w:lang w:val="en-US" w:eastAsia="zh-CN"/>
        </w:rPr>
        <w:t>开标</w:t>
      </w:r>
      <w:r>
        <w:rPr>
          <w:rFonts w:hint="eastAsia" w:ascii="Times New Roman" w:hAnsi="Times New Roman"/>
          <w:b/>
          <w:bCs/>
          <w:color w:val="000000"/>
          <w:sz w:val="32"/>
          <w:szCs w:val="32"/>
          <w:highlight w:val="none"/>
        </w:rPr>
        <w:t>与评审</w:t>
      </w:r>
      <w:bookmarkEnd w:id="70"/>
      <w:bookmarkEnd w:id="71"/>
      <w:bookmarkEnd w:id="72"/>
      <w:bookmarkEnd w:id="73"/>
      <w:bookmarkEnd w:id="74"/>
      <w:bookmarkEnd w:id="75"/>
      <w:bookmarkEnd w:id="76"/>
      <w:bookmarkEnd w:id="77"/>
      <w:bookmarkEnd w:id="78"/>
      <w:bookmarkEnd w:id="79"/>
      <w:bookmarkEnd w:id="80"/>
      <w:bookmarkEnd w:id="81"/>
    </w:p>
    <w:p w14:paraId="581D9C35">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21、开标</w:t>
      </w:r>
    </w:p>
    <w:p w14:paraId="7333983D">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21.1代理机构将在招标公告中规定的时间和地点组织公开开标。投标人应当按照《苏采云系统投标人操作手册》规定，参加开标活动和在苏采云系统规定的时间内对投标文件进行解密。</w:t>
      </w:r>
    </w:p>
    <w:p w14:paraId="5EF2712F">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21.2开标仪式由代理机构组织。苏采云系统将自动对项目进行开标，并宣布各投标人名称。</w:t>
      </w:r>
    </w:p>
    <w:p w14:paraId="4877CB44">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21.3投标人在开标过程中涉及到的投标文件解密、开标结果确认等工作，应按照《苏采云系统投标人操作手册》规定执行。</w:t>
      </w:r>
    </w:p>
    <w:p w14:paraId="21CE8280">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21.4投标人如果对开标过程和开标记录有疑义，应当根据《操作手册》规定提出，如苏采云系统中《开标记录表》宣布后5分钟内未提出的，视同认可开标结果。</w:t>
      </w:r>
    </w:p>
    <w:p w14:paraId="02B65A89">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22、评标委员会</w:t>
      </w:r>
    </w:p>
    <w:p w14:paraId="317FAB1E">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22.1 开标后，代理机构将立即组织评标委员会（以下简称评委会）进行评标。</w:t>
      </w:r>
    </w:p>
    <w:p w14:paraId="00150439">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 xml:space="preserve">22.2 </w:t>
      </w:r>
      <w:r>
        <w:rPr>
          <w:color w:val="000000"/>
          <w:sz w:val="24"/>
          <w:szCs w:val="24"/>
          <w:highlight w:val="none"/>
        </w:rPr>
        <w:t>评委会由</w:t>
      </w:r>
      <w:r>
        <w:rPr>
          <w:rFonts w:hint="eastAsia"/>
          <w:color w:val="000000"/>
          <w:sz w:val="24"/>
          <w:szCs w:val="24"/>
          <w:highlight w:val="none"/>
          <w:lang w:val="en-US" w:eastAsia="zh-CN"/>
        </w:rPr>
        <w:t>五</w:t>
      </w:r>
      <w:r>
        <w:rPr>
          <w:color w:val="000000"/>
          <w:sz w:val="24"/>
          <w:szCs w:val="24"/>
          <w:highlight w:val="none"/>
        </w:rPr>
        <w:t>人或以上单数的有关技术、经济等方面的专家和采购人代表组成</w:t>
      </w:r>
      <w:r>
        <w:rPr>
          <w:rFonts w:hint="eastAsia" w:ascii="Times New Roman" w:hAnsi="Times New Roman"/>
          <w:color w:val="000000"/>
          <w:kern w:val="0"/>
          <w:sz w:val="24"/>
          <w:szCs w:val="24"/>
          <w:highlight w:val="none"/>
        </w:rPr>
        <w:t>。</w:t>
      </w:r>
    </w:p>
    <w:p w14:paraId="640354D8">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22.3评委会独立工作，负责评审所有投标文件并确定中标侯选人。</w:t>
      </w:r>
    </w:p>
    <w:p w14:paraId="1C74834D">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23、评审过程的保密与公正</w:t>
      </w:r>
    </w:p>
    <w:p w14:paraId="774E4974">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23.1凡是与审查、澄清、评价和比较投标的有关资料以及授标建议等，采购人、评委、代理机构均不得向投标人或与评标无关的其他人员透露。</w:t>
      </w:r>
    </w:p>
    <w:p w14:paraId="014D3E4A">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23.2在评标过程中，投标人不得以任何行为影响评标过程，否则其投标文件将被作为无效投标文件。</w:t>
      </w:r>
    </w:p>
    <w:p w14:paraId="20EECB9E">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23.3 代理机构和评委会不向未中标的投标人解释未中标原因，也不公布评标过程中的相关细节。</w:t>
      </w:r>
    </w:p>
    <w:p w14:paraId="085F69BC">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23.4 采用综合评分法的项目，未中标的投标人可于中标结果公告期限届满之日起通过苏采云系统查看自己的评审得分及排序情况。</w:t>
      </w:r>
    </w:p>
    <w:p w14:paraId="04F485AA">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24、</w:t>
      </w:r>
      <w:r>
        <w:rPr>
          <w:rFonts w:hint="eastAsia" w:ascii="Times New Roman" w:hAnsi="Times New Roman"/>
          <w:b/>
          <w:color w:val="000000"/>
          <w:kern w:val="0"/>
          <w:sz w:val="28"/>
          <w:szCs w:val="28"/>
          <w:highlight w:val="none"/>
          <w:lang w:val="en-US" w:eastAsia="zh-CN"/>
        </w:rPr>
        <w:t>投标文件的</w:t>
      </w:r>
      <w:r>
        <w:rPr>
          <w:rFonts w:hint="eastAsia" w:ascii="Times New Roman" w:hAnsi="Times New Roman"/>
          <w:b/>
          <w:color w:val="000000"/>
          <w:kern w:val="0"/>
          <w:sz w:val="28"/>
          <w:szCs w:val="28"/>
          <w:highlight w:val="none"/>
        </w:rPr>
        <w:t>澄清</w:t>
      </w:r>
    </w:p>
    <w:p w14:paraId="546D10E5">
      <w:pPr>
        <w:shd w:val="clear"/>
        <w:spacing w:line="440" w:lineRule="exact"/>
        <w:ind w:firstLine="480"/>
        <w:rPr>
          <w:rFonts w:hint="eastAsia" w:ascii="Times New Roman" w:hAnsi="Times New Roman" w:eastAsia="宋体" w:cs="Times New Roman"/>
          <w:color w:val="000000"/>
          <w:kern w:val="0"/>
          <w:sz w:val="24"/>
          <w:szCs w:val="24"/>
          <w:highlight w:val="none"/>
          <w:lang w:val="en-US" w:eastAsia="zh-CN"/>
        </w:rPr>
      </w:pPr>
      <w:r>
        <w:rPr>
          <w:rFonts w:hint="eastAsia" w:ascii="Times New Roman" w:hAnsi="Times New Roman" w:eastAsia="宋体" w:cs="Times New Roman"/>
          <w:color w:val="000000"/>
          <w:kern w:val="0"/>
          <w:sz w:val="24"/>
          <w:szCs w:val="24"/>
          <w:highlight w:val="none"/>
          <w:lang w:val="en-US" w:eastAsia="zh-CN"/>
        </w:rPr>
        <w:t>24.1 评标期间，评委会对投标文件中含义不明确、同类问题表述不一致或者有明显文字和计算错误的内容，有权要求投标人作出必要的澄清、说明或者补正。</w:t>
      </w:r>
    </w:p>
    <w:p w14:paraId="3008DACC">
      <w:pPr>
        <w:shd w:val="clear"/>
        <w:spacing w:line="440" w:lineRule="exact"/>
        <w:ind w:firstLine="480"/>
        <w:rPr>
          <w:rFonts w:hint="eastAsia" w:ascii="Times New Roman" w:hAnsi="Times New Roman" w:eastAsia="宋体" w:cs="Times New Roman"/>
          <w:color w:val="000000"/>
          <w:kern w:val="0"/>
          <w:sz w:val="24"/>
          <w:szCs w:val="24"/>
          <w:highlight w:val="none"/>
          <w:lang w:val="en-US" w:eastAsia="zh-CN"/>
        </w:rPr>
      </w:pPr>
      <w:r>
        <w:rPr>
          <w:rFonts w:hint="eastAsia" w:ascii="Times New Roman" w:hAnsi="Times New Roman" w:eastAsia="宋体" w:cs="Times New Roman"/>
          <w:color w:val="000000"/>
          <w:kern w:val="0"/>
          <w:sz w:val="24"/>
          <w:szCs w:val="24"/>
          <w:highlight w:val="none"/>
          <w:lang w:val="en-US" w:eastAsia="zh-CN"/>
        </w:rPr>
        <w:t>投标人的澄清、说明或者补正不得超出投标文件的范围或者改变投标文件的实质性内容。</w:t>
      </w:r>
    </w:p>
    <w:p w14:paraId="326BA0E8">
      <w:pPr>
        <w:shd w:val="clear"/>
        <w:spacing w:line="440" w:lineRule="exact"/>
        <w:ind w:firstLine="480"/>
        <w:rPr>
          <w:rFonts w:hint="eastAsia" w:ascii="Times New Roman" w:hAnsi="Times New Roman" w:eastAsia="宋体" w:cs="Times New Roman"/>
          <w:color w:val="000000"/>
          <w:kern w:val="0"/>
          <w:sz w:val="24"/>
          <w:szCs w:val="24"/>
          <w:highlight w:val="none"/>
          <w:lang w:val="en-US" w:eastAsia="zh-CN"/>
        </w:rPr>
      </w:pPr>
      <w:r>
        <w:rPr>
          <w:rFonts w:hint="eastAsia" w:ascii="Times New Roman" w:hAnsi="Times New Roman" w:eastAsia="宋体" w:cs="Times New Roman"/>
          <w:color w:val="000000"/>
          <w:kern w:val="0"/>
          <w:sz w:val="24"/>
          <w:szCs w:val="24"/>
          <w:highlight w:val="none"/>
          <w:lang w:val="en-US" w:eastAsia="zh-CN"/>
        </w:rPr>
        <w:t>评标委员会并非对每个投标人都做澄清要求。</w:t>
      </w:r>
    </w:p>
    <w:p w14:paraId="7D7F4F79">
      <w:pPr>
        <w:shd w:val="clear"/>
        <w:spacing w:line="440" w:lineRule="exact"/>
        <w:ind w:firstLine="480"/>
        <w:rPr>
          <w:rFonts w:hint="eastAsia" w:ascii="Times New Roman" w:hAnsi="Times New Roman" w:eastAsia="宋体" w:cs="Times New Roman"/>
          <w:color w:val="000000"/>
          <w:kern w:val="0"/>
          <w:sz w:val="24"/>
          <w:szCs w:val="24"/>
          <w:highlight w:val="none"/>
          <w:lang w:val="en-US" w:eastAsia="zh-CN"/>
        </w:rPr>
      </w:pPr>
      <w:r>
        <w:rPr>
          <w:rFonts w:hint="eastAsia" w:ascii="Times New Roman" w:hAnsi="Times New Roman" w:eastAsia="宋体" w:cs="Times New Roman"/>
          <w:color w:val="000000"/>
          <w:kern w:val="0"/>
          <w:sz w:val="24"/>
          <w:szCs w:val="24"/>
          <w:highlight w:val="none"/>
          <w:lang w:val="en-US" w:eastAsia="zh-CN"/>
        </w:rPr>
        <w:t>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p>
    <w:p w14:paraId="543518F1">
      <w:pPr>
        <w:shd w:val="clear"/>
        <w:spacing w:line="440" w:lineRule="exact"/>
        <w:ind w:firstLine="480"/>
        <w:rPr>
          <w:rFonts w:hint="eastAsia" w:ascii="Times New Roman" w:hAnsi="Times New Roman" w:eastAsia="宋体" w:cs="Times New Roman"/>
          <w:color w:val="000000"/>
          <w:kern w:val="0"/>
          <w:sz w:val="24"/>
          <w:szCs w:val="24"/>
          <w:highlight w:val="none"/>
          <w:lang w:val="en-US" w:eastAsia="zh-CN"/>
        </w:rPr>
      </w:pPr>
      <w:r>
        <w:rPr>
          <w:rFonts w:hint="eastAsia" w:ascii="Times New Roman" w:hAnsi="Times New Roman" w:eastAsia="宋体" w:cs="Times New Roman"/>
          <w:color w:val="000000"/>
          <w:kern w:val="0"/>
          <w:sz w:val="24"/>
          <w:szCs w:val="24"/>
          <w:highlight w:val="none"/>
          <w:lang w:val="en-US" w:eastAsia="zh-CN"/>
        </w:rPr>
        <w:t>24.3 接到评委会澄清、说明和补正要求的投标人如未按规定做出澄清、说明和补正，其风险由投标人自行承担。</w:t>
      </w:r>
    </w:p>
    <w:p w14:paraId="7974A16E">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25、对投标文件的审查</w:t>
      </w:r>
    </w:p>
    <w:p w14:paraId="0C31D615">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25.1投标文件审查分为资格审查和符合性审查。</w:t>
      </w:r>
    </w:p>
    <w:p w14:paraId="1EA6A1A9">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2</w:t>
      </w:r>
      <w:r>
        <w:rPr>
          <w:rFonts w:hint="eastAsia" w:ascii="Times New Roman" w:hAnsi="Times New Roman"/>
          <w:color w:val="000000"/>
          <w:kern w:val="0"/>
          <w:sz w:val="24"/>
          <w:szCs w:val="24"/>
          <w:highlight w:val="none"/>
        </w:rPr>
        <w:t>5</w:t>
      </w:r>
      <w:r>
        <w:rPr>
          <w:rFonts w:ascii="Times New Roman" w:hAnsi="Times New Roman"/>
          <w:color w:val="000000"/>
          <w:kern w:val="0"/>
          <w:sz w:val="24"/>
          <w:szCs w:val="24"/>
          <w:highlight w:val="none"/>
        </w:rPr>
        <w:t>.1.1</w:t>
      </w:r>
      <w:r>
        <w:rPr>
          <w:rFonts w:hint="eastAsia" w:ascii="宋体" w:hAnsi="宋体"/>
          <w:bCs/>
          <w:color w:val="000000"/>
          <w:sz w:val="24"/>
          <w:szCs w:val="21"/>
          <w:highlight w:val="none"/>
        </w:rPr>
        <w:t>资格审查：依据法律法规和招标文件的规定，由采购人对投标文件中的资格证明文件进行审查。资格审查的结论，采购人以书面形式向评委会进行反馈。</w:t>
      </w:r>
    </w:p>
    <w:p w14:paraId="4D9647F3">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采购人</w:t>
      </w:r>
      <w:r>
        <w:rPr>
          <w:rFonts w:ascii="Times New Roman" w:hAnsi="Times New Roman"/>
          <w:color w:val="000000"/>
          <w:kern w:val="0"/>
          <w:sz w:val="24"/>
          <w:szCs w:val="24"/>
          <w:highlight w:val="none"/>
        </w:rPr>
        <w:t>在进行资格审查的同时，将在</w:t>
      </w:r>
      <w:r>
        <w:rPr>
          <w:rFonts w:hint="eastAsia" w:ascii="Times New Roman" w:hAnsi="Times New Roman"/>
          <w:color w:val="000000"/>
          <w:kern w:val="0"/>
          <w:sz w:val="24"/>
          <w:szCs w:val="24"/>
          <w:highlight w:val="none"/>
        </w:rPr>
        <w:t>信用中国 （ https://www.creditchina.gov.cn/ ） 对投标人的诚信记录进行查询，</w:t>
      </w:r>
      <w:r>
        <w:rPr>
          <w:rFonts w:ascii="Times New Roman" w:hAnsi="Times New Roman"/>
          <w:color w:val="000000"/>
          <w:kern w:val="0"/>
          <w:sz w:val="24"/>
          <w:szCs w:val="24"/>
          <w:highlight w:val="none"/>
        </w:rPr>
        <w:t>以确定</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是否具备</w:t>
      </w:r>
      <w:r>
        <w:rPr>
          <w:rFonts w:hint="eastAsia" w:ascii="Times New Roman" w:hAnsi="Times New Roman"/>
          <w:color w:val="000000"/>
          <w:kern w:val="0"/>
          <w:sz w:val="24"/>
          <w:szCs w:val="24"/>
          <w:highlight w:val="none"/>
          <w:lang w:eastAsia="zh-CN"/>
        </w:rPr>
        <w:t>投标</w:t>
      </w:r>
      <w:r>
        <w:rPr>
          <w:rFonts w:ascii="Times New Roman" w:hAnsi="Times New Roman"/>
          <w:color w:val="000000"/>
          <w:kern w:val="0"/>
          <w:sz w:val="24"/>
          <w:szCs w:val="24"/>
          <w:highlight w:val="none"/>
        </w:rPr>
        <w:t>资格,查询结果留存并归档。</w:t>
      </w:r>
    </w:p>
    <w:p w14:paraId="20EC45B3">
      <w:pPr>
        <w:shd w:val="clear"/>
        <w:spacing w:line="440" w:lineRule="exact"/>
        <w:ind w:firstLine="787" w:firstLineChars="328"/>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接受联合体的项目，两个以上的自然人、法人或者其他组织组成一个联合体，以一个</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的身份共同参加政府采购活动的</w:t>
      </w:r>
      <w:r>
        <w:rPr>
          <w:rFonts w:hint="eastAsia" w:ascii="Times New Roman" w:hAnsi="Times New Roman"/>
          <w:color w:val="000000"/>
          <w:kern w:val="0"/>
          <w:sz w:val="24"/>
          <w:szCs w:val="24"/>
          <w:highlight w:val="none"/>
        </w:rPr>
        <w:t>，</w:t>
      </w:r>
      <w:r>
        <w:rPr>
          <w:rFonts w:ascii="Times New Roman" w:hAnsi="Times New Roman"/>
          <w:color w:val="000000"/>
          <w:kern w:val="0"/>
          <w:sz w:val="24"/>
          <w:szCs w:val="24"/>
          <w:highlight w:val="none"/>
        </w:rPr>
        <w:t>联合体成员中任何一方存在不良信用记录的，视同联合体存在不良应用记录。</w:t>
      </w:r>
    </w:p>
    <w:p w14:paraId="5C6EDEE5">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w:t>
      </w:r>
      <w:r>
        <w:rPr>
          <w:rFonts w:ascii="Times New Roman" w:hAnsi="Times New Roman"/>
          <w:color w:val="000000"/>
          <w:kern w:val="0"/>
          <w:sz w:val="24"/>
          <w:szCs w:val="24"/>
          <w:highlight w:val="none"/>
        </w:rPr>
        <w:t>.1.2符合性审查：依据</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的规定，由</w:t>
      </w:r>
      <w:r>
        <w:rPr>
          <w:rFonts w:hint="eastAsia" w:ascii="Times New Roman" w:hAnsi="Times New Roman"/>
          <w:color w:val="000000"/>
          <w:kern w:val="0"/>
          <w:sz w:val="24"/>
          <w:szCs w:val="24"/>
          <w:highlight w:val="none"/>
        </w:rPr>
        <w:t>评委会</w:t>
      </w:r>
      <w:r>
        <w:rPr>
          <w:rFonts w:ascii="Times New Roman" w:hAnsi="Times New Roman"/>
          <w:color w:val="000000"/>
          <w:kern w:val="0"/>
          <w:sz w:val="24"/>
          <w:szCs w:val="24"/>
          <w:highlight w:val="none"/>
        </w:rPr>
        <w:t>从</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的有效性、完整性和对</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的响应程度进行审查，以确定是否对</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的实质性要求作出响应。</w:t>
      </w:r>
    </w:p>
    <w:p w14:paraId="776AF964">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w:t>
      </w:r>
      <w:r>
        <w:rPr>
          <w:rFonts w:ascii="Times New Roman" w:hAnsi="Times New Roman"/>
          <w:color w:val="000000"/>
          <w:kern w:val="0"/>
          <w:sz w:val="24"/>
          <w:szCs w:val="24"/>
          <w:highlight w:val="none"/>
        </w:rPr>
        <w:t>.1.3未通过资格审查或符合性审查的</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评委会</w:t>
      </w:r>
      <w:r>
        <w:rPr>
          <w:rFonts w:ascii="Times New Roman" w:hAnsi="Times New Roman"/>
          <w:color w:val="000000"/>
          <w:kern w:val="0"/>
          <w:sz w:val="24"/>
          <w:szCs w:val="24"/>
          <w:highlight w:val="none"/>
        </w:rPr>
        <w:t>将在苏采云系统中告知未通过资格审查或符合性审查的原因，评审结束后，</w:t>
      </w:r>
      <w:r>
        <w:rPr>
          <w:rFonts w:hint="eastAsia" w:ascii="Times New Roman" w:hAnsi="Times New Roman"/>
          <w:color w:val="000000"/>
          <w:kern w:val="0"/>
          <w:sz w:val="24"/>
          <w:szCs w:val="24"/>
          <w:highlight w:val="none"/>
        </w:rPr>
        <w:t>评委会</w:t>
      </w:r>
      <w:r>
        <w:rPr>
          <w:rFonts w:ascii="Times New Roman" w:hAnsi="Times New Roman"/>
          <w:color w:val="000000"/>
          <w:kern w:val="0"/>
          <w:sz w:val="24"/>
          <w:szCs w:val="24"/>
          <w:highlight w:val="none"/>
        </w:rPr>
        <w:t>将不再告知未通过资格审查或符合性审查的原因。</w:t>
      </w:r>
    </w:p>
    <w:p w14:paraId="769BDB40">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25.2在详细评审之前，评委会将首先审查每份投标文件是否实质性响应了招标文件的要求。实质性响应的投标文件应该是与招标文件要求的条款、条件和规格相符，没有重大偏离或保留。</w:t>
      </w:r>
    </w:p>
    <w:p w14:paraId="6CA5172E">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所谓重大偏离或保留是指与</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规定的实质性要求存在负偏离，或者在实质上与</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不一致，而且限制了合同中买方和代理机构的权利或</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的义务，纠正这些偏离或保留将会对其他实质性响应要求的</w:t>
      </w:r>
      <w:r>
        <w:rPr>
          <w:rFonts w:hint="eastAsia" w:ascii="Times New Roman" w:hAnsi="Times New Roman"/>
          <w:color w:val="000000"/>
          <w:kern w:val="0"/>
          <w:sz w:val="24"/>
          <w:szCs w:val="24"/>
          <w:highlight w:val="none"/>
        </w:rPr>
        <w:t>投标人</w:t>
      </w:r>
      <w:r>
        <w:rPr>
          <w:rFonts w:ascii="Times New Roman" w:hAnsi="Times New Roman"/>
          <w:color w:val="000000"/>
          <w:kern w:val="0"/>
          <w:sz w:val="24"/>
          <w:szCs w:val="24"/>
          <w:highlight w:val="none"/>
        </w:rPr>
        <w:t>的竞争地位产生不公正的影响。重大偏离由</w:t>
      </w:r>
      <w:r>
        <w:rPr>
          <w:rFonts w:hint="eastAsia" w:ascii="Times New Roman" w:hAnsi="Times New Roman"/>
          <w:color w:val="000000"/>
          <w:kern w:val="0"/>
          <w:sz w:val="24"/>
          <w:szCs w:val="24"/>
          <w:highlight w:val="none"/>
        </w:rPr>
        <w:t>评委会</w:t>
      </w:r>
      <w:r>
        <w:rPr>
          <w:rFonts w:ascii="Times New Roman" w:hAnsi="Times New Roman"/>
          <w:color w:val="000000"/>
          <w:kern w:val="0"/>
          <w:sz w:val="24"/>
          <w:szCs w:val="24"/>
          <w:highlight w:val="none"/>
        </w:rPr>
        <w:t>按照少数服从多数的原则认定。</w:t>
      </w:r>
      <w:r>
        <w:rPr>
          <w:rFonts w:hint="eastAsia" w:ascii="Times New Roman" w:hAnsi="Times New Roman"/>
          <w:color w:val="000000"/>
          <w:kern w:val="0"/>
          <w:sz w:val="24"/>
          <w:szCs w:val="24"/>
          <w:highlight w:val="none"/>
        </w:rPr>
        <w:t>评委会</w:t>
      </w:r>
      <w:r>
        <w:rPr>
          <w:rFonts w:ascii="Times New Roman" w:hAnsi="Times New Roman"/>
          <w:color w:val="000000"/>
          <w:kern w:val="0"/>
          <w:sz w:val="24"/>
          <w:szCs w:val="24"/>
          <w:highlight w:val="none"/>
        </w:rPr>
        <w:t>决定</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的响应性只根据</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本身的内容，而不寻求外部的证据。</w:t>
      </w:r>
    </w:p>
    <w:p w14:paraId="081D761E">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25.3如果投标文件实质上没有响应招标文件的要求，评委会将予以拒绝，投标人不得通过修改或撤销不合要求的偏离或保留而使其投标成为实质性响应的投标。</w:t>
      </w:r>
    </w:p>
    <w:p w14:paraId="12BE0325">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25.4评委会将对确定为实质性响应的投标文件进行进一步审核，看其是否有计算上或累加上的算术错误，修正错误的原则如下：</w:t>
      </w:r>
    </w:p>
    <w:p w14:paraId="2B2A7553">
      <w:pPr>
        <w:shd w:val="clea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（1）投标文件中开标一览表内容与投标文件中相应内容不一致的，以开标一览表为准。</w:t>
      </w:r>
    </w:p>
    <w:p w14:paraId="5099C61C">
      <w:pPr>
        <w:shd w:val="clea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（2）大写金额和小写金额不一致的，以大写金额为准。</w:t>
      </w:r>
    </w:p>
    <w:p w14:paraId="74BC8EBF">
      <w:pPr>
        <w:shd w:val="clea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（3）单价金额小数点或者百分比有明显错位的，以开标一览表的总价为准，并修改单价。</w:t>
      </w:r>
    </w:p>
    <w:p w14:paraId="4233AC13">
      <w:pPr>
        <w:shd w:val="clea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（4）总价金额与按单价汇总金额不一致的，以单价金额计算结果为准。</w:t>
      </w:r>
    </w:p>
    <w:p w14:paraId="09337BDB">
      <w:pPr>
        <w:shd w:val="clear"/>
        <w:spacing w:line="460" w:lineRule="exact"/>
        <w:ind w:firstLine="480"/>
        <w:rPr>
          <w:rFonts w:ascii="宋体" w:hAnsi="宋体"/>
          <w:bCs/>
          <w:color w:val="000000"/>
          <w:sz w:val="24"/>
          <w:szCs w:val="21"/>
          <w:highlight w:val="none"/>
        </w:rPr>
      </w:pPr>
      <w:r>
        <w:rPr>
          <w:rFonts w:hint="eastAsia" w:ascii="宋体" w:hAnsi="宋体"/>
          <w:bCs/>
          <w:color w:val="000000"/>
          <w:sz w:val="24"/>
          <w:szCs w:val="21"/>
          <w:highlight w:val="none"/>
        </w:rPr>
        <w:t>同时出现两种以上错误的，按照前款规定的顺序修正。</w:t>
      </w:r>
    </w:p>
    <w:p w14:paraId="5C480A06">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25.5评委会将按上述修正错误的方法调整投标文件中的报价价格，并通过苏采云系统告知投标人，调整后的价格应对投标人具有约束力。如果投标人不接受修正后的价格，则其投标将被拒绝。</w:t>
      </w:r>
    </w:p>
    <w:p w14:paraId="6A368EFB">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p>
    <w:p w14:paraId="4697EAF3">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25.7投标人在开、评标全过程中应保持通讯畅通，及时登录苏采云系统查阅、答复相关信息，并安排专人与代理机构及评委会联系。</w:t>
      </w:r>
    </w:p>
    <w:p w14:paraId="2B855C53">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26、无效投标条款和废标条款</w:t>
      </w:r>
    </w:p>
    <w:p w14:paraId="67B1F850">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26.1无效投标条款</w:t>
      </w:r>
    </w:p>
    <w:p w14:paraId="71057735">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26.1.1投标人在苏采云系统规定的时间内未成功解密电子投标文件的。</w:t>
      </w:r>
    </w:p>
    <w:p w14:paraId="510510F1">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26.1.2投标人未按照招标文件要求上传电子投标文件的。</w:t>
      </w:r>
    </w:p>
    <w:p w14:paraId="5FF5CF76">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26.1.3同一投标人提交两个（含两个）以上不同的投标报价的。</w:t>
      </w:r>
    </w:p>
    <w:p w14:paraId="6BB3E73A">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26.1.4投标人不具备招标文件中规定资格要求的。</w:t>
      </w:r>
    </w:p>
    <w:p w14:paraId="33183290">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26.1.5投标人的报价超过了采购预算</w:t>
      </w:r>
      <w:r>
        <w:rPr>
          <w:rFonts w:ascii="宋体" w:hAnsi="宋体" w:cs="宋体"/>
          <w:color w:val="000000"/>
          <w:sz w:val="24"/>
          <w:highlight w:val="none"/>
        </w:rPr>
        <w:t>或最高限价的</w:t>
      </w:r>
      <w:r>
        <w:rPr>
          <w:rFonts w:hint="eastAsia" w:ascii="Times New Roman" w:hAnsi="Times New Roman"/>
          <w:color w:val="000000"/>
          <w:kern w:val="0"/>
          <w:sz w:val="24"/>
          <w:szCs w:val="24"/>
          <w:highlight w:val="none"/>
        </w:rPr>
        <w:t>。</w:t>
      </w:r>
    </w:p>
    <w:p w14:paraId="61549BDA">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26.1.6未通过符合性审查的。</w:t>
      </w:r>
    </w:p>
    <w:p w14:paraId="2128A4CF">
      <w:pPr>
        <w:shd w:val="clear"/>
        <w:spacing w:line="440" w:lineRule="exact"/>
        <w:ind w:firstLine="720" w:firstLineChars="300"/>
        <w:rPr>
          <w:rFonts w:ascii="Times New Roman" w:hAnsi="Times New Roman"/>
          <w:i w:val="0"/>
          <w:iCs w:val="0"/>
          <w:color w:val="000000"/>
          <w:kern w:val="0"/>
          <w:sz w:val="24"/>
          <w:szCs w:val="24"/>
          <w:highlight w:val="none"/>
          <w:u w:val="none"/>
        </w:rPr>
      </w:pPr>
      <w:r>
        <w:rPr>
          <w:rFonts w:hint="eastAsia" w:ascii="Times New Roman" w:hAnsi="Times New Roman"/>
          <w:color w:val="000000"/>
          <w:kern w:val="0"/>
          <w:sz w:val="24"/>
          <w:szCs w:val="24"/>
          <w:highlight w:val="none"/>
        </w:rPr>
        <w:t>26</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1</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7</w:t>
      </w:r>
      <w:r>
        <w:rPr>
          <w:rFonts w:ascii="Times New Roman" w:hAnsi="Times New Roman"/>
          <w:color w:val="000000"/>
          <w:kern w:val="0"/>
          <w:sz w:val="24"/>
          <w:szCs w:val="24"/>
          <w:highlight w:val="none"/>
        </w:rPr>
        <w:t>不符合</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中规定的实质性要求和条件的</w:t>
      </w:r>
      <w:r>
        <w:rPr>
          <w:rFonts w:ascii="Times New Roman" w:hAnsi="Times New Roman"/>
          <w:i w:val="0"/>
          <w:iCs w:val="0"/>
          <w:color w:val="000000"/>
          <w:kern w:val="0"/>
          <w:sz w:val="24"/>
          <w:szCs w:val="24"/>
          <w:highlight w:val="none"/>
          <w:u w:val="none"/>
        </w:rPr>
        <w:t>（</w:t>
      </w:r>
      <w:r>
        <w:rPr>
          <w:rFonts w:ascii="Times New Roman" w:hAnsi="Times New Roman"/>
          <w:b/>
          <w:bCs/>
          <w:i w:val="0"/>
          <w:iCs w:val="0"/>
          <w:color w:val="000000"/>
          <w:kern w:val="0"/>
          <w:sz w:val="24"/>
          <w:szCs w:val="24"/>
          <w:highlight w:val="none"/>
          <w:u w:val="none"/>
        </w:rPr>
        <w:t>本</w:t>
      </w:r>
      <w:r>
        <w:rPr>
          <w:rFonts w:hint="eastAsia" w:ascii="Times New Roman" w:hAnsi="Times New Roman"/>
          <w:b/>
          <w:bCs/>
          <w:i w:val="0"/>
          <w:iCs w:val="0"/>
          <w:color w:val="000000"/>
          <w:kern w:val="0"/>
          <w:sz w:val="24"/>
          <w:szCs w:val="24"/>
          <w:highlight w:val="none"/>
          <w:u w:val="none"/>
        </w:rPr>
        <w:t>招标文件</w:t>
      </w:r>
      <w:r>
        <w:rPr>
          <w:rFonts w:ascii="Times New Roman" w:hAnsi="Times New Roman"/>
          <w:b/>
          <w:bCs/>
          <w:i w:val="0"/>
          <w:iCs w:val="0"/>
          <w:color w:val="000000"/>
          <w:kern w:val="0"/>
          <w:sz w:val="24"/>
          <w:szCs w:val="24"/>
          <w:highlight w:val="none"/>
          <w:u w:val="none"/>
        </w:rPr>
        <w:t>中标“★”的相关要求为实质性要求和条件）</w:t>
      </w:r>
      <w:r>
        <w:rPr>
          <w:rFonts w:ascii="Times New Roman" w:hAnsi="Times New Roman"/>
          <w:i w:val="0"/>
          <w:iCs w:val="0"/>
          <w:color w:val="000000"/>
          <w:kern w:val="0"/>
          <w:sz w:val="24"/>
          <w:szCs w:val="24"/>
          <w:highlight w:val="none"/>
          <w:u w:val="none"/>
        </w:rPr>
        <w:t>。</w:t>
      </w:r>
    </w:p>
    <w:p w14:paraId="6182EEEB">
      <w:pPr>
        <w:shd w:val="clear"/>
        <w:spacing w:line="440" w:lineRule="exact"/>
        <w:ind w:firstLine="720" w:firstLineChars="30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2</w:t>
      </w:r>
      <w:r>
        <w:rPr>
          <w:rFonts w:hint="eastAsia" w:ascii="Times New Roman" w:hAnsi="Times New Roman"/>
          <w:color w:val="000000"/>
          <w:kern w:val="0"/>
          <w:sz w:val="24"/>
          <w:szCs w:val="24"/>
          <w:highlight w:val="none"/>
        </w:rPr>
        <w:t>6</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1</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8投标人被“信用中国”（www.creditchina.gov.cn）等网站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p>
    <w:p w14:paraId="19298D82">
      <w:pPr>
        <w:shd w:val="clear"/>
        <w:spacing w:line="440" w:lineRule="exact"/>
        <w:ind w:firstLine="720" w:firstLineChars="300"/>
        <w:rPr>
          <w:rFonts w:ascii="Times New Roman" w:hAnsi="Times New Roman"/>
          <w:kern w:val="0"/>
          <w:sz w:val="24"/>
          <w:szCs w:val="24"/>
          <w:highlight w:val="none"/>
        </w:rPr>
      </w:pPr>
      <w:r>
        <w:rPr>
          <w:rFonts w:hint="eastAsia" w:ascii="Times New Roman" w:hAnsi="Times New Roman"/>
          <w:color w:val="000000"/>
          <w:kern w:val="0"/>
          <w:sz w:val="24"/>
          <w:szCs w:val="24"/>
          <w:highlight w:val="none"/>
        </w:rPr>
        <w:t>26.1.9投标文件</w:t>
      </w:r>
      <w:r>
        <w:rPr>
          <w:rFonts w:ascii="Times New Roman" w:hAnsi="Times New Roman"/>
          <w:color w:val="000000"/>
          <w:kern w:val="0"/>
          <w:sz w:val="24"/>
          <w:szCs w:val="24"/>
          <w:highlight w:val="none"/>
        </w:rPr>
        <w:t>含有采购人不能接受的附加条件的。</w:t>
      </w:r>
    </w:p>
    <w:p w14:paraId="5FE97F2F">
      <w:pPr>
        <w:shd w:val="clear"/>
        <w:spacing w:line="440" w:lineRule="exact"/>
        <w:ind w:firstLine="720" w:firstLineChars="300"/>
        <w:rPr>
          <w:rFonts w:ascii="Times New Roman" w:hAnsi="Times New Roman"/>
          <w:bCs/>
          <w:color w:val="000000"/>
          <w:kern w:val="0"/>
          <w:sz w:val="24"/>
          <w:szCs w:val="24"/>
          <w:highlight w:val="none"/>
        </w:rPr>
      </w:pPr>
      <w:r>
        <w:rPr>
          <w:rFonts w:hint="eastAsia" w:ascii="Times New Roman" w:hAnsi="Times New Roman"/>
          <w:bCs/>
          <w:color w:val="000000"/>
          <w:kern w:val="0"/>
          <w:sz w:val="24"/>
          <w:szCs w:val="24"/>
          <w:highlight w:val="none"/>
        </w:rPr>
        <w:t>26.1.</w:t>
      </w:r>
      <w:r>
        <w:rPr>
          <w:rFonts w:ascii="Times New Roman" w:hAnsi="Times New Roman"/>
          <w:bCs/>
          <w:color w:val="000000"/>
          <w:kern w:val="0"/>
          <w:sz w:val="24"/>
          <w:szCs w:val="24"/>
          <w:highlight w:val="none"/>
        </w:rPr>
        <w:t>10</w:t>
      </w:r>
      <w:r>
        <w:rPr>
          <w:rFonts w:hint="eastAsia" w:ascii="Times New Roman" w:hAnsi="Times New Roman"/>
          <w:bCs/>
          <w:color w:val="000000"/>
          <w:kern w:val="0"/>
          <w:sz w:val="24"/>
          <w:szCs w:val="24"/>
          <w:highlight w:val="none"/>
        </w:rPr>
        <w:t>评标委员会认为投标人的报价明显低于其他通过符合性审查投标人的报价，有可能影响产品质量或者不能诚信履约的，将通过</w:t>
      </w:r>
      <w:r>
        <w:rPr>
          <w:rFonts w:hint="eastAsia" w:ascii="Times New Roman" w:hAnsi="Times New Roman"/>
          <w:color w:val="000000"/>
          <w:kern w:val="0"/>
          <w:sz w:val="24"/>
          <w:szCs w:val="24"/>
          <w:highlight w:val="none"/>
        </w:rPr>
        <w:t>苏采云系统</w:t>
      </w:r>
      <w:r>
        <w:rPr>
          <w:rFonts w:hint="eastAsia" w:ascii="Times New Roman" w:hAnsi="Times New Roman"/>
          <w:bCs/>
          <w:color w:val="000000"/>
          <w:kern w:val="0"/>
          <w:sz w:val="24"/>
          <w:szCs w:val="24"/>
          <w:highlight w:val="none"/>
        </w:rPr>
        <w:t>要求其在合理的时间内提供说明，必要时提交相关证明材料；投标人不能证明其报价合理性的，评标委员会应当将其作为无效投标处理。</w:t>
      </w:r>
    </w:p>
    <w:p w14:paraId="59E57DF2">
      <w:pPr>
        <w:shd w:val="clear"/>
        <w:spacing w:line="440" w:lineRule="exact"/>
        <w:ind w:firstLine="720" w:firstLineChars="300"/>
        <w:rPr>
          <w:rFonts w:ascii="Times New Roman" w:hAnsi="Times New Roman"/>
          <w:kern w:val="0"/>
          <w:sz w:val="24"/>
          <w:szCs w:val="24"/>
          <w:highlight w:val="none"/>
        </w:rPr>
      </w:pPr>
      <w:r>
        <w:rPr>
          <w:rFonts w:hint="eastAsia" w:ascii="Times New Roman" w:hAnsi="Times New Roman"/>
          <w:color w:val="000000"/>
          <w:kern w:val="0"/>
          <w:sz w:val="24"/>
          <w:szCs w:val="24"/>
          <w:highlight w:val="none"/>
        </w:rPr>
        <w:t>26.1.11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07D8313">
      <w:pPr>
        <w:shd w:val="clear"/>
        <w:spacing w:line="440" w:lineRule="exact"/>
        <w:ind w:firstLine="720" w:firstLineChars="300"/>
        <w:rPr>
          <w:rFonts w:ascii="Times New Roman" w:hAnsi="Times New Roman"/>
          <w:kern w:val="0"/>
          <w:sz w:val="24"/>
          <w:szCs w:val="24"/>
          <w:highlight w:val="none"/>
        </w:rPr>
      </w:pPr>
      <w:r>
        <w:rPr>
          <w:rFonts w:hint="eastAsia" w:ascii="Times New Roman" w:hAnsi="Times New Roman"/>
          <w:color w:val="000000"/>
          <w:kern w:val="0"/>
          <w:sz w:val="24"/>
          <w:szCs w:val="24"/>
          <w:highlight w:val="none"/>
        </w:rPr>
        <w:t>26.1.12投标文件未按照招标文件要求加盖CA电子公章的。</w:t>
      </w:r>
    </w:p>
    <w:p w14:paraId="5638EFA8">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26.1.13</w:t>
      </w:r>
      <w:r>
        <w:rPr>
          <w:rFonts w:hint="eastAsia" w:ascii="宋体" w:hAnsi="宋体"/>
          <w:bCs/>
          <w:color w:val="000000"/>
          <w:sz w:val="24"/>
          <w:szCs w:val="21"/>
          <w:highlight w:val="none"/>
        </w:rPr>
        <w:t>其他法律、法规及本招标文件规定的属无效投标的情形。</w:t>
      </w:r>
    </w:p>
    <w:p w14:paraId="19FDCCE1">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26.2废标条款</w:t>
      </w:r>
    </w:p>
    <w:p w14:paraId="345B0990">
      <w:pPr>
        <w:shd w:val="clear"/>
        <w:spacing w:line="440" w:lineRule="exact"/>
        <w:ind w:firstLine="720" w:firstLineChars="300"/>
        <w:rPr>
          <w:rFonts w:ascii="宋体" w:hAnsi="宋体"/>
          <w:bCs/>
          <w:color w:val="000000"/>
          <w:sz w:val="24"/>
          <w:szCs w:val="21"/>
          <w:highlight w:val="none"/>
        </w:rPr>
      </w:pPr>
      <w:r>
        <w:rPr>
          <w:rFonts w:hint="eastAsia" w:ascii="Times New Roman" w:hAnsi="Times New Roman"/>
          <w:color w:val="000000"/>
          <w:kern w:val="0"/>
          <w:sz w:val="24"/>
          <w:szCs w:val="24"/>
          <w:highlight w:val="none"/>
        </w:rPr>
        <w:t>26.2.1</w:t>
      </w:r>
      <w:r>
        <w:rPr>
          <w:rFonts w:hint="eastAsia" w:ascii="宋体" w:hAnsi="宋体"/>
          <w:bCs/>
          <w:color w:val="000000"/>
          <w:sz w:val="24"/>
          <w:szCs w:val="21"/>
          <w:highlight w:val="none"/>
        </w:rPr>
        <w:t>符合专业条件的投标人或者对招标文件作实质响应的投标人不足三家的。</w:t>
      </w:r>
    </w:p>
    <w:p w14:paraId="1E56E40E">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26.2.2出现影响采购公正的违法、违规行为的。</w:t>
      </w:r>
    </w:p>
    <w:p w14:paraId="3D7308A6">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26.2.3因重大变故，采购任务取消的。</w:t>
      </w:r>
    </w:p>
    <w:p w14:paraId="61F158D8">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26.2.4评标委员会认定招标文件存在歧义、重大缺陷导致评审工作无法进行。</w:t>
      </w:r>
    </w:p>
    <w:p w14:paraId="42524548">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26.2.5因苏采云系统</w:t>
      </w:r>
      <w:r>
        <w:rPr>
          <w:rFonts w:ascii="Times New Roman" w:hAnsi="Times New Roman"/>
          <w:color w:val="000000"/>
          <w:kern w:val="0"/>
          <w:sz w:val="24"/>
          <w:szCs w:val="24"/>
          <w:highlight w:val="none"/>
        </w:rPr>
        <w:t>系统故障原因造成开标不成功</w:t>
      </w:r>
      <w:r>
        <w:rPr>
          <w:rFonts w:hint="eastAsia" w:ascii="Times New Roman" w:hAnsi="Times New Roman"/>
          <w:color w:val="000000"/>
          <w:kern w:val="0"/>
          <w:sz w:val="24"/>
          <w:szCs w:val="24"/>
          <w:highlight w:val="none"/>
        </w:rPr>
        <w:t>的</w:t>
      </w:r>
      <w:r>
        <w:rPr>
          <w:rFonts w:ascii="Times New Roman" w:hAnsi="Times New Roman"/>
          <w:color w:val="000000"/>
          <w:kern w:val="0"/>
          <w:sz w:val="24"/>
          <w:szCs w:val="24"/>
          <w:highlight w:val="none"/>
        </w:rPr>
        <w:t>。</w:t>
      </w:r>
    </w:p>
    <w:p w14:paraId="06502C01">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26.2.6</w:t>
      </w:r>
      <w:r>
        <w:rPr>
          <w:rFonts w:hint="eastAsia" w:ascii="宋体" w:hAnsi="宋体" w:cs="宋体"/>
          <w:color w:val="000000"/>
          <w:sz w:val="24"/>
          <w:highlight w:val="none"/>
        </w:rPr>
        <w:t>投标文件</w:t>
      </w:r>
      <w:r>
        <w:rPr>
          <w:rFonts w:ascii="宋体" w:hAnsi="宋体" w:cs="宋体"/>
          <w:color w:val="000000"/>
          <w:sz w:val="24"/>
          <w:highlight w:val="none"/>
        </w:rPr>
        <w:t>接受截止时间结束后参加</w:t>
      </w:r>
      <w:r>
        <w:rPr>
          <w:rFonts w:hint="eastAsia" w:ascii="宋体" w:hAnsi="宋体" w:cs="宋体"/>
          <w:color w:val="000000"/>
          <w:sz w:val="24"/>
          <w:highlight w:val="none"/>
          <w:lang w:eastAsia="zh-CN"/>
        </w:rPr>
        <w:t>投标</w:t>
      </w:r>
      <w:r>
        <w:rPr>
          <w:rFonts w:ascii="宋体" w:hAnsi="宋体" w:cs="宋体"/>
          <w:color w:val="000000"/>
          <w:sz w:val="24"/>
          <w:highlight w:val="none"/>
        </w:rPr>
        <w:t>的</w:t>
      </w:r>
      <w:r>
        <w:rPr>
          <w:rFonts w:hint="eastAsia" w:ascii="宋体" w:hAnsi="宋体" w:cs="宋体"/>
          <w:color w:val="000000"/>
          <w:sz w:val="24"/>
          <w:highlight w:val="none"/>
        </w:rPr>
        <w:t>投标人</w:t>
      </w:r>
      <w:r>
        <w:rPr>
          <w:rFonts w:ascii="宋体" w:hAnsi="宋体" w:cs="宋体"/>
          <w:color w:val="000000"/>
          <w:sz w:val="24"/>
          <w:highlight w:val="none"/>
        </w:rPr>
        <w:t>不足</w:t>
      </w:r>
      <w:r>
        <w:rPr>
          <w:rFonts w:hint="eastAsia" w:ascii="Times New Roman" w:hAnsi="Times New Roman"/>
          <w:color w:val="000000"/>
          <w:kern w:val="0"/>
          <w:sz w:val="24"/>
          <w:szCs w:val="24"/>
          <w:highlight w:val="none"/>
        </w:rPr>
        <w:t>三家的处理：</w:t>
      </w:r>
    </w:p>
    <w:p w14:paraId="7C80F06A">
      <w:pPr>
        <w:shd w:val="clear"/>
        <w:spacing w:line="440" w:lineRule="exact"/>
        <w:ind w:firstLine="720" w:firstLineChars="3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26.2.7如出现投标截止时间结束后参加投标的投标人或者在评标期间对招标文件做出实质响应的投标人不足三家情况，按政府采购相关规定执行。</w:t>
      </w:r>
    </w:p>
    <w:p w14:paraId="63C0E062">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82" w:name="_Toc9362"/>
      <w:bookmarkStart w:id="83" w:name="_Toc15817"/>
      <w:bookmarkStart w:id="84" w:name="_Toc19188"/>
      <w:bookmarkStart w:id="85" w:name="_Toc17432"/>
      <w:bookmarkStart w:id="86" w:name="_Toc13187"/>
      <w:bookmarkStart w:id="87" w:name="_Toc48"/>
      <w:bookmarkStart w:id="88" w:name="_Toc6218"/>
      <w:bookmarkStart w:id="89" w:name="_Toc16931"/>
      <w:bookmarkStart w:id="90" w:name="_Toc8595"/>
      <w:bookmarkStart w:id="91" w:name="_Toc207"/>
      <w:bookmarkStart w:id="92" w:name="_Toc881"/>
      <w:bookmarkStart w:id="93" w:name="_Toc30141"/>
      <w:r>
        <w:rPr>
          <w:rFonts w:ascii="Times New Roman" w:hAnsi="Times New Roman"/>
          <w:b/>
          <w:bCs/>
          <w:color w:val="000000"/>
          <w:sz w:val="32"/>
          <w:szCs w:val="32"/>
          <w:highlight w:val="none"/>
        </w:rPr>
        <w:t>六、</w:t>
      </w:r>
      <w:bookmarkEnd w:id="82"/>
      <w:bookmarkEnd w:id="83"/>
      <w:bookmarkEnd w:id="84"/>
      <w:bookmarkEnd w:id="85"/>
      <w:bookmarkEnd w:id="86"/>
      <w:bookmarkEnd w:id="87"/>
      <w:r>
        <w:rPr>
          <w:rFonts w:hint="eastAsia" w:ascii="Times New Roman" w:hAnsi="Times New Roman"/>
          <w:b/>
          <w:bCs/>
          <w:color w:val="000000"/>
          <w:sz w:val="32"/>
          <w:szCs w:val="32"/>
          <w:highlight w:val="none"/>
        </w:rPr>
        <w:t>定标</w:t>
      </w:r>
      <w:bookmarkEnd w:id="88"/>
      <w:bookmarkEnd w:id="89"/>
      <w:bookmarkEnd w:id="90"/>
      <w:bookmarkEnd w:id="91"/>
      <w:bookmarkEnd w:id="92"/>
      <w:bookmarkEnd w:id="93"/>
    </w:p>
    <w:p w14:paraId="3E7EC468">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27、确定中标单位</w:t>
      </w:r>
    </w:p>
    <w:p w14:paraId="4D3BC609">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 xml:space="preserve">27.1中标候选人的选取原则和数量见招标文件第五章规定。 </w:t>
      </w:r>
    </w:p>
    <w:p w14:paraId="267A7C7D">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27.2 采购人应根据评委会推荐的中标候选人确定中标人。</w:t>
      </w:r>
    </w:p>
    <w:p w14:paraId="495E65B4">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27.3 代理机构将在指定媒体上发布中标公告，公告期限为1个工作日。</w:t>
      </w:r>
    </w:p>
    <w:p w14:paraId="3C1E13CE">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27.4  若有充分证据证明，中标人出现下列情况之一的，一经查实，将被取消中标资格：</w:t>
      </w:r>
    </w:p>
    <w:p w14:paraId="3E945A45">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27.4.1提供虚假材料谋取中标的。</w:t>
      </w:r>
    </w:p>
    <w:p w14:paraId="7ED2C9F9">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27.4.2向采购人、代理机构行贿或者提供其他不正当利益的。</w:t>
      </w:r>
    </w:p>
    <w:p w14:paraId="5590A304">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27.4.3属于本文件规定的无效条件，但在评标过程中又未被评委会发现的。</w:t>
      </w:r>
    </w:p>
    <w:p w14:paraId="6C83BE8A">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27.4.4与采购人或者其他投标人恶意串通的。</w:t>
      </w:r>
    </w:p>
    <w:p w14:paraId="6118FDB4">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27.4.5采取不正当手段诋毁、排挤其他投标人的。</w:t>
      </w:r>
    </w:p>
    <w:p w14:paraId="489ADFD9">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27.5. 有下列情形之一的，视为投标人串通投标，投标无效：</w:t>
      </w:r>
    </w:p>
    <w:p w14:paraId="1D77154B">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27.5.1不同投标人的投标文件由同一单位或者个人编制；</w:t>
      </w:r>
    </w:p>
    <w:p w14:paraId="26F601D1">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27.5.2不同投标人委托同一单位或者个人办理投标事宜；</w:t>
      </w:r>
    </w:p>
    <w:p w14:paraId="1D58122E">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27.5.3 不同投标人的投标文件载明的项目管理成员或者联系人员为同一人；</w:t>
      </w:r>
    </w:p>
    <w:p w14:paraId="70CA5FB1">
      <w:pPr>
        <w:shd w:val="clear"/>
        <w:spacing w:line="440" w:lineRule="exact"/>
        <w:ind w:firstLine="787" w:firstLineChars="328"/>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28.5.4不同投标人的投标文件异常一致或者投标报价呈规律性差异。</w:t>
      </w:r>
    </w:p>
    <w:p w14:paraId="46DB17E9">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28、质疑处理</w:t>
      </w:r>
    </w:p>
    <w:p w14:paraId="17E6DA36">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28.1 提出质疑的投标人应当是参与所质疑项目采购活动的投标人，潜在投标人已依法获取其可质疑的招标文件的，</w:t>
      </w:r>
      <w:r>
        <w:rPr>
          <w:rFonts w:ascii="Times New Roman" w:hAnsi="Times New Roman"/>
          <w:color w:val="000000"/>
          <w:kern w:val="0"/>
          <w:sz w:val="24"/>
          <w:szCs w:val="24"/>
          <w:highlight w:val="none"/>
        </w:rPr>
        <w:t>可以对该文件提出质疑。</w:t>
      </w:r>
      <w:r>
        <w:rPr>
          <w:rFonts w:hint="eastAsia" w:ascii="Times New Roman" w:hAnsi="Times New Roman"/>
          <w:color w:val="000000"/>
          <w:kern w:val="0"/>
          <w:sz w:val="24"/>
          <w:szCs w:val="24"/>
          <w:highlight w:val="none"/>
        </w:rPr>
        <w:t>请将</w:t>
      </w:r>
      <w:bookmarkStart w:id="94" w:name="_Hlk98510751"/>
      <w:r>
        <w:rPr>
          <w:rFonts w:hint="eastAsia" w:ascii="Times New Roman" w:hAnsi="Times New Roman"/>
          <w:color w:val="000000"/>
          <w:kern w:val="0"/>
          <w:sz w:val="24"/>
          <w:szCs w:val="24"/>
          <w:highlight w:val="none"/>
        </w:rPr>
        <w:t>获取采购文件后打印留存的</w:t>
      </w:r>
      <w:r>
        <w:rPr>
          <w:rFonts w:ascii="Times New Roman" w:hAnsi="Times New Roman"/>
          <w:color w:val="000000"/>
          <w:kern w:val="0"/>
          <w:sz w:val="24"/>
          <w:szCs w:val="24"/>
          <w:highlight w:val="none"/>
        </w:rPr>
        <w:t>《投标供应商确认函》</w:t>
      </w:r>
      <w:r>
        <w:rPr>
          <w:rFonts w:hint="eastAsia" w:ascii="Times New Roman" w:hAnsi="Times New Roman"/>
          <w:color w:val="000000"/>
          <w:kern w:val="0"/>
          <w:sz w:val="24"/>
          <w:szCs w:val="24"/>
          <w:highlight w:val="none"/>
        </w:rPr>
        <w:t>等</w:t>
      </w:r>
      <w:bookmarkEnd w:id="94"/>
      <w:r>
        <w:rPr>
          <w:rFonts w:hint="eastAsia" w:ascii="Times New Roman" w:hAnsi="Times New Roman"/>
          <w:color w:val="000000"/>
          <w:kern w:val="0"/>
          <w:sz w:val="24"/>
          <w:szCs w:val="24"/>
          <w:highlight w:val="none"/>
        </w:rPr>
        <w:t>必要的证明材料与质疑函一起递交，否则不予受理。</w:t>
      </w:r>
    </w:p>
    <w:p w14:paraId="34B80E2F">
      <w:pPr>
        <w:shd w:val="clear"/>
        <w:spacing w:line="440" w:lineRule="exact"/>
        <w:ind w:firstLine="480"/>
        <w:rPr>
          <w:rFonts w:ascii="Times New Roman" w:hAnsi="Times New Roman"/>
          <w:color w:val="000000"/>
          <w:kern w:val="0"/>
          <w:sz w:val="24"/>
          <w:szCs w:val="24"/>
          <w:highlight w:val="none"/>
        </w:rPr>
      </w:pPr>
      <w:r>
        <w:rPr>
          <w:rFonts w:hint="eastAsia" w:ascii="宋体" w:hAnsi="宋体"/>
          <w:color w:val="000000"/>
          <w:sz w:val="24"/>
          <w:szCs w:val="24"/>
          <w:highlight w:val="none"/>
        </w:rPr>
        <w:t>投标人对</w:t>
      </w:r>
      <w:r>
        <w:rPr>
          <w:rFonts w:ascii="宋体" w:hAnsi="宋体"/>
          <w:color w:val="000000"/>
          <w:sz w:val="24"/>
          <w:szCs w:val="24"/>
          <w:highlight w:val="none"/>
        </w:rPr>
        <w:t>采购方式、</w:t>
      </w:r>
      <w:r>
        <w:rPr>
          <w:rFonts w:hint="eastAsia" w:ascii="宋体" w:hAnsi="宋体"/>
          <w:color w:val="000000"/>
          <w:sz w:val="24"/>
          <w:szCs w:val="24"/>
          <w:highlight w:val="none"/>
        </w:rPr>
        <w:t>招标文件中采购</w:t>
      </w:r>
      <w:r>
        <w:rPr>
          <w:rFonts w:ascii="宋体" w:hAnsi="宋体"/>
          <w:color w:val="000000"/>
          <w:sz w:val="24"/>
          <w:szCs w:val="24"/>
          <w:highlight w:val="none"/>
        </w:rPr>
        <w:t>需求、</w:t>
      </w:r>
      <w:r>
        <w:rPr>
          <w:rFonts w:hint="eastAsia" w:ascii="宋体" w:hAnsi="宋体"/>
          <w:color w:val="000000"/>
          <w:sz w:val="24"/>
          <w:szCs w:val="24"/>
          <w:highlight w:val="none"/>
        </w:rPr>
        <w:t>投标人</w:t>
      </w:r>
      <w:r>
        <w:rPr>
          <w:rFonts w:ascii="宋体" w:hAnsi="宋体"/>
          <w:color w:val="000000"/>
          <w:sz w:val="24"/>
          <w:szCs w:val="24"/>
          <w:highlight w:val="none"/>
        </w:rPr>
        <w:t>资格条件、</w:t>
      </w:r>
      <w:r>
        <w:rPr>
          <w:rFonts w:hint="eastAsia" w:ascii="宋体" w:hAnsi="宋体"/>
          <w:color w:val="000000"/>
          <w:sz w:val="24"/>
          <w:szCs w:val="24"/>
          <w:highlight w:val="none"/>
        </w:rPr>
        <w:t>评标方法</w:t>
      </w:r>
      <w:r>
        <w:rPr>
          <w:rFonts w:ascii="宋体" w:hAnsi="宋体"/>
          <w:color w:val="000000"/>
          <w:sz w:val="24"/>
          <w:szCs w:val="24"/>
          <w:highlight w:val="none"/>
        </w:rPr>
        <w:t>和评标标准、合同文本</w:t>
      </w:r>
      <w:r>
        <w:rPr>
          <w:rFonts w:hint="eastAsia" w:ascii="宋体" w:hAnsi="宋体"/>
          <w:color w:val="000000"/>
          <w:sz w:val="24"/>
          <w:szCs w:val="24"/>
          <w:highlight w:val="none"/>
        </w:rPr>
        <w:t>及</w:t>
      </w:r>
      <w:r>
        <w:rPr>
          <w:rFonts w:ascii="宋体" w:hAnsi="宋体"/>
          <w:color w:val="000000"/>
          <w:sz w:val="24"/>
          <w:szCs w:val="24"/>
          <w:highlight w:val="none"/>
        </w:rPr>
        <w:t>资格</w:t>
      </w:r>
      <w:r>
        <w:rPr>
          <w:rFonts w:hint="eastAsia" w:ascii="宋体" w:hAnsi="宋体"/>
          <w:color w:val="000000"/>
          <w:sz w:val="24"/>
          <w:szCs w:val="24"/>
          <w:highlight w:val="none"/>
        </w:rPr>
        <w:t>审查结果的</w:t>
      </w:r>
      <w:r>
        <w:rPr>
          <w:rFonts w:ascii="宋体" w:hAnsi="宋体"/>
          <w:color w:val="000000"/>
          <w:sz w:val="24"/>
          <w:szCs w:val="24"/>
          <w:highlight w:val="none"/>
        </w:rPr>
        <w:t>询问</w:t>
      </w:r>
      <w:r>
        <w:rPr>
          <w:rFonts w:hint="eastAsia" w:ascii="宋体" w:hAnsi="宋体"/>
          <w:color w:val="000000"/>
          <w:sz w:val="24"/>
          <w:szCs w:val="24"/>
          <w:highlight w:val="none"/>
        </w:rPr>
        <w:t>、质疑</w:t>
      </w:r>
      <w:r>
        <w:rPr>
          <w:rFonts w:ascii="宋体" w:hAnsi="宋体"/>
          <w:color w:val="000000"/>
          <w:sz w:val="24"/>
          <w:szCs w:val="24"/>
          <w:highlight w:val="none"/>
        </w:rPr>
        <w:t>请向采购人提出，由采购人负责答复。</w:t>
      </w:r>
      <w:r>
        <w:rPr>
          <w:rFonts w:hint="eastAsia" w:ascii="宋体" w:hAnsi="宋体"/>
          <w:color w:val="000000"/>
          <w:sz w:val="24"/>
          <w:szCs w:val="24"/>
          <w:highlight w:val="none"/>
        </w:rPr>
        <w:t>投标人对</w:t>
      </w:r>
      <w:r>
        <w:rPr>
          <w:rFonts w:ascii="宋体" w:hAnsi="宋体"/>
          <w:color w:val="000000"/>
          <w:sz w:val="24"/>
          <w:szCs w:val="24"/>
          <w:highlight w:val="none"/>
        </w:rPr>
        <w:t>其他事项</w:t>
      </w:r>
      <w:r>
        <w:rPr>
          <w:rFonts w:hint="eastAsia" w:ascii="宋体" w:hAnsi="宋体"/>
          <w:color w:val="000000"/>
          <w:sz w:val="24"/>
          <w:szCs w:val="24"/>
          <w:highlight w:val="none"/>
        </w:rPr>
        <w:t>的询问</w:t>
      </w:r>
      <w:r>
        <w:rPr>
          <w:rFonts w:ascii="宋体" w:hAnsi="宋体"/>
          <w:color w:val="000000"/>
          <w:sz w:val="24"/>
          <w:szCs w:val="24"/>
          <w:highlight w:val="none"/>
        </w:rPr>
        <w:t>、质疑请向代理机构提出，由代理机构</w:t>
      </w:r>
      <w:r>
        <w:rPr>
          <w:rFonts w:hint="eastAsia" w:ascii="宋体" w:hAnsi="宋体"/>
          <w:color w:val="000000"/>
          <w:sz w:val="24"/>
          <w:szCs w:val="24"/>
          <w:highlight w:val="none"/>
        </w:rPr>
        <w:t>负责</w:t>
      </w:r>
      <w:r>
        <w:rPr>
          <w:rFonts w:ascii="宋体" w:hAnsi="宋体"/>
          <w:color w:val="000000"/>
          <w:sz w:val="24"/>
          <w:szCs w:val="24"/>
          <w:highlight w:val="none"/>
        </w:rPr>
        <w:t>答复。</w:t>
      </w:r>
    </w:p>
    <w:p w14:paraId="595A50F4">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28.2 投标人认为招标文件、采购过程和采购结果使自己的权益受到损害的，可以在知道或应知其权益受到损害之日起七个工作日内，以书面形式向采购人或代理机构提出质疑。上述应知其权益受到损害之日，是指：</w:t>
      </w:r>
    </w:p>
    <w:p w14:paraId="647B4053">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w:t>
      </w:r>
      <w:r>
        <w:rPr>
          <w:rFonts w:ascii="Times New Roman" w:hAnsi="Times New Roman"/>
          <w:color w:val="000000"/>
          <w:kern w:val="0"/>
          <w:sz w:val="24"/>
          <w:szCs w:val="24"/>
          <w:highlight w:val="none"/>
        </w:rPr>
        <w:t>对可以质疑的</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提出质疑的，为收到</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之日或者</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公告期限届满之日；</w:t>
      </w:r>
    </w:p>
    <w:p w14:paraId="49632559">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w:t>
      </w:r>
      <w:r>
        <w:rPr>
          <w:rFonts w:ascii="Times New Roman" w:hAnsi="Times New Roman"/>
          <w:color w:val="000000"/>
          <w:kern w:val="0"/>
          <w:sz w:val="24"/>
          <w:szCs w:val="24"/>
          <w:highlight w:val="none"/>
        </w:rPr>
        <w:t>对采购过程提出质疑的，为各采购程序环节结束之日；</w:t>
      </w:r>
    </w:p>
    <w:p w14:paraId="738BE813">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（3）</w:t>
      </w:r>
      <w:r>
        <w:rPr>
          <w:rFonts w:ascii="Times New Roman" w:hAnsi="Times New Roman"/>
          <w:color w:val="000000"/>
          <w:kern w:val="0"/>
          <w:sz w:val="24"/>
          <w:szCs w:val="24"/>
          <w:highlight w:val="none"/>
        </w:rPr>
        <w:t>对中标或者中标结果提出质疑的，为中标或者中标结果公告期限届满之日。</w:t>
      </w:r>
    </w:p>
    <w:p w14:paraId="63F3A146">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投标人应当在法定质疑期内一次性提出针对同一采购程序环节的质疑。投标人如在法定期限内对同一采购程序环节提出多次质疑的，代理机构、</w:t>
      </w:r>
      <w:r>
        <w:rPr>
          <w:rFonts w:ascii="Times New Roman" w:hAnsi="Times New Roman"/>
          <w:color w:val="000000"/>
          <w:kern w:val="0"/>
          <w:sz w:val="24"/>
          <w:szCs w:val="24"/>
          <w:highlight w:val="none"/>
        </w:rPr>
        <w:t>采购人</w:t>
      </w:r>
      <w:r>
        <w:rPr>
          <w:rFonts w:hint="eastAsia" w:ascii="Times New Roman" w:hAnsi="Times New Roman"/>
          <w:color w:val="000000"/>
          <w:kern w:val="0"/>
          <w:sz w:val="24"/>
          <w:szCs w:val="24"/>
          <w:highlight w:val="none"/>
        </w:rPr>
        <w:t>将只对投标人第一次质疑作出答复。</w:t>
      </w:r>
    </w:p>
    <w:p w14:paraId="42F596AF">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28.3 投标人提出质疑应当提交质疑函和必要的证明材料，其中质疑函必须按照《质疑函范本》要求的格式和内容进行填写。投标人如组成联合体参加投标，则《质疑函范本》中要求签字、盖章、加盖公章之处，联合体各方均须按要求签字、盖章、加盖公章。</w:t>
      </w:r>
    </w:p>
    <w:p w14:paraId="1BA0094F">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28.4 代理机构及采购人只接收以纸质原件形式送达（当场送达或邮寄方式）的质疑。</w:t>
      </w:r>
    </w:p>
    <w:p w14:paraId="6CC916F2">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代理机构质疑接收部门为：涵熙（苏州）工程顾问有限公司，联系地址：常熟市山茶花路10号。</w:t>
      </w:r>
    </w:p>
    <w:p w14:paraId="371FA35E">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质疑接收人及联系方式见招标文件“第一章 投标邀请”。</w:t>
      </w:r>
    </w:p>
    <w:p w14:paraId="3C0423C7">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28.5 以下情形的质疑不予受理</w:t>
      </w:r>
    </w:p>
    <w:p w14:paraId="4BC2DB47">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（1）内容不符合《政府采购质疑和投诉办法》第十二条规定的质疑。</w:t>
      </w:r>
    </w:p>
    <w:p w14:paraId="0602C1D8">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（2）超出政府采购法定期限的质疑。</w:t>
      </w:r>
    </w:p>
    <w:p w14:paraId="3D51F637">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（3）以传真、电子邮件等方式递交的非原件形式的质疑。</w:t>
      </w:r>
    </w:p>
    <w:p w14:paraId="29B6DEAC">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（4）未参加投标活动的投标人或在投标活动中自身权益未受到损害的投标人所提出的质疑。</w:t>
      </w:r>
    </w:p>
    <w:p w14:paraId="7FFE7260">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（5）如投标人组成联合体参加投标，联合体中任何一方或多方未按要求签字或盖章、加盖公章的质疑。</w:t>
      </w:r>
    </w:p>
    <w:p w14:paraId="5D962CF1">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28.6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p>
    <w:p w14:paraId="10455FCF">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29、中标通知书</w:t>
      </w:r>
    </w:p>
    <w:p w14:paraId="6971DA9E">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29</w:t>
      </w:r>
      <w:r>
        <w:rPr>
          <w:rFonts w:ascii="Times New Roman" w:hAnsi="Times New Roman"/>
          <w:color w:val="000000"/>
          <w:kern w:val="0"/>
          <w:sz w:val="24"/>
          <w:szCs w:val="24"/>
          <w:highlight w:val="none"/>
        </w:rPr>
        <w:t>.1</w:t>
      </w:r>
      <w:r>
        <w:rPr>
          <w:rFonts w:hint="eastAsia" w:ascii="Times New Roman" w:hAnsi="Times New Roman"/>
          <w:color w:val="000000"/>
          <w:kern w:val="0"/>
          <w:sz w:val="24"/>
          <w:szCs w:val="24"/>
          <w:highlight w:val="none"/>
        </w:rPr>
        <w:t>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44AAE61C">
      <w:pPr>
        <w:shd w:val="clear"/>
        <w:spacing w:line="440" w:lineRule="exact"/>
        <w:ind w:firstLine="48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29</w:t>
      </w:r>
      <w:r>
        <w:rPr>
          <w:rFonts w:ascii="Times New Roman" w:hAnsi="Times New Roman"/>
          <w:color w:val="000000"/>
          <w:kern w:val="0"/>
          <w:sz w:val="24"/>
          <w:szCs w:val="24"/>
          <w:highlight w:val="none"/>
        </w:rPr>
        <w:t>.2</w:t>
      </w:r>
      <w:r>
        <w:rPr>
          <w:rFonts w:hint="eastAsia" w:ascii="Times New Roman" w:hAnsi="Times New Roman"/>
          <w:color w:val="000000"/>
          <w:kern w:val="0"/>
          <w:sz w:val="24"/>
          <w:szCs w:val="24"/>
          <w:highlight w:val="none"/>
        </w:rPr>
        <w:t>中标</w:t>
      </w:r>
      <w:r>
        <w:rPr>
          <w:rFonts w:ascii="Times New Roman" w:hAnsi="Times New Roman"/>
          <w:color w:val="000000"/>
          <w:kern w:val="0"/>
          <w:sz w:val="24"/>
          <w:szCs w:val="24"/>
          <w:highlight w:val="none"/>
        </w:rPr>
        <w:t>通知书将是合同的一个组成部分。对采购人和</w:t>
      </w:r>
      <w:r>
        <w:rPr>
          <w:rFonts w:hint="eastAsia" w:ascii="Times New Roman" w:hAnsi="Times New Roman"/>
          <w:color w:val="000000"/>
          <w:kern w:val="0"/>
          <w:sz w:val="24"/>
          <w:szCs w:val="24"/>
          <w:highlight w:val="none"/>
        </w:rPr>
        <w:t>中标人</w:t>
      </w:r>
      <w:r>
        <w:rPr>
          <w:rFonts w:ascii="Times New Roman" w:hAnsi="Times New Roman"/>
          <w:color w:val="000000"/>
          <w:kern w:val="0"/>
          <w:sz w:val="24"/>
          <w:szCs w:val="24"/>
          <w:highlight w:val="none"/>
        </w:rPr>
        <w:t>均具有法律效力。</w:t>
      </w:r>
      <w:r>
        <w:rPr>
          <w:rFonts w:hint="eastAsia" w:ascii="Times New Roman" w:hAnsi="Times New Roman"/>
          <w:color w:val="000000"/>
          <w:kern w:val="0"/>
          <w:sz w:val="24"/>
          <w:szCs w:val="24"/>
          <w:highlight w:val="none"/>
        </w:rPr>
        <w:t>中标</w:t>
      </w:r>
      <w:r>
        <w:rPr>
          <w:rFonts w:ascii="Times New Roman" w:hAnsi="Times New Roman"/>
          <w:color w:val="000000"/>
          <w:kern w:val="0"/>
          <w:sz w:val="24"/>
          <w:szCs w:val="24"/>
          <w:highlight w:val="none"/>
        </w:rPr>
        <w:t>通知书发出后，采购人改变</w:t>
      </w:r>
      <w:r>
        <w:rPr>
          <w:rFonts w:hint="eastAsia" w:ascii="Times New Roman" w:hAnsi="Times New Roman"/>
          <w:color w:val="000000"/>
          <w:kern w:val="0"/>
          <w:sz w:val="24"/>
          <w:szCs w:val="24"/>
          <w:highlight w:val="none"/>
        </w:rPr>
        <w:t>中标</w:t>
      </w:r>
      <w:r>
        <w:rPr>
          <w:rFonts w:ascii="Times New Roman" w:hAnsi="Times New Roman"/>
          <w:color w:val="000000"/>
          <w:kern w:val="0"/>
          <w:sz w:val="24"/>
          <w:szCs w:val="24"/>
          <w:highlight w:val="none"/>
        </w:rPr>
        <w:t>结果的，或者</w:t>
      </w:r>
      <w:r>
        <w:rPr>
          <w:rFonts w:hint="eastAsia" w:ascii="Times New Roman" w:hAnsi="Times New Roman"/>
          <w:color w:val="000000"/>
          <w:kern w:val="0"/>
          <w:sz w:val="24"/>
          <w:szCs w:val="24"/>
          <w:highlight w:val="none"/>
        </w:rPr>
        <w:t>中标人</w:t>
      </w:r>
      <w:r>
        <w:rPr>
          <w:rFonts w:ascii="Times New Roman" w:hAnsi="Times New Roman"/>
          <w:color w:val="000000"/>
          <w:kern w:val="0"/>
          <w:sz w:val="24"/>
          <w:szCs w:val="24"/>
          <w:highlight w:val="none"/>
        </w:rPr>
        <w:t>放弃</w:t>
      </w:r>
      <w:r>
        <w:rPr>
          <w:rFonts w:hint="eastAsia" w:ascii="Times New Roman" w:hAnsi="Times New Roman"/>
          <w:color w:val="000000"/>
          <w:kern w:val="0"/>
          <w:sz w:val="24"/>
          <w:szCs w:val="24"/>
          <w:highlight w:val="none"/>
        </w:rPr>
        <w:t>中标</w:t>
      </w:r>
      <w:r>
        <w:rPr>
          <w:rFonts w:ascii="Times New Roman" w:hAnsi="Times New Roman"/>
          <w:color w:val="000000"/>
          <w:kern w:val="0"/>
          <w:sz w:val="24"/>
          <w:szCs w:val="24"/>
          <w:highlight w:val="none"/>
        </w:rPr>
        <w:t>项目的，应当依法承担法律责任。</w:t>
      </w:r>
    </w:p>
    <w:p w14:paraId="19427EEF">
      <w:pPr>
        <w:keepNext/>
        <w:keepLines/>
        <w:shd w:val="clear"/>
        <w:spacing w:before="152" w:beforeLines="50" w:after="152" w:afterLines="50" w:line="440" w:lineRule="exact"/>
        <w:outlineLvl w:val="2"/>
        <w:rPr>
          <w:rFonts w:ascii="Times New Roman" w:hAnsi="Times New Roman"/>
          <w:b/>
          <w:bCs/>
          <w:color w:val="000000"/>
          <w:sz w:val="32"/>
          <w:szCs w:val="32"/>
          <w:highlight w:val="none"/>
        </w:rPr>
      </w:pPr>
      <w:bookmarkStart w:id="95" w:name="_Toc24233"/>
      <w:bookmarkStart w:id="96" w:name="_Toc21840"/>
      <w:bookmarkStart w:id="97" w:name="_Toc17654"/>
      <w:bookmarkStart w:id="98" w:name="_Toc1951"/>
      <w:bookmarkStart w:id="99" w:name="_Toc31598"/>
      <w:bookmarkStart w:id="100" w:name="_Toc4987"/>
      <w:bookmarkStart w:id="101" w:name="_Toc31507"/>
      <w:bookmarkStart w:id="102" w:name="_Toc8381"/>
      <w:bookmarkStart w:id="103" w:name="_Toc31645"/>
      <w:bookmarkStart w:id="104" w:name="_Toc22686"/>
      <w:bookmarkStart w:id="105" w:name="_Toc11451"/>
      <w:bookmarkStart w:id="106" w:name="_Toc1387"/>
      <w:r>
        <w:rPr>
          <w:rFonts w:ascii="Times New Roman" w:hAnsi="Times New Roman"/>
          <w:b/>
          <w:bCs/>
          <w:color w:val="000000"/>
          <w:sz w:val="32"/>
          <w:szCs w:val="32"/>
          <w:highlight w:val="none"/>
        </w:rPr>
        <w:t>七、授予合同</w:t>
      </w:r>
      <w:bookmarkEnd w:id="95"/>
      <w:bookmarkEnd w:id="96"/>
      <w:bookmarkEnd w:id="97"/>
      <w:bookmarkEnd w:id="98"/>
      <w:bookmarkEnd w:id="99"/>
      <w:bookmarkEnd w:id="100"/>
      <w:bookmarkEnd w:id="101"/>
      <w:bookmarkEnd w:id="102"/>
      <w:bookmarkEnd w:id="103"/>
      <w:bookmarkEnd w:id="104"/>
      <w:bookmarkEnd w:id="105"/>
      <w:bookmarkEnd w:id="106"/>
    </w:p>
    <w:p w14:paraId="6338F8F4">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30、签订合同</w:t>
      </w:r>
    </w:p>
    <w:p w14:paraId="76D46ACA">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3</w:t>
      </w:r>
      <w:r>
        <w:rPr>
          <w:rFonts w:hint="eastAsia" w:ascii="Times New Roman" w:hAnsi="Times New Roman"/>
          <w:color w:val="000000"/>
          <w:kern w:val="0"/>
          <w:sz w:val="24"/>
          <w:szCs w:val="24"/>
          <w:highlight w:val="none"/>
        </w:rPr>
        <w:t>0</w:t>
      </w:r>
      <w:r>
        <w:rPr>
          <w:rFonts w:ascii="Times New Roman" w:hAnsi="Times New Roman"/>
          <w:color w:val="000000"/>
          <w:kern w:val="0"/>
          <w:sz w:val="24"/>
          <w:szCs w:val="24"/>
          <w:highlight w:val="none"/>
        </w:rPr>
        <w:t>.l</w:t>
      </w:r>
      <w:r>
        <w:rPr>
          <w:rFonts w:hint="eastAsia" w:ascii="Times New Roman" w:hAnsi="Times New Roman"/>
          <w:color w:val="000000"/>
          <w:kern w:val="0"/>
          <w:sz w:val="24"/>
          <w:szCs w:val="24"/>
          <w:highlight w:val="none"/>
        </w:rPr>
        <w:t>中标人</w:t>
      </w:r>
      <w:r>
        <w:rPr>
          <w:rFonts w:ascii="Times New Roman" w:hAnsi="Times New Roman"/>
          <w:color w:val="000000"/>
          <w:kern w:val="0"/>
          <w:sz w:val="24"/>
          <w:szCs w:val="24"/>
          <w:highlight w:val="none"/>
        </w:rPr>
        <w:t>应当在</w:t>
      </w:r>
      <w:r>
        <w:rPr>
          <w:rFonts w:hint="eastAsia" w:ascii="Times New Roman" w:hAnsi="Times New Roman"/>
          <w:color w:val="000000"/>
          <w:kern w:val="0"/>
          <w:sz w:val="24"/>
          <w:szCs w:val="24"/>
          <w:highlight w:val="none"/>
        </w:rPr>
        <w:t>中标</w:t>
      </w:r>
      <w:r>
        <w:rPr>
          <w:rFonts w:ascii="Times New Roman" w:hAnsi="Times New Roman"/>
          <w:color w:val="000000"/>
          <w:kern w:val="0"/>
          <w:sz w:val="24"/>
          <w:szCs w:val="24"/>
          <w:highlight w:val="none"/>
        </w:rPr>
        <w:t>通知书发出之日起三十日内，按照</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确定的事项与采购人签订政府采购合同。</w:t>
      </w:r>
    </w:p>
    <w:p w14:paraId="334AE081">
      <w:pPr>
        <w:shd w:val="clear"/>
        <w:spacing w:line="440" w:lineRule="exact"/>
        <w:ind w:firstLine="480"/>
        <w:rPr>
          <w:rFonts w:ascii="Times New Roman" w:hAnsi="Times New Roman"/>
          <w:color w:val="000000"/>
          <w:kern w:val="0"/>
          <w:sz w:val="24"/>
          <w:szCs w:val="24"/>
          <w:highlight w:val="none"/>
        </w:rPr>
      </w:pPr>
      <w:r>
        <w:rPr>
          <w:rFonts w:ascii="Times New Roman" w:hAnsi="Times New Roman"/>
          <w:color w:val="000000"/>
          <w:kern w:val="0"/>
          <w:sz w:val="24"/>
          <w:szCs w:val="24"/>
          <w:highlight w:val="none"/>
        </w:rPr>
        <w:t>3</w:t>
      </w:r>
      <w:r>
        <w:rPr>
          <w:rFonts w:hint="eastAsia" w:ascii="Times New Roman" w:hAnsi="Times New Roman"/>
          <w:color w:val="000000"/>
          <w:kern w:val="0"/>
          <w:sz w:val="24"/>
          <w:szCs w:val="24"/>
          <w:highlight w:val="none"/>
        </w:rPr>
        <w:t>0</w:t>
      </w:r>
      <w:r>
        <w:rPr>
          <w:rFonts w:ascii="Times New Roman" w:hAnsi="Times New Roman"/>
          <w:color w:val="000000"/>
          <w:kern w:val="0"/>
          <w:sz w:val="24"/>
          <w:szCs w:val="24"/>
          <w:highlight w:val="none"/>
        </w:rPr>
        <w:t>.2</w:t>
      </w:r>
      <w:r>
        <w:rPr>
          <w:rFonts w:hint="eastAsia" w:ascii="Times New Roman" w:hAnsi="Times New Roman"/>
          <w:color w:val="000000"/>
          <w:kern w:val="0"/>
          <w:sz w:val="24"/>
          <w:szCs w:val="24"/>
          <w:highlight w:val="none"/>
        </w:rPr>
        <w:t>招标文件</w:t>
      </w:r>
      <w:r>
        <w:rPr>
          <w:rFonts w:ascii="Times New Roman" w:hAnsi="Times New Roman"/>
          <w:color w:val="000000"/>
          <w:kern w:val="0"/>
          <w:sz w:val="24"/>
          <w:szCs w:val="24"/>
          <w:highlight w:val="none"/>
        </w:rPr>
        <w:t>、</w:t>
      </w:r>
      <w:r>
        <w:rPr>
          <w:rFonts w:hint="eastAsia" w:ascii="Times New Roman" w:hAnsi="Times New Roman"/>
          <w:color w:val="000000"/>
          <w:kern w:val="0"/>
          <w:sz w:val="24"/>
          <w:szCs w:val="24"/>
          <w:highlight w:val="none"/>
        </w:rPr>
        <w:t>中标人</w:t>
      </w:r>
      <w:r>
        <w:rPr>
          <w:rFonts w:ascii="Times New Roman" w:hAnsi="Times New Roman"/>
          <w:color w:val="000000"/>
          <w:kern w:val="0"/>
          <w:sz w:val="24"/>
          <w:szCs w:val="24"/>
          <w:highlight w:val="none"/>
        </w:rPr>
        <w:t>的</w:t>
      </w:r>
      <w:r>
        <w:rPr>
          <w:rFonts w:hint="eastAsia" w:ascii="Times New Roman" w:hAnsi="Times New Roman"/>
          <w:color w:val="000000"/>
          <w:kern w:val="0"/>
          <w:sz w:val="24"/>
          <w:szCs w:val="24"/>
          <w:highlight w:val="none"/>
        </w:rPr>
        <w:t>投标文件</w:t>
      </w:r>
      <w:r>
        <w:rPr>
          <w:rFonts w:ascii="Times New Roman" w:hAnsi="Times New Roman"/>
          <w:color w:val="000000"/>
          <w:kern w:val="0"/>
          <w:sz w:val="24"/>
          <w:szCs w:val="24"/>
          <w:highlight w:val="none"/>
        </w:rPr>
        <w:t>及</w:t>
      </w:r>
      <w:r>
        <w:rPr>
          <w:rFonts w:hint="eastAsia" w:ascii="Times New Roman" w:hAnsi="Times New Roman"/>
          <w:color w:val="000000"/>
          <w:kern w:val="0"/>
          <w:sz w:val="24"/>
          <w:szCs w:val="24"/>
          <w:highlight w:val="none"/>
          <w:lang w:eastAsia="zh-CN"/>
        </w:rPr>
        <w:t>投标</w:t>
      </w:r>
      <w:r>
        <w:rPr>
          <w:rFonts w:ascii="Times New Roman" w:hAnsi="Times New Roman"/>
          <w:color w:val="000000"/>
          <w:kern w:val="0"/>
          <w:sz w:val="24"/>
          <w:szCs w:val="24"/>
          <w:highlight w:val="none"/>
        </w:rPr>
        <w:t>过程中有关澄清、承诺文件均应作为合同附件。</w:t>
      </w:r>
    </w:p>
    <w:p w14:paraId="0FEA74C7">
      <w:pPr>
        <w:shd w:val="clear"/>
        <w:spacing w:line="440" w:lineRule="exact"/>
        <w:ind w:firstLine="480"/>
        <w:rPr>
          <w:rFonts w:hint="eastAsia" w:ascii="Times New Roman" w:hAnsi="Times New Roman" w:eastAsia="宋体"/>
          <w:color w:val="000000"/>
          <w:kern w:val="0"/>
          <w:sz w:val="24"/>
          <w:szCs w:val="24"/>
          <w:highlight w:val="none"/>
          <w:lang w:val="en-US" w:eastAsia="zh-CN"/>
        </w:rPr>
      </w:pPr>
      <w:r>
        <w:rPr>
          <w:rFonts w:ascii="Times New Roman" w:hAnsi="Times New Roman"/>
          <w:color w:val="000000"/>
          <w:kern w:val="0"/>
          <w:sz w:val="24"/>
          <w:szCs w:val="24"/>
          <w:highlight w:val="none"/>
        </w:rPr>
        <w:t>3</w:t>
      </w:r>
      <w:r>
        <w:rPr>
          <w:rFonts w:hint="eastAsia" w:ascii="Times New Roman" w:hAnsi="Times New Roman"/>
          <w:color w:val="000000"/>
          <w:kern w:val="0"/>
          <w:sz w:val="24"/>
          <w:szCs w:val="24"/>
          <w:highlight w:val="none"/>
        </w:rPr>
        <w:t>0</w:t>
      </w:r>
      <w:r>
        <w:rPr>
          <w:rFonts w:ascii="Times New Roman" w:hAnsi="Times New Roman"/>
          <w:color w:val="000000"/>
          <w:kern w:val="0"/>
          <w:sz w:val="24"/>
          <w:szCs w:val="24"/>
          <w:highlight w:val="none"/>
        </w:rPr>
        <w:t>.3</w:t>
      </w:r>
      <w:r>
        <w:rPr>
          <w:rFonts w:hint="eastAsia" w:ascii="Times New Roman" w:hAnsi="Times New Roman"/>
          <w:color w:val="000000"/>
          <w:kern w:val="0"/>
          <w:sz w:val="24"/>
          <w:szCs w:val="24"/>
          <w:highlight w:val="none"/>
        </w:rPr>
        <w:t>签订合同后，中标人不得将合同标的进行转包。未经采购人同意，中标人也不得采用分包的形式履行合同，否则采购人有权终止合同。转包或分包造成采购人损失的，中标人应承担相应赔偿责任。</w:t>
      </w:r>
    </w:p>
    <w:p w14:paraId="4133B383">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31、标的物的追加</w:t>
      </w:r>
    </w:p>
    <w:p w14:paraId="797D7388">
      <w:pPr>
        <w:shd w:val="clear"/>
        <w:spacing w:line="440" w:lineRule="exact"/>
        <w:ind w:firstLine="480"/>
        <w:rPr>
          <w:rFonts w:hint="eastAsia" w:ascii="Times New Roman" w:hAnsi="Times New Roman" w:eastAsia="宋体"/>
          <w:color w:val="000000"/>
          <w:kern w:val="0"/>
          <w:sz w:val="24"/>
          <w:szCs w:val="24"/>
          <w:highlight w:val="none"/>
          <w:lang w:eastAsia="zh-CN"/>
        </w:rPr>
      </w:pPr>
      <w:r>
        <w:rPr>
          <w:rFonts w:ascii="Times New Roman" w:hAnsi="Times New Roman"/>
          <w:color w:val="000000"/>
          <w:kern w:val="0"/>
          <w:sz w:val="24"/>
          <w:szCs w:val="24"/>
          <w:highlight w:val="none"/>
        </w:rPr>
        <w:t>3</w:t>
      </w:r>
      <w:r>
        <w:rPr>
          <w:rFonts w:hint="eastAsia" w:ascii="Times New Roman" w:hAnsi="Times New Roman"/>
          <w:color w:val="000000"/>
          <w:kern w:val="0"/>
          <w:sz w:val="24"/>
          <w:szCs w:val="24"/>
          <w:highlight w:val="none"/>
        </w:rPr>
        <w:t>1</w:t>
      </w:r>
      <w:r>
        <w:rPr>
          <w:rFonts w:ascii="Times New Roman" w:hAnsi="Times New Roman"/>
          <w:color w:val="000000"/>
          <w:kern w:val="0"/>
          <w:sz w:val="24"/>
          <w:szCs w:val="24"/>
          <w:highlight w:val="none"/>
        </w:rPr>
        <w:t>.1政府采购合同履行中，采购人需追加与合同标的相同的货物、服务（包含与货物相关的服务及与服务相关的货物）的，在不改变合同其他条款的前提下，可以与</w:t>
      </w:r>
      <w:r>
        <w:rPr>
          <w:rFonts w:hint="eastAsia" w:ascii="Times New Roman" w:hAnsi="Times New Roman"/>
          <w:color w:val="000000"/>
          <w:kern w:val="0"/>
          <w:sz w:val="24"/>
          <w:szCs w:val="24"/>
          <w:highlight w:val="none"/>
        </w:rPr>
        <w:t>中标人</w:t>
      </w:r>
      <w:r>
        <w:rPr>
          <w:rFonts w:ascii="Times New Roman" w:hAnsi="Times New Roman"/>
          <w:color w:val="000000"/>
          <w:kern w:val="0"/>
          <w:sz w:val="24"/>
          <w:szCs w:val="24"/>
          <w:highlight w:val="none"/>
        </w:rPr>
        <w:t>协商签订补充合同，但所有补充合同的采购金额不超过原合同金额10%。</w:t>
      </w:r>
    </w:p>
    <w:p w14:paraId="168D7FB9">
      <w:pPr>
        <w:keepNext/>
        <w:keepLines/>
        <w:shd w:val="clear"/>
        <w:spacing w:line="440" w:lineRule="exact"/>
        <w:ind w:firstLine="138" w:firstLineChars="49"/>
        <w:rPr>
          <w:rFonts w:ascii="Times New Roman" w:hAnsi="Times New Roman"/>
          <w:b/>
          <w:color w:val="000000"/>
          <w:kern w:val="0"/>
          <w:sz w:val="28"/>
          <w:szCs w:val="28"/>
          <w:highlight w:val="none"/>
        </w:rPr>
      </w:pPr>
      <w:r>
        <w:rPr>
          <w:rFonts w:hint="eastAsia" w:ascii="Times New Roman" w:hAnsi="Times New Roman"/>
          <w:b/>
          <w:color w:val="000000"/>
          <w:kern w:val="0"/>
          <w:sz w:val="28"/>
          <w:szCs w:val="28"/>
          <w:highlight w:val="none"/>
        </w:rPr>
        <w:t>32、政府采购履约资金扶持政策</w:t>
      </w:r>
    </w:p>
    <w:p w14:paraId="0841F2E8">
      <w:pPr>
        <w:shd w:val="clear"/>
        <w:tabs>
          <w:tab w:val="left" w:pos="200"/>
        </w:tabs>
        <w:spacing w:line="440" w:lineRule="exact"/>
        <w:ind w:firstLine="480" w:firstLineChars="200"/>
        <w:rPr>
          <w:rFonts w:ascii="Times New Roman" w:hAnsi="Times New Roman"/>
          <w:color w:val="000000"/>
          <w:kern w:val="0"/>
          <w:sz w:val="24"/>
          <w:szCs w:val="24"/>
          <w:highlight w:val="none"/>
        </w:rPr>
      </w:pPr>
      <w:r>
        <w:rPr>
          <w:rFonts w:hint="eastAsia" w:ascii="Times New Roman" w:hAnsi="Times New Roman"/>
          <w:color w:val="000000"/>
          <w:kern w:val="0"/>
          <w:sz w:val="24"/>
          <w:szCs w:val="24"/>
          <w:highlight w:val="none"/>
        </w:rPr>
        <w:t>中标人</w:t>
      </w:r>
      <w:r>
        <w:rPr>
          <w:rFonts w:ascii="Times New Roman" w:hAnsi="Times New Roman"/>
          <w:color w:val="000000"/>
          <w:kern w:val="0"/>
          <w:sz w:val="24"/>
          <w:szCs w:val="24"/>
          <w:highlight w:val="none"/>
        </w:rPr>
        <w:t>可凭政府采购合同办理融资贷款</w:t>
      </w:r>
      <w:r>
        <w:rPr>
          <w:rFonts w:hint="eastAsia" w:ascii="Times New Roman" w:hAnsi="Times New Roman"/>
          <w:color w:val="000000"/>
          <w:kern w:val="0"/>
          <w:sz w:val="24"/>
          <w:szCs w:val="24"/>
          <w:highlight w:val="none"/>
        </w:rPr>
        <w:t>，详情请见苏州市政府采购网“政府采购合同信用融资”专栏。</w:t>
      </w:r>
    </w:p>
    <w:p w14:paraId="32585137">
      <w:pPr>
        <w:shd w:val="clear"/>
        <w:spacing w:line="480" w:lineRule="exact"/>
        <w:rPr>
          <w:rFonts w:ascii="宋体" w:hAnsi="宋体" w:cs="宋体"/>
          <w:sz w:val="24"/>
          <w:szCs w:val="24"/>
          <w:highlight w:val="none"/>
        </w:rPr>
      </w:pPr>
      <w:r>
        <w:rPr>
          <w:color w:val="000000" w:themeColor="text1"/>
          <w:highlight w:val="none"/>
          <w14:textFill>
            <w14:solidFill>
              <w14:schemeClr w14:val="tx1"/>
            </w14:solidFill>
          </w14:textFill>
        </w:rPr>
        <w:br w:type="page"/>
      </w:r>
    </w:p>
    <w:p w14:paraId="70C61FEB">
      <w:pPr>
        <w:pStyle w:val="7"/>
        <w:shd w:val="clear"/>
        <w:rPr>
          <w:rFonts w:ascii="Times New Roman" w:hAnsi="Times New Roman"/>
          <w:highlight w:val="none"/>
        </w:rPr>
      </w:pPr>
      <w:bookmarkStart w:id="107" w:name="_Toc9908"/>
      <w:bookmarkStart w:id="108" w:name="_Toc1178"/>
      <w:bookmarkStart w:id="109" w:name="_Toc315875321"/>
      <w:bookmarkStart w:id="110" w:name="_Toc158691774"/>
      <w:bookmarkStart w:id="111" w:name="_Toc315868058"/>
      <w:r>
        <w:rPr>
          <w:rFonts w:ascii="Times New Roman" w:hAnsi="Times New Roman"/>
          <w:highlight w:val="none"/>
        </w:rPr>
        <w:t>第</w:t>
      </w:r>
      <w:r>
        <w:rPr>
          <w:rFonts w:hint="eastAsia" w:ascii="Times New Roman" w:hAnsi="Times New Roman"/>
          <w:highlight w:val="none"/>
        </w:rPr>
        <w:t>三</w:t>
      </w:r>
      <w:r>
        <w:rPr>
          <w:rFonts w:ascii="Times New Roman" w:hAnsi="Times New Roman"/>
          <w:highlight w:val="none"/>
        </w:rPr>
        <w:t>章 合同</w:t>
      </w:r>
      <w:bookmarkEnd w:id="107"/>
      <w:r>
        <w:rPr>
          <w:rFonts w:hint="eastAsia" w:ascii="Times New Roman" w:hAnsi="Times New Roman"/>
          <w:highlight w:val="none"/>
        </w:rPr>
        <w:t>文本</w:t>
      </w:r>
      <w:bookmarkEnd w:id="108"/>
    </w:p>
    <w:p w14:paraId="566026E9">
      <w:pPr>
        <w:shd w:val="clear"/>
        <w:spacing w:before="305" w:beforeLines="100"/>
        <w:ind w:right="105" w:rightChars="50" w:firstLine="6720" w:firstLineChars="2800"/>
        <w:rPr>
          <w:rFonts w:ascii="宋体" w:hAnsi="宋体" w:cs="宋体"/>
          <w:b/>
          <w:bCs/>
          <w:kern w:val="0"/>
          <w:sz w:val="72"/>
          <w:szCs w:val="72"/>
          <w:highlight w:val="none"/>
        </w:rPr>
      </w:pPr>
      <w:r>
        <w:rPr>
          <w:rFonts w:hint="eastAsia" w:ascii="宋体" w:hAnsi="宋体" w:cs="宋体"/>
          <w:sz w:val="24"/>
          <w:szCs w:val="24"/>
          <w:highlight w:val="none"/>
        </w:rPr>
        <w:t>合同编号：</w:t>
      </w:r>
    </w:p>
    <w:p w14:paraId="33588D40">
      <w:pPr>
        <w:shd w:val="clear"/>
        <w:spacing w:before="305" w:beforeLines="100"/>
        <w:ind w:right="105" w:rightChars="50" w:firstLine="2530" w:firstLineChars="350"/>
        <w:rPr>
          <w:rFonts w:ascii="宋体" w:hAnsi="宋体" w:cs="宋体"/>
          <w:b/>
          <w:bCs/>
          <w:kern w:val="0"/>
          <w:sz w:val="72"/>
          <w:szCs w:val="72"/>
          <w:highlight w:val="none"/>
        </w:rPr>
      </w:pPr>
      <w:r>
        <w:rPr>
          <w:rFonts w:hint="eastAsia" w:ascii="宋体" w:hAnsi="宋体" w:cs="宋体"/>
          <w:b/>
          <w:bCs/>
          <w:kern w:val="0"/>
          <w:sz w:val="72"/>
          <w:szCs w:val="72"/>
          <w:highlight w:val="none"/>
        </w:rPr>
        <w:t>政府采购合同</w:t>
      </w:r>
    </w:p>
    <w:p w14:paraId="1FCE779E">
      <w:pPr>
        <w:shd w:val="clear"/>
        <w:spacing w:line="420" w:lineRule="exact"/>
        <w:ind w:firstLine="1807" w:firstLineChars="250"/>
        <w:rPr>
          <w:rFonts w:ascii="宋体" w:hAnsi="宋体" w:cs="宋体"/>
          <w:b/>
          <w:bCs/>
          <w:kern w:val="0"/>
          <w:sz w:val="72"/>
          <w:szCs w:val="72"/>
          <w:highlight w:val="none"/>
        </w:rPr>
      </w:pPr>
    </w:p>
    <w:p w14:paraId="36F95F7D">
      <w:pPr>
        <w:shd w:val="clear"/>
        <w:spacing w:line="420" w:lineRule="exact"/>
        <w:ind w:firstLine="1807" w:firstLineChars="250"/>
        <w:rPr>
          <w:rFonts w:ascii="宋体" w:hAnsi="宋体" w:cs="宋体"/>
          <w:b/>
          <w:bCs/>
          <w:kern w:val="0"/>
          <w:sz w:val="72"/>
          <w:szCs w:val="72"/>
          <w:highlight w:val="none"/>
        </w:rPr>
      </w:pPr>
    </w:p>
    <w:p w14:paraId="2AE61D21">
      <w:pPr>
        <w:shd w:val="clear"/>
        <w:autoSpaceDE w:val="0"/>
        <w:autoSpaceDN w:val="0"/>
        <w:adjustRightInd w:val="0"/>
        <w:spacing w:line="480" w:lineRule="exact"/>
        <w:ind w:firstLine="200"/>
        <w:jc w:val="center"/>
        <w:rPr>
          <w:rFonts w:ascii="宋体" w:hAnsi="宋体" w:cs="宋体"/>
          <w:b/>
          <w:kern w:val="0"/>
          <w:sz w:val="28"/>
          <w:szCs w:val="28"/>
          <w:highlight w:val="none"/>
        </w:rPr>
      </w:pPr>
      <w:r>
        <w:rPr>
          <w:rFonts w:hint="eastAsia" w:ascii="宋体" w:hAnsi="宋体" w:cs="宋体"/>
          <w:b/>
          <w:kern w:val="0"/>
          <w:sz w:val="28"/>
          <w:szCs w:val="28"/>
          <w:highlight w:val="none"/>
        </w:rPr>
        <w:t>第一部分 合同书</w:t>
      </w:r>
    </w:p>
    <w:p w14:paraId="547309AB">
      <w:pPr>
        <w:widowControl/>
        <w:shd w:val="clear"/>
        <w:spacing w:before="120" w:after="160" w:line="22" w:lineRule="atLeast"/>
        <w:rPr>
          <w:rFonts w:ascii="宋体" w:hAnsi="宋体" w:cs="宋体"/>
          <w:bCs/>
          <w:kern w:val="0"/>
          <w:sz w:val="24"/>
          <w:szCs w:val="24"/>
          <w:highlight w:val="none"/>
        </w:rPr>
      </w:pPr>
    </w:p>
    <w:p w14:paraId="47FEBF5D">
      <w:pPr>
        <w:widowControl/>
        <w:shd w:val="clear"/>
        <w:spacing w:before="120" w:after="160" w:line="22" w:lineRule="atLeast"/>
        <w:jc w:val="center"/>
        <w:rPr>
          <w:rFonts w:hint="eastAsia" w:ascii="宋体" w:hAnsi="宋体" w:eastAsia="宋体" w:cs="宋体"/>
          <w:b/>
          <w:bCs/>
          <w:kern w:val="0"/>
          <w:sz w:val="36"/>
          <w:szCs w:val="36"/>
          <w:highlight w:val="none"/>
          <w:u w:val="single"/>
          <w:lang w:eastAsia="zh-CN"/>
        </w:rPr>
      </w:pPr>
      <w:r>
        <w:rPr>
          <w:rFonts w:hint="eastAsia" w:ascii="宋体" w:hAnsi="宋体" w:cs="宋体"/>
          <w:b/>
          <w:bCs/>
          <w:kern w:val="0"/>
          <w:sz w:val="36"/>
          <w:szCs w:val="36"/>
          <w:highlight w:val="none"/>
        </w:rPr>
        <w:t>项目名称：</w:t>
      </w:r>
      <w:r>
        <w:rPr>
          <w:rFonts w:hint="eastAsia" w:ascii="宋体" w:hAnsi="宋体" w:cs="宋体"/>
          <w:sz w:val="36"/>
          <w:szCs w:val="36"/>
          <w:highlight w:val="none"/>
          <w:u w:val="single"/>
          <w:lang w:eastAsia="zh-CN"/>
        </w:rPr>
        <w:t>2025年度常熟市市级河道保洁服务</w:t>
      </w:r>
    </w:p>
    <w:p w14:paraId="3BC16663">
      <w:pPr>
        <w:widowControl/>
        <w:shd w:val="clear"/>
        <w:spacing w:before="120" w:after="160" w:line="22" w:lineRule="atLeast"/>
        <w:ind w:firstLine="1807" w:firstLineChars="500"/>
        <w:rPr>
          <w:rFonts w:hint="eastAsia" w:ascii="宋体" w:hAnsi="宋体" w:eastAsia="宋体" w:cs="宋体"/>
          <w:b/>
          <w:bCs/>
          <w:kern w:val="0"/>
          <w:sz w:val="36"/>
          <w:szCs w:val="36"/>
          <w:highlight w:val="none"/>
          <w:lang w:eastAsia="zh-CN"/>
        </w:rPr>
      </w:pPr>
      <w:r>
        <w:rPr>
          <w:rFonts w:hint="eastAsia" w:ascii="宋体" w:hAnsi="宋体" w:cs="宋体"/>
          <w:b/>
          <w:bCs/>
          <w:kern w:val="0"/>
          <w:sz w:val="36"/>
          <w:szCs w:val="36"/>
          <w:highlight w:val="none"/>
        </w:rPr>
        <w:t>项目编号：</w:t>
      </w:r>
      <w:r>
        <w:rPr>
          <w:rFonts w:hint="eastAsia" w:ascii="宋体" w:hAnsi="宋体" w:cs="宋体"/>
          <w:sz w:val="36"/>
          <w:szCs w:val="36"/>
          <w:highlight w:val="none"/>
          <w:u w:val="single"/>
          <w:lang w:eastAsia="zh-CN"/>
        </w:rPr>
        <w:t>JSZC-320581-HXGW-G2024-0101</w:t>
      </w:r>
    </w:p>
    <w:p w14:paraId="4A0BFC06">
      <w:pPr>
        <w:widowControl/>
        <w:shd w:val="clear"/>
        <w:spacing w:before="120" w:after="160" w:line="22" w:lineRule="atLeast"/>
        <w:ind w:firstLine="1807" w:firstLineChars="500"/>
        <w:rPr>
          <w:rFonts w:hint="eastAsia" w:ascii="宋体" w:hAnsi="宋体" w:cs="宋体"/>
          <w:b/>
          <w:bCs/>
          <w:kern w:val="0"/>
          <w:sz w:val="36"/>
          <w:szCs w:val="36"/>
          <w:highlight w:val="none"/>
        </w:rPr>
      </w:pPr>
      <w:r>
        <w:rPr>
          <w:rFonts w:hint="eastAsia" w:ascii="宋体" w:hAnsi="宋体" w:cs="宋体"/>
          <w:b/>
          <w:bCs/>
          <w:kern w:val="0"/>
          <w:sz w:val="36"/>
          <w:szCs w:val="36"/>
          <w:highlight w:val="none"/>
        </w:rPr>
        <w:t>分 包 号：</w:t>
      </w:r>
      <w:r>
        <w:rPr>
          <w:rFonts w:hint="eastAsia" w:ascii="宋体" w:hAnsi="宋体" w:cs="宋体"/>
          <w:sz w:val="36"/>
          <w:szCs w:val="36"/>
          <w:highlight w:val="none"/>
          <w:u w:val="single"/>
          <w:lang w:val="en-US" w:eastAsia="zh-CN"/>
        </w:rPr>
        <w:t xml:space="preserve">               </w:t>
      </w:r>
      <w:r>
        <w:rPr>
          <w:rFonts w:hint="eastAsia" w:ascii="宋体" w:hAnsi="宋体" w:cs="宋体"/>
          <w:b/>
          <w:bCs/>
          <w:kern w:val="0"/>
          <w:sz w:val="36"/>
          <w:szCs w:val="36"/>
          <w:highlight w:val="none"/>
        </w:rPr>
        <w:t xml:space="preserve"> </w:t>
      </w:r>
    </w:p>
    <w:p w14:paraId="780E995B">
      <w:pPr>
        <w:widowControl/>
        <w:shd w:val="clear"/>
        <w:spacing w:before="120" w:after="160" w:line="22" w:lineRule="atLeast"/>
        <w:ind w:firstLine="1807" w:firstLineChars="500"/>
        <w:rPr>
          <w:rFonts w:hint="eastAsia" w:ascii="宋体" w:hAnsi="宋体" w:cs="宋体"/>
          <w:b/>
          <w:bCs/>
          <w:kern w:val="0"/>
          <w:sz w:val="36"/>
          <w:szCs w:val="36"/>
          <w:highlight w:val="none"/>
        </w:rPr>
      </w:pPr>
      <w:r>
        <w:rPr>
          <w:rFonts w:hint="eastAsia" w:ascii="宋体" w:hAnsi="宋体" w:cs="宋体"/>
          <w:b/>
          <w:bCs/>
          <w:kern w:val="0"/>
          <w:sz w:val="36"/>
          <w:szCs w:val="36"/>
          <w:highlight w:val="none"/>
        </w:rPr>
        <w:t>分包名称：</w:t>
      </w:r>
      <w:r>
        <w:rPr>
          <w:rFonts w:hint="eastAsia" w:ascii="宋体" w:hAnsi="宋体" w:cs="宋体"/>
          <w:sz w:val="36"/>
          <w:szCs w:val="36"/>
          <w:highlight w:val="none"/>
          <w:u w:val="single"/>
          <w:lang w:val="en-US" w:eastAsia="zh-CN"/>
        </w:rPr>
        <w:t xml:space="preserve">               </w:t>
      </w:r>
      <w:r>
        <w:rPr>
          <w:rFonts w:hint="eastAsia" w:ascii="宋体" w:hAnsi="宋体" w:cs="宋体"/>
          <w:b/>
          <w:bCs/>
          <w:kern w:val="0"/>
          <w:sz w:val="36"/>
          <w:szCs w:val="36"/>
          <w:highlight w:val="none"/>
        </w:rPr>
        <w:t xml:space="preserve">   </w:t>
      </w:r>
    </w:p>
    <w:p w14:paraId="68D824BA">
      <w:pPr>
        <w:shd w:val="clear"/>
        <w:spacing w:line="420" w:lineRule="exact"/>
        <w:ind w:firstLine="1807" w:firstLineChars="250"/>
        <w:rPr>
          <w:rFonts w:ascii="宋体" w:hAnsi="宋体" w:cs="宋体"/>
          <w:b/>
          <w:bCs/>
          <w:kern w:val="0"/>
          <w:sz w:val="72"/>
          <w:szCs w:val="72"/>
          <w:highlight w:val="none"/>
        </w:rPr>
      </w:pPr>
    </w:p>
    <w:p w14:paraId="7B13DF94">
      <w:pPr>
        <w:shd w:val="clear"/>
        <w:spacing w:before="120" w:line="22" w:lineRule="atLeast"/>
        <w:ind w:left="960" w:firstLine="840" w:firstLineChars="350"/>
        <w:rPr>
          <w:bCs/>
          <w:sz w:val="24"/>
          <w:szCs w:val="24"/>
          <w:highlight w:val="none"/>
          <w:u w:val="single"/>
        </w:rPr>
      </w:pPr>
      <w:r>
        <w:rPr>
          <w:rFonts w:hint="eastAsia"/>
          <w:bCs/>
          <w:sz w:val="24"/>
          <w:szCs w:val="24"/>
          <w:highlight w:val="none"/>
        </w:rPr>
        <w:t>甲方（采  购  人）：</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p>
    <w:p w14:paraId="719E9CF9">
      <w:pPr>
        <w:shd w:val="clear"/>
        <w:spacing w:before="120" w:line="22" w:lineRule="atLeast"/>
        <w:ind w:left="960" w:firstLine="840" w:firstLineChars="350"/>
        <w:rPr>
          <w:bCs/>
          <w:sz w:val="24"/>
          <w:szCs w:val="24"/>
          <w:highlight w:val="none"/>
          <w:u w:val="single"/>
        </w:rPr>
      </w:pPr>
      <w:r>
        <w:rPr>
          <w:rFonts w:hint="eastAsia"/>
          <w:bCs/>
          <w:sz w:val="24"/>
          <w:szCs w:val="24"/>
          <w:highlight w:val="none"/>
        </w:rPr>
        <w:t>乙方（中  标  人）：</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p>
    <w:p w14:paraId="20419695">
      <w:pPr>
        <w:shd w:val="clear"/>
        <w:spacing w:before="120" w:line="22" w:lineRule="atLeast"/>
        <w:ind w:left="960" w:firstLine="840" w:firstLineChars="350"/>
        <w:rPr>
          <w:bCs/>
          <w:sz w:val="24"/>
          <w:szCs w:val="24"/>
          <w:highlight w:val="none"/>
          <w:u w:val="single"/>
        </w:rPr>
      </w:pPr>
      <w:r>
        <w:rPr>
          <w:rFonts w:hint="eastAsia" w:ascii="Times New Roman" w:hAnsi="Times New Roman"/>
          <w:bCs/>
          <w:sz w:val="24"/>
          <w:szCs w:val="24"/>
          <w:highlight w:val="none"/>
        </w:rPr>
        <w:t>信用融资回款账户：</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p>
    <w:p w14:paraId="240CA226">
      <w:pPr>
        <w:shd w:val="clear"/>
        <w:spacing w:before="120" w:line="22" w:lineRule="atLeast"/>
        <w:ind w:left="960" w:firstLine="840" w:firstLineChars="350"/>
        <w:rPr>
          <w:rFonts w:ascii="Times New Roman" w:hAnsi="Times New Roman"/>
          <w:bCs/>
          <w:sz w:val="24"/>
          <w:szCs w:val="24"/>
          <w:highlight w:val="none"/>
        </w:rPr>
      </w:pPr>
      <w:r>
        <w:rPr>
          <w:rFonts w:hint="eastAsia" w:ascii="Times New Roman" w:hAnsi="Times New Roman"/>
          <w:bCs/>
          <w:sz w:val="24"/>
          <w:szCs w:val="24"/>
          <w:highlight w:val="none"/>
        </w:rPr>
        <w:t>开户银行：</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  </w:t>
      </w:r>
    </w:p>
    <w:p w14:paraId="00871208">
      <w:pPr>
        <w:shd w:val="clear"/>
        <w:spacing w:before="120" w:line="22" w:lineRule="atLeast"/>
        <w:ind w:firstLine="1800" w:firstLineChars="750"/>
        <w:rPr>
          <w:bCs/>
          <w:sz w:val="24"/>
          <w:szCs w:val="24"/>
          <w:highlight w:val="none"/>
          <w:u w:val="single"/>
        </w:rPr>
      </w:pPr>
      <w:r>
        <w:rPr>
          <w:rFonts w:hint="eastAsia"/>
          <w:bCs/>
          <w:sz w:val="24"/>
          <w:szCs w:val="24"/>
          <w:highlight w:val="none"/>
        </w:rPr>
        <w:t>签 订 地：</w:t>
      </w:r>
      <w:r>
        <w:rPr>
          <w:rFonts w:hint="eastAsia"/>
          <w:bCs/>
          <w:sz w:val="24"/>
          <w:szCs w:val="24"/>
          <w:highlight w:val="none"/>
          <w:u w:val="single"/>
        </w:rPr>
        <w:t xml:space="preserve">            常熟市                </w:t>
      </w:r>
    </w:p>
    <w:p w14:paraId="4F815910">
      <w:pPr>
        <w:shd w:val="clear"/>
        <w:spacing w:before="120" w:line="22" w:lineRule="atLeast"/>
        <w:ind w:firstLine="1800" w:firstLineChars="750"/>
        <w:rPr>
          <w:bCs/>
          <w:sz w:val="24"/>
          <w:szCs w:val="24"/>
          <w:highlight w:val="none"/>
          <w:u w:val="single"/>
        </w:rPr>
      </w:pPr>
      <w:r>
        <w:rPr>
          <w:rFonts w:hint="eastAsia"/>
          <w:sz w:val="24"/>
          <w:szCs w:val="24"/>
          <w:highlight w:val="none"/>
        </w:rPr>
        <w:t>签订日期：</w:t>
      </w:r>
      <w:r>
        <w:rPr>
          <w:rFonts w:hint="eastAsia"/>
          <w:sz w:val="24"/>
          <w:szCs w:val="24"/>
          <w:highlight w:val="none"/>
          <w:u w:val="single"/>
        </w:rPr>
        <w:t xml:space="preserve">               </w:t>
      </w:r>
      <w:r>
        <w:rPr>
          <w:rFonts w:hint="eastAsia"/>
          <w:sz w:val="24"/>
          <w:szCs w:val="24"/>
          <w:highlight w:val="none"/>
        </w:rPr>
        <w:t>年</w:t>
      </w:r>
      <w:r>
        <w:rPr>
          <w:rFonts w:hint="eastAsia"/>
          <w:sz w:val="24"/>
          <w:szCs w:val="24"/>
          <w:highlight w:val="none"/>
          <w:u w:val="single"/>
        </w:rPr>
        <w:t xml:space="preserve">       </w:t>
      </w:r>
      <w:r>
        <w:rPr>
          <w:rFonts w:hint="eastAsia"/>
          <w:sz w:val="24"/>
          <w:szCs w:val="24"/>
          <w:highlight w:val="none"/>
        </w:rPr>
        <w:t>月</w:t>
      </w:r>
      <w:r>
        <w:rPr>
          <w:rFonts w:hint="eastAsia"/>
          <w:sz w:val="24"/>
          <w:szCs w:val="24"/>
          <w:highlight w:val="none"/>
          <w:u w:val="single"/>
        </w:rPr>
        <w:t xml:space="preserve">       </w:t>
      </w:r>
      <w:r>
        <w:rPr>
          <w:rFonts w:hint="eastAsia"/>
          <w:sz w:val="24"/>
          <w:szCs w:val="24"/>
          <w:highlight w:val="none"/>
        </w:rPr>
        <w:t>日</w:t>
      </w:r>
    </w:p>
    <w:p w14:paraId="4E96AFE2">
      <w:pPr>
        <w:shd w:val="clear"/>
        <w:spacing w:line="440" w:lineRule="exact"/>
        <w:ind w:firstLine="480" w:firstLineChars="200"/>
        <w:rPr>
          <w:sz w:val="24"/>
          <w:szCs w:val="24"/>
          <w:highlight w:val="none"/>
          <w:u w:val="single"/>
          <w:lang w:val="zh-CN"/>
        </w:rPr>
      </w:pPr>
    </w:p>
    <w:p w14:paraId="33A18DCA">
      <w:pPr>
        <w:shd w:val="clear"/>
        <w:spacing w:line="440" w:lineRule="exact"/>
        <w:ind w:firstLine="480" w:firstLineChars="200"/>
        <w:rPr>
          <w:sz w:val="24"/>
          <w:szCs w:val="24"/>
          <w:highlight w:val="none"/>
        </w:rPr>
      </w:pPr>
      <w:r>
        <w:rPr>
          <w:rFonts w:hint="eastAsia"/>
          <w:sz w:val="24"/>
          <w:szCs w:val="24"/>
          <w:highlight w:val="none"/>
          <w:u w:val="single"/>
          <w:lang w:val="zh-CN"/>
        </w:rPr>
        <w:br w:type="page"/>
      </w:r>
      <w:r>
        <w:rPr>
          <w:rFonts w:hint="eastAsia"/>
          <w:sz w:val="24"/>
          <w:szCs w:val="24"/>
          <w:highlight w:val="none"/>
          <w:u w:val="single"/>
          <w:lang w:val="zh-CN"/>
        </w:rPr>
        <w:t xml:space="preserve">        </w:t>
      </w:r>
      <w:r>
        <w:rPr>
          <w:rFonts w:hint="eastAsia"/>
          <w:sz w:val="24"/>
          <w:szCs w:val="24"/>
          <w:highlight w:val="none"/>
          <w:lang w:val="zh-CN"/>
        </w:rPr>
        <w:t>年</w:t>
      </w:r>
      <w:r>
        <w:rPr>
          <w:rFonts w:hint="eastAsia"/>
          <w:sz w:val="24"/>
          <w:szCs w:val="24"/>
          <w:highlight w:val="none"/>
          <w:u w:val="single"/>
          <w:lang w:val="zh-CN"/>
        </w:rPr>
        <w:t xml:space="preserve">    </w:t>
      </w:r>
      <w:r>
        <w:rPr>
          <w:rFonts w:hint="eastAsia"/>
          <w:sz w:val="24"/>
          <w:szCs w:val="24"/>
          <w:highlight w:val="none"/>
          <w:lang w:val="zh-CN"/>
        </w:rPr>
        <w:t>月</w:t>
      </w:r>
      <w:r>
        <w:rPr>
          <w:rFonts w:hint="eastAsia"/>
          <w:sz w:val="24"/>
          <w:szCs w:val="24"/>
          <w:highlight w:val="none"/>
          <w:u w:val="single"/>
          <w:lang w:val="zh-CN"/>
        </w:rPr>
        <w:t xml:space="preserve">    </w:t>
      </w:r>
      <w:r>
        <w:rPr>
          <w:rFonts w:hint="eastAsia"/>
          <w:sz w:val="24"/>
          <w:szCs w:val="24"/>
          <w:highlight w:val="none"/>
          <w:lang w:val="zh-CN"/>
        </w:rPr>
        <w:t>日</w:t>
      </w:r>
      <w:r>
        <w:rPr>
          <w:rFonts w:hint="eastAsia"/>
          <w:sz w:val="24"/>
          <w:szCs w:val="24"/>
          <w:highlight w:val="none"/>
        </w:rPr>
        <w:t>，</w:t>
      </w:r>
      <w:r>
        <w:rPr>
          <w:rFonts w:hint="eastAsia"/>
          <w:sz w:val="24"/>
          <w:szCs w:val="24"/>
          <w:highlight w:val="none"/>
          <w:u w:val="single"/>
        </w:rPr>
        <w:t xml:space="preserve">   （采购人名称）   </w:t>
      </w:r>
      <w:r>
        <w:rPr>
          <w:rFonts w:hint="eastAsia"/>
          <w:sz w:val="24"/>
          <w:szCs w:val="24"/>
          <w:highlight w:val="none"/>
        </w:rPr>
        <w:t>以</w:t>
      </w:r>
      <w:r>
        <w:rPr>
          <w:rFonts w:hint="eastAsia"/>
          <w:sz w:val="24"/>
          <w:szCs w:val="24"/>
          <w:highlight w:val="none"/>
          <w:u w:val="single"/>
        </w:rPr>
        <w:t xml:space="preserve"> </w:t>
      </w:r>
      <w:r>
        <w:rPr>
          <w:rFonts w:hint="eastAsia"/>
          <w:b/>
          <w:bCs/>
          <w:sz w:val="24"/>
          <w:szCs w:val="24"/>
          <w:highlight w:val="none"/>
          <w:u w:val="single"/>
        </w:rPr>
        <w:t>公开招标</w:t>
      </w:r>
      <w:r>
        <w:rPr>
          <w:rFonts w:hint="eastAsia"/>
          <w:sz w:val="24"/>
          <w:szCs w:val="24"/>
          <w:highlight w:val="none"/>
        </w:rPr>
        <w:t xml:space="preserve"> 对</w:t>
      </w:r>
      <w:r>
        <w:rPr>
          <w:rFonts w:hint="eastAsia"/>
          <w:sz w:val="24"/>
          <w:szCs w:val="24"/>
          <w:highlight w:val="none"/>
          <w:u w:val="single"/>
        </w:rPr>
        <w:t xml:space="preserve">   （同前页项目名称）   </w:t>
      </w:r>
      <w:r>
        <w:rPr>
          <w:rFonts w:hint="eastAsia"/>
          <w:sz w:val="24"/>
          <w:szCs w:val="24"/>
          <w:highlight w:val="none"/>
        </w:rPr>
        <w:t>项目进行了采购。经</w:t>
      </w:r>
      <w:r>
        <w:rPr>
          <w:rFonts w:hint="eastAsia"/>
          <w:sz w:val="24"/>
          <w:szCs w:val="24"/>
          <w:highlight w:val="none"/>
          <w:u w:val="single"/>
        </w:rPr>
        <w:t>评标委员会</w:t>
      </w:r>
      <w:r>
        <w:rPr>
          <w:rFonts w:hint="eastAsia"/>
          <w:sz w:val="24"/>
          <w:szCs w:val="24"/>
          <w:highlight w:val="none"/>
        </w:rPr>
        <w:t>评定，</w:t>
      </w:r>
      <w:r>
        <w:rPr>
          <w:rFonts w:hint="eastAsia"/>
          <w:sz w:val="24"/>
          <w:szCs w:val="24"/>
          <w:highlight w:val="none"/>
          <w:u w:val="single"/>
        </w:rPr>
        <w:t xml:space="preserve">   （中标人名称） </w:t>
      </w:r>
      <w:r>
        <w:rPr>
          <w:rFonts w:hint="eastAsia"/>
          <w:sz w:val="24"/>
          <w:szCs w:val="24"/>
          <w:highlight w:val="none"/>
        </w:rPr>
        <w:t>为该项目</w:t>
      </w:r>
      <w:r>
        <w:rPr>
          <w:rFonts w:hint="eastAsia"/>
          <w:b/>
          <w:bCs w:val="0"/>
          <w:sz w:val="24"/>
          <w:szCs w:val="24"/>
        </w:rPr>
        <w:t>第</w:t>
      </w:r>
      <w:r>
        <w:rPr>
          <w:rFonts w:hint="eastAsia"/>
          <w:b/>
          <w:bCs w:val="0"/>
          <w:sz w:val="24"/>
          <w:szCs w:val="24"/>
          <w:u w:val="single"/>
        </w:rPr>
        <w:t xml:space="preserve">（ </w:t>
      </w:r>
      <w:r>
        <w:rPr>
          <w:b/>
          <w:bCs w:val="0"/>
          <w:sz w:val="24"/>
          <w:szCs w:val="24"/>
          <w:u w:val="single"/>
        </w:rPr>
        <w:t xml:space="preserve">    </w:t>
      </w:r>
      <w:r>
        <w:rPr>
          <w:rFonts w:hint="eastAsia"/>
          <w:b/>
          <w:bCs w:val="0"/>
          <w:sz w:val="24"/>
          <w:szCs w:val="24"/>
          <w:u w:val="single"/>
        </w:rPr>
        <w:t>）</w:t>
      </w:r>
      <w:r>
        <w:rPr>
          <w:rFonts w:hint="eastAsia"/>
          <w:b/>
          <w:bCs w:val="0"/>
          <w:sz w:val="24"/>
          <w:szCs w:val="24"/>
        </w:rPr>
        <w:t>包</w:t>
      </w:r>
      <w:r>
        <w:rPr>
          <w:rFonts w:hint="eastAsia"/>
          <w:sz w:val="24"/>
          <w:szCs w:val="22"/>
        </w:rPr>
        <w:t>中标人</w:t>
      </w:r>
      <w:r>
        <w:rPr>
          <w:rFonts w:hint="eastAsia"/>
          <w:sz w:val="24"/>
          <w:szCs w:val="24"/>
          <w:highlight w:val="none"/>
        </w:rPr>
        <w:t>。现于中标通知书发出之日起三十日内，按照采购文件确定的事项签订本合同。</w:t>
      </w:r>
    </w:p>
    <w:p w14:paraId="4F852795">
      <w:pPr>
        <w:shd w:val="clear"/>
        <w:spacing w:line="440" w:lineRule="exact"/>
        <w:ind w:firstLine="480" w:firstLineChars="200"/>
        <w:rPr>
          <w:sz w:val="24"/>
          <w:szCs w:val="24"/>
          <w:highlight w:val="none"/>
        </w:rPr>
      </w:pPr>
      <w:bookmarkStart w:id="112" w:name="_Hlk63008672"/>
      <w:bookmarkStart w:id="113" w:name="_Hlk63008690"/>
      <w:r>
        <w:rPr>
          <w:sz w:val="24"/>
          <w:szCs w:val="24"/>
          <w:highlight w:val="none"/>
        </w:rPr>
        <w:t>根据《中华人民共和国政府采购法》及</w:t>
      </w:r>
      <w:r>
        <w:rPr>
          <w:rFonts w:hint="eastAsia"/>
          <w:sz w:val="24"/>
          <w:szCs w:val="24"/>
          <w:highlight w:val="none"/>
        </w:rPr>
        <w:t>其</w:t>
      </w:r>
      <w:r>
        <w:rPr>
          <w:sz w:val="24"/>
          <w:szCs w:val="24"/>
          <w:highlight w:val="none"/>
        </w:rPr>
        <w:t>实施条例、</w:t>
      </w:r>
      <w:r>
        <w:rPr>
          <w:rFonts w:hint="eastAsia"/>
          <w:sz w:val="24"/>
          <w:szCs w:val="24"/>
          <w:highlight w:val="none"/>
        </w:rPr>
        <w:t>《中华人民共和国民法典》</w:t>
      </w:r>
      <w:bookmarkEnd w:id="112"/>
      <w:r>
        <w:rPr>
          <w:sz w:val="24"/>
          <w:szCs w:val="24"/>
          <w:highlight w:val="none"/>
        </w:rPr>
        <w:t>等法律法规的规定</w:t>
      </w:r>
      <w:bookmarkEnd w:id="113"/>
      <w:r>
        <w:rPr>
          <w:rFonts w:hint="eastAsia"/>
          <w:sz w:val="24"/>
          <w:szCs w:val="24"/>
          <w:highlight w:val="none"/>
          <w:lang w:val="zh-CN"/>
        </w:rPr>
        <w:t>，按照平等、自愿、公平和诚实信用的原则，经</w:t>
      </w:r>
      <w:r>
        <w:rPr>
          <w:rFonts w:hint="eastAsia"/>
          <w:sz w:val="24"/>
          <w:szCs w:val="24"/>
          <w:highlight w:val="none"/>
          <w:u w:val="single"/>
          <w:lang w:eastAsia="zh-CN"/>
        </w:rPr>
        <w:t>常熟市水务局</w:t>
      </w:r>
      <w:r>
        <w:rPr>
          <w:rFonts w:hint="eastAsia"/>
          <w:sz w:val="24"/>
          <w:szCs w:val="24"/>
          <w:highlight w:val="none"/>
          <w:lang w:val="zh-CN"/>
        </w:rPr>
        <w:t>(以下简称：甲方)和</w:t>
      </w:r>
      <w:r>
        <w:rPr>
          <w:rFonts w:hint="eastAsia"/>
          <w:sz w:val="24"/>
          <w:szCs w:val="24"/>
          <w:highlight w:val="none"/>
          <w:u w:val="single"/>
        </w:rPr>
        <w:t xml:space="preserve">   （中标人名称）   </w:t>
      </w:r>
      <w:r>
        <w:rPr>
          <w:rFonts w:hint="eastAsia"/>
          <w:sz w:val="24"/>
          <w:szCs w:val="24"/>
          <w:highlight w:val="none"/>
          <w:lang w:val="zh-CN"/>
        </w:rPr>
        <w:t>(以下简称：乙方)协商一致，约定以下合同</w:t>
      </w:r>
      <w:r>
        <w:rPr>
          <w:rFonts w:hint="eastAsia"/>
          <w:sz w:val="24"/>
          <w:szCs w:val="24"/>
          <w:highlight w:val="none"/>
        </w:rPr>
        <w:t>条款，以兹共同遵守、全面履行。</w:t>
      </w:r>
    </w:p>
    <w:p w14:paraId="290171B6">
      <w:pPr>
        <w:shd w:val="clear"/>
        <w:spacing w:line="440" w:lineRule="exact"/>
        <w:rPr>
          <w:sz w:val="24"/>
          <w:szCs w:val="24"/>
          <w:highlight w:val="none"/>
        </w:rPr>
      </w:pPr>
      <w:bookmarkStart w:id="114" w:name="_Toc22967"/>
      <w:bookmarkStart w:id="115" w:name="_Toc28855"/>
      <w:bookmarkStart w:id="116" w:name="_Toc19273"/>
      <w:bookmarkStart w:id="117" w:name="_Toc20421"/>
      <w:bookmarkStart w:id="118" w:name="_Toc15367"/>
      <w:r>
        <w:rPr>
          <w:rFonts w:hint="eastAsia"/>
          <w:b/>
          <w:sz w:val="24"/>
          <w:szCs w:val="24"/>
          <w:highlight w:val="none"/>
        </w:rPr>
        <w:t>1.1 合同组成部分</w:t>
      </w:r>
      <w:bookmarkEnd w:id="114"/>
      <w:bookmarkEnd w:id="115"/>
      <w:bookmarkEnd w:id="116"/>
      <w:bookmarkEnd w:id="117"/>
      <w:bookmarkEnd w:id="118"/>
    </w:p>
    <w:p w14:paraId="331DA962">
      <w:pPr>
        <w:shd w:val="clear"/>
        <w:spacing w:line="440" w:lineRule="exact"/>
        <w:ind w:firstLine="480" w:firstLineChars="200"/>
        <w:rPr>
          <w:sz w:val="24"/>
          <w:szCs w:val="24"/>
          <w:highlight w:val="none"/>
        </w:rPr>
      </w:pPr>
      <w:r>
        <w:rPr>
          <w:rFonts w:hint="eastAsia"/>
          <w:sz w:val="24"/>
          <w:szCs w:val="24"/>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DA141BD">
      <w:pPr>
        <w:shd w:val="clear"/>
        <w:spacing w:line="440" w:lineRule="exact"/>
        <w:ind w:firstLine="480" w:firstLineChars="200"/>
        <w:rPr>
          <w:sz w:val="24"/>
          <w:szCs w:val="24"/>
          <w:highlight w:val="none"/>
        </w:rPr>
      </w:pPr>
      <w:r>
        <w:rPr>
          <w:rFonts w:hint="eastAsia"/>
          <w:sz w:val="24"/>
          <w:szCs w:val="24"/>
          <w:highlight w:val="none"/>
        </w:rPr>
        <w:t>1.1.1 本合同及其补充合同、变更协议。</w:t>
      </w:r>
    </w:p>
    <w:p w14:paraId="549000D2">
      <w:pPr>
        <w:shd w:val="clear"/>
        <w:spacing w:line="440" w:lineRule="exact"/>
        <w:ind w:firstLine="480" w:firstLineChars="200"/>
        <w:rPr>
          <w:sz w:val="24"/>
          <w:szCs w:val="24"/>
          <w:highlight w:val="none"/>
        </w:rPr>
      </w:pPr>
      <w:r>
        <w:rPr>
          <w:rFonts w:hint="eastAsia"/>
          <w:sz w:val="24"/>
          <w:szCs w:val="24"/>
          <w:highlight w:val="none"/>
        </w:rPr>
        <w:t>1.1.2 中标通知书。</w:t>
      </w:r>
    </w:p>
    <w:p w14:paraId="3EB3AC0D">
      <w:pPr>
        <w:shd w:val="clear"/>
        <w:spacing w:line="440" w:lineRule="exact"/>
        <w:ind w:firstLine="480" w:firstLineChars="200"/>
        <w:rPr>
          <w:sz w:val="24"/>
          <w:szCs w:val="24"/>
          <w:highlight w:val="none"/>
        </w:rPr>
      </w:pPr>
      <w:r>
        <w:rPr>
          <w:rFonts w:hint="eastAsia"/>
          <w:sz w:val="24"/>
          <w:szCs w:val="24"/>
          <w:highlight w:val="none"/>
        </w:rPr>
        <w:t>1.1.3 投标文件（含澄清或者说明文件）。</w:t>
      </w:r>
    </w:p>
    <w:p w14:paraId="6878319C">
      <w:pPr>
        <w:shd w:val="clear"/>
        <w:spacing w:line="440" w:lineRule="exact"/>
        <w:ind w:firstLine="480" w:firstLineChars="200"/>
        <w:rPr>
          <w:sz w:val="24"/>
          <w:szCs w:val="24"/>
          <w:highlight w:val="none"/>
        </w:rPr>
      </w:pPr>
      <w:r>
        <w:rPr>
          <w:rFonts w:hint="eastAsia"/>
          <w:sz w:val="24"/>
          <w:szCs w:val="24"/>
          <w:highlight w:val="none"/>
        </w:rPr>
        <w:t>1.1.4 招标文件（含澄清或者修改文件）。</w:t>
      </w:r>
    </w:p>
    <w:p w14:paraId="1CC86B13">
      <w:pPr>
        <w:shd w:val="clear"/>
        <w:spacing w:line="440" w:lineRule="exact"/>
        <w:ind w:firstLine="480" w:firstLineChars="200"/>
        <w:rPr>
          <w:sz w:val="24"/>
          <w:szCs w:val="24"/>
          <w:highlight w:val="none"/>
        </w:rPr>
      </w:pPr>
      <w:r>
        <w:rPr>
          <w:rFonts w:hint="eastAsia"/>
          <w:sz w:val="24"/>
          <w:szCs w:val="24"/>
          <w:highlight w:val="none"/>
        </w:rPr>
        <w:t>1.1.5 其他相关采购文件。</w:t>
      </w:r>
    </w:p>
    <w:p w14:paraId="0B7E2180">
      <w:pPr>
        <w:shd w:val="clear"/>
        <w:spacing w:line="440" w:lineRule="exact"/>
        <w:rPr>
          <w:b/>
          <w:sz w:val="24"/>
          <w:szCs w:val="24"/>
          <w:highlight w:val="none"/>
        </w:rPr>
      </w:pPr>
      <w:bookmarkStart w:id="119" w:name="_Toc22185"/>
      <w:bookmarkStart w:id="120" w:name="_Toc18585"/>
      <w:bookmarkStart w:id="121" w:name="_Toc6773"/>
      <w:bookmarkStart w:id="122" w:name="_Toc2918"/>
      <w:bookmarkStart w:id="123" w:name="_Toc6311"/>
      <w:r>
        <w:rPr>
          <w:rFonts w:hint="eastAsia"/>
          <w:b/>
          <w:sz w:val="24"/>
          <w:szCs w:val="24"/>
          <w:highlight w:val="none"/>
        </w:rPr>
        <w:t>1.2 标的</w:t>
      </w:r>
      <w:bookmarkEnd w:id="119"/>
      <w:bookmarkEnd w:id="120"/>
      <w:bookmarkEnd w:id="121"/>
      <w:bookmarkEnd w:id="122"/>
      <w:bookmarkEnd w:id="123"/>
    </w:p>
    <w:p w14:paraId="08EB6AC1">
      <w:pPr>
        <w:shd w:val="clear"/>
        <w:spacing w:line="440" w:lineRule="exact"/>
        <w:ind w:firstLine="480" w:firstLineChars="200"/>
        <w:rPr>
          <w:sz w:val="24"/>
          <w:szCs w:val="24"/>
          <w:highlight w:val="none"/>
          <w:u w:val="single"/>
        </w:rPr>
      </w:pPr>
      <w:r>
        <w:rPr>
          <w:rFonts w:hint="eastAsia"/>
          <w:sz w:val="24"/>
          <w:szCs w:val="24"/>
          <w:highlight w:val="none"/>
        </w:rPr>
        <w:t>1.2.1 标的</w:t>
      </w:r>
      <w:r>
        <w:rPr>
          <w:sz w:val="24"/>
          <w:szCs w:val="24"/>
          <w:highlight w:val="none"/>
        </w:rPr>
        <w:t>名称：</w:t>
      </w:r>
      <w:r>
        <w:rPr>
          <w:rFonts w:hint="eastAsia" w:cs="Segoe UI Symbol"/>
          <w:sz w:val="24"/>
          <w:szCs w:val="24"/>
          <w:highlight w:val="none"/>
          <w:u w:val="single"/>
          <w:lang w:eastAsia="zh-CN"/>
        </w:rPr>
        <w:t>2025年度常熟市市级河道保洁服务</w:t>
      </w:r>
      <w:r>
        <w:rPr>
          <w:rFonts w:hint="eastAsia"/>
          <w:sz w:val="24"/>
          <w:szCs w:val="24"/>
          <w:highlight w:val="none"/>
          <w:u w:val="single"/>
        </w:rPr>
        <w:t>。</w:t>
      </w:r>
    </w:p>
    <w:p w14:paraId="3751B6CC">
      <w:pPr>
        <w:shd w:val="clear"/>
        <w:spacing w:line="440" w:lineRule="exact"/>
        <w:ind w:firstLine="480" w:firstLineChars="200"/>
        <w:rPr>
          <w:sz w:val="24"/>
          <w:szCs w:val="24"/>
          <w:highlight w:val="none"/>
        </w:rPr>
      </w:pPr>
      <w:r>
        <w:rPr>
          <w:rFonts w:hint="eastAsia"/>
          <w:sz w:val="24"/>
          <w:szCs w:val="24"/>
          <w:highlight w:val="none"/>
        </w:rPr>
        <w:t>1.2.2 标的</w:t>
      </w:r>
      <w:r>
        <w:rPr>
          <w:sz w:val="24"/>
          <w:szCs w:val="24"/>
          <w:highlight w:val="none"/>
        </w:rPr>
        <w:t>数量：</w:t>
      </w:r>
      <w:r>
        <w:rPr>
          <w:rFonts w:hint="eastAsia"/>
          <w:sz w:val="24"/>
          <w:szCs w:val="24"/>
          <w:highlight w:val="none"/>
          <w:u w:val="single"/>
        </w:rPr>
        <w:t>1项。</w:t>
      </w:r>
    </w:p>
    <w:p w14:paraId="6F238044">
      <w:pPr>
        <w:shd w:val="clear"/>
        <w:spacing w:line="440" w:lineRule="exact"/>
        <w:ind w:firstLine="480" w:firstLineChars="200"/>
        <w:rPr>
          <w:sz w:val="24"/>
          <w:szCs w:val="24"/>
          <w:highlight w:val="none"/>
          <w:u w:val="single"/>
        </w:rPr>
      </w:pPr>
      <w:r>
        <w:rPr>
          <w:rFonts w:hint="eastAsia"/>
          <w:sz w:val="24"/>
          <w:szCs w:val="24"/>
          <w:highlight w:val="none"/>
        </w:rPr>
        <w:t>1.2.3 标的内容：</w:t>
      </w:r>
      <w:r>
        <w:rPr>
          <w:rFonts w:hint="eastAsia"/>
          <w:sz w:val="24"/>
          <w:szCs w:val="24"/>
          <w:highlight w:val="none"/>
          <w:u w:val="single"/>
        </w:rPr>
        <w:t xml:space="preserve"> </w:t>
      </w:r>
      <w:r>
        <w:rPr>
          <w:rFonts w:hint="eastAsia" w:ascii="宋体" w:hAnsi="宋体" w:cs="宋体"/>
          <w:sz w:val="24"/>
          <w:szCs w:val="24"/>
          <w:highlight w:val="none"/>
          <w:u w:val="single"/>
        </w:rPr>
        <w:t xml:space="preserve">         </w:t>
      </w:r>
      <w:r>
        <w:rPr>
          <w:rFonts w:hint="eastAsia"/>
          <w:sz w:val="24"/>
          <w:szCs w:val="24"/>
          <w:highlight w:val="none"/>
          <w:u w:val="single"/>
        </w:rPr>
        <w:t>。</w:t>
      </w:r>
    </w:p>
    <w:p w14:paraId="315AE22B">
      <w:pPr>
        <w:shd w:val="clear"/>
        <w:spacing w:line="440" w:lineRule="exact"/>
        <w:rPr>
          <w:b/>
          <w:sz w:val="24"/>
          <w:szCs w:val="24"/>
          <w:highlight w:val="none"/>
        </w:rPr>
      </w:pPr>
      <w:bookmarkStart w:id="124" w:name="_Toc21124"/>
      <w:bookmarkStart w:id="125" w:name="_Toc5635"/>
      <w:bookmarkStart w:id="126" w:name="_Toc1386"/>
      <w:bookmarkStart w:id="127" w:name="_Toc13918"/>
      <w:bookmarkStart w:id="128" w:name="_Toc4929"/>
      <w:r>
        <w:rPr>
          <w:rFonts w:hint="eastAsia"/>
          <w:b/>
          <w:sz w:val="24"/>
          <w:szCs w:val="24"/>
          <w:highlight w:val="none"/>
        </w:rPr>
        <w:t>1.</w:t>
      </w:r>
      <w:r>
        <w:rPr>
          <w:b/>
          <w:sz w:val="24"/>
          <w:szCs w:val="24"/>
          <w:highlight w:val="none"/>
        </w:rPr>
        <w:t>3</w:t>
      </w:r>
      <w:r>
        <w:rPr>
          <w:rFonts w:hint="eastAsia"/>
          <w:b/>
          <w:sz w:val="24"/>
          <w:szCs w:val="24"/>
          <w:highlight w:val="none"/>
        </w:rPr>
        <w:t xml:space="preserve"> 价款</w:t>
      </w:r>
      <w:bookmarkEnd w:id="124"/>
      <w:bookmarkEnd w:id="125"/>
      <w:bookmarkEnd w:id="126"/>
      <w:bookmarkEnd w:id="127"/>
      <w:bookmarkEnd w:id="128"/>
    </w:p>
    <w:p w14:paraId="63E2BC21">
      <w:pPr>
        <w:shd w:val="clear"/>
        <w:spacing w:line="440" w:lineRule="exact"/>
        <w:ind w:firstLine="480" w:firstLineChars="200"/>
        <w:rPr>
          <w:rFonts w:hint="eastAsia"/>
          <w:color w:val="auto"/>
          <w:sz w:val="24"/>
          <w:szCs w:val="24"/>
          <w:highlight w:val="none"/>
        </w:rPr>
      </w:pPr>
      <w:bookmarkStart w:id="129" w:name="_Toc14993"/>
      <w:bookmarkStart w:id="130" w:name="_Toc3654"/>
      <w:bookmarkStart w:id="131" w:name="_Toc26916"/>
      <w:bookmarkStart w:id="132" w:name="_Toc30158"/>
      <w:bookmarkStart w:id="133" w:name="_Toc30506"/>
      <w:r>
        <w:rPr>
          <w:rFonts w:hint="eastAsia"/>
          <w:color w:val="auto"/>
          <w:sz w:val="24"/>
          <w:szCs w:val="24"/>
          <w:highlight w:val="none"/>
        </w:rPr>
        <w:t>本合同</w:t>
      </w:r>
      <w:r>
        <w:rPr>
          <w:rFonts w:hint="eastAsia"/>
          <w:color w:val="auto"/>
          <w:sz w:val="24"/>
          <w:szCs w:val="24"/>
          <w:highlight w:val="none"/>
          <w:lang w:val="en-US" w:eastAsia="zh-CN"/>
        </w:rPr>
        <w:t>成交</w:t>
      </w:r>
      <w:r>
        <w:rPr>
          <w:rFonts w:hint="eastAsia"/>
          <w:color w:val="auto"/>
          <w:sz w:val="24"/>
          <w:szCs w:val="24"/>
          <w:highlight w:val="none"/>
          <w:lang w:eastAsia="zh-CN"/>
        </w:rPr>
        <w:t>优惠率</w:t>
      </w:r>
      <w:r>
        <w:rPr>
          <w:rFonts w:hint="eastAsia"/>
          <w:color w:val="auto"/>
          <w:sz w:val="24"/>
          <w:szCs w:val="24"/>
          <w:highlight w:val="none"/>
          <w:u w:val="single"/>
        </w:rPr>
        <w:t xml:space="preserve">             </w:t>
      </w:r>
      <w:r>
        <w:rPr>
          <w:rFonts w:hint="eastAsia"/>
          <w:color w:val="auto"/>
          <w:sz w:val="24"/>
          <w:szCs w:val="24"/>
          <w:highlight w:val="none"/>
        </w:rPr>
        <w:t>%。</w:t>
      </w:r>
    </w:p>
    <w:p w14:paraId="7A0E7457">
      <w:pPr>
        <w:shd w:val="clear"/>
        <w:spacing w:line="440" w:lineRule="exact"/>
        <w:ind w:firstLine="480" w:firstLineChars="200"/>
        <w:rPr>
          <w:rFonts w:hint="eastAsia"/>
          <w:color w:val="auto"/>
          <w:sz w:val="24"/>
          <w:szCs w:val="24"/>
          <w:highlight w:val="none"/>
        </w:rPr>
      </w:pPr>
      <w:r>
        <w:rPr>
          <w:rFonts w:hint="eastAsia"/>
          <w:color w:val="auto"/>
          <w:sz w:val="24"/>
          <w:szCs w:val="24"/>
          <w:highlight w:val="none"/>
        </w:rPr>
        <w:t>本合同河道保洁服务费用总价为：￥</w:t>
      </w:r>
      <w:r>
        <w:rPr>
          <w:rFonts w:hint="eastAsia"/>
          <w:color w:val="auto"/>
          <w:sz w:val="24"/>
          <w:szCs w:val="24"/>
          <w:highlight w:val="none"/>
          <w:u w:val="single"/>
        </w:rPr>
        <w:t xml:space="preserve">           </w:t>
      </w:r>
      <w:r>
        <w:rPr>
          <w:rFonts w:hint="eastAsia"/>
          <w:color w:val="auto"/>
          <w:sz w:val="24"/>
          <w:szCs w:val="24"/>
          <w:highlight w:val="none"/>
        </w:rPr>
        <w:t>元（大写：人民币</w:t>
      </w:r>
      <w:r>
        <w:rPr>
          <w:rFonts w:hint="eastAsia"/>
          <w:color w:val="auto"/>
          <w:sz w:val="24"/>
          <w:szCs w:val="24"/>
          <w:highlight w:val="none"/>
          <w:u w:val="single"/>
        </w:rPr>
        <w:t xml:space="preserve">                 </w:t>
      </w:r>
      <w:r>
        <w:rPr>
          <w:rFonts w:hint="eastAsia"/>
          <w:color w:val="auto"/>
          <w:sz w:val="24"/>
          <w:szCs w:val="24"/>
          <w:highlight w:val="none"/>
        </w:rPr>
        <w:t>元）。</w:t>
      </w:r>
    </w:p>
    <w:p w14:paraId="699B1939">
      <w:pPr>
        <w:shd w:val="clear"/>
        <w:spacing w:line="440" w:lineRule="exact"/>
        <w:ind w:firstLine="482" w:firstLineChars="200"/>
        <w:rPr>
          <w:rFonts w:hint="eastAsia"/>
          <w:b/>
          <w:bCs/>
          <w:color w:val="auto"/>
          <w:sz w:val="24"/>
          <w:szCs w:val="24"/>
          <w:highlight w:val="none"/>
        </w:rPr>
      </w:pPr>
      <w:r>
        <w:rPr>
          <w:rFonts w:hint="eastAsia"/>
          <w:b/>
          <w:bCs/>
          <w:color w:val="auto"/>
          <w:sz w:val="24"/>
          <w:szCs w:val="24"/>
          <w:highlight w:val="none"/>
        </w:rPr>
        <w:t>注：1）河道保洁服务费用为该分包采购预算乘以</w:t>
      </w:r>
      <w:r>
        <w:rPr>
          <w:rFonts w:hint="eastAsia"/>
          <w:b/>
          <w:bCs/>
          <w:color w:val="auto"/>
          <w:sz w:val="24"/>
          <w:szCs w:val="24"/>
          <w:highlight w:val="none"/>
          <w:lang w:eastAsia="zh-CN"/>
        </w:rPr>
        <w:t>（</w:t>
      </w:r>
      <w:r>
        <w:rPr>
          <w:rFonts w:hint="eastAsia"/>
          <w:b/>
          <w:bCs/>
          <w:color w:val="auto"/>
          <w:sz w:val="24"/>
          <w:szCs w:val="24"/>
          <w:highlight w:val="none"/>
          <w:lang w:val="en-US" w:eastAsia="zh-CN"/>
        </w:rPr>
        <w:t>1-成交</w:t>
      </w:r>
      <w:r>
        <w:rPr>
          <w:rFonts w:hint="eastAsia"/>
          <w:b/>
          <w:bCs/>
          <w:color w:val="auto"/>
          <w:sz w:val="24"/>
          <w:szCs w:val="24"/>
          <w:highlight w:val="none"/>
          <w:lang w:eastAsia="zh-CN"/>
        </w:rPr>
        <w:t>优惠率）</w:t>
      </w:r>
      <w:r>
        <w:rPr>
          <w:rFonts w:hint="eastAsia"/>
          <w:b/>
          <w:bCs/>
          <w:color w:val="auto"/>
          <w:sz w:val="24"/>
          <w:szCs w:val="24"/>
          <w:highlight w:val="none"/>
        </w:rPr>
        <w:t>。</w:t>
      </w:r>
    </w:p>
    <w:p w14:paraId="7502B9A0">
      <w:pPr>
        <w:shd w:val="clear"/>
        <w:spacing w:line="440" w:lineRule="exact"/>
        <w:ind w:firstLine="964" w:firstLineChars="400"/>
        <w:rPr>
          <w:rFonts w:hint="eastAsia"/>
          <w:b/>
          <w:bCs/>
          <w:color w:val="auto"/>
          <w:sz w:val="24"/>
          <w:szCs w:val="24"/>
          <w:highlight w:val="none"/>
        </w:rPr>
      </w:pPr>
      <w:r>
        <w:rPr>
          <w:rFonts w:hint="eastAsia"/>
          <w:b/>
          <w:bCs/>
          <w:color w:val="auto"/>
          <w:sz w:val="24"/>
          <w:szCs w:val="24"/>
          <w:highlight w:val="none"/>
          <w:lang w:val="zh-CN"/>
        </w:rPr>
        <w:t>2）在河道保洁服务期限内，优惠率不予调整。</w:t>
      </w:r>
    </w:p>
    <w:p w14:paraId="50B1CBCF">
      <w:pPr>
        <w:shd w:val="clear"/>
        <w:spacing w:line="440" w:lineRule="exact"/>
        <w:rPr>
          <w:b/>
          <w:color w:val="auto"/>
          <w:sz w:val="24"/>
          <w:szCs w:val="24"/>
          <w:highlight w:val="none"/>
        </w:rPr>
      </w:pPr>
      <w:r>
        <w:rPr>
          <w:rFonts w:hint="eastAsia"/>
          <w:b/>
          <w:color w:val="auto"/>
          <w:sz w:val="24"/>
          <w:szCs w:val="24"/>
          <w:highlight w:val="none"/>
        </w:rPr>
        <w:t>1.</w:t>
      </w:r>
      <w:r>
        <w:rPr>
          <w:b/>
          <w:color w:val="auto"/>
          <w:sz w:val="24"/>
          <w:szCs w:val="24"/>
          <w:highlight w:val="none"/>
        </w:rPr>
        <w:t>4</w:t>
      </w:r>
      <w:r>
        <w:rPr>
          <w:rFonts w:hint="eastAsia"/>
          <w:b/>
          <w:color w:val="auto"/>
          <w:sz w:val="24"/>
          <w:szCs w:val="24"/>
          <w:highlight w:val="none"/>
        </w:rPr>
        <w:t xml:space="preserve"> </w:t>
      </w:r>
      <w:r>
        <w:rPr>
          <w:b/>
          <w:color w:val="auto"/>
          <w:sz w:val="24"/>
          <w:szCs w:val="24"/>
          <w:highlight w:val="none"/>
        </w:rPr>
        <w:t>付款方式</w:t>
      </w:r>
      <w:r>
        <w:rPr>
          <w:rFonts w:hint="eastAsia"/>
          <w:b/>
          <w:color w:val="auto"/>
          <w:sz w:val="24"/>
          <w:szCs w:val="24"/>
          <w:highlight w:val="none"/>
        </w:rPr>
        <w:t>、</w:t>
      </w:r>
      <w:r>
        <w:rPr>
          <w:b/>
          <w:color w:val="auto"/>
          <w:sz w:val="24"/>
          <w:szCs w:val="24"/>
          <w:highlight w:val="none"/>
        </w:rPr>
        <w:t>开票方式</w:t>
      </w:r>
      <w:bookmarkEnd w:id="129"/>
      <w:bookmarkEnd w:id="130"/>
      <w:bookmarkEnd w:id="131"/>
      <w:bookmarkEnd w:id="132"/>
      <w:bookmarkEnd w:id="133"/>
      <w:r>
        <w:rPr>
          <w:rFonts w:hint="eastAsia"/>
          <w:b/>
          <w:color w:val="auto"/>
          <w:sz w:val="24"/>
          <w:szCs w:val="24"/>
          <w:highlight w:val="none"/>
        </w:rPr>
        <w:t>及考核实施</w:t>
      </w:r>
    </w:p>
    <w:p w14:paraId="2C41DD30">
      <w:pPr>
        <w:shd w:val="clear"/>
        <w:spacing w:line="440" w:lineRule="exact"/>
        <w:ind w:firstLine="480" w:firstLineChars="200"/>
        <w:rPr>
          <w:color w:val="auto"/>
          <w:sz w:val="24"/>
          <w:szCs w:val="24"/>
          <w:highlight w:val="none"/>
        </w:rPr>
      </w:pPr>
      <w:r>
        <w:rPr>
          <w:rFonts w:hint="eastAsia"/>
          <w:color w:val="auto"/>
          <w:sz w:val="24"/>
          <w:szCs w:val="24"/>
          <w:highlight w:val="none"/>
        </w:rPr>
        <w:t>1.4.1</w:t>
      </w:r>
      <w:r>
        <w:rPr>
          <w:color w:val="auto"/>
          <w:sz w:val="24"/>
          <w:szCs w:val="24"/>
          <w:highlight w:val="none"/>
        </w:rPr>
        <w:t xml:space="preserve"> 本合同项下所有款项均以人民币支付</w:t>
      </w:r>
      <w:r>
        <w:rPr>
          <w:rFonts w:hint="eastAsia"/>
          <w:color w:val="auto"/>
          <w:sz w:val="24"/>
          <w:szCs w:val="24"/>
          <w:highlight w:val="none"/>
          <w:lang w:eastAsia="zh-CN"/>
        </w:rPr>
        <w:t>，</w:t>
      </w:r>
      <w:r>
        <w:rPr>
          <w:rFonts w:hint="eastAsia" w:ascii="宋体" w:hAnsi="宋体" w:cs="宋体"/>
          <w:b w:val="0"/>
          <w:bCs/>
          <w:color w:val="auto"/>
          <w:sz w:val="24"/>
          <w:szCs w:val="24"/>
          <w:lang w:val="en-US" w:eastAsia="zh-CN"/>
        </w:rPr>
        <w:t>以总价合同方式结算</w:t>
      </w:r>
      <w:r>
        <w:rPr>
          <w:rFonts w:hint="eastAsia" w:ascii="宋体" w:hAnsi="宋体" w:eastAsia="宋体" w:cs="宋体"/>
          <w:sz w:val="24"/>
          <w:szCs w:val="24"/>
          <w:highlight w:val="none"/>
          <w:lang w:val="en-US" w:eastAsia="zh-CN"/>
        </w:rPr>
        <w:t>。</w:t>
      </w:r>
    </w:p>
    <w:p w14:paraId="209B0613">
      <w:pPr>
        <w:shd w:val="clear"/>
        <w:spacing w:line="440" w:lineRule="exact"/>
        <w:ind w:firstLine="480" w:firstLineChars="200"/>
        <w:rPr>
          <w:color w:val="auto"/>
          <w:sz w:val="24"/>
          <w:szCs w:val="24"/>
          <w:highlight w:val="none"/>
        </w:rPr>
      </w:pPr>
      <w:r>
        <w:rPr>
          <w:rFonts w:hint="eastAsia"/>
          <w:color w:val="auto"/>
          <w:sz w:val="24"/>
          <w:szCs w:val="24"/>
          <w:highlight w:val="none"/>
        </w:rPr>
        <w:t>1.4.</w:t>
      </w:r>
      <w:r>
        <w:rPr>
          <w:color w:val="auto"/>
          <w:sz w:val="24"/>
          <w:szCs w:val="24"/>
          <w:highlight w:val="none"/>
        </w:rPr>
        <w:t>2 付款方式：</w:t>
      </w:r>
    </w:p>
    <w:p w14:paraId="66741C16">
      <w:pPr>
        <w:widowControl w:val="0"/>
        <w:shd w:val="clear"/>
        <w:autoSpaceDE w:val="0"/>
        <w:autoSpaceDN w:val="0"/>
        <w:adjustRightInd w:val="0"/>
        <w:spacing w:after="0" w:line="44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自合同签订后</w:t>
      </w:r>
      <w:r>
        <w:rPr>
          <w:rFonts w:hint="eastAsia" w:ascii="宋体" w:hAnsi="宋体" w:cs="宋体"/>
          <w:color w:val="auto"/>
          <w:sz w:val="24"/>
          <w:szCs w:val="24"/>
          <w:highlight w:val="none"/>
          <w:lang w:val="en-US" w:eastAsia="zh-CN"/>
        </w:rPr>
        <w:t>两</w:t>
      </w:r>
      <w:r>
        <w:rPr>
          <w:rFonts w:hint="eastAsia" w:ascii="宋体" w:hAnsi="宋体" w:eastAsia="宋体" w:cs="宋体"/>
          <w:color w:val="auto"/>
          <w:sz w:val="24"/>
          <w:szCs w:val="24"/>
          <w:highlight w:val="none"/>
        </w:rPr>
        <w:t>个月内，甲方向</w:t>
      </w:r>
      <w:r>
        <w:rPr>
          <w:rFonts w:hint="eastAsia" w:ascii="宋体" w:hAnsi="宋体" w:eastAsia="宋体" w:cs="宋体"/>
          <w:color w:val="auto"/>
          <w:sz w:val="24"/>
          <w:szCs w:val="24"/>
          <w:highlight w:val="none"/>
          <w:lang w:val="en-US" w:eastAsia="zh-CN"/>
        </w:rPr>
        <w:t>各分包标段</w:t>
      </w:r>
      <w:r>
        <w:rPr>
          <w:rFonts w:hint="eastAsia" w:ascii="宋体" w:hAnsi="宋体" w:eastAsia="宋体" w:cs="宋体"/>
          <w:color w:val="auto"/>
          <w:sz w:val="24"/>
          <w:szCs w:val="24"/>
          <w:highlight w:val="none"/>
        </w:rPr>
        <w:t>乙方支付合同金额10%的预付款。</w:t>
      </w:r>
    </w:p>
    <w:p w14:paraId="427D79C6">
      <w:pPr>
        <w:widowControl w:val="0"/>
        <w:shd w:val="clear"/>
        <w:autoSpaceDE w:val="0"/>
        <w:autoSpaceDN w:val="0"/>
        <w:adjustRightInd w:val="0"/>
        <w:spacing w:after="0" w:line="440" w:lineRule="exact"/>
        <w:ind w:firstLine="360" w:firstLineChars="15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 2 \* GB3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②</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lang w:val="en-US" w:eastAsia="zh-CN"/>
        </w:rPr>
        <w:t>以</w:t>
      </w:r>
      <w:r>
        <w:rPr>
          <w:rFonts w:hint="eastAsia" w:ascii="宋体" w:hAnsi="宋体" w:cs="宋体"/>
          <w:bCs/>
          <w:color w:val="auto"/>
          <w:sz w:val="24"/>
          <w:szCs w:val="24"/>
          <w:highlight w:val="none"/>
          <w:lang w:val="en-US" w:eastAsia="zh-CN"/>
        </w:rPr>
        <w:t>分包标段</w:t>
      </w:r>
      <w:r>
        <w:rPr>
          <w:rFonts w:hint="eastAsia" w:ascii="宋体" w:hAnsi="宋体" w:eastAsia="宋体" w:cs="宋体"/>
          <w:bCs/>
          <w:color w:val="auto"/>
          <w:sz w:val="24"/>
          <w:szCs w:val="24"/>
          <w:highlight w:val="none"/>
          <w:lang w:val="en-US" w:eastAsia="zh-CN"/>
        </w:rPr>
        <w:t>为单位</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当月实际考核得分高于95分（包括95分）的不扣管理经费，低于95分的，每低1分相应从该</w:t>
      </w:r>
      <w:r>
        <w:rPr>
          <w:rFonts w:hint="eastAsia" w:ascii="宋体" w:hAnsi="宋体" w:cs="宋体"/>
          <w:bCs/>
          <w:color w:val="auto"/>
          <w:sz w:val="24"/>
          <w:szCs w:val="24"/>
          <w:highlight w:val="none"/>
          <w:lang w:val="en-US" w:eastAsia="zh-CN"/>
        </w:rPr>
        <w:t>分包标段</w:t>
      </w:r>
      <w:r>
        <w:rPr>
          <w:rFonts w:hint="eastAsia" w:ascii="宋体" w:hAnsi="宋体" w:eastAsia="宋体" w:cs="宋体"/>
          <w:bCs/>
          <w:color w:val="auto"/>
          <w:sz w:val="24"/>
          <w:szCs w:val="24"/>
          <w:highlight w:val="none"/>
          <w:lang w:val="en-US" w:eastAsia="zh-CN"/>
        </w:rPr>
        <w:t>的月度管理经费中扣除1%比例的金额，月度综合考核得分低于85分的为不合格</w:t>
      </w:r>
      <w:r>
        <w:rPr>
          <w:rFonts w:hint="eastAsia" w:ascii="宋体" w:hAnsi="宋体" w:cs="宋体"/>
          <w:bCs/>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考核不合格</w:t>
      </w:r>
      <w:r>
        <w:rPr>
          <w:rFonts w:hint="eastAsia" w:ascii="宋体" w:hAnsi="宋体" w:cs="宋体"/>
          <w:b w:val="0"/>
          <w:bCs/>
          <w:color w:val="auto"/>
          <w:sz w:val="24"/>
          <w:szCs w:val="24"/>
          <w:highlight w:val="none"/>
          <w:lang w:val="en-US" w:eastAsia="zh-CN"/>
        </w:rPr>
        <w:t>达到2次的</w:t>
      </w:r>
      <w:r>
        <w:rPr>
          <w:rFonts w:hint="eastAsia" w:ascii="宋体" w:hAnsi="宋体" w:eastAsia="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val="en-US" w:eastAsia="zh-CN"/>
        </w:rPr>
        <w:t>甲方</w:t>
      </w:r>
      <w:r>
        <w:rPr>
          <w:rFonts w:hint="eastAsia" w:ascii="宋体" w:hAnsi="宋体" w:eastAsia="宋体" w:cs="宋体"/>
          <w:b w:val="0"/>
          <w:bCs/>
          <w:color w:val="auto"/>
          <w:sz w:val="24"/>
          <w:szCs w:val="24"/>
          <w:highlight w:val="none"/>
          <w:lang w:val="en-US" w:eastAsia="zh-CN"/>
        </w:rPr>
        <w:t>有权终止合同</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。由</w:t>
      </w:r>
      <w:r>
        <w:rPr>
          <w:rFonts w:hint="eastAsia" w:ascii="宋体" w:hAnsi="宋体" w:cs="宋体"/>
          <w:bCs/>
          <w:color w:val="auto"/>
          <w:sz w:val="24"/>
          <w:szCs w:val="24"/>
          <w:highlight w:val="none"/>
          <w:lang w:val="en-US" w:eastAsia="zh-CN"/>
        </w:rPr>
        <w:t>甲方根据</w:t>
      </w:r>
      <w:r>
        <w:rPr>
          <w:rFonts w:hint="eastAsia" w:ascii="宋体" w:hAnsi="宋体" w:eastAsia="宋体" w:cs="宋体"/>
          <w:bCs/>
          <w:color w:val="auto"/>
          <w:sz w:val="24"/>
          <w:szCs w:val="24"/>
          <w:highlight w:val="none"/>
          <w:lang w:val="en-US" w:eastAsia="zh-CN"/>
        </w:rPr>
        <w:t>每</w:t>
      </w:r>
      <w:r>
        <w:rPr>
          <w:rFonts w:hint="eastAsia" w:ascii="宋体" w:hAnsi="宋体" w:cs="宋体"/>
          <w:bCs/>
          <w:color w:val="auto"/>
          <w:sz w:val="24"/>
          <w:szCs w:val="24"/>
          <w:highlight w:val="none"/>
          <w:lang w:val="en-US" w:eastAsia="zh-CN"/>
        </w:rPr>
        <w:t>月考核情况</w:t>
      </w:r>
      <w:r>
        <w:rPr>
          <w:rFonts w:hint="eastAsia" w:ascii="宋体" w:hAnsi="宋体" w:eastAsia="宋体" w:cs="宋体"/>
          <w:bCs/>
          <w:color w:val="auto"/>
          <w:sz w:val="24"/>
          <w:szCs w:val="24"/>
          <w:highlight w:val="none"/>
          <w:lang w:val="en-US" w:eastAsia="zh-CN"/>
        </w:rPr>
        <w:t>汇总后，于合同期满后</w:t>
      </w:r>
      <w:r>
        <w:rPr>
          <w:rFonts w:hint="eastAsia" w:ascii="宋体" w:hAnsi="宋体" w:cs="宋体"/>
          <w:bCs/>
          <w:color w:val="auto"/>
          <w:sz w:val="24"/>
          <w:szCs w:val="24"/>
          <w:highlight w:val="none"/>
          <w:lang w:val="en-US" w:eastAsia="zh-CN"/>
        </w:rPr>
        <w:t>三</w:t>
      </w:r>
      <w:r>
        <w:rPr>
          <w:rFonts w:hint="eastAsia" w:ascii="宋体" w:hAnsi="宋体" w:eastAsia="宋体" w:cs="宋体"/>
          <w:bCs/>
          <w:color w:val="auto"/>
          <w:sz w:val="24"/>
          <w:szCs w:val="24"/>
          <w:highlight w:val="none"/>
          <w:lang w:val="en-US" w:eastAsia="zh-CN"/>
        </w:rPr>
        <w:t>个月内，向</w:t>
      </w:r>
      <w:r>
        <w:rPr>
          <w:rFonts w:hint="eastAsia" w:ascii="宋体" w:hAnsi="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val="en-US" w:eastAsia="zh-CN"/>
        </w:rPr>
        <w:t>支付至结算金额的50%（含已支付的预付款）。</w:t>
      </w:r>
    </w:p>
    <w:p w14:paraId="4A71AC80">
      <w:pPr>
        <w:widowControl w:val="0"/>
        <w:shd w:val="clear"/>
        <w:autoSpaceDE w:val="0"/>
        <w:autoSpaceDN w:val="0"/>
        <w:adjustRightInd w:val="0"/>
        <w:spacing w:after="0" w:line="44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③合同期满后半年内，甲方向乙方付清剩余款项。</w:t>
      </w:r>
    </w:p>
    <w:p w14:paraId="3502699F">
      <w:pPr>
        <w:widowControl w:val="0"/>
        <w:shd w:val="clear"/>
        <w:autoSpaceDE w:val="0"/>
        <w:autoSpaceDN w:val="0"/>
        <w:adjustRightInd w:val="0"/>
        <w:spacing w:after="0" w:line="440" w:lineRule="exact"/>
        <w:ind w:firstLine="240"/>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val="en-US" w:eastAsia="zh-CN"/>
        </w:rPr>
        <w:t>本项目由常熟市河道管理处实施</w:t>
      </w:r>
      <w:r>
        <w:rPr>
          <w:rFonts w:hint="eastAsia" w:ascii="宋体" w:hAnsi="宋体" w:cs="宋体"/>
          <w:b/>
          <w:bCs w:val="0"/>
          <w:color w:val="auto"/>
          <w:sz w:val="24"/>
          <w:szCs w:val="24"/>
          <w:highlight w:val="none"/>
          <w:lang w:eastAsia="zh-CN"/>
        </w:rPr>
        <w:t>服务</w:t>
      </w:r>
      <w:r>
        <w:rPr>
          <w:rFonts w:hint="eastAsia" w:ascii="宋体" w:hAnsi="宋体" w:cs="宋体"/>
          <w:b/>
          <w:bCs w:val="0"/>
          <w:color w:val="auto"/>
          <w:sz w:val="24"/>
          <w:szCs w:val="24"/>
          <w:highlight w:val="none"/>
          <w:lang w:val="en-US" w:eastAsia="zh-CN"/>
        </w:rPr>
        <w:t>考核，</w:t>
      </w:r>
      <w:r>
        <w:rPr>
          <w:rFonts w:hint="eastAsia" w:ascii="宋体" w:hAnsi="宋体" w:eastAsia="宋体" w:cs="宋体"/>
          <w:b/>
          <w:bCs w:val="0"/>
          <w:color w:val="auto"/>
          <w:sz w:val="24"/>
          <w:szCs w:val="24"/>
          <w:highlight w:val="none"/>
        </w:rPr>
        <w:t>具体考核条款详见附件3：市级河道长效管理检查考核办法、附件4：市级河道长效管理考核评分表所设内容进行考核。</w:t>
      </w:r>
    </w:p>
    <w:p w14:paraId="3EDC0137">
      <w:pPr>
        <w:widowControl w:val="0"/>
        <w:shd w:val="clear"/>
        <w:autoSpaceDE w:val="0"/>
        <w:autoSpaceDN w:val="0"/>
        <w:adjustRightInd w:val="0"/>
        <w:spacing w:after="0" w:line="44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注：</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签订合同时，</w:t>
      </w:r>
      <w:r>
        <w:rPr>
          <w:rFonts w:hint="eastAsia" w:ascii="宋体" w:hAnsi="宋体" w:cs="宋体"/>
          <w:b/>
          <w:bCs w:val="0"/>
          <w:color w:val="auto"/>
          <w:sz w:val="24"/>
          <w:szCs w:val="24"/>
          <w:highlight w:val="none"/>
          <w:lang w:val="en-US" w:eastAsia="zh-CN"/>
        </w:rPr>
        <w:t>乙方</w:t>
      </w:r>
      <w:r>
        <w:rPr>
          <w:rFonts w:hint="eastAsia" w:ascii="宋体" w:hAnsi="宋体" w:eastAsia="宋体" w:cs="宋体"/>
          <w:b/>
          <w:bCs w:val="0"/>
          <w:color w:val="auto"/>
          <w:sz w:val="24"/>
          <w:szCs w:val="24"/>
          <w:highlight w:val="none"/>
        </w:rPr>
        <w:t>明确表示无需预付款或者主动要求降低预付款比例的，</w:t>
      </w:r>
      <w:r>
        <w:rPr>
          <w:rFonts w:hint="eastAsia" w:ascii="宋体" w:hAnsi="宋体" w:cs="宋体"/>
          <w:b/>
          <w:bCs w:val="0"/>
          <w:color w:val="auto"/>
          <w:sz w:val="24"/>
          <w:szCs w:val="24"/>
          <w:highlight w:val="none"/>
          <w:lang w:eastAsia="zh-CN"/>
        </w:rPr>
        <w:t>甲方</w:t>
      </w:r>
      <w:r>
        <w:rPr>
          <w:rFonts w:hint="eastAsia" w:ascii="宋体" w:hAnsi="宋体" w:eastAsia="宋体" w:cs="宋体"/>
          <w:b/>
          <w:bCs w:val="0"/>
          <w:color w:val="auto"/>
          <w:sz w:val="24"/>
          <w:szCs w:val="24"/>
          <w:highlight w:val="none"/>
        </w:rPr>
        <w:t>可不适用上述①规定</w:t>
      </w:r>
      <w:r>
        <w:rPr>
          <w:rFonts w:hint="eastAsia" w:ascii="宋体" w:hAnsi="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但应当由</w:t>
      </w:r>
      <w:r>
        <w:rPr>
          <w:rFonts w:hint="eastAsia" w:ascii="宋体" w:hAnsi="宋体" w:cs="宋体"/>
          <w:b/>
          <w:bCs w:val="0"/>
          <w:color w:val="auto"/>
          <w:sz w:val="24"/>
          <w:szCs w:val="24"/>
          <w:highlight w:val="none"/>
          <w:lang w:val="en-US" w:eastAsia="zh-CN"/>
        </w:rPr>
        <w:t>乙方</w:t>
      </w:r>
      <w:r>
        <w:rPr>
          <w:rFonts w:hint="eastAsia" w:ascii="宋体" w:hAnsi="宋体" w:eastAsia="宋体" w:cs="宋体"/>
          <w:b/>
          <w:bCs w:val="0"/>
          <w:color w:val="auto"/>
          <w:sz w:val="24"/>
          <w:szCs w:val="24"/>
          <w:highlight w:val="none"/>
        </w:rPr>
        <w:t>书面提出并作为采购档案保存</w:t>
      </w:r>
      <w:r>
        <w:rPr>
          <w:rFonts w:hint="eastAsia" w:ascii="宋体" w:hAnsi="宋体" w:eastAsia="宋体" w:cs="宋体"/>
          <w:b/>
          <w:bCs w:val="0"/>
          <w:color w:val="auto"/>
          <w:sz w:val="24"/>
          <w:szCs w:val="24"/>
          <w:highlight w:val="none"/>
          <w:lang w:eastAsia="zh-CN"/>
        </w:rPr>
        <w:t>。</w:t>
      </w:r>
    </w:p>
    <w:p w14:paraId="40891B41">
      <w:pPr>
        <w:widowControl w:val="0"/>
        <w:numPr>
          <w:ilvl w:val="0"/>
          <w:numId w:val="5"/>
        </w:numPr>
        <w:shd w:val="clear"/>
        <w:autoSpaceDE w:val="0"/>
        <w:autoSpaceDN w:val="0"/>
        <w:adjustRightInd w:val="0"/>
        <w:spacing w:after="0" w:line="44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以上每次付款前，</w:t>
      </w:r>
      <w:r>
        <w:rPr>
          <w:rFonts w:hint="eastAsia" w:ascii="宋体" w:hAnsi="宋体" w:cs="宋体"/>
          <w:b/>
          <w:bCs w:val="0"/>
          <w:color w:val="auto"/>
          <w:sz w:val="24"/>
          <w:szCs w:val="24"/>
          <w:highlight w:val="none"/>
          <w:lang w:val="en-US" w:eastAsia="zh-CN"/>
        </w:rPr>
        <w:t>乙方</w:t>
      </w:r>
      <w:r>
        <w:rPr>
          <w:rFonts w:hint="eastAsia" w:ascii="宋体" w:hAnsi="宋体" w:eastAsia="宋体" w:cs="宋体"/>
          <w:b/>
          <w:bCs w:val="0"/>
          <w:color w:val="auto"/>
          <w:sz w:val="24"/>
          <w:szCs w:val="24"/>
          <w:highlight w:val="none"/>
        </w:rPr>
        <w:t>均应提供符合</w:t>
      </w:r>
      <w:r>
        <w:rPr>
          <w:rFonts w:hint="eastAsia" w:ascii="宋体" w:hAnsi="宋体" w:cs="宋体"/>
          <w:b/>
          <w:bCs w:val="0"/>
          <w:color w:val="auto"/>
          <w:sz w:val="24"/>
          <w:szCs w:val="24"/>
          <w:highlight w:val="none"/>
          <w:lang w:val="en-US" w:eastAsia="zh-CN"/>
        </w:rPr>
        <w:t>甲方</w:t>
      </w:r>
      <w:r>
        <w:rPr>
          <w:rFonts w:hint="eastAsia" w:ascii="宋体" w:hAnsi="宋体" w:eastAsia="宋体" w:cs="宋体"/>
          <w:b/>
          <w:bCs w:val="0"/>
          <w:color w:val="auto"/>
          <w:sz w:val="24"/>
          <w:szCs w:val="24"/>
          <w:highlight w:val="none"/>
        </w:rPr>
        <w:t>要求的同等金额的合法有效发票。否则，</w:t>
      </w:r>
      <w:r>
        <w:rPr>
          <w:rFonts w:hint="eastAsia" w:ascii="宋体" w:hAnsi="宋体" w:cs="宋体"/>
          <w:b/>
          <w:bCs w:val="0"/>
          <w:color w:val="auto"/>
          <w:sz w:val="24"/>
          <w:szCs w:val="24"/>
          <w:highlight w:val="none"/>
          <w:lang w:val="en-US" w:eastAsia="zh-CN"/>
        </w:rPr>
        <w:t>甲方</w:t>
      </w:r>
      <w:r>
        <w:rPr>
          <w:rFonts w:hint="eastAsia" w:ascii="宋体" w:hAnsi="宋体" w:eastAsia="宋体" w:cs="宋体"/>
          <w:b/>
          <w:bCs w:val="0"/>
          <w:color w:val="auto"/>
          <w:sz w:val="24"/>
          <w:szCs w:val="24"/>
          <w:highlight w:val="none"/>
        </w:rPr>
        <w:t>有权顺延付款时间，且不承担任何违约或赔偿责任。</w:t>
      </w:r>
    </w:p>
    <w:p w14:paraId="2C014C8E">
      <w:pPr>
        <w:widowControl w:val="0"/>
        <w:numPr>
          <w:ilvl w:val="0"/>
          <w:numId w:val="5"/>
        </w:numPr>
        <w:shd w:val="clear"/>
        <w:autoSpaceDE w:val="0"/>
        <w:autoSpaceDN w:val="0"/>
        <w:adjustRightInd w:val="0"/>
        <w:spacing w:after="0" w:line="44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本项目支付方式支持数字人民币方式。</w:t>
      </w:r>
    </w:p>
    <w:p w14:paraId="3003B79C">
      <w:pPr>
        <w:shd w:val="clear"/>
        <w:autoSpaceDE w:val="0"/>
        <w:autoSpaceDN w:val="0"/>
        <w:adjustRightInd w:val="0"/>
        <w:spacing w:line="440" w:lineRule="exact"/>
        <w:ind w:firstLine="480" w:firstLineChars="200"/>
        <w:rPr>
          <w:color w:val="auto"/>
          <w:sz w:val="24"/>
          <w:szCs w:val="24"/>
          <w:highlight w:val="none"/>
        </w:rPr>
      </w:pPr>
      <w:r>
        <w:rPr>
          <w:rFonts w:hint="eastAsia"/>
          <w:b w:val="0"/>
          <w:bCs w:val="0"/>
          <w:color w:val="auto"/>
          <w:sz w:val="24"/>
          <w:szCs w:val="24"/>
          <w:highlight w:val="none"/>
        </w:rPr>
        <w:t>1</w:t>
      </w:r>
      <w:r>
        <w:rPr>
          <w:b w:val="0"/>
          <w:bCs w:val="0"/>
          <w:color w:val="auto"/>
          <w:sz w:val="24"/>
          <w:szCs w:val="24"/>
          <w:highlight w:val="none"/>
        </w:rPr>
        <w:t>.4.3</w:t>
      </w:r>
      <w:r>
        <w:rPr>
          <w:b/>
          <w:bCs/>
          <w:color w:val="auto"/>
          <w:sz w:val="24"/>
          <w:szCs w:val="24"/>
          <w:highlight w:val="none"/>
        </w:rPr>
        <w:t xml:space="preserve"> </w:t>
      </w:r>
      <w:r>
        <w:rPr>
          <w:rFonts w:hint="eastAsia"/>
          <w:color w:val="auto"/>
          <w:sz w:val="24"/>
          <w:szCs w:val="24"/>
          <w:highlight w:val="none"/>
        </w:rPr>
        <w:t>发票开具方式：</w:t>
      </w:r>
      <w:r>
        <w:rPr>
          <w:rFonts w:hint="eastAsia"/>
          <w:b/>
          <w:bCs/>
          <w:color w:val="auto"/>
          <w:sz w:val="24"/>
          <w:szCs w:val="24"/>
          <w:highlight w:val="none"/>
          <w:u w:val="single"/>
        </w:rPr>
        <w:t>增值税专用发票或增值税普通发票</w:t>
      </w:r>
      <w:r>
        <w:rPr>
          <w:rFonts w:hint="eastAsia"/>
          <w:color w:val="auto"/>
          <w:sz w:val="24"/>
          <w:szCs w:val="24"/>
          <w:highlight w:val="none"/>
          <w:u w:val="single"/>
        </w:rPr>
        <w:t xml:space="preserve"> </w:t>
      </w:r>
      <w:r>
        <w:rPr>
          <w:rFonts w:hint="eastAsia"/>
          <w:color w:val="auto"/>
          <w:sz w:val="24"/>
          <w:szCs w:val="24"/>
          <w:highlight w:val="none"/>
        </w:rPr>
        <w:t>。</w:t>
      </w:r>
    </w:p>
    <w:p w14:paraId="075AE48A">
      <w:pPr>
        <w:shd w:val="clear"/>
        <w:spacing w:line="440" w:lineRule="exact"/>
        <w:rPr>
          <w:b/>
          <w:color w:val="auto"/>
          <w:sz w:val="24"/>
          <w:szCs w:val="24"/>
          <w:highlight w:val="none"/>
        </w:rPr>
      </w:pPr>
      <w:r>
        <w:rPr>
          <w:rFonts w:hint="eastAsia"/>
          <w:b/>
          <w:color w:val="auto"/>
          <w:sz w:val="24"/>
          <w:szCs w:val="24"/>
          <w:highlight w:val="none"/>
        </w:rPr>
        <w:t>1.</w:t>
      </w:r>
      <w:r>
        <w:rPr>
          <w:b/>
          <w:color w:val="auto"/>
          <w:sz w:val="24"/>
          <w:szCs w:val="24"/>
          <w:highlight w:val="none"/>
        </w:rPr>
        <w:t>5</w:t>
      </w:r>
      <w:r>
        <w:rPr>
          <w:rFonts w:hint="eastAsia"/>
          <w:b/>
          <w:color w:val="auto"/>
          <w:sz w:val="24"/>
          <w:szCs w:val="24"/>
          <w:highlight w:val="none"/>
        </w:rPr>
        <w:t xml:space="preserve"> 服务</w:t>
      </w:r>
      <w:r>
        <w:rPr>
          <w:b/>
          <w:color w:val="auto"/>
          <w:sz w:val="24"/>
          <w:szCs w:val="24"/>
          <w:highlight w:val="none"/>
        </w:rPr>
        <w:t>期限</w:t>
      </w:r>
      <w:r>
        <w:rPr>
          <w:rFonts w:hint="eastAsia"/>
          <w:b/>
          <w:color w:val="auto"/>
          <w:sz w:val="24"/>
          <w:szCs w:val="24"/>
          <w:highlight w:val="none"/>
        </w:rPr>
        <w:t>和地点</w:t>
      </w:r>
    </w:p>
    <w:p w14:paraId="52F90F99">
      <w:pPr>
        <w:shd w:val="clear"/>
        <w:spacing w:line="440" w:lineRule="exact"/>
        <w:ind w:firstLine="480" w:firstLineChars="200"/>
        <w:rPr>
          <w:color w:val="auto"/>
          <w:sz w:val="24"/>
          <w:szCs w:val="24"/>
          <w:highlight w:val="none"/>
          <w:u w:val="single"/>
        </w:rPr>
      </w:pPr>
      <w:r>
        <w:rPr>
          <w:rFonts w:hint="eastAsia"/>
          <w:color w:val="auto"/>
          <w:sz w:val="24"/>
          <w:szCs w:val="24"/>
          <w:highlight w:val="none"/>
        </w:rPr>
        <w:t>1.5.1 服务期限</w:t>
      </w:r>
      <w:r>
        <w:rPr>
          <w:color w:val="auto"/>
          <w:sz w:val="24"/>
          <w:szCs w:val="24"/>
          <w:highlight w:val="none"/>
        </w:rPr>
        <w:t>：</w:t>
      </w:r>
      <w:r>
        <w:rPr>
          <w:rFonts w:hint="eastAsia"/>
          <w:color w:val="auto"/>
          <w:sz w:val="24"/>
          <w:szCs w:val="24"/>
          <w:highlight w:val="none"/>
          <w:u w:val="single"/>
        </w:rPr>
        <w:t>1年（</w:t>
      </w:r>
      <w:r>
        <w:rPr>
          <w:rFonts w:hint="eastAsia"/>
          <w:color w:val="auto"/>
          <w:sz w:val="24"/>
          <w:szCs w:val="24"/>
          <w:highlight w:val="none"/>
          <w:u w:val="single"/>
          <w:lang w:eastAsia="zh-CN"/>
        </w:rPr>
        <w:t>自2025年1月1日开始至2025年12月31日止</w:t>
      </w:r>
      <w:r>
        <w:rPr>
          <w:rFonts w:hint="eastAsia"/>
          <w:color w:val="auto"/>
          <w:sz w:val="24"/>
          <w:szCs w:val="24"/>
          <w:highlight w:val="none"/>
          <w:u w:val="single"/>
        </w:rPr>
        <w:t>）</w:t>
      </w:r>
      <w:r>
        <w:rPr>
          <w:color w:val="auto"/>
          <w:sz w:val="24"/>
          <w:szCs w:val="24"/>
          <w:highlight w:val="none"/>
          <w:u w:val="single"/>
        </w:rPr>
        <w:t>。</w:t>
      </w:r>
    </w:p>
    <w:p w14:paraId="30E85990">
      <w:pPr>
        <w:shd w:val="clear"/>
        <w:spacing w:line="440" w:lineRule="exact"/>
        <w:ind w:firstLine="480" w:firstLineChars="200"/>
        <w:rPr>
          <w:rFonts w:hint="eastAsia" w:ascii="宋体" w:hAnsi="宋体" w:cs="宋体"/>
          <w:bCs/>
          <w:color w:val="auto"/>
          <w:kern w:val="0"/>
          <w:sz w:val="24"/>
          <w:szCs w:val="24"/>
          <w:highlight w:val="none"/>
          <w:u w:val="single"/>
        </w:rPr>
      </w:pPr>
      <w:r>
        <w:rPr>
          <w:rFonts w:hint="eastAsia"/>
          <w:color w:val="auto"/>
          <w:sz w:val="24"/>
          <w:szCs w:val="24"/>
          <w:highlight w:val="none"/>
        </w:rPr>
        <w:t xml:space="preserve">1.5.2 </w:t>
      </w:r>
      <w:r>
        <w:rPr>
          <w:rFonts w:hint="eastAsia" w:ascii="宋体" w:hAnsi="宋体" w:cs="宋体"/>
          <w:bCs/>
          <w:color w:val="auto"/>
          <w:kern w:val="0"/>
          <w:sz w:val="24"/>
          <w:szCs w:val="24"/>
          <w:highlight w:val="none"/>
        </w:rPr>
        <w:t>服务地点：</w:t>
      </w:r>
      <w:r>
        <w:rPr>
          <w:rFonts w:hint="eastAsia" w:ascii="宋体" w:hAnsi="宋体" w:cs="宋体"/>
          <w:bCs/>
          <w:color w:val="auto"/>
          <w:kern w:val="0"/>
          <w:sz w:val="24"/>
          <w:szCs w:val="24"/>
          <w:highlight w:val="none"/>
          <w:u w:val="single"/>
          <w:lang w:val="en-US" w:eastAsia="zh-CN"/>
        </w:rPr>
        <w:t>常熟市范围内</w:t>
      </w:r>
      <w:r>
        <w:rPr>
          <w:rFonts w:hint="eastAsia" w:ascii="宋体" w:hAnsi="宋体" w:cs="宋体"/>
          <w:bCs/>
          <w:color w:val="auto"/>
          <w:kern w:val="0"/>
          <w:sz w:val="24"/>
          <w:szCs w:val="24"/>
          <w:highlight w:val="none"/>
          <w:u w:val="single"/>
        </w:rPr>
        <w:t>。</w:t>
      </w:r>
      <w:bookmarkStart w:id="134" w:name="_Toc3079"/>
      <w:bookmarkStart w:id="135" w:name="_Toc2375"/>
      <w:bookmarkStart w:id="136" w:name="_Toc8586"/>
      <w:bookmarkStart w:id="137" w:name="_Toc24662"/>
      <w:bookmarkStart w:id="138" w:name="_Toc5698"/>
    </w:p>
    <w:p w14:paraId="17E717A9">
      <w:pPr>
        <w:shd w:val="clear"/>
        <w:spacing w:line="440" w:lineRule="exact"/>
        <w:rPr>
          <w:rFonts w:hint="eastAsia"/>
          <w:b/>
          <w:sz w:val="24"/>
          <w:szCs w:val="24"/>
          <w:highlight w:val="none"/>
        </w:rPr>
      </w:pPr>
      <w:r>
        <w:rPr>
          <w:rFonts w:hint="eastAsia"/>
          <w:b/>
          <w:sz w:val="24"/>
          <w:szCs w:val="24"/>
          <w:highlight w:val="none"/>
        </w:rPr>
        <w:t>1.6 双方权利义务：</w:t>
      </w:r>
    </w:p>
    <w:p w14:paraId="14302CA3">
      <w:pPr>
        <w:shd w:val="clear"/>
        <w:spacing w:line="440" w:lineRule="exact"/>
        <w:ind w:firstLine="480"/>
        <w:rPr>
          <w:sz w:val="24"/>
          <w:szCs w:val="24"/>
          <w:highlight w:val="none"/>
        </w:rPr>
      </w:pPr>
      <w:r>
        <w:rPr>
          <w:rFonts w:hint="eastAsia"/>
          <w:sz w:val="24"/>
          <w:szCs w:val="24"/>
          <w:highlight w:val="none"/>
        </w:rPr>
        <w:t>1</w:t>
      </w:r>
      <w:r>
        <w:rPr>
          <w:sz w:val="24"/>
          <w:szCs w:val="24"/>
          <w:highlight w:val="none"/>
        </w:rPr>
        <w:t>.6.1甲方权利义务</w:t>
      </w:r>
    </w:p>
    <w:p w14:paraId="2299D27A">
      <w:pPr>
        <w:shd w:val="clear"/>
        <w:spacing w:line="440" w:lineRule="exact"/>
        <w:ind w:firstLine="480"/>
        <w:rPr>
          <w:rFonts w:hint="eastAsia"/>
          <w:sz w:val="24"/>
          <w:szCs w:val="24"/>
          <w:highlight w:val="none"/>
        </w:rPr>
      </w:pPr>
      <w:r>
        <w:rPr>
          <w:rFonts w:hint="eastAsia"/>
          <w:sz w:val="24"/>
          <w:szCs w:val="24"/>
          <w:highlight w:val="none"/>
        </w:rPr>
        <w:t>（1）甲方应按时支付服务费。</w:t>
      </w:r>
    </w:p>
    <w:p w14:paraId="39355E4A">
      <w:pPr>
        <w:shd w:val="clear"/>
        <w:spacing w:line="440" w:lineRule="exact"/>
        <w:ind w:firstLine="480"/>
        <w:rPr>
          <w:rFonts w:hint="eastAsia"/>
          <w:sz w:val="24"/>
          <w:szCs w:val="24"/>
          <w:highlight w:val="none"/>
        </w:rPr>
      </w:pPr>
      <w:r>
        <w:rPr>
          <w:rFonts w:hint="eastAsia"/>
          <w:sz w:val="24"/>
          <w:szCs w:val="24"/>
          <w:highlight w:val="none"/>
        </w:rPr>
        <w:t>（2）甲方有权按考核办法、质量考核标准和评分细则对乙方进行考核。</w:t>
      </w:r>
    </w:p>
    <w:p w14:paraId="30418C11">
      <w:pPr>
        <w:shd w:val="clear"/>
        <w:spacing w:line="440" w:lineRule="exact"/>
        <w:ind w:firstLine="480"/>
        <w:rPr>
          <w:rFonts w:hint="eastAsia"/>
          <w:sz w:val="24"/>
          <w:szCs w:val="24"/>
          <w:highlight w:val="none"/>
        </w:rPr>
      </w:pPr>
      <w:r>
        <w:rPr>
          <w:rFonts w:hint="eastAsia"/>
          <w:sz w:val="24"/>
          <w:szCs w:val="24"/>
          <w:highlight w:val="none"/>
        </w:rPr>
        <w:t>（3）甲方不得指使人员从事违法犯罪活动。</w:t>
      </w:r>
    </w:p>
    <w:p w14:paraId="0C795528">
      <w:pPr>
        <w:shd w:val="clear"/>
        <w:spacing w:line="440" w:lineRule="exact"/>
        <w:ind w:firstLine="480"/>
        <w:rPr>
          <w:rFonts w:hint="eastAsia"/>
          <w:sz w:val="24"/>
          <w:szCs w:val="24"/>
          <w:highlight w:val="none"/>
        </w:rPr>
      </w:pPr>
      <w:r>
        <w:rPr>
          <w:rFonts w:hint="eastAsia"/>
          <w:sz w:val="24"/>
          <w:szCs w:val="24"/>
          <w:highlight w:val="none"/>
        </w:rPr>
        <w:t>（4）法规、政策规定由甲方承担的其他责任。</w:t>
      </w:r>
    </w:p>
    <w:p w14:paraId="1F3F7EDF">
      <w:pPr>
        <w:shd w:val="clear"/>
        <w:spacing w:line="440" w:lineRule="exact"/>
        <w:ind w:firstLine="480"/>
        <w:rPr>
          <w:sz w:val="24"/>
          <w:szCs w:val="24"/>
          <w:highlight w:val="none"/>
        </w:rPr>
      </w:pPr>
      <w:r>
        <w:rPr>
          <w:rFonts w:hint="eastAsia"/>
          <w:sz w:val="24"/>
          <w:szCs w:val="24"/>
          <w:highlight w:val="none"/>
        </w:rPr>
        <w:t>1</w:t>
      </w:r>
      <w:r>
        <w:rPr>
          <w:sz w:val="24"/>
          <w:szCs w:val="24"/>
          <w:highlight w:val="none"/>
        </w:rPr>
        <w:t>.6.2乙方权利义务</w:t>
      </w:r>
    </w:p>
    <w:p w14:paraId="7282A747">
      <w:pPr>
        <w:shd w:val="clear"/>
        <w:spacing w:line="440" w:lineRule="exact"/>
        <w:ind w:firstLine="480" w:firstLineChars="200"/>
        <w:rPr>
          <w:rFonts w:hint="eastAsia"/>
          <w:sz w:val="24"/>
          <w:szCs w:val="24"/>
          <w:highlight w:val="none"/>
        </w:rPr>
      </w:pPr>
      <w:r>
        <w:rPr>
          <w:rFonts w:hint="eastAsia"/>
          <w:sz w:val="24"/>
          <w:szCs w:val="24"/>
          <w:highlight w:val="none"/>
        </w:rPr>
        <w:t>（1）乙方所提供服务的质量应与招标文件规定及投标文件承诺的内容相一致。</w:t>
      </w:r>
    </w:p>
    <w:p w14:paraId="2EDEC278">
      <w:pPr>
        <w:shd w:val="clear"/>
        <w:spacing w:line="440" w:lineRule="exact"/>
        <w:ind w:firstLine="480" w:firstLineChars="200"/>
        <w:rPr>
          <w:rFonts w:hint="eastAsia"/>
          <w:sz w:val="24"/>
          <w:szCs w:val="24"/>
          <w:highlight w:val="none"/>
        </w:rPr>
      </w:pPr>
      <w:r>
        <w:rPr>
          <w:rFonts w:hint="eastAsia"/>
          <w:sz w:val="24"/>
          <w:szCs w:val="24"/>
          <w:highlight w:val="none"/>
        </w:rPr>
        <w:t>（2）乙方根据服务考核办法、质量考核标准和评分细则、常熟市相关政府职能部门颁布的文件和投标文件所作的承诺自觉开展保洁各项工作。接受甲方和各级管理部门的考核及其结果。</w:t>
      </w:r>
    </w:p>
    <w:p w14:paraId="506684E7">
      <w:pPr>
        <w:shd w:val="clear"/>
        <w:spacing w:line="440" w:lineRule="exact"/>
        <w:ind w:firstLine="480" w:firstLineChars="200"/>
        <w:rPr>
          <w:rFonts w:hint="eastAsia"/>
          <w:sz w:val="24"/>
          <w:szCs w:val="24"/>
          <w:highlight w:val="none"/>
        </w:rPr>
      </w:pPr>
      <w:r>
        <w:rPr>
          <w:rFonts w:hint="eastAsia"/>
          <w:sz w:val="24"/>
          <w:szCs w:val="24"/>
          <w:highlight w:val="none"/>
        </w:rPr>
        <w:t>（3）乙方应组建固定的专业保洁队伍，按要求将从业人员资料、作业计划和保洁预案等相关运行资料报甲方备案。</w:t>
      </w:r>
    </w:p>
    <w:p w14:paraId="123AD00B">
      <w:pPr>
        <w:shd w:val="clear"/>
        <w:spacing w:line="440" w:lineRule="exact"/>
        <w:ind w:firstLine="480" w:firstLineChars="200"/>
        <w:rPr>
          <w:rFonts w:hint="eastAsia"/>
          <w:sz w:val="24"/>
          <w:szCs w:val="24"/>
          <w:highlight w:val="none"/>
        </w:rPr>
      </w:pPr>
      <w:r>
        <w:rPr>
          <w:rFonts w:hint="eastAsia"/>
          <w:sz w:val="24"/>
          <w:szCs w:val="24"/>
          <w:highlight w:val="none"/>
        </w:rPr>
        <w:t>（4）乙方应独立承担保洁作业中的各类责任（安全责任、用工责任和经济责任等）。</w:t>
      </w:r>
    </w:p>
    <w:p w14:paraId="4119120F">
      <w:pPr>
        <w:shd w:val="clear"/>
        <w:spacing w:line="440" w:lineRule="exact"/>
        <w:ind w:firstLine="480" w:firstLineChars="200"/>
        <w:rPr>
          <w:rFonts w:hint="eastAsia"/>
          <w:sz w:val="24"/>
          <w:szCs w:val="24"/>
          <w:highlight w:val="none"/>
        </w:rPr>
      </w:pPr>
      <w:r>
        <w:rPr>
          <w:rFonts w:hint="eastAsia"/>
          <w:sz w:val="24"/>
          <w:szCs w:val="24"/>
          <w:highlight w:val="none"/>
        </w:rPr>
        <w:t>（5）在任何情况下（包括灾害性天气期间或重大活动期间），乙方均应保质保量按时完成甲方或政府主管部门安排的指令性任务；接受社会、媒体监督。</w:t>
      </w:r>
    </w:p>
    <w:p w14:paraId="5F69A108">
      <w:pPr>
        <w:shd w:val="clear"/>
        <w:spacing w:line="440" w:lineRule="exact"/>
        <w:ind w:firstLine="480" w:firstLineChars="200"/>
        <w:rPr>
          <w:rFonts w:hint="eastAsia"/>
          <w:sz w:val="24"/>
          <w:szCs w:val="24"/>
          <w:highlight w:val="none"/>
        </w:rPr>
      </w:pPr>
      <w:r>
        <w:rPr>
          <w:rFonts w:hint="eastAsia"/>
          <w:sz w:val="24"/>
          <w:szCs w:val="24"/>
          <w:highlight w:val="none"/>
        </w:rPr>
        <w:t>（6）乙方应遵守劳动法，依法规范用工，全员签订劳动合同或劳务合同，符合条件的须参加基本社会养老保险，职龄内人员工资应不低于最新公布的常熟市最低工资标准，加班费用支付按政策法规规定执行。</w:t>
      </w:r>
      <w:r>
        <w:rPr>
          <w:rFonts w:hint="eastAsia"/>
          <w:sz w:val="24"/>
          <w:szCs w:val="24"/>
          <w:highlight w:val="none"/>
          <w:lang w:val="en-US" w:eastAsia="zh-CN"/>
        </w:rPr>
        <w:t>须</w:t>
      </w:r>
      <w:r>
        <w:rPr>
          <w:rFonts w:hint="eastAsia" w:ascii="宋体" w:hAnsi="宋体" w:cs="宋体"/>
          <w:color w:val="auto"/>
          <w:sz w:val="24"/>
          <w:szCs w:val="24"/>
          <w:highlight w:val="none"/>
          <w:lang w:val="en-US" w:eastAsia="zh-CN"/>
        </w:rPr>
        <w:t>按时支付作业人员工资。</w:t>
      </w:r>
    </w:p>
    <w:p w14:paraId="5D68D93D">
      <w:pPr>
        <w:shd w:val="clear"/>
        <w:spacing w:line="440" w:lineRule="exact"/>
        <w:ind w:firstLine="480" w:firstLineChars="200"/>
        <w:rPr>
          <w:bCs/>
          <w:sz w:val="24"/>
          <w:szCs w:val="24"/>
          <w:highlight w:val="none"/>
        </w:rPr>
      </w:pPr>
      <w:r>
        <w:rPr>
          <w:rFonts w:hint="eastAsia"/>
          <w:sz w:val="24"/>
          <w:szCs w:val="24"/>
          <w:highlight w:val="none"/>
        </w:rPr>
        <w:t>（7）在服务期限内，如乙方需更换项目管理人员的，更换后的项目管理人员须符合采购要求，经甲方同意后，方可更换，并服从甲方的人员备案、考核管理，否则甲方有权终止项目合同，甲方无须承担相应的违约责任。</w:t>
      </w:r>
    </w:p>
    <w:bookmarkEnd w:id="134"/>
    <w:bookmarkEnd w:id="135"/>
    <w:bookmarkEnd w:id="136"/>
    <w:bookmarkEnd w:id="137"/>
    <w:bookmarkEnd w:id="138"/>
    <w:p w14:paraId="19EA3B1B">
      <w:pPr>
        <w:shd w:val="clear"/>
        <w:spacing w:line="440" w:lineRule="exact"/>
        <w:rPr>
          <w:bCs/>
          <w:kern w:val="0"/>
          <w:sz w:val="24"/>
          <w:szCs w:val="24"/>
          <w:highlight w:val="none"/>
          <w:u w:val="single"/>
        </w:rPr>
      </w:pPr>
      <w:r>
        <w:rPr>
          <w:rFonts w:hint="eastAsia"/>
          <w:b/>
          <w:bCs/>
          <w:kern w:val="0"/>
          <w:sz w:val="24"/>
          <w:szCs w:val="24"/>
          <w:highlight w:val="none"/>
        </w:rPr>
        <w:t>1</w:t>
      </w:r>
      <w:r>
        <w:rPr>
          <w:b/>
          <w:bCs/>
          <w:kern w:val="0"/>
          <w:sz w:val="24"/>
          <w:szCs w:val="24"/>
          <w:highlight w:val="none"/>
        </w:rPr>
        <w:t>.7</w:t>
      </w:r>
      <w:r>
        <w:rPr>
          <w:rFonts w:hint="eastAsia"/>
          <w:b/>
          <w:bCs/>
          <w:kern w:val="0"/>
          <w:sz w:val="24"/>
          <w:szCs w:val="24"/>
          <w:highlight w:val="none"/>
        </w:rPr>
        <w:t xml:space="preserve"> 违约责任</w:t>
      </w:r>
    </w:p>
    <w:p w14:paraId="76A6C2EF">
      <w:pPr>
        <w:shd w:val="clear"/>
        <w:spacing w:line="440" w:lineRule="exact"/>
        <w:ind w:firstLine="480" w:firstLineChars="200"/>
        <w:rPr>
          <w:bCs/>
          <w:kern w:val="0"/>
          <w:sz w:val="24"/>
          <w:szCs w:val="24"/>
          <w:highlight w:val="none"/>
        </w:rPr>
      </w:pPr>
      <w:r>
        <w:rPr>
          <w:bCs/>
          <w:kern w:val="0"/>
          <w:sz w:val="24"/>
          <w:szCs w:val="24"/>
          <w:highlight w:val="none"/>
        </w:rPr>
        <w:t>1.7.1除不可抗力外，如果乙方没有按照本合同约定的期限</w:t>
      </w:r>
      <w:r>
        <w:rPr>
          <w:rFonts w:hint="eastAsia"/>
          <w:bCs/>
          <w:kern w:val="0"/>
          <w:sz w:val="24"/>
          <w:szCs w:val="24"/>
          <w:highlight w:val="none"/>
        </w:rPr>
        <w:t>、</w:t>
      </w:r>
      <w:r>
        <w:rPr>
          <w:bCs/>
          <w:kern w:val="0"/>
          <w:sz w:val="24"/>
          <w:szCs w:val="24"/>
          <w:highlight w:val="none"/>
        </w:rPr>
        <w:t>地点和方式</w:t>
      </w:r>
      <w:r>
        <w:rPr>
          <w:rFonts w:hint="eastAsia"/>
          <w:bCs/>
          <w:kern w:val="0"/>
          <w:sz w:val="24"/>
          <w:szCs w:val="24"/>
          <w:highlight w:val="none"/>
        </w:rPr>
        <w:t>履行</w:t>
      </w:r>
      <w:r>
        <w:rPr>
          <w:bCs/>
          <w:kern w:val="0"/>
          <w:sz w:val="24"/>
          <w:szCs w:val="24"/>
          <w:highlight w:val="none"/>
        </w:rPr>
        <w:t>，那么甲方可要求乙方支付违约金</w:t>
      </w:r>
      <w:r>
        <w:rPr>
          <w:rFonts w:hint="eastAsia"/>
          <w:bCs/>
          <w:kern w:val="0"/>
          <w:sz w:val="24"/>
          <w:szCs w:val="24"/>
          <w:highlight w:val="none"/>
        </w:rPr>
        <w:t>，</w:t>
      </w:r>
      <w:r>
        <w:rPr>
          <w:bCs/>
          <w:kern w:val="0"/>
          <w:sz w:val="24"/>
          <w:szCs w:val="24"/>
          <w:highlight w:val="none"/>
        </w:rPr>
        <w:t>违约金按每迟延</w:t>
      </w:r>
      <w:r>
        <w:rPr>
          <w:rFonts w:hint="eastAsia"/>
          <w:bCs/>
          <w:kern w:val="0"/>
          <w:sz w:val="24"/>
          <w:szCs w:val="24"/>
          <w:highlight w:val="none"/>
        </w:rPr>
        <w:t>履行</w:t>
      </w:r>
      <w:r>
        <w:rPr>
          <w:bCs/>
          <w:kern w:val="0"/>
          <w:sz w:val="24"/>
          <w:szCs w:val="24"/>
          <w:highlight w:val="none"/>
        </w:rPr>
        <w:t>一日的应提供而未</w:t>
      </w:r>
      <w:r>
        <w:rPr>
          <w:rFonts w:hint="eastAsia"/>
          <w:bCs/>
          <w:kern w:val="0"/>
          <w:sz w:val="24"/>
          <w:szCs w:val="24"/>
          <w:highlight w:val="none"/>
        </w:rPr>
        <w:t>提供</w:t>
      </w:r>
      <w:r>
        <w:rPr>
          <w:bCs/>
          <w:kern w:val="0"/>
          <w:sz w:val="24"/>
          <w:szCs w:val="24"/>
          <w:highlight w:val="none"/>
        </w:rPr>
        <w:t>服务价格的</w:t>
      </w:r>
      <w:r>
        <w:rPr>
          <w:bCs/>
          <w:kern w:val="0"/>
          <w:sz w:val="24"/>
          <w:szCs w:val="24"/>
          <w:highlight w:val="none"/>
          <w:u w:val="single"/>
        </w:rPr>
        <w:t>0.5</w:t>
      </w:r>
      <w:r>
        <w:rPr>
          <w:bCs/>
          <w:kern w:val="0"/>
          <w:sz w:val="24"/>
          <w:szCs w:val="24"/>
          <w:highlight w:val="none"/>
        </w:rPr>
        <w:t>%计算</w:t>
      </w:r>
      <w:r>
        <w:rPr>
          <w:rFonts w:hint="eastAsia"/>
          <w:bCs/>
          <w:kern w:val="0"/>
          <w:sz w:val="24"/>
          <w:szCs w:val="24"/>
          <w:highlight w:val="none"/>
        </w:rPr>
        <w:t>，</w:t>
      </w:r>
      <w:r>
        <w:rPr>
          <w:bCs/>
          <w:kern w:val="0"/>
          <w:sz w:val="24"/>
          <w:szCs w:val="24"/>
          <w:highlight w:val="none"/>
        </w:rPr>
        <w:t>最高限额为</w:t>
      </w:r>
      <w:r>
        <w:rPr>
          <w:rFonts w:hint="eastAsia"/>
          <w:bCs/>
          <w:kern w:val="0"/>
          <w:sz w:val="24"/>
          <w:szCs w:val="24"/>
          <w:highlight w:val="none"/>
        </w:rPr>
        <w:t>本</w:t>
      </w:r>
      <w:r>
        <w:rPr>
          <w:bCs/>
          <w:kern w:val="0"/>
          <w:sz w:val="24"/>
          <w:szCs w:val="24"/>
          <w:highlight w:val="none"/>
        </w:rPr>
        <w:t>合同总价的</w:t>
      </w:r>
      <w:r>
        <w:rPr>
          <w:bCs/>
          <w:kern w:val="0"/>
          <w:sz w:val="24"/>
          <w:szCs w:val="24"/>
          <w:highlight w:val="none"/>
          <w:u w:val="single"/>
        </w:rPr>
        <w:t>5</w:t>
      </w:r>
      <w:r>
        <w:rPr>
          <w:bCs/>
          <w:kern w:val="0"/>
          <w:sz w:val="24"/>
          <w:szCs w:val="24"/>
          <w:highlight w:val="none"/>
        </w:rPr>
        <w:t>%</w:t>
      </w:r>
      <w:r>
        <w:rPr>
          <w:rFonts w:hint="eastAsia"/>
          <w:bCs/>
          <w:kern w:val="0"/>
          <w:sz w:val="24"/>
          <w:szCs w:val="24"/>
          <w:highlight w:val="none"/>
        </w:rPr>
        <w:t>；</w:t>
      </w:r>
      <w:r>
        <w:rPr>
          <w:bCs/>
          <w:kern w:val="0"/>
          <w:sz w:val="24"/>
          <w:szCs w:val="24"/>
          <w:highlight w:val="none"/>
        </w:rPr>
        <w:t>迟延</w:t>
      </w:r>
      <w:r>
        <w:rPr>
          <w:rFonts w:hint="eastAsia"/>
          <w:bCs/>
          <w:kern w:val="0"/>
          <w:sz w:val="24"/>
          <w:szCs w:val="24"/>
          <w:highlight w:val="none"/>
        </w:rPr>
        <w:t>履行</w:t>
      </w:r>
      <w:r>
        <w:rPr>
          <w:bCs/>
          <w:kern w:val="0"/>
          <w:sz w:val="24"/>
          <w:szCs w:val="24"/>
          <w:highlight w:val="none"/>
        </w:rPr>
        <w:t>的违约金计算数额达到前述最高限额之日起</w:t>
      </w:r>
      <w:r>
        <w:rPr>
          <w:rFonts w:hint="eastAsia"/>
          <w:bCs/>
          <w:kern w:val="0"/>
          <w:sz w:val="24"/>
          <w:szCs w:val="24"/>
          <w:highlight w:val="none"/>
        </w:rPr>
        <w:t>，</w:t>
      </w:r>
      <w:r>
        <w:rPr>
          <w:bCs/>
          <w:kern w:val="0"/>
          <w:sz w:val="24"/>
          <w:szCs w:val="24"/>
          <w:highlight w:val="none"/>
        </w:rPr>
        <w:t>甲方有权在要求乙方支付违约金的同时</w:t>
      </w:r>
      <w:r>
        <w:rPr>
          <w:rFonts w:hint="eastAsia"/>
          <w:bCs/>
          <w:kern w:val="0"/>
          <w:sz w:val="24"/>
          <w:szCs w:val="24"/>
          <w:highlight w:val="none"/>
        </w:rPr>
        <w:t>，书面通知乙方</w:t>
      </w:r>
      <w:r>
        <w:rPr>
          <w:bCs/>
          <w:kern w:val="0"/>
          <w:sz w:val="24"/>
          <w:szCs w:val="24"/>
          <w:highlight w:val="none"/>
        </w:rPr>
        <w:t>解除本合同</w:t>
      </w:r>
      <w:r>
        <w:rPr>
          <w:rFonts w:hint="eastAsia"/>
          <w:bCs/>
          <w:kern w:val="0"/>
          <w:sz w:val="24"/>
          <w:szCs w:val="24"/>
          <w:highlight w:val="none"/>
        </w:rPr>
        <w:t>。</w:t>
      </w:r>
    </w:p>
    <w:p w14:paraId="21C78BDB">
      <w:pPr>
        <w:shd w:val="clear"/>
        <w:spacing w:line="440" w:lineRule="exact"/>
        <w:ind w:firstLine="480" w:firstLineChars="200"/>
        <w:rPr>
          <w:bCs/>
          <w:kern w:val="0"/>
          <w:sz w:val="24"/>
          <w:szCs w:val="24"/>
          <w:highlight w:val="none"/>
        </w:rPr>
      </w:pPr>
      <w:r>
        <w:rPr>
          <w:bCs/>
          <w:kern w:val="0"/>
          <w:sz w:val="24"/>
          <w:szCs w:val="24"/>
          <w:highlight w:val="none"/>
        </w:rPr>
        <w:t>1.7.2除不可抗力外，如果甲方没有按照本合同约定的付款方式付款，那么乙方可要求甲方支付违约金</w:t>
      </w:r>
      <w:r>
        <w:rPr>
          <w:rFonts w:hint="eastAsia"/>
          <w:bCs/>
          <w:kern w:val="0"/>
          <w:sz w:val="24"/>
          <w:szCs w:val="24"/>
          <w:highlight w:val="none"/>
        </w:rPr>
        <w:t>，</w:t>
      </w:r>
      <w:r>
        <w:rPr>
          <w:bCs/>
          <w:kern w:val="0"/>
          <w:sz w:val="24"/>
          <w:szCs w:val="24"/>
          <w:highlight w:val="none"/>
        </w:rPr>
        <w:t>违约金按每迟延</w:t>
      </w:r>
      <w:r>
        <w:rPr>
          <w:rFonts w:hint="eastAsia"/>
          <w:bCs/>
          <w:kern w:val="0"/>
          <w:sz w:val="24"/>
          <w:szCs w:val="24"/>
          <w:highlight w:val="none"/>
        </w:rPr>
        <w:t>付款</w:t>
      </w:r>
      <w:r>
        <w:rPr>
          <w:bCs/>
          <w:kern w:val="0"/>
          <w:sz w:val="24"/>
          <w:szCs w:val="24"/>
          <w:highlight w:val="none"/>
        </w:rPr>
        <w:t>一日的应付而未付款的</w:t>
      </w:r>
      <w:r>
        <w:rPr>
          <w:bCs/>
          <w:kern w:val="0"/>
          <w:sz w:val="24"/>
          <w:szCs w:val="24"/>
          <w:highlight w:val="none"/>
          <w:u w:val="single"/>
        </w:rPr>
        <w:t>0.5</w:t>
      </w:r>
      <w:r>
        <w:rPr>
          <w:bCs/>
          <w:kern w:val="0"/>
          <w:sz w:val="24"/>
          <w:szCs w:val="24"/>
          <w:highlight w:val="none"/>
        </w:rPr>
        <w:t>%计算</w:t>
      </w:r>
      <w:r>
        <w:rPr>
          <w:rFonts w:hint="eastAsia"/>
          <w:bCs/>
          <w:kern w:val="0"/>
          <w:sz w:val="24"/>
          <w:szCs w:val="24"/>
          <w:highlight w:val="none"/>
        </w:rPr>
        <w:t>，</w:t>
      </w:r>
      <w:r>
        <w:rPr>
          <w:bCs/>
          <w:kern w:val="0"/>
          <w:sz w:val="24"/>
          <w:szCs w:val="24"/>
          <w:highlight w:val="none"/>
        </w:rPr>
        <w:t>最高限额为</w:t>
      </w:r>
      <w:r>
        <w:rPr>
          <w:rFonts w:hint="eastAsia"/>
          <w:bCs/>
          <w:kern w:val="0"/>
          <w:sz w:val="24"/>
          <w:szCs w:val="24"/>
          <w:highlight w:val="none"/>
        </w:rPr>
        <w:t>本</w:t>
      </w:r>
      <w:r>
        <w:rPr>
          <w:bCs/>
          <w:kern w:val="0"/>
          <w:sz w:val="24"/>
          <w:szCs w:val="24"/>
          <w:highlight w:val="none"/>
        </w:rPr>
        <w:t>合同总价的</w:t>
      </w:r>
      <w:r>
        <w:rPr>
          <w:bCs/>
          <w:kern w:val="0"/>
          <w:sz w:val="24"/>
          <w:szCs w:val="24"/>
          <w:highlight w:val="none"/>
          <w:u w:val="single"/>
        </w:rPr>
        <w:t>5</w:t>
      </w:r>
      <w:r>
        <w:rPr>
          <w:bCs/>
          <w:kern w:val="0"/>
          <w:sz w:val="24"/>
          <w:szCs w:val="24"/>
          <w:highlight w:val="none"/>
        </w:rPr>
        <w:t>%</w:t>
      </w:r>
      <w:r>
        <w:rPr>
          <w:rFonts w:hint="eastAsia"/>
          <w:bCs/>
          <w:kern w:val="0"/>
          <w:sz w:val="24"/>
          <w:szCs w:val="24"/>
          <w:highlight w:val="none"/>
        </w:rPr>
        <w:t>；</w:t>
      </w:r>
      <w:r>
        <w:rPr>
          <w:bCs/>
          <w:kern w:val="0"/>
          <w:sz w:val="24"/>
          <w:szCs w:val="24"/>
          <w:highlight w:val="none"/>
        </w:rPr>
        <w:t>迟延</w:t>
      </w:r>
      <w:r>
        <w:rPr>
          <w:rFonts w:hint="eastAsia"/>
          <w:bCs/>
          <w:kern w:val="0"/>
          <w:sz w:val="24"/>
          <w:szCs w:val="24"/>
          <w:highlight w:val="none"/>
        </w:rPr>
        <w:t>付款</w:t>
      </w:r>
      <w:r>
        <w:rPr>
          <w:bCs/>
          <w:kern w:val="0"/>
          <w:sz w:val="24"/>
          <w:szCs w:val="24"/>
          <w:highlight w:val="none"/>
        </w:rPr>
        <w:t>的违约金计算数额达到前述最高限额之日起</w:t>
      </w:r>
      <w:r>
        <w:rPr>
          <w:rFonts w:hint="eastAsia"/>
          <w:bCs/>
          <w:kern w:val="0"/>
          <w:sz w:val="24"/>
          <w:szCs w:val="24"/>
          <w:highlight w:val="none"/>
        </w:rPr>
        <w:t>，乙</w:t>
      </w:r>
      <w:r>
        <w:rPr>
          <w:bCs/>
          <w:kern w:val="0"/>
          <w:sz w:val="24"/>
          <w:szCs w:val="24"/>
          <w:highlight w:val="none"/>
        </w:rPr>
        <w:t>方有权在要求甲方支付违约金的同时</w:t>
      </w:r>
      <w:r>
        <w:rPr>
          <w:rFonts w:hint="eastAsia"/>
          <w:bCs/>
          <w:kern w:val="0"/>
          <w:sz w:val="24"/>
          <w:szCs w:val="24"/>
          <w:highlight w:val="none"/>
        </w:rPr>
        <w:t>，书面通知甲方</w:t>
      </w:r>
      <w:r>
        <w:rPr>
          <w:bCs/>
          <w:kern w:val="0"/>
          <w:sz w:val="24"/>
          <w:szCs w:val="24"/>
          <w:highlight w:val="none"/>
        </w:rPr>
        <w:t>解除本合同</w:t>
      </w:r>
      <w:r>
        <w:rPr>
          <w:rFonts w:hint="eastAsia"/>
          <w:bCs/>
          <w:kern w:val="0"/>
          <w:sz w:val="24"/>
          <w:szCs w:val="24"/>
          <w:highlight w:val="none"/>
        </w:rPr>
        <w:t>。</w:t>
      </w:r>
    </w:p>
    <w:p w14:paraId="6E53A547">
      <w:pPr>
        <w:shd w:val="clear"/>
        <w:spacing w:line="440" w:lineRule="exact"/>
        <w:ind w:firstLine="480" w:firstLineChars="200"/>
        <w:rPr>
          <w:bCs/>
          <w:kern w:val="0"/>
          <w:sz w:val="24"/>
          <w:szCs w:val="24"/>
          <w:highlight w:val="none"/>
        </w:rPr>
      </w:pPr>
      <w:r>
        <w:rPr>
          <w:bCs/>
          <w:kern w:val="0"/>
          <w:sz w:val="24"/>
          <w:szCs w:val="24"/>
          <w:highlight w:val="none"/>
        </w:rPr>
        <w:t>1.7.3</w:t>
      </w:r>
      <w:r>
        <w:rPr>
          <w:rFonts w:hint="eastAsia"/>
          <w:bCs/>
          <w:kern w:val="0"/>
          <w:sz w:val="24"/>
          <w:szCs w:val="24"/>
          <w:highlight w:val="none"/>
        </w:rPr>
        <w:t>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604E4FBE">
      <w:pPr>
        <w:shd w:val="clear"/>
        <w:spacing w:line="440" w:lineRule="exact"/>
        <w:ind w:firstLine="480" w:firstLineChars="200"/>
        <w:rPr>
          <w:bCs/>
          <w:kern w:val="0"/>
          <w:sz w:val="24"/>
          <w:szCs w:val="24"/>
          <w:highlight w:val="none"/>
        </w:rPr>
      </w:pPr>
      <w:r>
        <w:rPr>
          <w:bCs/>
          <w:kern w:val="0"/>
          <w:sz w:val="24"/>
          <w:szCs w:val="24"/>
          <w:highlight w:val="none"/>
        </w:rPr>
        <w:t>1.7.</w:t>
      </w:r>
      <w:r>
        <w:rPr>
          <w:rFonts w:hint="eastAsia"/>
          <w:bCs/>
          <w:kern w:val="0"/>
          <w:sz w:val="24"/>
          <w:szCs w:val="24"/>
          <w:highlight w:val="none"/>
        </w:rPr>
        <w:t>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7452B6CB">
      <w:pPr>
        <w:shd w:val="clear"/>
        <w:spacing w:line="440" w:lineRule="exact"/>
        <w:ind w:firstLine="480" w:firstLineChars="200"/>
        <w:rPr>
          <w:bCs/>
          <w:kern w:val="0"/>
          <w:sz w:val="24"/>
          <w:szCs w:val="24"/>
          <w:highlight w:val="none"/>
        </w:rPr>
      </w:pPr>
      <w:r>
        <w:rPr>
          <w:bCs/>
          <w:kern w:val="0"/>
          <w:sz w:val="24"/>
          <w:szCs w:val="24"/>
          <w:highlight w:val="none"/>
        </w:rPr>
        <w:t>1.7.5</w:t>
      </w:r>
      <w:r>
        <w:rPr>
          <w:rFonts w:hint="eastAsia"/>
          <w:bCs/>
          <w:kern w:val="0"/>
          <w:sz w:val="24"/>
          <w:szCs w:val="24"/>
          <w:highlight w:val="none"/>
        </w:rPr>
        <w:t>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22F3A80">
      <w:pPr>
        <w:shd w:val="clear"/>
        <w:spacing w:line="440" w:lineRule="exact"/>
        <w:ind w:firstLine="480" w:firstLineChars="200"/>
        <w:rPr>
          <w:bCs/>
          <w:kern w:val="0"/>
          <w:sz w:val="24"/>
          <w:szCs w:val="24"/>
          <w:highlight w:val="none"/>
        </w:rPr>
      </w:pPr>
      <w:r>
        <w:rPr>
          <w:bCs/>
          <w:kern w:val="0"/>
          <w:sz w:val="24"/>
          <w:szCs w:val="24"/>
          <w:highlight w:val="none"/>
        </w:rPr>
        <w:t>1.7.6</w:t>
      </w:r>
      <w:r>
        <w:rPr>
          <w:rFonts w:hint="eastAsia"/>
          <w:bCs/>
          <w:kern w:val="0"/>
          <w:sz w:val="24"/>
          <w:szCs w:val="24"/>
          <w:highlight w:val="none"/>
        </w:rPr>
        <w:t>如果出现政府采购监督管理部门在处理投诉事项期间，书面通知甲方暂停采购活动的情形，或者询问或质疑事项可能影响成交结果的，导致甲方中止履行合同的情形，均不视为甲方违约。</w:t>
      </w:r>
    </w:p>
    <w:p w14:paraId="2C0D2E4F">
      <w:pPr>
        <w:shd w:val="clear"/>
        <w:spacing w:line="440" w:lineRule="exact"/>
        <w:rPr>
          <w:b/>
          <w:bCs/>
          <w:kern w:val="0"/>
          <w:sz w:val="24"/>
          <w:szCs w:val="24"/>
          <w:highlight w:val="none"/>
        </w:rPr>
      </w:pPr>
      <w:bookmarkStart w:id="139" w:name="_Toc18683"/>
      <w:bookmarkStart w:id="140" w:name="_Toc9497"/>
      <w:bookmarkStart w:id="141" w:name="_Toc30329"/>
      <w:bookmarkStart w:id="142" w:name="_Toc32454"/>
      <w:bookmarkStart w:id="143" w:name="_Toc26807"/>
      <w:r>
        <w:rPr>
          <w:rFonts w:hint="eastAsia"/>
          <w:b/>
          <w:bCs/>
          <w:kern w:val="0"/>
          <w:sz w:val="24"/>
          <w:szCs w:val="24"/>
          <w:highlight w:val="none"/>
        </w:rPr>
        <w:t>1</w:t>
      </w:r>
      <w:r>
        <w:rPr>
          <w:b/>
          <w:bCs/>
          <w:kern w:val="0"/>
          <w:sz w:val="24"/>
          <w:szCs w:val="24"/>
          <w:highlight w:val="none"/>
        </w:rPr>
        <w:t>.8</w:t>
      </w:r>
      <w:r>
        <w:rPr>
          <w:rFonts w:hint="eastAsia"/>
          <w:b/>
          <w:bCs/>
          <w:kern w:val="0"/>
          <w:sz w:val="24"/>
          <w:szCs w:val="24"/>
          <w:highlight w:val="none"/>
        </w:rPr>
        <w:t xml:space="preserve"> 合同</w:t>
      </w:r>
      <w:r>
        <w:rPr>
          <w:b/>
          <w:bCs/>
          <w:kern w:val="0"/>
          <w:sz w:val="24"/>
          <w:szCs w:val="24"/>
          <w:highlight w:val="none"/>
        </w:rPr>
        <w:t>争议的解决</w:t>
      </w:r>
      <w:bookmarkEnd w:id="139"/>
      <w:bookmarkEnd w:id="140"/>
      <w:bookmarkEnd w:id="141"/>
      <w:bookmarkEnd w:id="142"/>
      <w:bookmarkEnd w:id="143"/>
    </w:p>
    <w:p w14:paraId="2029CC8D">
      <w:pPr>
        <w:shd w:val="clear"/>
        <w:spacing w:line="440" w:lineRule="exact"/>
        <w:ind w:firstLine="480" w:firstLineChars="200"/>
        <w:rPr>
          <w:bCs/>
          <w:kern w:val="0"/>
          <w:sz w:val="24"/>
          <w:szCs w:val="24"/>
          <w:highlight w:val="none"/>
        </w:rPr>
      </w:pPr>
      <w:r>
        <w:rPr>
          <w:rFonts w:hint="eastAsia"/>
          <w:bCs/>
          <w:kern w:val="0"/>
          <w:sz w:val="24"/>
          <w:szCs w:val="24"/>
          <w:highlight w:val="none"/>
        </w:rPr>
        <w:t>本合</w:t>
      </w:r>
      <w:r>
        <w:rPr>
          <w:bCs/>
          <w:kern w:val="0"/>
          <w:sz w:val="24"/>
          <w:szCs w:val="24"/>
          <w:highlight w:val="none"/>
        </w:rPr>
        <w:t>同履行过程中发生的任何争议，双方当事人均可</w:t>
      </w:r>
      <w:r>
        <w:rPr>
          <w:rFonts w:hint="eastAsia"/>
          <w:bCs/>
          <w:kern w:val="0"/>
          <w:sz w:val="24"/>
          <w:szCs w:val="24"/>
          <w:highlight w:val="none"/>
        </w:rPr>
        <w:t>通过和解或者调解解决；不愿和解、调解或者和解、调解不成的，可以选择下列第</w:t>
      </w:r>
      <w:r>
        <w:rPr>
          <w:rFonts w:hint="eastAsia"/>
          <w:bCs/>
          <w:kern w:val="0"/>
          <w:sz w:val="24"/>
          <w:szCs w:val="24"/>
          <w:highlight w:val="none"/>
          <w:u w:val="single"/>
        </w:rPr>
        <w:t>1</w:t>
      </w:r>
      <w:r>
        <w:rPr>
          <w:bCs/>
          <w:kern w:val="0"/>
          <w:sz w:val="24"/>
          <w:szCs w:val="24"/>
          <w:highlight w:val="none"/>
          <w:u w:val="single"/>
        </w:rPr>
        <w:t>.8.</w:t>
      </w:r>
      <w:r>
        <w:rPr>
          <w:rFonts w:hint="eastAsia"/>
          <w:bCs/>
          <w:kern w:val="0"/>
          <w:sz w:val="24"/>
          <w:szCs w:val="24"/>
          <w:highlight w:val="none"/>
          <w:u w:val="single"/>
        </w:rPr>
        <w:t>1</w:t>
      </w:r>
      <w:r>
        <w:rPr>
          <w:rFonts w:hint="eastAsia"/>
          <w:bCs/>
          <w:kern w:val="0"/>
          <w:sz w:val="24"/>
          <w:szCs w:val="24"/>
          <w:highlight w:val="none"/>
        </w:rPr>
        <w:t>种方式解决：</w:t>
      </w:r>
    </w:p>
    <w:p w14:paraId="1DC51CA2">
      <w:pPr>
        <w:shd w:val="clear"/>
        <w:spacing w:line="430" w:lineRule="exact"/>
        <w:ind w:firstLine="480" w:firstLineChars="200"/>
        <w:rPr>
          <w:bCs/>
          <w:kern w:val="0"/>
          <w:sz w:val="24"/>
          <w:szCs w:val="24"/>
          <w:highlight w:val="none"/>
        </w:rPr>
      </w:pPr>
      <w:r>
        <w:rPr>
          <w:bCs/>
          <w:kern w:val="0"/>
          <w:sz w:val="24"/>
          <w:szCs w:val="24"/>
          <w:highlight w:val="none"/>
        </w:rPr>
        <w:t>1.8.1</w:t>
      </w:r>
      <w:r>
        <w:rPr>
          <w:rFonts w:hint="eastAsia"/>
          <w:bCs/>
          <w:kern w:val="0"/>
          <w:sz w:val="24"/>
          <w:szCs w:val="24"/>
          <w:highlight w:val="none"/>
        </w:rPr>
        <w:t>向</w:t>
      </w:r>
      <w:r>
        <w:rPr>
          <w:rFonts w:hint="eastAsia"/>
          <w:bCs/>
          <w:kern w:val="0"/>
          <w:sz w:val="24"/>
          <w:szCs w:val="24"/>
          <w:highlight w:val="none"/>
          <w:u w:val="single"/>
        </w:rPr>
        <w:t>（项目所在地、合同履行地、标的物所在地等）</w:t>
      </w:r>
      <w:r>
        <w:rPr>
          <w:rFonts w:hint="eastAsia"/>
          <w:bCs/>
          <w:kern w:val="0"/>
          <w:sz w:val="24"/>
          <w:szCs w:val="24"/>
          <w:highlight w:val="none"/>
        </w:rPr>
        <w:t>人民法院起诉。</w:t>
      </w:r>
    </w:p>
    <w:p w14:paraId="06E61843">
      <w:pPr>
        <w:shd w:val="clear"/>
        <w:spacing w:line="440" w:lineRule="exact"/>
        <w:rPr>
          <w:b/>
          <w:bCs/>
          <w:kern w:val="0"/>
          <w:sz w:val="24"/>
          <w:szCs w:val="24"/>
          <w:highlight w:val="none"/>
        </w:rPr>
      </w:pPr>
      <w:bookmarkStart w:id="144" w:name="_Toc16417"/>
      <w:bookmarkStart w:id="145" w:name="_Toc26227"/>
      <w:bookmarkStart w:id="146" w:name="_Toc12273"/>
      <w:bookmarkStart w:id="147" w:name="_Toc23784"/>
      <w:bookmarkStart w:id="148" w:name="_Toc15827"/>
      <w:r>
        <w:rPr>
          <w:rFonts w:hint="eastAsia"/>
          <w:b/>
          <w:bCs/>
          <w:kern w:val="0"/>
          <w:sz w:val="24"/>
          <w:szCs w:val="24"/>
          <w:highlight w:val="none"/>
        </w:rPr>
        <w:t>1</w:t>
      </w:r>
      <w:r>
        <w:rPr>
          <w:b/>
          <w:bCs/>
          <w:kern w:val="0"/>
          <w:sz w:val="24"/>
          <w:szCs w:val="24"/>
          <w:highlight w:val="none"/>
        </w:rPr>
        <w:t>.9</w:t>
      </w:r>
      <w:r>
        <w:rPr>
          <w:rFonts w:hint="eastAsia"/>
          <w:b/>
          <w:bCs/>
          <w:kern w:val="0"/>
          <w:sz w:val="24"/>
          <w:szCs w:val="24"/>
          <w:highlight w:val="none"/>
        </w:rPr>
        <w:t xml:space="preserve"> </w:t>
      </w:r>
      <w:r>
        <w:rPr>
          <w:b/>
          <w:bCs/>
          <w:kern w:val="0"/>
          <w:sz w:val="24"/>
          <w:szCs w:val="24"/>
          <w:highlight w:val="none"/>
        </w:rPr>
        <w:t>合同生效</w:t>
      </w:r>
      <w:bookmarkEnd w:id="144"/>
      <w:bookmarkEnd w:id="145"/>
      <w:bookmarkEnd w:id="146"/>
      <w:bookmarkEnd w:id="147"/>
      <w:bookmarkEnd w:id="148"/>
      <w:r>
        <w:rPr>
          <w:rFonts w:hint="eastAsia"/>
          <w:b/>
          <w:bCs/>
          <w:kern w:val="0"/>
          <w:sz w:val="24"/>
          <w:szCs w:val="24"/>
          <w:highlight w:val="none"/>
        </w:rPr>
        <w:t>及其他</w:t>
      </w:r>
    </w:p>
    <w:p w14:paraId="2783843E">
      <w:pPr>
        <w:shd w:val="clear"/>
        <w:spacing w:line="440" w:lineRule="exact"/>
        <w:ind w:firstLine="480" w:firstLineChars="200"/>
        <w:rPr>
          <w:bCs/>
          <w:kern w:val="0"/>
          <w:sz w:val="24"/>
          <w:szCs w:val="24"/>
          <w:highlight w:val="none"/>
        </w:rPr>
      </w:pPr>
      <w:r>
        <w:rPr>
          <w:bCs/>
          <w:kern w:val="0"/>
          <w:sz w:val="24"/>
          <w:szCs w:val="24"/>
          <w:highlight w:val="none"/>
        </w:rPr>
        <w:t>1.9.1合同应在甲乙双方代表签字并加盖公章后生效。</w:t>
      </w:r>
    </w:p>
    <w:p w14:paraId="3CE9FA98">
      <w:pPr>
        <w:shd w:val="clear"/>
        <w:spacing w:line="440" w:lineRule="exact"/>
        <w:ind w:firstLine="480" w:firstLineChars="200"/>
        <w:rPr>
          <w:bCs/>
          <w:kern w:val="0"/>
          <w:sz w:val="24"/>
          <w:szCs w:val="24"/>
          <w:highlight w:val="none"/>
        </w:rPr>
      </w:pPr>
      <w:r>
        <w:rPr>
          <w:bCs/>
          <w:kern w:val="0"/>
          <w:sz w:val="24"/>
          <w:szCs w:val="24"/>
          <w:highlight w:val="none"/>
        </w:rPr>
        <w:t>1.9.</w:t>
      </w:r>
      <w:r>
        <w:rPr>
          <w:rFonts w:hint="eastAsia"/>
          <w:bCs/>
          <w:kern w:val="0"/>
          <w:sz w:val="24"/>
          <w:szCs w:val="24"/>
          <w:highlight w:val="none"/>
        </w:rPr>
        <w:t>2</w:t>
      </w:r>
      <w:r>
        <w:rPr>
          <w:bCs/>
          <w:kern w:val="0"/>
          <w:sz w:val="24"/>
          <w:szCs w:val="24"/>
          <w:highlight w:val="none"/>
        </w:rPr>
        <w:t>本合同一式</w:t>
      </w:r>
      <w:r>
        <w:rPr>
          <w:rFonts w:hint="eastAsia"/>
          <w:bCs/>
          <w:kern w:val="0"/>
          <w:sz w:val="24"/>
          <w:szCs w:val="24"/>
          <w:highlight w:val="none"/>
        </w:rPr>
        <w:t>五</w:t>
      </w:r>
      <w:r>
        <w:rPr>
          <w:bCs/>
          <w:kern w:val="0"/>
          <w:sz w:val="24"/>
          <w:szCs w:val="24"/>
          <w:highlight w:val="none"/>
        </w:rPr>
        <w:t>份，以简体中文书写，甲方</w:t>
      </w:r>
      <w:r>
        <w:rPr>
          <w:rFonts w:hint="eastAsia"/>
          <w:bCs/>
          <w:kern w:val="0"/>
          <w:sz w:val="24"/>
          <w:szCs w:val="24"/>
          <w:highlight w:val="none"/>
        </w:rPr>
        <w:t>两份</w:t>
      </w:r>
      <w:r>
        <w:rPr>
          <w:bCs/>
          <w:kern w:val="0"/>
          <w:sz w:val="24"/>
          <w:szCs w:val="24"/>
          <w:highlight w:val="none"/>
        </w:rPr>
        <w:t>、乙方</w:t>
      </w:r>
      <w:r>
        <w:rPr>
          <w:rFonts w:hint="eastAsia"/>
          <w:bCs/>
          <w:kern w:val="0"/>
          <w:sz w:val="24"/>
          <w:szCs w:val="24"/>
          <w:highlight w:val="none"/>
        </w:rPr>
        <w:t>两份</w:t>
      </w:r>
      <w:r>
        <w:rPr>
          <w:bCs/>
          <w:kern w:val="0"/>
          <w:sz w:val="24"/>
          <w:szCs w:val="24"/>
          <w:highlight w:val="none"/>
        </w:rPr>
        <w:t>、</w:t>
      </w:r>
      <w:r>
        <w:rPr>
          <w:rFonts w:hint="eastAsia"/>
          <w:bCs/>
          <w:kern w:val="0"/>
          <w:sz w:val="24"/>
          <w:szCs w:val="24"/>
          <w:highlight w:val="none"/>
        </w:rPr>
        <w:t>涵熙（苏州）工程顾问有限公司</w:t>
      </w:r>
      <w:r>
        <w:rPr>
          <w:bCs/>
          <w:kern w:val="0"/>
          <w:sz w:val="24"/>
          <w:szCs w:val="24"/>
          <w:highlight w:val="none"/>
        </w:rPr>
        <w:t>一份。</w:t>
      </w:r>
    </w:p>
    <w:p w14:paraId="57E76299">
      <w:pPr>
        <w:shd w:val="clear"/>
        <w:spacing w:line="440" w:lineRule="exact"/>
        <w:ind w:firstLine="480" w:firstLineChars="200"/>
        <w:rPr>
          <w:bCs/>
          <w:kern w:val="0"/>
          <w:sz w:val="24"/>
          <w:szCs w:val="24"/>
          <w:highlight w:val="none"/>
        </w:rPr>
      </w:pPr>
      <w:r>
        <w:rPr>
          <w:bCs/>
          <w:kern w:val="0"/>
          <w:sz w:val="24"/>
          <w:szCs w:val="24"/>
          <w:highlight w:val="none"/>
        </w:rPr>
        <w:t>1.9.3本合同应按照中华人民共和国的现行法律进行解释。</w:t>
      </w:r>
      <w:bookmarkStart w:id="149" w:name="_Toc331685783"/>
    </w:p>
    <w:p w14:paraId="0CDC3F77">
      <w:pPr>
        <w:shd w:val="clear"/>
        <w:autoSpaceDE w:val="0"/>
        <w:autoSpaceDN w:val="0"/>
        <w:adjustRightInd w:val="0"/>
        <w:spacing w:line="440" w:lineRule="exact"/>
        <w:ind w:firstLine="200"/>
        <w:jc w:val="center"/>
        <w:rPr>
          <w:b/>
          <w:kern w:val="0"/>
          <w:sz w:val="28"/>
          <w:szCs w:val="28"/>
          <w:highlight w:val="none"/>
        </w:rPr>
      </w:pPr>
      <w:r>
        <w:rPr>
          <w:rFonts w:hint="eastAsia"/>
          <w:b/>
          <w:kern w:val="0"/>
          <w:sz w:val="28"/>
          <w:szCs w:val="28"/>
          <w:highlight w:val="none"/>
        </w:rPr>
        <w:t>第二部分 合同一般条款</w:t>
      </w:r>
      <w:bookmarkEnd w:id="149"/>
    </w:p>
    <w:p w14:paraId="614575A2">
      <w:pPr>
        <w:shd w:val="clear"/>
        <w:spacing w:line="440" w:lineRule="exact"/>
        <w:rPr>
          <w:b/>
          <w:bCs/>
          <w:kern w:val="0"/>
          <w:sz w:val="24"/>
          <w:szCs w:val="24"/>
          <w:highlight w:val="none"/>
        </w:rPr>
      </w:pPr>
      <w:bookmarkStart w:id="150" w:name="_Ref467379101"/>
      <w:bookmarkStart w:id="151" w:name="_Toc31297"/>
      <w:bookmarkStart w:id="152" w:name="_Ref467379094"/>
      <w:bookmarkStart w:id="153" w:name="_Toc19680"/>
      <w:bookmarkStart w:id="154" w:name="_Toc5228"/>
      <w:bookmarkStart w:id="155" w:name="_Ref467379109"/>
      <w:bookmarkStart w:id="156" w:name="_Ref467378499"/>
      <w:bookmarkStart w:id="157" w:name="_Ref467379205"/>
      <w:bookmarkStart w:id="158" w:name="_Toc279701240"/>
      <w:bookmarkStart w:id="159" w:name="_Toc487900349"/>
      <w:bookmarkStart w:id="160" w:name="_Toc14021"/>
      <w:bookmarkStart w:id="161" w:name="_Ref467379225"/>
      <w:bookmarkStart w:id="162" w:name="_Ref467379195"/>
      <w:bookmarkStart w:id="163" w:name="_Ref467378463"/>
      <w:bookmarkStart w:id="164" w:name="_Toc259093669"/>
      <w:bookmarkStart w:id="165" w:name="_Ref467379214"/>
      <w:bookmarkStart w:id="166" w:name="_Toc25079"/>
      <w:bookmarkStart w:id="167" w:name="_Ref467378404"/>
      <w:r>
        <w:rPr>
          <w:rFonts w:hint="eastAsia"/>
          <w:b/>
          <w:bCs/>
          <w:kern w:val="0"/>
          <w:sz w:val="24"/>
          <w:szCs w:val="24"/>
          <w:highlight w:val="none"/>
        </w:rPr>
        <w:t>2</w:t>
      </w:r>
      <w:r>
        <w:rPr>
          <w:b/>
          <w:bCs/>
          <w:kern w:val="0"/>
          <w:sz w:val="24"/>
          <w:szCs w:val="24"/>
          <w:highlight w:val="none"/>
        </w:rPr>
        <w:t>.1</w:t>
      </w:r>
      <w:r>
        <w:rPr>
          <w:rFonts w:hint="eastAsia"/>
          <w:b/>
          <w:bCs/>
          <w:kern w:val="0"/>
          <w:sz w:val="24"/>
          <w:szCs w:val="24"/>
          <w:highlight w:val="none"/>
        </w:rPr>
        <w:t xml:space="preserve"> </w:t>
      </w:r>
      <w:r>
        <w:rPr>
          <w:b/>
          <w:bCs/>
          <w:kern w:val="0"/>
          <w:sz w:val="24"/>
          <w:szCs w:val="24"/>
          <w:highlight w:val="none"/>
        </w:rPr>
        <w:t>定义</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6F0CF56B">
      <w:pPr>
        <w:shd w:val="clear"/>
        <w:spacing w:line="440" w:lineRule="exact"/>
        <w:ind w:firstLine="480" w:firstLineChars="200"/>
        <w:rPr>
          <w:bCs/>
          <w:kern w:val="0"/>
          <w:sz w:val="24"/>
          <w:szCs w:val="24"/>
          <w:highlight w:val="none"/>
        </w:rPr>
      </w:pPr>
      <w:r>
        <w:rPr>
          <w:bCs/>
          <w:kern w:val="0"/>
          <w:sz w:val="24"/>
          <w:szCs w:val="24"/>
          <w:highlight w:val="none"/>
        </w:rPr>
        <w:t>本合同中的下列</w:t>
      </w:r>
      <w:r>
        <w:rPr>
          <w:rFonts w:hint="eastAsia"/>
          <w:bCs/>
          <w:kern w:val="0"/>
          <w:sz w:val="24"/>
          <w:szCs w:val="24"/>
          <w:highlight w:val="none"/>
        </w:rPr>
        <w:t>词</w:t>
      </w:r>
      <w:r>
        <w:rPr>
          <w:bCs/>
          <w:kern w:val="0"/>
          <w:sz w:val="24"/>
          <w:szCs w:val="24"/>
          <w:highlight w:val="none"/>
        </w:rPr>
        <w:t>语应</w:t>
      </w:r>
      <w:r>
        <w:rPr>
          <w:rFonts w:hint="eastAsia"/>
          <w:bCs/>
          <w:kern w:val="0"/>
          <w:sz w:val="24"/>
          <w:szCs w:val="24"/>
          <w:highlight w:val="none"/>
        </w:rPr>
        <w:t>按以下内容进行</w:t>
      </w:r>
      <w:r>
        <w:rPr>
          <w:bCs/>
          <w:kern w:val="0"/>
          <w:sz w:val="24"/>
          <w:szCs w:val="24"/>
          <w:highlight w:val="none"/>
        </w:rPr>
        <w:t>解释：</w:t>
      </w:r>
    </w:p>
    <w:p w14:paraId="62878758">
      <w:pPr>
        <w:shd w:val="clear"/>
        <w:spacing w:line="440" w:lineRule="exact"/>
        <w:ind w:firstLine="480" w:firstLineChars="200"/>
        <w:rPr>
          <w:bCs/>
          <w:kern w:val="0"/>
          <w:sz w:val="24"/>
          <w:szCs w:val="24"/>
          <w:highlight w:val="none"/>
        </w:rPr>
      </w:pPr>
      <w:r>
        <w:rPr>
          <w:bCs/>
          <w:kern w:val="0"/>
          <w:sz w:val="24"/>
          <w:szCs w:val="24"/>
          <w:highlight w:val="none"/>
        </w:rPr>
        <w:t>2.1.1“合同”系指采购人和</w:t>
      </w:r>
      <w:r>
        <w:rPr>
          <w:rFonts w:hint="eastAsia"/>
          <w:bCs/>
          <w:kern w:val="0"/>
          <w:sz w:val="24"/>
          <w:szCs w:val="24"/>
          <w:highlight w:val="none"/>
        </w:rPr>
        <w:t>中标人</w:t>
      </w:r>
      <w:r>
        <w:rPr>
          <w:bCs/>
          <w:kern w:val="0"/>
          <w:sz w:val="24"/>
          <w:szCs w:val="24"/>
          <w:highlight w:val="none"/>
        </w:rPr>
        <w:t>签订的载明双方当事人所达成的协议，并包括所有的附件、附录和构成合同的其他文件。</w:t>
      </w:r>
    </w:p>
    <w:p w14:paraId="6260E6B8">
      <w:pPr>
        <w:shd w:val="clear"/>
        <w:spacing w:line="440" w:lineRule="exact"/>
        <w:ind w:firstLine="480" w:firstLineChars="200"/>
        <w:rPr>
          <w:bCs/>
          <w:kern w:val="0"/>
          <w:sz w:val="24"/>
          <w:szCs w:val="24"/>
          <w:highlight w:val="none"/>
        </w:rPr>
      </w:pPr>
      <w:r>
        <w:rPr>
          <w:bCs/>
          <w:kern w:val="0"/>
          <w:sz w:val="24"/>
          <w:szCs w:val="24"/>
          <w:highlight w:val="none"/>
        </w:rPr>
        <w:t>2.1.2“合同价”系指根据合同约定，</w:t>
      </w:r>
      <w:r>
        <w:rPr>
          <w:rFonts w:hint="eastAsia"/>
          <w:bCs/>
          <w:kern w:val="0"/>
          <w:sz w:val="24"/>
          <w:szCs w:val="24"/>
          <w:highlight w:val="none"/>
        </w:rPr>
        <w:t>中标人</w:t>
      </w:r>
      <w:r>
        <w:rPr>
          <w:bCs/>
          <w:kern w:val="0"/>
          <w:sz w:val="24"/>
          <w:szCs w:val="24"/>
          <w:highlight w:val="none"/>
        </w:rPr>
        <w:t>在完全履行合同义务后</w:t>
      </w:r>
      <w:r>
        <w:rPr>
          <w:rFonts w:hint="eastAsia"/>
          <w:bCs/>
          <w:kern w:val="0"/>
          <w:sz w:val="24"/>
          <w:szCs w:val="24"/>
          <w:highlight w:val="none"/>
        </w:rPr>
        <w:t>，</w:t>
      </w:r>
      <w:r>
        <w:rPr>
          <w:bCs/>
          <w:kern w:val="0"/>
          <w:sz w:val="24"/>
          <w:szCs w:val="24"/>
          <w:highlight w:val="none"/>
        </w:rPr>
        <w:t>采购人应支付给</w:t>
      </w:r>
      <w:r>
        <w:rPr>
          <w:rFonts w:hint="eastAsia"/>
          <w:bCs/>
          <w:kern w:val="0"/>
          <w:sz w:val="24"/>
          <w:szCs w:val="24"/>
          <w:highlight w:val="none"/>
        </w:rPr>
        <w:t>中标人</w:t>
      </w:r>
      <w:r>
        <w:rPr>
          <w:bCs/>
          <w:kern w:val="0"/>
          <w:sz w:val="24"/>
          <w:szCs w:val="24"/>
          <w:highlight w:val="none"/>
        </w:rPr>
        <w:t>的价格。</w:t>
      </w:r>
    </w:p>
    <w:p w14:paraId="7B996510">
      <w:pPr>
        <w:shd w:val="clear"/>
        <w:spacing w:line="440" w:lineRule="exact"/>
        <w:ind w:firstLine="480" w:firstLineChars="200"/>
        <w:rPr>
          <w:bCs/>
          <w:kern w:val="0"/>
          <w:sz w:val="24"/>
          <w:szCs w:val="24"/>
          <w:highlight w:val="none"/>
        </w:rPr>
      </w:pPr>
      <w:r>
        <w:rPr>
          <w:bCs/>
          <w:kern w:val="0"/>
          <w:sz w:val="24"/>
          <w:szCs w:val="24"/>
          <w:highlight w:val="none"/>
        </w:rPr>
        <w:t>2.1.3“</w:t>
      </w:r>
      <w:r>
        <w:rPr>
          <w:rFonts w:hint="eastAsia"/>
          <w:bCs/>
          <w:kern w:val="0"/>
          <w:sz w:val="24"/>
          <w:szCs w:val="24"/>
          <w:highlight w:val="none"/>
        </w:rPr>
        <w:t>服务</w:t>
      </w:r>
      <w:r>
        <w:rPr>
          <w:bCs/>
          <w:kern w:val="0"/>
          <w:sz w:val="24"/>
          <w:szCs w:val="24"/>
          <w:highlight w:val="none"/>
        </w:rPr>
        <w:t>”系指</w:t>
      </w:r>
      <w:r>
        <w:rPr>
          <w:rFonts w:hint="eastAsia"/>
          <w:bCs/>
          <w:kern w:val="0"/>
          <w:sz w:val="24"/>
          <w:szCs w:val="24"/>
          <w:highlight w:val="none"/>
        </w:rPr>
        <w:t>中标人</w:t>
      </w:r>
      <w:r>
        <w:rPr>
          <w:bCs/>
          <w:kern w:val="0"/>
          <w:sz w:val="24"/>
          <w:szCs w:val="24"/>
          <w:highlight w:val="none"/>
        </w:rPr>
        <w:t>根据合同约定应向采购人</w:t>
      </w:r>
      <w:r>
        <w:rPr>
          <w:rFonts w:hint="eastAsia"/>
          <w:bCs/>
          <w:kern w:val="0"/>
          <w:sz w:val="24"/>
          <w:szCs w:val="24"/>
          <w:highlight w:val="none"/>
        </w:rPr>
        <w:t>履行</w:t>
      </w:r>
      <w:r>
        <w:rPr>
          <w:bCs/>
          <w:kern w:val="0"/>
          <w:sz w:val="24"/>
          <w:szCs w:val="24"/>
          <w:highlight w:val="none"/>
        </w:rPr>
        <w:t>的</w:t>
      </w:r>
      <w:r>
        <w:rPr>
          <w:rFonts w:hint="eastAsia"/>
          <w:bCs/>
          <w:kern w:val="0"/>
          <w:sz w:val="24"/>
          <w:szCs w:val="24"/>
          <w:highlight w:val="none"/>
        </w:rPr>
        <w:t>除货物和工程以外的其他政府采购对象，包括采购人自身需要的服务和向社会公众提供的公共服务。</w:t>
      </w:r>
    </w:p>
    <w:p w14:paraId="5C5D103F">
      <w:pPr>
        <w:shd w:val="clear"/>
        <w:spacing w:line="440" w:lineRule="exact"/>
        <w:ind w:firstLine="480" w:firstLineChars="200"/>
        <w:rPr>
          <w:bCs/>
          <w:kern w:val="0"/>
          <w:sz w:val="24"/>
          <w:szCs w:val="24"/>
          <w:highlight w:val="none"/>
        </w:rPr>
      </w:pPr>
      <w:bookmarkStart w:id="168" w:name="_Ref467378840"/>
      <w:r>
        <w:rPr>
          <w:bCs/>
          <w:kern w:val="0"/>
          <w:sz w:val="24"/>
          <w:szCs w:val="24"/>
          <w:highlight w:val="none"/>
        </w:rPr>
        <w:t>2.1.4“</w:t>
      </w:r>
      <w:r>
        <w:rPr>
          <w:rFonts w:hint="eastAsia"/>
          <w:bCs/>
          <w:kern w:val="0"/>
          <w:sz w:val="24"/>
          <w:szCs w:val="24"/>
          <w:highlight w:val="none"/>
        </w:rPr>
        <w:t>甲方</w:t>
      </w:r>
      <w:r>
        <w:rPr>
          <w:bCs/>
          <w:kern w:val="0"/>
          <w:sz w:val="24"/>
          <w:szCs w:val="24"/>
          <w:highlight w:val="none"/>
        </w:rPr>
        <w:t>”系指与</w:t>
      </w:r>
      <w:r>
        <w:rPr>
          <w:rFonts w:hint="eastAsia"/>
          <w:bCs/>
          <w:kern w:val="0"/>
          <w:sz w:val="24"/>
          <w:szCs w:val="24"/>
          <w:highlight w:val="none"/>
        </w:rPr>
        <w:t>中标人</w:t>
      </w:r>
      <w:r>
        <w:rPr>
          <w:bCs/>
          <w:kern w:val="0"/>
          <w:sz w:val="24"/>
          <w:szCs w:val="24"/>
          <w:highlight w:val="none"/>
        </w:rPr>
        <w:t>签署合同的采购人</w:t>
      </w:r>
      <w:bookmarkEnd w:id="168"/>
      <w:r>
        <w:rPr>
          <w:rFonts w:hint="eastAsia"/>
          <w:bCs/>
          <w:kern w:val="0"/>
          <w:sz w:val="24"/>
          <w:szCs w:val="24"/>
          <w:highlight w:val="none"/>
        </w:rPr>
        <w:t>；采购人委托采购代理机构代表其与乙方签订合同的，采购人的授权委托书作为合同附件。</w:t>
      </w:r>
    </w:p>
    <w:p w14:paraId="4D3CBC62">
      <w:pPr>
        <w:shd w:val="clear"/>
        <w:spacing w:line="440" w:lineRule="exact"/>
        <w:ind w:firstLine="480" w:firstLineChars="200"/>
        <w:rPr>
          <w:bCs/>
          <w:kern w:val="0"/>
          <w:sz w:val="24"/>
          <w:szCs w:val="24"/>
          <w:highlight w:val="none"/>
        </w:rPr>
      </w:pPr>
      <w:bookmarkStart w:id="169" w:name="_Ref467379400"/>
      <w:r>
        <w:rPr>
          <w:bCs/>
          <w:kern w:val="0"/>
          <w:sz w:val="24"/>
          <w:szCs w:val="24"/>
          <w:highlight w:val="none"/>
        </w:rPr>
        <w:t>2.1.5“乙方”系指根据合同约定提供服务的</w:t>
      </w:r>
      <w:bookmarkEnd w:id="169"/>
      <w:r>
        <w:rPr>
          <w:rFonts w:hint="eastAsia"/>
          <w:bCs/>
          <w:kern w:val="0"/>
          <w:sz w:val="24"/>
          <w:szCs w:val="24"/>
          <w:highlight w:val="none"/>
        </w:rPr>
        <w:t>中标人。</w:t>
      </w:r>
      <w:bookmarkStart w:id="170" w:name="_Ref467379436"/>
    </w:p>
    <w:p w14:paraId="29B89029">
      <w:pPr>
        <w:shd w:val="clear"/>
        <w:spacing w:line="440" w:lineRule="exact"/>
        <w:ind w:firstLine="480" w:firstLineChars="200"/>
        <w:rPr>
          <w:bCs/>
          <w:kern w:val="0"/>
          <w:sz w:val="24"/>
          <w:szCs w:val="24"/>
          <w:highlight w:val="none"/>
        </w:rPr>
      </w:pPr>
      <w:r>
        <w:rPr>
          <w:bCs/>
          <w:kern w:val="0"/>
          <w:sz w:val="24"/>
          <w:szCs w:val="24"/>
          <w:highlight w:val="none"/>
        </w:rPr>
        <w:t>2.1.6“现场”系指合同约定提供服务的地点。</w:t>
      </w:r>
      <w:bookmarkEnd w:id="170"/>
    </w:p>
    <w:p w14:paraId="77220ADB">
      <w:pPr>
        <w:shd w:val="clear"/>
        <w:spacing w:line="440" w:lineRule="exact"/>
        <w:rPr>
          <w:b/>
          <w:bCs/>
          <w:kern w:val="0"/>
          <w:sz w:val="24"/>
          <w:szCs w:val="24"/>
          <w:highlight w:val="none"/>
        </w:rPr>
      </w:pPr>
      <w:bookmarkStart w:id="171" w:name="_Toc279701241"/>
      <w:bookmarkStart w:id="172" w:name="_Toc16752"/>
      <w:bookmarkStart w:id="173" w:name="_Toc3769"/>
      <w:bookmarkStart w:id="174" w:name="_Toc31402"/>
      <w:bookmarkStart w:id="175" w:name="_Toc23289"/>
      <w:bookmarkStart w:id="176" w:name="_Toc259093670"/>
      <w:bookmarkStart w:id="177" w:name="_Toc487900350"/>
      <w:bookmarkStart w:id="178" w:name="_Toc19539"/>
      <w:r>
        <w:rPr>
          <w:rFonts w:hint="eastAsia"/>
          <w:b/>
          <w:bCs/>
          <w:kern w:val="0"/>
          <w:sz w:val="24"/>
          <w:szCs w:val="24"/>
          <w:highlight w:val="none"/>
        </w:rPr>
        <w:t>2</w:t>
      </w:r>
      <w:r>
        <w:rPr>
          <w:b/>
          <w:bCs/>
          <w:kern w:val="0"/>
          <w:sz w:val="24"/>
          <w:szCs w:val="24"/>
          <w:highlight w:val="none"/>
        </w:rPr>
        <w:t>.2</w:t>
      </w:r>
      <w:r>
        <w:rPr>
          <w:rFonts w:hint="eastAsia"/>
          <w:b/>
          <w:bCs/>
          <w:kern w:val="0"/>
          <w:sz w:val="24"/>
          <w:szCs w:val="24"/>
          <w:highlight w:val="none"/>
        </w:rPr>
        <w:t xml:space="preserve"> </w:t>
      </w:r>
      <w:r>
        <w:rPr>
          <w:b/>
          <w:bCs/>
          <w:kern w:val="0"/>
          <w:sz w:val="24"/>
          <w:szCs w:val="24"/>
          <w:highlight w:val="none"/>
        </w:rPr>
        <w:t>技术规范</w:t>
      </w:r>
      <w:bookmarkEnd w:id="171"/>
      <w:bookmarkEnd w:id="172"/>
      <w:bookmarkEnd w:id="173"/>
      <w:bookmarkEnd w:id="174"/>
      <w:bookmarkEnd w:id="175"/>
      <w:bookmarkEnd w:id="176"/>
      <w:bookmarkEnd w:id="177"/>
      <w:bookmarkEnd w:id="178"/>
    </w:p>
    <w:p w14:paraId="33290802">
      <w:pPr>
        <w:shd w:val="clear"/>
        <w:spacing w:line="440" w:lineRule="exact"/>
        <w:ind w:firstLine="480" w:firstLineChars="200"/>
        <w:rPr>
          <w:bCs/>
          <w:kern w:val="0"/>
          <w:sz w:val="24"/>
          <w:szCs w:val="24"/>
          <w:highlight w:val="none"/>
        </w:rPr>
      </w:pPr>
      <w:r>
        <w:rPr>
          <w:rFonts w:hint="eastAsia"/>
          <w:bCs/>
          <w:kern w:val="0"/>
          <w:sz w:val="24"/>
          <w:szCs w:val="24"/>
          <w:highlight w:val="none"/>
        </w:rPr>
        <w:t>服务</w:t>
      </w:r>
      <w:r>
        <w:rPr>
          <w:bCs/>
          <w:kern w:val="0"/>
          <w:sz w:val="24"/>
          <w:szCs w:val="24"/>
          <w:highlight w:val="none"/>
        </w:rPr>
        <w:t>所应遵守的技术规范应与采购文件规定的技术规范和技术规范附件(如果有的话)及其技术规范偏差表(如果被甲方接受的话)相一致</w:t>
      </w:r>
      <w:r>
        <w:rPr>
          <w:rFonts w:hint="eastAsia"/>
          <w:bCs/>
          <w:kern w:val="0"/>
          <w:sz w:val="24"/>
          <w:szCs w:val="24"/>
          <w:highlight w:val="none"/>
        </w:rPr>
        <w:t>；</w:t>
      </w:r>
      <w:r>
        <w:rPr>
          <w:bCs/>
          <w:kern w:val="0"/>
          <w:sz w:val="24"/>
          <w:szCs w:val="24"/>
          <w:highlight w:val="none"/>
        </w:rPr>
        <w:t>如果采购文件中没有技术规范的相应说明，那么应以国家有关部门最新颁布的相应标准</w:t>
      </w:r>
      <w:r>
        <w:rPr>
          <w:rFonts w:hint="eastAsia"/>
          <w:bCs/>
          <w:kern w:val="0"/>
          <w:sz w:val="24"/>
          <w:szCs w:val="24"/>
          <w:highlight w:val="none"/>
        </w:rPr>
        <w:t>和</w:t>
      </w:r>
      <w:r>
        <w:rPr>
          <w:bCs/>
          <w:kern w:val="0"/>
          <w:sz w:val="24"/>
          <w:szCs w:val="24"/>
          <w:highlight w:val="none"/>
        </w:rPr>
        <w:t>规范为准。</w:t>
      </w:r>
    </w:p>
    <w:p w14:paraId="684233D6">
      <w:pPr>
        <w:shd w:val="clear"/>
        <w:spacing w:line="440" w:lineRule="exact"/>
        <w:rPr>
          <w:b/>
          <w:bCs/>
          <w:kern w:val="0"/>
          <w:sz w:val="24"/>
          <w:szCs w:val="24"/>
          <w:highlight w:val="none"/>
        </w:rPr>
      </w:pPr>
      <w:bookmarkStart w:id="179" w:name="_Toc487900351"/>
      <w:bookmarkStart w:id="180" w:name="_Toc9161"/>
      <w:bookmarkStart w:id="181" w:name="_Toc279701242"/>
      <w:bookmarkStart w:id="182" w:name="_Toc13673"/>
      <w:bookmarkStart w:id="183" w:name="_Toc12412"/>
      <w:bookmarkStart w:id="184" w:name="_Toc4133"/>
      <w:bookmarkStart w:id="185" w:name="_Toc27945"/>
      <w:bookmarkStart w:id="186" w:name="_Toc259093671"/>
      <w:r>
        <w:rPr>
          <w:rFonts w:hint="eastAsia"/>
          <w:b/>
          <w:bCs/>
          <w:kern w:val="0"/>
          <w:sz w:val="24"/>
          <w:szCs w:val="24"/>
          <w:highlight w:val="none"/>
        </w:rPr>
        <w:t>2</w:t>
      </w:r>
      <w:r>
        <w:rPr>
          <w:b/>
          <w:bCs/>
          <w:kern w:val="0"/>
          <w:sz w:val="24"/>
          <w:szCs w:val="24"/>
          <w:highlight w:val="none"/>
        </w:rPr>
        <w:t>.3</w:t>
      </w:r>
      <w:r>
        <w:rPr>
          <w:rFonts w:hint="eastAsia"/>
          <w:b/>
          <w:bCs/>
          <w:kern w:val="0"/>
          <w:sz w:val="24"/>
          <w:szCs w:val="24"/>
          <w:highlight w:val="none"/>
        </w:rPr>
        <w:t xml:space="preserve"> </w:t>
      </w:r>
      <w:r>
        <w:rPr>
          <w:b/>
          <w:bCs/>
          <w:kern w:val="0"/>
          <w:sz w:val="24"/>
          <w:szCs w:val="24"/>
          <w:highlight w:val="none"/>
        </w:rPr>
        <w:t>知识产权</w:t>
      </w:r>
      <w:bookmarkEnd w:id="179"/>
      <w:bookmarkEnd w:id="180"/>
      <w:bookmarkEnd w:id="181"/>
      <w:bookmarkEnd w:id="182"/>
      <w:bookmarkEnd w:id="183"/>
      <w:bookmarkEnd w:id="184"/>
      <w:bookmarkEnd w:id="185"/>
      <w:bookmarkEnd w:id="186"/>
    </w:p>
    <w:p w14:paraId="0526A98A">
      <w:pPr>
        <w:shd w:val="clear"/>
        <w:spacing w:line="440" w:lineRule="exact"/>
        <w:ind w:firstLine="480" w:firstLineChars="200"/>
        <w:rPr>
          <w:bCs/>
          <w:kern w:val="0"/>
          <w:sz w:val="24"/>
          <w:szCs w:val="24"/>
          <w:highlight w:val="none"/>
        </w:rPr>
      </w:pPr>
      <w:r>
        <w:rPr>
          <w:bCs/>
          <w:kern w:val="0"/>
          <w:sz w:val="24"/>
          <w:szCs w:val="24"/>
          <w:highlight w:val="none"/>
        </w:rPr>
        <w:t>2.3.1</w:t>
      </w:r>
      <w:r>
        <w:rPr>
          <w:rFonts w:hint="eastAsia"/>
          <w:bCs/>
          <w:kern w:val="0"/>
          <w:sz w:val="24"/>
          <w:szCs w:val="24"/>
          <w:highlight w:val="none"/>
        </w:rPr>
        <w:t>乙</w:t>
      </w:r>
      <w:r>
        <w:rPr>
          <w:bCs/>
          <w:kern w:val="0"/>
          <w:sz w:val="24"/>
          <w:szCs w:val="24"/>
          <w:highlight w:val="none"/>
        </w:rPr>
        <w:t>方应保证</w:t>
      </w:r>
      <w:r>
        <w:rPr>
          <w:rFonts w:hint="eastAsia"/>
          <w:bCs/>
          <w:kern w:val="0"/>
          <w:sz w:val="24"/>
          <w:szCs w:val="24"/>
          <w:highlight w:val="none"/>
        </w:rPr>
        <w:t>其提供的服务</w:t>
      </w:r>
      <w:r>
        <w:rPr>
          <w:bCs/>
          <w:kern w:val="0"/>
          <w:sz w:val="24"/>
          <w:szCs w:val="24"/>
          <w:highlight w:val="none"/>
        </w:rPr>
        <w:t>不受任何第三方提出的侵犯其著作权、商标权、专利权等知识产权方面的起诉</w:t>
      </w:r>
      <w:r>
        <w:rPr>
          <w:rFonts w:hint="eastAsia"/>
          <w:bCs/>
          <w:kern w:val="0"/>
          <w:sz w:val="24"/>
          <w:szCs w:val="24"/>
          <w:highlight w:val="none"/>
        </w:rPr>
        <w:t>；</w:t>
      </w:r>
      <w:r>
        <w:rPr>
          <w:bCs/>
          <w:kern w:val="0"/>
          <w:sz w:val="24"/>
          <w:szCs w:val="24"/>
          <w:highlight w:val="none"/>
        </w:rPr>
        <w:t>如果任何第三方提出侵权</w:t>
      </w:r>
      <w:r>
        <w:rPr>
          <w:rFonts w:hint="eastAsia"/>
          <w:bCs/>
          <w:kern w:val="0"/>
          <w:sz w:val="24"/>
          <w:szCs w:val="24"/>
          <w:highlight w:val="none"/>
        </w:rPr>
        <w:t>指控</w:t>
      </w:r>
      <w:r>
        <w:rPr>
          <w:bCs/>
          <w:kern w:val="0"/>
          <w:sz w:val="24"/>
          <w:szCs w:val="24"/>
          <w:highlight w:val="none"/>
        </w:rPr>
        <w:t>，那么乙方须与该第三方交涉并承担由此发生的一切责任、费用和赔偿</w:t>
      </w:r>
      <w:r>
        <w:rPr>
          <w:rFonts w:hint="eastAsia"/>
          <w:bCs/>
          <w:kern w:val="0"/>
          <w:sz w:val="24"/>
          <w:szCs w:val="24"/>
          <w:highlight w:val="none"/>
        </w:rPr>
        <w:t>。</w:t>
      </w:r>
    </w:p>
    <w:p w14:paraId="06A6BB48">
      <w:pPr>
        <w:shd w:val="clear"/>
        <w:spacing w:line="440" w:lineRule="exact"/>
        <w:rPr>
          <w:b/>
          <w:bCs/>
          <w:kern w:val="0"/>
          <w:sz w:val="24"/>
          <w:szCs w:val="24"/>
          <w:highlight w:val="none"/>
        </w:rPr>
      </w:pPr>
      <w:r>
        <w:rPr>
          <w:rFonts w:hint="eastAsia"/>
          <w:b/>
          <w:bCs/>
          <w:kern w:val="0"/>
          <w:sz w:val="24"/>
          <w:szCs w:val="24"/>
          <w:highlight w:val="none"/>
        </w:rPr>
        <w:t>2</w:t>
      </w:r>
      <w:r>
        <w:rPr>
          <w:b/>
          <w:bCs/>
          <w:kern w:val="0"/>
          <w:sz w:val="24"/>
          <w:szCs w:val="24"/>
          <w:highlight w:val="none"/>
        </w:rPr>
        <w:t>.4</w:t>
      </w:r>
      <w:r>
        <w:rPr>
          <w:rFonts w:hint="eastAsia"/>
          <w:b/>
          <w:bCs/>
          <w:kern w:val="0"/>
          <w:sz w:val="24"/>
          <w:szCs w:val="24"/>
          <w:highlight w:val="none"/>
        </w:rPr>
        <w:t xml:space="preserve"> 履约检查和问题反馈</w:t>
      </w:r>
    </w:p>
    <w:p w14:paraId="3A106F60">
      <w:pPr>
        <w:shd w:val="clear"/>
        <w:spacing w:line="440" w:lineRule="exact"/>
        <w:ind w:firstLine="480" w:firstLineChars="200"/>
        <w:rPr>
          <w:bCs/>
          <w:kern w:val="0"/>
          <w:sz w:val="24"/>
          <w:szCs w:val="24"/>
          <w:highlight w:val="none"/>
        </w:rPr>
      </w:pPr>
      <w:bookmarkStart w:id="187" w:name="_Toc186431854"/>
      <w:bookmarkStart w:id="188" w:name="_Toc259093676"/>
      <w:bookmarkStart w:id="189" w:name="_Ref467379807"/>
      <w:bookmarkStart w:id="190" w:name="_Ref467379793"/>
      <w:bookmarkStart w:id="191" w:name="_Toc487900357"/>
      <w:bookmarkStart w:id="192" w:name="_Toc279701247"/>
      <w:r>
        <w:rPr>
          <w:bCs/>
          <w:kern w:val="0"/>
          <w:sz w:val="24"/>
          <w:szCs w:val="24"/>
          <w:highlight w:val="none"/>
        </w:rPr>
        <w:t>2.4.1甲方</w:t>
      </w:r>
      <w:r>
        <w:rPr>
          <w:rFonts w:hint="eastAsia"/>
          <w:bCs/>
          <w:kern w:val="0"/>
          <w:sz w:val="24"/>
          <w:szCs w:val="24"/>
          <w:highlight w:val="none"/>
        </w:rPr>
        <w:t>有权</w:t>
      </w:r>
      <w:r>
        <w:rPr>
          <w:bCs/>
          <w:kern w:val="0"/>
          <w:sz w:val="24"/>
          <w:szCs w:val="24"/>
          <w:highlight w:val="none"/>
        </w:rPr>
        <w:t>在其认为必要时</w:t>
      </w:r>
      <w:r>
        <w:rPr>
          <w:rFonts w:hint="eastAsia"/>
          <w:bCs/>
          <w:kern w:val="0"/>
          <w:sz w:val="24"/>
          <w:szCs w:val="24"/>
          <w:highlight w:val="none"/>
        </w:rPr>
        <w:t>，对乙方是否能够按照合同约定提供服务进行履约检查，以确保乙方所提供的服务能够依约满足甲方之项目需求，但不得因履约检查妨碍乙方的正常工作，乙方应予积极配合。</w:t>
      </w:r>
    </w:p>
    <w:p w14:paraId="2A927A99">
      <w:pPr>
        <w:shd w:val="clear"/>
        <w:spacing w:line="440" w:lineRule="exact"/>
        <w:ind w:firstLine="480" w:firstLineChars="200"/>
        <w:rPr>
          <w:bCs/>
          <w:kern w:val="0"/>
          <w:sz w:val="24"/>
          <w:szCs w:val="24"/>
          <w:highlight w:val="none"/>
        </w:rPr>
      </w:pPr>
      <w:r>
        <w:rPr>
          <w:bCs/>
          <w:kern w:val="0"/>
          <w:sz w:val="24"/>
          <w:szCs w:val="24"/>
          <w:highlight w:val="none"/>
        </w:rPr>
        <w:t>2.4.</w:t>
      </w:r>
      <w:r>
        <w:rPr>
          <w:rFonts w:hint="eastAsia"/>
          <w:bCs/>
          <w:kern w:val="0"/>
          <w:sz w:val="24"/>
          <w:szCs w:val="24"/>
          <w:highlight w:val="none"/>
        </w:rPr>
        <w:t>2合同履行期间，甲方有权将履行过程中出现的问题反馈给乙方，双方当事人应以书面形式约定需要完善和改进的内容</w:t>
      </w:r>
      <w:bookmarkEnd w:id="187"/>
      <w:bookmarkStart w:id="193" w:name="_Toc186431855"/>
      <w:r>
        <w:rPr>
          <w:rFonts w:hint="eastAsia"/>
          <w:bCs/>
          <w:kern w:val="0"/>
          <w:sz w:val="24"/>
          <w:szCs w:val="24"/>
          <w:highlight w:val="none"/>
        </w:rPr>
        <w:t>。</w:t>
      </w:r>
    </w:p>
    <w:bookmarkEnd w:id="188"/>
    <w:bookmarkEnd w:id="189"/>
    <w:bookmarkEnd w:id="190"/>
    <w:bookmarkEnd w:id="191"/>
    <w:bookmarkEnd w:id="192"/>
    <w:bookmarkEnd w:id="193"/>
    <w:p w14:paraId="60F67064">
      <w:pPr>
        <w:shd w:val="clear"/>
        <w:spacing w:line="440" w:lineRule="exact"/>
        <w:rPr>
          <w:b/>
          <w:bCs/>
          <w:kern w:val="0"/>
          <w:sz w:val="24"/>
          <w:szCs w:val="24"/>
          <w:highlight w:val="none"/>
        </w:rPr>
      </w:pPr>
      <w:bookmarkStart w:id="194" w:name="_Ref467379923"/>
      <w:bookmarkStart w:id="195" w:name="_Toc279701248"/>
      <w:bookmarkStart w:id="196" w:name="_Ref467379863"/>
      <w:bookmarkStart w:id="197" w:name="_Toc259093677"/>
      <w:bookmarkStart w:id="198" w:name="_Ref467379852"/>
      <w:bookmarkStart w:id="199" w:name="_Toc487900358"/>
      <w:bookmarkStart w:id="200" w:name="_Toc18990"/>
      <w:bookmarkStart w:id="201" w:name="_Toc13467"/>
      <w:bookmarkStart w:id="202" w:name="_Toc13154"/>
      <w:bookmarkStart w:id="203" w:name="_Toc16163"/>
      <w:bookmarkStart w:id="204" w:name="_Toc30507"/>
      <w:r>
        <w:rPr>
          <w:rFonts w:hint="eastAsia"/>
          <w:b/>
          <w:bCs/>
          <w:kern w:val="0"/>
          <w:sz w:val="24"/>
          <w:szCs w:val="24"/>
          <w:highlight w:val="none"/>
        </w:rPr>
        <w:t>2</w:t>
      </w:r>
      <w:r>
        <w:rPr>
          <w:b/>
          <w:bCs/>
          <w:kern w:val="0"/>
          <w:sz w:val="24"/>
          <w:szCs w:val="24"/>
          <w:highlight w:val="none"/>
        </w:rPr>
        <w:t>.5</w:t>
      </w:r>
      <w:r>
        <w:rPr>
          <w:rFonts w:hint="eastAsia"/>
          <w:b/>
          <w:bCs/>
          <w:kern w:val="0"/>
          <w:sz w:val="24"/>
          <w:szCs w:val="24"/>
          <w:highlight w:val="none"/>
        </w:rPr>
        <w:t xml:space="preserve"> </w:t>
      </w:r>
      <w:r>
        <w:rPr>
          <w:b/>
          <w:bCs/>
          <w:kern w:val="0"/>
          <w:sz w:val="24"/>
          <w:szCs w:val="24"/>
          <w:highlight w:val="none"/>
        </w:rPr>
        <w:t>技术资料</w:t>
      </w:r>
      <w:bookmarkEnd w:id="194"/>
      <w:bookmarkEnd w:id="195"/>
      <w:bookmarkEnd w:id="196"/>
      <w:bookmarkEnd w:id="197"/>
      <w:bookmarkEnd w:id="198"/>
      <w:bookmarkEnd w:id="199"/>
      <w:r>
        <w:rPr>
          <w:b/>
          <w:bCs/>
          <w:kern w:val="0"/>
          <w:sz w:val="24"/>
          <w:szCs w:val="24"/>
          <w:highlight w:val="none"/>
        </w:rPr>
        <w:t>和保密义务</w:t>
      </w:r>
      <w:bookmarkEnd w:id="200"/>
      <w:bookmarkEnd w:id="201"/>
      <w:bookmarkEnd w:id="202"/>
      <w:bookmarkEnd w:id="203"/>
      <w:bookmarkEnd w:id="204"/>
    </w:p>
    <w:p w14:paraId="14211851">
      <w:pPr>
        <w:shd w:val="clear"/>
        <w:spacing w:line="440" w:lineRule="exact"/>
        <w:ind w:firstLine="480" w:firstLineChars="200"/>
        <w:rPr>
          <w:bCs/>
          <w:kern w:val="0"/>
          <w:sz w:val="24"/>
          <w:szCs w:val="24"/>
          <w:highlight w:val="none"/>
        </w:rPr>
      </w:pPr>
      <w:r>
        <w:rPr>
          <w:bCs/>
          <w:kern w:val="0"/>
          <w:sz w:val="24"/>
          <w:szCs w:val="24"/>
          <w:highlight w:val="none"/>
        </w:rPr>
        <w:t>2.5.1</w:t>
      </w:r>
      <w:r>
        <w:rPr>
          <w:rFonts w:hint="eastAsia"/>
          <w:bCs/>
          <w:kern w:val="0"/>
          <w:sz w:val="24"/>
          <w:szCs w:val="24"/>
          <w:highlight w:val="none"/>
        </w:rPr>
        <w:t>乙方有权依据合同约定和项目需要，向甲方了解有关情况，调阅有关资料等，甲方应予积极配合。</w:t>
      </w:r>
    </w:p>
    <w:p w14:paraId="3F8B43C7">
      <w:pPr>
        <w:shd w:val="clear"/>
        <w:spacing w:line="440" w:lineRule="exact"/>
        <w:ind w:firstLine="480" w:firstLineChars="200"/>
        <w:rPr>
          <w:bCs/>
          <w:kern w:val="0"/>
          <w:sz w:val="24"/>
          <w:szCs w:val="24"/>
          <w:highlight w:val="none"/>
        </w:rPr>
      </w:pPr>
      <w:r>
        <w:rPr>
          <w:bCs/>
          <w:kern w:val="0"/>
          <w:sz w:val="24"/>
          <w:szCs w:val="24"/>
          <w:highlight w:val="none"/>
        </w:rPr>
        <w:t>2.5.2</w:t>
      </w:r>
      <w:r>
        <w:rPr>
          <w:rFonts w:hint="eastAsia"/>
          <w:bCs/>
          <w:kern w:val="0"/>
          <w:sz w:val="24"/>
          <w:szCs w:val="24"/>
          <w:highlight w:val="none"/>
        </w:rPr>
        <w:t>乙方有义务妥善保管和保护由甲方提供的前款信息和资料等。</w:t>
      </w:r>
    </w:p>
    <w:p w14:paraId="1AD2EFAF">
      <w:pPr>
        <w:shd w:val="clear"/>
        <w:spacing w:line="440" w:lineRule="exact"/>
        <w:ind w:firstLine="480" w:firstLineChars="200"/>
        <w:rPr>
          <w:bCs/>
          <w:kern w:val="0"/>
          <w:sz w:val="24"/>
          <w:szCs w:val="24"/>
          <w:highlight w:val="none"/>
        </w:rPr>
      </w:pPr>
      <w:r>
        <w:rPr>
          <w:bCs/>
          <w:kern w:val="0"/>
          <w:sz w:val="24"/>
          <w:szCs w:val="24"/>
          <w:highlight w:val="none"/>
        </w:rPr>
        <w:t>2.5.3</w:t>
      </w:r>
      <w:r>
        <w:rPr>
          <w:rFonts w:hint="eastAsia"/>
          <w:bCs/>
          <w:kern w:val="0"/>
          <w:sz w:val="24"/>
          <w:szCs w:val="24"/>
          <w:highlight w:val="none"/>
        </w:rPr>
        <w:t>除非依照法律规定或者对方当事人的书面同意，任何一方均应保证不向任何第三方提供或披露有关合同的或者履行合同过程中知悉的对方当事人任何未公开的信息和资料，包括但不限于</w:t>
      </w:r>
      <w:r>
        <w:rPr>
          <w:bCs/>
          <w:kern w:val="0"/>
          <w:sz w:val="24"/>
          <w:szCs w:val="24"/>
          <w:highlight w:val="none"/>
        </w:rPr>
        <w:t>技术情报</w:t>
      </w:r>
      <w:r>
        <w:rPr>
          <w:rFonts w:hint="eastAsia"/>
          <w:bCs/>
          <w:kern w:val="0"/>
          <w:sz w:val="24"/>
          <w:szCs w:val="24"/>
          <w:highlight w:val="none"/>
        </w:rPr>
        <w:t>、</w:t>
      </w:r>
      <w:r>
        <w:rPr>
          <w:bCs/>
          <w:kern w:val="0"/>
          <w:sz w:val="24"/>
          <w:szCs w:val="24"/>
          <w:highlight w:val="none"/>
        </w:rPr>
        <w:t>技术资料</w:t>
      </w:r>
      <w:r>
        <w:rPr>
          <w:rFonts w:hint="eastAsia"/>
          <w:bCs/>
          <w:kern w:val="0"/>
          <w:sz w:val="24"/>
          <w:szCs w:val="24"/>
          <w:highlight w:val="none"/>
        </w:rPr>
        <w:t>、商业秘密和商业信息等，并采取一切合理和必要措施和方式防止任何第三方接触到对方当事人的上述保密信息和资料。</w:t>
      </w:r>
    </w:p>
    <w:p w14:paraId="7D838CA3">
      <w:pPr>
        <w:shd w:val="clear"/>
        <w:spacing w:line="440" w:lineRule="exact"/>
        <w:rPr>
          <w:b/>
          <w:bCs/>
          <w:kern w:val="0"/>
          <w:sz w:val="24"/>
          <w:szCs w:val="24"/>
          <w:highlight w:val="none"/>
        </w:rPr>
      </w:pPr>
      <w:bookmarkStart w:id="205" w:name="_Toc19069"/>
      <w:bookmarkStart w:id="206" w:name="_Toc279701252"/>
      <w:bookmarkStart w:id="207" w:name="_Toc259093681"/>
      <w:bookmarkStart w:id="208" w:name="_Toc487900362"/>
      <w:r>
        <w:rPr>
          <w:rFonts w:hint="eastAsia"/>
          <w:b/>
          <w:bCs/>
          <w:kern w:val="0"/>
          <w:sz w:val="24"/>
          <w:szCs w:val="24"/>
          <w:highlight w:val="none"/>
        </w:rPr>
        <w:t>2</w:t>
      </w:r>
      <w:r>
        <w:rPr>
          <w:b/>
          <w:bCs/>
          <w:kern w:val="0"/>
          <w:sz w:val="24"/>
          <w:szCs w:val="24"/>
          <w:highlight w:val="none"/>
        </w:rPr>
        <w:t>.6</w:t>
      </w:r>
      <w:r>
        <w:rPr>
          <w:rFonts w:hint="eastAsia"/>
          <w:b/>
          <w:bCs/>
          <w:kern w:val="0"/>
          <w:sz w:val="24"/>
          <w:szCs w:val="24"/>
          <w:highlight w:val="none"/>
        </w:rPr>
        <w:t xml:space="preserve"> 质量保证</w:t>
      </w:r>
      <w:bookmarkEnd w:id="205"/>
    </w:p>
    <w:p w14:paraId="336F3B94">
      <w:pPr>
        <w:shd w:val="clear"/>
        <w:spacing w:line="440" w:lineRule="exact"/>
        <w:ind w:firstLine="480" w:firstLineChars="200"/>
        <w:rPr>
          <w:bCs/>
          <w:kern w:val="0"/>
          <w:sz w:val="24"/>
          <w:szCs w:val="24"/>
          <w:highlight w:val="none"/>
        </w:rPr>
      </w:pPr>
      <w:r>
        <w:rPr>
          <w:bCs/>
          <w:kern w:val="0"/>
          <w:sz w:val="24"/>
          <w:szCs w:val="24"/>
          <w:highlight w:val="none"/>
        </w:rPr>
        <w:t>2.6.1</w:t>
      </w:r>
      <w:r>
        <w:rPr>
          <w:rFonts w:hint="eastAsia"/>
          <w:bCs/>
          <w:kern w:val="0"/>
          <w:sz w:val="24"/>
          <w:szCs w:val="24"/>
          <w:highlight w:val="none"/>
        </w:rPr>
        <w:t>乙方应建立和完善履行合同的内部质量保证体系，并提供相关内部规章制度给甲方，以便甲方进行监督检查；</w:t>
      </w:r>
    </w:p>
    <w:p w14:paraId="7C5321BD">
      <w:pPr>
        <w:shd w:val="clear"/>
        <w:spacing w:line="440" w:lineRule="exact"/>
        <w:ind w:firstLine="480" w:firstLineChars="200"/>
        <w:rPr>
          <w:bCs/>
          <w:kern w:val="0"/>
          <w:sz w:val="24"/>
          <w:szCs w:val="24"/>
          <w:highlight w:val="none"/>
        </w:rPr>
      </w:pPr>
      <w:r>
        <w:rPr>
          <w:bCs/>
          <w:kern w:val="0"/>
          <w:sz w:val="24"/>
          <w:szCs w:val="24"/>
          <w:highlight w:val="none"/>
        </w:rPr>
        <w:t>2.6.2</w:t>
      </w:r>
      <w:r>
        <w:rPr>
          <w:rFonts w:hint="eastAsia"/>
          <w:bCs/>
          <w:kern w:val="0"/>
          <w:sz w:val="24"/>
          <w:szCs w:val="24"/>
          <w:highlight w:val="none"/>
        </w:rPr>
        <w:t>乙方应保证履行合同的人员数量和素质、软件和硬件设备的配置、场地、环境和设施等满足全面履行合同的要求，并应接受甲方的监督检查。</w:t>
      </w:r>
    </w:p>
    <w:p w14:paraId="6DB91B67">
      <w:pPr>
        <w:shd w:val="clear"/>
        <w:spacing w:line="440" w:lineRule="exact"/>
        <w:ind w:firstLine="480" w:firstLineChars="200"/>
        <w:rPr>
          <w:sz w:val="24"/>
          <w:szCs w:val="24"/>
          <w:highlight w:val="none"/>
        </w:rPr>
      </w:pPr>
      <w:r>
        <w:rPr>
          <w:bCs/>
          <w:kern w:val="0"/>
          <w:sz w:val="24"/>
          <w:szCs w:val="24"/>
          <w:highlight w:val="none"/>
        </w:rPr>
        <w:t>2.6.</w:t>
      </w:r>
      <w:r>
        <w:rPr>
          <w:rFonts w:hint="eastAsia"/>
          <w:bCs/>
          <w:kern w:val="0"/>
          <w:sz w:val="24"/>
          <w:szCs w:val="24"/>
          <w:highlight w:val="none"/>
        </w:rPr>
        <w:t>3其他</w:t>
      </w:r>
      <w:r>
        <w:rPr>
          <w:sz w:val="24"/>
          <w:szCs w:val="24"/>
          <w:highlight w:val="none"/>
        </w:rPr>
        <w:t>各项服务承诺指标及所采取的措施符合</w:t>
      </w:r>
      <w:r>
        <w:rPr>
          <w:rFonts w:hint="eastAsia"/>
          <w:sz w:val="24"/>
          <w:szCs w:val="24"/>
          <w:highlight w:val="none"/>
        </w:rPr>
        <w:t>“</w:t>
      </w:r>
      <w:r>
        <w:rPr>
          <w:rFonts w:hint="eastAsia"/>
          <w:sz w:val="24"/>
          <w:szCs w:val="24"/>
          <w:highlight w:val="none"/>
          <w:lang w:eastAsia="zh-CN"/>
        </w:rPr>
        <w:t>投标</w:t>
      </w:r>
      <w:r>
        <w:rPr>
          <w:sz w:val="24"/>
          <w:szCs w:val="24"/>
          <w:highlight w:val="none"/>
        </w:rPr>
        <w:t>文件</w:t>
      </w:r>
      <w:r>
        <w:rPr>
          <w:rFonts w:hint="eastAsia"/>
          <w:sz w:val="24"/>
          <w:szCs w:val="24"/>
          <w:highlight w:val="none"/>
        </w:rPr>
        <w:t>”</w:t>
      </w:r>
      <w:r>
        <w:rPr>
          <w:sz w:val="24"/>
          <w:szCs w:val="24"/>
          <w:highlight w:val="none"/>
        </w:rPr>
        <w:t>要求及</w:t>
      </w:r>
      <w:r>
        <w:rPr>
          <w:rFonts w:hint="eastAsia"/>
          <w:sz w:val="24"/>
          <w:szCs w:val="24"/>
          <w:highlight w:val="none"/>
          <w:lang w:eastAsia="zh-CN"/>
        </w:rPr>
        <w:t>投标</w:t>
      </w:r>
      <w:r>
        <w:rPr>
          <w:rFonts w:hint="eastAsia"/>
          <w:sz w:val="24"/>
          <w:szCs w:val="24"/>
          <w:highlight w:val="none"/>
        </w:rPr>
        <w:t>响应</w:t>
      </w:r>
      <w:r>
        <w:rPr>
          <w:sz w:val="24"/>
          <w:szCs w:val="24"/>
          <w:highlight w:val="none"/>
        </w:rPr>
        <w:t>承诺。</w:t>
      </w:r>
    </w:p>
    <w:p w14:paraId="065B5CB9">
      <w:pPr>
        <w:shd w:val="clear"/>
        <w:spacing w:line="440" w:lineRule="exact"/>
        <w:rPr>
          <w:b/>
          <w:bCs/>
          <w:kern w:val="0"/>
          <w:sz w:val="24"/>
          <w:szCs w:val="24"/>
          <w:highlight w:val="none"/>
        </w:rPr>
      </w:pPr>
      <w:bookmarkStart w:id="209" w:name="_Toc22267"/>
      <w:r>
        <w:rPr>
          <w:rFonts w:hint="eastAsia"/>
          <w:b/>
          <w:bCs/>
          <w:kern w:val="0"/>
          <w:sz w:val="24"/>
          <w:szCs w:val="24"/>
          <w:highlight w:val="none"/>
        </w:rPr>
        <w:t>2</w:t>
      </w:r>
      <w:r>
        <w:rPr>
          <w:b/>
          <w:bCs/>
          <w:kern w:val="0"/>
          <w:sz w:val="24"/>
          <w:szCs w:val="24"/>
          <w:highlight w:val="none"/>
        </w:rPr>
        <w:t>.7</w:t>
      </w:r>
      <w:r>
        <w:rPr>
          <w:rFonts w:hint="eastAsia"/>
          <w:b/>
          <w:bCs/>
          <w:kern w:val="0"/>
          <w:sz w:val="24"/>
          <w:szCs w:val="24"/>
          <w:highlight w:val="none"/>
        </w:rPr>
        <w:t xml:space="preserve"> 延迟</w:t>
      </w:r>
      <w:bookmarkEnd w:id="206"/>
      <w:bookmarkEnd w:id="207"/>
      <w:bookmarkEnd w:id="208"/>
      <w:r>
        <w:rPr>
          <w:rFonts w:hint="eastAsia"/>
          <w:b/>
          <w:bCs/>
          <w:kern w:val="0"/>
          <w:sz w:val="24"/>
          <w:szCs w:val="24"/>
          <w:highlight w:val="none"/>
        </w:rPr>
        <w:t>履行</w:t>
      </w:r>
      <w:bookmarkEnd w:id="209"/>
    </w:p>
    <w:p w14:paraId="0F9D774F">
      <w:pPr>
        <w:shd w:val="clear"/>
        <w:spacing w:line="440" w:lineRule="exact"/>
        <w:ind w:firstLine="480" w:firstLineChars="200"/>
        <w:rPr>
          <w:bCs/>
          <w:kern w:val="0"/>
          <w:sz w:val="24"/>
          <w:szCs w:val="24"/>
          <w:highlight w:val="none"/>
        </w:rPr>
      </w:pPr>
      <w:r>
        <w:rPr>
          <w:bCs/>
          <w:kern w:val="0"/>
          <w:sz w:val="24"/>
          <w:szCs w:val="24"/>
          <w:highlight w:val="none"/>
        </w:rPr>
        <w:t>在合同履行过程中，如果乙方遇到不能按时</w:t>
      </w:r>
      <w:r>
        <w:rPr>
          <w:rFonts w:hint="eastAsia"/>
          <w:bCs/>
          <w:kern w:val="0"/>
          <w:sz w:val="24"/>
          <w:szCs w:val="24"/>
          <w:highlight w:val="none"/>
        </w:rPr>
        <w:t>提供服务</w:t>
      </w:r>
      <w:r>
        <w:rPr>
          <w:bCs/>
          <w:kern w:val="0"/>
          <w:sz w:val="24"/>
          <w:szCs w:val="24"/>
          <w:highlight w:val="none"/>
        </w:rPr>
        <w:t>的情况，应及时以书面形式将不能按时</w:t>
      </w:r>
      <w:r>
        <w:rPr>
          <w:rFonts w:hint="eastAsia"/>
          <w:bCs/>
          <w:kern w:val="0"/>
          <w:sz w:val="24"/>
          <w:szCs w:val="24"/>
          <w:highlight w:val="none"/>
        </w:rPr>
        <w:t>提供服务</w:t>
      </w:r>
      <w:r>
        <w:rPr>
          <w:bCs/>
          <w:kern w:val="0"/>
          <w:sz w:val="24"/>
          <w:szCs w:val="24"/>
          <w:highlight w:val="none"/>
        </w:rPr>
        <w:t>的理由、预期延误时间通知甲方</w:t>
      </w:r>
      <w:r>
        <w:rPr>
          <w:rFonts w:hint="eastAsia"/>
          <w:bCs/>
          <w:kern w:val="0"/>
          <w:sz w:val="24"/>
          <w:szCs w:val="24"/>
          <w:highlight w:val="none"/>
        </w:rPr>
        <w:t>；甲</w:t>
      </w:r>
      <w:r>
        <w:rPr>
          <w:bCs/>
          <w:kern w:val="0"/>
          <w:sz w:val="24"/>
          <w:szCs w:val="24"/>
          <w:highlight w:val="none"/>
        </w:rPr>
        <w:t>方收到乙方通知后，认为其理由正当的，可以书面形式酌情同意乙方可以延长</w:t>
      </w:r>
      <w:r>
        <w:rPr>
          <w:rFonts w:hint="eastAsia"/>
          <w:bCs/>
          <w:kern w:val="0"/>
          <w:sz w:val="24"/>
          <w:szCs w:val="24"/>
          <w:highlight w:val="none"/>
        </w:rPr>
        <w:t>履行</w:t>
      </w:r>
      <w:r>
        <w:rPr>
          <w:bCs/>
          <w:kern w:val="0"/>
          <w:sz w:val="24"/>
          <w:szCs w:val="24"/>
          <w:highlight w:val="none"/>
        </w:rPr>
        <w:t>的具体时间。</w:t>
      </w:r>
    </w:p>
    <w:p w14:paraId="1B7D7406">
      <w:pPr>
        <w:shd w:val="clear"/>
        <w:spacing w:line="440" w:lineRule="exact"/>
        <w:rPr>
          <w:b/>
          <w:bCs/>
          <w:kern w:val="0"/>
          <w:sz w:val="24"/>
          <w:szCs w:val="24"/>
          <w:highlight w:val="none"/>
        </w:rPr>
      </w:pPr>
      <w:bookmarkStart w:id="210" w:name="_Toc10611"/>
      <w:bookmarkStart w:id="211" w:name="_Toc259093683"/>
      <w:bookmarkStart w:id="212" w:name="_Ref467378121"/>
      <w:bookmarkStart w:id="213" w:name="_Toc487900364"/>
      <w:bookmarkStart w:id="214" w:name="_Toc279701254"/>
      <w:r>
        <w:rPr>
          <w:rFonts w:hint="eastAsia"/>
          <w:b/>
          <w:bCs/>
          <w:kern w:val="0"/>
          <w:sz w:val="24"/>
          <w:szCs w:val="24"/>
          <w:highlight w:val="none"/>
        </w:rPr>
        <w:t>2</w:t>
      </w:r>
      <w:r>
        <w:rPr>
          <w:b/>
          <w:bCs/>
          <w:kern w:val="0"/>
          <w:sz w:val="24"/>
          <w:szCs w:val="24"/>
          <w:highlight w:val="none"/>
        </w:rPr>
        <w:t>.8</w:t>
      </w:r>
      <w:r>
        <w:rPr>
          <w:rFonts w:hint="eastAsia"/>
          <w:b/>
          <w:bCs/>
          <w:kern w:val="0"/>
          <w:sz w:val="24"/>
          <w:szCs w:val="24"/>
          <w:highlight w:val="none"/>
        </w:rPr>
        <w:t xml:space="preserve"> 合同变更</w:t>
      </w:r>
      <w:bookmarkEnd w:id="210"/>
    </w:p>
    <w:p w14:paraId="41389081">
      <w:pPr>
        <w:shd w:val="clear"/>
        <w:spacing w:line="440" w:lineRule="exact"/>
        <w:ind w:firstLine="480" w:firstLineChars="200"/>
        <w:rPr>
          <w:bCs/>
          <w:kern w:val="0"/>
          <w:sz w:val="24"/>
          <w:szCs w:val="24"/>
          <w:highlight w:val="none"/>
        </w:rPr>
      </w:pPr>
      <w:r>
        <w:rPr>
          <w:bCs/>
          <w:kern w:val="0"/>
          <w:sz w:val="24"/>
          <w:szCs w:val="24"/>
          <w:highlight w:val="none"/>
        </w:rPr>
        <w:t>2.8.1</w:t>
      </w:r>
      <w:r>
        <w:rPr>
          <w:rFonts w:hint="eastAsia"/>
          <w:bCs/>
          <w:kern w:val="0"/>
          <w:sz w:val="24"/>
          <w:szCs w:val="24"/>
          <w:highlight w:val="none"/>
        </w:rPr>
        <w:t>双方当事人协商一致，可以签订书面补充合同的形式变更合同，但不得违背采购文件确定的事项，且如果系追加与合同标的相同的服务的，那么所有补充合同的采购金额不得超过原合同价的10%。</w:t>
      </w:r>
    </w:p>
    <w:p w14:paraId="31D08DE0">
      <w:pPr>
        <w:shd w:val="clear"/>
        <w:spacing w:line="440" w:lineRule="exact"/>
        <w:ind w:firstLine="480" w:firstLineChars="200"/>
        <w:rPr>
          <w:bCs/>
          <w:kern w:val="0"/>
          <w:sz w:val="24"/>
          <w:szCs w:val="24"/>
          <w:highlight w:val="none"/>
        </w:rPr>
      </w:pPr>
      <w:r>
        <w:rPr>
          <w:bCs/>
          <w:kern w:val="0"/>
          <w:sz w:val="24"/>
          <w:szCs w:val="24"/>
          <w:highlight w:val="none"/>
        </w:rPr>
        <w:t>2.8.2</w:t>
      </w:r>
      <w:r>
        <w:rPr>
          <w:rFonts w:hint="eastAsia"/>
          <w:bCs/>
          <w:kern w:val="0"/>
          <w:sz w:val="24"/>
          <w:szCs w:val="24"/>
          <w:highlight w:val="none"/>
        </w:rPr>
        <w:t>合同继续履行将损害国家利益和社会公共利益的，甲方有权变更合同。有过错的一方应当承担赔偿责任，双方当事人都有过错的，各自承担相应的责任。</w:t>
      </w:r>
      <w:bookmarkStart w:id="215" w:name="_Toc487900369"/>
      <w:bookmarkStart w:id="216" w:name="_Toc279701259"/>
      <w:bookmarkStart w:id="217" w:name="_Toc259093688"/>
    </w:p>
    <w:p w14:paraId="308E2B61">
      <w:pPr>
        <w:shd w:val="clear"/>
        <w:spacing w:line="440" w:lineRule="exact"/>
        <w:rPr>
          <w:b/>
          <w:bCs/>
          <w:kern w:val="0"/>
          <w:sz w:val="24"/>
          <w:szCs w:val="24"/>
          <w:highlight w:val="none"/>
        </w:rPr>
      </w:pPr>
      <w:bookmarkStart w:id="218" w:name="_Toc23368"/>
      <w:bookmarkStart w:id="219" w:name="_Toc21830"/>
      <w:bookmarkStart w:id="220" w:name="_Toc26689"/>
      <w:bookmarkStart w:id="221" w:name="_Toc10663"/>
      <w:bookmarkStart w:id="222" w:name="_Toc42"/>
      <w:r>
        <w:rPr>
          <w:rFonts w:hint="eastAsia"/>
          <w:b/>
          <w:bCs/>
          <w:kern w:val="0"/>
          <w:sz w:val="24"/>
          <w:szCs w:val="24"/>
          <w:highlight w:val="none"/>
        </w:rPr>
        <w:t>2</w:t>
      </w:r>
      <w:r>
        <w:rPr>
          <w:b/>
          <w:bCs/>
          <w:kern w:val="0"/>
          <w:sz w:val="24"/>
          <w:szCs w:val="24"/>
          <w:highlight w:val="none"/>
        </w:rPr>
        <w:t>.9</w:t>
      </w:r>
      <w:r>
        <w:rPr>
          <w:rFonts w:hint="eastAsia"/>
          <w:b/>
          <w:bCs/>
          <w:kern w:val="0"/>
          <w:sz w:val="24"/>
          <w:szCs w:val="24"/>
          <w:highlight w:val="none"/>
        </w:rPr>
        <w:t xml:space="preserve"> </w:t>
      </w:r>
      <w:r>
        <w:rPr>
          <w:b/>
          <w:bCs/>
          <w:kern w:val="0"/>
          <w:sz w:val="24"/>
          <w:szCs w:val="24"/>
          <w:highlight w:val="none"/>
        </w:rPr>
        <w:t>合同转让</w:t>
      </w:r>
      <w:bookmarkEnd w:id="215"/>
      <w:bookmarkEnd w:id="216"/>
      <w:bookmarkEnd w:id="217"/>
      <w:r>
        <w:rPr>
          <w:b/>
          <w:bCs/>
          <w:kern w:val="0"/>
          <w:sz w:val="24"/>
          <w:szCs w:val="24"/>
          <w:highlight w:val="none"/>
        </w:rPr>
        <w:t>和分包</w:t>
      </w:r>
      <w:bookmarkEnd w:id="218"/>
      <w:bookmarkEnd w:id="219"/>
      <w:bookmarkEnd w:id="220"/>
      <w:bookmarkEnd w:id="221"/>
      <w:bookmarkEnd w:id="222"/>
    </w:p>
    <w:p w14:paraId="4BBBAFD7">
      <w:pPr>
        <w:shd w:val="clear"/>
        <w:spacing w:line="440" w:lineRule="exact"/>
        <w:ind w:firstLine="480" w:firstLineChars="200"/>
        <w:rPr>
          <w:bCs/>
          <w:kern w:val="0"/>
          <w:sz w:val="24"/>
          <w:szCs w:val="24"/>
          <w:highlight w:val="none"/>
        </w:rPr>
      </w:pPr>
      <w:r>
        <w:rPr>
          <w:bCs/>
          <w:kern w:val="0"/>
          <w:sz w:val="24"/>
          <w:szCs w:val="24"/>
          <w:highlight w:val="none"/>
        </w:rPr>
        <w:t>合同的权利义务依法不</w:t>
      </w:r>
      <w:r>
        <w:rPr>
          <w:rFonts w:hint="eastAsia"/>
          <w:bCs/>
          <w:kern w:val="0"/>
          <w:sz w:val="24"/>
          <w:szCs w:val="24"/>
          <w:highlight w:val="none"/>
        </w:rPr>
        <w:t>得</w:t>
      </w:r>
      <w:r>
        <w:rPr>
          <w:bCs/>
          <w:kern w:val="0"/>
          <w:sz w:val="24"/>
          <w:szCs w:val="24"/>
          <w:highlight w:val="none"/>
        </w:rPr>
        <w:t>转让</w:t>
      </w:r>
      <w:r>
        <w:rPr>
          <w:rFonts w:hint="eastAsia"/>
          <w:bCs/>
          <w:kern w:val="0"/>
          <w:sz w:val="24"/>
          <w:szCs w:val="24"/>
          <w:highlight w:val="none"/>
        </w:rPr>
        <w:t>，</w:t>
      </w:r>
      <w:r>
        <w:rPr>
          <w:bCs/>
          <w:kern w:val="0"/>
          <w:sz w:val="24"/>
          <w:szCs w:val="24"/>
          <w:highlight w:val="none"/>
        </w:rPr>
        <w:t>但经甲方</w:t>
      </w:r>
      <w:r>
        <w:rPr>
          <w:rFonts w:hint="eastAsia"/>
          <w:bCs/>
          <w:kern w:val="0"/>
          <w:sz w:val="24"/>
          <w:szCs w:val="24"/>
          <w:highlight w:val="none"/>
        </w:rPr>
        <w:t>同意，乙方可以依法采取分包方式履行合同，即：依法可以</w:t>
      </w:r>
      <w:r>
        <w:rPr>
          <w:bCs/>
          <w:kern w:val="0"/>
          <w:sz w:val="24"/>
          <w:szCs w:val="24"/>
          <w:highlight w:val="none"/>
        </w:rPr>
        <w:t>将合同项下的部分非主体、非关键性工作分包给他人完成</w:t>
      </w:r>
      <w:r>
        <w:rPr>
          <w:rFonts w:hint="eastAsia"/>
          <w:bCs/>
          <w:kern w:val="0"/>
          <w:sz w:val="24"/>
          <w:szCs w:val="24"/>
          <w:highlight w:val="none"/>
        </w:rPr>
        <w:t>，</w:t>
      </w:r>
      <w:r>
        <w:rPr>
          <w:bCs/>
          <w:kern w:val="0"/>
          <w:sz w:val="24"/>
          <w:szCs w:val="24"/>
          <w:highlight w:val="none"/>
        </w:rPr>
        <w:t>接受分包的人应当具备相应的资格条件，并不得再次分包</w:t>
      </w:r>
      <w:r>
        <w:rPr>
          <w:rFonts w:hint="eastAsia"/>
          <w:bCs/>
          <w:kern w:val="0"/>
          <w:sz w:val="24"/>
          <w:szCs w:val="24"/>
          <w:highlight w:val="none"/>
        </w:rPr>
        <w:t>，</w:t>
      </w:r>
      <w:r>
        <w:rPr>
          <w:bCs/>
          <w:kern w:val="0"/>
          <w:sz w:val="24"/>
          <w:szCs w:val="24"/>
          <w:highlight w:val="none"/>
        </w:rPr>
        <w:t>且乙方应就分包项目向甲方负责</w:t>
      </w:r>
      <w:r>
        <w:rPr>
          <w:rFonts w:hint="eastAsia"/>
          <w:bCs/>
          <w:kern w:val="0"/>
          <w:sz w:val="24"/>
          <w:szCs w:val="24"/>
          <w:highlight w:val="none"/>
        </w:rPr>
        <w:t>，</w:t>
      </w:r>
      <w:r>
        <w:rPr>
          <w:bCs/>
          <w:kern w:val="0"/>
          <w:sz w:val="24"/>
          <w:szCs w:val="24"/>
          <w:highlight w:val="none"/>
        </w:rPr>
        <w:t>并</w:t>
      </w:r>
      <w:r>
        <w:rPr>
          <w:rFonts w:hint="eastAsia"/>
          <w:bCs/>
          <w:kern w:val="0"/>
          <w:sz w:val="24"/>
          <w:szCs w:val="24"/>
          <w:highlight w:val="none"/>
        </w:rPr>
        <w:t>与分包供应商就分包项目向甲方承担连带责任。</w:t>
      </w:r>
    </w:p>
    <w:p w14:paraId="4F97679C">
      <w:pPr>
        <w:shd w:val="clear"/>
        <w:spacing w:line="440" w:lineRule="exact"/>
        <w:rPr>
          <w:b/>
          <w:bCs/>
          <w:kern w:val="0"/>
          <w:sz w:val="24"/>
          <w:szCs w:val="24"/>
          <w:highlight w:val="none"/>
        </w:rPr>
      </w:pPr>
      <w:bookmarkStart w:id="223" w:name="_Toc26633"/>
      <w:bookmarkStart w:id="224" w:name="_Toc25571"/>
      <w:bookmarkStart w:id="225" w:name="_Toc32494"/>
      <w:bookmarkStart w:id="226" w:name="_Toc14371"/>
      <w:bookmarkStart w:id="227" w:name="_Toc4720"/>
      <w:r>
        <w:rPr>
          <w:rFonts w:hint="eastAsia"/>
          <w:b/>
          <w:bCs/>
          <w:kern w:val="0"/>
          <w:sz w:val="24"/>
          <w:szCs w:val="24"/>
          <w:highlight w:val="none"/>
        </w:rPr>
        <w:t>2</w:t>
      </w:r>
      <w:r>
        <w:rPr>
          <w:b/>
          <w:bCs/>
          <w:kern w:val="0"/>
          <w:sz w:val="24"/>
          <w:szCs w:val="24"/>
          <w:highlight w:val="none"/>
        </w:rPr>
        <w:t>.10 不可抗力</w:t>
      </w:r>
      <w:bookmarkEnd w:id="223"/>
      <w:bookmarkEnd w:id="224"/>
      <w:bookmarkEnd w:id="225"/>
      <w:bookmarkEnd w:id="226"/>
      <w:bookmarkEnd w:id="227"/>
    </w:p>
    <w:p w14:paraId="4DC12621">
      <w:pPr>
        <w:shd w:val="clear"/>
        <w:spacing w:line="440" w:lineRule="exact"/>
        <w:ind w:firstLine="480" w:firstLineChars="200"/>
        <w:rPr>
          <w:bCs/>
          <w:kern w:val="0"/>
          <w:sz w:val="24"/>
          <w:szCs w:val="24"/>
          <w:highlight w:val="none"/>
        </w:rPr>
      </w:pPr>
      <w:r>
        <w:rPr>
          <w:bCs/>
          <w:kern w:val="0"/>
          <w:sz w:val="24"/>
          <w:szCs w:val="24"/>
          <w:highlight w:val="none"/>
        </w:rPr>
        <w:t>2.10.1如果任何一方遭遇法律规定的不可抗力，致使合同履行受阻时，履行合同的期限应予延长，延长的期限应相当于不可抗力所影响的时间</w:t>
      </w:r>
      <w:r>
        <w:rPr>
          <w:rFonts w:hint="eastAsia"/>
          <w:bCs/>
          <w:kern w:val="0"/>
          <w:sz w:val="24"/>
          <w:szCs w:val="24"/>
          <w:highlight w:val="none"/>
        </w:rPr>
        <w:t>。</w:t>
      </w:r>
    </w:p>
    <w:p w14:paraId="14A2436A">
      <w:pPr>
        <w:shd w:val="clear"/>
        <w:spacing w:line="440" w:lineRule="exact"/>
        <w:ind w:firstLine="480" w:firstLineChars="200"/>
        <w:rPr>
          <w:bCs/>
          <w:kern w:val="0"/>
          <w:sz w:val="24"/>
          <w:szCs w:val="24"/>
          <w:highlight w:val="none"/>
        </w:rPr>
      </w:pPr>
      <w:r>
        <w:rPr>
          <w:bCs/>
          <w:kern w:val="0"/>
          <w:sz w:val="24"/>
          <w:szCs w:val="24"/>
          <w:highlight w:val="none"/>
        </w:rPr>
        <w:t>2.10.2</w:t>
      </w:r>
      <w:r>
        <w:rPr>
          <w:rFonts w:hint="eastAsia"/>
          <w:bCs/>
          <w:kern w:val="0"/>
          <w:sz w:val="24"/>
          <w:szCs w:val="24"/>
          <w:highlight w:val="none"/>
        </w:rPr>
        <w:t>因不可抗力致使不能实现合同目的的，当事人可以解除合同。</w:t>
      </w:r>
    </w:p>
    <w:p w14:paraId="6ADA2715">
      <w:pPr>
        <w:shd w:val="clear"/>
        <w:spacing w:line="440" w:lineRule="exact"/>
        <w:ind w:firstLine="480" w:firstLineChars="200"/>
        <w:rPr>
          <w:bCs/>
          <w:i w:val="0"/>
          <w:iCs w:val="0"/>
          <w:kern w:val="0"/>
          <w:sz w:val="24"/>
          <w:szCs w:val="24"/>
          <w:highlight w:val="none"/>
        </w:rPr>
      </w:pPr>
      <w:r>
        <w:rPr>
          <w:bCs/>
          <w:kern w:val="0"/>
          <w:sz w:val="24"/>
          <w:szCs w:val="24"/>
          <w:highlight w:val="none"/>
        </w:rPr>
        <w:t>2.10.</w:t>
      </w:r>
      <w:r>
        <w:rPr>
          <w:rFonts w:hint="eastAsia"/>
          <w:bCs/>
          <w:kern w:val="0"/>
          <w:sz w:val="24"/>
          <w:szCs w:val="24"/>
          <w:highlight w:val="none"/>
        </w:rPr>
        <w:t>3因</w:t>
      </w:r>
      <w:r>
        <w:rPr>
          <w:bCs/>
          <w:kern w:val="0"/>
          <w:sz w:val="24"/>
          <w:szCs w:val="24"/>
          <w:highlight w:val="none"/>
        </w:rPr>
        <w:t>不可抗力致使合同有变更必要的，双方当事人</w:t>
      </w:r>
      <w:r>
        <w:rPr>
          <w:bCs/>
          <w:i w:val="0"/>
          <w:iCs w:val="0"/>
          <w:kern w:val="0"/>
          <w:sz w:val="24"/>
          <w:szCs w:val="24"/>
          <w:highlight w:val="none"/>
        </w:rPr>
        <w:t>应在</w:t>
      </w:r>
      <w:r>
        <w:rPr>
          <w:rFonts w:hint="eastAsia"/>
          <w:b/>
          <w:bCs/>
          <w:i w:val="0"/>
          <w:iCs w:val="0"/>
          <w:kern w:val="0"/>
          <w:sz w:val="24"/>
          <w:szCs w:val="24"/>
          <w:highlight w:val="none"/>
          <w:u w:val="single"/>
        </w:rPr>
        <w:t>7个工作日内</w:t>
      </w:r>
      <w:r>
        <w:rPr>
          <w:bCs/>
          <w:i w:val="0"/>
          <w:iCs w:val="0"/>
          <w:kern w:val="0"/>
          <w:sz w:val="24"/>
          <w:szCs w:val="24"/>
          <w:highlight w:val="none"/>
        </w:rPr>
        <w:t>以书面形式变更合同</w:t>
      </w:r>
      <w:r>
        <w:rPr>
          <w:rFonts w:hint="eastAsia"/>
          <w:bCs/>
          <w:i w:val="0"/>
          <w:iCs w:val="0"/>
          <w:kern w:val="0"/>
          <w:sz w:val="24"/>
          <w:szCs w:val="24"/>
          <w:highlight w:val="none"/>
        </w:rPr>
        <w:t>。</w:t>
      </w:r>
    </w:p>
    <w:p w14:paraId="6D5C8C6C">
      <w:pPr>
        <w:shd w:val="clear"/>
        <w:spacing w:line="440" w:lineRule="exact"/>
        <w:ind w:firstLine="480" w:firstLineChars="200"/>
        <w:rPr>
          <w:bCs/>
          <w:i w:val="0"/>
          <w:iCs w:val="0"/>
          <w:kern w:val="0"/>
          <w:sz w:val="24"/>
          <w:szCs w:val="24"/>
          <w:highlight w:val="none"/>
        </w:rPr>
      </w:pPr>
      <w:r>
        <w:rPr>
          <w:bCs/>
          <w:i w:val="0"/>
          <w:iCs w:val="0"/>
          <w:kern w:val="0"/>
          <w:sz w:val="24"/>
          <w:szCs w:val="24"/>
          <w:highlight w:val="none"/>
        </w:rPr>
        <w:t>2.10.</w:t>
      </w:r>
      <w:r>
        <w:rPr>
          <w:rFonts w:hint="eastAsia"/>
          <w:bCs/>
          <w:i w:val="0"/>
          <w:iCs w:val="0"/>
          <w:kern w:val="0"/>
          <w:sz w:val="24"/>
          <w:szCs w:val="24"/>
          <w:highlight w:val="none"/>
        </w:rPr>
        <w:t>4</w:t>
      </w:r>
      <w:r>
        <w:rPr>
          <w:bCs/>
          <w:i w:val="0"/>
          <w:iCs w:val="0"/>
          <w:kern w:val="0"/>
          <w:sz w:val="24"/>
          <w:szCs w:val="24"/>
          <w:highlight w:val="none"/>
        </w:rPr>
        <w:t>受</w:t>
      </w:r>
      <w:r>
        <w:rPr>
          <w:rFonts w:hint="eastAsia"/>
          <w:bCs/>
          <w:i w:val="0"/>
          <w:iCs w:val="0"/>
          <w:kern w:val="0"/>
          <w:sz w:val="24"/>
          <w:szCs w:val="24"/>
          <w:highlight w:val="none"/>
        </w:rPr>
        <w:t>不可抗力</w:t>
      </w:r>
      <w:r>
        <w:rPr>
          <w:bCs/>
          <w:i w:val="0"/>
          <w:iCs w:val="0"/>
          <w:kern w:val="0"/>
          <w:sz w:val="24"/>
          <w:szCs w:val="24"/>
          <w:highlight w:val="none"/>
        </w:rPr>
        <w:t>影响的一方在不可抗力发生后</w:t>
      </w:r>
      <w:r>
        <w:rPr>
          <w:rFonts w:hint="eastAsia"/>
          <w:bCs/>
          <w:i w:val="0"/>
          <w:iCs w:val="0"/>
          <w:kern w:val="0"/>
          <w:sz w:val="24"/>
          <w:szCs w:val="24"/>
          <w:highlight w:val="none"/>
        </w:rPr>
        <w:t>，</w:t>
      </w:r>
      <w:r>
        <w:rPr>
          <w:bCs/>
          <w:i w:val="0"/>
          <w:iCs w:val="0"/>
          <w:kern w:val="0"/>
          <w:sz w:val="24"/>
          <w:szCs w:val="24"/>
          <w:highlight w:val="none"/>
        </w:rPr>
        <w:t>应在</w:t>
      </w:r>
      <w:r>
        <w:rPr>
          <w:rFonts w:hint="eastAsia"/>
          <w:b/>
          <w:bCs/>
          <w:i w:val="0"/>
          <w:iCs w:val="0"/>
          <w:kern w:val="0"/>
          <w:sz w:val="24"/>
          <w:szCs w:val="24"/>
          <w:highlight w:val="none"/>
          <w:u w:val="single"/>
        </w:rPr>
        <w:t>7个工作日</w:t>
      </w:r>
      <w:r>
        <w:rPr>
          <w:bCs/>
          <w:i w:val="0"/>
          <w:iCs w:val="0"/>
          <w:kern w:val="0"/>
          <w:sz w:val="24"/>
          <w:szCs w:val="24"/>
          <w:highlight w:val="none"/>
        </w:rPr>
        <w:t>内以书面形式通知</w:t>
      </w:r>
      <w:r>
        <w:rPr>
          <w:rFonts w:hint="eastAsia"/>
          <w:bCs/>
          <w:i w:val="0"/>
          <w:iCs w:val="0"/>
          <w:kern w:val="0"/>
          <w:sz w:val="24"/>
          <w:szCs w:val="24"/>
          <w:highlight w:val="none"/>
        </w:rPr>
        <w:t>对</w:t>
      </w:r>
      <w:r>
        <w:rPr>
          <w:bCs/>
          <w:i w:val="0"/>
          <w:iCs w:val="0"/>
          <w:kern w:val="0"/>
          <w:sz w:val="24"/>
          <w:szCs w:val="24"/>
          <w:highlight w:val="none"/>
        </w:rPr>
        <w:t>方当事人，并在</w:t>
      </w:r>
      <w:r>
        <w:rPr>
          <w:rFonts w:hint="eastAsia"/>
          <w:b/>
          <w:bCs/>
          <w:i w:val="0"/>
          <w:iCs w:val="0"/>
          <w:kern w:val="0"/>
          <w:sz w:val="24"/>
          <w:szCs w:val="24"/>
          <w:highlight w:val="none"/>
          <w:u w:val="single"/>
        </w:rPr>
        <w:t>7个工作日</w:t>
      </w:r>
      <w:r>
        <w:rPr>
          <w:bCs/>
          <w:i w:val="0"/>
          <w:iCs w:val="0"/>
          <w:kern w:val="0"/>
          <w:sz w:val="24"/>
          <w:szCs w:val="24"/>
          <w:highlight w:val="none"/>
        </w:rPr>
        <w:t>内，将有关部门出具的证明文件送达</w:t>
      </w:r>
      <w:r>
        <w:rPr>
          <w:rFonts w:hint="eastAsia"/>
          <w:bCs/>
          <w:i w:val="0"/>
          <w:iCs w:val="0"/>
          <w:kern w:val="0"/>
          <w:sz w:val="24"/>
          <w:szCs w:val="24"/>
          <w:highlight w:val="none"/>
        </w:rPr>
        <w:t>对方当事人</w:t>
      </w:r>
      <w:r>
        <w:rPr>
          <w:bCs/>
          <w:i w:val="0"/>
          <w:iCs w:val="0"/>
          <w:kern w:val="0"/>
          <w:sz w:val="24"/>
          <w:szCs w:val="24"/>
          <w:highlight w:val="none"/>
        </w:rPr>
        <w:t>。</w:t>
      </w:r>
    </w:p>
    <w:p w14:paraId="541366E1">
      <w:pPr>
        <w:shd w:val="clear"/>
        <w:spacing w:line="440" w:lineRule="exact"/>
        <w:rPr>
          <w:b/>
          <w:bCs/>
          <w:i w:val="0"/>
          <w:iCs w:val="0"/>
          <w:kern w:val="0"/>
          <w:sz w:val="24"/>
          <w:szCs w:val="24"/>
          <w:highlight w:val="none"/>
        </w:rPr>
      </w:pPr>
      <w:bookmarkStart w:id="228" w:name="_Toc23854"/>
      <w:bookmarkStart w:id="229" w:name="_Toc487900365"/>
      <w:bookmarkStart w:id="230" w:name="_Toc3638"/>
      <w:bookmarkStart w:id="231" w:name="_Toc24465"/>
      <w:bookmarkStart w:id="232" w:name="_Toc25783"/>
      <w:bookmarkStart w:id="233" w:name="_Toc14115"/>
      <w:bookmarkStart w:id="234" w:name="_Toc279701255"/>
      <w:bookmarkStart w:id="235" w:name="_Toc259093684"/>
      <w:r>
        <w:rPr>
          <w:rFonts w:hint="eastAsia"/>
          <w:b/>
          <w:bCs/>
          <w:i w:val="0"/>
          <w:iCs w:val="0"/>
          <w:kern w:val="0"/>
          <w:sz w:val="24"/>
          <w:szCs w:val="24"/>
          <w:highlight w:val="none"/>
        </w:rPr>
        <w:t>2</w:t>
      </w:r>
      <w:r>
        <w:rPr>
          <w:b/>
          <w:bCs/>
          <w:i w:val="0"/>
          <w:iCs w:val="0"/>
          <w:kern w:val="0"/>
          <w:sz w:val="24"/>
          <w:szCs w:val="24"/>
          <w:highlight w:val="none"/>
        </w:rPr>
        <w:t>.11</w:t>
      </w:r>
      <w:r>
        <w:rPr>
          <w:rFonts w:hint="eastAsia"/>
          <w:b/>
          <w:bCs/>
          <w:i w:val="0"/>
          <w:iCs w:val="0"/>
          <w:kern w:val="0"/>
          <w:sz w:val="24"/>
          <w:szCs w:val="24"/>
          <w:highlight w:val="none"/>
        </w:rPr>
        <w:t xml:space="preserve"> </w:t>
      </w:r>
      <w:r>
        <w:rPr>
          <w:b/>
          <w:bCs/>
          <w:i w:val="0"/>
          <w:iCs w:val="0"/>
          <w:kern w:val="0"/>
          <w:sz w:val="24"/>
          <w:szCs w:val="24"/>
          <w:highlight w:val="none"/>
        </w:rPr>
        <w:t>税费</w:t>
      </w:r>
      <w:bookmarkEnd w:id="228"/>
      <w:bookmarkEnd w:id="229"/>
      <w:bookmarkEnd w:id="230"/>
      <w:bookmarkEnd w:id="231"/>
      <w:bookmarkEnd w:id="232"/>
      <w:bookmarkEnd w:id="233"/>
      <w:bookmarkEnd w:id="234"/>
      <w:bookmarkEnd w:id="235"/>
    </w:p>
    <w:p w14:paraId="6CA18199">
      <w:pPr>
        <w:shd w:val="clear"/>
        <w:spacing w:line="440" w:lineRule="exact"/>
        <w:ind w:firstLine="480" w:firstLineChars="200"/>
        <w:rPr>
          <w:bCs/>
          <w:kern w:val="0"/>
          <w:sz w:val="24"/>
          <w:szCs w:val="24"/>
          <w:highlight w:val="none"/>
        </w:rPr>
      </w:pPr>
      <w:r>
        <w:rPr>
          <w:bCs/>
          <w:kern w:val="0"/>
          <w:sz w:val="24"/>
          <w:szCs w:val="24"/>
          <w:highlight w:val="none"/>
        </w:rPr>
        <w:t>与合同有关的一切税费</w:t>
      </w:r>
      <w:r>
        <w:rPr>
          <w:rFonts w:hint="eastAsia"/>
          <w:bCs/>
          <w:kern w:val="0"/>
          <w:sz w:val="24"/>
          <w:szCs w:val="24"/>
          <w:highlight w:val="none"/>
        </w:rPr>
        <w:t>，</w:t>
      </w:r>
      <w:r>
        <w:rPr>
          <w:bCs/>
          <w:kern w:val="0"/>
          <w:sz w:val="24"/>
          <w:szCs w:val="24"/>
          <w:highlight w:val="none"/>
        </w:rPr>
        <w:t>均按照中华人民共和国法律的相关规定缴纳。</w:t>
      </w:r>
    </w:p>
    <w:p w14:paraId="59C1A260">
      <w:pPr>
        <w:shd w:val="clear"/>
        <w:spacing w:line="440" w:lineRule="exact"/>
        <w:rPr>
          <w:b/>
          <w:bCs/>
          <w:kern w:val="0"/>
          <w:sz w:val="24"/>
          <w:szCs w:val="24"/>
          <w:highlight w:val="none"/>
        </w:rPr>
      </w:pPr>
      <w:bookmarkStart w:id="236" w:name="_Toc14814"/>
      <w:bookmarkStart w:id="237" w:name="_Toc7315"/>
      <w:bookmarkStart w:id="238" w:name="_Toc26883"/>
      <w:bookmarkStart w:id="239" w:name="_Toc259093687"/>
      <w:bookmarkStart w:id="240" w:name="_Toc30105"/>
      <w:bookmarkStart w:id="241" w:name="_Toc487900368"/>
      <w:bookmarkStart w:id="242" w:name="_Toc25525"/>
      <w:bookmarkStart w:id="243" w:name="_Toc279701258"/>
      <w:r>
        <w:rPr>
          <w:rFonts w:hint="eastAsia"/>
          <w:b/>
          <w:bCs/>
          <w:kern w:val="0"/>
          <w:sz w:val="24"/>
          <w:szCs w:val="24"/>
          <w:highlight w:val="none"/>
        </w:rPr>
        <w:t>2</w:t>
      </w:r>
      <w:r>
        <w:rPr>
          <w:b/>
          <w:bCs/>
          <w:kern w:val="0"/>
          <w:sz w:val="24"/>
          <w:szCs w:val="24"/>
          <w:highlight w:val="none"/>
        </w:rPr>
        <w:t>.12</w:t>
      </w:r>
      <w:r>
        <w:rPr>
          <w:rFonts w:hint="eastAsia"/>
          <w:b/>
          <w:bCs/>
          <w:kern w:val="0"/>
          <w:sz w:val="24"/>
          <w:szCs w:val="24"/>
          <w:highlight w:val="none"/>
        </w:rPr>
        <w:t xml:space="preserve"> </w:t>
      </w:r>
      <w:r>
        <w:rPr>
          <w:b/>
          <w:bCs/>
          <w:kern w:val="0"/>
          <w:sz w:val="24"/>
          <w:szCs w:val="24"/>
          <w:highlight w:val="none"/>
        </w:rPr>
        <w:t>乙方破产</w:t>
      </w:r>
      <w:bookmarkEnd w:id="236"/>
      <w:bookmarkEnd w:id="237"/>
      <w:bookmarkEnd w:id="238"/>
      <w:bookmarkEnd w:id="239"/>
      <w:bookmarkEnd w:id="240"/>
      <w:bookmarkEnd w:id="241"/>
      <w:bookmarkEnd w:id="242"/>
      <w:bookmarkEnd w:id="243"/>
    </w:p>
    <w:p w14:paraId="08C34CCF">
      <w:pPr>
        <w:shd w:val="clear"/>
        <w:spacing w:line="440" w:lineRule="exact"/>
        <w:ind w:firstLine="480" w:firstLineChars="200"/>
        <w:rPr>
          <w:bCs/>
          <w:kern w:val="0"/>
          <w:sz w:val="24"/>
          <w:szCs w:val="24"/>
          <w:highlight w:val="none"/>
        </w:rPr>
      </w:pPr>
      <w:r>
        <w:rPr>
          <w:bCs/>
          <w:kern w:val="0"/>
          <w:sz w:val="24"/>
          <w:szCs w:val="24"/>
          <w:highlight w:val="none"/>
        </w:rPr>
        <w:t>如果乙方破产导致合同无法履行时，甲方可以书面形式通知乙方终止合同且不给予乙方任何补偿和赔偿</w:t>
      </w:r>
      <w:r>
        <w:rPr>
          <w:rFonts w:hint="eastAsia"/>
          <w:bCs/>
          <w:kern w:val="0"/>
          <w:sz w:val="24"/>
          <w:szCs w:val="24"/>
          <w:highlight w:val="none"/>
        </w:rPr>
        <w:t>，但合同的</w:t>
      </w:r>
      <w:r>
        <w:rPr>
          <w:bCs/>
          <w:kern w:val="0"/>
          <w:sz w:val="24"/>
          <w:szCs w:val="24"/>
          <w:highlight w:val="none"/>
        </w:rPr>
        <w:t>终止不损害或不影响甲方已经采取或将要采取的任何要求乙方支付违约金</w:t>
      </w:r>
      <w:r>
        <w:rPr>
          <w:rFonts w:hint="eastAsia"/>
          <w:bCs/>
          <w:kern w:val="0"/>
          <w:sz w:val="24"/>
          <w:szCs w:val="24"/>
          <w:highlight w:val="none"/>
        </w:rPr>
        <w:t>、</w:t>
      </w:r>
      <w:r>
        <w:rPr>
          <w:bCs/>
          <w:kern w:val="0"/>
          <w:sz w:val="24"/>
          <w:szCs w:val="24"/>
          <w:highlight w:val="none"/>
        </w:rPr>
        <w:t>赔偿损失等的行动或补救措施的权利</w:t>
      </w:r>
      <w:r>
        <w:rPr>
          <w:rFonts w:hint="eastAsia"/>
          <w:bCs/>
          <w:kern w:val="0"/>
          <w:sz w:val="24"/>
          <w:szCs w:val="24"/>
          <w:highlight w:val="none"/>
        </w:rPr>
        <w:t>。</w:t>
      </w:r>
    </w:p>
    <w:p w14:paraId="7151ADCA">
      <w:pPr>
        <w:shd w:val="clear"/>
        <w:spacing w:line="440" w:lineRule="exact"/>
        <w:rPr>
          <w:b/>
          <w:bCs/>
          <w:kern w:val="0"/>
          <w:sz w:val="24"/>
          <w:szCs w:val="24"/>
          <w:highlight w:val="none"/>
        </w:rPr>
      </w:pPr>
      <w:bookmarkStart w:id="244" w:name="_Toc1123"/>
      <w:bookmarkStart w:id="245" w:name="_Toc23323"/>
      <w:bookmarkStart w:id="246" w:name="_Toc2016"/>
      <w:r>
        <w:rPr>
          <w:rFonts w:hint="eastAsia"/>
          <w:b/>
          <w:bCs/>
          <w:kern w:val="0"/>
          <w:sz w:val="24"/>
          <w:szCs w:val="24"/>
          <w:highlight w:val="none"/>
        </w:rPr>
        <w:t>2</w:t>
      </w:r>
      <w:r>
        <w:rPr>
          <w:b/>
          <w:bCs/>
          <w:kern w:val="0"/>
          <w:sz w:val="24"/>
          <w:szCs w:val="24"/>
          <w:highlight w:val="none"/>
        </w:rPr>
        <w:t>.13</w:t>
      </w:r>
      <w:r>
        <w:rPr>
          <w:rFonts w:hint="eastAsia"/>
          <w:b/>
          <w:bCs/>
          <w:kern w:val="0"/>
          <w:sz w:val="24"/>
          <w:szCs w:val="24"/>
          <w:highlight w:val="none"/>
        </w:rPr>
        <w:t xml:space="preserve"> </w:t>
      </w:r>
      <w:r>
        <w:rPr>
          <w:b/>
          <w:bCs/>
          <w:kern w:val="0"/>
          <w:sz w:val="24"/>
          <w:szCs w:val="24"/>
          <w:highlight w:val="none"/>
        </w:rPr>
        <w:t>合同中止、终止</w:t>
      </w:r>
      <w:bookmarkEnd w:id="244"/>
      <w:bookmarkEnd w:id="245"/>
      <w:bookmarkEnd w:id="246"/>
    </w:p>
    <w:p w14:paraId="682BFB28">
      <w:pPr>
        <w:shd w:val="clear"/>
        <w:spacing w:line="440" w:lineRule="exact"/>
        <w:ind w:firstLine="480" w:firstLineChars="200"/>
        <w:rPr>
          <w:bCs/>
          <w:kern w:val="0"/>
          <w:sz w:val="24"/>
          <w:szCs w:val="24"/>
          <w:highlight w:val="none"/>
        </w:rPr>
      </w:pPr>
      <w:r>
        <w:rPr>
          <w:bCs/>
          <w:kern w:val="0"/>
          <w:sz w:val="24"/>
          <w:szCs w:val="24"/>
          <w:highlight w:val="none"/>
        </w:rPr>
        <w:t>2.13.1</w:t>
      </w:r>
      <w:r>
        <w:rPr>
          <w:rFonts w:hint="eastAsia"/>
          <w:bCs/>
          <w:kern w:val="0"/>
          <w:sz w:val="24"/>
          <w:szCs w:val="24"/>
          <w:highlight w:val="none"/>
        </w:rPr>
        <w:t>双方当事人不得擅自中止或者终止合同。</w:t>
      </w:r>
    </w:p>
    <w:p w14:paraId="16134293">
      <w:pPr>
        <w:shd w:val="clear"/>
        <w:spacing w:line="440" w:lineRule="exact"/>
        <w:ind w:firstLine="480" w:firstLineChars="200"/>
        <w:rPr>
          <w:bCs/>
          <w:kern w:val="0"/>
          <w:sz w:val="24"/>
          <w:szCs w:val="24"/>
          <w:highlight w:val="none"/>
        </w:rPr>
      </w:pPr>
      <w:r>
        <w:rPr>
          <w:bCs/>
          <w:kern w:val="0"/>
          <w:sz w:val="24"/>
          <w:szCs w:val="24"/>
          <w:highlight w:val="none"/>
        </w:rPr>
        <w:t>2.13.2</w:t>
      </w:r>
      <w:r>
        <w:rPr>
          <w:rFonts w:hint="eastAsia"/>
          <w:bCs/>
          <w:kern w:val="0"/>
          <w:sz w:val="24"/>
          <w:szCs w:val="24"/>
          <w:highlight w:val="none"/>
        </w:rPr>
        <w:t>合同继续履行将损害国家利益和社会公共利益的，甲方有权中止或者终止、解除合同。有过错的一方应当承担赔偿责任，双方当事人都有过错的，各自承担相应的责任。</w:t>
      </w:r>
    </w:p>
    <w:bookmarkEnd w:id="211"/>
    <w:bookmarkEnd w:id="212"/>
    <w:bookmarkEnd w:id="213"/>
    <w:bookmarkEnd w:id="214"/>
    <w:p w14:paraId="7480286F">
      <w:pPr>
        <w:shd w:val="clear"/>
        <w:spacing w:line="440" w:lineRule="exact"/>
        <w:rPr>
          <w:b/>
          <w:bCs/>
          <w:i w:val="0"/>
          <w:iCs w:val="0"/>
          <w:kern w:val="0"/>
          <w:sz w:val="24"/>
          <w:szCs w:val="24"/>
          <w:highlight w:val="none"/>
        </w:rPr>
      </w:pPr>
      <w:bookmarkStart w:id="247" w:name="_Toc487900371"/>
      <w:bookmarkStart w:id="248" w:name="_Toc279701261"/>
      <w:bookmarkStart w:id="249" w:name="_Toc259093690"/>
      <w:bookmarkStart w:id="250" w:name="_Toc31892"/>
      <w:bookmarkStart w:id="251" w:name="_Toc9808"/>
      <w:bookmarkStart w:id="252" w:name="_Toc25198"/>
      <w:bookmarkStart w:id="253" w:name="_Toc2308"/>
      <w:bookmarkStart w:id="254" w:name="_Toc12666"/>
      <w:r>
        <w:rPr>
          <w:rFonts w:hint="eastAsia"/>
          <w:b/>
          <w:bCs/>
          <w:kern w:val="0"/>
          <w:sz w:val="24"/>
          <w:szCs w:val="24"/>
          <w:highlight w:val="none"/>
        </w:rPr>
        <w:t>2</w:t>
      </w:r>
      <w:r>
        <w:rPr>
          <w:b/>
          <w:bCs/>
          <w:kern w:val="0"/>
          <w:sz w:val="24"/>
          <w:szCs w:val="24"/>
          <w:highlight w:val="none"/>
        </w:rPr>
        <w:t>.14</w:t>
      </w:r>
      <w:r>
        <w:rPr>
          <w:rFonts w:hint="eastAsia"/>
          <w:b/>
          <w:bCs/>
          <w:kern w:val="0"/>
          <w:sz w:val="24"/>
          <w:szCs w:val="24"/>
          <w:highlight w:val="none"/>
        </w:rPr>
        <w:t xml:space="preserve"> </w:t>
      </w:r>
      <w:r>
        <w:rPr>
          <w:b/>
          <w:bCs/>
          <w:kern w:val="0"/>
          <w:sz w:val="24"/>
          <w:szCs w:val="24"/>
          <w:highlight w:val="none"/>
        </w:rPr>
        <w:t>通知</w:t>
      </w:r>
      <w:bookmarkEnd w:id="247"/>
      <w:bookmarkEnd w:id="248"/>
      <w:bookmarkEnd w:id="249"/>
      <w:r>
        <w:rPr>
          <w:b/>
          <w:bCs/>
          <w:kern w:val="0"/>
          <w:sz w:val="24"/>
          <w:szCs w:val="24"/>
          <w:highlight w:val="none"/>
        </w:rPr>
        <w:t>和送达</w:t>
      </w:r>
      <w:bookmarkEnd w:id="250"/>
      <w:bookmarkEnd w:id="251"/>
      <w:bookmarkEnd w:id="252"/>
      <w:bookmarkEnd w:id="253"/>
      <w:bookmarkEnd w:id="254"/>
    </w:p>
    <w:p w14:paraId="268C7370">
      <w:pPr>
        <w:shd w:val="clear"/>
        <w:spacing w:line="440" w:lineRule="exact"/>
        <w:ind w:firstLine="480" w:firstLineChars="200"/>
        <w:rPr>
          <w:bCs/>
          <w:i w:val="0"/>
          <w:iCs w:val="0"/>
          <w:kern w:val="0"/>
          <w:sz w:val="24"/>
          <w:szCs w:val="24"/>
          <w:highlight w:val="none"/>
        </w:rPr>
      </w:pPr>
      <w:bookmarkStart w:id="255" w:name="_Toc7073"/>
      <w:bookmarkStart w:id="256" w:name="_Toc29220"/>
      <w:bookmarkStart w:id="257" w:name="_Toc487900372"/>
      <w:bookmarkStart w:id="258" w:name="_Toc279701262"/>
      <w:bookmarkStart w:id="259" w:name="_Toc259093691"/>
      <w:r>
        <w:rPr>
          <w:bCs/>
          <w:i w:val="0"/>
          <w:iCs w:val="0"/>
          <w:kern w:val="0"/>
          <w:sz w:val="24"/>
          <w:szCs w:val="24"/>
          <w:highlight w:val="none"/>
        </w:rPr>
        <w:t>2.14.1</w:t>
      </w:r>
      <w:r>
        <w:rPr>
          <w:rFonts w:hint="eastAsia"/>
          <w:bCs/>
          <w:i w:val="0"/>
          <w:iCs w:val="0"/>
          <w:kern w:val="0"/>
          <w:sz w:val="24"/>
          <w:szCs w:val="24"/>
          <w:highlight w:val="none"/>
        </w:rPr>
        <w:t>任何一方因履行合同而以合同第一部分尾部所列明的</w:t>
      </w:r>
      <w:r>
        <w:rPr>
          <w:rFonts w:hint="eastAsia"/>
          <w:b/>
          <w:bCs/>
          <w:i w:val="0"/>
          <w:iCs w:val="0"/>
          <w:kern w:val="0"/>
          <w:sz w:val="24"/>
          <w:szCs w:val="24"/>
          <w:highlight w:val="none"/>
          <w:u w:val="single"/>
        </w:rPr>
        <w:t>内容</w:t>
      </w:r>
      <w:r>
        <w:rPr>
          <w:rFonts w:hint="eastAsia"/>
          <w:bCs/>
          <w:i w:val="0"/>
          <w:iCs w:val="0"/>
          <w:kern w:val="0"/>
          <w:sz w:val="24"/>
          <w:szCs w:val="24"/>
          <w:highlight w:val="none"/>
        </w:rPr>
        <w:t>发出的所有通知、文件、材料，均视为已向对方当事人送达；任何一方变更上述送达方式或者地址的，应于</w:t>
      </w:r>
      <w:r>
        <w:rPr>
          <w:b/>
          <w:bCs/>
          <w:i w:val="0"/>
          <w:iCs w:val="0"/>
          <w:kern w:val="0"/>
          <w:sz w:val="24"/>
          <w:szCs w:val="24"/>
          <w:highlight w:val="none"/>
          <w:u w:val="single"/>
        </w:rPr>
        <w:t>5</w:t>
      </w:r>
      <w:r>
        <w:rPr>
          <w:rFonts w:hint="eastAsia"/>
          <w:b/>
          <w:bCs/>
          <w:i w:val="0"/>
          <w:iCs w:val="0"/>
          <w:kern w:val="0"/>
          <w:sz w:val="24"/>
          <w:szCs w:val="24"/>
          <w:highlight w:val="none"/>
          <w:u w:val="single"/>
        </w:rPr>
        <w:t>个工作日</w:t>
      </w:r>
      <w:r>
        <w:rPr>
          <w:rFonts w:hint="eastAsia"/>
          <w:bCs/>
          <w:i w:val="0"/>
          <w:iCs w:val="0"/>
          <w:kern w:val="0"/>
          <w:sz w:val="24"/>
          <w:szCs w:val="24"/>
          <w:highlight w:val="none"/>
        </w:rPr>
        <w:t>内书面通知对方当事人，在对方当事人收到有关变更通知之前，变更前的约定送达方式或者地址仍视为有效。</w:t>
      </w:r>
      <w:bookmarkEnd w:id="255"/>
      <w:bookmarkEnd w:id="256"/>
    </w:p>
    <w:p w14:paraId="1B5368E5">
      <w:pPr>
        <w:shd w:val="clear"/>
        <w:spacing w:line="440" w:lineRule="exact"/>
        <w:ind w:firstLine="480" w:firstLineChars="200"/>
        <w:rPr>
          <w:bCs/>
          <w:kern w:val="0"/>
          <w:sz w:val="24"/>
          <w:szCs w:val="24"/>
          <w:highlight w:val="none"/>
        </w:rPr>
      </w:pPr>
      <w:bookmarkStart w:id="260" w:name="_Toc27674"/>
      <w:bookmarkStart w:id="261" w:name="_Toc18401"/>
      <w:r>
        <w:rPr>
          <w:bCs/>
          <w:kern w:val="0"/>
          <w:sz w:val="24"/>
          <w:szCs w:val="24"/>
          <w:highlight w:val="none"/>
        </w:rPr>
        <w:t>2.14.2</w:t>
      </w:r>
      <w:r>
        <w:rPr>
          <w:rFonts w:hint="eastAsia"/>
          <w:bCs/>
          <w:kern w:val="0"/>
          <w:sz w:val="24"/>
          <w:szCs w:val="24"/>
          <w:highlight w:val="none"/>
        </w:rPr>
        <w:t>以当面交付方式送达的，交付之时视为送达；以电子邮件方式送达的，发出电子邮件之时视为送达；以传真方式送达的，发出传真之时视为送达；以邮寄方式送达的，邮件挂号寄出或者交邮之日之次日视为送达。</w:t>
      </w:r>
      <w:bookmarkEnd w:id="260"/>
      <w:bookmarkEnd w:id="261"/>
    </w:p>
    <w:bookmarkEnd w:id="257"/>
    <w:bookmarkEnd w:id="258"/>
    <w:bookmarkEnd w:id="259"/>
    <w:p w14:paraId="52144FAA">
      <w:pPr>
        <w:shd w:val="clear"/>
        <w:spacing w:line="440" w:lineRule="exact"/>
        <w:rPr>
          <w:b/>
          <w:bCs/>
          <w:kern w:val="0"/>
          <w:sz w:val="24"/>
          <w:szCs w:val="24"/>
          <w:highlight w:val="none"/>
        </w:rPr>
      </w:pPr>
      <w:bookmarkStart w:id="262" w:name="_Toc259093692"/>
      <w:bookmarkStart w:id="263" w:name="_Toc279701263"/>
      <w:bookmarkStart w:id="264" w:name="_Toc28906"/>
      <w:bookmarkStart w:id="265" w:name="_Toc5063"/>
      <w:bookmarkStart w:id="266" w:name="_Toc20808"/>
      <w:bookmarkStart w:id="267" w:name="_Toc487900373"/>
      <w:bookmarkStart w:id="268" w:name="_Toc12254"/>
      <w:bookmarkStart w:id="269" w:name="_Toc27644"/>
      <w:r>
        <w:rPr>
          <w:rFonts w:hint="eastAsia"/>
          <w:b/>
          <w:bCs/>
          <w:kern w:val="0"/>
          <w:sz w:val="24"/>
          <w:szCs w:val="24"/>
          <w:highlight w:val="none"/>
        </w:rPr>
        <w:t>2</w:t>
      </w:r>
      <w:r>
        <w:rPr>
          <w:b/>
          <w:bCs/>
          <w:kern w:val="0"/>
          <w:sz w:val="24"/>
          <w:szCs w:val="24"/>
          <w:highlight w:val="none"/>
        </w:rPr>
        <w:t>.15</w:t>
      </w:r>
      <w:r>
        <w:rPr>
          <w:rFonts w:hint="eastAsia"/>
          <w:b/>
          <w:bCs/>
          <w:kern w:val="0"/>
          <w:sz w:val="24"/>
          <w:szCs w:val="24"/>
          <w:highlight w:val="none"/>
        </w:rPr>
        <w:t xml:space="preserve"> 合同使用的文字和</w:t>
      </w:r>
      <w:r>
        <w:rPr>
          <w:b/>
          <w:bCs/>
          <w:kern w:val="0"/>
          <w:sz w:val="24"/>
          <w:szCs w:val="24"/>
          <w:highlight w:val="none"/>
        </w:rPr>
        <w:t>适用的法律</w:t>
      </w:r>
      <w:bookmarkEnd w:id="262"/>
      <w:bookmarkEnd w:id="263"/>
      <w:bookmarkEnd w:id="264"/>
      <w:bookmarkEnd w:id="265"/>
      <w:bookmarkEnd w:id="266"/>
      <w:bookmarkEnd w:id="267"/>
      <w:bookmarkEnd w:id="268"/>
      <w:bookmarkEnd w:id="269"/>
    </w:p>
    <w:p w14:paraId="1CB77AB5">
      <w:pPr>
        <w:shd w:val="clear"/>
        <w:spacing w:line="440" w:lineRule="exact"/>
        <w:ind w:firstLine="480" w:firstLineChars="200"/>
        <w:rPr>
          <w:bCs/>
          <w:kern w:val="0"/>
          <w:sz w:val="24"/>
          <w:szCs w:val="24"/>
          <w:highlight w:val="none"/>
        </w:rPr>
      </w:pPr>
      <w:r>
        <w:rPr>
          <w:bCs/>
          <w:kern w:val="0"/>
          <w:sz w:val="24"/>
          <w:szCs w:val="24"/>
          <w:highlight w:val="none"/>
        </w:rPr>
        <w:t>2.15.1合同使用汉语书</w:t>
      </w:r>
      <w:r>
        <w:rPr>
          <w:rFonts w:hint="eastAsia"/>
          <w:bCs/>
          <w:kern w:val="0"/>
          <w:sz w:val="24"/>
          <w:szCs w:val="24"/>
          <w:highlight w:val="none"/>
        </w:rPr>
        <w:t>就、</w:t>
      </w:r>
      <w:r>
        <w:rPr>
          <w:bCs/>
          <w:kern w:val="0"/>
          <w:sz w:val="24"/>
          <w:szCs w:val="24"/>
          <w:highlight w:val="none"/>
        </w:rPr>
        <w:t>变更和解释</w:t>
      </w:r>
      <w:r>
        <w:rPr>
          <w:rFonts w:hint="eastAsia"/>
          <w:bCs/>
          <w:kern w:val="0"/>
          <w:sz w:val="24"/>
          <w:szCs w:val="24"/>
          <w:highlight w:val="none"/>
        </w:rPr>
        <w:t>。</w:t>
      </w:r>
    </w:p>
    <w:p w14:paraId="1E4EC46A">
      <w:pPr>
        <w:shd w:val="clear"/>
        <w:spacing w:line="440" w:lineRule="exact"/>
        <w:ind w:firstLine="480" w:firstLineChars="200"/>
        <w:rPr>
          <w:bCs/>
          <w:kern w:val="0"/>
          <w:sz w:val="24"/>
          <w:szCs w:val="24"/>
          <w:highlight w:val="none"/>
        </w:rPr>
      </w:pPr>
      <w:r>
        <w:rPr>
          <w:bCs/>
          <w:kern w:val="0"/>
          <w:sz w:val="24"/>
          <w:szCs w:val="24"/>
          <w:highlight w:val="none"/>
        </w:rPr>
        <w:t>2.15.2</w:t>
      </w:r>
      <w:r>
        <w:rPr>
          <w:rFonts w:hint="eastAsia"/>
          <w:bCs/>
          <w:kern w:val="0"/>
          <w:sz w:val="24"/>
          <w:szCs w:val="24"/>
          <w:highlight w:val="none"/>
        </w:rPr>
        <w:t>合同适用</w:t>
      </w:r>
      <w:r>
        <w:rPr>
          <w:bCs/>
          <w:kern w:val="0"/>
          <w:sz w:val="24"/>
          <w:szCs w:val="24"/>
          <w:highlight w:val="none"/>
        </w:rPr>
        <w:t>中华人民共和国法律。</w:t>
      </w:r>
    </w:p>
    <w:p w14:paraId="095FB6CA">
      <w:pPr>
        <w:shd w:val="clear"/>
        <w:spacing w:line="440" w:lineRule="exact"/>
        <w:rPr>
          <w:rFonts w:hint="default"/>
          <w:bCs/>
          <w:kern w:val="0"/>
          <w:sz w:val="24"/>
          <w:szCs w:val="24"/>
          <w:highlight w:val="none"/>
          <w:lang w:val="en-US" w:eastAsia="zh-CN"/>
        </w:rPr>
      </w:pPr>
      <w:bookmarkStart w:id="270" w:name="_Toc27127"/>
      <w:bookmarkStart w:id="271" w:name="_Toc1492"/>
      <w:bookmarkStart w:id="272" w:name="_Toc279701264"/>
      <w:bookmarkStart w:id="273" w:name="_Toc30096"/>
      <w:bookmarkStart w:id="274" w:name="_Toc27403"/>
      <w:bookmarkStart w:id="275" w:name="_Toc22266"/>
      <w:bookmarkStart w:id="276" w:name="_Toc259093693"/>
      <w:bookmarkStart w:id="277" w:name="_Toc487900374"/>
      <w:r>
        <w:rPr>
          <w:rFonts w:hint="eastAsia"/>
          <w:b/>
          <w:bCs/>
          <w:kern w:val="0"/>
          <w:sz w:val="24"/>
          <w:szCs w:val="24"/>
          <w:highlight w:val="none"/>
        </w:rPr>
        <w:t>2</w:t>
      </w:r>
      <w:r>
        <w:rPr>
          <w:b/>
          <w:bCs/>
          <w:kern w:val="0"/>
          <w:sz w:val="24"/>
          <w:szCs w:val="24"/>
          <w:highlight w:val="none"/>
        </w:rPr>
        <w:t>.16</w:t>
      </w:r>
      <w:r>
        <w:rPr>
          <w:rFonts w:hint="eastAsia"/>
          <w:b/>
          <w:bCs/>
          <w:kern w:val="0"/>
          <w:sz w:val="24"/>
          <w:szCs w:val="24"/>
          <w:highlight w:val="none"/>
        </w:rPr>
        <w:t xml:space="preserve"> </w:t>
      </w:r>
      <w:r>
        <w:rPr>
          <w:b/>
          <w:bCs/>
          <w:kern w:val="0"/>
          <w:sz w:val="24"/>
          <w:szCs w:val="24"/>
          <w:highlight w:val="none"/>
        </w:rPr>
        <w:t>履约保证金</w:t>
      </w:r>
      <w:bookmarkEnd w:id="270"/>
      <w:bookmarkEnd w:id="271"/>
      <w:bookmarkEnd w:id="272"/>
      <w:bookmarkEnd w:id="273"/>
      <w:bookmarkEnd w:id="274"/>
      <w:bookmarkEnd w:id="275"/>
      <w:bookmarkEnd w:id="276"/>
      <w:bookmarkEnd w:id="277"/>
      <w:bookmarkStart w:id="278" w:name="_Toc331685784"/>
    </w:p>
    <w:p w14:paraId="25F39549">
      <w:pPr>
        <w:spacing w:line="440" w:lineRule="exact"/>
        <w:ind w:firstLine="480" w:firstLineChars="200"/>
        <w:rPr>
          <w:rFonts w:hint="eastAsia" w:eastAsia="宋体"/>
          <w:bCs/>
          <w:kern w:val="0"/>
          <w:sz w:val="24"/>
          <w:szCs w:val="24"/>
          <w:highlight w:val="none"/>
          <w:lang w:val="en-US" w:eastAsia="zh-CN"/>
        </w:rPr>
      </w:pPr>
      <w:r>
        <w:rPr>
          <w:rFonts w:hint="eastAsia"/>
          <w:bCs/>
          <w:kern w:val="0"/>
          <w:sz w:val="24"/>
          <w:szCs w:val="24"/>
          <w:highlight w:val="none"/>
        </w:rPr>
        <w:t>2.1</w:t>
      </w:r>
      <w:r>
        <w:rPr>
          <w:rFonts w:hint="eastAsia"/>
          <w:bCs/>
          <w:kern w:val="0"/>
          <w:sz w:val="24"/>
          <w:szCs w:val="24"/>
          <w:highlight w:val="none"/>
          <w:lang w:val="en-US" w:eastAsia="zh-CN"/>
        </w:rPr>
        <w:t>6</w:t>
      </w:r>
      <w:r>
        <w:rPr>
          <w:rFonts w:hint="eastAsia"/>
          <w:bCs/>
          <w:kern w:val="0"/>
          <w:sz w:val="24"/>
          <w:szCs w:val="24"/>
          <w:highlight w:val="none"/>
        </w:rPr>
        <w:t>.1</w:t>
      </w:r>
      <w:r>
        <w:rPr>
          <w:rFonts w:hint="eastAsia"/>
          <w:bCs/>
          <w:kern w:val="0"/>
          <w:sz w:val="24"/>
          <w:szCs w:val="24"/>
          <w:highlight w:val="none"/>
          <w:lang w:val="en-US" w:eastAsia="zh-CN"/>
        </w:rPr>
        <w:t>无</w:t>
      </w:r>
    </w:p>
    <w:p w14:paraId="7585483A">
      <w:pPr>
        <w:shd w:val="clear"/>
        <w:spacing w:line="440" w:lineRule="exact"/>
        <w:jc w:val="center"/>
        <w:rPr>
          <w:rFonts w:hint="eastAsia"/>
          <w:b/>
          <w:kern w:val="0"/>
          <w:sz w:val="28"/>
          <w:szCs w:val="28"/>
          <w:highlight w:val="none"/>
        </w:rPr>
      </w:pPr>
    </w:p>
    <w:p w14:paraId="0C8FEBB0">
      <w:pPr>
        <w:shd w:val="clear"/>
        <w:spacing w:line="440" w:lineRule="exact"/>
        <w:jc w:val="center"/>
        <w:rPr>
          <w:b/>
          <w:kern w:val="0"/>
          <w:sz w:val="28"/>
          <w:szCs w:val="28"/>
          <w:highlight w:val="none"/>
        </w:rPr>
      </w:pPr>
      <w:r>
        <w:rPr>
          <w:rFonts w:hint="eastAsia"/>
          <w:b/>
          <w:kern w:val="0"/>
          <w:sz w:val="28"/>
          <w:szCs w:val="28"/>
          <w:highlight w:val="none"/>
        </w:rPr>
        <w:t>第三部分  合同专用条款</w:t>
      </w:r>
      <w:bookmarkEnd w:id="278"/>
    </w:p>
    <w:p w14:paraId="34824623">
      <w:pPr>
        <w:widowControl/>
        <w:shd w:val="clear"/>
        <w:spacing w:line="440" w:lineRule="exact"/>
        <w:ind w:firstLine="480" w:firstLineChars="200"/>
        <w:rPr>
          <w:bCs/>
          <w:kern w:val="0"/>
          <w:sz w:val="24"/>
          <w:szCs w:val="24"/>
          <w:highlight w:val="none"/>
        </w:rPr>
      </w:pPr>
      <w:r>
        <w:rPr>
          <w:rFonts w:hint="eastAsia"/>
          <w:bCs/>
          <w:kern w:val="0"/>
          <w:sz w:val="24"/>
          <w:szCs w:val="24"/>
          <w:highlight w:val="none"/>
        </w:rPr>
        <w:t>本部分</w:t>
      </w:r>
      <w:r>
        <w:rPr>
          <w:bCs/>
          <w:kern w:val="0"/>
          <w:sz w:val="24"/>
          <w:szCs w:val="24"/>
          <w:highlight w:val="none"/>
        </w:rPr>
        <w:t>是对</w:t>
      </w:r>
      <w:r>
        <w:rPr>
          <w:rFonts w:hint="eastAsia"/>
          <w:bCs/>
          <w:kern w:val="0"/>
          <w:sz w:val="24"/>
          <w:szCs w:val="24"/>
          <w:highlight w:val="none"/>
        </w:rPr>
        <w:t>前两</w:t>
      </w:r>
      <w:r>
        <w:rPr>
          <w:bCs/>
          <w:kern w:val="0"/>
          <w:sz w:val="24"/>
          <w:szCs w:val="24"/>
          <w:highlight w:val="none"/>
        </w:rPr>
        <w:t>部分的补充和修改</w:t>
      </w:r>
      <w:r>
        <w:rPr>
          <w:rFonts w:hint="eastAsia"/>
          <w:bCs/>
          <w:kern w:val="0"/>
          <w:sz w:val="24"/>
          <w:szCs w:val="24"/>
          <w:highlight w:val="none"/>
        </w:rPr>
        <w:t>，</w:t>
      </w:r>
      <w:r>
        <w:rPr>
          <w:bCs/>
          <w:kern w:val="0"/>
          <w:sz w:val="24"/>
          <w:szCs w:val="24"/>
          <w:highlight w:val="none"/>
        </w:rPr>
        <w:t>如果</w:t>
      </w:r>
      <w:r>
        <w:rPr>
          <w:rFonts w:hint="eastAsia"/>
          <w:bCs/>
          <w:kern w:val="0"/>
          <w:sz w:val="24"/>
          <w:szCs w:val="24"/>
          <w:highlight w:val="none"/>
        </w:rPr>
        <w:t>前两</w:t>
      </w:r>
      <w:r>
        <w:rPr>
          <w:bCs/>
          <w:kern w:val="0"/>
          <w:sz w:val="24"/>
          <w:szCs w:val="24"/>
          <w:highlight w:val="none"/>
        </w:rPr>
        <w:t>部分和本部分的约定不一致</w:t>
      </w:r>
      <w:r>
        <w:rPr>
          <w:rFonts w:hint="eastAsia"/>
          <w:bCs/>
          <w:kern w:val="0"/>
          <w:sz w:val="24"/>
          <w:szCs w:val="24"/>
          <w:highlight w:val="none"/>
        </w:rPr>
        <w:t>，</w:t>
      </w:r>
      <w:r>
        <w:rPr>
          <w:bCs/>
          <w:kern w:val="0"/>
          <w:sz w:val="24"/>
          <w:szCs w:val="24"/>
          <w:highlight w:val="none"/>
        </w:rPr>
        <w:t>应以本部分的约定为准</w:t>
      </w:r>
      <w:r>
        <w:rPr>
          <w:rFonts w:hint="eastAsia"/>
          <w:bCs/>
          <w:kern w:val="0"/>
          <w:sz w:val="24"/>
          <w:szCs w:val="24"/>
          <w:highlight w:val="none"/>
        </w:rPr>
        <w:t>。</w:t>
      </w:r>
      <w:r>
        <w:rPr>
          <w:bCs/>
          <w:kern w:val="0"/>
          <w:sz w:val="24"/>
          <w:szCs w:val="24"/>
          <w:highlight w:val="none"/>
        </w:rPr>
        <w:t>本部分的条款号应与</w:t>
      </w:r>
      <w:r>
        <w:rPr>
          <w:rFonts w:hint="eastAsia"/>
          <w:bCs/>
          <w:kern w:val="0"/>
          <w:sz w:val="24"/>
          <w:szCs w:val="24"/>
          <w:highlight w:val="none"/>
        </w:rPr>
        <w:t>前两部分</w:t>
      </w:r>
      <w:r>
        <w:rPr>
          <w:bCs/>
          <w:kern w:val="0"/>
          <w:sz w:val="24"/>
          <w:szCs w:val="24"/>
          <w:highlight w:val="none"/>
        </w:rPr>
        <w:t>的条款号保持对应</w:t>
      </w:r>
      <w:r>
        <w:rPr>
          <w:rFonts w:hint="eastAsia"/>
          <w:bCs/>
          <w:kern w:val="0"/>
          <w:sz w:val="24"/>
          <w:szCs w:val="24"/>
          <w:highlight w:val="none"/>
        </w:rPr>
        <w:t>；与前两部分</w:t>
      </w:r>
      <w:r>
        <w:rPr>
          <w:bCs/>
          <w:kern w:val="0"/>
          <w:sz w:val="24"/>
          <w:szCs w:val="24"/>
          <w:highlight w:val="none"/>
        </w:rPr>
        <w:t>无对应关系的内容可另行编制条款号</w:t>
      </w:r>
      <w:r>
        <w:rPr>
          <w:rFonts w:hint="eastAsia"/>
          <w:bCs/>
          <w:kern w:val="0"/>
          <w:sz w:val="24"/>
          <w:szCs w:val="24"/>
          <w:highlight w:val="none"/>
        </w:rPr>
        <w:t>。</w:t>
      </w:r>
    </w:p>
    <w:tbl>
      <w:tblPr>
        <w:tblStyle w:val="54"/>
        <w:tblW w:w="966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162"/>
        <w:gridCol w:w="8505"/>
      </w:tblGrid>
      <w:tr w14:paraId="7EC54B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162" w:type="dxa"/>
            <w:tcBorders>
              <w:left w:val="single" w:color="auto" w:sz="4" w:space="0"/>
            </w:tcBorders>
            <w:vAlign w:val="center"/>
          </w:tcPr>
          <w:p w14:paraId="36BDD78D">
            <w:pPr>
              <w:widowControl/>
              <w:shd w:val="clear"/>
              <w:spacing w:line="480" w:lineRule="exact"/>
              <w:jc w:val="center"/>
              <w:rPr>
                <w:b/>
                <w:bCs/>
                <w:kern w:val="0"/>
                <w:sz w:val="24"/>
                <w:szCs w:val="24"/>
                <w:highlight w:val="none"/>
              </w:rPr>
            </w:pPr>
            <w:r>
              <w:rPr>
                <w:b/>
                <w:bCs/>
                <w:kern w:val="0"/>
                <w:sz w:val="24"/>
                <w:szCs w:val="24"/>
                <w:highlight w:val="none"/>
              </w:rPr>
              <w:t>条款</w:t>
            </w:r>
            <w:r>
              <w:rPr>
                <w:rFonts w:hint="eastAsia"/>
                <w:b/>
                <w:bCs/>
                <w:kern w:val="0"/>
                <w:sz w:val="24"/>
                <w:szCs w:val="24"/>
                <w:highlight w:val="none"/>
              </w:rPr>
              <w:t>号</w:t>
            </w:r>
          </w:p>
        </w:tc>
        <w:tc>
          <w:tcPr>
            <w:tcW w:w="8505" w:type="dxa"/>
            <w:vAlign w:val="center"/>
          </w:tcPr>
          <w:p w14:paraId="76A64AF9">
            <w:pPr>
              <w:widowControl/>
              <w:shd w:val="clear"/>
              <w:spacing w:line="480" w:lineRule="exact"/>
              <w:jc w:val="center"/>
              <w:rPr>
                <w:b/>
                <w:bCs/>
                <w:kern w:val="0"/>
                <w:sz w:val="24"/>
                <w:szCs w:val="24"/>
                <w:highlight w:val="none"/>
              </w:rPr>
            </w:pPr>
            <w:r>
              <w:rPr>
                <w:b/>
                <w:bCs/>
                <w:kern w:val="0"/>
                <w:sz w:val="24"/>
                <w:szCs w:val="24"/>
                <w:highlight w:val="none"/>
              </w:rPr>
              <w:t>约定内容</w:t>
            </w:r>
          </w:p>
        </w:tc>
      </w:tr>
      <w:tr w14:paraId="781D9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1EFF4081">
            <w:pPr>
              <w:widowControl/>
              <w:shd w:val="clear"/>
              <w:spacing w:line="480" w:lineRule="exact"/>
              <w:jc w:val="center"/>
              <w:rPr>
                <w:bCs/>
                <w:kern w:val="0"/>
                <w:sz w:val="24"/>
                <w:szCs w:val="24"/>
                <w:highlight w:val="none"/>
              </w:rPr>
            </w:pPr>
          </w:p>
        </w:tc>
        <w:tc>
          <w:tcPr>
            <w:tcW w:w="8505" w:type="dxa"/>
            <w:vAlign w:val="center"/>
          </w:tcPr>
          <w:p w14:paraId="4A819953">
            <w:pPr>
              <w:widowControl/>
              <w:shd w:val="clear"/>
              <w:rPr>
                <w:sz w:val="24"/>
                <w:szCs w:val="24"/>
                <w:highlight w:val="none"/>
              </w:rPr>
            </w:pPr>
          </w:p>
        </w:tc>
      </w:tr>
      <w:tr w14:paraId="2957C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1162" w:type="dxa"/>
            <w:tcBorders>
              <w:left w:val="single" w:color="auto" w:sz="4" w:space="0"/>
            </w:tcBorders>
            <w:vAlign w:val="center"/>
          </w:tcPr>
          <w:p w14:paraId="38CB79D2">
            <w:pPr>
              <w:widowControl/>
              <w:shd w:val="clear"/>
              <w:spacing w:line="480" w:lineRule="exact"/>
              <w:jc w:val="center"/>
              <w:rPr>
                <w:bCs/>
                <w:kern w:val="0"/>
                <w:sz w:val="24"/>
                <w:szCs w:val="24"/>
                <w:highlight w:val="none"/>
              </w:rPr>
            </w:pPr>
          </w:p>
        </w:tc>
        <w:tc>
          <w:tcPr>
            <w:tcW w:w="8505" w:type="dxa"/>
            <w:vAlign w:val="center"/>
          </w:tcPr>
          <w:p w14:paraId="4DC97D11">
            <w:pPr>
              <w:widowControl/>
              <w:shd w:val="clear"/>
              <w:spacing w:line="420" w:lineRule="exact"/>
              <w:rPr>
                <w:sz w:val="24"/>
                <w:szCs w:val="24"/>
                <w:highlight w:val="none"/>
              </w:rPr>
            </w:pPr>
          </w:p>
        </w:tc>
      </w:tr>
    </w:tbl>
    <w:p w14:paraId="78D513DF">
      <w:pPr>
        <w:widowControl/>
        <w:shd w:val="clear"/>
        <w:autoSpaceDE w:val="0"/>
        <w:autoSpaceDN w:val="0"/>
        <w:adjustRightInd w:val="0"/>
        <w:spacing w:line="440" w:lineRule="exact"/>
        <w:rPr>
          <w:bCs/>
          <w:kern w:val="0"/>
          <w:sz w:val="24"/>
          <w:szCs w:val="24"/>
          <w:highlight w:val="none"/>
        </w:rPr>
      </w:pPr>
    </w:p>
    <w:p w14:paraId="126FA0D4">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甲方（盖章）：                         乙方（盖章）：</w:t>
      </w:r>
    </w:p>
    <w:p w14:paraId="738E2CF8">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法定代表人（签名）：                   法定代表人（签名）：</w:t>
      </w:r>
    </w:p>
    <w:p w14:paraId="6E240111">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或委托代理人（签名）：                 或委托代理人（签名）：</w:t>
      </w:r>
    </w:p>
    <w:p w14:paraId="52E4C210">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 xml:space="preserve">联系人：                             </w:t>
      </w:r>
      <w:r>
        <w:rPr>
          <w:rFonts w:hint="eastAsia"/>
          <w:bCs/>
          <w:kern w:val="0"/>
          <w:sz w:val="24"/>
          <w:szCs w:val="24"/>
          <w:highlight w:val="none"/>
        </w:rPr>
        <w:t xml:space="preserve"> </w:t>
      </w:r>
      <w:r>
        <w:rPr>
          <w:rFonts w:hint="eastAsia"/>
          <w:bCs/>
          <w:kern w:val="0"/>
          <w:sz w:val="24"/>
          <w:szCs w:val="24"/>
          <w:highlight w:val="none"/>
          <w:lang w:val="zh-CN"/>
        </w:rPr>
        <w:t xml:space="preserve"> 联系人：</w:t>
      </w:r>
    </w:p>
    <w:p w14:paraId="6D199935">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 xml:space="preserve">地址：                                </w:t>
      </w:r>
      <w:r>
        <w:rPr>
          <w:rFonts w:hint="eastAsia"/>
          <w:bCs/>
          <w:kern w:val="0"/>
          <w:sz w:val="24"/>
          <w:szCs w:val="24"/>
          <w:highlight w:val="none"/>
        </w:rPr>
        <w:t xml:space="preserve"> </w:t>
      </w:r>
      <w:r>
        <w:rPr>
          <w:rFonts w:hint="eastAsia"/>
          <w:bCs/>
          <w:kern w:val="0"/>
          <w:sz w:val="24"/>
          <w:szCs w:val="24"/>
          <w:highlight w:val="none"/>
          <w:lang w:val="zh-CN"/>
        </w:rPr>
        <w:t>地址：</w:t>
      </w:r>
    </w:p>
    <w:p w14:paraId="64EA3B51">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 xml:space="preserve">电话：                                </w:t>
      </w:r>
      <w:r>
        <w:rPr>
          <w:rFonts w:hint="eastAsia"/>
          <w:bCs/>
          <w:kern w:val="0"/>
          <w:sz w:val="24"/>
          <w:szCs w:val="24"/>
          <w:highlight w:val="none"/>
        </w:rPr>
        <w:t xml:space="preserve"> </w:t>
      </w:r>
      <w:r>
        <w:rPr>
          <w:rFonts w:hint="eastAsia"/>
          <w:bCs/>
          <w:kern w:val="0"/>
          <w:sz w:val="24"/>
          <w:szCs w:val="24"/>
          <w:highlight w:val="none"/>
          <w:lang w:val="zh-CN"/>
        </w:rPr>
        <w:t>电话：</w:t>
      </w:r>
    </w:p>
    <w:p w14:paraId="794242B0">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 xml:space="preserve">传真：                                </w:t>
      </w:r>
      <w:r>
        <w:rPr>
          <w:rFonts w:hint="eastAsia"/>
          <w:bCs/>
          <w:kern w:val="0"/>
          <w:sz w:val="24"/>
          <w:szCs w:val="24"/>
          <w:highlight w:val="none"/>
        </w:rPr>
        <w:t xml:space="preserve"> </w:t>
      </w:r>
      <w:r>
        <w:rPr>
          <w:rFonts w:hint="eastAsia"/>
          <w:bCs/>
          <w:kern w:val="0"/>
          <w:sz w:val="24"/>
          <w:szCs w:val="24"/>
          <w:highlight w:val="none"/>
          <w:lang w:val="zh-CN"/>
        </w:rPr>
        <w:t>传真：</w:t>
      </w:r>
    </w:p>
    <w:p w14:paraId="67160B50">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 xml:space="preserve">开户银行：                            </w:t>
      </w:r>
      <w:r>
        <w:rPr>
          <w:rFonts w:hint="eastAsia"/>
          <w:bCs/>
          <w:kern w:val="0"/>
          <w:sz w:val="24"/>
          <w:szCs w:val="24"/>
          <w:highlight w:val="none"/>
        </w:rPr>
        <w:t xml:space="preserve"> </w:t>
      </w:r>
      <w:r>
        <w:rPr>
          <w:rFonts w:hint="eastAsia"/>
          <w:bCs/>
          <w:kern w:val="0"/>
          <w:sz w:val="24"/>
          <w:szCs w:val="24"/>
          <w:highlight w:val="none"/>
          <w:lang w:val="zh-CN"/>
        </w:rPr>
        <w:t>开户银行：</w:t>
      </w:r>
    </w:p>
    <w:p w14:paraId="585453A7">
      <w:pPr>
        <w:widowControl/>
        <w:shd w:val="clear"/>
        <w:autoSpaceDE w:val="0"/>
        <w:autoSpaceDN w:val="0"/>
        <w:adjustRightInd w:val="0"/>
        <w:spacing w:line="440" w:lineRule="exact"/>
        <w:rPr>
          <w:bCs/>
          <w:kern w:val="0"/>
          <w:sz w:val="24"/>
          <w:szCs w:val="24"/>
          <w:highlight w:val="none"/>
          <w:lang w:val="zh-CN"/>
        </w:rPr>
      </w:pPr>
      <w:r>
        <w:rPr>
          <w:rFonts w:hint="eastAsia"/>
          <w:bCs/>
          <w:kern w:val="0"/>
          <w:sz w:val="24"/>
          <w:szCs w:val="24"/>
          <w:highlight w:val="none"/>
          <w:lang w:val="zh-CN"/>
        </w:rPr>
        <w:t xml:space="preserve">银行账号：                            </w:t>
      </w:r>
      <w:r>
        <w:rPr>
          <w:rFonts w:hint="eastAsia"/>
          <w:bCs/>
          <w:kern w:val="0"/>
          <w:sz w:val="24"/>
          <w:szCs w:val="24"/>
          <w:highlight w:val="none"/>
        </w:rPr>
        <w:t xml:space="preserve"> </w:t>
      </w:r>
      <w:r>
        <w:rPr>
          <w:rFonts w:hint="eastAsia"/>
          <w:bCs/>
          <w:kern w:val="0"/>
          <w:sz w:val="24"/>
          <w:szCs w:val="24"/>
          <w:highlight w:val="none"/>
          <w:lang w:val="zh-CN"/>
        </w:rPr>
        <w:t>银行账号：</w:t>
      </w:r>
    </w:p>
    <w:p w14:paraId="6E3F08DE">
      <w:pPr>
        <w:shd w:val="clear"/>
        <w:rPr>
          <w:rFonts w:ascii="Times New Roman"/>
          <w:color w:val="000000" w:themeColor="text1"/>
          <w:highlight w:val="none"/>
          <w14:textFill>
            <w14:solidFill>
              <w14:schemeClr w14:val="tx1"/>
            </w14:solidFill>
          </w14:textFill>
        </w:rPr>
      </w:pPr>
      <w:r>
        <w:rPr>
          <w:rFonts w:hint="eastAsia"/>
          <w:bCs/>
          <w:kern w:val="0"/>
          <w:sz w:val="24"/>
          <w:szCs w:val="24"/>
          <w:highlight w:val="none"/>
          <w:lang w:val="zh-CN"/>
        </w:rPr>
        <w:t xml:space="preserve">社会统一信用代码:                      </w:t>
      </w:r>
      <w:r>
        <w:rPr>
          <w:rFonts w:hint="eastAsia"/>
          <w:bCs/>
          <w:kern w:val="0"/>
          <w:sz w:val="24"/>
          <w:szCs w:val="24"/>
          <w:highlight w:val="none"/>
        </w:rPr>
        <w:t xml:space="preserve"> </w:t>
      </w:r>
      <w:r>
        <w:rPr>
          <w:rFonts w:hint="eastAsia"/>
          <w:bCs/>
          <w:kern w:val="0"/>
          <w:sz w:val="24"/>
          <w:szCs w:val="24"/>
          <w:highlight w:val="none"/>
          <w:lang w:val="zh-CN"/>
        </w:rPr>
        <w:t>社会统一信用代码：</w:t>
      </w:r>
    </w:p>
    <w:p w14:paraId="35711201">
      <w:pPr>
        <w:shd w:val="clear"/>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br w:type="page"/>
      </w:r>
    </w:p>
    <w:p w14:paraId="6D725FDF">
      <w:pPr>
        <w:pStyle w:val="7"/>
        <w:shd w:val="clear"/>
        <w:rPr>
          <w:rFonts w:ascii="Times New Roman" w:hAnsi="Times New Roman"/>
          <w:color w:val="auto"/>
          <w:highlight w:val="none"/>
        </w:rPr>
      </w:pPr>
      <w:bookmarkStart w:id="279" w:name="_Toc8223"/>
      <w:r>
        <w:rPr>
          <w:rFonts w:ascii="Times New Roman"/>
          <w:color w:val="auto"/>
          <w:highlight w:val="none"/>
        </w:rPr>
        <w:t xml:space="preserve">第四章 </w:t>
      </w:r>
      <w:r>
        <w:rPr>
          <w:rFonts w:hint="eastAsia" w:ascii="Times New Roman"/>
          <w:color w:val="auto"/>
          <w:highlight w:val="none"/>
        </w:rPr>
        <w:t>采购</w:t>
      </w:r>
      <w:r>
        <w:rPr>
          <w:rFonts w:ascii="Times New Roman"/>
          <w:color w:val="auto"/>
          <w:highlight w:val="none"/>
        </w:rPr>
        <w:t>需求</w:t>
      </w:r>
      <w:bookmarkEnd w:id="109"/>
      <w:bookmarkEnd w:id="110"/>
      <w:bookmarkEnd w:id="111"/>
      <w:bookmarkEnd w:id="279"/>
    </w:p>
    <w:p w14:paraId="34B80850">
      <w:pPr>
        <w:shd w:val="clear"/>
        <w:spacing w:line="440" w:lineRule="exact"/>
        <w:rPr>
          <w:rFonts w:hint="eastAsia" w:eastAsia="宋体"/>
          <w:b/>
          <w:bCs/>
          <w:color w:val="auto"/>
          <w:sz w:val="28"/>
          <w:highlight w:val="none"/>
          <w:lang w:eastAsia="zh-CN"/>
        </w:rPr>
      </w:pPr>
      <w:bookmarkStart w:id="280" w:name="_Toc315875323"/>
      <w:bookmarkStart w:id="281" w:name="_Toc158691776"/>
      <w:bookmarkStart w:id="282" w:name="_Toc315868060"/>
      <w:r>
        <w:rPr>
          <w:rFonts w:hint="eastAsia"/>
          <w:b/>
          <w:bCs/>
          <w:color w:val="auto"/>
          <w:sz w:val="28"/>
          <w:highlight w:val="none"/>
        </w:rPr>
        <w:t>项目名称：</w:t>
      </w:r>
      <w:r>
        <w:rPr>
          <w:rFonts w:hint="eastAsia" w:hAnsi="宋体"/>
          <w:b/>
          <w:color w:val="auto"/>
          <w:sz w:val="28"/>
          <w:szCs w:val="28"/>
          <w:highlight w:val="none"/>
          <w:lang w:eastAsia="zh-CN"/>
        </w:rPr>
        <w:t>2025年度常熟市市级河道保洁服务</w:t>
      </w:r>
    </w:p>
    <w:p w14:paraId="66A02864">
      <w:pPr>
        <w:shd w:val="clear"/>
        <w:spacing w:line="440" w:lineRule="exact"/>
        <w:rPr>
          <w:rFonts w:hint="eastAsia" w:ascii="宋体" w:hAnsi="宋体" w:eastAsia="宋体" w:cs="宋体"/>
          <w:b/>
          <w:bCs/>
          <w:color w:val="auto"/>
          <w:sz w:val="28"/>
          <w:highlight w:val="none"/>
          <w:lang w:eastAsia="zh-CN"/>
        </w:rPr>
      </w:pPr>
      <w:r>
        <w:rPr>
          <w:rFonts w:hint="eastAsia" w:ascii="宋体" w:hAnsi="宋体" w:cs="宋体"/>
          <w:b/>
          <w:bCs/>
          <w:color w:val="auto"/>
          <w:sz w:val="28"/>
          <w:highlight w:val="none"/>
        </w:rPr>
        <w:t>项目编号：</w:t>
      </w:r>
      <w:r>
        <w:rPr>
          <w:rFonts w:hint="eastAsia" w:ascii="宋体" w:hAnsi="宋体" w:cs="宋体"/>
          <w:b/>
          <w:bCs/>
          <w:color w:val="auto"/>
          <w:sz w:val="28"/>
          <w:highlight w:val="none"/>
          <w:lang w:eastAsia="zh-CN"/>
        </w:rPr>
        <w:t>JSZC-320581-HXGW-G2024-0101</w:t>
      </w:r>
    </w:p>
    <w:p w14:paraId="0920D73B">
      <w:pPr>
        <w:shd w:val="clear"/>
        <w:spacing w:line="440" w:lineRule="exact"/>
        <w:rPr>
          <w:rFonts w:hint="eastAsia" w:ascii="宋体" w:hAnsi="宋体" w:eastAsia="宋体" w:cs="宋体"/>
          <w:b/>
          <w:bCs/>
          <w:color w:val="auto"/>
          <w:sz w:val="28"/>
          <w:highlight w:val="none"/>
          <w:lang w:eastAsia="zh-CN"/>
        </w:rPr>
      </w:pPr>
      <w:r>
        <w:rPr>
          <w:rFonts w:hint="eastAsia" w:ascii="宋体" w:hAnsi="宋体" w:cs="宋体"/>
          <w:b/>
          <w:bCs/>
          <w:color w:val="auto"/>
          <w:sz w:val="28"/>
          <w:highlight w:val="none"/>
        </w:rPr>
        <w:t>采购人：</w:t>
      </w:r>
      <w:r>
        <w:rPr>
          <w:rFonts w:hint="eastAsia" w:ascii="宋体" w:hAnsi="宋体" w:cs="宋体"/>
          <w:b/>
          <w:bCs/>
          <w:color w:val="auto"/>
          <w:sz w:val="28"/>
          <w:highlight w:val="none"/>
          <w:lang w:eastAsia="zh-CN"/>
        </w:rPr>
        <w:t>常熟市水务局</w:t>
      </w:r>
    </w:p>
    <w:p w14:paraId="24916D47">
      <w:pPr>
        <w:spacing w:after="0" w:line="440" w:lineRule="exact"/>
        <w:jc w:val="left"/>
        <w:rPr>
          <w:rFonts w:cs="宋体"/>
          <w:b/>
          <w:color w:val="auto"/>
          <w:kern w:val="2"/>
          <w:sz w:val="28"/>
          <w:szCs w:val="28"/>
        </w:rPr>
      </w:pPr>
      <w:bookmarkStart w:id="283" w:name="_Toc89524316"/>
      <w:r>
        <w:rPr>
          <w:rFonts w:hint="eastAsia" w:cs="宋体"/>
          <w:b/>
          <w:color w:val="auto"/>
          <w:kern w:val="2"/>
          <w:sz w:val="28"/>
          <w:szCs w:val="28"/>
        </w:rPr>
        <w:t>分 包 号：适用于第一包～第四包</w:t>
      </w:r>
      <w:bookmarkStart w:id="284" w:name="_Toc23714764"/>
    </w:p>
    <w:p w14:paraId="10CED998">
      <w:pPr>
        <w:widowControl w:val="0"/>
        <w:autoSpaceDE w:val="0"/>
        <w:autoSpaceDN w:val="0"/>
        <w:adjustRightInd w:val="0"/>
        <w:spacing w:after="0" w:line="440" w:lineRule="exact"/>
        <w:rPr>
          <w:rFonts w:hint="eastAsia" w:ascii="宋体" w:hAnsi="宋体" w:eastAsia="宋体" w:cs="宋体"/>
          <w:b/>
          <w:bCs w:val="0"/>
          <w:color w:val="auto"/>
          <w:sz w:val="28"/>
          <w:szCs w:val="28"/>
          <w:lang w:val="zh-CN"/>
        </w:rPr>
      </w:pPr>
      <w:r>
        <w:rPr>
          <w:rFonts w:hint="eastAsia" w:ascii="宋体" w:hAnsi="宋体" w:eastAsia="宋体" w:cs="宋体"/>
          <w:b/>
          <w:bCs w:val="0"/>
          <w:color w:val="auto"/>
          <w:sz w:val="28"/>
          <w:szCs w:val="28"/>
          <w:lang w:val="zh-CN"/>
        </w:rPr>
        <w:t>一、项目说明</w:t>
      </w:r>
      <w:bookmarkEnd w:id="284"/>
    </w:p>
    <w:p w14:paraId="1FBEC784">
      <w:pPr>
        <w:widowControl w:val="0"/>
        <w:spacing w:after="0" w:line="44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1、本项目采购内容为</w:t>
      </w:r>
      <w:r>
        <w:rPr>
          <w:rFonts w:hint="eastAsia" w:ascii="宋体" w:hAnsi="宋体" w:cs="宋体"/>
          <w:color w:val="auto"/>
          <w:sz w:val="24"/>
          <w:szCs w:val="24"/>
          <w:lang w:eastAsia="zh-CN"/>
        </w:rPr>
        <w:t>常熟市水务局</w:t>
      </w:r>
      <w:r>
        <w:rPr>
          <w:rFonts w:hint="eastAsia" w:ascii="宋体" w:hAnsi="宋体" w:eastAsia="宋体" w:cs="宋体"/>
          <w:color w:val="auto"/>
          <w:sz w:val="24"/>
          <w:szCs w:val="24"/>
        </w:rPr>
        <w:t>所需的</w:t>
      </w:r>
      <w:r>
        <w:rPr>
          <w:rFonts w:hint="eastAsia" w:ascii="宋体" w:hAnsi="宋体" w:eastAsia="宋体" w:cs="宋体"/>
          <w:color w:val="auto"/>
          <w:sz w:val="24"/>
          <w:szCs w:val="24"/>
          <w:lang w:eastAsia="zh-CN"/>
        </w:rPr>
        <w:t>2025年度常熟市市级河道保洁服务</w:t>
      </w:r>
      <w:r>
        <w:rPr>
          <w:rFonts w:hint="eastAsia" w:ascii="宋体" w:hAnsi="宋体" w:eastAsia="宋体" w:cs="宋体"/>
          <w:color w:val="auto"/>
          <w:sz w:val="24"/>
          <w:szCs w:val="24"/>
        </w:rPr>
        <w:t>项目。</w:t>
      </w:r>
    </w:p>
    <w:p w14:paraId="2B79142E">
      <w:pPr>
        <w:widowControl w:val="0"/>
        <w:spacing w:after="0" w:line="44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zh-CN"/>
        </w:rPr>
        <w:t>投标人</w:t>
      </w:r>
      <w:r>
        <w:rPr>
          <w:rFonts w:hint="eastAsia" w:ascii="宋体" w:hAnsi="宋体" w:eastAsia="宋体" w:cs="宋体"/>
          <w:color w:val="auto"/>
          <w:sz w:val="24"/>
          <w:szCs w:val="24"/>
        </w:rPr>
        <w:t>如需现场进行踏勘的，相关费用由</w:t>
      </w:r>
      <w:r>
        <w:rPr>
          <w:rFonts w:hint="eastAsia" w:ascii="宋体" w:hAnsi="宋体" w:eastAsia="宋体" w:cs="宋体"/>
          <w:color w:val="auto"/>
          <w:sz w:val="24"/>
          <w:szCs w:val="24"/>
          <w:lang w:val="zh-CN"/>
        </w:rPr>
        <w:t>投标人</w:t>
      </w:r>
      <w:r>
        <w:rPr>
          <w:rFonts w:hint="eastAsia" w:ascii="宋体" w:hAnsi="宋体" w:eastAsia="宋体" w:cs="宋体"/>
          <w:color w:val="auto"/>
          <w:sz w:val="24"/>
          <w:szCs w:val="24"/>
        </w:rPr>
        <w:t>自行承担。</w:t>
      </w:r>
      <w:r>
        <w:rPr>
          <w:rFonts w:hint="eastAsia" w:ascii="宋体" w:hAnsi="宋体" w:eastAsia="宋体" w:cs="宋体"/>
          <w:color w:val="auto"/>
          <w:sz w:val="24"/>
          <w:szCs w:val="24"/>
          <w:lang w:val="zh-CN"/>
        </w:rPr>
        <w:t>现场踏勘联系人：</w:t>
      </w:r>
      <w:r>
        <w:rPr>
          <w:rFonts w:hint="eastAsia" w:ascii="宋体" w:hAnsi="宋体" w:eastAsia="宋体" w:cs="宋体"/>
          <w:color w:val="auto"/>
          <w:sz w:val="24"/>
          <w:szCs w:val="24"/>
          <w:lang w:val="zh-CN" w:eastAsia="zh-CN"/>
        </w:rPr>
        <w:t>朱亚南</w:t>
      </w:r>
      <w:r>
        <w:rPr>
          <w:rFonts w:hint="eastAsia" w:ascii="宋体" w:hAnsi="宋体" w:eastAsia="宋体" w:cs="宋体"/>
          <w:color w:val="auto"/>
          <w:sz w:val="24"/>
          <w:szCs w:val="24"/>
          <w:lang w:val="zh-CN"/>
        </w:rPr>
        <w:t>；联系电话：0512-52</w:t>
      </w:r>
      <w:r>
        <w:rPr>
          <w:rFonts w:hint="eastAsia" w:ascii="宋体" w:hAnsi="宋体" w:eastAsia="宋体" w:cs="宋体"/>
          <w:color w:val="auto"/>
          <w:sz w:val="24"/>
          <w:szCs w:val="24"/>
          <w:lang w:val="zh-CN" w:eastAsia="zh-CN"/>
        </w:rPr>
        <w:t>340172</w:t>
      </w:r>
      <w:r>
        <w:rPr>
          <w:rFonts w:hint="eastAsia" w:ascii="宋体" w:hAnsi="宋体" w:eastAsia="宋体" w:cs="宋体"/>
          <w:color w:val="auto"/>
          <w:sz w:val="24"/>
          <w:szCs w:val="24"/>
        </w:rPr>
        <w:t>。</w:t>
      </w:r>
    </w:p>
    <w:p w14:paraId="09C303DD">
      <w:pPr>
        <w:widowControl w:val="0"/>
        <w:spacing w:after="0" w:line="44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3、服务地点：采购人指定的地点。</w:t>
      </w:r>
    </w:p>
    <w:p w14:paraId="095B28DA">
      <w:pPr>
        <w:widowControl w:val="0"/>
        <w:spacing w:after="0" w:line="44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4、服务期限：1年（自</w:t>
      </w:r>
      <w:r>
        <w:rPr>
          <w:rFonts w:hint="eastAsia" w:ascii="宋体" w:hAnsi="宋体" w:eastAsia="宋体" w:cs="宋体"/>
          <w:color w:val="auto"/>
          <w:sz w:val="24"/>
          <w:szCs w:val="24"/>
          <w:lang w:eastAsia="zh-CN"/>
        </w:rPr>
        <w:t>2025</w:t>
      </w:r>
      <w:r>
        <w:rPr>
          <w:rFonts w:hint="eastAsia" w:ascii="宋体" w:hAnsi="宋体" w:eastAsia="宋体" w:cs="宋体"/>
          <w:color w:val="auto"/>
          <w:sz w:val="24"/>
          <w:szCs w:val="24"/>
        </w:rPr>
        <w:t>年1月1日开始至</w:t>
      </w:r>
      <w:r>
        <w:rPr>
          <w:rFonts w:hint="eastAsia" w:ascii="宋体" w:hAnsi="宋体" w:eastAsia="宋体" w:cs="宋体"/>
          <w:color w:val="auto"/>
          <w:sz w:val="24"/>
          <w:szCs w:val="24"/>
          <w:lang w:eastAsia="zh-CN"/>
        </w:rPr>
        <w:t>2025</w:t>
      </w:r>
      <w:r>
        <w:rPr>
          <w:rFonts w:hint="eastAsia" w:ascii="宋体" w:hAnsi="宋体" w:eastAsia="宋体" w:cs="宋体"/>
          <w:color w:val="auto"/>
          <w:sz w:val="24"/>
          <w:szCs w:val="24"/>
        </w:rPr>
        <w:t>年12月31日止）。</w:t>
      </w:r>
    </w:p>
    <w:p w14:paraId="65B109AC">
      <w:pPr>
        <w:widowControl w:val="0"/>
        <w:spacing w:after="0" w:line="44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5、付款方式：</w:t>
      </w:r>
    </w:p>
    <w:p w14:paraId="620F08A6">
      <w:pPr>
        <w:widowControl w:val="0"/>
        <w:spacing w:after="0"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①自合同签订后</w:t>
      </w:r>
      <w:r>
        <w:rPr>
          <w:rFonts w:hint="eastAsia" w:ascii="宋体" w:hAnsi="宋体" w:cs="宋体"/>
          <w:color w:val="auto"/>
          <w:sz w:val="24"/>
          <w:szCs w:val="24"/>
          <w:highlight w:val="none"/>
          <w:lang w:val="en-US" w:eastAsia="zh-CN"/>
        </w:rPr>
        <w:t>两</w:t>
      </w:r>
      <w:r>
        <w:rPr>
          <w:rFonts w:hint="eastAsia" w:ascii="宋体" w:hAnsi="宋体" w:eastAsia="宋体" w:cs="宋体"/>
          <w:color w:val="auto"/>
          <w:sz w:val="24"/>
          <w:szCs w:val="24"/>
          <w:highlight w:val="none"/>
        </w:rPr>
        <w:t>个月内，采购人向</w:t>
      </w:r>
      <w:r>
        <w:rPr>
          <w:rFonts w:hint="eastAsia" w:ascii="宋体" w:hAnsi="宋体" w:cs="宋体"/>
          <w:color w:val="auto"/>
          <w:sz w:val="24"/>
          <w:szCs w:val="24"/>
          <w:highlight w:val="none"/>
          <w:lang w:val="en-US" w:eastAsia="zh-CN"/>
        </w:rPr>
        <w:t>各分包标段</w:t>
      </w:r>
      <w:r>
        <w:rPr>
          <w:rFonts w:hint="eastAsia" w:ascii="宋体" w:hAnsi="宋体" w:eastAsia="宋体" w:cs="宋体"/>
          <w:color w:val="auto"/>
          <w:sz w:val="24"/>
          <w:szCs w:val="24"/>
          <w:highlight w:val="none"/>
        </w:rPr>
        <w:t>中标人支付合同金额10%的预付款。</w:t>
      </w:r>
    </w:p>
    <w:p w14:paraId="1065B5A8">
      <w:pPr>
        <w:widowControl w:val="0"/>
        <w:adjustRightInd w:val="0"/>
        <w:snapToGrid w:val="0"/>
        <w:spacing w:after="0" w:line="440" w:lineRule="exact"/>
        <w:ind w:firstLine="480" w:firstLineChars="200"/>
        <w:rPr>
          <w:rFonts w:hint="eastAsia" w:ascii="宋体" w:hAnsi="宋体" w:cs="宋体"/>
          <w:bCs/>
          <w:color w:val="auto"/>
          <w:sz w:val="24"/>
          <w:szCs w:val="24"/>
          <w:highlight w:val="none"/>
          <w:lang w:val="en-US" w:eastAsia="zh-CN"/>
        </w:rPr>
      </w:pPr>
      <w:r>
        <w:rPr>
          <w:rFonts w:hint="eastAsia" w:ascii="宋体" w:hAnsi="宋体" w:eastAsia="宋体" w:cs="宋体"/>
          <w:bCs w:val="0"/>
          <w:color w:val="auto"/>
          <w:kern w:val="2"/>
          <w:sz w:val="24"/>
          <w:szCs w:val="24"/>
          <w:highlight w:val="none"/>
        </w:rPr>
        <w:t>②</w:t>
      </w:r>
      <w:r>
        <w:rPr>
          <w:rFonts w:hint="eastAsia" w:ascii="宋体" w:hAnsi="宋体" w:eastAsia="宋体" w:cs="宋体"/>
          <w:bCs/>
          <w:color w:val="auto"/>
          <w:sz w:val="24"/>
          <w:szCs w:val="24"/>
          <w:highlight w:val="none"/>
          <w:lang w:val="en-US" w:eastAsia="zh-CN"/>
        </w:rPr>
        <w:t>以</w:t>
      </w:r>
      <w:r>
        <w:rPr>
          <w:rFonts w:hint="eastAsia" w:ascii="宋体" w:hAnsi="宋体" w:cs="宋体"/>
          <w:bCs/>
          <w:color w:val="auto"/>
          <w:sz w:val="24"/>
          <w:szCs w:val="24"/>
          <w:highlight w:val="none"/>
          <w:lang w:val="en-US" w:eastAsia="zh-CN"/>
        </w:rPr>
        <w:t>分包标段</w:t>
      </w:r>
      <w:r>
        <w:rPr>
          <w:rFonts w:hint="eastAsia" w:ascii="宋体" w:hAnsi="宋体" w:eastAsia="宋体" w:cs="宋体"/>
          <w:bCs/>
          <w:color w:val="auto"/>
          <w:sz w:val="24"/>
          <w:szCs w:val="24"/>
          <w:highlight w:val="none"/>
          <w:lang w:val="en-US" w:eastAsia="zh-CN"/>
        </w:rPr>
        <w:t>为单位，当月实际考核得分高于95分（包括95分）的不扣管理经费，低于95分的，每低1分相应从该</w:t>
      </w:r>
      <w:r>
        <w:rPr>
          <w:rFonts w:hint="eastAsia" w:ascii="宋体" w:hAnsi="宋体" w:cs="宋体"/>
          <w:bCs/>
          <w:color w:val="auto"/>
          <w:sz w:val="24"/>
          <w:szCs w:val="24"/>
          <w:highlight w:val="none"/>
          <w:lang w:val="en-US" w:eastAsia="zh-CN"/>
        </w:rPr>
        <w:t>分包标段</w:t>
      </w:r>
      <w:r>
        <w:rPr>
          <w:rFonts w:hint="eastAsia" w:ascii="宋体" w:hAnsi="宋体" w:eastAsia="宋体" w:cs="宋体"/>
          <w:bCs/>
          <w:color w:val="auto"/>
          <w:sz w:val="24"/>
          <w:szCs w:val="24"/>
          <w:highlight w:val="none"/>
          <w:lang w:val="en-US" w:eastAsia="zh-CN"/>
        </w:rPr>
        <w:t>的月度管理经费中扣除1%比例的金额，月度综合考核得分低于85分的为不合格</w:t>
      </w:r>
      <w:r>
        <w:rPr>
          <w:rFonts w:hint="eastAsia" w:ascii="宋体" w:hAnsi="宋体" w:cs="宋体"/>
          <w:bCs/>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考核不合格</w:t>
      </w:r>
      <w:r>
        <w:rPr>
          <w:rFonts w:hint="eastAsia" w:ascii="宋体" w:hAnsi="宋体" w:cs="宋体"/>
          <w:b w:val="0"/>
          <w:bCs/>
          <w:color w:val="auto"/>
          <w:sz w:val="24"/>
          <w:szCs w:val="24"/>
          <w:highlight w:val="none"/>
          <w:lang w:val="en-US" w:eastAsia="zh-CN"/>
        </w:rPr>
        <w:t>达到2次的</w:t>
      </w:r>
      <w:r>
        <w:rPr>
          <w:rFonts w:hint="eastAsia" w:ascii="宋体" w:hAnsi="宋体" w:eastAsia="宋体" w:cs="宋体"/>
          <w:b w:val="0"/>
          <w:bCs/>
          <w:color w:val="auto"/>
          <w:sz w:val="24"/>
          <w:szCs w:val="24"/>
          <w:highlight w:val="none"/>
          <w:lang w:val="en-US" w:eastAsia="zh-CN"/>
        </w:rPr>
        <w:t>，</w:t>
      </w:r>
      <w:r>
        <w:rPr>
          <w:rFonts w:hint="eastAsia" w:ascii="宋体" w:hAnsi="宋体" w:cs="宋体"/>
          <w:b w:val="0"/>
          <w:bCs/>
          <w:color w:val="auto"/>
          <w:sz w:val="24"/>
          <w:szCs w:val="24"/>
          <w:highlight w:val="none"/>
          <w:lang w:val="en-US" w:eastAsia="zh-CN"/>
        </w:rPr>
        <w:t>采购人</w:t>
      </w:r>
      <w:r>
        <w:rPr>
          <w:rFonts w:hint="eastAsia" w:ascii="宋体" w:hAnsi="宋体" w:eastAsia="宋体" w:cs="宋体"/>
          <w:b w:val="0"/>
          <w:bCs/>
          <w:color w:val="auto"/>
          <w:sz w:val="24"/>
          <w:szCs w:val="24"/>
          <w:highlight w:val="none"/>
          <w:lang w:val="en-US" w:eastAsia="zh-CN"/>
        </w:rPr>
        <w:t>有权终止合同</w:t>
      </w:r>
      <w:r>
        <w:rPr>
          <w:rFonts w:hint="eastAsia" w:ascii="宋体" w:hAnsi="宋体" w:cs="宋体"/>
          <w:bCs/>
          <w:color w:val="auto"/>
          <w:sz w:val="24"/>
          <w:szCs w:val="24"/>
          <w:highlight w:val="none"/>
          <w:lang w:val="en-US" w:eastAsia="zh-CN"/>
        </w:rPr>
        <w:t>）</w:t>
      </w:r>
      <w:r>
        <w:rPr>
          <w:rFonts w:hint="eastAsia" w:ascii="宋体" w:hAnsi="宋体" w:eastAsia="宋体" w:cs="宋体"/>
          <w:bCs/>
          <w:color w:val="auto"/>
          <w:sz w:val="24"/>
          <w:szCs w:val="24"/>
          <w:highlight w:val="none"/>
          <w:lang w:val="en-US" w:eastAsia="zh-CN"/>
        </w:rPr>
        <w:t>。由采购人根据每月考核情况汇总后，于合同期满后</w:t>
      </w:r>
      <w:r>
        <w:rPr>
          <w:rFonts w:hint="eastAsia" w:ascii="宋体" w:hAnsi="宋体" w:cs="宋体"/>
          <w:bCs/>
          <w:color w:val="auto"/>
          <w:sz w:val="24"/>
          <w:szCs w:val="24"/>
          <w:highlight w:val="none"/>
          <w:lang w:val="en-US" w:eastAsia="zh-CN"/>
        </w:rPr>
        <w:t>三个月内，向中标人</w:t>
      </w:r>
      <w:r>
        <w:rPr>
          <w:rFonts w:hint="eastAsia" w:ascii="宋体" w:hAnsi="宋体" w:eastAsia="宋体" w:cs="宋体"/>
          <w:bCs/>
          <w:color w:val="auto"/>
          <w:sz w:val="24"/>
          <w:szCs w:val="24"/>
          <w:highlight w:val="none"/>
          <w:lang w:val="en-US" w:eastAsia="zh-CN"/>
        </w:rPr>
        <w:t>支付</w:t>
      </w:r>
      <w:r>
        <w:rPr>
          <w:rFonts w:hint="eastAsia" w:ascii="宋体" w:hAnsi="宋体" w:cs="宋体"/>
          <w:bCs/>
          <w:color w:val="auto"/>
          <w:sz w:val="24"/>
          <w:szCs w:val="24"/>
          <w:highlight w:val="none"/>
          <w:lang w:val="en-US" w:eastAsia="zh-CN"/>
        </w:rPr>
        <w:t>至结算</w:t>
      </w:r>
      <w:r>
        <w:rPr>
          <w:rFonts w:hint="eastAsia" w:ascii="宋体" w:hAnsi="宋体" w:eastAsia="宋体" w:cs="宋体"/>
          <w:bCs/>
          <w:color w:val="auto"/>
          <w:sz w:val="24"/>
          <w:szCs w:val="24"/>
          <w:highlight w:val="none"/>
          <w:lang w:val="en-US" w:eastAsia="zh-CN"/>
        </w:rPr>
        <w:t>金额</w:t>
      </w:r>
      <w:r>
        <w:rPr>
          <w:rFonts w:hint="eastAsia" w:ascii="宋体" w:hAnsi="宋体" w:cs="宋体"/>
          <w:bCs/>
          <w:color w:val="auto"/>
          <w:sz w:val="24"/>
          <w:szCs w:val="24"/>
          <w:highlight w:val="none"/>
          <w:lang w:val="en-US" w:eastAsia="zh-CN"/>
        </w:rPr>
        <w:t>的5</w:t>
      </w:r>
      <w:r>
        <w:rPr>
          <w:rFonts w:hint="eastAsia" w:ascii="宋体" w:hAnsi="宋体" w:eastAsia="宋体" w:cs="宋体"/>
          <w:bCs/>
          <w:color w:val="auto"/>
          <w:sz w:val="24"/>
          <w:szCs w:val="24"/>
          <w:highlight w:val="none"/>
          <w:lang w:val="en-US" w:eastAsia="zh-CN"/>
        </w:rPr>
        <w:t>0%</w:t>
      </w:r>
      <w:r>
        <w:rPr>
          <w:rFonts w:hint="eastAsia" w:ascii="宋体" w:hAnsi="宋体" w:cs="宋体"/>
          <w:bCs/>
          <w:color w:val="auto"/>
          <w:sz w:val="24"/>
          <w:szCs w:val="24"/>
          <w:highlight w:val="none"/>
          <w:lang w:val="en-US" w:eastAsia="zh-CN"/>
        </w:rPr>
        <w:t>（含已支付的</w:t>
      </w:r>
      <w:r>
        <w:rPr>
          <w:rFonts w:hint="eastAsia" w:ascii="宋体" w:hAnsi="宋体" w:eastAsia="宋体" w:cs="宋体"/>
          <w:bCs/>
          <w:color w:val="auto"/>
          <w:sz w:val="24"/>
          <w:szCs w:val="24"/>
          <w:highlight w:val="none"/>
          <w:lang w:val="en-US" w:eastAsia="zh-CN"/>
        </w:rPr>
        <w:t>预付款</w:t>
      </w:r>
      <w:r>
        <w:rPr>
          <w:rFonts w:hint="eastAsia" w:ascii="宋体" w:hAnsi="宋体" w:cs="宋体"/>
          <w:bCs/>
          <w:color w:val="auto"/>
          <w:sz w:val="24"/>
          <w:szCs w:val="24"/>
          <w:highlight w:val="none"/>
          <w:lang w:val="en-US" w:eastAsia="zh-CN"/>
        </w:rPr>
        <w:t>）。</w:t>
      </w:r>
    </w:p>
    <w:p w14:paraId="6715BAFA">
      <w:pPr>
        <w:widowControl w:val="0"/>
        <w:adjustRightInd w:val="0"/>
        <w:snapToGrid w:val="0"/>
        <w:spacing w:after="0" w:line="440" w:lineRule="exact"/>
        <w:ind w:firstLine="480" w:firstLineChars="200"/>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③合同期满后半年内，采购人向中标人</w:t>
      </w:r>
      <w:r>
        <w:rPr>
          <w:rFonts w:hint="eastAsia" w:ascii="宋体" w:hAnsi="宋体" w:eastAsia="宋体" w:cs="宋体"/>
          <w:bCs/>
          <w:color w:val="auto"/>
          <w:sz w:val="24"/>
          <w:szCs w:val="24"/>
          <w:highlight w:val="none"/>
          <w:lang w:val="en-US" w:eastAsia="zh-CN"/>
        </w:rPr>
        <w:t>付清</w:t>
      </w:r>
      <w:r>
        <w:rPr>
          <w:rFonts w:hint="eastAsia" w:ascii="宋体" w:hAnsi="宋体" w:cs="宋体"/>
          <w:bCs/>
          <w:color w:val="auto"/>
          <w:sz w:val="24"/>
          <w:szCs w:val="24"/>
          <w:highlight w:val="none"/>
          <w:lang w:val="en-US" w:eastAsia="zh-CN"/>
        </w:rPr>
        <w:t>剩余</w:t>
      </w:r>
      <w:r>
        <w:rPr>
          <w:rFonts w:hint="eastAsia" w:ascii="宋体" w:hAnsi="宋体" w:eastAsia="宋体" w:cs="宋体"/>
          <w:bCs/>
          <w:color w:val="auto"/>
          <w:sz w:val="24"/>
          <w:szCs w:val="24"/>
          <w:highlight w:val="none"/>
          <w:lang w:val="en-US" w:eastAsia="zh-CN"/>
        </w:rPr>
        <w:t>款项</w:t>
      </w:r>
      <w:r>
        <w:rPr>
          <w:rFonts w:hint="eastAsia" w:ascii="宋体" w:hAnsi="宋体" w:eastAsia="宋体" w:cs="宋体"/>
          <w:color w:val="auto"/>
          <w:sz w:val="24"/>
          <w:szCs w:val="24"/>
          <w:highlight w:val="none"/>
        </w:rPr>
        <w:t>。</w:t>
      </w:r>
    </w:p>
    <w:p w14:paraId="2E40A89E">
      <w:pPr>
        <w:widowControl w:val="0"/>
        <w:adjustRightInd w:val="0"/>
        <w:snapToGrid w:val="0"/>
        <w:spacing w:after="0" w:line="440" w:lineRule="exact"/>
        <w:ind w:firstLine="482" w:firstLineChars="200"/>
        <w:rPr>
          <w:rFonts w:hint="eastAsia" w:ascii="宋体" w:hAnsi="宋体" w:eastAsia="宋体" w:cs="宋体"/>
          <w:b/>
          <w:bCs/>
          <w:color w:val="auto"/>
          <w:kern w:val="2"/>
          <w:sz w:val="24"/>
          <w:szCs w:val="24"/>
          <w:highlight w:val="none"/>
        </w:rPr>
      </w:pPr>
      <w:r>
        <w:rPr>
          <w:rFonts w:hint="eastAsia" w:ascii="宋体" w:hAnsi="宋体" w:cs="宋体"/>
          <w:b/>
          <w:bCs w:val="0"/>
          <w:color w:val="auto"/>
          <w:sz w:val="24"/>
          <w:szCs w:val="24"/>
          <w:highlight w:val="none"/>
          <w:lang w:val="en-US" w:eastAsia="zh-CN"/>
        </w:rPr>
        <w:t>本项目由常熟市河道管理处实施</w:t>
      </w:r>
      <w:r>
        <w:rPr>
          <w:rFonts w:hint="eastAsia" w:ascii="宋体" w:hAnsi="宋体" w:cs="宋体"/>
          <w:b/>
          <w:bCs w:val="0"/>
          <w:color w:val="auto"/>
          <w:sz w:val="24"/>
          <w:szCs w:val="24"/>
          <w:highlight w:val="none"/>
          <w:lang w:eastAsia="zh-CN"/>
        </w:rPr>
        <w:t>服务</w:t>
      </w:r>
      <w:r>
        <w:rPr>
          <w:rFonts w:hint="eastAsia" w:ascii="宋体" w:hAnsi="宋体" w:cs="宋体"/>
          <w:b/>
          <w:bCs w:val="0"/>
          <w:color w:val="auto"/>
          <w:sz w:val="24"/>
          <w:szCs w:val="24"/>
          <w:highlight w:val="none"/>
          <w:lang w:val="en-US" w:eastAsia="zh-CN"/>
        </w:rPr>
        <w:t>考核，</w:t>
      </w:r>
      <w:r>
        <w:rPr>
          <w:rFonts w:hint="eastAsia" w:ascii="宋体" w:hAnsi="宋体" w:eastAsia="宋体" w:cs="宋体"/>
          <w:b/>
          <w:bCs/>
          <w:color w:val="auto"/>
          <w:kern w:val="2"/>
          <w:sz w:val="24"/>
          <w:szCs w:val="24"/>
          <w:highlight w:val="none"/>
        </w:rPr>
        <w:t>具体考核条款详见</w:t>
      </w:r>
      <w:r>
        <w:rPr>
          <w:rFonts w:hint="eastAsia" w:ascii="宋体" w:hAnsi="宋体" w:cs="宋体"/>
          <w:b/>
          <w:bCs/>
          <w:color w:val="auto"/>
          <w:kern w:val="2"/>
          <w:sz w:val="24"/>
          <w:szCs w:val="24"/>
          <w:highlight w:val="none"/>
          <w:lang w:val="en-US" w:eastAsia="zh-CN"/>
        </w:rPr>
        <w:t>电子</w:t>
      </w:r>
      <w:r>
        <w:rPr>
          <w:rFonts w:hint="eastAsia" w:ascii="宋体" w:hAnsi="宋体" w:eastAsia="宋体" w:cs="宋体"/>
          <w:b/>
          <w:bCs/>
          <w:color w:val="auto"/>
          <w:kern w:val="2"/>
          <w:sz w:val="24"/>
          <w:szCs w:val="24"/>
          <w:highlight w:val="none"/>
        </w:rPr>
        <w:t>附件3：市级河道长效管理检查考核办法、</w:t>
      </w:r>
      <w:r>
        <w:rPr>
          <w:rFonts w:hint="eastAsia" w:ascii="宋体" w:hAnsi="宋体" w:cs="宋体"/>
          <w:b/>
          <w:bCs/>
          <w:color w:val="auto"/>
          <w:kern w:val="2"/>
          <w:sz w:val="24"/>
          <w:szCs w:val="24"/>
          <w:highlight w:val="none"/>
          <w:lang w:val="en-US" w:eastAsia="zh-CN"/>
        </w:rPr>
        <w:t>电子</w:t>
      </w:r>
      <w:r>
        <w:rPr>
          <w:rFonts w:hint="eastAsia" w:ascii="宋体" w:hAnsi="宋体" w:eastAsia="宋体" w:cs="宋体"/>
          <w:b/>
          <w:bCs/>
          <w:color w:val="auto"/>
          <w:kern w:val="2"/>
          <w:sz w:val="24"/>
          <w:szCs w:val="24"/>
          <w:highlight w:val="none"/>
        </w:rPr>
        <w:t>附件4：市级河道长效管理考核评分表所设内容进行考核。</w:t>
      </w:r>
    </w:p>
    <w:p w14:paraId="460DD7DB">
      <w:pPr>
        <w:widowControl w:val="0"/>
        <w:numPr>
          <w:ilvl w:val="0"/>
          <w:numId w:val="0"/>
        </w:numPr>
        <w:shd w:val="clear"/>
        <w:autoSpaceDE w:val="0"/>
        <w:autoSpaceDN w:val="0"/>
        <w:adjustRightInd w:val="0"/>
        <w:spacing w:after="0" w:line="440" w:lineRule="exact"/>
        <w:rPr>
          <w:rFonts w:hint="eastAsia" w:ascii="宋体" w:hAnsi="宋体" w:eastAsia="宋体" w:cs="宋体"/>
          <w:b/>
          <w:bCs w:val="0"/>
          <w:color w:val="auto"/>
          <w:kern w:val="2"/>
          <w:sz w:val="24"/>
          <w:szCs w:val="24"/>
          <w:lang w:val="en-US" w:eastAsia="zh-CN" w:bidi="ar-SA"/>
        </w:rPr>
      </w:pPr>
      <w:r>
        <w:rPr>
          <w:rFonts w:hint="eastAsia" w:ascii="宋体" w:hAnsi="宋体" w:eastAsia="宋体" w:cs="宋体"/>
          <w:b/>
          <w:bCs w:val="0"/>
          <w:color w:val="auto"/>
          <w:sz w:val="24"/>
          <w:szCs w:val="24"/>
          <w:highlight w:val="none"/>
        </w:rPr>
        <w:t>注：</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kern w:val="2"/>
          <w:sz w:val="24"/>
          <w:szCs w:val="24"/>
          <w:lang w:val="en-US" w:eastAsia="zh-CN" w:bidi="ar-SA"/>
        </w:rPr>
        <w:t>签订合同时，中标人明确表示无需预付款或者主动要求降低预付款比例的，采购人可不适用上述①规定，但应当由中标人书面提出并作为采购档案保存。</w:t>
      </w:r>
    </w:p>
    <w:p w14:paraId="6A6DC5CD">
      <w:pPr>
        <w:widowControl w:val="0"/>
        <w:numPr>
          <w:ilvl w:val="0"/>
          <w:numId w:val="6"/>
        </w:numPr>
        <w:shd w:val="clear"/>
        <w:autoSpaceDE w:val="0"/>
        <w:autoSpaceDN w:val="0"/>
        <w:adjustRightInd w:val="0"/>
        <w:spacing w:after="0" w:line="44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以上每次付款前，</w:t>
      </w:r>
      <w:r>
        <w:rPr>
          <w:rFonts w:hint="eastAsia" w:ascii="宋体" w:hAnsi="宋体" w:eastAsia="宋体" w:cs="宋体"/>
          <w:b/>
          <w:bCs w:val="0"/>
          <w:color w:val="auto"/>
          <w:sz w:val="24"/>
          <w:szCs w:val="24"/>
          <w:highlight w:val="none"/>
          <w:lang w:val="en-US" w:eastAsia="zh-CN"/>
        </w:rPr>
        <w:t>中标人</w:t>
      </w:r>
      <w:r>
        <w:rPr>
          <w:rFonts w:hint="eastAsia" w:ascii="宋体" w:hAnsi="宋体" w:eastAsia="宋体" w:cs="宋体"/>
          <w:b/>
          <w:bCs w:val="0"/>
          <w:color w:val="auto"/>
          <w:sz w:val="24"/>
          <w:szCs w:val="24"/>
          <w:highlight w:val="none"/>
        </w:rPr>
        <w:t>均应提供符合</w:t>
      </w:r>
      <w:r>
        <w:rPr>
          <w:rFonts w:hint="eastAsia" w:ascii="宋体" w:hAnsi="宋体" w:eastAsia="宋体" w:cs="宋体"/>
          <w:b/>
          <w:bCs w:val="0"/>
          <w:color w:val="auto"/>
          <w:sz w:val="24"/>
          <w:szCs w:val="24"/>
          <w:highlight w:val="none"/>
          <w:lang w:val="en-US" w:eastAsia="zh-CN"/>
        </w:rPr>
        <w:t>采购人</w:t>
      </w:r>
      <w:r>
        <w:rPr>
          <w:rFonts w:hint="eastAsia" w:ascii="宋体" w:hAnsi="宋体" w:eastAsia="宋体" w:cs="宋体"/>
          <w:b/>
          <w:bCs w:val="0"/>
          <w:color w:val="auto"/>
          <w:sz w:val="24"/>
          <w:szCs w:val="24"/>
          <w:highlight w:val="none"/>
        </w:rPr>
        <w:t>要求的同等金额的合法有效发票。否则，</w:t>
      </w:r>
      <w:r>
        <w:rPr>
          <w:rFonts w:hint="eastAsia" w:ascii="宋体" w:hAnsi="宋体" w:eastAsia="宋体" w:cs="宋体"/>
          <w:b/>
          <w:bCs w:val="0"/>
          <w:color w:val="auto"/>
          <w:sz w:val="24"/>
          <w:szCs w:val="24"/>
          <w:highlight w:val="none"/>
          <w:lang w:val="en-US" w:eastAsia="zh-CN"/>
        </w:rPr>
        <w:t>采购人</w:t>
      </w:r>
      <w:r>
        <w:rPr>
          <w:rFonts w:hint="eastAsia" w:ascii="宋体" w:hAnsi="宋体" w:eastAsia="宋体" w:cs="宋体"/>
          <w:b/>
          <w:bCs w:val="0"/>
          <w:color w:val="auto"/>
          <w:sz w:val="24"/>
          <w:szCs w:val="24"/>
          <w:highlight w:val="none"/>
        </w:rPr>
        <w:t>有权顺延付款时间，且不承担任何违约或赔偿责任。</w:t>
      </w:r>
    </w:p>
    <w:p w14:paraId="04314B1D">
      <w:pPr>
        <w:widowControl w:val="0"/>
        <w:numPr>
          <w:ilvl w:val="0"/>
          <w:numId w:val="6"/>
        </w:numPr>
        <w:shd w:val="clear"/>
        <w:autoSpaceDE w:val="0"/>
        <w:autoSpaceDN w:val="0"/>
        <w:adjustRightInd w:val="0"/>
        <w:spacing w:after="0" w:line="440" w:lineRule="exact"/>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本项目支付方式支持数字人民币方式。</w:t>
      </w:r>
    </w:p>
    <w:p w14:paraId="2E469AB8">
      <w:pPr>
        <w:widowControl w:val="0"/>
        <w:numPr>
          <w:ilvl w:val="0"/>
          <w:numId w:val="0"/>
        </w:numPr>
        <w:shd w:val="clear"/>
        <w:autoSpaceDE w:val="0"/>
        <w:autoSpaceDN w:val="0"/>
        <w:adjustRightInd w:val="0"/>
        <w:spacing w:after="0" w:line="440" w:lineRule="exact"/>
        <w:ind w:firstLine="241" w:firstLineChars="1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不满足上述付款要求的</w:t>
      </w:r>
      <w:r>
        <w:rPr>
          <w:rFonts w:hint="eastAsia" w:ascii="宋体" w:hAnsi="宋体" w:eastAsia="宋体" w:cs="宋体"/>
          <w:b/>
          <w:bCs w:val="0"/>
          <w:color w:val="auto"/>
          <w:sz w:val="24"/>
          <w:szCs w:val="24"/>
          <w:highlight w:val="none"/>
          <w:lang w:val="zh-CN"/>
        </w:rPr>
        <w:t>将作无效投标处理</w:t>
      </w:r>
      <w:r>
        <w:rPr>
          <w:rFonts w:hint="eastAsia" w:ascii="宋体" w:hAnsi="宋体" w:eastAsia="宋体" w:cs="宋体"/>
          <w:b/>
          <w:bCs w:val="0"/>
          <w:color w:val="auto"/>
          <w:sz w:val="24"/>
          <w:szCs w:val="24"/>
          <w:highlight w:val="none"/>
        </w:rPr>
        <w:t>。</w:t>
      </w:r>
    </w:p>
    <w:p w14:paraId="58670A56">
      <w:pPr>
        <w:widowControl w:val="0"/>
        <w:spacing w:after="0" w:line="44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highlight w:val="none"/>
        </w:rPr>
        <w:t>6、本项目采购预算为</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5089000.00</w:t>
      </w:r>
      <w:r>
        <w:rPr>
          <w:rFonts w:hint="eastAsia" w:ascii="宋体" w:hAnsi="宋体" w:eastAsia="宋体" w:cs="宋体"/>
          <w:color w:val="auto"/>
          <w:sz w:val="24"/>
          <w:szCs w:val="24"/>
          <w:highlight w:val="none"/>
        </w:rPr>
        <w:t>元（人民币</w:t>
      </w:r>
      <w:r>
        <w:rPr>
          <w:rFonts w:hint="eastAsia" w:ascii="宋体" w:hAnsi="宋体" w:cs="宋体"/>
          <w:color w:val="auto"/>
          <w:sz w:val="24"/>
          <w:szCs w:val="24"/>
          <w:highlight w:val="none"/>
          <w:lang w:val="en-US" w:eastAsia="zh-CN"/>
        </w:rPr>
        <w:t>伍佰零捌万玖仟元整</w:t>
      </w:r>
      <w:r>
        <w:rPr>
          <w:rFonts w:hint="eastAsia" w:ascii="宋体" w:hAnsi="宋体" w:eastAsia="宋体" w:cs="宋体"/>
          <w:color w:val="auto"/>
          <w:sz w:val="24"/>
          <w:szCs w:val="24"/>
          <w:highlight w:val="none"/>
        </w:rPr>
        <w:t>）。</w:t>
      </w:r>
      <w:r>
        <w:rPr>
          <w:rFonts w:hint="eastAsia" w:ascii="宋体" w:hAnsi="宋体" w:eastAsia="宋体" w:cs="宋体"/>
          <w:b/>
          <w:bCs w:val="0"/>
          <w:color w:val="auto"/>
          <w:sz w:val="24"/>
          <w:szCs w:val="24"/>
          <w:highlight w:val="none"/>
          <w:lang w:val="zh-CN" w:eastAsia="zh-CN"/>
        </w:rPr>
        <w:t>本项目以优惠率报价，</w:t>
      </w:r>
      <w:r>
        <w:rPr>
          <w:rFonts w:hint="eastAsia" w:ascii="宋体" w:hAnsi="宋体" w:eastAsia="宋体" w:cs="宋体"/>
          <w:b/>
          <w:bCs w:val="0"/>
          <w:color w:val="auto"/>
          <w:sz w:val="24"/>
          <w:szCs w:val="24"/>
          <w:highlight w:val="none"/>
          <w:lang w:val="zh-CN"/>
        </w:rPr>
        <w:t>各</w:t>
      </w:r>
      <w:r>
        <w:rPr>
          <w:rFonts w:hint="eastAsia" w:ascii="宋体" w:hAnsi="宋体" w:cs="宋体"/>
          <w:b/>
          <w:bCs w:val="0"/>
          <w:color w:val="auto"/>
          <w:sz w:val="24"/>
          <w:szCs w:val="24"/>
          <w:highlight w:val="none"/>
          <w:lang w:val="en-US" w:eastAsia="zh-CN"/>
        </w:rPr>
        <w:t>投标人的</w:t>
      </w:r>
      <w:r>
        <w:rPr>
          <w:rFonts w:hint="eastAsia" w:ascii="宋体" w:hAnsi="宋体" w:eastAsia="宋体" w:cs="宋体"/>
          <w:b/>
          <w:bCs w:val="0"/>
          <w:color w:val="auto"/>
          <w:sz w:val="24"/>
          <w:szCs w:val="24"/>
          <w:highlight w:val="none"/>
          <w:lang w:val="zh-CN"/>
        </w:rPr>
        <w:t>投标</w:t>
      </w:r>
      <w:r>
        <w:rPr>
          <w:rFonts w:hint="eastAsia" w:ascii="宋体" w:hAnsi="宋体" w:eastAsia="宋体" w:cs="宋体"/>
          <w:b/>
          <w:bCs w:val="0"/>
          <w:color w:val="auto"/>
          <w:sz w:val="24"/>
          <w:szCs w:val="24"/>
          <w:highlight w:val="none"/>
          <w:lang w:val="zh-CN" w:eastAsia="zh-CN"/>
        </w:rPr>
        <w:t>优惠</w:t>
      </w:r>
      <w:r>
        <w:rPr>
          <w:rFonts w:hint="eastAsia" w:ascii="宋体" w:hAnsi="宋体" w:eastAsia="宋体" w:cs="宋体"/>
          <w:b/>
          <w:bCs w:val="0"/>
          <w:color w:val="auto"/>
          <w:sz w:val="24"/>
          <w:szCs w:val="24"/>
          <w:highlight w:val="none"/>
          <w:lang w:val="zh-CN"/>
        </w:rPr>
        <w:t>率均不得</w:t>
      </w:r>
      <w:r>
        <w:rPr>
          <w:rFonts w:hint="eastAsia" w:ascii="宋体" w:hAnsi="宋体" w:eastAsia="宋体" w:cs="宋体"/>
          <w:b/>
          <w:bCs w:val="0"/>
          <w:color w:val="auto"/>
          <w:sz w:val="24"/>
          <w:szCs w:val="24"/>
          <w:highlight w:val="none"/>
          <w:lang w:val="zh-CN" w:eastAsia="zh-CN"/>
        </w:rPr>
        <w:t>低于0%</w:t>
      </w:r>
      <w:r>
        <w:rPr>
          <w:rFonts w:hint="eastAsia" w:ascii="宋体" w:hAnsi="宋体" w:eastAsia="宋体" w:cs="宋体"/>
          <w:b/>
          <w:bCs w:val="0"/>
          <w:color w:val="auto"/>
          <w:sz w:val="24"/>
          <w:szCs w:val="24"/>
          <w:highlight w:val="none"/>
          <w:lang w:val="zh-CN"/>
        </w:rPr>
        <w:t>，否则将作无效投标处理。</w:t>
      </w:r>
    </w:p>
    <w:p w14:paraId="2A98014D">
      <w:pPr>
        <w:widowControl w:val="0"/>
        <w:spacing w:after="0" w:line="440" w:lineRule="exact"/>
        <w:ind w:firstLine="240" w:firstLineChars="100"/>
        <w:rPr>
          <w:rFonts w:hint="eastAsia" w:ascii="宋体" w:hAnsi="宋体" w:cs="宋体"/>
          <w:b w:val="0"/>
          <w:bCs/>
          <w:color w:val="auto"/>
          <w:sz w:val="24"/>
          <w:szCs w:val="24"/>
          <w:lang w:val="en-US" w:eastAsia="zh-CN"/>
        </w:rPr>
      </w:pPr>
      <w:r>
        <w:rPr>
          <w:rFonts w:hint="eastAsia" w:ascii="宋体" w:hAnsi="宋体" w:cs="宋体"/>
          <w:b w:val="0"/>
          <w:bCs/>
          <w:color w:val="auto"/>
          <w:sz w:val="24"/>
          <w:szCs w:val="24"/>
          <w:lang w:val="en-US" w:eastAsia="zh-CN"/>
        </w:rPr>
        <w:t>7、结算方式：本项目以总价合同方式结算。</w:t>
      </w:r>
    </w:p>
    <w:p w14:paraId="6662496B">
      <w:pPr>
        <w:widowControl w:val="0"/>
        <w:spacing w:after="0" w:line="440" w:lineRule="exact"/>
        <w:ind w:firstLine="241" w:firstLineChars="100"/>
        <w:rPr>
          <w:rFonts w:hint="eastAsia" w:ascii="宋体" w:hAnsi="宋体" w:eastAsia="宋体" w:cs="宋体"/>
          <w:b/>
          <w:color w:val="auto"/>
          <w:sz w:val="24"/>
          <w:szCs w:val="24"/>
        </w:rPr>
      </w:pPr>
      <w:r>
        <w:rPr>
          <w:rFonts w:hint="eastAsia" w:ascii="宋体" w:hAnsi="宋体" w:cs="宋体"/>
          <w:b/>
          <w:color w:val="auto"/>
          <w:sz w:val="24"/>
          <w:szCs w:val="24"/>
          <w:lang w:val="en-US" w:eastAsia="zh-CN"/>
        </w:rPr>
        <w:t>8</w:t>
      </w:r>
      <w:r>
        <w:rPr>
          <w:rFonts w:hint="eastAsia" w:ascii="宋体" w:hAnsi="宋体" w:eastAsia="宋体" w:cs="宋体"/>
          <w:b/>
          <w:color w:val="auto"/>
          <w:sz w:val="24"/>
          <w:szCs w:val="24"/>
        </w:rPr>
        <w:t>、本项目不得以任何形式进行转包及分包。</w:t>
      </w:r>
      <w:bookmarkStart w:id="285" w:name="_Toc23714765"/>
    </w:p>
    <w:p w14:paraId="27188B5F">
      <w:pPr>
        <w:widowControl w:val="0"/>
        <w:autoSpaceDE w:val="0"/>
        <w:autoSpaceDN w:val="0"/>
        <w:adjustRightInd w:val="0"/>
        <w:spacing w:after="0" w:line="440" w:lineRule="exact"/>
        <w:rPr>
          <w:rFonts w:hint="eastAsia" w:ascii="宋体" w:hAnsi="宋体" w:eastAsia="宋体" w:cs="宋体"/>
          <w:b/>
          <w:bCs w:val="0"/>
          <w:color w:val="auto"/>
          <w:sz w:val="28"/>
          <w:szCs w:val="28"/>
          <w:lang w:val="zh-CN"/>
        </w:rPr>
      </w:pPr>
      <w:r>
        <w:rPr>
          <w:rFonts w:hint="eastAsia" w:ascii="宋体" w:hAnsi="宋体" w:eastAsia="宋体" w:cs="宋体"/>
          <w:b/>
          <w:bCs w:val="0"/>
          <w:color w:val="auto"/>
          <w:sz w:val="28"/>
          <w:szCs w:val="28"/>
          <w:lang w:val="zh-CN"/>
        </w:rPr>
        <w:t>二、项目</w:t>
      </w:r>
      <w:bookmarkEnd w:id="285"/>
      <w:r>
        <w:rPr>
          <w:rFonts w:hint="eastAsia" w:ascii="宋体" w:hAnsi="宋体" w:eastAsia="宋体" w:cs="宋体"/>
          <w:b/>
          <w:bCs w:val="0"/>
          <w:color w:val="auto"/>
          <w:sz w:val="28"/>
          <w:szCs w:val="28"/>
          <w:lang w:val="zh-CN"/>
        </w:rPr>
        <w:t>服务内容</w:t>
      </w:r>
    </w:p>
    <w:p w14:paraId="4BF2104F">
      <w:pPr>
        <w:spacing w:after="0" w:line="42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（一）市级河道保洁服务投标人负责内容：</w:t>
      </w:r>
    </w:p>
    <w:p w14:paraId="7D880008">
      <w:pPr>
        <w:spacing w:after="0"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color w:val="auto"/>
          <w:sz w:val="24"/>
          <w:szCs w:val="24"/>
          <w:highlight w:val="none"/>
          <w:lang w:val="en-US" w:eastAsia="zh-CN"/>
        </w:rPr>
        <w:t>三环路以外</w:t>
      </w:r>
      <w:r>
        <w:rPr>
          <w:rFonts w:hint="eastAsia" w:ascii="宋体" w:hAnsi="宋体" w:eastAsia="宋体" w:cs="宋体"/>
          <w:color w:val="auto"/>
          <w:sz w:val="24"/>
          <w:szCs w:val="24"/>
        </w:rPr>
        <w:t>市级河道水域的垃圾杂物和水生植物的打捞。</w:t>
      </w:r>
    </w:p>
    <w:p w14:paraId="7522FE6B">
      <w:pPr>
        <w:spacing w:after="0"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2、桥堍、</w:t>
      </w:r>
      <w:r>
        <w:rPr>
          <w:rFonts w:hint="eastAsia" w:ascii="宋体" w:hAnsi="宋体" w:eastAsia="宋体" w:cs="宋体"/>
          <w:color w:val="auto"/>
          <w:sz w:val="24"/>
          <w:szCs w:val="24"/>
          <w:lang w:eastAsia="zh-CN"/>
        </w:rPr>
        <w:t>斜坡</w:t>
      </w:r>
      <w:r>
        <w:rPr>
          <w:rFonts w:hint="eastAsia" w:ascii="宋体" w:hAnsi="宋体" w:eastAsia="宋体" w:cs="宋体"/>
          <w:color w:val="auto"/>
          <w:sz w:val="24"/>
          <w:szCs w:val="24"/>
        </w:rPr>
        <w:t>零星垃圾、垦种的清理（对于数量较大的偷倒垃圾及面积较大的垦种等违法违规行为上报相关管理部门依法处理）</w:t>
      </w:r>
      <w:r>
        <w:rPr>
          <w:rFonts w:hint="eastAsia" w:ascii="宋体" w:hAnsi="宋体" w:eastAsia="宋体" w:cs="宋体"/>
          <w:color w:val="auto"/>
          <w:sz w:val="24"/>
          <w:szCs w:val="24"/>
          <w:lang w:eastAsia="zh-CN"/>
        </w:rPr>
        <w:t>，</w:t>
      </w:r>
      <w:r>
        <w:rPr>
          <w:rFonts w:hint="eastAsia" w:ascii="宋体" w:hAnsi="宋体" w:eastAsia="宋体" w:cs="宋体"/>
          <w:b/>
          <w:bCs w:val="0"/>
          <w:color w:val="auto"/>
          <w:sz w:val="24"/>
          <w:szCs w:val="24"/>
          <w:lang w:val="en-US" w:eastAsia="zh-CN"/>
        </w:rPr>
        <w:t>此部分内容</w:t>
      </w:r>
      <w:r>
        <w:rPr>
          <w:rFonts w:hint="eastAsia" w:ascii="宋体" w:hAnsi="宋体" w:cs="宋体"/>
          <w:b/>
          <w:bCs w:val="0"/>
          <w:color w:val="auto"/>
          <w:sz w:val="24"/>
          <w:szCs w:val="24"/>
          <w:highlight w:val="none"/>
          <w:lang w:val="en-US" w:eastAsia="zh-CN"/>
        </w:rPr>
        <w:t>不包含“市级河道绿化养护项目”管护范围</w:t>
      </w:r>
      <w:r>
        <w:rPr>
          <w:rFonts w:hint="eastAsia" w:ascii="宋体" w:hAnsi="宋体" w:eastAsia="宋体" w:cs="宋体"/>
          <w:color w:val="auto"/>
          <w:sz w:val="24"/>
          <w:szCs w:val="24"/>
        </w:rPr>
        <w:t>。</w:t>
      </w:r>
    </w:p>
    <w:p w14:paraId="5E8F4329">
      <w:pPr>
        <w:spacing w:after="0" w:line="420" w:lineRule="exact"/>
        <w:ind w:firstLine="480" w:firstLineChars="200"/>
        <w:rPr>
          <w:rFonts w:hint="eastAsia" w:ascii="宋体" w:hAnsi="宋体" w:eastAsia="宋体" w:cs="宋体"/>
          <w:b w:val="0"/>
          <w:bCs/>
          <w:color w:val="auto"/>
          <w:sz w:val="24"/>
          <w:szCs w:val="24"/>
        </w:rPr>
      </w:pPr>
      <w:r>
        <w:rPr>
          <w:rFonts w:hint="eastAsia" w:ascii="宋体" w:hAnsi="宋体" w:eastAsia="宋体" w:cs="宋体"/>
          <w:color w:val="auto"/>
          <w:sz w:val="24"/>
          <w:szCs w:val="24"/>
        </w:rPr>
        <w:t>3、在水生植物爆发期间按采购人要求负责中标区域水生植物的突击打捞</w:t>
      </w:r>
      <w:r>
        <w:rPr>
          <w:rFonts w:hint="eastAsia" w:ascii="宋体" w:hAnsi="宋体" w:eastAsia="宋体" w:cs="宋体"/>
          <w:b w:val="0"/>
          <w:bCs/>
          <w:color w:val="auto"/>
          <w:sz w:val="24"/>
          <w:szCs w:val="24"/>
        </w:rPr>
        <w:t>。</w:t>
      </w:r>
    </w:p>
    <w:p w14:paraId="5E56D476">
      <w:pPr>
        <w:spacing w:after="0"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4、负责将河道打捞及</w:t>
      </w:r>
      <w:r>
        <w:rPr>
          <w:rFonts w:hint="eastAsia" w:ascii="宋体" w:hAnsi="宋体" w:eastAsia="宋体" w:cs="宋体"/>
          <w:color w:val="auto"/>
          <w:sz w:val="24"/>
          <w:szCs w:val="24"/>
          <w:lang w:eastAsia="zh-CN"/>
        </w:rPr>
        <w:t>斜坡</w:t>
      </w:r>
      <w:r>
        <w:rPr>
          <w:rFonts w:hint="eastAsia" w:ascii="宋体" w:hAnsi="宋体" w:eastAsia="宋体" w:cs="宋体"/>
          <w:color w:val="auto"/>
          <w:sz w:val="24"/>
          <w:szCs w:val="24"/>
        </w:rPr>
        <w:t>清理的垃圾上岸。</w:t>
      </w:r>
    </w:p>
    <w:p w14:paraId="1E874BE9">
      <w:pPr>
        <w:spacing w:after="0"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5、负责将上岸垃圾按照投标人承诺的垃圾处置方案及政府相关要求自行进行无害化处置。</w:t>
      </w:r>
    </w:p>
    <w:p w14:paraId="5C02C413">
      <w:pPr>
        <w:spacing w:after="0"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6、负责保洁船的GPS设备安装、运维保障及通讯。</w:t>
      </w:r>
    </w:p>
    <w:p w14:paraId="32E9FE5F">
      <w:pPr>
        <w:spacing w:after="0" w:line="42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★（二）人员及船只到位期限：</w:t>
      </w:r>
    </w:p>
    <w:p w14:paraId="0211DA94">
      <w:pPr>
        <w:spacing w:after="0"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1、人员到位期限：</w:t>
      </w:r>
      <w:r>
        <w:rPr>
          <w:rFonts w:hint="eastAsia" w:ascii="宋体" w:hAnsi="宋体" w:eastAsia="宋体" w:cs="宋体"/>
          <w:color w:val="auto"/>
          <w:sz w:val="24"/>
          <w:szCs w:val="24"/>
          <w:lang w:eastAsia="zh-CN"/>
        </w:rPr>
        <w:t>2025</w:t>
      </w:r>
      <w:r>
        <w:rPr>
          <w:rFonts w:hint="eastAsia" w:ascii="宋体" w:hAnsi="宋体" w:eastAsia="宋体" w:cs="宋体"/>
          <w:color w:val="auto"/>
          <w:sz w:val="24"/>
          <w:szCs w:val="24"/>
        </w:rPr>
        <w:t>年1月1日前，中标人应将符合投标承诺的人员招聘到位。</w:t>
      </w:r>
    </w:p>
    <w:p w14:paraId="709740DF">
      <w:pPr>
        <w:spacing w:after="0"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2、常规机动船只（铁壳平底船）到位期限：</w:t>
      </w:r>
      <w:r>
        <w:rPr>
          <w:rFonts w:hint="eastAsia" w:ascii="宋体" w:hAnsi="宋体" w:eastAsia="宋体" w:cs="宋体"/>
          <w:color w:val="auto"/>
          <w:sz w:val="24"/>
          <w:szCs w:val="24"/>
          <w:lang w:eastAsia="zh-CN"/>
        </w:rPr>
        <w:t>2025</w:t>
      </w:r>
      <w:r>
        <w:rPr>
          <w:rFonts w:hint="eastAsia" w:ascii="宋体" w:hAnsi="宋体" w:eastAsia="宋体" w:cs="宋体"/>
          <w:color w:val="auto"/>
          <w:sz w:val="24"/>
          <w:szCs w:val="24"/>
        </w:rPr>
        <w:t>年1月1日前，中标人应将符合投标承诺的船只购买或租赁到位。</w:t>
      </w:r>
    </w:p>
    <w:p w14:paraId="24D9C66F">
      <w:pPr>
        <w:spacing w:after="0"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3、全自动水面清洁船须在</w:t>
      </w:r>
      <w:r>
        <w:rPr>
          <w:rFonts w:hint="eastAsia" w:ascii="宋体" w:hAnsi="宋体" w:eastAsia="宋体" w:cs="宋体"/>
          <w:color w:val="auto"/>
          <w:sz w:val="24"/>
          <w:szCs w:val="24"/>
          <w:lang w:eastAsia="zh-CN"/>
        </w:rPr>
        <w:t>2025</w:t>
      </w:r>
      <w:r>
        <w:rPr>
          <w:rFonts w:hint="eastAsia" w:ascii="宋体" w:hAnsi="宋体" w:eastAsia="宋体" w:cs="宋体"/>
          <w:color w:val="auto"/>
          <w:sz w:val="24"/>
          <w:szCs w:val="24"/>
        </w:rPr>
        <w:t>年1月1日前购买或租赁到位。</w:t>
      </w:r>
    </w:p>
    <w:p w14:paraId="674FD784">
      <w:pPr>
        <w:spacing w:after="0"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4、如人员、船只在规定期限内未到位的，采购人有权终止项目合同，采购人无须承担相应的违约责任。</w:t>
      </w:r>
    </w:p>
    <w:p w14:paraId="09BFBB65">
      <w:pPr>
        <w:spacing w:after="0" w:line="42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注：投标文件中须按招标文件要求提供以上内容的相关承诺书（详见</w:t>
      </w:r>
      <w:r>
        <w:rPr>
          <w:rFonts w:hint="eastAsia" w:ascii="宋体" w:hAnsi="宋体" w:cs="宋体"/>
          <w:b/>
          <w:color w:val="auto"/>
          <w:sz w:val="24"/>
          <w:szCs w:val="24"/>
          <w:lang w:eastAsia="zh-CN"/>
        </w:rPr>
        <w:t>“</w:t>
      </w:r>
      <w:r>
        <w:rPr>
          <w:rFonts w:hint="eastAsia" w:ascii="宋体" w:hAnsi="宋体" w:eastAsia="宋体" w:cs="宋体"/>
          <w:b/>
          <w:color w:val="auto"/>
          <w:sz w:val="24"/>
          <w:szCs w:val="24"/>
        </w:rPr>
        <w:t>附件1</w:t>
      </w:r>
      <w:r>
        <w:rPr>
          <w:rFonts w:hint="eastAsia" w:ascii="宋体" w:hAnsi="宋体" w:eastAsia="宋体" w:cs="宋体"/>
          <w:b/>
          <w:color w:val="auto"/>
          <w:sz w:val="24"/>
          <w:szCs w:val="24"/>
          <w:lang w:val="en-US" w:eastAsia="zh-CN"/>
        </w:rPr>
        <w:t>7</w:t>
      </w:r>
      <w:r>
        <w:rPr>
          <w:rFonts w:hint="eastAsia" w:ascii="宋体" w:hAnsi="宋体" w:cs="宋体"/>
          <w:b/>
          <w:color w:val="auto"/>
          <w:sz w:val="24"/>
          <w:szCs w:val="24"/>
          <w:lang w:val="en-US" w:eastAsia="zh-CN"/>
        </w:rPr>
        <w:t xml:space="preserve"> </w:t>
      </w:r>
      <w:r>
        <w:rPr>
          <w:rFonts w:hint="eastAsia" w:ascii="宋体" w:hAnsi="宋体" w:eastAsia="宋体" w:cs="宋体"/>
          <w:b/>
          <w:color w:val="auto"/>
          <w:sz w:val="24"/>
          <w:szCs w:val="24"/>
        </w:rPr>
        <w:t>人员及船只到位期限承诺书</w:t>
      </w:r>
      <w:r>
        <w:rPr>
          <w:rFonts w:hint="eastAsia" w:ascii="宋体" w:hAnsi="宋体" w:cs="宋体"/>
          <w:b/>
          <w:color w:val="auto"/>
          <w:sz w:val="24"/>
          <w:szCs w:val="24"/>
          <w:lang w:eastAsia="zh-CN"/>
        </w:rPr>
        <w:t>”</w:t>
      </w:r>
      <w:r>
        <w:rPr>
          <w:rFonts w:hint="eastAsia" w:ascii="宋体" w:hAnsi="宋体" w:eastAsia="宋体" w:cs="宋体"/>
          <w:b/>
          <w:color w:val="auto"/>
          <w:sz w:val="24"/>
          <w:szCs w:val="24"/>
        </w:rPr>
        <w:t>），未提供的将作无效投标处理。</w:t>
      </w:r>
    </w:p>
    <w:p w14:paraId="3C126CDE">
      <w:pPr>
        <w:spacing w:after="0" w:line="42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w:t>
      </w:r>
      <w:r>
        <w:rPr>
          <w:rFonts w:hint="eastAsia" w:ascii="宋体" w:hAnsi="宋体" w:cs="宋体"/>
          <w:b/>
          <w:bCs w:val="0"/>
          <w:color w:val="auto"/>
          <w:sz w:val="24"/>
          <w:szCs w:val="24"/>
          <w:lang w:val="en-US" w:eastAsia="zh-CN"/>
        </w:rPr>
        <w:t>三</w:t>
      </w:r>
      <w:r>
        <w:rPr>
          <w:rFonts w:hint="eastAsia" w:ascii="宋体" w:hAnsi="宋体" w:eastAsia="宋体" w:cs="宋体"/>
          <w:b/>
          <w:bCs w:val="0"/>
          <w:color w:val="auto"/>
          <w:sz w:val="24"/>
          <w:szCs w:val="24"/>
        </w:rPr>
        <w:t>）相关说明：</w:t>
      </w:r>
    </w:p>
    <w:p w14:paraId="2D8B2F67">
      <w:pPr>
        <w:spacing w:after="0" w:line="42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1、河道保洁作业范围详见</w:t>
      </w:r>
      <w:r>
        <w:rPr>
          <w:rFonts w:hint="eastAsia" w:ascii="宋体" w:hAnsi="宋体" w:eastAsia="宋体" w:cs="宋体"/>
          <w:color w:val="auto"/>
          <w:sz w:val="24"/>
          <w:szCs w:val="24"/>
          <w:lang w:val="en-US" w:eastAsia="zh-CN"/>
        </w:rPr>
        <w:t>电子</w:t>
      </w:r>
      <w:r>
        <w:rPr>
          <w:rFonts w:hint="eastAsia" w:ascii="宋体" w:hAnsi="宋体" w:eastAsia="宋体" w:cs="宋体"/>
          <w:color w:val="auto"/>
          <w:sz w:val="24"/>
          <w:szCs w:val="24"/>
        </w:rPr>
        <w:t>附件1：2025年常熟市23条市级及以上河道长效管理明细表及</w:t>
      </w:r>
      <w:r>
        <w:rPr>
          <w:rFonts w:hint="eastAsia" w:ascii="宋体" w:hAnsi="宋体" w:eastAsia="宋体" w:cs="宋体"/>
          <w:color w:val="auto"/>
          <w:sz w:val="24"/>
          <w:szCs w:val="24"/>
          <w:lang w:val="en-US" w:eastAsia="zh-CN"/>
        </w:rPr>
        <w:t>电子</w:t>
      </w:r>
      <w:r>
        <w:rPr>
          <w:rFonts w:hint="eastAsia" w:ascii="宋体" w:hAnsi="宋体" w:eastAsia="宋体" w:cs="宋体"/>
          <w:color w:val="auto"/>
          <w:sz w:val="24"/>
          <w:szCs w:val="24"/>
        </w:rPr>
        <w:t>附件2：常熟市市级河道保洁分标示意图（图内船只分布仅供参考），具体以实际踏勘为准。</w:t>
      </w:r>
    </w:p>
    <w:p w14:paraId="1C150867">
      <w:pPr>
        <w:spacing w:after="0"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2、在作业服务期内，有不利于作业的气候条件如暴雨、暴雪、台风、高温、严寒等，经采购人确认，中标人可暂停相应的河道保洁作业。</w:t>
      </w:r>
    </w:p>
    <w:p w14:paraId="4E5EAC2F">
      <w:pPr>
        <w:spacing w:after="0" w:line="42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（五）总体内容：</w:t>
      </w:r>
    </w:p>
    <w:tbl>
      <w:tblPr>
        <w:tblStyle w:val="54"/>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750"/>
        <w:gridCol w:w="1412"/>
        <w:gridCol w:w="4188"/>
        <w:gridCol w:w="865"/>
        <w:gridCol w:w="1416"/>
      </w:tblGrid>
      <w:tr w14:paraId="329FF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29" w:hRule="atLeast"/>
        </w:trPr>
        <w:tc>
          <w:tcPr>
            <w:tcW w:w="1008" w:type="dxa"/>
            <w:shd w:val="clear" w:color="auto" w:fill="E7E6E6"/>
            <w:noWrap w:val="0"/>
            <w:vAlign w:val="center"/>
          </w:tcPr>
          <w:p w14:paraId="6E6B0E4D">
            <w:pPr>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所属分包</w:t>
            </w:r>
          </w:p>
        </w:tc>
        <w:tc>
          <w:tcPr>
            <w:tcW w:w="750" w:type="dxa"/>
            <w:shd w:val="clear" w:color="auto" w:fill="E7E6E6"/>
            <w:noWrap w:val="0"/>
            <w:vAlign w:val="center"/>
          </w:tcPr>
          <w:p w14:paraId="584EC2E6">
            <w:pPr>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412" w:type="dxa"/>
            <w:shd w:val="clear" w:color="auto" w:fill="E7E6E6"/>
            <w:noWrap w:val="0"/>
            <w:vAlign w:val="center"/>
          </w:tcPr>
          <w:p w14:paraId="4347591D">
            <w:pPr>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河道名称</w:t>
            </w:r>
          </w:p>
        </w:tc>
        <w:tc>
          <w:tcPr>
            <w:tcW w:w="4188" w:type="dxa"/>
            <w:shd w:val="clear" w:color="auto" w:fill="E7E6E6"/>
            <w:noWrap w:val="0"/>
            <w:vAlign w:val="center"/>
          </w:tcPr>
          <w:p w14:paraId="738482A2">
            <w:pPr>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起止地点</w:t>
            </w:r>
          </w:p>
        </w:tc>
        <w:tc>
          <w:tcPr>
            <w:tcW w:w="865" w:type="dxa"/>
            <w:shd w:val="clear" w:color="auto" w:fill="E7E6E6"/>
            <w:noWrap w:val="0"/>
            <w:vAlign w:val="center"/>
          </w:tcPr>
          <w:p w14:paraId="3872CCD5">
            <w:pPr>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长度（km）</w:t>
            </w:r>
          </w:p>
        </w:tc>
        <w:tc>
          <w:tcPr>
            <w:tcW w:w="1416" w:type="dxa"/>
            <w:shd w:val="clear" w:color="auto" w:fill="E7E6E6"/>
            <w:noWrap w:val="0"/>
            <w:vAlign w:val="center"/>
          </w:tcPr>
          <w:p w14:paraId="11FB7FDC">
            <w:pPr>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采购预算（元）</w:t>
            </w:r>
          </w:p>
        </w:tc>
      </w:tr>
      <w:tr w14:paraId="2F66B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restart"/>
            <w:noWrap w:val="0"/>
            <w:vAlign w:val="center"/>
          </w:tcPr>
          <w:p w14:paraId="31ADAEB0">
            <w:pPr>
              <w:spacing w:after="0" w:line="240" w:lineRule="auto"/>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第一包</w:t>
            </w:r>
          </w:p>
        </w:tc>
        <w:tc>
          <w:tcPr>
            <w:tcW w:w="750" w:type="dxa"/>
            <w:noWrap w:val="0"/>
            <w:vAlign w:val="center"/>
          </w:tcPr>
          <w:p w14:paraId="009C79B8">
            <w:pPr>
              <w:keepNext w:val="0"/>
              <w:keepLines w:val="0"/>
              <w:widowControl/>
              <w:suppressLineNumbers w:val="0"/>
              <w:jc w:val="center"/>
              <w:textAlignment w:val="center"/>
              <w:rPr>
                <w:rFonts w:hint="eastAsia" w:ascii="宋体" w:hAnsi="宋体" w:eastAsia="宋体" w:cs="宋体"/>
                <w:bCs w:val="0"/>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412" w:type="dxa"/>
            <w:noWrap w:val="0"/>
            <w:vAlign w:val="center"/>
          </w:tcPr>
          <w:p w14:paraId="5800DEBA">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走马塘</w:t>
            </w:r>
          </w:p>
        </w:tc>
        <w:tc>
          <w:tcPr>
            <w:tcW w:w="4188" w:type="dxa"/>
            <w:noWrap w:val="0"/>
            <w:vAlign w:val="center"/>
          </w:tcPr>
          <w:p w14:paraId="00D19407">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无锡市交界至张家港枢纽下游800米</w:t>
            </w:r>
          </w:p>
        </w:tc>
        <w:tc>
          <w:tcPr>
            <w:tcW w:w="865" w:type="dxa"/>
            <w:noWrap w:val="0"/>
            <w:vAlign w:val="center"/>
          </w:tcPr>
          <w:p w14:paraId="660C286C">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11.9</w:t>
            </w:r>
          </w:p>
        </w:tc>
        <w:tc>
          <w:tcPr>
            <w:tcW w:w="1416" w:type="dxa"/>
            <w:vMerge w:val="restart"/>
            <w:noWrap w:val="0"/>
            <w:vAlign w:val="center"/>
          </w:tcPr>
          <w:p w14:paraId="3B4E8E80">
            <w:pPr>
              <w:spacing w:after="0" w:line="240" w:lineRule="auto"/>
              <w:jc w:val="center"/>
              <w:rPr>
                <w:rFonts w:hint="eastAsia" w:ascii="宋体" w:hAnsi="宋体" w:eastAsia="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1209000.00</w:t>
            </w:r>
          </w:p>
        </w:tc>
      </w:tr>
      <w:tr w14:paraId="7F6FC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5E833CF1">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3C81C644">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412" w:type="dxa"/>
            <w:noWrap w:val="0"/>
            <w:vAlign w:val="center"/>
          </w:tcPr>
          <w:p w14:paraId="4624CCB2">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锡北运河</w:t>
            </w:r>
          </w:p>
        </w:tc>
        <w:tc>
          <w:tcPr>
            <w:tcW w:w="4188" w:type="dxa"/>
            <w:noWrap w:val="0"/>
            <w:vAlign w:val="center"/>
          </w:tcPr>
          <w:p w14:paraId="161D8A0E">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无锡市交界至望虞河口</w:t>
            </w:r>
          </w:p>
        </w:tc>
        <w:tc>
          <w:tcPr>
            <w:tcW w:w="865" w:type="dxa"/>
            <w:noWrap w:val="0"/>
            <w:vAlign w:val="center"/>
          </w:tcPr>
          <w:p w14:paraId="3D7AA5B3">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9.5</w:t>
            </w:r>
          </w:p>
        </w:tc>
        <w:tc>
          <w:tcPr>
            <w:tcW w:w="1416" w:type="dxa"/>
            <w:vMerge w:val="continue"/>
            <w:noWrap w:val="0"/>
            <w:vAlign w:val="center"/>
          </w:tcPr>
          <w:p w14:paraId="26FF1057">
            <w:pPr>
              <w:spacing w:after="0" w:line="240" w:lineRule="auto"/>
              <w:jc w:val="center"/>
              <w:rPr>
                <w:rFonts w:hint="eastAsia" w:ascii="宋体" w:hAnsi="宋体" w:eastAsia="宋体" w:cs="宋体"/>
                <w:bCs w:val="0"/>
                <w:color w:val="auto"/>
                <w:sz w:val="24"/>
                <w:szCs w:val="24"/>
                <w:highlight w:val="none"/>
              </w:rPr>
            </w:pPr>
          </w:p>
        </w:tc>
      </w:tr>
      <w:tr w14:paraId="12387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1443591D">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1260D666">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412" w:type="dxa"/>
            <w:noWrap w:val="0"/>
            <w:vAlign w:val="center"/>
          </w:tcPr>
          <w:p w14:paraId="049B7BC4">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官塘</w:t>
            </w:r>
          </w:p>
        </w:tc>
        <w:tc>
          <w:tcPr>
            <w:tcW w:w="4188" w:type="dxa"/>
            <w:noWrap w:val="0"/>
            <w:vAlign w:val="center"/>
          </w:tcPr>
          <w:p w14:paraId="4106E9E1">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0.49平方公里水域</w:t>
            </w:r>
          </w:p>
        </w:tc>
        <w:tc>
          <w:tcPr>
            <w:tcW w:w="865" w:type="dxa"/>
            <w:noWrap w:val="0"/>
            <w:vAlign w:val="center"/>
          </w:tcPr>
          <w:p w14:paraId="0071A8FB">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1416" w:type="dxa"/>
            <w:vMerge w:val="continue"/>
            <w:noWrap w:val="0"/>
            <w:vAlign w:val="center"/>
          </w:tcPr>
          <w:p w14:paraId="25A1E4B7">
            <w:pPr>
              <w:spacing w:after="0" w:line="240" w:lineRule="auto"/>
              <w:jc w:val="center"/>
              <w:rPr>
                <w:rFonts w:hint="eastAsia" w:ascii="宋体" w:hAnsi="宋体" w:eastAsia="宋体" w:cs="宋体"/>
                <w:bCs w:val="0"/>
                <w:color w:val="auto"/>
                <w:sz w:val="24"/>
                <w:szCs w:val="24"/>
                <w:highlight w:val="none"/>
              </w:rPr>
            </w:pPr>
          </w:p>
        </w:tc>
      </w:tr>
      <w:tr w14:paraId="5C4F2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6C406725">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4EED5F3D">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412" w:type="dxa"/>
            <w:noWrap w:val="0"/>
            <w:vAlign w:val="center"/>
          </w:tcPr>
          <w:p w14:paraId="4BB92141">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张家港河</w:t>
            </w:r>
          </w:p>
        </w:tc>
        <w:tc>
          <w:tcPr>
            <w:tcW w:w="4188" w:type="dxa"/>
            <w:noWrap w:val="0"/>
            <w:vAlign w:val="center"/>
          </w:tcPr>
          <w:p w14:paraId="2D25DD9C">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张家港市交界至望虞河口</w:t>
            </w:r>
          </w:p>
        </w:tc>
        <w:tc>
          <w:tcPr>
            <w:tcW w:w="865" w:type="dxa"/>
            <w:noWrap w:val="0"/>
            <w:vAlign w:val="center"/>
          </w:tcPr>
          <w:p w14:paraId="3ECC8FDF">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8.5</w:t>
            </w:r>
          </w:p>
        </w:tc>
        <w:tc>
          <w:tcPr>
            <w:tcW w:w="1416" w:type="dxa"/>
            <w:vMerge w:val="continue"/>
            <w:noWrap w:val="0"/>
            <w:vAlign w:val="center"/>
          </w:tcPr>
          <w:p w14:paraId="30A966AF">
            <w:pPr>
              <w:spacing w:after="0" w:line="240" w:lineRule="auto"/>
              <w:jc w:val="center"/>
              <w:rPr>
                <w:rFonts w:hint="eastAsia" w:ascii="宋体" w:hAnsi="宋体" w:eastAsia="宋体" w:cs="宋体"/>
                <w:bCs w:val="0"/>
                <w:color w:val="auto"/>
                <w:sz w:val="24"/>
                <w:szCs w:val="24"/>
                <w:highlight w:val="none"/>
              </w:rPr>
            </w:pPr>
          </w:p>
        </w:tc>
      </w:tr>
      <w:tr w14:paraId="55378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2929D262">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2108CF05">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412" w:type="dxa"/>
            <w:noWrap w:val="0"/>
            <w:vAlign w:val="center"/>
          </w:tcPr>
          <w:p w14:paraId="28DD7595">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南福山塘</w:t>
            </w:r>
          </w:p>
        </w:tc>
        <w:tc>
          <w:tcPr>
            <w:tcW w:w="4188" w:type="dxa"/>
            <w:noWrap w:val="0"/>
            <w:vAlign w:val="center"/>
          </w:tcPr>
          <w:p w14:paraId="22F4B127">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北三环至望虞河谢桥南闸</w:t>
            </w:r>
          </w:p>
        </w:tc>
        <w:tc>
          <w:tcPr>
            <w:tcW w:w="865" w:type="dxa"/>
            <w:noWrap w:val="0"/>
            <w:vAlign w:val="center"/>
          </w:tcPr>
          <w:p w14:paraId="11751906">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5.5</w:t>
            </w:r>
          </w:p>
        </w:tc>
        <w:tc>
          <w:tcPr>
            <w:tcW w:w="1416" w:type="dxa"/>
            <w:vMerge w:val="continue"/>
            <w:noWrap w:val="0"/>
            <w:vAlign w:val="center"/>
          </w:tcPr>
          <w:p w14:paraId="3BB92BC6">
            <w:pPr>
              <w:spacing w:after="0" w:line="240" w:lineRule="auto"/>
              <w:jc w:val="center"/>
              <w:rPr>
                <w:rFonts w:hint="eastAsia" w:ascii="宋体" w:hAnsi="宋体" w:eastAsia="宋体" w:cs="宋体"/>
                <w:bCs w:val="0"/>
                <w:color w:val="auto"/>
                <w:sz w:val="24"/>
                <w:szCs w:val="24"/>
                <w:highlight w:val="none"/>
              </w:rPr>
            </w:pPr>
          </w:p>
        </w:tc>
      </w:tr>
      <w:tr w14:paraId="363F3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5C572874">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65C37D1A">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412" w:type="dxa"/>
            <w:noWrap w:val="0"/>
            <w:vAlign w:val="center"/>
          </w:tcPr>
          <w:p w14:paraId="71D4A28A">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北福山塘</w:t>
            </w:r>
          </w:p>
        </w:tc>
        <w:tc>
          <w:tcPr>
            <w:tcW w:w="4188" w:type="dxa"/>
            <w:noWrap w:val="0"/>
            <w:vAlign w:val="center"/>
          </w:tcPr>
          <w:p w14:paraId="36425325">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福山闸至望虞河谢桥北闸</w:t>
            </w:r>
          </w:p>
        </w:tc>
        <w:tc>
          <w:tcPr>
            <w:tcW w:w="865" w:type="dxa"/>
            <w:noWrap w:val="0"/>
            <w:vAlign w:val="center"/>
          </w:tcPr>
          <w:p w14:paraId="74B45CF9">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12.3</w:t>
            </w:r>
          </w:p>
        </w:tc>
        <w:tc>
          <w:tcPr>
            <w:tcW w:w="1416" w:type="dxa"/>
            <w:vMerge w:val="continue"/>
            <w:noWrap w:val="0"/>
            <w:vAlign w:val="center"/>
          </w:tcPr>
          <w:p w14:paraId="1775738B">
            <w:pPr>
              <w:spacing w:after="0" w:line="240" w:lineRule="auto"/>
              <w:jc w:val="center"/>
              <w:rPr>
                <w:rFonts w:hint="eastAsia" w:ascii="宋体" w:hAnsi="宋体" w:eastAsia="宋体" w:cs="宋体"/>
                <w:bCs w:val="0"/>
                <w:color w:val="auto"/>
                <w:sz w:val="24"/>
                <w:szCs w:val="24"/>
                <w:highlight w:val="none"/>
              </w:rPr>
            </w:pPr>
          </w:p>
        </w:tc>
      </w:tr>
      <w:tr w14:paraId="3757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1BA43B30">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6828F665">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412" w:type="dxa"/>
            <w:noWrap w:val="0"/>
            <w:vAlign w:val="center"/>
          </w:tcPr>
          <w:p w14:paraId="74FD0653">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望虞河</w:t>
            </w:r>
          </w:p>
        </w:tc>
        <w:tc>
          <w:tcPr>
            <w:tcW w:w="4188" w:type="dxa"/>
            <w:noWrap w:val="0"/>
            <w:vAlign w:val="center"/>
          </w:tcPr>
          <w:p w14:paraId="536E95D6">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无锡市交界至望虞河枢纽</w:t>
            </w:r>
          </w:p>
        </w:tc>
        <w:tc>
          <w:tcPr>
            <w:tcW w:w="865" w:type="dxa"/>
            <w:noWrap w:val="0"/>
            <w:vAlign w:val="center"/>
          </w:tcPr>
          <w:p w14:paraId="291E7303">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36.2</w:t>
            </w:r>
          </w:p>
        </w:tc>
        <w:tc>
          <w:tcPr>
            <w:tcW w:w="1416" w:type="dxa"/>
            <w:vMerge w:val="continue"/>
            <w:noWrap w:val="0"/>
            <w:vAlign w:val="center"/>
          </w:tcPr>
          <w:p w14:paraId="0ECDD84B">
            <w:pPr>
              <w:spacing w:after="0" w:line="240" w:lineRule="auto"/>
              <w:jc w:val="center"/>
              <w:rPr>
                <w:rFonts w:hint="eastAsia" w:ascii="宋体" w:hAnsi="宋体" w:eastAsia="宋体" w:cs="宋体"/>
                <w:bCs w:val="0"/>
                <w:color w:val="auto"/>
                <w:sz w:val="24"/>
                <w:szCs w:val="24"/>
                <w:highlight w:val="none"/>
              </w:rPr>
            </w:pPr>
          </w:p>
        </w:tc>
      </w:tr>
      <w:tr w14:paraId="50E6E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restart"/>
            <w:noWrap w:val="0"/>
            <w:vAlign w:val="center"/>
          </w:tcPr>
          <w:p w14:paraId="1E86F44E">
            <w:pPr>
              <w:spacing w:after="0" w:line="240" w:lineRule="auto"/>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第二包</w:t>
            </w:r>
          </w:p>
        </w:tc>
        <w:tc>
          <w:tcPr>
            <w:tcW w:w="750" w:type="dxa"/>
            <w:noWrap w:val="0"/>
            <w:vAlign w:val="center"/>
          </w:tcPr>
          <w:p w14:paraId="4A098D5B">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412" w:type="dxa"/>
            <w:noWrap w:val="0"/>
            <w:vAlign w:val="center"/>
          </w:tcPr>
          <w:p w14:paraId="38BC984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盐铁塘</w:t>
            </w:r>
          </w:p>
        </w:tc>
        <w:tc>
          <w:tcPr>
            <w:tcW w:w="4188" w:type="dxa"/>
            <w:noWrap w:val="0"/>
            <w:vAlign w:val="center"/>
          </w:tcPr>
          <w:p w14:paraId="1AD8E21F">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耿泾至董浜镇交界</w:t>
            </w:r>
          </w:p>
        </w:tc>
        <w:tc>
          <w:tcPr>
            <w:tcW w:w="865" w:type="dxa"/>
            <w:noWrap w:val="0"/>
            <w:vAlign w:val="center"/>
          </w:tcPr>
          <w:p w14:paraId="79893F4F">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13.3</w:t>
            </w:r>
          </w:p>
        </w:tc>
        <w:tc>
          <w:tcPr>
            <w:tcW w:w="1416" w:type="dxa"/>
            <w:vMerge w:val="restart"/>
            <w:noWrap w:val="0"/>
            <w:vAlign w:val="center"/>
          </w:tcPr>
          <w:p w14:paraId="692E97E4">
            <w:pPr>
              <w:spacing w:after="0" w:line="240" w:lineRule="auto"/>
              <w:jc w:val="center"/>
              <w:rPr>
                <w:rFonts w:hint="eastAsia" w:ascii="宋体" w:hAnsi="宋体" w:eastAsia="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1314000.00</w:t>
            </w:r>
          </w:p>
        </w:tc>
      </w:tr>
      <w:tr w14:paraId="13C23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04DD2A9E">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5C6FB001">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1412" w:type="dxa"/>
            <w:noWrap w:val="0"/>
            <w:vAlign w:val="center"/>
          </w:tcPr>
          <w:p w14:paraId="480CEFEE">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Style w:val="181"/>
                <w:rFonts w:hint="eastAsia" w:ascii="宋体" w:hAnsi="宋体" w:eastAsia="宋体" w:cs="宋体"/>
                <w:color w:val="auto"/>
                <w:sz w:val="24"/>
                <w:szCs w:val="24"/>
                <w:highlight w:val="none"/>
                <w:lang w:val="en-US" w:eastAsia="zh-CN" w:bidi="ar"/>
              </w:rPr>
              <w:t>常浒河</w:t>
            </w:r>
          </w:p>
        </w:tc>
        <w:tc>
          <w:tcPr>
            <w:tcW w:w="4188" w:type="dxa"/>
            <w:noWrap w:val="0"/>
            <w:vAlign w:val="center"/>
          </w:tcPr>
          <w:p w14:paraId="77302BD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东三环至浒浦闸</w:t>
            </w:r>
          </w:p>
        </w:tc>
        <w:tc>
          <w:tcPr>
            <w:tcW w:w="865" w:type="dxa"/>
            <w:noWrap w:val="0"/>
            <w:vAlign w:val="center"/>
          </w:tcPr>
          <w:p w14:paraId="581ACFE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18.5</w:t>
            </w:r>
          </w:p>
        </w:tc>
        <w:tc>
          <w:tcPr>
            <w:tcW w:w="1416" w:type="dxa"/>
            <w:vMerge w:val="continue"/>
            <w:noWrap w:val="0"/>
            <w:vAlign w:val="center"/>
          </w:tcPr>
          <w:p w14:paraId="42A83BA4">
            <w:pPr>
              <w:spacing w:after="0" w:line="240" w:lineRule="auto"/>
              <w:jc w:val="center"/>
              <w:rPr>
                <w:rFonts w:hint="eastAsia" w:ascii="宋体" w:hAnsi="宋体" w:eastAsia="宋体" w:cs="宋体"/>
                <w:bCs w:val="0"/>
                <w:color w:val="auto"/>
                <w:sz w:val="24"/>
                <w:szCs w:val="24"/>
                <w:highlight w:val="none"/>
              </w:rPr>
            </w:pPr>
          </w:p>
        </w:tc>
      </w:tr>
      <w:tr w14:paraId="51595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6B95FB8C">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31CC137F">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1412" w:type="dxa"/>
            <w:noWrap w:val="0"/>
            <w:vAlign w:val="center"/>
          </w:tcPr>
          <w:p w14:paraId="4D17081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新开环河</w:t>
            </w:r>
          </w:p>
        </w:tc>
        <w:tc>
          <w:tcPr>
            <w:tcW w:w="4188" w:type="dxa"/>
            <w:noWrap w:val="0"/>
            <w:vAlign w:val="center"/>
          </w:tcPr>
          <w:p w14:paraId="26C36D2E">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常浒河至张家港河</w:t>
            </w:r>
          </w:p>
        </w:tc>
        <w:tc>
          <w:tcPr>
            <w:tcW w:w="865" w:type="dxa"/>
            <w:noWrap w:val="0"/>
            <w:vAlign w:val="center"/>
          </w:tcPr>
          <w:p w14:paraId="7969C83E">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9.2</w:t>
            </w:r>
          </w:p>
        </w:tc>
        <w:tc>
          <w:tcPr>
            <w:tcW w:w="1416" w:type="dxa"/>
            <w:vMerge w:val="continue"/>
            <w:noWrap w:val="0"/>
            <w:vAlign w:val="center"/>
          </w:tcPr>
          <w:p w14:paraId="63C6A467">
            <w:pPr>
              <w:spacing w:after="0" w:line="240" w:lineRule="auto"/>
              <w:jc w:val="center"/>
              <w:rPr>
                <w:rFonts w:hint="eastAsia" w:ascii="宋体" w:hAnsi="宋体" w:eastAsia="宋体" w:cs="宋体"/>
                <w:bCs w:val="0"/>
                <w:color w:val="auto"/>
                <w:sz w:val="24"/>
                <w:szCs w:val="24"/>
                <w:highlight w:val="none"/>
              </w:rPr>
            </w:pPr>
          </w:p>
        </w:tc>
      </w:tr>
      <w:tr w14:paraId="3EA75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08005803">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0CBFD82E">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1412" w:type="dxa"/>
            <w:noWrap w:val="0"/>
            <w:vAlign w:val="center"/>
          </w:tcPr>
          <w:p w14:paraId="0F1A9956">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耿泾</w:t>
            </w:r>
          </w:p>
        </w:tc>
        <w:tc>
          <w:tcPr>
            <w:tcW w:w="4188" w:type="dxa"/>
            <w:noWrap w:val="0"/>
            <w:vAlign w:val="center"/>
          </w:tcPr>
          <w:p w14:paraId="37F4410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北三环至耿泾塘闸</w:t>
            </w:r>
          </w:p>
        </w:tc>
        <w:tc>
          <w:tcPr>
            <w:tcW w:w="865" w:type="dxa"/>
            <w:noWrap w:val="0"/>
            <w:vAlign w:val="center"/>
          </w:tcPr>
          <w:p w14:paraId="58A7DBE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15.4</w:t>
            </w:r>
          </w:p>
        </w:tc>
        <w:tc>
          <w:tcPr>
            <w:tcW w:w="1416" w:type="dxa"/>
            <w:vMerge w:val="continue"/>
            <w:noWrap w:val="0"/>
            <w:vAlign w:val="center"/>
          </w:tcPr>
          <w:p w14:paraId="0FA2A296">
            <w:pPr>
              <w:spacing w:after="0" w:line="240" w:lineRule="auto"/>
              <w:jc w:val="center"/>
              <w:rPr>
                <w:rFonts w:hint="eastAsia" w:ascii="宋体" w:hAnsi="宋体" w:eastAsia="宋体" w:cs="宋体"/>
                <w:bCs w:val="0"/>
                <w:color w:val="auto"/>
                <w:sz w:val="24"/>
                <w:szCs w:val="24"/>
                <w:highlight w:val="none"/>
              </w:rPr>
            </w:pPr>
          </w:p>
        </w:tc>
      </w:tr>
      <w:tr w14:paraId="00E5A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3D24A8F0">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3449D76E">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1412" w:type="dxa"/>
            <w:noWrap w:val="0"/>
            <w:vAlign w:val="center"/>
          </w:tcPr>
          <w:p w14:paraId="140EC24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海洋泾</w:t>
            </w:r>
          </w:p>
        </w:tc>
        <w:tc>
          <w:tcPr>
            <w:tcW w:w="4188" w:type="dxa"/>
            <w:noWrap w:val="0"/>
            <w:vAlign w:val="center"/>
          </w:tcPr>
          <w:p w14:paraId="1B5D1648">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花板塘至海洋泾枢纽</w:t>
            </w:r>
          </w:p>
        </w:tc>
        <w:tc>
          <w:tcPr>
            <w:tcW w:w="865" w:type="dxa"/>
            <w:noWrap w:val="0"/>
            <w:vAlign w:val="center"/>
          </w:tcPr>
          <w:p w14:paraId="15365E0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15.2</w:t>
            </w:r>
          </w:p>
        </w:tc>
        <w:tc>
          <w:tcPr>
            <w:tcW w:w="1416" w:type="dxa"/>
            <w:vMerge w:val="continue"/>
            <w:noWrap w:val="0"/>
            <w:vAlign w:val="center"/>
          </w:tcPr>
          <w:p w14:paraId="1169F343">
            <w:pPr>
              <w:spacing w:after="0" w:line="240" w:lineRule="auto"/>
              <w:jc w:val="center"/>
              <w:rPr>
                <w:rFonts w:hint="eastAsia" w:ascii="宋体" w:hAnsi="宋体" w:eastAsia="宋体" w:cs="宋体"/>
                <w:bCs w:val="0"/>
                <w:color w:val="auto"/>
                <w:sz w:val="24"/>
                <w:szCs w:val="24"/>
                <w:highlight w:val="none"/>
              </w:rPr>
            </w:pPr>
          </w:p>
        </w:tc>
      </w:tr>
      <w:tr w14:paraId="03DE9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633D1140">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2AC9D007">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1412" w:type="dxa"/>
            <w:noWrap w:val="0"/>
            <w:vAlign w:val="center"/>
          </w:tcPr>
          <w:p w14:paraId="2E6EDB1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花板塘</w:t>
            </w:r>
          </w:p>
        </w:tc>
        <w:tc>
          <w:tcPr>
            <w:tcW w:w="4188" w:type="dxa"/>
            <w:noWrap w:val="0"/>
            <w:vAlign w:val="center"/>
          </w:tcPr>
          <w:p w14:paraId="7690B71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南福山塘至常浒河</w:t>
            </w:r>
          </w:p>
        </w:tc>
        <w:tc>
          <w:tcPr>
            <w:tcW w:w="865" w:type="dxa"/>
            <w:noWrap w:val="0"/>
            <w:vAlign w:val="center"/>
          </w:tcPr>
          <w:p w14:paraId="5025526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3.1</w:t>
            </w:r>
          </w:p>
        </w:tc>
        <w:tc>
          <w:tcPr>
            <w:tcW w:w="1416" w:type="dxa"/>
            <w:vMerge w:val="continue"/>
            <w:noWrap w:val="0"/>
            <w:vAlign w:val="center"/>
          </w:tcPr>
          <w:p w14:paraId="5503B430">
            <w:pPr>
              <w:spacing w:after="0" w:line="240" w:lineRule="auto"/>
              <w:jc w:val="center"/>
              <w:rPr>
                <w:rFonts w:hint="eastAsia" w:ascii="宋体" w:hAnsi="宋体" w:eastAsia="宋体" w:cs="宋体"/>
                <w:bCs w:val="0"/>
                <w:color w:val="auto"/>
                <w:sz w:val="24"/>
                <w:szCs w:val="24"/>
                <w:highlight w:val="none"/>
              </w:rPr>
            </w:pPr>
          </w:p>
        </w:tc>
      </w:tr>
      <w:tr w14:paraId="49B5F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1D75EE0E">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7014A337">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1412" w:type="dxa"/>
            <w:noWrap w:val="0"/>
            <w:vAlign w:val="center"/>
          </w:tcPr>
          <w:p w14:paraId="173E9A1E">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徐六泾</w:t>
            </w:r>
          </w:p>
        </w:tc>
        <w:tc>
          <w:tcPr>
            <w:tcW w:w="4188" w:type="dxa"/>
            <w:noWrap w:val="0"/>
            <w:vAlign w:val="center"/>
          </w:tcPr>
          <w:p w14:paraId="71D9C7B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苏家尖至马潭浜路桥</w:t>
            </w:r>
          </w:p>
        </w:tc>
        <w:tc>
          <w:tcPr>
            <w:tcW w:w="865" w:type="dxa"/>
            <w:noWrap w:val="0"/>
            <w:vAlign w:val="center"/>
          </w:tcPr>
          <w:p w14:paraId="7AF42AFA">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7.5</w:t>
            </w:r>
          </w:p>
        </w:tc>
        <w:tc>
          <w:tcPr>
            <w:tcW w:w="1416" w:type="dxa"/>
            <w:vMerge w:val="continue"/>
            <w:noWrap w:val="0"/>
            <w:vAlign w:val="center"/>
          </w:tcPr>
          <w:p w14:paraId="02C00CFF">
            <w:pPr>
              <w:spacing w:after="0" w:line="240" w:lineRule="auto"/>
              <w:jc w:val="center"/>
              <w:rPr>
                <w:rFonts w:hint="eastAsia" w:ascii="宋体" w:hAnsi="宋体" w:eastAsia="宋体" w:cs="宋体"/>
                <w:bCs w:val="0"/>
                <w:color w:val="auto"/>
                <w:sz w:val="24"/>
                <w:szCs w:val="24"/>
                <w:highlight w:val="none"/>
              </w:rPr>
            </w:pPr>
          </w:p>
        </w:tc>
      </w:tr>
      <w:tr w14:paraId="4AC61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28345291">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7478B330">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1412" w:type="dxa"/>
            <w:noWrap w:val="0"/>
            <w:vAlign w:val="center"/>
          </w:tcPr>
          <w:p w14:paraId="6738CDD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青墩塘</w:t>
            </w:r>
          </w:p>
        </w:tc>
        <w:tc>
          <w:tcPr>
            <w:tcW w:w="4188" w:type="dxa"/>
            <w:noWrap w:val="0"/>
            <w:vAlign w:val="center"/>
          </w:tcPr>
          <w:p w14:paraId="1216FBF5">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东三环至苏家尖</w:t>
            </w:r>
          </w:p>
        </w:tc>
        <w:tc>
          <w:tcPr>
            <w:tcW w:w="865" w:type="dxa"/>
            <w:noWrap w:val="0"/>
            <w:vAlign w:val="center"/>
          </w:tcPr>
          <w:p w14:paraId="3619837E">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9.5</w:t>
            </w:r>
          </w:p>
        </w:tc>
        <w:tc>
          <w:tcPr>
            <w:tcW w:w="1416" w:type="dxa"/>
            <w:vMerge w:val="continue"/>
            <w:noWrap w:val="0"/>
            <w:vAlign w:val="center"/>
          </w:tcPr>
          <w:p w14:paraId="42591F71">
            <w:pPr>
              <w:spacing w:after="0" w:line="240" w:lineRule="auto"/>
              <w:jc w:val="center"/>
              <w:rPr>
                <w:rFonts w:hint="eastAsia" w:ascii="宋体" w:hAnsi="宋体" w:eastAsia="宋体" w:cs="宋体"/>
                <w:bCs w:val="0"/>
                <w:color w:val="auto"/>
                <w:sz w:val="24"/>
                <w:szCs w:val="24"/>
                <w:highlight w:val="none"/>
              </w:rPr>
            </w:pPr>
          </w:p>
        </w:tc>
      </w:tr>
      <w:tr w14:paraId="0C140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3BDB34B9">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40F1D70A">
            <w:pPr>
              <w:keepNext w:val="0"/>
              <w:keepLines w:val="0"/>
              <w:widowControl/>
              <w:suppressLineNumbers w:val="0"/>
              <w:jc w:val="center"/>
              <w:textAlignment w:val="center"/>
              <w:rPr>
                <w:rFonts w:hint="eastAsia" w:ascii="宋体" w:hAnsi="宋体" w:eastAsia="宋体" w:cs="宋体"/>
                <w:color w:val="auto"/>
                <w:sz w:val="24"/>
                <w:szCs w:val="24"/>
                <w:highlight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1412" w:type="dxa"/>
            <w:noWrap w:val="0"/>
            <w:vAlign w:val="center"/>
          </w:tcPr>
          <w:p w14:paraId="113A3717">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张家港河</w:t>
            </w:r>
          </w:p>
        </w:tc>
        <w:tc>
          <w:tcPr>
            <w:tcW w:w="4188" w:type="dxa"/>
            <w:noWrap w:val="0"/>
            <w:vAlign w:val="center"/>
          </w:tcPr>
          <w:p w14:paraId="026C093F">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南三环至东南大桥</w:t>
            </w:r>
          </w:p>
        </w:tc>
        <w:tc>
          <w:tcPr>
            <w:tcW w:w="865" w:type="dxa"/>
            <w:noWrap w:val="0"/>
            <w:vAlign w:val="center"/>
          </w:tcPr>
          <w:p w14:paraId="63800E7A">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4.5</w:t>
            </w:r>
          </w:p>
        </w:tc>
        <w:tc>
          <w:tcPr>
            <w:tcW w:w="1416" w:type="dxa"/>
            <w:vMerge w:val="continue"/>
            <w:noWrap w:val="0"/>
            <w:vAlign w:val="center"/>
          </w:tcPr>
          <w:p w14:paraId="5C73FC88">
            <w:pPr>
              <w:spacing w:after="0" w:line="240" w:lineRule="auto"/>
              <w:jc w:val="center"/>
              <w:rPr>
                <w:rFonts w:hint="eastAsia" w:ascii="宋体" w:hAnsi="宋体" w:eastAsia="宋体" w:cs="宋体"/>
                <w:bCs w:val="0"/>
                <w:color w:val="auto"/>
                <w:sz w:val="24"/>
                <w:szCs w:val="24"/>
                <w:highlight w:val="none"/>
              </w:rPr>
            </w:pPr>
          </w:p>
        </w:tc>
      </w:tr>
      <w:tr w14:paraId="3558C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restart"/>
            <w:noWrap w:val="0"/>
            <w:vAlign w:val="center"/>
          </w:tcPr>
          <w:p w14:paraId="45989B53">
            <w:pPr>
              <w:spacing w:after="0" w:line="240" w:lineRule="auto"/>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第三包</w:t>
            </w:r>
          </w:p>
        </w:tc>
        <w:tc>
          <w:tcPr>
            <w:tcW w:w="750" w:type="dxa"/>
            <w:noWrap w:val="0"/>
            <w:vAlign w:val="center"/>
          </w:tcPr>
          <w:p w14:paraId="14C1500F">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w:t>
            </w:r>
          </w:p>
        </w:tc>
        <w:tc>
          <w:tcPr>
            <w:tcW w:w="1412" w:type="dxa"/>
            <w:noWrap w:val="0"/>
            <w:vAlign w:val="center"/>
          </w:tcPr>
          <w:p w14:paraId="73E2229C">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盐铁塘</w:t>
            </w:r>
          </w:p>
        </w:tc>
        <w:tc>
          <w:tcPr>
            <w:tcW w:w="4188" w:type="dxa"/>
            <w:noWrap w:val="0"/>
            <w:vAlign w:val="center"/>
          </w:tcPr>
          <w:p w14:paraId="7D6ABCE6">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董浜镇交界至太仓市交界</w:t>
            </w:r>
          </w:p>
        </w:tc>
        <w:tc>
          <w:tcPr>
            <w:tcW w:w="865" w:type="dxa"/>
            <w:noWrap w:val="0"/>
            <w:vAlign w:val="center"/>
          </w:tcPr>
          <w:p w14:paraId="76C7EE0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14.6</w:t>
            </w:r>
          </w:p>
        </w:tc>
        <w:tc>
          <w:tcPr>
            <w:tcW w:w="1416" w:type="dxa"/>
            <w:vMerge w:val="restart"/>
            <w:noWrap w:val="0"/>
            <w:vAlign w:val="center"/>
          </w:tcPr>
          <w:p w14:paraId="0CF7A0A3">
            <w:pPr>
              <w:spacing w:after="0" w:line="240" w:lineRule="auto"/>
              <w:jc w:val="center"/>
              <w:rPr>
                <w:rFonts w:hint="eastAsia" w:ascii="宋体" w:hAnsi="宋体" w:eastAsia="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1171000.00</w:t>
            </w:r>
          </w:p>
        </w:tc>
      </w:tr>
      <w:tr w14:paraId="471A3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60C18569">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26174B0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1412" w:type="dxa"/>
            <w:noWrap w:val="0"/>
            <w:vAlign w:val="center"/>
          </w:tcPr>
          <w:p w14:paraId="3E922BA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徐六泾</w:t>
            </w:r>
          </w:p>
        </w:tc>
        <w:tc>
          <w:tcPr>
            <w:tcW w:w="4188" w:type="dxa"/>
            <w:noWrap w:val="0"/>
            <w:vAlign w:val="center"/>
          </w:tcPr>
          <w:p w14:paraId="1B7765D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马潭浜路桥至徐六泾闸</w:t>
            </w:r>
          </w:p>
        </w:tc>
        <w:tc>
          <w:tcPr>
            <w:tcW w:w="865" w:type="dxa"/>
            <w:noWrap w:val="0"/>
            <w:vAlign w:val="center"/>
          </w:tcPr>
          <w:p w14:paraId="55FD280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9.6</w:t>
            </w:r>
          </w:p>
        </w:tc>
        <w:tc>
          <w:tcPr>
            <w:tcW w:w="1416" w:type="dxa"/>
            <w:vMerge w:val="continue"/>
            <w:noWrap w:val="0"/>
            <w:vAlign w:val="center"/>
          </w:tcPr>
          <w:p w14:paraId="21DD689D">
            <w:pPr>
              <w:spacing w:after="0" w:line="240" w:lineRule="auto"/>
              <w:jc w:val="center"/>
              <w:rPr>
                <w:rFonts w:hint="eastAsia" w:ascii="宋体" w:hAnsi="宋体" w:eastAsia="宋体" w:cs="宋体"/>
                <w:bCs w:val="0"/>
                <w:color w:val="auto"/>
                <w:sz w:val="24"/>
                <w:szCs w:val="24"/>
                <w:highlight w:val="none"/>
              </w:rPr>
            </w:pPr>
          </w:p>
        </w:tc>
      </w:tr>
      <w:tr w14:paraId="4E02C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60D809BD">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578619A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3</w:t>
            </w:r>
          </w:p>
        </w:tc>
        <w:tc>
          <w:tcPr>
            <w:tcW w:w="1412" w:type="dxa"/>
            <w:noWrap w:val="0"/>
            <w:vAlign w:val="center"/>
          </w:tcPr>
          <w:p w14:paraId="0193B1A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金泾</w:t>
            </w:r>
          </w:p>
        </w:tc>
        <w:tc>
          <w:tcPr>
            <w:tcW w:w="4188" w:type="dxa"/>
            <w:noWrap w:val="0"/>
            <w:vAlign w:val="center"/>
          </w:tcPr>
          <w:p w14:paraId="115BC3CB">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苏家尖至金泾闸</w:t>
            </w:r>
          </w:p>
        </w:tc>
        <w:tc>
          <w:tcPr>
            <w:tcW w:w="865" w:type="dxa"/>
            <w:noWrap w:val="0"/>
            <w:vAlign w:val="center"/>
          </w:tcPr>
          <w:p w14:paraId="4F79096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21.7</w:t>
            </w:r>
          </w:p>
        </w:tc>
        <w:tc>
          <w:tcPr>
            <w:tcW w:w="1416" w:type="dxa"/>
            <w:vMerge w:val="continue"/>
            <w:noWrap w:val="0"/>
            <w:vAlign w:val="center"/>
          </w:tcPr>
          <w:p w14:paraId="75D1D527">
            <w:pPr>
              <w:spacing w:after="0" w:line="240" w:lineRule="auto"/>
              <w:jc w:val="center"/>
              <w:rPr>
                <w:rFonts w:hint="eastAsia" w:ascii="宋体" w:hAnsi="宋体" w:eastAsia="宋体" w:cs="宋体"/>
                <w:bCs w:val="0"/>
                <w:color w:val="auto"/>
                <w:sz w:val="24"/>
                <w:szCs w:val="24"/>
                <w:highlight w:val="none"/>
              </w:rPr>
            </w:pPr>
          </w:p>
        </w:tc>
      </w:tr>
      <w:tr w14:paraId="60017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5833DDAC">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0DDBA1CC">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1412" w:type="dxa"/>
            <w:noWrap w:val="0"/>
            <w:vAlign w:val="center"/>
          </w:tcPr>
          <w:p w14:paraId="2DA75B6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白茆塘</w:t>
            </w:r>
          </w:p>
        </w:tc>
        <w:tc>
          <w:tcPr>
            <w:tcW w:w="4188" w:type="dxa"/>
            <w:noWrap w:val="0"/>
            <w:vAlign w:val="center"/>
          </w:tcPr>
          <w:p w14:paraId="50037376">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东三环至白茆塘闸</w:t>
            </w:r>
          </w:p>
        </w:tc>
        <w:tc>
          <w:tcPr>
            <w:tcW w:w="865" w:type="dxa"/>
            <w:noWrap w:val="0"/>
            <w:vAlign w:val="center"/>
          </w:tcPr>
          <w:p w14:paraId="6F25569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35.5</w:t>
            </w:r>
          </w:p>
        </w:tc>
        <w:tc>
          <w:tcPr>
            <w:tcW w:w="1416" w:type="dxa"/>
            <w:vMerge w:val="continue"/>
            <w:noWrap w:val="0"/>
            <w:vAlign w:val="center"/>
          </w:tcPr>
          <w:p w14:paraId="2333F57B">
            <w:pPr>
              <w:spacing w:after="0" w:line="240" w:lineRule="auto"/>
              <w:jc w:val="center"/>
              <w:rPr>
                <w:rFonts w:hint="eastAsia" w:ascii="宋体" w:hAnsi="宋体" w:eastAsia="宋体" w:cs="宋体"/>
                <w:bCs w:val="0"/>
                <w:color w:val="auto"/>
                <w:sz w:val="24"/>
                <w:szCs w:val="24"/>
                <w:highlight w:val="none"/>
              </w:rPr>
            </w:pPr>
          </w:p>
        </w:tc>
      </w:tr>
      <w:tr w14:paraId="317CD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39D71FE9">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0B46EC7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5</w:t>
            </w:r>
          </w:p>
        </w:tc>
        <w:tc>
          <w:tcPr>
            <w:tcW w:w="1412" w:type="dxa"/>
            <w:noWrap w:val="0"/>
            <w:vAlign w:val="center"/>
          </w:tcPr>
          <w:p w14:paraId="1A7C8ABE">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三泾</w:t>
            </w:r>
          </w:p>
        </w:tc>
        <w:tc>
          <w:tcPr>
            <w:tcW w:w="4188" w:type="dxa"/>
            <w:noWrap w:val="0"/>
            <w:vAlign w:val="center"/>
          </w:tcPr>
          <w:p w14:paraId="799B087C">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白茆塘至七浦塘</w:t>
            </w:r>
          </w:p>
        </w:tc>
        <w:tc>
          <w:tcPr>
            <w:tcW w:w="865" w:type="dxa"/>
            <w:noWrap w:val="0"/>
            <w:vAlign w:val="center"/>
          </w:tcPr>
          <w:p w14:paraId="393A24D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10.6</w:t>
            </w:r>
          </w:p>
        </w:tc>
        <w:tc>
          <w:tcPr>
            <w:tcW w:w="1416" w:type="dxa"/>
            <w:vMerge w:val="continue"/>
            <w:noWrap w:val="0"/>
            <w:vAlign w:val="center"/>
          </w:tcPr>
          <w:p w14:paraId="7D057BB1">
            <w:pPr>
              <w:spacing w:after="0" w:line="240" w:lineRule="auto"/>
              <w:jc w:val="center"/>
              <w:rPr>
                <w:rFonts w:hint="eastAsia" w:ascii="宋体" w:hAnsi="宋体" w:eastAsia="宋体" w:cs="宋体"/>
                <w:bCs w:val="0"/>
                <w:color w:val="auto"/>
                <w:sz w:val="24"/>
                <w:szCs w:val="24"/>
                <w:highlight w:val="none"/>
              </w:rPr>
            </w:pPr>
          </w:p>
        </w:tc>
      </w:tr>
      <w:tr w14:paraId="38BE0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restart"/>
            <w:noWrap w:val="0"/>
            <w:vAlign w:val="center"/>
          </w:tcPr>
          <w:p w14:paraId="6485ED6C">
            <w:pPr>
              <w:spacing w:after="0" w:line="240" w:lineRule="auto"/>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第四包</w:t>
            </w:r>
          </w:p>
        </w:tc>
        <w:tc>
          <w:tcPr>
            <w:tcW w:w="750" w:type="dxa"/>
            <w:noWrap w:val="0"/>
            <w:vAlign w:val="center"/>
          </w:tcPr>
          <w:p w14:paraId="1E7CD96C">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w:t>
            </w:r>
          </w:p>
        </w:tc>
        <w:tc>
          <w:tcPr>
            <w:tcW w:w="1412" w:type="dxa"/>
            <w:noWrap w:val="0"/>
            <w:vAlign w:val="center"/>
          </w:tcPr>
          <w:p w14:paraId="6C8885E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尤泾</w:t>
            </w:r>
          </w:p>
        </w:tc>
        <w:tc>
          <w:tcPr>
            <w:tcW w:w="4188" w:type="dxa"/>
            <w:noWrap w:val="0"/>
            <w:vAlign w:val="center"/>
          </w:tcPr>
          <w:p w14:paraId="57DCF18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张家港河至白茆塘</w:t>
            </w:r>
          </w:p>
        </w:tc>
        <w:tc>
          <w:tcPr>
            <w:tcW w:w="865" w:type="dxa"/>
            <w:noWrap w:val="0"/>
            <w:vAlign w:val="center"/>
          </w:tcPr>
          <w:p w14:paraId="0F246D0B">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11.3</w:t>
            </w:r>
          </w:p>
        </w:tc>
        <w:tc>
          <w:tcPr>
            <w:tcW w:w="1416" w:type="dxa"/>
            <w:vMerge w:val="restart"/>
            <w:noWrap w:val="0"/>
            <w:vAlign w:val="center"/>
          </w:tcPr>
          <w:p w14:paraId="78D4C3DD">
            <w:pPr>
              <w:spacing w:after="0" w:line="240" w:lineRule="auto"/>
              <w:jc w:val="center"/>
              <w:rPr>
                <w:rFonts w:hint="eastAsia" w:ascii="宋体" w:hAnsi="宋体" w:eastAsia="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1395000.00</w:t>
            </w:r>
          </w:p>
        </w:tc>
      </w:tr>
      <w:tr w14:paraId="426BF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5B4A30BD">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347A3F1F">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1412" w:type="dxa"/>
            <w:noWrap w:val="0"/>
            <w:vAlign w:val="center"/>
          </w:tcPr>
          <w:p w14:paraId="3D381EDB">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张家港河</w:t>
            </w:r>
          </w:p>
        </w:tc>
        <w:tc>
          <w:tcPr>
            <w:tcW w:w="4188" w:type="dxa"/>
            <w:noWrap w:val="0"/>
            <w:vAlign w:val="center"/>
          </w:tcPr>
          <w:p w14:paraId="29295C1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东南大桥至昆山市交界</w:t>
            </w:r>
          </w:p>
        </w:tc>
        <w:tc>
          <w:tcPr>
            <w:tcW w:w="865" w:type="dxa"/>
            <w:noWrap w:val="0"/>
            <w:vAlign w:val="center"/>
          </w:tcPr>
          <w:p w14:paraId="476B2B3A">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21.8</w:t>
            </w:r>
          </w:p>
        </w:tc>
        <w:tc>
          <w:tcPr>
            <w:tcW w:w="1416" w:type="dxa"/>
            <w:vMerge w:val="continue"/>
            <w:noWrap w:val="0"/>
            <w:vAlign w:val="center"/>
          </w:tcPr>
          <w:p w14:paraId="21417B69">
            <w:pPr>
              <w:spacing w:after="0" w:line="240" w:lineRule="auto"/>
              <w:jc w:val="center"/>
              <w:rPr>
                <w:rFonts w:hint="eastAsia" w:ascii="宋体" w:hAnsi="宋体" w:eastAsia="宋体" w:cs="宋体"/>
                <w:bCs w:val="0"/>
                <w:color w:val="auto"/>
                <w:sz w:val="24"/>
                <w:szCs w:val="24"/>
                <w:highlight w:val="none"/>
              </w:rPr>
            </w:pPr>
          </w:p>
        </w:tc>
      </w:tr>
      <w:tr w14:paraId="65B73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4E4CA2C4">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2ABC02A7">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3</w:t>
            </w:r>
          </w:p>
        </w:tc>
        <w:tc>
          <w:tcPr>
            <w:tcW w:w="1412" w:type="dxa"/>
            <w:noWrap w:val="0"/>
            <w:vAlign w:val="center"/>
          </w:tcPr>
          <w:p w14:paraId="78061508">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大滃</w:t>
            </w:r>
          </w:p>
        </w:tc>
        <w:tc>
          <w:tcPr>
            <w:tcW w:w="4188" w:type="dxa"/>
            <w:noWrap w:val="0"/>
            <w:vAlign w:val="center"/>
          </w:tcPr>
          <w:p w14:paraId="035E4AE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昆承湖至白茆塘</w:t>
            </w:r>
          </w:p>
        </w:tc>
        <w:tc>
          <w:tcPr>
            <w:tcW w:w="865" w:type="dxa"/>
            <w:noWrap w:val="0"/>
            <w:vAlign w:val="center"/>
          </w:tcPr>
          <w:p w14:paraId="67A33A8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10.3</w:t>
            </w:r>
          </w:p>
        </w:tc>
        <w:tc>
          <w:tcPr>
            <w:tcW w:w="1416" w:type="dxa"/>
            <w:vMerge w:val="continue"/>
            <w:noWrap w:val="0"/>
            <w:vAlign w:val="center"/>
          </w:tcPr>
          <w:p w14:paraId="232891AF">
            <w:pPr>
              <w:spacing w:after="0" w:line="240" w:lineRule="auto"/>
              <w:jc w:val="center"/>
              <w:rPr>
                <w:rFonts w:hint="eastAsia" w:ascii="宋体" w:hAnsi="宋体" w:eastAsia="宋体" w:cs="宋体"/>
                <w:bCs w:val="0"/>
                <w:color w:val="auto"/>
                <w:sz w:val="24"/>
                <w:szCs w:val="24"/>
                <w:highlight w:val="none"/>
              </w:rPr>
            </w:pPr>
          </w:p>
        </w:tc>
      </w:tr>
      <w:tr w14:paraId="7176F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2E429318">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0025DD7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1412" w:type="dxa"/>
            <w:noWrap w:val="0"/>
            <w:vAlign w:val="center"/>
          </w:tcPr>
          <w:p w14:paraId="073A796A">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蛇泾（含济民塘）</w:t>
            </w:r>
          </w:p>
        </w:tc>
        <w:tc>
          <w:tcPr>
            <w:tcW w:w="4188" w:type="dxa"/>
            <w:noWrap w:val="0"/>
            <w:vAlign w:val="center"/>
          </w:tcPr>
          <w:p w14:paraId="65E02699">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辛安塘至昆承湖</w:t>
            </w:r>
          </w:p>
        </w:tc>
        <w:tc>
          <w:tcPr>
            <w:tcW w:w="865" w:type="dxa"/>
            <w:noWrap w:val="0"/>
            <w:vAlign w:val="center"/>
          </w:tcPr>
          <w:p w14:paraId="7E5CE2A4">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9.9</w:t>
            </w:r>
          </w:p>
        </w:tc>
        <w:tc>
          <w:tcPr>
            <w:tcW w:w="1416" w:type="dxa"/>
            <w:vMerge w:val="continue"/>
            <w:noWrap w:val="0"/>
            <w:vAlign w:val="center"/>
          </w:tcPr>
          <w:p w14:paraId="4D08C32F">
            <w:pPr>
              <w:spacing w:after="0" w:line="240" w:lineRule="auto"/>
              <w:jc w:val="center"/>
              <w:rPr>
                <w:rFonts w:hint="eastAsia" w:ascii="宋体" w:hAnsi="宋体" w:eastAsia="宋体" w:cs="宋体"/>
                <w:bCs w:val="0"/>
                <w:color w:val="auto"/>
                <w:sz w:val="24"/>
                <w:szCs w:val="24"/>
                <w:highlight w:val="none"/>
              </w:rPr>
            </w:pPr>
          </w:p>
        </w:tc>
      </w:tr>
      <w:tr w14:paraId="15FC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noWrap w:val="0"/>
            <w:vAlign w:val="center"/>
          </w:tcPr>
          <w:p w14:paraId="2882E871">
            <w:pPr>
              <w:spacing w:after="0" w:line="240" w:lineRule="auto"/>
              <w:jc w:val="center"/>
              <w:rPr>
                <w:rFonts w:hint="eastAsia" w:ascii="宋体" w:hAnsi="宋体" w:eastAsia="宋体" w:cs="宋体"/>
                <w:bCs w:val="0"/>
                <w:color w:val="auto"/>
                <w:sz w:val="24"/>
                <w:szCs w:val="24"/>
                <w:highlight w:val="none"/>
              </w:rPr>
            </w:pPr>
          </w:p>
        </w:tc>
        <w:tc>
          <w:tcPr>
            <w:tcW w:w="750" w:type="dxa"/>
            <w:noWrap w:val="0"/>
            <w:vAlign w:val="center"/>
          </w:tcPr>
          <w:p w14:paraId="061E95C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5</w:t>
            </w:r>
          </w:p>
        </w:tc>
        <w:tc>
          <w:tcPr>
            <w:tcW w:w="1412" w:type="dxa"/>
            <w:noWrap w:val="0"/>
            <w:vAlign w:val="center"/>
          </w:tcPr>
          <w:p w14:paraId="1F0CE5CD">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辛安塘</w:t>
            </w:r>
          </w:p>
        </w:tc>
        <w:tc>
          <w:tcPr>
            <w:tcW w:w="4188" w:type="dxa"/>
            <w:noWrap w:val="0"/>
            <w:vAlign w:val="center"/>
          </w:tcPr>
          <w:p w14:paraId="61F13FB3">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相城区交界至南三环</w:t>
            </w:r>
          </w:p>
        </w:tc>
        <w:tc>
          <w:tcPr>
            <w:tcW w:w="865" w:type="dxa"/>
            <w:noWrap w:val="0"/>
            <w:vAlign w:val="center"/>
          </w:tcPr>
          <w:p w14:paraId="1530DDDE">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14.3</w:t>
            </w:r>
          </w:p>
        </w:tc>
        <w:tc>
          <w:tcPr>
            <w:tcW w:w="1416" w:type="dxa"/>
            <w:vMerge w:val="continue"/>
            <w:noWrap w:val="0"/>
            <w:vAlign w:val="center"/>
          </w:tcPr>
          <w:p w14:paraId="0422FCE4">
            <w:pPr>
              <w:spacing w:after="0" w:line="240" w:lineRule="auto"/>
              <w:jc w:val="center"/>
              <w:rPr>
                <w:rFonts w:hint="eastAsia" w:ascii="宋体" w:hAnsi="宋体" w:eastAsia="宋体" w:cs="宋体"/>
                <w:bCs w:val="0"/>
                <w:color w:val="auto"/>
                <w:sz w:val="24"/>
                <w:szCs w:val="24"/>
                <w:highlight w:val="none"/>
              </w:rPr>
            </w:pPr>
          </w:p>
        </w:tc>
      </w:tr>
      <w:tr w14:paraId="7760C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shd w:val="clear" w:color="auto" w:fill="auto"/>
            <w:noWrap w:val="0"/>
            <w:vAlign w:val="center"/>
          </w:tcPr>
          <w:p w14:paraId="165E0190">
            <w:pPr>
              <w:spacing w:after="0" w:line="240" w:lineRule="auto"/>
              <w:jc w:val="center"/>
              <w:rPr>
                <w:rFonts w:hint="eastAsia" w:ascii="宋体" w:hAnsi="宋体" w:eastAsia="宋体" w:cs="宋体"/>
                <w:bCs w:val="0"/>
                <w:color w:val="auto"/>
                <w:sz w:val="24"/>
                <w:szCs w:val="24"/>
                <w:highlight w:val="none"/>
              </w:rPr>
            </w:pPr>
          </w:p>
        </w:tc>
        <w:tc>
          <w:tcPr>
            <w:tcW w:w="750" w:type="dxa"/>
            <w:shd w:val="clear" w:color="auto" w:fill="auto"/>
            <w:noWrap w:val="0"/>
            <w:vAlign w:val="center"/>
          </w:tcPr>
          <w:p w14:paraId="499C8AAB">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6</w:t>
            </w:r>
          </w:p>
        </w:tc>
        <w:tc>
          <w:tcPr>
            <w:tcW w:w="1412" w:type="dxa"/>
            <w:shd w:val="clear" w:color="auto" w:fill="auto"/>
            <w:noWrap w:val="0"/>
            <w:vAlign w:val="center"/>
          </w:tcPr>
          <w:p w14:paraId="28517C80">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元和塘</w:t>
            </w:r>
          </w:p>
        </w:tc>
        <w:tc>
          <w:tcPr>
            <w:tcW w:w="4188" w:type="dxa"/>
            <w:shd w:val="clear" w:color="auto" w:fill="auto"/>
            <w:noWrap w:val="0"/>
            <w:vAlign w:val="center"/>
          </w:tcPr>
          <w:p w14:paraId="32D881D5">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相城区交界至南三环</w:t>
            </w:r>
          </w:p>
        </w:tc>
        <w:tc>
          <w:tcPr>
            <w:tcW w:w="865" w:type="dxa"/>
            <w:shd w:val="clear" w:color="auto" w:fill="auto"/>
            <w:noWrap w:val="0"/>
            <w:vAlign w:val="center"/>
          </w:tcPr>
          <w:p w14:paraId="0AEC1D61">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17.8</w:t>
            </w:r>
          </w:p>
        </w:tc>
        <w:tc>
          <w:tcPr>
            <w:tcW w:w="1416" w:type="dxa"/>
            <w:vMerge w:val="continue"/>
            <w:noWrap w:val="0"/>
            <w:vAlign w:val="center"/>
          </w:tcPr>
          <w:p w14:paraId="281FC915">
            <w:pPr>
              <w:spacing w:after="0" w:line="240" w:lineRule="auto"/>
              <w:jc w:val="center"/>
              <w:rPr>
                <w:rFonts w:hint="eastAsia" w:ascii="宋体" w:hAnsi="宋体" w:eastAsia="宋体" w:cs="宋体"/>
                <w:bCs w:val="0"/>
                <w:color w:val="auto"/>
                <w:sz w:val="24"/>
                <w:szCs w:val="24"/>
                <w:highlight w:val="none"/>
              </w:rPr>
            </w:pPr>
          </w:p>
        </w:tc>
      </w:tr>
      <w:tr w14:paraId="259D5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1008" w:type="dxa"/>
            <w:vMerge w:val="continue"/>
            <w:shd w:val="clear" w:color="auto" w:fill="auto"/>
            <w:noWrap w:val="0"/>
            <w:vAlign w:val="center"/>
          </w:tcPr>
          <w:p w14:paraId="66199FA2">
            <w:pPr>
              <w:spacing w:after="0" w:line="240" w:lineRule="auto"/>
              <w:jc w:val="center"/>
              <w:rPr>
                <w:rFonts w:hint="eastAsia" w:ascii="宋体" w:hAnsi="宋体" w:eastAsia="宋体" w:cs="宋体"/>
                <w:bCs w:val="0"/>
                <w:color w:val="auto"/>
                <w:sz w:val="24"/>
                <w:szCs w:val="24"/>
                <w:highlight w:val="none"/>
              </w:rPr>
            </w:pPr>
          </w:p>
        </w:tc>
        <w:tc>
          <w:tcPr>
            <w:tcW w:w="750" w:type="dxa"/>
            <w:shd w:val="clear" w:color="auto" w:fill="auto"/>
            <w:noWrap w:val="0"/>
            <w:vAlign w:val="center"/>
          </w:tcPr>
          <w:p w14:paraId="7F3C6577">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7</w:t>
            </w:r>
          </w:p>
        </w:tc>
        <w:tc>
          <w:tcPr>
            <w:tcW w:w="1412" w:type="dxa"/>
            <w:shd w:val="clear" w:color="auto" w:fill="auto"/>
            <w:noWrap w:val="0"/>
            <w:vAlign w:val="center"/>
          </w:tcPr>
          <w:p w14:paraId="3840785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苏家滃</w:t>
            </w:r>
          </w:p>
        </w:tc>
        <w:tc>
          <w:tcPr>
            <w:tcW w:w="4188" w:type="dxa"/>
            <w:shd w:val="clear" w:color="auto" w:fill="auto"/>
            <w:noWrap w:val="0"/>
            <w:vAlign w:val="center"/>
          </w:tcPr>
          <w:p w14:paraId="083B27F2">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昆承湖至张家港河</w:t>
            </w:r>
          </w:p>
        </w:tc>
        <w:tc>
          <w:tcPr>
            <w:tcW w:w="865" w:type="dxa"/>
            <w:shd w:val="clear" w:color="auto" w:fill="auto"/>
            <w:noWrap w:val="0"/>
            <w:vAlign w:val="center"/>
          </w:tcPr>
          <w:p w14:paraId="1BEEB41B">
            <w:pPr>
              <w:keepNext w:val="0"/>
              <w:keepLines w:val="0"/>
              <w:widowControl/>
              <w:suppressLineNumbers w:val="0"/>
              <w:jc w:val="center"/>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1.6</w:t>
            </w:r>
          </w:p>
        </w:tc>
        <w:tc>
          <w:tcPr>
            <w:tcW w:w="1416" w:type="dxa"/>
            <w:vMerge w:val="continue"/>
            <w:shd w:val="clear" w:color="auto" w:fill="DEEAF6"/>
            <w:noWrap w:val="0"/>
            <w:vAlign w:val="center"/>
          </w:tcPr>
          <w:p w14:paraId="4D8850BA">
            <w:pPr>
              <w:spacing w:after="0" w:line="240" w:lineRule="auto"/>
              <w:jc w:val="center"/>
              <w:rPr>
                <w:rFonts w:hint="eastAsia" w:ascii="宋体" w:hAnsi="宋体" w:eastAsia="宋体" w:cs="宋体"/>
                <w:bCs w:val="0"/>
                <w:color w:val="auto"/>
                <w:sz w:val="24"/>
                <w:szCs w:val="24"/>
                <w:highlight w:val="none"/>
              </w:rPr>
            </w:pPr>
          </w:p>
        </w:tc>
      </w:tr>
      <w:tr w14:paraId="2DE6D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trPr>
        <w:tc>
          <w:tcPr>
            <w:tcW w:w="8223" w:type="dxa"/>
            <w:gridSpan w:val="5"/>
            <w:shd w:val="clear" w:color="auto" w:fill="DEEAF6"/>
            <w:noWrap w:val="0"/>
            <w:vAlign w:val="center"/>
          </w:tcPr>
          <w:p w14:paraId="75D9F9A6">
            <w:pPr>
              <w:spacing w:after="0"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1416" w:type="dxa"/>
            <w:shd w:val="clear" w:color="auto" w:fill="DEEAF6"/>
            <w:noWrap w:val="0"/>
            <w:vAlign w:val="center"/>
          </w:tcPr>
          <w:p w14:paraId="27C512EF">
            <w:pPr>
              <w:spacing w:after="0" w:line="240" w:lineRule="auto"/>
              <w:jc w:val="center"/>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5089000.00</w:t>
            </w:r>
          </w:p>
        </w:tc>
      </w:tr>
    </w:tbl>
    <w:p w14:paraId="75591E7B">
      <w:pPr>
        <w:spacing w:after="0" w:line="42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（六）项目配置要求：</w:t>
      </w:r>
    </w:p>
    <w:p w14:paraId="23315D55">
      <w:pPr>
        <w:pStyle w:val="5"/>
        <w:spacing w:after="0" w:line="400" w:lineRule="exact"/>
        <w:ind w:firstLine="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《机动船只人员配备要求表》</w:t>
      </w:r>
    </w:p>
    <w:tbl>
      <w:tblPr>
        <w:tblStyle w:val="54"/>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5"/>
        <w:gridCol w:w="1404"/>
        <w:gridCol w:w="1253"/>
        <w:gridCol w:w="1002"/>
        <w:gridCol w:w="781"/>
        <w:gridCol w:w="992"/>
        <w:gridCol w:w="993"/>
        <w:gridCol w:w="1134"/>
        <w:gridCol w:w="1134"/>
      </w:tblGrid>
      <w:tr w14:paraId="3D84C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45" w:type="dxa"/>
            <w:vMerge w:val="restart"/>
            <w:shd w:val="clear" w:color="auto" w:fill="E7E6E6"/>
            <w:noWrap w:val="0"/>
            <w:vAlign w:val="center"/>
          </w:tcPr>
          <w:p w14:paraId="0E8DBDD3">
            <w:pPr>
              <w:widowControl w:val="0"/>
              <w:autoSpaceDE w:val="0"/>
              <w:autoSpaceDN w:val="0"/>
              <w:adjustRightInd w:val="0"/>
              <w:spacing w:after="0" w:line="240" w:lineRule="auto"/>
              <w:jc w:val="center"/>
              <w:rPr>
                <w:rFonts w:hint="eastAsia" w:ascii="宋体" w:hAnsi="宋体" w:eastAsia="宋体" w:cs="宋体"/>
                <w:b/>
                <w:bCs w:val="0"/>
                <w:color w:val="auto"/>
                <w:sz w:val="24"/>
                <w:szCs w:val="24"/>
                <w:lang w:val="zh-CN"/>
              </w:rPr>
            </w:pPr>
            <w:bookmarkStart w:id="286" w:name="_Toc23714766"/>
            <w:bookmarkStart w:id="287" w:name="_Toc485992633"/>
            <w:bookmarkStart w:id="288" w:name="_Toc485977967"/>
            <w:r>
              <w:rPr>
                <w:rFonts w:hint="eastAsia" w:ascii="宋体" w:hAnsi="宋体" w:eastAsia="宋体" w:cs="宋体"/>
                <w:b/>
                <w:bCs w:val="0"/>
                <w:color w:val="auto"/>
                <w:sz w:val="24"/>
                <w:szCs w:val="24"/>
                <w:lang w:val="zh-CN"/>
              </w:rPr>
              <w:t>分包号</w:t>
            </w:r>
          </w:p>
        </w:tc>
        <w:tc>
          <w:tcPr>
            <w:tcW w:w="3659" w:type="dxa"/>
            <w:gridSpan w:val="3"/>
            <w:shd w:val="clear" w:color="auto" w:fill="E7E6E6"/>
            <w:noWrap w:val="0"/>
            <w:vAlign w:val="center"/>
          </w:tcPr>
          <w:p w14:paraId="632DAC49">
            <w:pPr>
              <w:widowControl w:val="0"/>
              <w:autoSpaceDE w:val="0"/>
              <w:autoSpaceDN w:val="0"/>
              <w:adjustRightInd w:val="0"/>
              <w:spacing w:after="0" w:line="240" w:lineRule="auto"/>
              <w:jc w:val="center"/>
              <w:rPr>
                <w:rFonts w:hint="eastAsia" w:ascii="宋体" w:hAnsi="宋体" w:eastAsia="宋体" w:cs="宋体"/>
                <w:b/>
                <w:bCs w:val="0"/>
                <w:color w:val="auto"/>
                <w:sz w:val="24"/>
                <w:szCs w:val="24"/>
                <w:lang w:val="zh-CN"/>
              </w:rPr>
            </w:pPr>
            <w:r>
              <w:rPr>
                <w:rFonts w:hint="eastAsia" w:ascii="宋体" w:hAnsi="宋体" w:eastAsia="宋体" w:cs="宋体"/>
                <w:b/>
                <w:bCs w:val="0"/>
                <w:color w:val="auto"/>
                <w:sz w:val="24"/>
                <w:szCs w:val="24"/>
                <w:lang w:val="zh-CN"/>
              </w:rPr>
              <w:t>机动船只配备数量（艘）</w:t>
            </w:r>
          </w:p>
        </w:tc>
        <w:tc>
          <w:tcPr>
            <w:tcW w:w="5034" w:type="dxa"/>
            <w:gridSpan w:val="5"/>
            <w:shd w:val="clear" w:color="auto" w:fill="E7E6E6"/>
            <w:noWrap w:val="0"/>
            <w:vAlign w:val="top"/>
          </w:tcPr>
          <w:p w14:paraId="4D1EAABB">
            <w:pPr>
              <w:widowControl w:val="0"/>
              <w:autoSpaceDE w:val="0"/>
              <w:autoSpaceDN w:val="0"/>
              <w:adjustRightInd w:val="0"/>
              <w:spacing w:after="0" w:line="240" w:lineRule="auto"/>
              <w:jc w:val="center"/>
              <w:rPr>
                <w:rFonts w:hint="eastAsia" w:ascii="宋体" w:hAnsi="宋体" w:eastAsia="宋体" w:cs="宋体"/>
                <w:b/>
                <w:bCs w:val="0"/>
                <w:color w:val="auto"/>
                <w:sz w:val="24"/>
                <w:szCs w:val="24"/>
                <w:lang w:val="zh-CN"/>
              </w:rPr>
            </w:pPr>
            <w:r>
              <w:rPr>
                <w:rFonts w:hint="eastAsia" w:ascii="宋体" w:hAnsi="宋体" w:eastAsia="宋体" w:cs="宋体"/>
                <w:b/>
                <w:bCs w:val="0"/>
                <w:color w:val="auto"/>
                <w:sz w:val="24"/>
                <w:szCs w:val="24"/>
                <w:lang w:val="zh-CN"/>
              </w:rPr>
              <w:t>人员配备数量（人）</w:t>
            </w:r>
          </w:p>
        </w:tc>
      </w:tr>
      <w:tr w14:paraId="4B22A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45" w:type="dxa"/>
            <w:vMerge w:val="continue"/>
            <w:shd w:val="clear" w:color="auto" w:fill="E7E6E6"/>
            <w:noWrap w:val="0"/>
            <w:vAlign w:val="top"/>
          </w:tcPr>
          <w:p w14:paraId="0A64E437">
            <w:pPr>
              <w:widowControl w:val="0"/>
              <w:autoSpaceDE w:val="0"/>
              <w:autoSpaceDN w:val="0"/>
              <w:adjustRightInd w:val="0"/>
              <w:spacing w:after="0" w:line="240" w:lineRule="auto"/>
              <w:rPr>
                <w:rFonts w:hint="eastAsia" w:ascii="宋体" w:hAnsi="宋体" w:eastAsia="宋体" w:cs="宋体"/>
                <w:b/>
                <w:bCs w:val="0"/>
                <w:color w:val="auto"/>
                <w:sz w:val="24"/>
                <w:szCs w:val="24"/>
                <w:lang w:val="zh-CN"/>
              </w:rPr>
            </w:pPr>
          </w:p>
        </w:tc>
        <w:tc>
          <w:tcPr>
            <w:tcW w:w="2657" w:type="dxa"/>
            <w:gridSpan w:val="2"/>
            <w:shd w:val="clear" w:color="auto" w:fill="E7E6E6"/>
            <w:noWrap w:val="0"/>
            <w:vAlign w:val="center"/>
          </w:tcPr>
          <w:p w14:paraId="2E5C76DE">
            <w:pPr>
              <w:widowControl w:val="0"/>
              <w:autoSpaceDE w:val="0"/>
              <w:autoSpaceDN w:val="0"/>
              <w:adjustRightInd w:val="0"/>
              <w:spacing w:after="0" w:line="240" w:lineRule="auto"/>
              <w:jc w:val="center"/>
              <w:rPr>
                <w:rFonts w:hint="eastAsia" w:ascii="宋体" w:hAnsi="宋体" w:eastAsia="宋体" w:cs="宋体"/>
                <w:b/>
                <w:bCs w:val="0"/>
                <w:color w:val="auto"/>
                <w:sz w:val="24"/>
                <w:szCs w:val="24"/>
                <w:lang w:val="zh-CN"/>
              </w:rPr>
            </w:pPr>
            <w:r>
              <w:rPr>
                <w:rFonts w:hint="eastAsia" w:ascii="宋体" w:hAnsi="宋体" w:eastAsia="宋体" w:cs="宋体"/>
                <w:b/>
                <w:bCs w:val="0"/>
                <w:color w:val="auto"/>
                <w:sz w:val="24"/>
                <w:szCs w:val="24"/>
                <w:lang w:val="zh-CN"/>
              </w:rPr>
              <w:t>常规机动船只（铁壳平底船）</w:t>
            </w:r>
          </w:p>
        </w:tc>
        <w:tc>
          <w:tcPr>
            <w:tcW w:w="1002" w:type="dxa"/>
            <w:vMerge w:val="restart"/>
            <w:shd w:val="clear" w:color="auto" w:fill="E7E6E6"/>
            <w:noWrap w:val="0"/>
            <w:vAlign w:val="center"/>
          </w:tcPr>
          <w:p w14:paraId="5A134D96">
            <w:pPr>
              <w:widowControl w:val="0"/>
              <w:autoSpaceDE w:val="0"/>
              <w:autoSpaceDN w:val="0"/>
              <w:adjustRightInd w:val="0"/>
              <w:spacing w:after="0" w:line="240" w:lineRule="auto"/>
              <w:jc w:val="center"/>
              <w:rPr>
                <w:rFonts w:hint="eastAsia" w:ascii="宋体" w:hAnsi="宋体" w:eastAsia="宋体" w:cs="宋体"/>
                <w:b/>
                <w:bCs w:val="0"/>
                <w:color w:val="auto"/>
                <w:sz w:val="24"/>
                <w:szCs w:val="24"/>
                <w:lang w:val="zh-CN"/>
              </w:rPr>
            </w:pPr>
            <w:r>
              <w:rPr>
                <w:rFonts w:hint="eastAsia" w:ascii="宋体" w:hAnsi="宋体" w:eastAsia="宋体" w:cs="宋体"/>
                <w:b/>
                <w:bCs w:val="0"/>
                <w:color w:val="auto"/>
                <w:sz w:val="24"/>
                <w:szCs w:val="24"/>
                <w:lang w:val="zh-CN"/>
              </w:rPr>
              <w:t>全自动水面清洁船</w:t>
            </w:r>
          </w:p>
        </w:tc>
        <w:tc>
          <w:tcPr>
            <w:tcW w:w="781" w:type="dxa"/>
            <w:vMerge w:val="restart"/>
            <w:shd w:val="clear" w:color="auto" w:fill="E7E6E6"/>
            <w:noWrap w:val="0"/>
            <w:vAlign w:val="center"/>
          </w:tcPr>
          <w:p w14:paraId="53196CCA">
            <w:pPr>
              <w:widowControl w:val="0"/>
              <w:autoSpaceDE w:val="0"/>
              <w:autoSpaceDN w:val="0"/>
              <w:adjustRightInd w:val="0"/>
              <w:spacing w:after="0" w:line="240" w:lineRule="auto"/>
              <w:jc w:val="center"/>
              <w:rPr>
                <w:rFonts w:hint="eastAsia" w:ascii="宋体" w:hAnsi="宋体" w:eastAsia="宋体" w:cs="宋体"/>
                <w:b/>
                <w:bCs w:val="0"/>
                <w:color w:val="auto"/>
                <w:sz w:val="24"/>
                <w:szCs w:val="24"/>
                <w:lang w:val="zh-CN"/>
              </w:rPr>
            </w:pPr>
            <w:r>
              <w:rPr>
                <w:rFonts w:hint="eastAsia" w:ascii="宋体" w:hAnsi="宋体" w:eastAsia="宋体" w:cs="宋体"/>
                <w:b/>
                <w:bCs w:val="0"/>
                <w:color w:val="auto"/>
                <w:sz w:val="24"/>
                <w:szCs w:val="24"/>
                <w:lang w:val="zh-CN"/>
              </w:rPr>
              <w:t>项目管理人员</w:t>
            </w:r>
          </w:p>
        </w:tc>
        <w:tc>
          <w:tcPr>
            <w:tcW w:w="3119" w:type="dxa"/>
            <w:gridSpan w:val="3"/>
            <w:shd w:val="clear" w:color="auto" w:fill="E7E6E6"/>
            <w:noWrap w:val="0"/>
            <w:vAlign w:val="center"/>
          </w:tcPr>
          <w:p w14:paraId="2CA64A1C">
            <w:pPr>
              <w:widowControl w:val="0"/>
              <w:autoSpaceDE w:val="0"/>
              <w:autoSpaceDN w:val="0"/>
              <w:adjustRightInd w:val="0"/>
              <w:spacing w:after="0" w:line="240" w:lineRule="auto"/>
              <w:jc w:val="center"/>
              <w:rPr>
                <w:rFonts w:hint="eastAsia" w:ascii="宋体" w:hAnsi="宋体" w:eastAsia="宋体" w:cs="宋体"/>
                <w:b/>
                <w:bCs w:val="0"/>
                <w:color w:val="auto"/>
                <w:sz w:val="24"/>
                <w:szCs w:val="24"/>
                <w:lang w:val="zh-CN"/>
              </w:rPr>
            </w:pPr>
            <w:r>
              <w:rPr>
                <w:rFonts w:hint="eastAsia" w:ascii="宋体" w:hAnsi="宋体" w:eastAsia="宋体" w:cs="宋体"/>
                <w:b/>
                <w:bCs w:val="0"/>
                <w:color w:val="auto"/>
                <w:sz w:val="24"/>
                <w:szCs w:val="24"/>
                <w:lang w:val="zh-CN"/>
              </w:rPr>
              <w:t>持证保洁人员</w:t>
            </w:r>
          </w:p>
        </w:tc>
        <w:tc>
          <w:tcPr>
            <w:tcW w:w="1134" w:type="dxa"/>
            <w:vMerge w:val="restart"/>
            <w:shd w:val="clear" w:color="auto" w:fill="E7E6E6"/>
            <w:noWrap w:val="0"/>
            <w:vAlign w:val="center"/>
          </w:tcPr>
          <w:p w14:paraId="568FB233">
            <w:pPr>
              <w:widowControl w:val="0"/>
              <w:autoSpaceDE w:val="0"/>
              <w:autoSpaceDN w:val="0"/>
              <w:adjustRightInd w:val="0"/>
              <w:spacing w:after="0" w:line="240" w:lineRule="auto"/>
              <w:jc w:val="center"/>
              <w:rPr>
                <w:rFonts w:hint="eastAsia" w:ascii="宋体" w:hAnsi="宋体" w:eastAsia="宋体" w:cs="宋体"/>
                <w:b/>
                <w:bCs w:val="0"/>
                <w:color w:val="auto"/>
                <w:sz w:val="24"/>
                <w:szCs w:val="24"/>
                <w:lang w:val="zh-CN"/>
              </w:rPr>
            </w:pPr>
            <w:r>
              <w:rPr>
                <w:rFonts w:hint="eastAsia" w:ascii="宋体" w:hAnsi="宋体" w:eastAsia="宋体" w:cs="宋体"/>
                <w:b/>
                <w:bCs w:val="0"/>
                <w:color w:val="auto"/>
                <w:sz w:val="24"/>
                <w:szCs w:val="24"/>
                <w:lang w:val="zh-CN"/>
              </w:rPr>
              <w:t>其他保洁人员</w:t>
            </w:r>
          </w:p>
        </w:tc>
      </w:tr>
      <w:tr w14:paraId="4CB51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45" w:type="dxa"/>
            <w:vMerge w:val="continue"/>
            <w:shd w:val="clear" w:color="auto" w:fill="auto"/>
            <w:noWrap w:val="0"/>
            <w:vAlign w:val="top"/>
          </w:tcPr>
          <w:p w14:paraId="594F9A37">
            <w:pPr>
              <w:widowControl w:val="0"/>
              <w:autoSpaceDE w:val="0"/>
              <w:autoSpaceDN w:val="0"/>
              <w:adjustRightInd w:val="0"/>
              <w:spacing w:after="0" w:line="240" w:lineRule="auto"/>
              <w:rPr>
                <w:rFonts w:hint="eastAsia" w:ascii="宋体" w:hAnsi="宋体" w:eastAsia="宋体" w:cs="宋体"/>
                <w:b/>
                <w:bCs w:val="0"/>
                <w:color w:val="auto"/>
                <w:sz w:val="24"/>
                <w:szCs w:val="24"/>
                <w:lang w:val="zh-CN"/>
              </w:rPr>
            </w:pPr>
          </w:p>
        </w:tc>
        <w:tc>
          <w:tcPr>
            <w:tcW w:w="1404" w:type="dxa"/>
            <w:shd w:val="clear" w:color="auto" w:fill="E7E6E6"/>
            <w:noWrap w:val="0"/>
            <w:vAlign w:val="center"/>
          </w:tcPr>
          <w:p w14:paraId="51226512">
            <w:pPr>
              <w:widowControl w:val="0"/>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当班（总）船数</w:t>
            </w:r>
          </w:p>
        </w:tc>
        <w:tc>
          <w:tcPr>
            <w:tcW w:w="1253" w:type="dxa"/>
            <w:shd w:val="clear" w:color="auto" w:fill="E7E6E6"/>
            <w:noWrap w:val="0"/>
            <w:vAlign w:val="center"/>
          </w:tcPr>
          <w:p w14:paraId="58F88289">
            <w:pPr>
              <w:widowControl w:val="0"/>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其中持证船只</w:t>
            </w:r>
          </w:p>
        </w:tc>
        <w:tc>
          <w:tcPr>
            <w:tcW w:w="1002" w:type="dxa"/>
            <w:vMerge w:val="continue"/>
            <w:shd w:val="clear" w:color="auto" w:fill="E7E6E6"/>
            <w:noWrap w:val="0"/>
            <w:vAlign w:val="center"/>
          </w:tcPr>
          <w:p w14:paraId="6E292FF4">
            <w:pPr>
              <w:widowControl w:val="0"/>
              <w:autoSpaceDE w:val="0"/>
              <w:autoSpaceDN w:val="0"/>
              <w:adjustRightInd w:val="0"/>
              <w:spacing w:after="0" w:line="240" w:lineRule="auto"/>
              <w:jc w:val="center"/>
              <w:rPr>
                <w:rFonts w:hint="eastAsia" w:ascii="宋体" w:hAnsi="宋体" w:eastAsia="宋体" w:cs="宋体"/>
                <w:b/>
                <w:bCs w:val="0"/>
                <w:color w:val="auto"/>
                <w:sz w:val="24"/>
                <w:szCs w:val="24"/>
                <w:lang w:val="zh-CN"/>
              </w:rPr>
            </w:pPr>
          </w:p>
        </w:tc>
        <w:tc>
          <w:tcPr>
            <w:tcW w:w="781" w:type="dxa"/>
            <w:vMerge w:val="continue"/>
            <w:shd w:val="clear" w:color="auto" w:fill="E7E6E6"/>
            <w:noWrap w:val="0"/>
            <w:vAlign w:val="center"/>
          </w:tcPr>
          <w:p w14:paraId="12361BDA">
            <w:pPr>
              <w:widowControl w:val="0"/>
              <w:autoSpaceDE w:val="0"/>
              <w:autoSpaceDN w:val="0"/>
              <w:adjustRightInd w:val="0"/>
              <w:spacing w:after="0" w:line="240" w:lineRule="auto"/>
              <w:jc w:val="center"/>
              <w:rPr>
                <w:rFonts w:hint="eastAsia" w:ascii="宋体" w:hAnsi="宋体" w:eastAsia="宋体" w:cs="宋体"/>
                <w:b/>
                <w:bCs w:val="0"/>
                <w:color w:val="auto"/>
                <w:sz w:val="24"/>
                <w:szCs w:val="24"/>
                <w:lang w:val="zh-CN"/>
              </w:rPr>
            </w:pPr>
          </w:p>
        </w:tc>
        <w:tc>
          <w:tcPr>
            <w:tcW w:w="992" w:type="dxa"/>
            <w:shd w:val="clear" w:color="auto" w:fill="E7E6E6"/>
            <w:noWrap w:val="0"/>
            <w:vAlign w:val="center"/>
          </w:tcPr>
          <w:p w14:paraId="2A15593A">
            <w:pPr>
              <w:widowControl w:val="0"/>
              <w:autoSpaceDE w:val="0"/>
              <w:autoSpaceDN w:val="0"/>
              <w:adjustRightInd w:val="0"/>
              <w:spacing w:after="0" w:line="240" w:lineRule="auto"/>
              <w:jc w:val="center"/>
              <w:rPr>
                <w:rFonts w:hint="eastAsia" w:ascii="宋体" w:hAnsi="宋体" w:eastAsia="宋体" w:cs="宋体"/>
                <w:b/>
                <w:bCs w:val="0"/>
                <w:color w:val="auto"/>
                <w:sz w:val="24"/>
                <w:szCs w:val="24"/>
                <w:lang w:val="zh-CN"/>
              </w:rPr>
            </w:pPr>
            <w:r>
              <w:rPr>
                <w:rFonts w:hint="eastAsia" w:ascii="宋体" w:hAnsi="宋体" w:eastAsia="宋体" w:cs="宋体"/>
                <w:b/>
                <w:bCs w:val="0"/>
                <w:color w:val="auto"/>
                <w:sz w:val="24"/>
                <w:szCs w:val="24"/>
                <w:lang w:val="zh-CN"/>
              </w:rPr>
              <w:t>持证驾驶员</w:t>
            </w:r>
          </w:p>
        </w:tc>
        <w:tc>
          <w:tcPr>
            <w:tcW w:w="993" w:type="dxa"/>
            <w:shd w:val="clear" w:color="auto" w:fill="E7E6E6"/>
            <w:noWrap w:val="0"/>
            <w:vAlign w:val="center"/>
          </w:tcPr>
          <w:p w14:paraId="50418500">
            <w:pPr>
              <w:widowControl w:val="0"/>
              <w:autoSpaceDE w:val="0"/>
              <w:autoSpaceDN w:val="0"/>
              <w:adjustRightInd w:val="0"/>
              <w:spacing w:after="0" w:line="240" w:lineRule="auto"/>
              <w:jc w:val="center"/>
              <w:rPr>
                <w:rFonts w:hint="eastAsia" w:ascii="宋体" w:hAnsi="宋体" w:eastAsia="宋体" w:cs="宋体"/>
                <w:b/>
                <w:bCs w:val="0"/>
                <w:color w:val="auto"/>
                <w:sz w:val="24"/>
                <w:szCs w:val="24"/>
                <w:lang w:val="zh-CN"/>
              </w:rPr>
            </w:pPr>
            <w:r>
              <w:rPr>
                <w:rFonts w:hint="eastAsia" w:ascii="宋体" w:hAnsi="宋体" w:eastAsia="宋体" w:cs="宋体"/>
                <w:b/>
                <w:bCs w:val="0"/>
                <w:color w:val="auto"/>
                <w:sz w:val="24"/>
                <w:szCs w:val="24"/>
                <w:lang w:val="zh-CN"/>
              </w:rPr>
              <w:t>持证船员</w:t>
            </w:r>
          </w:p>
        </w:tc>
        <w:tc>
          <w:tcPr>
            <w:tcW w:w="1134" w:type="dxa"/>
            <w:shd w:val="clear" w:color="auto" w:fill="E7E6E6"/>
            <w:noWrap w:val="0"/>
            <w:vAlign w:val="center"/>
          </w:tcPr>
          <w:p w14:paraId="04B665D3">
            <w:pPr>
              <w:widowControl w:val="0"/>
              <w:autoSpaceDE w:val="0"/>
              <w:autoSpaceDN w:val="0"/>
              <w:adjustRightInd w:val="0"/>
              <w:spacing w:after="0" w:line="240" w:lineRule="auto"/>
              <w:jc w:val="center"/>
              <w:rPr>
                <w:rFonts w:hint="eastAsia" w:ascii="宋体" w:hAnsi="宋体" w:eastAsia="宋体" w:cs="宋体"/>
                <w:b/>
                <w:bCs w:val="0"/>
                <w:color w:val="auto"/>
                <w:sz w:val="24"/>
                <w:szCs w:val="24"/>
                <w:lang w:val="zh-CN"/>
              </w:rPr>
            </w:pPr>
            <w:r>
              <w:rPr>
                <w:rFonts w:hint="eastAsia" w:ascii="宋体" w:hAnsi="宋体" w:eastAsia="宋体" w:cs="宋体"/>
                <w:b/>
                <w:bCs w:val="0"/>
                <w:color w:val="auto"/>
                <w:sz w:val="24"/>
                <w:szCs w:val="24"/>
                <w:lang w:val="zh-CN"/>
              </w:rPr>
              <w:t>总人数</w:t>
            </w:r>
          </w:p>
        </w:tc>
        <w:tc>
          <w:tcPr>
            <w:tcW w:w="1134" w:type="dxa"/>
            <w:vMerge w:val="continue"/>
            <w:shd w:val="clear" w:color="auto" w:fill="auto"/>
            <w:noWrap w:val="0"/>
            <w:vAlign w:val="top"/>
          </w:tcPr>
          <w:p w14:paraId="55D61516">
            <w:pPr>
              <w:widowControl w:val="0"/>
              <w:autoSpaceDE w:val="0"/>
              <w:autoSpaceDN w:val="0"/>
              <w:adjustRightInd w:val="0"/>
              <w:spacing w:after="0" w:line="240" w:lineRule="auto"/>
              <w:rPr>
                <w:rFonts w:hint="eastAsia" w:ascii="宋体" w:hAnsi="宋体" w:eastAsia="宋体" w:cs="宋体"/>
                <w:b/>
                <w:bCs w:val="0"/>
                <w:color w:val="auto"/>
                <w:sz w:val="24"/>
                <w:szCs w:val="24"/>
                <w:lang w:val="zh-CN"/>
              </w:rPr>
            </w:pPr>
          </w:p>
        </w:tc>
      </w:tr>
      <w:tr w14:paraId="41C24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45" w:type="dxa"/>
            <w:shd w:val="clear" w:color="auto" w:fill="auto"/>
            <w:noWrap w:val="0"/>
            <w:vAlign w:val="center"/>
          </w:tcPr>
          <w:p w14:paraId="09392D13">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第一包</w:t>
            </w:r>
          </w:p>
        </w:tc>
        <w:tc>
          <w:tcPr>
            <w:tcW w:w="1404" w:type="dxa"/>
            <w:shd w:val="clear" w:color="auto" w:fill="auto"/>
            <w:noWrap w:val="0"/>
            <w:vAlign w:val="center"/>
          </w:tcPr>
          <w:p w14:paraId="1284617C">
            <w:pPr>
              <w:widowControl w:val="0"/>
              <w:spacing w:after="0" w:line="240"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8</w:t>
            </w:r>
          </w:p>
        </w:tc>
        <w:tc>
          <w:tcPr>
            <w:tcW w:w="1253" w:type="dxa"/>
            <w:shd w:val="clear" w:color="auto" w:fill="auto"/>
            <w:noWrap w:val="0"/>
            <w:vAlign w:val="center"/>
          </w:tcPr>
          <w:p w14:paraId="027F039B">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6</w:t>
            </w:r>
          </w:p>
        </w:tc>
        <w:tc>
          <w:tcPr>
            <w:tcW w:w="1002" w:type="dxa"/>
            <w:shd w:val="clear" w:color="auto" w:fill="auto"/>
            <w:noWrap w:val="0"/>
            <w:vAlign w:val="center"/>
          </w:tcPr>
          <w:p w14:paraId="0943CEF4">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2</w:t>
            </w:r>
          </w:p>
        </w:tc>
        <w:tc>
          <w:tcPr>
            <w:tcW w:w="781" w:type="dxa"/>
            <w:shd w:val="clear" w:color="auto" w:fill="auto"/>
            <w:noWrap w:val="0"/>
            <w:vAlign w:val="center"/>
          </w:tcPr>
          <w:p w14:paraId="54B4756D">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992" w:type="dxa"/>
            <w:shd w:val="clear" w:color="auto" w:fill="auto"/>
            <w:noWrap w:val="0"/>
            <w:vAlign w:val="center"/>
          </w:tcPr>
          <w:p w14:paraId="6E5BAC42">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8</w:t>
            </w:r>
          </w:p>
        </w:tc>
        <w:tc>
          <w:tcPr>
            <w:tcW w:w="993" w:type="dxa"/>
            <w:shd w:val="clear" w:color="auto" w:fill="auto"/>
            <w:noWrap w:val="0"/>
            <w:vAlign w:val="center"/>
          </w:tcPr>
          <w:p w14:paraId="79D95814">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8</w:t>
            </w:r>
          </w:p>
        </w:tc>
        <w:tc>
          <w:tcPr>
            <w:tcW w:w="1134" w:type="dxa"/>
            <w:shd w:val="clear" w:color="auto" w:fill="auto"/>
            <w:noWrap w:val="0"/>
            <w:vAlign w:val="top"/>
          </w:tcPr>
          <w:p w14:paraId="045B8BF6">
            <w:pPr>
              <w:widowControl w:val="0"/>
              <w:spacing w:after="0" w:line="24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16</w:t>
            </w:r>
          </w:p>
        </w:tc>
        <w:tc>
          <w:tcPr>
            <w:tcW w:w="1134" w:type="dxa"/>
            <w:shd w:val="clear" w:color="auto" w:fill="auto"/>
            <w:noWrap w:val="0"/>
            <w:vAlign w:val="center"/>
          </w:tcPr>
          <w:p w14:paraId="747E7DF0">
            <w:pPr>
              <w:widowControl w:val="0"/>
              <w:spacing w:after="0" w:line="240"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p>
        </w:tc>
      </w:tr>
      <w:tr w14:paraId="218C4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45" w:type="dxa"/>
            <w:shd w:val="clear" w:color="auto" w:fill="auto"/>
            <w:noWrap w:val="0"/>
            <w:vAlign w:val="center"/>
          </w:tcPr>
          <w:p w14:paraId="79A66950">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第二包</w:t>
            </w:r>
          </w:p>
        </w:tc>
        <w:tc>
          <w:tcPr>
            <w:tcW w:w="1404" w:type="dxa"/>
            <w:shd w:val="clear" w:color="auto" w:fill="auto"/>
            <w:noWrap w:val="0"/>
            <w:vAlign w:val="center"/>
          </w:tcPr>
          <w:p w14:paraId="6D4B0439">
            <w:pPr>
              <w:widowControl w:val="0"/>
              <w:spacing w:after="0"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2</w:t>
            </w:r>
          </w:p>
        </w:tc>
        <w:tc>
          <w:tcPr>
            <w:tcW w:w="1253" w:type="dxa"/>
            <w:shd w:val="clear" w:color="auto" w:fill="auto"/>
            <w:noWrap w:val="0"/>
            <w:vAlign w:val="center"/>
          </w:tcPr>
          <w:p w14:paraId="4DC7E168">
            <w:pPr>
              <w:widowControl w:val="0"/>
              <w:spacing w:after="0"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002" w:type="dxa"/>
            <w:shd w:val="clear" w:color="auto" w:fill="auto"/>
            <w:noWrap w:val="0"/>
            <w:vAlign w:val="center"/>
          </w:tcPr>
          <w:p w14:paraId="0E2CA7D7">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p>
        </w:tc>
        <w:tc>
          <w:tcPr>
            <w:tcW w:w="781" w:type="dxa"/>
            <w:shd w:val="clear" w:color="auto" w:fill="auto"/>
            <w:noWrap w:val="0"/>
            <w:vAlign w:val="center"/>
          </w:tcPr>
          <w:p w14:paraId="5CC7B134">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992" w:type="dxa"/>
            <w:shd w:val="clear" w:color="auto" w:fill="auto"/>
            <w:noWrap w:val="0"/>
            <w:vAlign w:val="center"/>
          </w:tcPr>
          <w:p w14:paraId="329BC6F8">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993" w:type="dxa"/>
            <w:shd w:val="clear" w:color="auto" w:fill="auto"/>
            <w:noWrap w:val="0"/>
            <w:vAlign w:val="center"/>
          </w:tcPr>
          <w:p w14:paraId="3C66FED8">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1134" w:type="dxa"/>
            <w:shd w:val="clear" w:color="auto" w:fill="auto"/>
            <w:noWrap w:val="0"/>
            <w:vAlign w:val="top"/>
          </w:tcPr>
          <w:p w14:paraId="3FCECB27">
            <w:pPr>
              <w:widowControl w:val="0"/>
              <w:spacing w:after="0" w:line="24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14</w:t>
            </w:r>
          </w:p>
        </w:tc>
        <w:tc>
          <w:tcPr>
            <w:tcW w:w="1134" w:type="dxa"/>
            <w:shd w:val="clear" w:color="auto" w:fill="auto"/>
            <w:noWrap w:val="0"/>
            <w:vAlign w:val="center"/>
          </w:tcPr>
          <w:p w14:paraId="2C59B869">
            <w:pPr>
              <w:widowControl w:val="0"/>
              <w:spacing w:after="0" w:line="24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12</w:t>
            </w:r>
          </w:p>
        </w:tc>
      </w:tr>
      <w:tr w14:paraId="3FCBB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45" w:type="dxa"/>
            <w:shd w:val="clear" w:color="auto" w:fill="auto"/>
            <w:noWrap w:val="0"/>
            <w:vAlign w:val="center"/>
          </w:tcPr>
          <w:p w14:paraId="2C64A696">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第三包</w:t>
            </w:r>
          </w:p>
        </w:tc>
        <w:tc>
          <w:tcPr>
            <w:tcW w:w="1404" w:type="dxa"/>
            <w:shd w:val="clear" w:color="auto" w:fill="auto"/>
            <w:noWrap w:val="0"/>
            <w:vAlign w:val="center"/>
          </w:tcPr>
          <w:p w14:paraId="5EDA36AD">
            <w:pPr>
              <w:widowControl w:val="0"/>
              <w:spacing w:after="0" w:line="24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p>
        </w:tc>
        <w:tc>
          <w:tcPr>
            <w:tcW w:w="1253" w:type="dxa"/>
            <w:shd w:val="clear" w:color="auto" w:fill="auto"/>
            <w:noWrap w:val="0"/>
            <w:vAlign w:val="center"/>
          </w:tcPr>
          <w:p w14:paraId="1C43C04B">
            <w:pPr>
              <w:widowControl w:val="0"/>
              <w:spacing w:after="0" w:line="240" w:lineRule="auto"/>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6</w:t>
            </w:r>
          </w:p>
        </w:tc>
        <w:tc>
          <w:tcPr>
            <w:tcW w:w="1002" w:type="dxa"/>
            <w:shd w:val="clear" w:color="auto" w:fill="auto"/>
            <w:noWrap w:val="0"/>
            <w:vAlign w:val="center"/>
          </w:tcPr>
          <w:p w14:paraId="6F48DB34">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p>
        </w:tc>
        <w:tc>
          <w:tcPr>
            <w:tcW w:w="781" w:type="dxa"/>
            <w:shd w:val="clear" w:color="auto" w:fill="auto"/>
            <w:noWrap w:val="0"/>
            <w:vAlign w:val="center"/>
          </w:tcPr>
          <w:p w14:paraId="4F32D8CA">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992" w:type="dxa"/>
            <w:shd w:val="clear" w:color="auto" w:fill="auto"/>
            <w:noWrap w:val="0"/>
            <w:vAlign w:val="center"/>
          </w:tcPr>
          <w:p w14:paraId="240CAA57">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7</w:t>
            </w:r>
          </w:p>
        </w:tc>
        <w:tc>
          <w:tcPr>
            <w:tcW w:w="993" w:type="dxa"/>
            <w:shd w:val="clear" w:color="auto" w:fill="auto"/>
            <w:noWrap w:val="0"/>
            <w:vAlign w:val="center"/>
          </w:tcPr>
          <w:p w14:paraId="5D66EDF9">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7</w:t>
            </w:r>
          </w:p>
        </w:tc>
        <w:tc>
          <w:tcPr>
            <w:tcW w:w="1134" w:type="dxa"/>
            <w:shd w:val="clear" w:color="auto" w:fill="auto"/>
            <w:noWrap w:val="0"/>
            <w:vAlign w:val="top"/>
          </w:tcPr>
          <w:p w14:paraId="1D41CCFA">
            <w:pPr>
              <w:widowControl w:val="0"/>
              <w:spacing w:after="0" w:line="24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14</w:t>
            </w:r>
          </w:p>
        </w:tc>
        <w:tc>
          <w:tcPr>
            <w:tcW w:w="1134" w:type="dxa"/>
            <w:shd w:val="clear" w:color="auto" w:fill="auto"/>
            <w:noWrap w:val="0"/>
            <w:vAlign w:val="center"/>
          </w:tcPr>
          <w:p w14:paraId="4017B377">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r>
      <w:tr w14:paraId="3B383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45" w:type="dxa"/>
            <w:shd w:val="clear" w:color="auto" w:fill="auto"/>
            <w:noWrap w:val="0"/>
            <w:vAlign w:val="center"/>
          </w:tcPr>
          <w:p w14:paraId="3744574B">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第四包</w:t>
            </w:r>
          </w:p>
        </w:tc>
        <w:tc>
          <w:tcPr>
            <w:tcW w:w="1404" w:type="dxa"/>
            <w:shd w:val="clear" w:color="auto" w:fill="auto"/>
            <w:noWrap w:val="0"/>
            <w:vAlign w:val="center"/>
          </w:tcPr>
          <w:p w14:paraId="7AAD3D01">
            <w:pPr>
              <w:widowControl w:val="0"/>
              <w:spacing w:after="0"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1253" w:type="dxa"/>
            <w:shd w:val="clear" w:color="auto" w:fill="auto"/>
            <w:noWrap w:val="0"/>
            <w:vAlign w:val="center"/>
          </w:tcPr>
          <w:p w14:paraId="789E9F66">
            <w:pPr>
              <w:widowControl w:val="0"/>
              <w:spacing w:after="0"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002" w:type="dxa"/>
            <w:shd w:val="clear" w:color="auto" w:fill="auto"/>
            <w:noWrap w:val="0"/>
            <w:vAlign w:val="center"/>
          </w:tcPr>
          <w:p w14:paraId="63E32C41">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781" w:type="dxa"/>
            <w:shd w:val="clear" w:color="auto" w:fill="auto"/>
            <w:noWrap w:val="0"/>
            <w:vAlign w:val="center"/>
          </w:tcPr>
          <w:p w14:paraId="31141208">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992" w:type="dxa"/>
            <w:shd w:val="clear" w:color="auto" w:fill="auto"/>
            <w:noWrap w:val="0"/>
            <w:vAlign w:val="center"/>
          </w:tcPr>
          <w:p w14:paraId="2E2F381D">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993" w:type="dxa"/>
            <w:shd w:val="clear" w:color="auto" w:fill="auto"/>
            <w:noWrap w:val="0"/>
            <w:vAlign w:val="center"/>
          </w:tcPr>
          <w:p w14:paraId="46754587">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134" w:type="dxa"/>
            <w:shd w:val="clear" w:color="auto" w:fill="auto"/>
            <w:noWrap w:val="0"/>
            <w:vAlign w:val="top"/>
          </w:tcPr>
          <w:p w14:paraId="24D62327">
            <w:pPr>
              <w:widowControl w:val="0"/>
              <w:spacing w:after="0"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16</w:t>
            </w:r>
          </w:p>
        </w:tc>
        <w:tc>
          <w:tcPr>
            <w:tcW w:w="1134" w:type="dxa"/>
            <w:shd w:val="clear" w:color="auto" w:fill="auto"/>
            <w:noWrap w:val="0"/>
            <w:vAlign w:val="center"/>
          </w:tcPr>
          <w:p w14:paraId="60D51E4A">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r>
      <w:tr w14:paraId="7AFD6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1045" w:type="dxa"/>
            <w:shd w:val="clear" w:color="auto" w:fill="E2EFD9"/>
            <w:noWrap w:val="0"/>
            <w:vAlign w:val="center"/>
          </w:tcPr>
          <w:p w14:paraId="58255409">
            <w:pPr>
              <w:widowControl w:val="0"/>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合计</w:t>
            </w:r>
          </w:p>
        </w:tc>
        <w:tc>
          <w:tcPr>
            <w:tcW w:w="1404" w:type="dxa"/>
            <w:shd w:val="clear" w:color="auto" w:fill="E2EFD9"/>
            <w:noWrap w:val="0"/>
            <w:vAlign w:val="center"/>
          </w:tcPr>
          <w:p w14:paraId="18E5EF3B">
            <w:pPr>
              <w:widowControl w:val="0"/>
              <w:spacing w:after="0" w:line="240" w:lineRule="auto"/>
              <w:jc w:val="center"/>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40</w:t>
            </w:r>
          </w:p>
        </w:tc>
        <w:tc>
          <w:tcPr>
            <w:tcW w:w="1253" w:type="dxa"/>
            <w:shd w:val="clear" w:color="auto" w:fill="E2EFD9"/>
            <w:noWrap w:val="0"/>
            <w:vAlign w:val="center"/>
          </w:tcPr>
          <w:p w14:paraId="25321547">
            <w:pPr>
              <w:widowControl w:val="0"/>
              <w:spacing w:after="0" w:line="240" w:lineRule="auto"/>
              <w:jc w:val="center"/>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24</w:t>
            </w:r>
          </w:p>
        </w:tc>
        <w:tc>
          <w:tcPr>
            <w:tcW w:w="1002" w:type="dxa"/>
            <w:shd w:val="clear" w:color="auto" w:fill="E2EFD9"/>
            <w:noWrap w:val="0"/>
            <w:vAlign w:val="center"/>
          </w:tcPr>
          <w:p w14:paraId="3359AEDB">
            <w:pPr>
              <w:widowControl w:val="0"/>
              <w:spacing w:after="0" w:line="240" w:lineRule="auto"/>
              <w:jc w:val="center"/>
              <w:rPr>
                <w:rFonts w:hint="eastAsia" w:ascii="宋体" w:hAnsi="宋体" w:eastAsia="宋体" w:cs="宋体"/>
                <w:b/>
                <w:color w:val="auto"/>
                <w:sz w:val="24"/>
                <w:szCs w:val="24"/>
                <w:lang w:eastAsia="zh-CN"/>
              </w:rPr>
            </w:pPr>
            <w:r>
              <w:rPr>
                <w:rFonts w:hint="eastAsia" w:ascii="宋体" w:hAnsi="宋体" w:cs="宋体"/>
                <w:b/>
                <w:color w:val="auto"/>
                <w:sz w:val="24"/>
                <w:szCs w:val="24"/>
                <w:lang w:val="en-US" w:eastAsia="zh-CN"/>
              </w:rPr>
              <w:t>6</w:t>
            </w:r>
          </w:p>
        </w:tc>
        <w:tc>
          <w:tcPr>
            <w:tcW w:w="781" w:type="dxa"/>
            <w:shd w:val="clear" w:color="auto" w:fill="E2EFD9"/>
            <w:noWrap w:val="0"/>
            <w:vAlign w:val="center"/>
          </w:tcPr>
          <w:p w14:paraId="424682C7">
            <w:pPr>
              <w:widowControl w:val="0"/>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 =SUM(ABOVE) </w:instrText>
            </w:r>
            <w:r>
              <w:rPr>
                <w:rFonts w:hint="eastAsia" w:ascii="宋体" w:hAnsi="宋体" w:eastAsia="宋体" w:cs="宋体"/>
                <w:b/>
                <w:color w:val="auto"/>
                <w:sz w:val="24"/>
                <w:szCs w:val="24"/>
              </w:rPr>
              <w:fldChar w:fldCharType="separate"/>
            </w:r>
            <w:r>
              <w:rPr>
                <w:rFonts w:hint="eastAsia" w:ascii="宋体" w:hAnsi="宋体" w:eastAsia="宋体" w:cs="宋体"/>
                <w:b/>
                <w:color w:val="auto"/>
                <w:sz w:val="24"/>
                <w:szCs w:val="24"/>
              </w:rPr>
              <w:t>4</w:t>
            </w:r>
            <w:r>
              <w:rPr>
                <w:rFonts w:hint="eastAsia" w:ascii="宋体" w:hAnsi="宋体" w:eastAsia="宋体" w:cs="宋体"/>
                <w:b/>
                <w:color w:val="auto"/>
                <w:sz w:val="24"/>
                <w:szCs w:val="24"/>
              </w:rPr>
              <w:fldChar w:fldCharType="end"/>
            </w:r>
          </w:p>
        </w:tc>
        <w:tc>
          <w:tcPr>
            <w:tcW w:w="992" w:type="dxa"/>
            <w:shd w:val="clear" w:color="auto" w:fill="E2EFD9"/>
            <w:noWrap w:val="0"/>
            <w:vAlign w:val="center"/>
          </w:tcPr>
          <w:p w14:paraId="0565F197">
            <w:pPr>
              <w:widowControl w:val="0"/>
              <w:spacing w:after="0" w:line="240" w:lineRule="auto"/>
              <w:jc w:val="center"/>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30</w:t>
            </w:r>
          </w:p>
        </w:tc>
        <w:tc>
          <w:tcPr>
            <w:tcW w:w="993" w:type="dxa"/>
            <w:shd w:val="clear" w:color="auto" w:fill="E2EFD9"/>
            <w:noWrap w:val="0"/>
            <w:vAlign w:val="center"/>
          </w:tcPr>
          <w:p w14:paraId="5FED3055">
            <w:pPr>
              <w:widowControl w:val="0"/>
              <w:spacing w:after="0" w:line="240" w:lineRule="auto"/>
              <w:jc w:val="center"/>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30</w:t>
            </w:r>
          </w:p>
        </w:tc>
        <w:tc>
          <w:tcPr>
            <w:tcW w:w="1134" w:type="dxa"/>
            <w:shd w:val="clear" w:color="auto" w:fill="E2EFD9"/>
            <w:noWrap w:val="0"/>
            <w:vAlign w:val="top"/>
          </w:tcPr>
          <w:p w14:paraId="4B2727F5">
            <w:pPr>
              <w:widowControl w:val="0"/>
              <w:spacing w:after="0" w:line="240" w:lineRule="auto"/>
              <w:jc w:val="center"/>
              <w:rPr>
                <w:rFonts w:hint="default" w:ascii="宋体" w:hAnsi="宋体" w:eastAsia="宋体" w:cs="宋体"/>
                <w:b/>
                <w:color w:val="auto"/>
                <w:sz w:val="24"/>
                <w:szCs w:val="24"/>
                <w:lang w:val="en-US" w:eastAsia="zh-CN"/>
              </w:rPr>
            </w:pPr>
            <w:r>
              <w:rPr>
                <w:rFonts w:hint="eastAsia" w:ascii="宋体" w:hAnsi="宋体" w:cs="宋体"/>
                <w:b/>
                <w:color w:val="auto"/>
                <w:sz w:val="24"/>
                <w:szCs w:val="24"/>
                <w:lang w:val="en-US" w:eastAsia="zh-CN"/>
              </w:rPr>
              <w:t>60</w:t>
            </w:r>
          </w:p>
        </w:tc>
        <w:tc>
          <w:tcPr>
            <w:tcW w:w="1134" w:type="dxa"/>
            <w:shd w:val="clear" w:color="auto" w:fill="E2EFD9"/>
            <w:noWrap w:val="0"/>
            <w:vAlign w:val="center"/>
          </w:tcPr>
          <w:p w14:paraId="5227F474">
            <w:pPr>
              <w:widowControl w:val="0"/>
              <w:spacing w:after="0" w:line="240" w:lineRule="auto"/>
              <w:jc w:val="center"/>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3</w:t>
            </w:r>
            <w:r>
              <w:rPr>
                <w:rFonts w:hint="eastAsia" w:ascii="宋体" w:hAnsi="宋体" w:cs="宋体"/>
                <w:b/>
                <w:color w:val="auto"/>
                <w:sz w:val="24"/>
                <w:szCs w:val="24"/>
                <w:lang w:val="en-US" w:eastAsia="zh-CN"/>
              </w:rPr>
              <w:t>2</w:t>
            </w:r>
          </w:p>
        </w:tc>
      </w:tr>
      <w:tr w14:paraId="0E218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9738" w:type="dxa"/>
            <w:gridSpan w:val="9"/>
            <w:shd w:val="clear" w:color="auto" w:fill="auto"/>
            <w:noWrap w:val="0"/>
            <w:vAlign w:val="top"/>
          </w:tcPr>
          <w:p w14:paraId="56D1384B">
            <w:pPr>
              <w:widowControl w:val="0"/>
              <w:autoSpaceDE w:val="0"/>
              <w:autoSpaceDN w:val="0"/>
              <w:adjustRightInd w:val="0"/>
              <w:spacing w:after="0" w:line="240" w:lineRule="auto"/>
              <w:rPr>
                <w:rFonts w:hint="eastAsia" w:ascii="宋体" w:hAnsi="宋体" w:eastAsia="宋体" w:cs="宋体"/>
                <w:b/>
                <w:bCs w:val="0"/>
                <w:color w:val="auto"/>
                <w:sz w:val="24"/>
                <w:szCs w:val="24"/>
                <w:highlight w:val="none"/>
                <w:lang w:val="zh-CN"/>
              </w:rPr>
            </w:pPr>
            <w:r>
              <w:rPr>
                <w:rFonts w:hint="eastAsia" w:ascii="宋体" w:hAnsi="宋体" w:eastAsia="宋体" w:cs="宋体"/>
                <w:b/>
                <w:bCs w:val="0"/>
                <w:color w:val="auto"/>
                <w:sz w:val="24"/>
                <w:szCs w:val="24"/>
                <w:highlight w:val="none"/>
                <w:lang w:val="zh-CN"/>
              </w:rPr>
              <w:t>备注：本表中机动船只配备数量为本项目最低配置，实际配置数量由投标人根据招标文件要求结合现场踏勘情况后自行考虑，但不得低于该配置。</w:t>
            </w:r>
          </w:p>
        </w:tc>
      </w:tr>
    </w:tbl>
    <w:p w14:paraId="64CFDC38">
      <w:pPr>
        <w:widowControl w:val="0"/>
        <w:autoSpaceDE w:val="0"/>
        <w:autoSpaceDN w:val="0"/>
        <w:adjustRightInd w:val="0"/>
        <w:spacing w:after="0" w:line="440" w:lineRule="exact"/>
        <w:rPr>
          <w:rFonts w:hint="eastAsia" w:ascii="宋体" w:hAnsi="宋体" w:eastAsia="宋体" w:cs="宋体"/>
          <w:b/>
          <w:bCs w:val="0"/>
          <w:color w:val="auto"/>
          <w:sz w:val="28"/>
          <w:szCs w:val="28"/>
          <w:highlight w:val="none"/>
          <w:lang w:val="zh-CN"/>
        </w:rPr>
      </w:pPr>
      <w:r>
        <w:rPr>
          <w:rFonts w:hint="eastAsia" w:ascii="宋体" w:hAnsi="宋体" w:eastAsia="宋体" w:cs="宋体"/>
          <w:b/>
          <w:bCs w:val="0"/>
          <w:color w:val="auto"/>
          <w:sz w:val="28"/>
          <w:szCs w:val="28"/>
          <w:highlight w:val="none"/>
          <w:lang w:val="zh-CN"/>
        </w:rPr>
        <w:t>三、</w:t>
      </w:r>
      <w:bookmarkEnd w:id="286"/>
      <w:r>
        <w:rPr>
          <w:rFonts w:hint="eastAsia" w:ascii="宋体" w:hAnsi="宋体" w:eastAsia="宋体" w:cs="宋体"/>
          <w:b/>
          <w:bCs w:val="0"/>
          <w:color w:val="auto"/>
          <w:sz w:val="28"/>
          <w:szCs w:val="28"/>
          <w:highlight w:val="none"/>
          <w:lang w:val="zh-CN"/>
        </w:rPr>
        <w:t>项目服务要求：</w:t>
      </w:r>
    </w:p>
    <w:p w14:paraId="5D1A9228">
      <w:pPr>
        <w:spacing w:after="0" w:line="46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（一）总体要求：</w:t>
      </w:r>
    </w:p>
    <w:p w14:paraId="13A178C6">
      <w:pPr>
        <w:spacing w:after="0" w:line="440" w:lineRule="exact"/>
        <w:rPr>
          <w:rFonts w:hint="eastAsia" w:ascii="宋体" w:hAnsi="宋体" w:eastAsia="宋体" w:cs="宋体"/>
          <w:color w:val="auto"/>
          <w:sz w:val="24"/>
          <w:szCs w:val="24"/>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1、投标人必须遵守劳动法，依法规范用工，符合条件的人员须签订劳动合同并参加基本社会养老保险</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按时支付作业人员工资</w:t>
      </w:r>
      <w:r>
        <w:rPr>
          <w:rFonts w:hint="eastAsia" w:ascii="宋体" w:hAnsi="宋体" w:eastAsia="宋体" w:cs="宋体"/>
          <w:color w:val="auto"/>
          <w:sz w:val="24"/>
          <w:szCs w:val="24"/>
          <w:highlight w:val="none"/>
        </w:rPr>
        <w:t>。</w:t>
      </w:r>
    </w:p>
    <w:p w14:paraId="6A3AF892">
      <w:pPr>
        <w:spacing w:after="0" w:line="44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2、未退休人员工资应不低于最新公布的常熟市最低工资标准，人员正常作业时间为每日8小时，加班费、国假费用、夏季高温费、年度奖励等费用支付按政策法规规定执行。</w:t>
      </w:r>
    </w:p>
    <w:p w14:paraId="0DCA2630">
      <w:pPr>
        <w:spacing w:after="0" w:line="44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3、投标人应按采购人要求指定专人每天按规定上传河道保洁作业图片，并在每月25日前按统一格式向采购人提供相关运行资料，包括但不限于人员信息、费用发放、船只信息、垃圾清运量和自查考核情况等，并确保资料信息的真实性。</w:t>
      </w:r>
    </w:p>
    <w:p w14:paraId="08AFC6E3">
      <w:pPr>
        <w:spacing w:after="0" w:line="44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4、投标人应根据招标要求为各分包合理配备保洁作业人员、机动船只等设备，确定作业人员及各类设备数量，确保能满足各分包河道保洁作业要求，确保项目</w:t>
      </w:r>
      <w:r>
        <w:rPr>
          <w:rFonts w:hint="eastAsia" w:ascii="宋体" w:hAnsi="宋体" w:eastAsia="宋体" w:cs="宋体"/>
          <w:color w:val="auto"/>
          <w:sz w:val="24"/>
          <w:szCs w:val="24"/>
          <w:lang w:val="zh-CN"/>
        </w:rPr>
        <w:t>服务质量</w:t>
      </w:r>
      <w:r>
        <w:rPr>
          <w:rFonts w:hint="eastAsia" w:ascii="宋体" w:hAnsi="宋体" w:eastAsia="宋体" w:cs="宋体"/>
          <w:color w:val="auto"/>
          <w:sz w:val="24"/>
          <w:szCs w:val="24"/>
        </w:rPr>
        <w:t>。</w:t>
      </w:r>
    </w:p>
    <w:p w14:paraId="31C71986">
      <w:pPr>
        <w:spacing w:after="0" w:line="46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（二）人员及船只要求：</w:t>
      </w:r>
    </w:p>
    <w:p w14:paraId="3D1B5BE5">
      <w:pPr>
        <w:spacing w:after="0" w:line="46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1、项目管理人员要求：</w:t>
      </w:r>
    </w:p>
    <w:p w14:paraId="01E075BC">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 项目管理人员应具备1年以上（含1年）河道保洁项目管理经历。</w:t>
      </w:r>
    </w:p>
    <w:p w14:paraId="6424687E">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1.2身体健康，熟悉水性，无不良嗜好。</w:t>
      </w:r>
    </w:p>
    <w:p w14:paraId="354EA5C7">
      <w:pPr>
        <w:spacing w:after="0" w:line="46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2、保洁作业人员要求：</w:t>
      </w:r>
    </w:p>
    <w:p w14:paraId="15326841">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2.1所有人员年龄不得超过65周岁。</w:t>
      </w:r>
    </w:p>
    <w:p w14:paraId="2225B699">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2.2所有人员性别比例：男性≥90%。</w:t>
      </w:r>
    </w:p>
    <w:p w14:paraId="694FB563">
      <w:pPr>
        <w:spacing w:after="0" w:line="460" w:lineRule="exact"/>
        <w:ind w:firstLine="480" w:firstLineChars="200"/>
        <w:rPr>
          <w:rFonts w:hint="eastAsia" w:ascii="宋体" w:hAnsi="宋体" w:eastAsia="宋体" w:cs="宋体"/>
          <w:bCs w:val="0"/>
          <w:color w:val="auto"/>
          <w:sz w:val="24"/>
          <w:szCs w:val="24"/>
        </w:rPr>
      </w:pPr>
      <w:r>
        <w:rPr>
          <w:rFonts w:hint="eastAsia" w:ascii="宋体" w:hAnsi="宋体" w:eastAsia="宋体" w:cs="宋体"/>
          <w:color w:val="auto"/>
          <w:sz w:val="24"/>
          <w:szCs w:val="24"/>
        </w:rPr>
        <w:t>2.3身体健康，熟悉水性，无不良嗜好。</w:t>
      </w:r>
    </w:p>
    <w:p w14:paraId="1A678281">
      <w:pPr>
        <w:spacing w:after="0" w:line="46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3、船只要求：</w:t>
      </w:r>
    </w:p>
    <w:p w14:paraId="72B46E2A">
      <w:pPr>
        <w:pStyle w:val="5"/>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3.1每个分包均须投标人按本招标文件《机动船只人员配备要求表》要求，购买或租赁相应数量的机动船只，用于河道、湖泊等水域的打捞清理。</w:t>
      </w:r>
    </w:p>
    <w:p w14:paraId="7AB5BCE6">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3.2常规机动船只采用铁壳平底船，铁壳平底船性能参数要求：马力≥12匹；船宽≥2.3m；船长≥7m；最大载重量≥2T。</w:t>
      </w:r>
    </w:p>
    <w:p w14:paraId="622A422B">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3.3全自动水面清洁船性能参数要求：船只发动机功率≥50kW；最大载重量≥5T。</w:t>
      </w:r>
    </w:p>
    <w:p w14:paraId="17682D3E">
      <w:pPr>
        <w:pStyle w:val="5"/>
        <w:spacing w:after="0" w:line="46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rPr>
        <w:t>4、船只、船</w:t>
      </w:r>
      <w:r>
        <w:rPr>
          <w:rFonts w:hint="eastAsia" w:ascii="宋体" w:hAnsi="宋体" w:eastAsia="宋体" w:cs="宋体"/>
          <w:color w:val="auto"/>
          <w:sz w:val="24"/>
          <w:szCs w:val="24"/>
          <w:highlight w:val="none"/>
        </w:rPr>
        <w:t>员及船舶操作要求：</w:t>
      </w:r>
    </w:p>
    <w:p w14:paraId="7D8F301D">
      <w:pPr>
        <w:spacing w:after="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4.1投标人购买或租赁的所有船只均应符合相关海事及航道部门的要求。由此产生的不利于保洁工作的影响和费用，均由投标人承担。</w:t>
      </w:r>
    </w:p>
    <w:p w14:paraId="788E2AA9">
      <w:pPr>
        <w:spacing w:after="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4.2投标人拟投入的所有船只配备的船员均应符合相关海事及航道部门的要求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具备有效的</w:t>
      </w:r>
      <w:r>
        <w:rPr>
          <w:rFonts w:ascii="宋体" w:hAnsi="宋体" w:eastAsia="宋体" w:cs="宋体"/>
          <w:sz w:val="24"/>
          <w:szCs w:val="24"/>
          <w:highlight w:val="none"/>
        </w:rPr>
        <w:t>船员资格（含船员、渔业船员）</w:t>
      </w:r>
      <w:r>
        <w:rPr>
          <w:rFonts w:hint="eastAsia" w:ascii="宋体" w:hAnsi="宋体" w:eastAsia="宋体" w:cs="宋体"/>
          <w:sz w:val="24"/>
          <w:szCs w:val="24"/>
          <w:highlight w:val="none"/>
          <w:lang w:val="en-US" w:eastAsia="zh-CN"/>
        </w:rPr>
        <w:t>证书</w:t>
      </w:r>
      <w:r>
        <w:rPr>
          <w:rFonts w:hint="eastAsia" w:ascii="宋体" w:hAnsi="宋体" w:eastAsia="宋体" w:cs="宋体"/>
          <w:color w:val="auto"/>
          <w:sz w:val="24"/>
          <w:szCs w:val="24"/>
          <w:highlight w:val="none"/>
        </w:rPr>
        <w:t>。由此产生的不利于保洁工作的影响和费用，均由投标人承担。</w:t>
      </w:r>
    </w:p>
    <w:p w14:paraId="7494315C">
      <w:pPr>
        <w:spacing w:after="0" w:line="460" w:lineRule="exact"/>
        <w:ind w:left="479" w:leftChars="228"/>
        <w:rPr>
          <w:rFonts w:hint="eastAsia" w:ascii="宋体" w:hAnsi="宋体" w:eastAsia="宋体" w:cs="宋体"/>
          <w:color w:val="auto"/>
          <w:sz w:val="24"/>
          <w:szCs w:val="24"/>
        </w:rPr>
      </w:pPr>
      <w:r>
        <w:rPr>
          <w:rFonts w:hint="eastAsia" w:ascii="宋体" w:hAnsi="宋体" w:eastAsia="宋体" w:cs="宋体"/>
          <w:color w:val="auto"/>
          <w:sz w:val="24"/>
          <w:szCs w:val="24"/>
          <w:highlight w:val="none"/>
        </w:rPr>
        <w:t>4.3所有船只进行保洁作业时，必</w:t>
      </w:r>
      <w:r>
        <w:rPr>
          <w:rFonts w:hint="eastAsia" w:ascii="宋体" w:hAnsi="宋体" w:eastAsia="宋体" w:cs="宋体"/>
          <w:color w:val="auto"/>
          <w:sz w:val="24"/>
          <w:szCs w:val="24"/>
        </w:rPr>
        <w:t>须确保该船至少配备有2名作业人员。</w:t>
      </w:r>
    </w:p>
    <w:p w14:paraId="2201684F">
      <w:pPr>
        <w:spacing w:after="0" w:line="460" w:lineRule="exact"/>
        <w:ind w:left="479" w:leftChars="228"/>
        <w:rPr>
          <w:rFonts w:hint="eastAsia" w:ascii="宋体" w:hAnsi="宋体" w:eastAsia="宋体" w:cs="宋体"/>
          <w:color w:val="auto"/>
          <w:sz w:val="24"/>
          <w:szCs w:val="24"/>
        </w:rPr>
      </w:pPr>
      <w:r>
        <w:rPr>
          <w:rFonts w:hint="eastAsia" w:ascii="宋体" w:hAnsi="宋体" w:eastAsia="宋体" w:cs="宋体"/>
          <w:color w:val="auto"/>
          <w:sz w:val="24"/>
          <w:szCs w:val="24"/>
        </w:rPr>
        <w:t>4.4所有船只均应由投标人安装GPS设备，并接入采购人保洁船监管系统。</w:t>
      </w:r>
    </w:p>
    <w:p w14:paraId="5F3D365D">
      <w:pPr>
        <w:pStyle w:val="5"/>
        <w:spacing w:after="0" w:line="46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5、其他要求：</w:t>
      </w:r>
    </w:p>
    <w:p w14:paraId="3D128900">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5.1本项目服务期限内，如投标人出现生产事故，相关责任及费用均由投标人独自承担。</w:t>
      </w:r>
    </w:p>
    <w:p w14:paraId="53B9810B">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5.2投标人应为作业人员提供符合采购人要求的工作服及必要的劳动防护用品。</w:t>
      </w:r>
    </w:p>
    <w:p w14:paraId="3ABAFB31">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5.3所有超过招标要求配置数量的船只，均应投入到对应分包的日常河道保洁作业中，由投标人安装GPS设备，接入采购人保洁船监管系统，并由采购人纳入履约考核。</w:t>
      </w:r>
    </w:p>
    <w:p w14:paraId="660E6023">
      <w:pPr>
        <w:spacing w:after="0" w:line="460" w:lineRule="exact"/>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（三）作业质量标准要求：</w:t>
      </w:r>
    </w:p>
    <w:p w14:paraId="435E8F36">
      <w:pPr>
        <w:pStyle w:val="5"/>
        <w:spacing w:after="0" w:line="460" w:lineRule="exac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1、通用标准：</w:t>
      </w:r>
    </w:p>
    <w:p w14:paraId="0E9D5027">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1.1作业人员统一着装、佩证上岗。</w:t>
      </w:r>
    </w:p>
    <w:p w14:paraId="54F21A34">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1.2作业船只、作业工具等保持整洁，状态良好。船上无乱堆放、乱挂放，工具摆放整齐。</w:t>
      </w:r>
    </w:p>
    <w:p w14:paraId="68BBCD80">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1.3作业文明，采取有效措施减少噪音、油污等作业扰民问题。</w:t>
      </w:r>
    </w:p>
    <w:p w14:paraId="31EA11EB">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1.4作业船只应配备救生设备，作业人员应穿救生衣，严禁酒后上岗。</w:t>
      </w:r>
    </w:p>
    <w:p w14:paraId="7BDFBB80">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1.5作业人员上岗期间应统一穿戴印有“河道管理”字样的服装或标志着装。</w:t>
      </w:r>
    </w:p>
    <w:p w14:paraId="01DABCE1">
      <w:pPr>
        <w:spacing w:after="0"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1.6作业船只应定期清洗，应统一标识。</w:t>
      </w:r>
    </w:p>
    <w:p w14:paraId="37F64E43">
      <w:pPr>
        <w:spacing w:after="0" w:line="46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2、河道保洁作业：</w:t>
      </w:r>
    </w:p>
    <w:p w14:paraId="50F06A5D">
      <w:pPr>
        <w:spacing w:after="0" w:line="46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2.1河道集镇段、主要道路两侧及其它重要地段每日保洁不少于2次，其它管理范围内的河道每日保洁不少于1次。</w:t>
      </w:r>
    </w:p>
    <w:p w14:paraId="29A57089">
      <w:pPr>
        <w:spacing w:after="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河道水面漂浮物控制：</w:t>
      </w:r>
    </w:p>
    <w:p w14:paraId="015B0971">
      <w:pPr>
        <w:spacing w:after="0" w:line="4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.1静态水域中，无聚集性漂浮物，基本无水面零星漂浮物；</w:t>
      </w:r>
    </w:p>
    <w:p w14:paraId="23BC13A2">
      <w:pPr>
        <w:spacing w:after="0" w:line="460" w:lineRule="exact"/>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.2流动水域中，可视范围内水面漂浮物及时清除。</w:t>
      </w:r>
    </w:p>
    <w:p w14:paraId="3B080DDE">
      <w:pPr>
        <w:spacing w:after="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河岸</w:t>
      </w:r>
      <w:r>
        <w:rPr>
          <w:rFonts w:hint="eastAsia" w:ascii="宋体" w:hAnsi="宋体" w:eastAsia="宋体" w:cs="宋体"/>
          <w:color w:val="auto"/>
          <w:sz w:val="24"/>
          <w:szCs w:val="24"/>
          <w:highlight w:val="none"/>
          <w:lang w:eastAsia="zh-CN"/>
        </w:rPr>
        <w:t>斜坡</w:t>
      </w:r>
      <w:r>
        <w:rPr>
          <w:rFonts w:hint="eastAsia" w:ascii="宋体" w:hAnsi="宋体" w:eastAsia="宋体" w:cs="宋体"/>
          <w:color w:val="auto"/>
          <w:sz w:val="24"/>
          <w:szCs w:val="24"/>
          <w:highlight w:val="none"/>
        </w:rPr>
        <w:t>无杂物堆放、无零星垃圾、无垦种。</w:t>
      </w:r>
    </w:p>
    <w:p w14:paraId="21BF62C0">
      <w:pPr>
        <w:spacing w:after="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河道岸滩整洁无暴露垃圾堆、无明显散落垃圾、无枯枝、砖石等明显杂物。</w:t>
      </w:r>
    </w:p>
    <w:p w14:paraId="0E441794">
      <w:pPr>
        <w:spacing w:after="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负责将上岸垃圾按照投标人承诺的垃圾处置方案及政府相关要求自行进行无害化处置。</w:t>
      </w:r>
    </w:p>
    <w:p w14:paraId="254DBB0D">
      <w:pPr>
        <w:spacing w:after="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作业结束后及时对船只等进行清理，做到无垃圾、杂物。</w:t>
      </w:r>
    </w:p>
    <w:p w14:paraId="3B0C1B1E">
      <w:pPr>
        <w:spacing w:after="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遇到重大节日或特殊活动，投标人应服从采购人的安排，做好突击性的保洁工作。</w:t>
      </w:r>
    </w:p>
    <w:p w14:paraId="7E721406">
      <w:pPr>
        <w:spacing w:after="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接到采购人通知后，须在1个小时内做出响应，并立即到达现场处理突发情况。</w:t>
      </w:r>
    </w:p>
    <w:p w14:paraId="03F24089">
      <w:pPr>
        <w:spacing w:after="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水生植物爆发期间，投标人应无条件</w:t>
      </w:r>
      <w:r>
        <w:rPr>
          <w:rFonts w:hint="eastAsia" w:ascii="宋体" w:hAnsi="宋体" w:cs="宋体"/>
          <w:color w:val="auto"/>
          <w:sz w:val="24"/>
          <w:szCs w:val="24"/>
          <w:highlight w:val="none"/>
          <w:lang w:val="en-US" w:eastAsia="zh-CN"/>
        </w:rPr>
        <w:t>服从</w:t>
      </w:r>
      <w:r>
        <w:rPr>
          <w:rFonts w:hint="eastAsia" w:ascii="宋体" w:hAnsi="宋体" w:eastAsia="宋体" w:cs="宋体"/>
          <w:color w:val="auto"/>
          <w:sz w:val="24"/>
          <w:szCs w:val="24"/>
          <w:highlight w:val="none"/>
        </w:rPr>
        <w:t>采购人的调度</w:t>
      </w:r>
      <w:r>
        <w:rPr>
          <w:rFonts w:hint="eastAsia" w:ascii="宋体" w:hAnsi="宋体" w:eastAsia="宋体" w:cs="宋体"/>
          <w:color w:val="auto"/>
          <w:sz w:val="24"/>
          <w:szCs w:val="24"/>
          <w:highlight w:val="none"/>
          <w:lang w:eastAsia="zh-CN"/>
        </w:rPr>
        <w:t>，包括合理增加作业人员及机动船只等</w:t>
      </w:r>
      <w:r>
        <w:rPr>
          <w:rFonts w:hint="eastAsia" w:ascii="宋体" w:hAnsi="宋体" w:eastAsia="宋体" w:cs="宋体"/>
          <w:color w:val="auto"/>
          <w:sz w:val="24"/>
          <w:szCs w:val="24"/>
          <w:highlight w:val="none"/>
        </w:rPr>
        <w:t>。</w:t>
      </w:r>
    </w:p>
    <w:p w14:paraId="38394AF4">
      <w:pPr>
        <w:spacing w:after="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2.10</w:t>
      </w:r>
      <w:r>
        <w:rPr>
          <w:rFonts w:hint="eastAsia" w:ascii="宋体" w:hAnsi="宋体" w:eastAsia="宋体" w:cs="宋体"/>
          <w:color w:val="auto"/>
          <w:sz w:val="24"/>
          <w:szCs w:val="24"/>
          <w:highlight w:val="none"/>
        </w:rPr>
        <w:t>如投标人获得中标，应严格按照要求进行突击打捞作业。</w:t>
      </w:r>
    </w:p>
    <w:p w14:paraId="183344D1">
      <w:pPr>
        <w:widowControl w:val="0"/>
        <w:autoSpaceDE w:val="0"/>
        <w:autoSpaceDN w:val="0"/>
        <w:adjustRightInd w:val="0"/>
        <w:spacing w:after="0" w:line="440" w:lineRule="exact"/>
        <w:rPr>
          <w:rFonts w:hint="eastAsia" w:ascii="宋体" w:hAnsi="宋体" w:eastAsia="宋体" w:cs="宋体"/>
          <w:b/>
          <w:bCs w:val="0"/>
          <w:color w:val="auto"/>
          <w:sz w:val="28"/>
          <w:szCs w:val="28"/>
          <w:highlight w:val="none"/>
          <w:lang w:val="zh-CN"/>
        </w:rPr>
      </w:pPr>
      <w:bookmarkStart w:id="289" w:name="_Toc23714769"/>
      <w:r>
        <w:rPr>
          <w:rFonts w:hint="eastAsia" w:ascii="宋体" w:hAnsi="宋体" w:eastAsia="宋体" w:cs="宋体"/>
          <w:b/>
          <w:bCs w:val="0"/>
          <w:color w:val="auto"/>
          <w:sz w:val="28"/>
          <w:szCs w:val="28"/>
          <w:highlight w:val="none"/>
          <w:lang w:val="zh-CN"/>
        </w:rPr>
        <w:t>四、投标报价要求</w:t>
      </w:r>
      <w:bookmarkEnd w:id="289"/>
    </w:p>
    <w:p w14:paraId="086A06BA">
      <w:pPr>
        <w:widowControl w:val="0"/>
        <w:spacing w:after="0" w:line="42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1、投标人须对</w:t>
      </w:r>
      <w:r>
        <w:rPr>
          <w:rFonts w:hint="eastAsia" w:ascii="宋体" w:hAnsi="宋体" w:cs="宋体"/>
          <w:color w:val="auto"/>
          <w:sz w:val="24"/>
          <w:szCs w:val="24"/>
          <w:highlight w:val="none"/>
          <w:lang w:val="en-US" w:eastAsia="zh-CN"/>
        </w:rPr>
        <w:t>拟投报</w:t>
      </w:r>
      <w:r>
        <w:rPr>
          <w:rFonts w:hint="eastAsia" w:ascii="宋体" w:hAnsi="宋体" w:eastAsia="宋体" w:cs="宋体"/>
          <w:color w:val="auto"/>
          <w:sz w:val="24"/>
          <w:szCs w:val="24"/>
          <w:highlight w:val="none"/>
        </w:rPr>
        <w:t>分包中的所有</w:t>
      </w:r>
      <w:r>
        <w:rPr>
          <w:rFonts w:hint="eastAsia" w:ascii="宋体" w:hAnsi="宋体" w:cs="宋体"/>
          <w:color w:val="auto"/>
          <w:sz w:val="24"/>
          <w:szCs w:val="24"/>
          <w:highlight w:val="none"/>
          <w:lang w:val="en-US" w:eastAsia="zh-CN"/>
        </w:rPr>
        <w:t>内容</w:t>
      </w:r>
      <w:r>
        <w:rPr>
          <w:rFonts w:hint="eastAsia" w:ascii="宋体" w:hAnsi="宋体" w:eastAsia="宋体" w:cs="宋体"/>
          <w:color w:val="auto"/>
          <w:sz w:val="24"/>
          <w:szCs w:val="24"/>
          <w:highlight w:val="none"/>
        </w:rPr>
        <w:t>进行报价，不得只对其中的部分</w:t>
      </w:r>
      <w:r>
        <w:rPr>
          <w:rFonts w:hint="eastAsia" w:ascii="宋体" w:hAnsi="宋体" w:cs="宋体"/>
          <w:color w:val="auto"/>
          <w:sz w:val="24"/>
          <w:szCs w:val="24"/>
          <w:highlight w:val="none"/>
          <w:lang w:val="en-US" w:eastAsia="zh-CN"/>
        </w:rPr>
        <w:t>内容</w:t>
      </w:r>
      <w:r>
        <w:rPr>
          <w:rFonts w:hint="eastAsia" w:ascii="宋体" w:hAnsi="宋体" w:eastAsia="宋体" w:cs="宋体"/>
          <w:color w:val="auto"/>
          <w:sz w:val="24"/>
          <w:szCs w:val="24"/>
          <w:highlight w:val="none"/>
        </w:rPr>
        <w:t>进行投标报价，否则将作无效投标处理。</w:t>
      </w:r>
    </w:p>
    <w:p w14:paraId="56C88A58">
      <w:pPr>
        <w:widowControl w:val="0"/>
        <w:spacing w:after="0" w:line="42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bookmarkEnd w:id="287"/>
      <w:bookmarkEnd w:id="288"/>
      <w:r>
        <w:rPr>
          <w:rFonts w:hint="eastAsia" w:ascii="宋体" w:hAnsi="宋体" w:eastAsia="宋体" w:cs="宋体"/>
          <w:color w:val="auto"/>
          <w:sz w:val="24"/>
          <w:szCs w:val="24"/>
          <w:highlight w:val="none"/>
        </w:rPr>
        <w:t>本项目采用统一固定优惠率报价方式</w:t>
      </w: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服务费用包括服务期限内完成该项目工作所需的所有费用，包括人工费（包括人员工资、社会保险、福利费、加班费、人身意外伤害险等）、船只费（包括能耗费、折旧费、修理费、保险费等）、保洁费、设备工具费、作业服装费、材料消耗费、税费及政策性文件规定和合同所包含的所有风险、责任等各项应有费用（项目实施过程中采购人承担的项目及费用除外）。</w:t>
      </w:r>
    </w:p>
    <w:p w14:paraId="3A2B07FE">
      <w:pPr>
        <w:widowControl w:val="0"/>
        <w:spacing w:after="0" w:line="42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3、在河道保洁服务期限内，</w:t>
      </w:r>
      <w:r>
        <w:rPr>
          <w:rFonts w:hint="eastAsia" w:ascii="宋体" w:hAnsi="宋体" w:eastAsia="宋体" w:cs="宋体"/>
          <w:b/>
          <w:color w:val="auto"/>
          <w:sz w:val="24"/>
          <w:szCs w:val="24"/>
          <w:highlight w:val="none"/>
          <w:lang w:eastAsia="zh-CN"/>
        </w:rPr>
        <w:t>优惠率</w:t>
      </w:r>
      <w:r>
        <w:rPr>
          <w:rFonts w:hint="eastAsia" w:ascii="宋体" w:hAnsi="宋体" w:eastAsia="宋体" w:cs="宋体"/>
          <w:b/>
          <w:color w:val="auto"/>
          <w:sz w:val="24"/>
          <w:szCs w:val="24"/>
          <w:highlight w:val="none"/>
        </w:rPr>
        <w:t>不予调整。每个分包的河道保洁服务费用为分包采购预算乘以</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1-成交</w:t>
      </w:r>
      <w:r>
        <w:rPr>
          <w:rFonts w:hint="eastAsia" w:ascii="宋体" w:hAnsi="宋体" w:eastAsia="宋体" w:cs="宋体"/>
          <w:b/>
          <w:color w:val="auto"/>
          <w:sz w:val="24"/>
          <w:szCs w:val="24"/>
          <w:highlight w:val="none"/>
          <w:lang w:eastAsia="zh-CN"/>
        </w:rPr>
        <w:t>优惠率）</w:t>
      </w:r>
      <w:r>
        <w:rPr>
          <w:rFonts w:hint="eastAsia" w:ascii="宋体" w:hAnsi="宋体" w:eastAsia="宋体" w:cs="宋体"/>
          <w:b/>
          <w:color w:val="auto"/>
          <w:sz w:val="24"/>
          <w:szCs w:val="24"/>
          <w:highlight w:val="none"/>
        </w:rPr>
        <w:t>。</w:t>
      </w:r>
    </w:p>
    <w:p w14:paraId="1B8F56CF">
      <w:pPr>
        <w:widowControl w:val="0"/>
        <w:spacing w:after="0" w:line="42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w:t>
      </w:r>
      <w:bookmarkStart w:id="290" w:name="_Toc23714770"/>
      <w:r>
        <w:rPr>
          <w:rFonts w:hint="eastAsia" w:ascii="宋体" w:hAnsi="宋体" w:eastAsia="宋体" w:cs="宋体"/>
          <w:b/>
          <w:color w:val="auto"/>
          <w:sz w:val="24"/>
          <w:szCs w:val="24"/>
          <w:highlight w:val="none"/>
        </w:rPr>
        <w:t>项目实施过程中由采购人承担的项目及费用：</w:t>
      </w:r>
    </w:p>
    <w:p w14:paraId="08FB8963">
      <w:pPr>
        <w:spacing w:after="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4.1采购人要求进行突击打捞时的全自动水面清洁船运行油耗费用（具体方案遵循附件5：《突击打捞合作协议》）。</w:t>
      </w:r>
    </w:p>
    <w:p w14:paraId="6005CF8D">
      <w:pPr>
        <w:widowControl w:val="0"/>
        <w:spacing w:after="0" w:line="42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5、在项目实施过程中产生的费用均由投标人承担，包含在报价中。</w:t>
      </w:r>
    </w:p>
    <w:p w14:paraId="4CBBBA2B">
      <w:pPr>
        <w:widowControl w:val="0"/>
        <w:spacing w:after="0" w:line="42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6、投标人在投标报价时应考虑各种风险因素，相关风险因素费用包含在投标价格中。风险因素包括但不限于最低工资调整、遇重大活动、检查、燃油价格调整、税费调整等。</w:t>
      </w:r>
      <w:bookmarkEnd w:id="290"/>
    </w:p>
    <w:p w14:paraId="16DE3000">
      <w:pPr>
        <w:widowControl w:val="0"/>
        <w:autoSpaceDE w:val="0"/>
        <w:autoSpaceDN w:val="0"/>
        <w:adjustRightInd w:val="0"/>
        <w:spacing w:after="0" w:line="440" w:lineRule="exact"/>
        <w:rPr>
          <w:rFonts w:hint="eastAsia" w:ascii="宋体" w:hAnsi="宋体" w:eastAsia="宋体" w:cs="宋体"/>
          <w:b/>
          <w:bCs w:val="0"/>
          <w:color w:val="auto"/>
          <w:sz w:val="28"/>
          <w:szCs w:val="28"/>
          <w:highlight w:val="none"/>
          <w:lang w:val="zh-CN"/>
        </w:rPr>
      </w:pPr>
      <w:r>
        <w:rPr>
          <w:rFonts w:hint="eastAsia" w:ascii="宋体" w:hAnsi="宋体" w:eastAsia="宋体" w:cs="宋体"/>
          <w:b/>
          <w:bCs w:val="0"/>
          <w:color w:val="auto"/>
          <w:sz w:val="28"/>
          <w:szCs w:val="28"/>
          <w:highlight w:val="none"/>
          <w:lang w:val="zh-CN"/>
        </w:rPr>
        <w:t>五、其他要求</w:t>
      </w:r>
    </w:p>
    <w:p w14:paraId="19EF0ECB">
      <w:pPr>
        <w:widowControl w:val="0"/>
        <w:spacing w:after="0" w:line="420" w:lineRule="exact"/>
        <w:ind w:firstLine="241" w:firstLineChars="1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1、本项目“</w:t>
      </w:r>
      <w:r>
        <w:rPr>
          <w:rFonts w:hint="eastAsia" w:ascii="宋体" w:hAnsi="宋体" w:cs="宋体"/>
          <w:b/>
          <w:color w:val="auto"/>
          <w:sz w:val="24"/>
          <w:szCs w:val="24"/>
          <w:highlight w:val="none"/>
          <w:lang w:eastAsia="zh-CN"/>
        </w:rPr>
        <w:t>采购需求</w:t>
      </w:r>
      <w:r>
        <w:rPr>
          <w:rFonts w:hint="eastAsia" w:ascii="宋体" w:hAnsi="宋体" w:eastAsia="宋体" w:cs="宋体"/>
          <w:b/>
          <w:color w:val="auto"/>
          <w:sz w:val="24"/>
          <w:szCs w:val="24"/>
          <w:highlight w:val="none"/>
        </w:rPr>
        <w:t>”中标“★”的相关要求，为本招标文件实质性要求，必须满足，否则将无效投标处理。</w:t>
      </w:r>
    </w:p>
    <w:p w14:paraId="434C2085">
      <w:pPr>
        <w:widowControl w:val="0"/>
        <w:spacing w:after="0" w:line="420" w:lineRule="exact"/>
        <w:ind w:firstLine="240" w:firstLineChars="100"/>
        <w:rPr>
          <w:rFonts w:ascii="Times New Roman" w:hAnsi="Times New Roman"/>
          <w:b/>
          <w:color w:val="auto"/>
          <w:sz w:val="36"/>
          <w:highlight w:val="none"/>
        </w:rPr>
      </w:pPr>
      <w:r>
        <w:rPr>
          <w:rFonts w:hint="eastAsia" w:ascii="宋体" w:hAnsi="宋体" w:eastAsia="宋体" w:cs="宋体"/>
          <w:color w:val="auto"/>
          <w:sz w:val="24"/>
          <w:szCs w:val="24"/>
          <w:highlight w:val="none"/>
        </w:rPr>
        <w:t>2、在服务期限内，如中标人需更换项目管理人员的，更换后的项目管理人员须符合采购要</w:t>
      </w:r>
      <w:r>
        <w:rPr>
          <w:rFonts w:hint="eastAsia" w:ascii="宋体" w:hAnsi="宋体" w:eastAsia="宋体" w:cs="宋体"/>
          <w:color w:val="auto"/>
          <w:sz w:val="24"/>
          <w:szCs w:val="24"/>
        </w:rPr>
        <w:t>求，经采购人同意后，方可更换，并服从采购人的人员备案、考核管理，否则采购人有权终止项目合同，采购人无须承担相应的违约责任。</w:t>
      </w:r>
      <w:r>
        <w:rPr>
          <w:rFonts w:ascii="Times New Roman" w:hAnsi="Times New Roman"/>
          <w:color w:val="auto"/>
          <w:highlight w:val="none"/>
        </w:rPr>
        <w:br w:type="page"/>
      </w:r>
    </w:p>
    <w:p w14:paraId="40069809">
      <w:pPr>
        <w:pStyle w:val="7"/>
        <w:shd w:val="clear"/>
        <w:spacing w:line="440" w:lineRule="exact"/>
        <w:rPr>
          <w:rFonts w:ascii="Times New Roman" w:hAnsi="Times New Roman"/>
          <w:color w:val="auto"/>
          <w:highlight w:val="none"/>
        </w:rPr>
      </w:pPr>
      <w:bookmarkStart w:id="291" w:name="_Toc30408"/>
      <w:r>
        <w:rPr>
          <w:rFonts w:ascii="Times New Roman" w:hAnsi="Times New Roman"/>
          <w:color w:val="auto"/>
          <w:highlight w:val="none"/>
        </w:rPr>
        <w:t>第五章 评审</w:t>
      </w:r>
      <w:r>
        <w:rPr>
          <w:rFonts w:hint="eastAsia" w:ascii="Times New Roman" w:hAnsi="Times New Roman"/>
          <w:color w:val="auto"/>
          <w:highlight w:val="none"/>
        </w:rPr>
        <w:t>方法与评审</w:t>
      </w:r>
      <w:r>
        <w:rPr>
          <w:rFonts w:ascii="Times New Roman" w:hAnsi="Times New Roman"/>
          <w:color w:val="auto"/>
          <w:highlight w:val="none"/>
        </w:rPr>
        <w:t>标准</w:t>
      </w:r>
      <w:bookmarkEnd w:id="283"/>
      <w:bookmarkEnd w:id="291"/>
    </w:p>
    <w:p w14:paraId="134EEAFB">
      <w:pPr>
        <w:shd w:val="clea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一、评标方法</w:t>
      </w:r>
    </w:p>
    <w:p w14:paraId="5E27221B">
      <w:pPr>
        <w:spacing w:line="44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1、评委会将对通过资格性和符合性检查的投标人进行综合评审，按评审后得分由高到低顺序排列。得分相同的，按投标报价由低到高顺序排列。得分且投标报价相同的并列。</w:t>
      </w:r>
    </w:p>
    <w:p w14:paraId="5789A94D">
      <w:pPr>
        <w:spacing w:line="440" w:lineRule="exact"/>
        <w:ind w:firstLine="360" w:firstLineChars="150"/>
        <w:rPr>
          <w:rFonts w:hint="eastAsia" w:ascii="宋体" w:hAnsi="宋体" w:eastAsia="宋体" w:cs="宋体"/>
          <w:color w:val="auto"/>
          <w:sz w:val="24"/>
        </w:rPr>
      </w:pPr>
      <w:r>
        <w:rPr>
          <w:rFonts w:hint="eastAsia" w:ascii="宋体" w:hAnsi="宋体" w:cs="宋体"/>
          <w:color w:val="auto"/>
          <w:sz w:val="24"/>
          <w:lang w:val="en-US" w:eastAsia="zh-CN"/>
        </w:rPr>
        <w:t>2、</w:t>
      </w:r>
      <w:r>
        <w:rPr>
          <w:rFonts w:hint="eastAsia" w:ascii="宋体" w:hAnsi="宋体" w:eastAsia="宋体" w:cs="宋体"/>
          <w:color w:val="auto"/>
          <w:sz w:val="24"/>
        </w:rPr>
        <w:t>评委会根据排列情况将分别推荐每个分包前三名为中标候选人，并根据采购人委托直接确定每个分包的第一名为中标人。中标候选人并列的，采取随机抽取的方式确定。</w:t>
      </w:r>
    </w:p>
    <w:p w14:paraId="6345424B">
      <w:pPr>
        <w:spacing w:line="440" w:lineRule="exact"/>
        <w:ind w:firstLine="360" w:firstLineChars="150"/>
        <w:rPr>
          <w:rFonts w:hint="eastAsia" w:ascii="宋体" w:hAnsi="宋体" w:eastAsia="宋体" w:cs="宋体"/>
          <w:color w:val="auto"/>
          <w:sz w:val="24"/>
        </w:rPr>
      </w:pPr>
      <w:r>
        <w:rPr>
          <w:rFonts w:hint="eastAsia" w:ascii="宋体" w:hAnsi="宋体" w:cs="宋体"/>
          <w:color w:val="auto"/>
          <w:sz w:val="24"/>
          <w:lang w:val="en-US" w:eastAsia="zh-CN"/>
        </w:rPr>
        <w:t>3、</w:t>
      </w:r>
      <w:r>
        <w:rPr>
          <w:rFonts w:hint="eastAsia" w:ascii="宋体" w:hAnsi="宋体" w:eastAsia="宋体" w:cs="宋体"/>
          <w:color w:val="auto"/>
          <w:sz w:val="24"/>
        </w:rPr>
        <w:t>本项目按第一包、第二包、第三包、第四包的顺序依次进行评审。已评审完的分包中被确定中标人的，在后续分包中不具有得标权。</w:t>
      </w:r>
    </w:p>
    <w:p w14:paraId="18FF7303">
      <w:pPr>
        <w:spacing w:line="440" w:lineRule="exact"/>
        <w:ind w:firstLine="360" w:firstLineChars="150"/>
        <w:rPr>
          <w:rFonts w:hint="eastAsia" w:ascii="宋体" w:hAnsi="宋体" w:eastAsia="宋体" w:cs="宋体"/>
          <w:color w:val="auto"/>
          <w:sz w:val="24"/>
        </w:rPr>
      </w:pPr>
      <w:r>
        <w:rPr>
          <w:rFonts w:hint="eastAsia" w:ascii="宋体" w:hAnsi="宋体" w:cs="宋体"/>
          <w:color w:val="auto"/>
          <w:sz w:val="24"/>
          <w:lang w:val="en-US" w:eastAsia="zh-CN"/>
        </w:rPr>
        <w:t>4、</w:t>
      </w:r>
      <w:r>
        <w:rPr>
          <w:rFonts w:hint="eastAsia" w:ascii="宋体" w:hAnsi="宋体" w:eastAsia="宋体" w:cs="宋体"/>
          <w:color w:val="auto"/>
          <w:sz w:val="24"/>
        </w:rPr>
        <w:t>进入每个分包评审的实质性响应且具有得标权的投标人不得少于三家，否则认定该分包采购失败。</w:t>
      </w:r>
    </w:p>
    <w:p w14:paraId="7448E7DD">
      <w:pPr>
        <w:spacing w:line="44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t>二、评分标准</w:t>
      </w:r>
    </w:p>
    <w:p w14:paraId="6CFB4B05">
      <w:pPr>
        <w:spacing w:line="440" w:lineRule="exact"/>
        <w:ind w:firstLine="360" w:firstLineChars="150"/>
        <w:rPr>
          <w:rFonts w:hint="eastAsia" w:ascii="宋体" w:hAnsi="宋体" w:eastAsia="宋体" w:cs="宋体"/>
          <w:color w:val="auto"/>
          <w:sz w:val="24"/>
        </w:rPr>
      </w:pPr>
      <w:bookmarkStart w:id="292" w:name="_Hlk63007373"/>
      <w:r>
        <w:rPr>
          <w:rFonts w:hint="eastAsia" w:ascii="宋体" w:hAnsi="宋体" w:eastAsia="宋体" w:cs="宋体"/>
          <w:color w:val="auto"/>
          <w:sz w:val="24"/>
        </w:rPr>
        <w:t>本项目采用综合评分法确定中标候选人。评委会将按下列评分标准进行评分，</w:t>
      </w:r>
      <w:r>
        <w:rPr>
          <w:rFonts w:hint="eastAsia" w:ascii="宋体" w:hAnsi="宋体" w:eastAsia="宋体" w:cs="宋体"/>
          <w:color w:val="auto"/>
          <w:sz w:val="24"/>
          <w:szCs w:val="24"/>
        </w:rPr>
        <w:t>每部分的得分保留小数点后两位，</w:t>
      </w:r>
      <w:r>
        <w:rPr>
          <w:rFonts w:hint="eastAsia" w:ascii="宋体" w:hAnsi="宋体" w:eastAsia="宋体" w:cs="宋体"/>
          <w:color w:val="auto"/>
          <w:sz w:val="24"/>
        </w:rPr>
        <w:t>总分值为100分</w:t>
      </w:r>
      <w:bookmarkEnd w:id="292"/>
      <w:r>
        <w:rPr>
          <w:rFonts w:hint="eastAsia" w:ascii="宋体" w:hAnsi="宋体" w:eastAsia="宋体" w:cs="宋体"/>
          <w:color w:val="auto"/>
          <w:sz w:val="24"/>
        </w:rPr>
        <w:t>。</w:t>
      </w:r>
    </w:p>
    <w:p w14:paraId="3EC0778D">
      <w:pPr>
        <w:widowControl w:val="0"/>
        <w:shd w:val="clear"/>
        <w:spacing w:after="0" w:line="440" w:lineRule="exact"/>
        <w:ind w:firstLine="241" w:firstLineChars="1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分包号：适用于第一包～第四包</w:t>
      </w:r>
    </w:p>
    <w:p w14:paraId="3CC29A95">
      <w:pPr>
        <w:widowControl w:val="0"/>
        <w:shd w:val="clear"/>
        <w:spacing w:after="0" w:line="440" w:lineRule="exact"/>
        <w:ind w:firstLine="241" w:firstLineChars="1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1、价格分</w:t>
      </w:r>
      <w:r>
        <w:rPr>
          <w:rFonts w:hint="eastAsia" w:ascii="宋体" w:hAnsi="宋体" w:eastAsia="宋体" w:cs="宋体"/>
          <w:b/>
          <w:bCs w:val="0"/>
          <w:color w:val="auto"/>
          <w:sz w:val="24"/>
          <w:szCs w:val="24"/>
          <w:highlight w:val="none"/>
          <w:lang w:val="en-US" w:eastAsia="zh-CN"/>
        </w:rPr>
        <w:t>1</w:t>
      </w:r>
      <w:r>
        <w:rPr>
          <w:rFonts w:hint="eastAsia" w:ascii="宋体" w:hAnsi="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分</w:t>
      </w:r>
    </w:p>
    <w:p w14:paraId="1C74AF87">
      <w:pPr>
        <w:spacing w:line="440" w:lineRule="exact"/>
        <w:ind w:firstLine="470"/>
        <w:rPr>
          <w:rFonts w:hint="eastAsia" w:ascii="宋体" w:hAnsi="宋体" w:eastAsia="宋体" w:cs="宋体"/>
          <w:color w:val="auto"/>
          <w:sz w:val="24"/>
          <w:szCs w:val="24"/>
          <w:highlight w:val="none"/>
        </w:rPr>
      </w:pPr>
      <w:bookmarkStart w:id="293" w:name="OLE_LINK11"/>
      <w:r>
        <w:rPr>
          <w:rFonts w:hint="eastAsia" w:ascii="宋体" w:hAnsi="宋体" w:eastAsia="宋体" w:cs="宋体"/>
          <w:color w:val="auto"/>
          <w:sz w:val="24"/>
          <w:szCs w:val="24"/>
          <w:highlight w:val="none"/>
        </w:rPr>
        <w:t>满足招标文件要求且投标报价优惠率</w:t>
      </w:r>
      <w:r>
        <w:rPr>
          <w:rFonts w:hint="eastAsia" w:ascii="宋体" w:hAnsi="宋体" w:cs="宋体"/>
          <w:b/>
          <w:bCs/>
          <w:color w:val="auto"/>
          <w:sz w:val="24"/>
          <w:szCs w:val="24"/>
          <w:highlight w:val="none"/>
          <w:lang w:val="en-US" w:eastAsia="zh-CN"/>
        </w:rPr>
        <w:t>最高</w:t>
      </w:r>
      <w:r>
        <w:rPr>
          <w:rFonts w:hint="eastAsia" w:ascii="宋体" w:hAnsi="宋体" w:eastAsia="宋体" w:cs="宋体"/>
          <w:color w:val="auto"/>
          <w:sz w:val="24"/>
          <w:szCs w:val="24"/>
          <w:highlight w:val="none"/>
        </w:rPr>
        <w:t>的价格为评标基准价，其他投标人的价格分按下列公式计算:投标报价得分=（1-评标基准价）/（1-投标报价优惠率）×1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bookmarkEnd w:id="293"/>
    <w:p w14:paraId="0F810F97">
      <w:pPr>
        <w:shd w:val="clear"/>
        <w:spacing w:line="440" w:lineRule="exact"/>
        <w:ind w:firstLine="47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投标报价明显低于其他通过符合性审查投标人的报价，有可能影响产品质量或者不能诚信履约的，评标委员会可要求其在开评标现场合理的时间内提供书面说明，必要时提交相关证明材料；投标人不能证明其投标报价合理性的，评标委员会可将其作为无效投标处理。</w:t>
      </w:r>
    </w:p>
    <w:p w14:paraId="71C8DC3D">
      <w:pPr>
        <w:widowControl w:val="0"/>
        <w:spacing w:after="0" w:line="440" w:lineRule="exact"/>
        <w:ind w:firstLine="361" w:firstLineChars="150"/>
        <w:rPr>
          <w:rFonts w:hint="eastAsia" w:ascii="宋体" w:hAnsi="宋体" w:eastAsia="宋体" w:cs="宋体"/>
          <w:b/>
          <w:bCs w:val="0"/>
          <w:color w:val="auto"/>
          <w:sz w:val="24"/>
          <w:szCs w:val="24"/>
        </w:rPr>
      </w:pPr>
      <w:bookmarkStart w:id="294" w:name="_Toc29724"/>
      <w:r>
        <w:rPr>
          <w:rFonts w:hint="eastAsia" w:ascii="宋体" w:hAnsi="宋体" w:eastAsia="宋体" w:cs="宋体"/>
          <w:b/>
          <w:bCs w:val="0"/>
          <w:color w:val="auto"/>
          <w:sz w:val="24"/>
          <w:szCs w:val="24"/>
        </w:rPr>
        <w:t>2、项目服务方案</w:t>
      </w:r>
      <w:r>
        <w:rPr>
          <w:rFonts w:hint="eastAsia" w:ascii="宋体" w:hAnsi="宋体" w:eastAsia="宋体" w:cs="宋体"/>
          <w:b/>
          <w:bCs w:val="0"/>
          <w:color w:val="auto"/>
          <w:sz w:val="24"/>
          <w:szCs w:val="24"/>
          <w:lang w:val="en-US" w:eastAsia="zh-CN"/>
        </w:rPr>
        <w:t>45</w:t>
      </w:r>
      <w:r>
        <w:rPr>
          <w:rFonts w:hint="eastAsia" w:ascii="宋体" w:hAnsi="宋体" w:eastAsia="宋体" w:cs="宋体"/>
          <w:b/>
          <w:bCs w:val="0"/>
          <w:color w:val="auto"/>
          <w:sz w:val="24"/>
          <w:szCs w:val="24"/>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1423"/>
        <w:gridCol w:w="851"/>
        <w:gridCol w:w="6334"/>
      </w:tblGrid>
      <w:tr w14:paraId="00927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703" w:type="dxa"/>
            <w:tcBorders>
              <w:top w:val="single" w:color="auto" w:sz="4" w:space="0"/>
              <w:left w:val="single" w:color="auto" w:sz="4" w:space="0"/>
              <w:bottom w:val="single" w:color="auto" w:sz="4" w:space="0"/>
              <w:right w:val="single" w:color="auto" w:sz="4" w:space="0"/>
            </w:tcBorders>
            <w:shd w:val="clear" w:color="auto" w:fill="E7E6E6"/>
            <w:noWrap w:val="0"/>
            <w:vAlign w:val="center"/>
          </w:tcPr>
          <w:p w14:paraId="16F74CCF">
            <w:pPr>
              <w:widowControl w:val="0"/>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423" w:type="dxa"/>
            <w:tcBorders>
              <w:top w:val="single" w:color="auto" w:sz="4" w:space="0"/>
              <w:left w:val="single" w:color="auto" w:sz="4" w:space="0"/>
              <w:bottom w:val="single" w:color="auto" w:sz="4" w:space="0"/>
              <w:right w:val="single" w:color="auto" w:sz="4" w:space="0"/>
            </w:tcBorders>
            <w:shd w:val="clear" w:color="auto" w:fill="E7E6E6"/>
            <w:noWrap w:val="0"/>
            <w:vAlign w:val="center"/>
          </w:tcPr>
          <w:p w14:paraId="402CABB6">
            <w:pPr>
              <w:widowControl w:val="0"/>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评审因素</w:t>
            </w:r>
          </w:p>
        </w:tc>
        <w:tc>
          <w:tcPr>
            <w:tcW w:w="851" w:type="dxa"/>
            <w:tcBorders>
              <w:top w:val="single" w:color="auto" w:sz="4" w:space="0"/>
              <w:left w:val="single" w:color="auto" w:sz="4" w:space="0"/>
              <w:bottom w:val="single" w:color="auto" w:sz="4" w:space="0"/>
              <w:right w:val="single" w:color="auto" w:sz="4" w:space="0"/>
            </w:tcBorders>
            <w:shd w:val="clear" w:color="auto" w:fill="E7E6E6"/>
            <w:noWrap w:val="0"/>
            <w:vAlign w:val="center"/>
          </w:tcPr>
          <w:p w14:paraId="7EDD52EF">
            <w:pPr>
              <w:widowControl w:val="0"/>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权值</w:t>
            </w:r>
          </w:p>
        </w:tc>
        <w:tc>
          <w:tcPr>
            <w:tcW w:w="6334" w:type="dxa"/>
            <w:tcBorders>
              <w:top w:val="single" w:color="auto" w:sz="4" w:space="0"/>
              <w:left w:val="single" w:color="auto" w:sz="4" w:space="0"/>
              <w:bottom w:val="single" w:color="auto" w:sz="4" w:space="0"/>
              <w:right w:val="single" w:color="auto" w:sz="4" w:space="0"/>
            </w:tcBorders>
            <w:shd w:val="clear" w:color="auto" w:fill="E7E6E6"/>
            <w:noWrap w:val="0"/>
            <w:vAlign w:val="center"/>
          </w:tcPr>
          <w:p w14:paraId="1C3FCCC7">
            <w:pPr>
              <w:widowControl w:val="0"/>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评分标准</w:t>
            </w:r>
          </w:p>
        </w:tc>
      </w:tr>
      <w:tr w14:paraId="4B630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3DD894DF">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7DF1BD03">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服务要求响应性</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3D123F3E">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w:t>
            </w:r>
          </w:p>
        </w:tc>
        <w:tc>
          <w:tcPr>
            <w:tcW w:w="6334" w:type="dxa"/>
            <w:tcBorders>
              <w:top w:val="single" w:color="auto" w:sz="4" w:space="0"/>
              <w:left w:val="single" w:color="auto" w:sz="4" w:space="0"/>
              <w:bottom w:val="single" w:color="auto" w:sz="4" w:space="0"/>
              <w:right w:val="single" w:color="auto" w:sz="4" w:space="0"/>
            </w:tcBorders>
            <w:noWrap w:val="0"/>
            <w:vAlign w:val="center"/>
          </w:tcPr>
          <w:p w14:paraId="5E78B340">
            <w:pPr>
              <w:widowControl w:val="0"/>
              <w:spacing w:after="0"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服务要求全部满足招标文件要求（</w:t>
            </w:r>
            <w:r>
              <w:rPr>
                <w:rFonts w:hint="eastAsia" w:ascii="宋体" w:hAnsi="宋体" w:eastAsia="宋体" w:cs="宋体"/>
                <w:color w:val="auto"/>
                <w:sz w:val="24"/>
                <w:szCs w:val="24"/>
                <w:lang w:val="en-US" w:eastAsia="zh-CN"/>
              </w:rPr>
              <w:t>35</w:t>
            </w:r>
            <w:r>
              <w:rPr>
                <w:rFonts w:hint="eastAsia" w:ascii="宋体" w:hAnsi="宋体" w:eastAsia="宋体" w:cs="宋体"/>
                <w:color w:val="auto"/>
                <w:sz w:val="24"/>
                <w:szCs w:val="24"/>
              </w:rPr>
              <w:t>条）的得基本分</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分；有负偏离</w:t>
            </w:r>
            <w:r>
              <w:rPr>
                <w:rFonts w:hint="eastAsia" w:ascii="宋体" w:hAnsi="宋体" w:eastAsia="宋体" w:cs="宋体"/>
                <w:color w:val="auto"/>
                <w:sz w:val="24"/>
                <w:szCs w:val="24"/>
                <w:lang w:val="en-US" w:eastAsia="zh-CN"/>
              </w:rPr>
              <w:t>条款的，</w:t>
            </w:r>
            <w:r>
              <w:rPr>
                <w:rFonts w:hint="eastAsia" w:ascii="宋体" w:hAnsi="宋体" w:eastAsia="宋体" w:cs="宋体"/>
                <w:color w:val="auto"/>
                <w:sz w:val="24"/>
                <w:szCs w:val="24"/>
              </w:rPr>
              <w:t>每条扣0.</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r>
              <w:rPr>
                <w:rFonts w:hint="eastAsia" w:ascii="宋体" w:hAnsi="宋体" w:eastAsia="宋体" w:cs="宋体"/>
                <w:b/>
                <w:bCs/>
                <w:kern w:val="2"/>
                <w:sz w:val="24"/>
                <w:szCs w:val="24"/>
                <w:highlight w:val="none"/>
              </w:rPr>
              <w:t>注：</w:t>
            </w:r>
            <w:r>
              <w:rPr>
                <w:rFonts w:hint="eastAsia" w:ascii="宋体" w:hAnsi="宋体" w:cs="宋体"/>
                <w:b/>
                <w:bCs/>
                <w:kern w:val="2"/>
                <w:sz w:val="24"/>
                <w:szCs w:val="24"/>
                <w:highlight w:val="none"/>
                <w:lang w:eastAsia="zh-CN"/>
              </w:rPr>
              <w:t>“采购需求”</w:t>
            </w:r>
            <w:r>
              <w:rPr>
                <w:rFonts w:hint="eastAsia" w:ascii="宋体" w:hAnsi="宋体" w:eastAsia="宋体" w:cs="宋体"/>
                <w:b/>
                <w:bCs/>
                <w:kern w:val="2"/>
                <w:sz w:val="24"/>
                <w:szCs w:val="24"/>
                <w:highlight w:val="none"/>
              </w:rPr>
              <w:t>中标“★”项为实质性要求，必须满足，否则将作无效投标处理。</w:t>
            </w:r>
          </w:p>
        </w:tc>
      </w:tr>
      <w:tr w14:paraId="1FF9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703" w:type="dxa"/>
            <w:tcBorders>
              <w:top w:val="single" w:color="auto" w:sz="4" w:space="0"/>
              <w:left w:val="single" w:color="auto" w:sz="4" w:space="0"/>
              <w:right w:val="single" w:color="auto" w:sz="4" w:space="0"/>
            </w:tcBorders>
            <w:noWrap w:val="0"/>
            <w:vAlign w:val="center"/>
          </w:tcPr>
          <w:p w14:paraId="197D885F">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423" w:type="dxa"/>
            <w:tcBorders>
              <w:top w:val="single" w:color="auto" w:sz="4" w:space="0"/>
              <w:left w:val="single" w:color="auto" w:sz="4" w:space="0"/>
              <w:right w:val="single" w:color="auto" w:sz="4" w:space="0"/>
            </w:tcBorders>
            <w:noWrap w:val="0"/>
            <w:vAlign w:val="center"/>
          </w:tcPr>
          <w:p w14:paraId="25CA43A8">
            <w:pPr>
              <w:pStyle w:val="2"/>
              <w:widowControl w:val="0"/>
              <w:spacing w:after="0" w:line="240" w:lineRule="auto"/>
              <w:jc w:val="center"/>
              <w:rPr>
                <w:rFonts w:hint="eastAsia" w:ascii="宋体" w:hAnsi="宋体" w:eastAsia="宋体" w:cs="宋体"/>
                <w:bCs/>
                <w:color w:val="auto"/>
                <w:kern w:val="0"/>
                <w:sz w:val="24"/>
                <w:szCs w:val="24"/>
                <w:lang w:val="en-US" w:eastAsia="zh-CN"/>
              </w:rPr>
            </w:pPr>
            <w:r>
              <w:rPr>
                <w:rFonts w:hint="eastAsia" w:ascii="宋体" w:hAnsi="宋体" w:eastAsia="宋体" w:cs="宋体"/>
                <w:color w:val="auto"/>
                <w:sz w:val="24"/>
                <w:szCs w:val="24"/>
                <w:lang w:val="en-US" w:eastAsia="zh-CN"/>
              </w:rPr>
              <w:t>河道日常保洁方案</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67413571">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tc>
        <w:tc>
          <w:tcPr>
            <w:tcW w:w="6334" w:type="dxa"/>
            <w:tcBorders>
              <w:top w:val="single" w:color="auto" w:sz="4" w:space="0"/>
              <w:left w:val="single" w:color="auto" w:sz="4" w:space="0"/>
              <w:bottom w:val="single" w:color="auto" w:sz="4" w:space="0"/>
              <w:right w:val="single" w:color="auto" w:sz="4" w:space="0"/>
            </w:tcBorders>
            <w:noWrap w:val="0"/>
            <w:vAlign w:val="center"/>
          </w:tcPr>
          <w:p w14:paraId="0D48251A">
            <w:pPr>
              <w:widowControl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根据投标人提供的</w:t>
            </w:r>
            <w:r>
              <w:rPr>
                <w:rFonts w:hint="eastAsia" w:ascii="宋体" w:hAnsi="宋体" w:eastAsia="宋体" w:cs="宋体"/>
                <w:b/>
                <w:bCs w:val="0"/>
                <w:color w:val="auto"/>
                <w:sz w:val="24"/>
                <w:szCs w:val="24"/>
                <w:lang w:val="en-US" w:eastAsia="zh-CN"/>
              </w:rPr>
              <w:t>河道日常保洁</w:t>
            </w:r>
            <w:r>
              <w:rPr>
                <w:rFonts w:hint="eastAsia" w:ascii="宋体" w:hAnsi="宋体" w:eastAsia="宋体" w:cs="宋体"/>
                <w:b/>
                <w:bCs w:val="0"/>
                <w:color w:val="auto"/>
                <w:sz w:val="24"/>
                <w:szCs w:val="24"/>
              </w:rPr>
              <w:t>方案</w:t>
            </w:r>
            <w:r>
              <w:rPr>
                <w:rFonts w:hint="eastAsia" w:ascii="宋体" w:hAnsi="宋体" w:eastAsia="宋体" w:cs="宋体"/>
                <w:color w:val="auto"/>
                <w:sz w:val="24"/>
                <w:szCs w:val="24"/>
              </w:rPr>
              <w:t>进行评定：</w:t>
            </w:r>
            <w:r>
              <w:rPr>
                <w:rFonts w:hint="eastAsia" w:ascii="宋体" w:hAnsi="宋体" w:eastAsia="宋体" w:cs="宋体"/>
                <w:color w:val="auto"/>
                <w:sz w:val="24"/>
                <w:szCs w:val="24"/>
                <w:lang w:val="en-US" w:eastAsia="zh-CN"/>
              </w:rPr>
              <w:t>方案</w:t>
            </w:r>
            <w:r>
              <w:rPr>
                <w:rFonts w:hint="eastAsia" w:ascii="宋体" w:hAnsi="宋体" w:eastAsia="宋体" w:cs="宋体"/>
                <w:bCs/>
                <w:color w:val="auto"/>
                <w:sz w:val="24"/>
                <w:szCs w:val="24"/>
                <w:highlight w:val="none"/>
              </w:rPr>
              <w:t>完整科学合理的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分；方案笼统但基本可行的得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bookmarkStart w:id="295" w:name="OLE_LINK2"/>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不合理</w:t>
            </w:r>
            <w:r>
              <w:rPr>
                <w:rFonts w:hint="eastAsia" w:ascii="宋体" w:hAnsi="宋体" w:eastAsia="宋体" w:cs="宋体"/>
                <w:color w:val="auto"/>
                <w:sz w:val="24"/>
                <w:szCs w:val="24"/>
                <w:highlight w:val="none"/>
              </w:rPr>
              <w:t>或者严重缺失的得0分。</w:t>
            </w:r>
            <w:bookmarkEnd w:id="295"/>
          </w:p>
        </w:tc>
      </w:tr>
      <w:tr w14:paraId="76AF4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703" w:type="dxa"/>
            <w:tcBorders>
              <w:left w:val="single" w:color="auto" w:sz="4" w:space="0"/>
              <w:right w:val="single" w:color="auto" w:sz="4" w:space="0"/>
            </w:tcBorders>
            <w:noWrap w:val="0"/>
            <w:vAlign w:val="center"/>
          </w:tcPr>
          <w:p w14:paraId="2E1B0CE5">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423" w:type="dxa"/>
            <w:tcBorders>
              <w:left w:val="single" w:color="auto" w:sz="4" w:space="0"/>
              <w:right w:val="single" w:color="auto" w:sz="4" w:space="0"/>
            </w:tcBorders>
            <w:noWrap w:val="0"/>
            <w:vAlign w:val="center"/>
          </w:tcPr>
          <w:p w14:paraId="0FE772AE">
            <w:pPr>
              <w:pStyle w:val="2"/>
              <w:widowControl w:val="0"/>
              <w:spacing w:after="0"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重难点区域保洁方案</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6C3C732F">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tc>
        <w:tc>
          <w:tcPr>
            <w:tcW w:w="6334" w:type="dxa"/>
            <w:tcBorders>
              <w:top w:val="single" w:color="auto" w:sz="4" w:space="0"/>
              <w:left w:val="single" w:color="auto" w:sz="4" w:space="0"/>
              <w:bottom w:val="single" w:color="auto" w:sz="4" w:space="0"/>
              <w:right w:val="single" w:color="auto" w:sz="4" w:space="0"/>
            </w:tcBorders>
            <w:noWrap w:val="0"/>
            <w:vAlign w:val="center"/>
          </w:tcPr>
          <w:p w14:paraId="35471ECF">
            <w:pPr>
              <w:widowControl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根据投标人提供的</w:t>
            </w:r>
            <w:r>
              <w:rPr>
                <w:rFonts w:hint="eastAsia" w:ascii="宋体" w:hAnsi="宋体" w:eastAsia="宋体" w:cs="宋体"/>
                <w:b/>
                <w:bCs w:val="0"/>
                <w:color w:val="auto"/>
                <w:sz w:val="24"/>
                <w:szCs w:val="24"/>
                <w:highlight w:val="none"/>
                <w:lang w:val="en-US" w:eastAsia="zh-CN"/>
              </w:rPr>
              <w:t>重难点区域保洁方案</w:t>
            </w:r>
            <w:r>
              <w:rPr>
                <w:rFonts w:hint="eastAsia" w:ascii="宋体" w:hAnsi="宋体" w:eastAsia="宋体" w:cs="宋体"/>
                <w:color w:val="auto"/>
                <w:sz w:val="24"/>
                <w:szCs w:val="24"/>
              </w:rPr>
              <w:t>进行评定：</w:t>
            </w:r>
            <w:r>
              <w:rPr>
                <w:rFonts w:hint="eastAsia" w:ascii="宋体" w:hAnsi="宋体" w:eastAsia="宋体" w:cs="宋体"/>
                <w:color w:val="auto"/>
                <w:sz w:val="24"/>
                <w:szCs w:val="24"/>
                <w:lang w:val="en-US" w:eastAsia="zh-CN"/>
              </w:rPr>
              <w:t>方案</w:t>
            </w:r>
            <w:r>
              <w:rPr>
                <w:rFonts w:hint="eastAsia" w:ascii="宋体" w:hAnsi="宋体" w:eastAsia="宋体" w:cs="宋体"/>
                <w:bCs/>
                <w:color w:val="auto"/>
                <w:sz w:val="24"/>
                <w:szCs w:val="24"/>
                <w:highlight w:val="none"/>
              </w:rPr>
              <w:t>完整科学合理的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分；方案笼统但基本可行的得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不合理</w:t>
            </w:r>
            <w:r>
              <w:rPr>
                <w:rFonts w:hint="eastAsia" w:ascii="宋体" w:hAnsi="宋体" w:eastAsia="宋体" w:cs="宋体"/>
                <w:color w:val="auto"/>
                <w:sz w:val="24"/>
                <w:szCs w:val="24"/>
                <w:highlight w:val="none"/>
              </w:rPr>
              <w:t>或者严重缺失的得0分。</w:t>
            </w:r>
          </w:p>
        </w:tc>
      </w:tr>
      <w:tr w14:paraId="42659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703" w:type="dxa"/>
            <w:tcBorders>
              <w:left w:val="single" w:color="auto" w:sz="4" w:space="0"/>
              <w:bottom w:val="single" w:color="auto" w:sz="4" w:space="0"/>
              <w:right w:val="single" w:color="auto" w:sz="4" w:space="0"/>
            </w:tcBorders>
            <w:noWrap w:val="0"/>
            <w:vAlign w:val="center"/>
          </w:tcPr>
          <w:p w14:paraId="3F569F8D">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423" w:type="dxa"/>
            <w:tcBorders>
              <w:left w:val="single" w:color="auto" w:sz="4" w:space="0"/>
              <w:bottom w:val="single" w:color="auto" w:sz="4" w:space="0"/>
              <w:right w:val="single" w:color="auto" w:sz="4" w:space="0"/>
            </w:tcBorders>
            <w:noWrap w:val="0"/>
            <w:vAlign w:val="center"/>
          </w:tcPr>
          <w:p w14:paraId="51A43660">
            <w:pPr>
              <w:pStyle w:val="2"/>
              <w:widowControl w:val="0"/>
              <w:spacing w:after="0"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季节性水生植物爆发期保洁方案</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3622BBE4">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tc>
        <w:tc>
          <w:tcPr>
            <w:tcW w:w="6334" w:type="dxa"/>
            <w:tcBorders>
              <w:top w:val="single" w:color="auto" w:sz="4" w:space="0"/>
              <w:left w:val="single" w:color="auto" w:sz="4" w:space="0"/>
              <w:bottom w:val="single" w:color="auto" w:sz="4" w:space="0"/>
              <w:right w:val="single" w:color="auto" w:sz="4" w:space="0"/>
            </w:tcBorders>
            <w:noWrap w:val="0"/>
            <w:vAlign w:val="center"/>
          </w:tcPr>
          <w:p w14:paraId="2E77065D">
            <w:pPr>
              <w:widowControl w:val="0"/>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rPr>
              <w:t>根据投标人提供的</w:t>
            </w:r>
            <w:r>
              <w:rPr>
                <w:rFonts w:hint="eastAsia" w:ascii="宋体" w:hAnsi="宋体" w:eastAsia="宋体" w:cs="宋体"/>
                <w:b/>
                <w:bCs w:val="0"/>
                <w:color w:val="auto"/>
                <w:sz w:val="24"/>
                <w:szCs w:val="24"/>
                <w:highlight w:val="none"/>
                <w:lang w:val="en-US" w:eastAsia="zh-CN"/>
              </w:rPr>
              <w:t>季节性水生植物爆发期保洁方案</w:t>
            </w:r>
            <w:r>
              <w:rPr>
                <w:rFonts w:hint="eastAsia" w:ascii="宋体" w:hAnsi="宋体" w:eastAsia="宋体" w:cs="宋体"/>
                <w:color w:val="auto"/>
                <w:sz w:val="24"/>
                <w:szCs w:val="24"/>
              </w:rPr>
              <w:t>进行评定：</w:t>
            </w:r>
            <w:r>
              <w:rPr>
                <w:rFonts w:hint="eastAsia" w:ascii="宋体" w:hAnsi="宋体" w:eastAsia="宋体" w:cs="宋体"/>
                <w:color w:val="auto"/>
                <w:sz w:val="24"/>
                <w:szCs w:val="24"/>
                <w:lang w:val="en-US" w:eastAsia="zh-CN"/>
              </w:rPr>
              <w:t>方案</w:t>
            </w:r>
            <w:r>
              <w:rPr>
                <w:rFonts w:hint="eastAsia" w:ascii="宋体" w:hAnsi="宋体" w:eastAsia="宋体" w:cs="宋体"/>
                <w:bCs/>
                <w:color w:val="auto"/>
                <w:sz w:val="24"/>
                <w:szCs w:val="24"/>
                <w:highlight w:val="none"/>
              </w:rPr>
              <w:t>完整科学合理的</w:t>
            </w:r>
            <w:r>
              <w:rPr>
                <w:rFonts w:hint="eastAsia" w:ascii="宋体" w:hAnsi="宋体" w:eastAsia="宋体" w:cs="宋体"/>
                <w:color w:val="auto"/>
                <w:sz w:val="24"/>
                <w:szCs w:val="24"/>
                <w:highlight w:val="none"/>
              </w:rPr>
              <w:t>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分；方案笼统但基本可行的得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不合理</w:t>
            </w:r>
            <w:r>
              <w:rPr>
                <w:rFonts w:hint="eastAsia" w:ascii="宋体" w:hAnsi="宋体" w:eastAsia="宋体" w:cs="宋体"/>
                <w:color w:val="auto"/>
                <w:sz w:val="24"/>
                <w:szCs w:val="24"/>
                <w:highlight w:val="none"/>
              </w:rPr>
              <w:t>或者严重缺失的得0分。</w:t>
            </w:r>
          </w:p>
        </w:tc>
      </w:tr>
      <w:tr w14:paraId="3302C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53E4E272">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400FD777">
            <w:pPr>
              <w:pStyle w:val="2"/>
              <w:widowControl w:val="0"/>
              <w:spacing w:after="0" w:line="240" w:lineRule="auto"/>
              <w:jc w:val="center"/>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管理服务规章制度</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21B01A3D">
            <w:pPr>
              <w:pStyle w:val="2"/>
              <w:widowControl w:val="0"/>
              <w:spacing w:after="0" w:line="240" w:lineRule="auto"/>
              <w:jc w:val="center"/>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8分</w:t>
            </w:r>
          </w:p>
        </w:tc>
        <w:tc>
          <w:tcPr>
            <w:tcW w:w="6334" w:type="dxa"/>
            <w:tcBorders>
              <w:top w:val="single" w:color="auto" w:sz="4" w:space="0"/>
              <w:left w:val="single" w:color="auto" w:sz="4" w:space="0"/>
              <w:bottom w:val="single" w:color="auto" w:sz="4" w:space="0"/>
              <w:right w:val="single" w:color="auto" w:sz="4" w:space="0"/>
            </w:tcBorders>
            <w:noWrap w:val="0"/>
            <w:vAlign w:val="center"/>
          </w:tcPr>
          <w:p w14:paraId="7AF375A1">
            <w:pPr>
              <w:pStyle w:val="2"/>
              <w:widowControl w:val="0"/>
              <w:spacing w:after="0" w:line="240" w:lineRule="auto"/>
              <w:jc w:val="left"/>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根据投标人提供的各类管理制度进行评定：</w:t>
            </w:r>
          </w:p>
          <w:p w14:paraId="0F824403">
            <w:pPr>
              <w:pStyle w:val="2"/>
              <w:widowControl w:val="0"/>
              <w:spacing w:after="0" w:line="240" w:lineRule="auto"/>
              <w:jc w:val="left"/>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lang w:val="en-US" w:eastAsia="zh-CN"/>
              </w:rPr>
              <w:t>①</w:t>
            </w:r>
            <w:r>
              <w:rPr>
                <w:rFonts w:hint="eastAsia" w:ascii="宋体" w:hAnsi="宋体" w:eastAsia="宋体" w:cs="宋体"/>
                <w:bCs w:val="0"/>
                <w:color w:val="auto"/>
                <w:sz w:val="24"/>
                <w:szCs w:val="24"/>
                <w:lang w:val="zh-CN" w:eastAsia="zh-CN"/>
              </w:rPr>
              <w:t>企业内部组织机构</w:t>
            </w:r>
            <w:r>
              <w:rPr>
                <w:rFonts w:hint="eastAsia" w:ascii="宋体" w:hAnsi="宋体" w:eastAsia="宋体" w:cs="宋体"/>
                <w:bCs w:val="0"/>
                <w:color w:val="auto"/>
                <w:sz w:val="24"/>
                <w:szCs w:val="24"/>
                <w:lang w:val="en-US" w:eastAsia="zh-CN"/>
              </w:rPr>
              <w:t>内容完整科学合理的得2分；</w:t>
            </w:r>
            <w:r>
              <w:rPr>
                <w:rFonts w:hint="eastAsia" w:ascii="宋体" w:hAnsi="宋体" w:eastAsia="宋体" w:cs="宋体"/>
                <w:bCs w:val="0"/>
                <w:color w:val="auto"/>
                <w:sz w:val="24"/>
                <w:szCs w:val="24"/>
                <w:highlight w:val="none"/>
                <w:lang w:val="en-US" w:eastAsia="zh-CN"/>
              </w:rPr>
              <w:t>制度措施基本可行的得1分；</w:t>
            </w:r>
            <w:r>
              <w:rPr>
                <w:rFonts w:hint="eastAsia" w:ascii="宋体" w:hAnsi="宋体" w:eastAsia="宋体" w:cs="宋体"/>
                <w:color w:val="auto"/>
                <w:sz w:val="24"/>
                <w:szCs w:val="24"/>
                <w:highlight w:val="none"/>
                <w:lang w:val="en-US" w:eastAsia="zh-CN"/>
              </w:rPr>
              <w:t>不合理</w:t>
            </w:r>
            <w:r>
              <w:rPr>
                <w:rFonts w:hint="eastAsia" w:ascii="宋体" w:hAnsi="宋体" w:eastAsia="宋体" w:cs="宋体"/>
                <w:bCs w:val="0"/>
                <w:color w:val="auto"/>
                <w:sz w:val="24"/>
                <w:szCs w:val="24"/>
                <w:highlight w:val="none"/>
                <w:lang w:val="en-US" w:eastAsia="zh-CN"/>
              </w:rPr>
              <w:t>或者严重缺失的得0分。</w:t>
            </w:r>
          </w:p>
          <w:p w14:paraId="3D3B6C33">
            <w:pPr>
              <w:pStyle w:val="2"/>
              <w:widowControl w:val="0"/>
              <w:spacing w:after="0" w:line="240" w:lineRule="auto"/>
              <w:jc w:val="left"/>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②内部检查考核制度完善合理、安全管理措施到位的得2分；制度笼统、安全管理措施基本可行的得1分；</w:t>
            </w:r>
            <w:r>
              <w:rPr>
                <w:rFonts w:hint="eastAsia" w:ascii="宋体" w:hAnsi="宋体" w:eastAsia="宋体" w:cs="宋体"/>
                <w:color w:val="auto"/>
                <w:sz w:val="24"/>
                <w:szCs w:val="24"/>
                <w:highlight w:val="none"/>
                <w:lang w:val="en-US" w:eastAsia="zh-CN"/>
              </w:rPr>
              <w:t>不合理</w:t>
            </w:r>
            <w:r>
              <w:rPr>
                <w:rFonts w:hint="eastAsia" w:ascii="宋体" w:hAnsi="宋体" w:eastAsia="宋体" w:cs="宋体"/>
                <w:bCs w:val="0"/>
                <w:color w:val="auto"/>
                <w:sz w:val="24"/>
                <w:szCs w:val="24"/>
                <w:highlight w:val="none"/>
                <w:lang w:val="en-US" w:eastAsia="zh-CN"/>
              </w:rPr>
              <w:t>或者管理措施严重缺失的得0分。</w:t>
            </w:r>
          </w:p>
          <w:p w14:paraId="3FC06870">
            <w:pPr>
              <w:pStyle w:val="2"/>
              <w:widowControl w:val="0"/>
              <w:spacing w:after="0" w:line="240" w:lineRule="auto"/>
              <w:jc w:val="left"/>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③人员管理方案完善合理的得2分；方案笼统但基本可行的得1分；</w:t>
            </w:r>
            <w:r>
              <w:rPr>
                <w:rFonts w:hint="eastAsia" w:ascii="宋体" w:hAnsi="宋体" w:eastAsia="宋体" w:cs="宋体"/>
                <w:color w:val="auto"/>
                <w:sz w:val="24"/>
                <w:szCs w:val="24"/>
                <w:highlight w:val="none"/>
                <w:lang w:val="en-US" w:eastAsia="zh-CN"/>
              </w:rPr>
              <w:t>不合理</w:t>
            </w:r>
            <w:r>
              <w:rPr>
                <w:rFonts w:hint="eastAsia" w:ascii="宋体" w:hAnsi="宋体" w:eastAsia="宋体" w:cs="宋体"/>
                <w:bCs w:val="0"/>
                <w:color w:val="auto"/>
                <w:sz w:val="24"/>
                <w:szCs w:val="24"/>
                <w:highlight w:val="none"/>
                <w:lang w:val="en-US" w:eastAsia="zh-CN"/>
              </w:rPr>
              <w:t>或者严重缺失的得0分。</w:t>
            </w:r>
          </w:p>
          <w:p w14:paraId="55E89CC1">
            <w:pPr>
              <w:pStyle w:val="2"/>
              <w:widowControl w:val="0"/>
              <w:spacing w:after="0" w:line="240" w:lineRule="auto"/>
              <w:jc w:val="left"/>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highlight w:val="none"/>
                <w:lang w:val="en-US" w:eastAsia="zh-CN"/>
              </w:rPr>
              <w:t>④奖惩措施方</w:t>
            </w:r>
            <w:r>
              <w:rPr>
                <w:rFonts w:hint="eastAsia" w:ascii="宋体" w:hAnsi="宋体" w:eastAsia="宋体" w:cs="宋体"/>
                <w:bCs w:val="0"/>
                <w:color w:val="auto"/>
                <w:sz w:val="24"/>
                <w:szCs w:val="24"/>
                <w:lang w:val="en-US" w:eastAsia="zh-CN"/>
              </w:rPr>
              <w:t>案完善合理的得2分；方案笼统但基本可行的得1分；</w:t>
            </w:r>
            <w:r>
              <w:rPr>
                <w:rFonts w:hint="eastAsia" w:ascii="宋体" w:hAnsi="宋体" w:eastAsia="宋体" w:cs="宋体"/>
                <w:color w:val="auto"/>
                <w:sz w:val="24"/>
                <w:szCs w:val="24"/>
                <w:highlight w:val="none"/>
                <w:lang w:val="en-US" w:eastAsia="zh-CN"/>
              </w:rPr>
              <w:t>不合理</w:t>
            </w:r>
            <w:r>
              <w:rPr>
                <w:rFonts w:hint="eastAsia" w:ascii="宋体" w:hAnsi="宋体" w:eastAsia="宋体" w:cs="宋体"/>
                <w:bCs w:val="0"/>
                <w:color w:val="auto"/>
                <w:sz w:val="24"/>
                <w:szCs w:val="24"/>
                <w:lang w:val="en-US" w:eastAsia="zh-CN"/>
              </w:rPr>
              <w:t>或者严重缺失的得0分。</w:t>
            </w:r>
          </w:p>
        </w:tc>
      </w:tr>
      <w:tr w14:paraId="15AA9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60023F94">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600FF67D">
            <w:pPr>
              <w:pStyle w:val="2"/>
              <w:widowControl w:val="0"/>
              <w:spacing w:after="0" w:line="240"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应急、突击方案</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3C5F0D01">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tc>
        <w:tc>
          <w:tcPr>
            <w:tcW w:w="6334" w:type="dxa"/>
            <w:tcBorders>
              <w:top w:val="single" w:color="auto" w:sz="4" w:space="0"/>
              <w:left w:val="single" w:color="auto" w:sz="4" w:space="0"/>
              <w:bottom w:val="single" w:color="auto" w:sz="4" w:space="0"/>
              <w:right w:val="single" w:color="auto" w:sz="4" w:space="0"/>
            </w:tcBorders>
            <w:noWrap w:val="0"/>
            <w:vAlign w:val="center"/>
          </w:tcPr>
          <w:p w14:paraId="68873264">
            <w:pPr>
              <w:widowControl w:val="0"/>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根据投标人提供的应急、突击方案进行评定：方案科学合理、切实可行、全面完善的得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r>
              <w:rPr>
                <w:rFonts w:hint="eastAsia" w:ascii="宋体" w:hAnsi="宋体" w:eastAsia="宋体" w:cs="宋体"/>
                <w:color w:val="auto"/>
                <w:sz w:val="24"/>
                <w:szCs w:val="24"/>
                <w:highlight w:val="none"/>
              </w:rPr>
              <w:t>方案笼统但基本可行的得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不合理</w:t>
            </w:r>
            <w:r>
              <w:rPr>
                <w:rFonts w:hint="eastAsia" w:ascii="宋体" w:hAnsi="宋体" w:eastAsia="宋体" w:cs="宋体"/>
                <w:color w:val="auto"/>
                <w:sz w:val="24"/>
                <w:szCs w:val="24"/>
                <w:highlight w:val="none"/>
              </w:rPr>
              <w:t>或者严重缺失的得0分。</w:t>
            </w:r>
          </w:p>
        </w:tc>
      </w:tr>
      <w:tr w14:paraId="14D2B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0B716835">
            <w:pPr>
              <w:widowControl w:val="0"/>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310C39D6">
            <w:pPr>
              <w:widowControl w:val="0"/>
              <w:suppressAutoHyphens/>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垃圾处置方案</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13BAC7B6">
            <w:pPr>
              <w:widowControl w:val="0"/>
              <w:suppressAutoHyphens/>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tc>
        <w:tc>
          <w:tcPr>
            <w:tcW w:w="6334" w:type="dxa"/>
            <w:tcBorders>
              <w:top w:val="single" w:color="auto" w:sz="4" w:space="0"/>
              <w:left w:val="single" w:color="auto" w:sz="4" w:space="0"/>
              <w:bottom w:val="single" w:color="auto" w:sz="4" w:space="0"/>
              <w:right w:val="single" w:color="auto" w:sz="4" w:space="0"/>
            </w:tcBorders>
            <w:noWrap w:val="0"/>
            <w:vAlign w:val="center"/>
          </w:tcPr>
          <w:p w14:paraId="25D00877">
            <w:pPr>
              <w:pStyle w:val="127"/>
              <w:widowControl w:val="0"/>
              <w:suppressAutoHyphens/>
              <w:spacing w:after="0" w:line="240" w:lineRule="auto"/>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根据投标人提供的垃圾处置方案进行评定：</w:t>
            </w:r>
          </w:p>
          <w:p w14:paraId="0A00134F">
            <w:pPr>
              <w:pStyle w:val="127"/>
              <w:widowControl w:val="0"/>
              <w:suppressAutoHyphens/>
              <w:spacing w:after="0" w:line="240" w:lineRule="auto"/>
              <w:ind w:firstLine="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w:t>
            </w:r>
            <w:r>
              <w:rPr>
                <w:rFonts w:hint="eastAsia" w:ascii="宋体" w:hAnsi="宋体" w:eastAsia="宋体" w:cs="宋体"/>
                <w:b/>
                <w:bCs w:val="0"/>
                <w:color w:val="auto"/>
                <w:sz w:val="24"/>
                <w:szCs w:val="24"/>
                <w:lang w:val="en-US" w:eastAsia="zh-CN"/>
              </w:rPr>
              <w:t>白色垃圾</w:t>
            </w:r>
            <w:r>
              <w:rPr>
                <w:rFonts w:hint="eastAsia" w:ascii="宋体" w:hAnsi="宋体" w:eastAsia="宋体" w:cs="宋体"/>
                <w:color w:val="auto"/>
                <w:sz w:val="24"/>
                <w:szCs w:val="24"/>
                <w:lang w:val="en-US" w:eastAsia="zh-CN"/>
              </w:rPr>
              <w:t>处置方案具体完善、科学合理、切实可行、垃圾处理能力强的得3分；方案笼统但基本可行的得1.5分；不合理或者严重缺失的得0分。</w:t>
            </w:r>
          </w:p>
          <w:p w14:paraId="5918106A">
            <w:pPr>
              <w:pStyle w:val="127"/>
              <w:widowControl w:val="0"/>
              <w:suppressAutoHyphens/>
              <w:spacing w:after="0" w:line="240" w:lineRule="auto"/>
              <w:ind w:firstLine="0" w:firstLineChars="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②</w:t>
            </w:r>
            <w:r>
              <w:rPr>
                <w:rFonts w:hint="eastAsia" w:ascii="宋体" w:hAnsi="宋体" w:eastAsia="宋体" w:cs="宋体"/>
                <w:b/>
                <w:bCs w:val="0"/>
                <w:color w:val="auto"/>
                <w:sz w:val="24"/>
                <w:szCs w:val="24"/>
                <w:lang w:val="en-US" w:eastAsia="zh-CN"/>
              </w:rPr>
              <w:t>水生植物垃圾</w:t>
            </w:r>
            <w:r>
              <w:rPr>
                <w:rFonts w:hint="eastAsia" w:ascii="宋体" w:hAnsi="宋体" w:eastAsia="宋体" w:cs="宋体"/>
                <w:color w:val="auto"/>
                <w:sz w:val="24"/>
                <w:szCs w:val="24"/>
                <w:lang w:val="en-US" w:eastAsia="zh-CN"/>
              </w:rPr>
              <w:t>处置方案具体完善、科学合理、切实可行、垃圾处理能力强的得3分；方案笼统但基本可行的得1.5分；不合理或者严重缺失的得0分。</w:t>
            </w:r>
          </w:p>
        </w:tc>
      </w:tr>
      <w:tr w14:paraId="33285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0EC4882F">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8</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1AD357E2">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人员岗位配置方案</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6D5ABFD7">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tc>
        <w:tc>
          <w:tcPr>
            <w:tcW w:w="6334" w:type="dxa"/>
            <w:tcBorders>
              <w:top w:val="single" w:color="auto" w:sz="4" w:space="0"/>
              <w:left w:val="single" w:color="auto" w:sz="4" w:space="0"/>
              <w:bottom w:val="single" w:color="auto" w:sz="4" w:space="0"/>
              <w:right w:val="single" w:color="auto" w:sz="4" w:space="0"/>
            </w:tcBorders>
            <w:noWrap w:val="0"/>
            <w:vAlign w:val="center"/>
          </w:tcPr>
          <w:p w14:paraId="4344C224">
            <w:pPr>
              <w:widowControl w:val="0"/>
              <w:suppressAutoHyphens/>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根据投标人拟投入</w:t>
            </w:r>
            <w:r>
              <w:rPr>
                <w:rFonts w:hint="eastAsia" w:ascii="宋体" w:hAnsi="宋体" w:cs="宋体"/>
                <w:color w:val="auto"/>
                <w:sz w:val="24"/>
                <w:szCs w:val="24"/>
                <w:lang w:val="en-US" w:eastAsia="zh-CN"/>
              </w:rPr>
              <w:t>的</w:t>
            </w:r>
            <w:r>
              <w:rPr>
                <w:rFonts w:hint="eastAsia" w:ascii="宋体" w:hAnsi="宋体" w:eastAsia="宋体" w:cs="宋体"/>
                <w:color w:val="auto"/>
                <w:sz w:val="24"/>
                <w:szCs w:val="24"/>
              </w:rPr>
              <w:t>保洁作业人员的人员岗位配置方案进行评定：人员岗位配备全面、人员数量配置合理、贴合实际的得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分；人员数量配置基本符合需求的得2分；人员岗位配备、人员数量配置</w:t>
            </w:r>
            <w:r>
              <w:rPr>
                <w:rFonts w:hint="eastAsia" w:ascii="宋体" w:hAnsi="宋体" w:eastAsia="宋体" w:cs="宋体"/>
                <w:color w:val="auto"/>
                <w:sz w:val="24"/>
                <w:szCs w:val="24"/>
                <w:lang w:val="en-US" w:eastAsia="zh-CN"/>
              </w:rPr>
              <w:t>不合理或者未作说明的得0分。</w:t>
            </w:r>
          </w:p>
        </w:tc>
      </w:tr>
      <w:tr w14:paraId="043ED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01270762">
            <w:pPr>
              <w:widowControl w:val="0"/>
              <w:spacing w:after="0" w:line="24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1AC67D79">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费用测算</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675B82D8">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4分</w:t>
            </w:r>
          </w:p>
        </w:tc>
        <w:tc>
          <w:tcPr>
            <w:tcW w:w="6334" w:type="dxa"/>
            <w:tcBorders>
              <w:top w:val="single" w:color="auto" w:sz="4" w:space="0"/>
              <w:left w:val="single" w:color="auto" w:sz="4" w:space="0"/>
              <w:bottom w:val="single" w:color="auto" w:sz="4" w:space="0"/>
              <w:right w:val="single" w:color="auto" w:sz="4" w:space="0"/>
            </w:tcBorders>
            <w:noWrap w:val="0"/>
            <w:vAlign w:val="center"/>
          </w:tcPr>
          <w:p w14:paraId="34CF410D">
            <w:pPr>
              <w:widowControl w:val="0"/>
              <w:suppressAutoHyphens/>
              <w:spacing w:after="0"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根据投标人的费用测算情况进行评定：人员收入待遇高，福利保障完善、合理的得4分；符合本项目实际情况的得2分；</w:t>
            </w:r>
            <w:r>
              <w:rPr>
                <w:rFonts w:hint="eastAsia" w:ascii="宋体" w:hAnsi="宋体" w:eastAsia="宋体" w:cs="宋体"/>
                <w:color w:val="auto"/>
                <w:sz w:val="24"/>
                <w:szCs w:val="24"/>
                <w:lang w:val="en-US" w:eastAsia="zh-CN"/>
              </w:rPr>
              <w:t>不合理或者未作说明的得0分。</w:t>
            </w:r>
          </w:p>
          <w:p w14:paraId="28EB1DE8">
            <w:pPr>
              <w:widowControl w:val="0"/>
              <w:suppressAutoHyphens/>
              <w:spacing w:after="0" w:line="240" w:lineRule="auto"/>
              <w:jc w:val="left"/>
              <w:rPr>
                <w:rFonts w:hint="eastAsia" w:ascii="宋体" w:hAnsi="宋体" w:eastAsia="宋体" w:cs="宋体"/>
                <w:color w:val="auto"/>
                <w:sz w:val="24"/>
                <w:szCs w:val="24"/>
              </w:rPr>
            </w:pPr>
            <w:r>
              <w:rPr>
                <w:rFonts w:hint="eastAsia" w:ascii="宋体" w:hAnsi="宋体" w:eastAsia="宋体" w:cs="宋体"/>
                <w:b/>
                <w:color w:val="auto"/>
                <w:sz w:val="24"/>
                <w:szCs w:val="24"/>
              </w:rPr>
              <w:t>注：投标文件中须提供报价承诺书，未提供或未按招标文件要求提供的则不得分。</w:t>
            </w:r>
          </w:p>
        </w:tc>
      </w:tr>
    </w:tbl>
    <w:p w14:paraId="6B0C98B8">
      <w:pPr>
        <w:widowControl w:val="0"/>
        <w:suppressAutoHyphens/>
        <w:spacing w:after="0" w:line="440" w:lineRule="exact"/>
        <w:ind w:firstLine="482" w:firstLineChars="200"/>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3、项目服务配置2</w:t>
      </w:r>
      <w:r>
        <w:rPr>
          <w:rFonts w:hint="eastAsia" w:ascii="宋体" w:hAnsi="宋体" w:cs="宋体"/>
          <w:b/>
          <w:bCs w:val="0"/>
          <w:color w:val="auto"/>
          <w:sz w:val="24"/>
          <w:szCs w:val="24"/>
          <w:lang w:val="en-US" w:eastAsia="zh-CN"/>
        </w:rPr>
        <w:t>6</w:t>
      </w:r>
      <w:r>
        <w:rPr>
          <w:rFonts w:hint="eastAsia" w:ascii="宋体" w:hAnsi="宋体" w:eastAsia="宋体" w:cs="宋体"/>
          <w:b/>
          <w:bCs w:val="0"/>
          <w:color w:val="auto"/>
          <w:sz w:val="24"/>
          <w:szCs w:val="24"/>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349"/>
        <w:gridCol w:w="807"/>
        <w:gridCol w:w="6387"/>
      </w:tblGrid>
      <w:tr w14:paraId="0BDD9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777" w:type="dxa"/>
            <w:shd w:val="clear" w:color="auto" w:fill="E7E6E6"/>
            <w:noWrap w:val="0"/>
            <w:vAlign w:val="center"/>
          </w:tcPr>
          <w:p w14:paraId="6C4D5977">
            <w:pPr>
              <w:widowControl w:val="0"/>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349" w:type="dxa"/>
            <w:shd w:val="clear" w:color="auto" w:fill="E7E6E6"/>
            <w:noWrap w:val="0"/>
            <w:vAlign w:val="center"/>
          </w:tcPr>
          <w:p w14:paraId="0A258FA8">
            <w:pPr>
              <w:widowControl w:val="0"/>
              <w:suppressAutoHyphens/>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评审因素</w:t>
            </w:r>
          </w:p>
        </w:tc>
        <w:tc>
          <w:tcPr>
            <w:tcW w:w="807" w:type="dxa"/>
            <w:shd w:val="clear" w:color="auto" w:fill="E7E6E6"/>
            <w:noWrap w:val="0"/>
            <w:vAlign w:val="center"/>
          </w:tcPr>
          <w:p w14:paraId="5667972B">
            <w:pPr>
              <w:widowControl w:val="0"/>
              <w:suppressAutoHyphens/>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权值</w:t>
            </w:r>
          </w:p>
        </w:tc>
        <w:tc>
          <w:tcPr>
            <w:tcW w:w="6387" w:type="dxa"/>
            <w:shd w:val="clear" w:color="auto" w:fill="E7E6E6"/>
            <w:noWrap w:val="0"/>
            <w:vAlign w:val="center"/>
          </w:tcPr>
          <w:p w14:paraId="224E117D">
            <w:pPr>
              <w:widowControl w:val="0"/>
              <w:suppressAutoHyphens/>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评分标准</w:t>
            </w:r>
          </w:p>
        </w:tc>
      </w:tr>
      <w:tr w14:paraId="7385E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77" w:type="dxa"/>
            <w:noWrap w:val="0"/>
            <w:vAlign w:val="center"/>
          </w:tcPr>
          <w:p w14:paraId="2068D6F4">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349" w:type="dxa"/>
            <w:noWrap w:val="0"/>
            <w:vAlign w:val="center"/>
          </w:tcPr>
          <w:p w14:paraId="3AABBBEA">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项目管理人员</w:t>
            </w:r>
          </w:p>
        </w:tc>
        <w:tc>
          <w:tcPr>
            <w:tcW w:w="807" w:type="dxa"/>
            <w:noWrap w:val="0"/>
            <w:vAlign w:val="center"/>
          </w:tcPr>
          <w:p w14:paraId="2805B147">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rPr>
              <w:t>分</w:t>
            </w:r>
          </w:p>
        </w:tc>
        <w:tc>
          <w:tcPr>
            <w:tcW w:w="6387" w:type="dxa"/>
            <w:noWrap w:val="0"/>
            <w:vAlign w:val="center"/>
          </w:tcPr>
          <w:p w14:paraId="056E835B">
            <w:pPr>
              <w:widowControl w:val="0"/>
              <w:suppressAutoHyphens/>
              <w:spacing w:after="0" w:line="240" w:lineRule="auto"/>
              <w:rPr>
                <w:rFonts w:hint="eastAsia" w:ascii="宋体" w:hAnsi="宋体" w:eastAsia="宋体" w:cs="宋体"/>
                <w:bCs w:val="0"/>
                <w:color w:val="auto"/>
                <w:kern w:val="2"/>
                <w:sz w:val="24"/>
                <w:szCs w:val="24"/>
              </w:rPr>
            </w:pPr>
            <w:r>
              <w:rPr>
                <w:rFonts w:hint="eastAsia" w:ascii="宋体" w:hAnsi="宋体" w:eastAsia="宋体" w:cs="宋体"/>
                <w:bCs w:val="0"/>
                <w:color w:val="auto"/>
                <w:sz w:val="24"/>
                <w:szCs w:val="24"/>
              </w:rPr>
              <w:t>投标人拟投入</w:t>
            </w:r>
            <w:r>
              <w:rPr>
                <w:rFonts w:hint="eastAsia" w:ascii="宋体" w:hAnsi="宋体" w:eastAsia="宋体" w:cs="宋体"/>
                <w:color w:val="auto"/>
                <w:sz w:val="24"/>
                <w:szCs w:val="24"/>
              </w:rPr>
              <w:t>的</w:t>
            </w:r>
            <w:r>
              <w:rPr>
                <w:rFonts w:hint="eastAsia" w:ascii="宋体" w:hAnsi="宋体" w:eastAsia="宋体" w:cs="宋体"/>
                <w:b/>
                <w:bCs w:val="0"/>
                <w:color w:val="auto"/>
                <w:sz w:val="24"/>
                <w:szCs w:val="24"/>
              </w:rPr>
              <w:t>项目管理人员</w:t>
            </w:r>
            <w:r>
              <w:rPr>
                <w:rFonts w:hint="eastAsia" w:ascii="宋体" w:hAnsi="宋体" w:eastAsia="宋体" w:cs="宋体"/>
                <w:bCs w:val="0"/>
                <w:color w:val="auto"/>
                <w:kern w:val="2"/>
                <w:sz w:val="24"/>
                <w:szCs w:val="24"/>
              </w:rPr>
              <w:t>符合招标文件中要求的河道保洁服务项目管理经验</w:t>
            </w:r>
            <w:r>
              <w:rPr>
                <w:rFonts w:hint="eastAsia" w:ascii="宋体" w:hAnsi="宋体" w:eastAsia="宋体" w:cs="宋体"/>
                <w:bCs w:val="0"/>
                <w:kern w:val="2"/>
                <w:sz w:val="24"/>
                <w:szCs w:val="24"/>
                <w:highlight w:val="none"/>
              </w:rPr>
              <w:t>≥</w:t>
            </w:r>
            <w:r>
              <w:rPr>
                <w:rFonts w:hint="eastAsia" w:ascii="宋体" w:hAnsi="宋体" w:cs="宋体"/>
                <w:bCs w:val="0"/>
                <w:kern w:val="2"/>
                <w:sz w:val="24"/>
                <w:szCs w:val="24"/>
                <w:highlight w:val="none"/>
                <w:lang w:val="en-US" w:eastAsia="zh-CN"/>
              </w:rPr>
              <w:t>5</w:t>
            </w:r>
            <w:r>
              <w:rPr>
                <w:rFonts w:hint="eastAsia" w:ascii="宋体" w:hAnsi="宋体" w:eastAsia="宋体" w:cs="宋体"/>
                <w:bCs w:val="0"/>
                <w:kern w:val="2"/>
                <w:sz w:val="24"/>
                <w:szCs w:val="24"/>
                <w:highlight w:val="none"/>
              </w:rPr>
              <w:t>年的得</w:t>
            </w:r>
            <w:r>
              <w:rPr>
                <w:rFonts w:hint="eastAsia" w:ascii="宋体" w:hAnsi="宋体" w:cs="宋体"/>
                <w:bCs w:val="0"/>
                <w:kern w:val="2"/>
                <w:sz w:val="24"/>
                <w:szCs w:val="24"/>
                <w:highlight w:val="none"/>
                <w:lang w:val="en-US" w:eastAsia="zh-CN"/>
              </w:rPr>
              <w:t>4</w:t>
            </w:r>
            <w:r>
              <w:rPr>
                <w:rFonts w:hint="eastAsia" w:ascii="宋体" w:hAnsi="宋体" w:eastAsia="宋体" w:cs="宋体"/>
                <w:bCs w:val="0"/>
                <w:kern w:val="2"/>
                <w:sz w:val="24"/>
                <w:szCs w:val="24"/>
                <w:highlight w:val="none"/>
              </w:rPr>
              <w:t>分；管理经验≥</w:t>
            </w:r>
            <w:r>
              <w:rPr>
                <w:rFonts w:hint="eastAsia" w:ascii="宋体" w:hAnsi="宋体" w:cs="宋体"/>
                <w:bCs w:val="0"/>
                <w:kern w:val="2"/>
                <w:sz w:val="24"/>
                <w:szCs w:val="24"/>
                <w:highlight w:val="none"/>
                <w:lang w:val="en-US" w:eastAsia="zh-CN"/>
              </w:rPr>
              <w:t>3</w:t>
            </w:r>
            <w:r>
              <w:rPr>
                <w:rFonts w:hint="eastAsia" w:ascii="宋体" w:hAnsi="宋体" w:eastAsia="宋体" w:cs="宋体"/>
                <w:bCs w:val="0"/>
                <w:kern w:val="2"/>
                <w:sz w:val="24"/>
                <w:szCs w:val="24"/>
                <w:highlight w:val="none"/>
              </w:rPr>
              <w:t>年的得</w:t>
            </w:r>
            <w:r>
              <w:rPr>
                <w:rFonts w:hint="eastAsia" w:ascii="宋体" w:hAnsi="宋体" w:cs="宋体"/>
                <w:bCs w:val="0"/>
                <w:kern w:val="2"/>
                <w:sz w:val="24"/>
                <w:szCs w:val="24"/>
                <w:highlight w:val="none"/>
                <w:lang w:val="en-US" w:eastAsia="zh-CN"/>
              </w:rPr>
              <w:t>2</w:t>
            </w:r>
            <w:r>
              <w:rPr>
                <w:rFonts w:hint="eastAsia" w:ascii="宋体" w:hAnsi="宋体" w:eastAsia="宋体" w:cs="宋体"/>
                <w:bCs w:val="0"/>
                <w:kern w:val="2"/>
                <w:sz w:val="24"/>
                <w:szCs w:val="24"/>
                <w:highlight w:val="none"/>
              </w:rPr>
              <w:t>分</w:t>
            </w:r>
            <w:r>
              <w:rPr>
                <w:rFonts w:hint="eastAsia" w:ascii="宋体" w:hAnsi="宋体" w:eastAsia="宋体" w:cs="宋体"/>
                <w:bCs w:val="0"/>
                <w:color w:val="auto"/>
                <w:kern w:val="2"/>
                <w:sz w:val="24"/>
                <w:szCs w:val="24"/>
              </w:rPr>
              <w:t>。</w:t>
            </w:r>
          </w:p>
          <w:p w14:paraId="46685491">
            <w:pPr>
              <w:widowControl w:val="0"/>
              <w:suppressAutoHyphens/>
              <w:spacing w:after="0" w:line="240" w:lineRule="auto"/>
              <w:rPr>
                <w:rFonts w:hint="eastAsia" w:ascii="宋体" w:hAnsi="宋体" w:eastAsia="宋体" w:cs="宋体"/>
                <w:color w:val="auto"/>
                <w:sz w:val="24"/>
                <w:szCs w:val="24"/>
              </w:rPr>
            </w:pPr>
            <w:r>
              <w:rPr>
                <w:rFonts w:hint="eastAsia" w:ascii="宋体" w:hAnsi="宋体" w:eastAsia="宋体" w:cs="宋体"/>
                <w:b/>
                <w:bCs w:val="0"/>
                <w:color w:val="auto"/>
                <w:kern w:val="2"/>
                <w:sz w:val="24"/>
                <w:szCs w:val="24"/>
              </w:rPr>
              <w:t>注：投标文件中须提供</w:t>
            </w:r>
            <w:r>
              <w:rPr>
                <w:rFonts w:hint="eastAsia" w:ascii="宋体" w:hAnsi="宋体" w:eastAsia="宋体" w:cs="宋体"/>
                <w:b/>
                <w:color w:val="auto"/>
                <w:kern w:val="2"/>
                <w:sz w:val="24"/>
                <w:szCs w:val="24"/>
              </w:rPr>
              <w:t>投标人</w:t>
            </w:r>
            <w:r>
              <w:rPr>
                <w:rFonts w:hint="eastAsia" w:ascii="宋体" w:hAnsi="宋体" w:eastAsia="宋体" w:cs="宋体"/>
                <w:b/>
                <w:bCs w:val="0"/>
                <w:color w:val="auto"/>
                <w:sz w:val="24"/>
                <w:szCs w:val="24"/>
              </w:rPr>
              <w:t>为其缴纳的近三个月中任意一个月的社保证明</w:t>
            </w:r>
            <w:r>
              <w:rPr>
                <w:rFonts w:hint="eastAsia" w:ascii="宋体" w:hAnsi="宋体" w:eastAsia="宋体" w:cs="宋体"/>
                <w:b/>
                <w:color w:val="auto"/>
                <w:sz w:val="24"/>
                <w:szCs w:val="24"/>
              </w:rPr>
              <w:t>或劳动合同、服务管理经验的证明材料扫描件（需加盖单位公章（不限工作单位））</w:t>
            </w:r>
            <w:r>
              <w:rPr>
                <w:rFonts w:hint="eastAsia" w:ascii="宋体" w:hAnsi="宋体" w:eastAsia="宋体" w:cs="宋体"/>
                <w:b/>
                <w:bCs w:val="0"/>
                <w:color w:val="auto"/>
                <w:kern w:val="2"/>
                <w:sz w:val="24"/>
                <w:szCs w:val="24"/>
              </w:rPr>
              <w:t>，</w:t>
            </w:r>
            <w:r>
              <w:rPr>
                <w:rFonts w:hint="eastAsia" w:ascii="宋体" w:hAnsi="宋体" w:eastAsia="宋体" w:cs="宋体"/>
                <w:b/>
                <w:color w:val="auto"/>
                <w:sz w:val="24"/>
                <w:szCs w:val="24"/>
              </w:rPr>
              <w:t>未提供或提供资料不全的不得分。</w:t>
            </w:r>
          </w:p>
        </w:tc>
      </w:tr>
      <w:tr w14:paraId="4B867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77" w:type="dxa"/>
            <w:noWrap w:val="0"/>
            <w:vAlign w:val="center"/>
          </w:tcPr>
          <w:p w14:paraId="7BEEAD55">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349" w:type="dxa"/>
            <w:noWrap w:val="0"/>
            <w:vAlign w:val="center"/>
          </w:tcPr>
          <w:p w14:paraId="4D502AAB">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持证驾驶员配置</w:t>
            </w:r>
          </w:p>
        </w:tc>
        <w:tc>
          <w:tcPr>
            <w:tcW w:w="807" w:type="dxa"/>
            <w:noWrap w:val="0"/>
            <w:vAlign w:val="center"/>
          </w:tcPr>
          <w:p w14:paraId="2C34AFB5">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分</w:t>
            </w:r>
          </w:p>
        </w:tc>
        <w:tc>
          <w:tcPr>
            <w:tcW w:w="6387" w:type="dxa"/>
            <w:noWrap w:val="0"/>
            <w:vAlign w:val="center"/>
          </w:tcPr>
          <w:p w14:paraId="19B43020">
            <w:pPr>
              <w:widowControl w:val="0"/>
              <w:suppressAutoHyphens/>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根据投标人拟投入</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作业人员中的持证驾驶员配置情况进行评定：持证驾驶员数量均满足招标文件要求的，得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每增加1人加1分，本项最高得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p w14:paraId="59B8B871">
            <w:pPr>
              <w:widowControl w:val="0"/>
              <w:suppressAutoHyphens/>
              <w:spacing w:after="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注：①投标文件中须提供投标人为以上人员缴纳的近三个月中任意一个月的社保证明材料或劳动合同，未提供的则不得分。②投标文件中须提供行业主管部门颁发的合格有效船员资格（含船员、渔业船员）</w:t>
            </w:r>
            <w:r>
              <w:rPr>
                <w:rFonts w:hint="eastAsia" w:ascii="宋体" w:hAnsi="宋体" w:eastAsia="宋体" w:cs="宋体"/>
                <w:b/>
                <w:color w:val="auto"/>
                <w:sz w:val="24"/>
                <w:szCs w:val="24"/>
                <w:highlight w:val="none"/>
                <w:lang w:val="en-US" w:eastAsia="zh-CN"/>
              </w:rPr>
              <w:t>证书</w:t>
            </w:r>
            <w:r>
              <w:rPr>
                <w:rFonts w:hint="eastAsia" w:ascii="宋体" w:hAnsi="宋体" w:eastAsia="宋体" w:cs="宋体"/>
                <w:b/>
                <w:color w:val="auto"/>
                <w:sz w:val="24"/>
                <w:szCs w:val="24"/>
                <w:highlight w:val="none"/>
              </w:rPr>
              <w:t>，未提供的则不得分。</w:t>
            </w:r>
          </w:p>
        </w:tc>
      </w:tr>
      <w:tr w14:paraId="60154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77" w:type="dxa"/>
            <w:noWrap w:val="0"/>
            <w:vAlign w:val="center"/>
          </w:tcPr>
          <w:p w14:paraId="1464A6D3">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349" w:type="dxa"/>
            <w:noWrap w:val="0"/>
            <w:vAlign w:val="center"/>
          </w:tcPr>
          <w:p w14:paraId="0B32BBFA">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持证船员配置（除持证驾驶员以外）</w:t>
            </w:r>
          </w:p>
        </w:tc>
        <w:tc>
          <w:tcPr>
            <w:tcW w:w="807" w:type="dxa"/>
            <w:noWrap w:val="0"/>
            <w:vAlign w:val="center"/>
          </w:tcPr>
          <w:p w14:paraId="0166854B">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5</w:t>
            </w:r>
            <w:r>
              <w:rPr>
                <w:rFonts w:hint="eastAsia" w:ascii="宋体" w:hAnsi="宋体" w:eastAsia="宋体" w:cs="宋体"/>
                <w:color w:val="auto"/>
                <w:sz w:val="24"/>
                <w:szCs w:val="24"/>
              </w:rPr>
              <w:t>分</w:t>
            </w:r>
          </w:p>
        </w:tc>
        <w:tc>
          <w:tcPr>
            <w:tcW w:w="6387" w:type="dxa"/>
            <w:noWrap w:val="0"/>
            <w:vAlign w:val="center"/>
          </w:tcPr>
          <w:p w14:paraId="1AED2440">
            <w:pPr>
              <w:widowControl w:val="0"/>
              <w:suppressAutoHyphens/>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根据投标人拟投入</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作业人员中的持证船员配置情况进行评定：</w:t>
            </w:r>
          </w:p>
          <w:p w14:paraId="0EA4918F">
            <w:pPr>
              <w:widowControl w:val="0"/>
              <w:suppressAutoHyphens/>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持证船员数量均满足招标文件要求的，得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每增加1人加1分，本项最高得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p w14:paraId="17146054">
            <w:pPr>
              <w:widowControl w:val="0"/>
              <w:suppressAutoHyphens/>
              <w:spacing w:after="0"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注：①投标文件中须提供投标人为以上人员缴纳的近三个月中任意一个月的社保证明材料或劳动合同，未提供的则不得分。②投标文件中须提供</w:t>
            </w:r>
            <w:r>
              <w:rPr>
                <w:rFonts w:hint="eastAsia" w:ascii="宋体" w:hAnsi="宋体" w:eastAsia="宋体" w:cs="宋体"/>
                <w:b/>
                <w:color w:val="auto"/>
                <w:kern w:val="2"/>
                <w:sz w:val="24"/>
                <w:szCs w:val="24"/>
                <w:highlight w:val="none"/>
              </w:rPr>
              <w:t>行业主管</w:t>
            </w:r>
            <w:r>
              <w:rPr>
                <w:rFonts w:hint="eastAsia" w:ascii="宋体" w:hAnsi="宋体" w:eastAsia="宋体" w:cs="宋体"/>
                <w:b/>
                <w:color w:val="auto"/>
                <w:sz w:val="24"/>
                <w:szCs w:val="24"/>
                <w:highlight w:val="none"/>
              </w:rPr>
              <w:t>部门颁发的合格有效船员资格（含船员、渔业船员）</w:t>
            </w:r>
            <w:r>
              <w:rPr>
                <w:rFonts w:hint="eastAsia" w:ascii="宋体" w:hAnsi="宋体" w:eastAsia="宋体" w:cs="宋体"/>
                <w:b/>
                <w:color w:val="auto"/>
                <w:sz w:val="24"/>
                <w:szCs w:val="24"/>
                <w:highlight w:val="none"/>
                <w:lang w:val="en-US" w:eastAsia="zh-CN"/>
              </w:rPr>
              <w:t>证书</w:t>
            </w:r>
            <w:r>
              <w:rPr>
                <w:rFonts w:hint="eastAsia" w:ascii="宋体" w:hAnsi="宋体" w:eastAsia="宋体" w:cs="宋体"/>
                <w:b/>
                <w:color w:val="auto"/>
                <w:sz w:val="24"/>
                <w:szCs w:val="24"/>
                <w:highlight w:val="none"/>
              </w:rPr>
              <w:t>，未提供的则不得分。</w:t>
            </w:r>
          </w:p>
        </w:tc>
      </w:tr>
      <w:tr w14:paraId="4C770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center"/>
          </w:tcPr>
          <w:p w14:paraId="15583DE6">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349" w:type="dxa"/>
            <w:noWrap w:val="0"/>
            <w:vAlign w:val="center"/>
          </w:tcPr>
          <w:p w14:paraId="18499E11">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常规机动船只（铁壳平底船）</w:t>
            </w:r>
          </w:p>
        </w:tc>
        <w:tc>
          <w:tcPr>
            <w:tcW w:w="807" w:type="dxa"/>
            <w:noWrap w:val="0"/>
            <w:vAlign w:val="center"/>
          </w:tcPr>
          <w:p w14:paraId="452F4995">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分</w:t>
            </w:r>
          </w:p>
        </w:tc>
        <w:tc>
          <w:tcPr>
            <w:tcW w:w="6387" w:type="dxa"/>
            <w:noWrap w:val="0"/>
            <w:vAlign w:val="center"/>
          </w:tcPr>
          <w:p w14:paraId="3D3F2A38">
            <w:pPr>
              <w:widowControl w:val="0"/>
              <w:suppressAutoHyphens/>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投标人拟投入</w:t>
            </w:r>
            <w:r>
              <w:rPr>
                <w:rFonts w:hint="eastAsia" w:ascii="宋体" w:hAnsi="宋体" w:cs="宋体"/>
                <w:color w:val="auto"/>
                <w:sz w:val="24"/>
                <w:szCs w:val="24"/>
                <w:lang w:val="en-US" w:eastAsia="zh-CN"/>
              </w:rPr>
              <w:t>的</w:t>
            </w:r>
            <w:r>
              <w:rPr>
                <w:rFonts w:hint="eastAsia" w:ascii="宋体" w:hAnsi="宋体" w:eastAsia="宋体" w:cs="宋体"/>
                <w:color w:val="auto"/>
                <w:sz w:val="24"/>
                <w:szCs w:val="24"/>
              </w:rPr>
              <w:t>常规机动船只（铁壳平底船）的配备数量及性能参数均满足招标文件要求，且均为投标人自有/租赁的得4分；每增加一艘加</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分。本项最高得</w:t>
            </w:r>
            <w:r>
              <w:rPr>
                <w:rFonts w:hint="eastAsia" w:ascii="宋体" w:hAnsi="宋体" w:cs="宋体"/>
                <w:color w:val="auto"/>
                <w:sz w:val="24"/>
                <w:szCs w:val="24"/>
                <w:lang w:val="en-US" w:eastAsia="zh-CN"/>
              </w:rPr>
              <w:t>8</w:t>
            </w:r>
            <w:r>
              <w:rPr>
                <w:rFonts w:hint="eastAsia" w:ascii="宋体" w:hAnsi="宋体" w:eastAsia="宋体" w:cs="宋体"/>
                <w:color w:val="auto"/>
                <w:sz w:val="24"/>
                <w:szCs w:val="24"/>
              </w:rPr>
              <w:t>分。</w:t>
            </w:r>
          </w:p>
          <w:p w14:paraId="74636FC9">
            <w:pPr>
              <w:widowControl w:val="0"/>
              <w:suppressAutoHyphens/>
              <w:spacing w:after="0"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注：①拟投入常规机动船只（铁壳平底船）的配备数量及性能参数未能满足招标文件要求的本项不得分。</w:t>
            </w:r>
          </w:p>
          <w:p w14:paraId="54693208">
            <w:pPr>
              <w:widowControl w:val="0"/>
              <w:suppressAutoHyphens/>
              <w:spacing w:after="0" w:line="24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②常规机动船只（铁壳平底船）如为投标人自有的，投标文件中应提供购置发票或其他证明材料扫描件，未提供或</w:t>
            </w:r>
            <w:r>
              <w:rPr>
                <w:rFonts w:hint="eastAsia" w:ascii="宋体" w:hAnsi="宋体" w:eastAsia="宋体" w:cs="宋体"/>
                <w:b/>
                <w:color w:val="auto"/>
                <w:kern w:val="2"/>
                <w:sz w:val="24"/>
                <w:szCs w:val="24"/>
              </w:rPr>
              <w:t>提供资料不全</w:t>
            </w:r>
            <w:r>
              <w:rPr>
                <w:rFonts w:hint="eastAsia" w:ascii="宋体" w:hAnsi="宋体" w:eastAsia="宋体" w:cs="宋体"/>
                <w:b/>
                <w:color w:val="auto"/>
                <w:sz w:val="24"/>
                <w:szCs w:val="24"/>
              </w:rPr>
              <w:t>的不计为投标人自有，则不得分。</w:t>
            </w:r>
          </w:p>
          <w:p w14:paraId="71447C44">
            <w:pPr>
              <w:widowControl w:val="0"/>
              <w:suppressAutoHyphens/>
              <w:spacing w:after="0" w:line="24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③常规机动船只（铁壳平底船）如为投标人租赁的，投标文件中应提供购置发票（或其他证明材料）、租赁合同及租赁发票扫描件，提供的证明材料中须明确租赁服务期限，未提供或</w:t>
            </w:r>
            <w:r>
              <w:rPr>
                <w:rFonts w:hint="eastAsia" w:ascii="宋体" w:hAnsi="宋体" w:eastAsia="宋体" w:cs="宋体"/>
                <w:b/>
                <w:color w:val="auto"/>
                <w:kern w:val="2"/>
                <w:sz w:val="24"/>
                <w:szCs w:val="24"/>
              </w:rPr>
              <w:t>提供资料不全或租赁服务期限不满足本项目采购要求</w:t>
            </w:r>
            <w:r>
              <w:rPr>
                <w:rFonts w:hint="eastAsia" w:ascii="宋体" w:hAnsi="宋体" w:eastAsia="宋体" w:cs="宋体"/>
                <w:b/>
                <w:color w:val="auto"/>
                <w:sz w:val="24"/>
                <w:szCs w:val="24"/>
              </w:rPr>
              <w:t>的不计为投标人租赁，则不得分。</w:t>
            </w:r>
          </w:p>
          <w:p w14:paraId="3403F664">
            <w:pPr>
              <w:widowControl w:val="0"/>
              <w:suppressAutoHyphens/>
              <w:spacing w:after="0" w:line="24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④持证船只须在投标文件中提供行业主管部门颁发的合格有效证书或文书，未提供的则不得分。</w:t>
            </w:r>
          </w:p>
        </w:tc>
      </w:tr>
      <w:tr w14:paraId="0E72E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center"/>
          </w:tcPr>
          <w:p w14:paraId="0EF728D3">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349" w:type="dxa"/>
            <w:noWrap w:val="0"/>
            <w:vAlign w:val="center"/>
          </w:tcPr>
          <w:p w14:paraId="53048CFF">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全自动水面清洁船</w:t>
            </w:r>
          </w:p>
        </w:tc>
        <w:tc>
          <w:tcPr>
            <w:tcW w:w="807" w:type="dxa"/>
            <w:noWrap w:val="0"/>
            <w:vAlign w:val="center"/>
          </w:tcPr>
          <w:p w14:paraId="2F9C5C80">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4分</w:t>
            </w:r>
          </w:p>
        </w:tc>
        <w:tc>
          <w:tcPr>
            <w:tcW w:w="6387" w:type="dxa"/>
            <w:noWrap w:val="0"/>
            <w:vAlign w:val="center"/>
          </w:tcPr>
          <w:p w14:paraId="49C5164B">
            <w:pPr>
              <w:widowControl w:val="0"/>
              <w:suppressAutoHyphens/>
              <w:spacing w:after="0"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投标人拟投入</w:t>
            </w:r>
            <w:r>
              <w:rPr>
                <w:rFonts w:hint="eastAsia" w:ascii="宋体" w:hAnsi="宋体" w:cs="宋体"/>
                <w:color w:val="auto"/>
                <w:sz w:val="24"/>
                <w:szCs w:val="24"/>
                <w:lang w:val="en-US" w:eastAsia="zh-CN"/>
              </w:rPr>
              <w:t>的</w:t>
            </w:r>
            <w:r>
              <w:rPr>
                <w:rFonts w:hint="eastAsia" w:ascii="宋体" w:hAnsi="宋体" w:eastAsia="宋体" w:cs="宋体"/>
                <w:color w:val="auto"/>
                <w:sz w:val="24"/>
                <w:szCs w:val="24"/>
              </w:rPr>
              <w:t>全自动水面清洁船的配备数量及性能参数均满足招标文件要求，且均为投标人自有/租赁的得4分。</w:t>
            </w:r>
          </w:p>
          <w:p w14:paraId="23AE95A2">
            <w:pPr>
              <w:widowControl w:val="0"/>
              <w:suppressAutoHyphens/>
              <w:spacing w:after="0" w:line="240" w:lineRule="auto"/>
              <w:jc w:val="left"/>
              <w:rPr>
                <w:rFonts w:hint="eastAsia" w:ascii="宋体" w:hAnsi="宋体" w:eastAsia="宋体" w:cs="宋体"/>
                <w:b/>
                <w:color w:val="auto"/>
                <w:sz w:val="24"/>
                <w:szCs w:val="24"/>
              </w:rPr>
            </w:pPr>
            <w:r>
              <w:rPr>
                <w:rFonts w:hint="eastAsia" w:ascii="宋体" w:hAnsi="宋体" w:eastAsia="宋体" w:cs="宋体"/>
                <w:b/>
                <w:color w:val="auto"/>
                <w:sz w:val="24"/>
                <w:szCs w:val="24"/>
              </w:rPr>
              <w:t>注：①拟投入全自动水面清洁船的配备数量及性能参数未能满足招标文件要求的本项不得分。</w:t>
            </w:r>
          </w:p>
          <w:p w14:paraId="0EDDB417">
            <w:pPr>
              <w:widowControl w:val="0"/>
              <w:suppressAutoHyphens/>
              <w:spacing w:after="0" w:line="240" w:lineRule="auto"/>
              <w:ind w:firstLine="482" w:firstLineChars="200"/>
              <w:jc w:val="left"/>
              <w:rPr>
                <w:rFonts w:hint="eastAsia" w:ascii="宋体" w:hAnsi="宋体" w:eastAsia="宋体" w:cs="宋体"/>
                <w:b/>
                <w:color w:val="auto"/>
                <w:sz w:val="24"/>
                <w:szCs w:val="24"/>
              </w:rPr>
            </w:pPr>
            <w:r>
              <w:rPr>
                <w:rFonts w:hint="eastAsia" w:ascii="宋体" w:hAnsi="宋体" w:eastAsia="宋体" w:cs="宋体"/>
                <w:b/>
                <w:color w:val="auto"/>
                <w:sz w:val="24"/>
                <w:szCs w:val="24"/>
              </w:rPr>
              <w:t>②全自动水面清洁船如为投标人自有的，投标文件中应提供购置发票或其他证明材料扫描件，未提供或</w:t>
            </w:r>
            <w:r>
              <w:rPr>
                <w:rFonts w:hint="eastAsia" w:ascii="宋体" w:hAnsi="宋体" w:eastAsia="宋体" w:cs="宋体"/>
                <w:b/>
                <w:color w:val="auto"/>
                <w:kern w:val="2"/>
                <w:sz w:val="24"/>
                <w:szCs w:val="24"/>
              </w:rPr>
              <w:t>提供资料不全</w:t>
            </w:r>
            <w:r>
              <w:rPr>
                <w:rFonts w:hint="eastAsia" w:ascii="宋体" w:hAnsi="宋体" w:eastAsia="宋体" w:cs="宋体"/>
                <w:b/>
                <w:color w:val="auto"/>
                <w:sz w:val="24"/>
                <w:szCs w:val="24"/>
              </w:rPr>
              <w:t>的不计为投标人自有，则不得分。</w:t>
            </w:r>
          </w:p>
          <w:p w14:paraId="007873EC">
            <w:pPr>
              <w:widowControl w:val="0"/>
              <w:suppressAutoHyphens/>
              <w:spacing w:after="0" w:line="240" w:lineRule="auto"/>
              <w:ind w:firstLine="482" w:firstLineChars="200"/>
              <w:jc w:val="left"/>
              <w:rPr>
                <w:rFonts w:hint="eastAsia" w:ascii="宋体" w:hAnsi="宋体" w:eastAsia="宋体" w:cs="宋体"/>
                <w:b/>
                <w:color w:val="auto"/>
                <w:sz w:val="24"/>
                <w:szCs w:val="24"/>
              </w:rPr>
            </w:pPr>
            <w:r>
              <w:rPr>
                <w:rFonts w:hint="eastAsia" w:ascii="宋体" w:hAnsi="宋体" w:eastAsia="宋体" w:cs="宋体"/>
                <w:b/>
                <w:color w:val="auto"/>
                <w:sz w:val="24"/>
                <w:szCs w:val="24"/>
              </w:rPr>
              <w:t>③全自动水面清洁船如为投标人租赁的，投标文件中应提供购置发票（或其他证明材料）、租赁合同及租赁发票扫描件，提供的证明材料中须明确租赁服务期限，未提供或</w:t>
            </w:r>
            <w:r>
              <w:rPr>
                <w:rFonts w:hint="eastAsia" w:ascii="宋体" w:hAnsi="宋体" w:eastAsia="宋体" w:cs="宋体"/>
                <w:b/>
                <w:color w:val="auto"/>
                <w:kern w:val="2"/>
                <w:sz w:val="24"/>
                <w:szCs w:val="24"/>
              </w:rPr>
              <w:t>提供资料不全或租赁服务期限不满足本项目采购要求</w:t>
            </w:r>
            <w:r>
              <w:rPr>
                <w:rFonts w:hint="eastAsia" w:ascii="宋体" w:hAnsi="宋体" w:eastAsia="宋体" w:cs="宋体"/>
                <w:b/>
                <w:color w:val="auto"/>
                <w:sz w:val="24"/>
                <w:szCs w:val="24"/>
              </w:rPr>
              <w:t>的不计为投标人租赁，则不得分。</w:t>
            </w:r>
          </w:p>
          <w:p w14:paraId="4E1FDD64">
            <w:pPr>
              <w:widowControl w:val="0"/>
              <w:suppressAutoHyphens/>
              <w:spacing w:after="0" w:line="240" w:lineRule="auto"/>
              <w:ind w:firstLine="482" w:firstLineChars="200"/>
              <w:jc w:val="left"/>
              <w:rPr>
                <w:rFonts w:hint="eastAsia" w:ascii="宋体" w:hAnsi="宋体" w:eastAsia="宋体" w:cs="宋体"/>
                <w:b/>
                <w:color w:val="auto"/>
                <w:sz w:val="24"/>
                <w:szCs w:val="24"/>
              </w:rPr>
            </w:pPr>
            <w:r>
              <w:rPr>
                <w:rFonts w:hint="eastAsia" w:ascii="宋体" w:hAnsi="宋体" w:eastAsia="宋体" w:cs="宋体"/>
                <w:b/>
                <w:color w:val="auto"/>
                <w:sz w:val="24"/>
                <w:szCs w:val="24"/>
              </w:rPr>
              <w:t>④以上全自动水面清洁船须在投标文件中提供行业主管部门颁发的合格有效证书或文书，未提供的则不得分。</w:t>
            </w:r>
          </w:p>
        </w:tc>
      </w:tr>
    </w:tbl>
    <w:p w14:paraId="5C76ACB8">
      <w:pPr>
        <w:widowControl w:val="0"/>
        <w:suppressAutoHyphens/>
        <w:spacing w:after="0" w:line="440" w:lineRule="exact"/>
        <w:ind w:firstLine="482" w:firstLineChars="200"/>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4、综合实力</w:t>
      </w:r>
      <w:r>
        <w:rPr>
          <w:rFonts w:hint="eastAsia" w:ascii="宋体" w:hAnsi="宋体" w:cs="宋体"/>
          <w:b/>
          <w:bCs w:val="0"/>
          <w:color w:val="auto"/>
          <w:sz w:val="24"/>
          <w:szCs w:val="24"/>
          <w:lang w:val="en-US" w:eastAsia="zh-CN"/>
        </w:rPr>
        <w:t>17</w:t>
      </w:r>
      <w:r>
        <w:rPr>
          <w:rFonts w:hint="eastAsia" w:ascii="宋体" w:hAnsi="宋体" w:eastAsia="宋体" w:cs="宋体"/>
          <w:b/>
          <w:bCs w:val="0"/>
          <w:color w:val="auto"/>
          <w:sz w:val="24"/>
          <w:szCs w:val="24"/>
        </w:rPr>
        <w:t>分</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1348"/>
        <w:gridCol w:w="819"/>
        <w:gridCol w:w="6378"/>
      </w:tblGrid>
      <w:tr w14:paraId="352CB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778" w:type="dxa"/>
            <w:tcBorders>
              <w:top w:val="single" w:color="auto" w:sz="4" w:space="0"/>
              <w:left w:val="single" w:color="auto" w:sz="4" w:space="0"/>
              <w:bottom w:val="single" w:color="auto" w:sz="4" w:space="0"/>
              <w:right w:val="single" w:color="auto" w:sz="4" w:space="0"/>
            </w:tcBorders>
            <w:shd w:val="clear" w:color="auto" w:fill="E7E6E6"/>
            <w:noWrap w:val="0"/>
            <w:vAlign w:val="center"/>
          </w:tcPr>
          <w:p w14:paraId="48DE8A51">
            <w:pPr>
              <w:widowControl w:val="0"/>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348" w:type="dxa"/>
            <w:tcBorders>
              <w:top w:val="single" w:color="auto" w:sz="4" w:space="0"/>
              <w:left w:val="single" w:color="auto" w:sz="4" w:space="0"/>
              <w:bottom w:val="single" w:color="auto" w:sz="4" w:space="0"/>
              <w:right w:val="single" w:color="auto" w:sz="4" w:space="0"/>
            </w:tcBorders>
            <w:shd w:val="clear" w:color="auto" w:fill="E7E6E6"/>
            <w:noWrap w:val="0"/>
            <w:vAlign w:val="center"/>
          </w:tcPr>
          <w:p w14:paraId="4283E39C">
            <w:pPr>
              <w:widowControl w:val="0"/>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评审因素</w:t>
            </w:r>
          </w:p>
        </w:tc>
        <w:tc>
          <w:tcPr>
            <w:tcW w:w="819" w:type="dxa"/>
            <w:tcBorders>
              <w:top w:val="single" w:color="auto" w:sz="4" w:space="0"/>
              <w:left w:val="single" w:color="auto" w:sz="4" w:space="0"/>
              <w:bottom w:val="single" w:color="auto" w:sz="4" w:space="0"/>
              <w:right w:val="single" w:color="auto" w:sz="4" w:space="0"/>
            </w:tcBorders>
            <w:shd w:val="clear" w:color="auto" w:fill="E7E6E6"/>
            <w:noWrap w:val="0"/>
            <w:vAlign w:val="center"/>
          </w:tcPr>
          <w:p w14:paraId="248D0820">
            <w:pPr>
              <w:widowControl w:val="0"/>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权值</w:t>
            </w:r>
          </w:p>
        </w:tc>
        <w:tc>
          <w:tcPr>
            <w:tcW w:w="6378" w:type="dxa"/>
            <w:tcBorders>
              <w:top w:val="single" w:color="auto" w:sz="4" w:space="0"/>
              <w:left w:val="single" w:color="auto" w:sz="4" w:space="0"/>
              <w:bottom w:val="single" w:color="auto" w:sz="4" w:space="0"/>
              <w:right w:val="single" w:color="auto" w:sz="4" w:space="0"/>
            </w:tcBorders>
            <w:shd w:val="clear" w:color="auto" w:fill="E7E6E6"/>
            <w:noWrap w:val="0"/>
            <w:vAlign w:val="center"/>
          </w:tcPr>
          <w:p w14:paraId="28997748">
            <w:pPr>
              <w:widowControl w:val="0"/>
              <w:spacing w:after="0"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评分标准</w:t>
            </w:r>
          </w:p>
        </w:tc>
      </w:tr>
      <w:tr w14:paraId="5AA99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78" w:type="dxa"/>
            <w:tcBorders>
              <w:top w:val="single" w:color="auto" w:sz="4" w:space="0"/>
              <w:left w:val="single" w:color="auto" w:sz="4" w:space="0"/>
              <w:bottom w:val="single" w:color="auto" w:sz="4" w:space="0"/>
              <w:right w:val="single" w:color="auto" w:sz="4" w:space="0"/>
            </w:tcBorders>
            <w:noWrap w:val="0"/>
            <w:vAlign w:val="center"/>
          </w:tcPr>
          <w:p w14:paraId="202AA41B">
            <w:pPr>
              <w:widowControl w:val="0"/>
              <w:suppressAutoHyphens/>
              <w:spacing w:after="0" w:line="240" w:lineRule="atLeas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348" w:type="dxa"/>
            <w:tcBorders>
              <w:top w:val="single" w:color="auto" w:sz="4" w:space="0"/>
              <w:left w:val="single" w:color="auto" w:sz="4" w:space="0"/>
              <w:bottom w:val="single" w:color="auto" w:sz="4" w:space="0"/>
              <w:right w:val="single" w:color="auto" w:sz="4" w:space="0"/>
            </w:tcBorders>
            <w:noWrap w:val="0"/>
            <w:vAlign w:val="center"/>
          </w:tcPr>
          <w:p w14:paraId="122A68AC">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商务条件响应性</w:t>
            </w:r>
          </w:p>
        </w:tc>
        <w:tc>
          <w:tcPr>
            <w:tcW w:w="819" w:type="dxa"/>
            <w:tcBorders>
              <w:top w:val="single" w:color="auto" w:sz="4" w:space="0"/>
              <w:left w:val="single" w:color="auto" w:sz="4" w:space="0"/>
              <w:bottom w:val="single" w:color="auto" w:sz="4" w:space="0"/>
              <w:right w:val="single" w:color="auto" w:sz="4" w:space="0"/>
            </w:tcBorders>
            <w:noWrap w:val="0"/>
            <w:vAlign w:val="center"/>
          </w:tcPr>
          <w:p w14:paraId="4ADE94C3">
            <w:pPr>
              <w:widowControl w:val="0"/>
              <w:suppressAutoHyphens/>
              <w:spacing w:after="0" w:line="24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w:t>
            </w:r>
          </w:p>
        </w:tc>
        <w:tc>
          <w:tcPr>
            <w:tcW w:w="6378" w:type="dxa"/>
            <w:tcBorders>
              <w:top w:val="single" w:color="auto" w:sz="4" w:space="0"/>
              <w:left w:val="single" w:color="auto" w:sz="4" w:space="0"/>
              <w:bottom w:val="single" w:color="auto" w:sz="4" w:space="0"/>
              <w:right w:val="single" w:color="auto" w:sz="4" w:space="0"/>
            </w:tcBorders>
            <w:noWrap w:val="0"/>
            <w:vAlign w:val="center"/>
          </w:tcPr>
          <w:p w14:paraId="33D15146">
            <w:pPr>
              <w:widowControl w:val="0"/>
              <w:suppressAutoHyphens/>
              <w:spacing w:after="0" w:line="240" w:lineRule="atLeast"/>
              <w:jc w:val="left"/>
              <w:rPr>
                <w:rFonts w:hint="eastAsia" w:ascii="宋体" w:hAnsi="宋体" w:eastAsia="宋体" w:cs="宋体"/>
                <w:color w:val="auto"/>
                <w:sz w:val="24"/>
                <w:szCs w:val="24"/>
              </w:rPr>
            </w:pPr>
            <w:r>
              <w:rPr>
                <w:rFonts w:hint="eastAsia" w:ascii="宋体" w:hAnsi="宋体" w:eastAsia="宋体" w:cs="宋体"/>
                <w:color w:val="auto"/>
                <w:sz w:val="24"/>
                <w:szCs w:val="24"/>
              </w:rPr>
              <w:t>投标人对招标文件中合同条款等商务条件（24项）完全响应的得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分；有负偏离条款，每项扣0.</w:t>
            </w: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分。</w:t>
            </w:r>
            <w:r>
              <w:rPr>
                <w:rFonts w:hint="eastAsia" w:ascii="宋体" w:hAnsi="宋体" w:eastAsia="宋体" w:cs="宋体"/>
                <w:b/>
                <w:bCs/>
                <w:color w:val="auto"/>
                <w:kern w:val="0"/>
                <w:sz w:val="24"/>
                <w:szCs w:val="24"/>
                <w:lang w:val="en-US" w:eastAsia="zh-CN"/>
              </w:rPr>
              <w:t>（付款方式必须完全响应，否则将作</w:t>
            </w:r>
            <w:r>
              <w:rPr>
                <w:rFonts w:hint="eastAsia" w:ascii="宋体" w:hAnsi="宋体" w:eastAsia="宋体" w:cs="宋体"/>
                <w:b/>
                <w:bCs/>
                <w:color w:val="auto"/>
                <w:kern w:val="0"/>
                <w:sz w:val="24"/>
                <w:szCs w:val="24"/>
                <w:lang w:val="zh-CN" w:eastAsia="zh-CN"/>
              </w:rPr>
              <w:t>无效投标处理</w:t>
            </w:r>
            <w:r>
              <w:rPr>
                <w:rFonts w:hint="eastAsia" w:ascii="宋体" w:hAnsi="宋体" w:eastAsia="宋体" w:cs="宋体"/>
                <w:b/>
                <w:bCs/>
                <w:color w:val="auto"/>
                <w:kern w:val="0"/>
                <w:sz w:val="24"/>
                <w:szCs w:val="24"/>
                <w:lang w:val="en-US" w:eastAsia="zh-CN"/>
              </w:rPr>
              <w:t>）</w:t>
            </w:r>
          </w:p>
        </w:tc>
      </w:tr>
      <w:tr w14:paraId="3D6FB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778" w:type="dxa"/>
            <w:tcBorders>
              <w:top w:val="single" w:color="auto" w:sz="4" w:space="0"/>
              <w:left w:val="single" w:color="auto" w:sz="4" w:space="0"/>
              <w:bottom w:val="single" w:color="auto" w:sz="4" w:space="0"/>
              <w:right w:val="single" w:color="auto" w:sz="4" w:space="0"/>
            </w:tcBorders>
            <w:noWrap w:val="0"/>
            <w:vAlign w:val="center"/>
          </w:tcPr>
          <w:p w14:paraId="79B3F7EA">
            <w:pPr>
              <w:widowControl w:val="0"/>
              <w:suppressAutoHyphens/>
              <w:spacing w:after="0" w:line="240" w:lineRule="atLeas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348" w:type="dxa"/>
            <w:tcBorders>
              <w:top w:val="single" w:color="auto" w:sz="4" w:space="0"/>
              <w:left w:val="single" w:color="auto" w:sz="4" w:space="0"/>
              <w:bottom w:val="single" w:color="auto" w:sz="4" w:space="0"/>
              <w:right w:val="single" w:color="auto" w:sz="4" w:space="0"/>
            </w:tcBorders>
            <w:noWrap w:val="0"/>
            <w:vAlign w:val="center"/>
          </w:tcPr>
          <w:p w14:paraId="67ACA9EF">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业绩情况</w:t>
            </w:r>
          </w:p>
        </w:tc>
        <w:tc>
          <w:tcPr>
            <w:tcW w:w="819" w:type="dxa"/>
            <w:tcBorders>
              <w:top w:val="single" w:color="auto" w:sz="4" w:space="0"/>
              <w:left w:val="single" w:color="auto" w:sz="4" w:space="0"/>
              <w:bottom w:val="single" w:color="auto" w:sz="4" w:space="0"/>
              <w:right w:val="single" w:color="auto" w:sz="4" w:space="0"/>
            </w:tcBorders>
            <w:noWrap w:val="0"/>
            <w:vAlign w:val="center"/>
          </w:tcPr>
          <w:p w14:paraId="6F2EA3B6">
            <w:pPr>
              <w:widowControl w:val="0"/>
              <w:suppressAutoHyphens/>
              <w:spacing w:after="0" w:line="24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w:t>
            </w:r>
          </w:p>
        </w:tc>
        <w:tc>
          <w:tcPr>
            <w:tcW w:w="6378" w:type="dxa"/>
            <w:tcBorders>
              <w:top w:val="single" w:color="auto" w:sz="4" w:space="0"/>
              <w:left w:val="single" w:color="auto" w:sz="4" w:space="0"/>
              <w:bottom w:val="single" w:color="auto" w:sz="4" w:space="0"/>
              <w:right w:val="single" w:color="auto" w:sz="4" w:space="0"/>
            </w:tcBorders>
            <w:noWrap w:val="0"/>
            <w:vAlign w:val="center"/>
          </w:tcPr>
          <w:p w14:paraId="1D39C9A5">
            <w:pPr>
              <w:widowControl w:val="0"/>
              <w:suppressAutoHyphens/>
              <w:spacing w:after="0" w:line="240" w:lineRule="atLeast"/>
              <w:rPr>
                <w:rFonts w:hint="eastAsia" w:ascii="宋体" w:hAnsi="宋体" w:eastAsia="宋体" w:cs="宋体"/>
                <w:color w:val="auto"/>
                <w:sz w:val="24"/>
                <w:szCs w:val="24"/>
              </w:rPr>
            </w:pPr>
            <w:r>
              <w:rPr>
                <w:rFonts w:hint="eastAsia" w:ascii="宋体" w:hAnsi="宋体" w:eastAsia="宋体" w:cs="宋体"/>
                <w:color w:val="auto"/>
                <w:sz w:val="24"/>
                <w:szCs w:val="24"/>
              </w:rPr>
              <w:t>投标人202</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年1月1日至今（以合同签订日期为准）承担过河道保洁服务项目的业绩，有一个得2分，最高得</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分。</w:t>
            </w:r>
            <w:r>
              <w:rPr>
                <w:rFonts w:hint="eastAsia" w:ascii="宋体" w:hAnsi="宋体" w:eastAsia="宋体" w:cs="宋体"/>
                <w:b/>
                <w:color w:val="auto"/>
                <w:sz w:val="24"/>
                <w:szCs w:val="24"/>
              </w:rPr>
              <w:t>注：投标文件中须提供项目合同和对应合同的付款凭证，合同内容至少包括合同首页、</w:t>
            </w:r>
            <w:r>
              <w:rPr>
                <w:rFonts w:hint="eastAsia" w:ascii="宋体" w:hAnsi="宋体" w:eastAsia="宋体" w:cs="宋体"/>
                <w:b/>
                <w:bCs w:val="0"/>
                <w:color w:val="auto"/>
                <w:kern w:val="2"/>
                <w:sz w:val="24"/>
                <w:szCs w:val="24"/>
              </w:rPr>
              <w:t>合同具体内容页、</w:t>
            </w:r>
            <w:r>
              <w:rPr>
                <w:rFonts w:hint="eastAsia" w:ascii="宋体" w:hAnsi="宋体" w:eastAsia="宋体" w:cs="宋体"/>
                <w:b/>
                <w:color w:val="auto"/>
                <w:sz w:val="24"/>
                <w:szCs w:val="24"/>
              </w:rPr>
              <w:t>标的金额所在页、签字盖章页。未提供或提供资料不全的不得分。</w:t>
            </w:r>
          </w:p>
        </w:tc>
      </w:tr>
      <w:tr w14:paraId="6F8C5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778" w:type="dxa"/>
            <w:tcBorders>
              <w:top w:val="single" w:color="auto" w:sz="4" w:space="0"/>
              <w:left w:val="single" w:color="auto" w:sz="4" w:space="0"/>
              <w:bottom w:val="single" w:color="auto" w:sz="4" w:space="0"/>
              <w:right w:val="single" w:color="auto" w:sz="4" w:space="0"/>
            </w:tcBorders>
            <w:noWrap w:val="0"/>
            <w:vAlign w:val="center"/>
          </w:tcPr>
          <w:p w14:paraId="276D7952">
            <w:pPr>
              <w:widowControl w:val="0"/>
              <w:suppressAutoHyphens/>
              <w:spacing w:after="0" w:line="240" w:lineRule="atLeast"/>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348" w:type="dxa"/>
            <w:tcBorders>
              <w:top w:val="single" w:color="auto" w:sz="4" w:space="0"/>
              <w:left w:val="single" w:color="auto" w:sz="4" w:space="0"/>
              <w:bottom w:val="single" w:color="auto" w:sz="4" w:space="0"/>
              <w:right w:val="single" w:color="auto" w:sz="4" w:space="0"/>
            </w:tcBorders>
            <w:noWrap w:val="0"/>
            <w:vAlign w:val="center"/>
          </w:tcPr>
          <w:p w14:paraId="7B52CC2E">
            <w:pPr>
              <w:widowControl w:val="0"/>
              <w:suppressAutoHyphens/>
              <w:spacing w:after="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服务响应时间</w:t>
            </w:r>
          </w:p>
        </w:tc>
        <w:tc>
          <w:tcPr>
            <w:tcW w:w="819" w:type="dxa"/>
            <w:tcBorders>
              <w:top w:val="single" w:color="auto" w:sz="4" w:space="0"/>
              <w:left w:val="single" w:color="auto" w:sz="4" w:space="0"/>
              <w:bottom w:val="single" w:color="auto" w:sz="4" w:space="0"/>
              <w:right w:val="single" w:color="auto" w:sz="4" w:space="0"/>
            </w:tcBorders>
            <w:noWrap w:val="0"/>
            <w:vAlign w:val="center"/>
          </w:tcPr>
          <w:p w14:paraId="44436004">
            <w:pPr>
              <w:widowControl w:val="0"/>
              <w:suppressAutoHyphens/>
              <w:spacing w:after="0" w:line="240" w:lineRule="atLeast"/>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6378" w:type="dxa"/>
            <w:tcBorders>
              <w:top w:val="single" w:color="auto" w:sz="4" w:space="0"/>
              <w:left w:val="single" w:color="auto" w:sz="4" w:space="0"/>
              <w:bottom w:val="single" w:color="auto" w:sz="4" w:space="0"/>
              <w:right w:val="single" w:color="auto" w:sz="4" w:space="0"/>
            </w:tcBorders>
            <w:noWrap w:val="0"/>
            <w:vAlign w:val="center"/>
          </w:tcPr>
          <w:p w14:paraId="5FF49168">
            <w:pPr>
              <w:widowControl w:val="0"/>
              <w:suppressAutoHyphens/>
              <w:spacing w:after="0" w:line="240" w:lineRule="atLeast"/>
              <w:rPr>
                <w:rFonts w:hint="eastAsia" w:ascii="宋体" w:hAnsi="宋体" w:eastAsia="宋体" w:cs="宋体"/>
                <w:color w:val="auto"/>
                <w:sz w:val="24"/>
                <w:szCs w:val="24"/>
              </w:rPr>
            </w:pPr>
            <w:r>
              <w:rPr>
                <w:rFonts w:hint="eastAsia" w:ascii="宋体" w:hAnsi="宋体" w:eastAsia="宋体" w:cs="宋体"/>
                <w:color w:val="auto"/>
                <w:sz w:val="24"/>
                <w:szCs w:val="24"/>
              </w:rPr>
              <w:t>根据投标人针对本项目提供的服务响应时间进行评定：投标人承诺项目中标后，在接到采购人书面或口头通知工作指令后能在1小时内响应的，得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分；能在2小时内响应的，得1分。</w:t>
            </w:r>
            <w:r>
              <w:rPr>
                <w:rFonts w:hint="eastAsia" w:ascii="宋体" w:hAnsi="宋体" w:eastAsia="宋体" w:cs="宋体"/>
                <w:b/>
                <w:color w:val="auto"/>
                <w:sz w:val="24"/>
                <w:szCs w:val="24"/>
              </w:rPr>
              <w:t>注：投标文件中须提供承诺书（格式自拟），未提供的或超过2小时响应的不得分。</w:t>
            </w:r>
          </w:p>
        </w:tc>
      </w:tr>
    </w:tbl>
    <w:p w14:paraId="6E7D82ED">
      <w:pPr>
        <w:shd w:val="clear"/>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注：（1）上述投标文件中提供的相关证明材料需为清晰完整的彩色扫描件（照片），如存在扫描件（照片）无效、不清晰、不完整等情形使得评委会无法准确评审的，相关评审风险由投标人自行承担。</w:t>
      </w:r>
    </w:p>
    <w:p w14:paraId="04FEFBE5">
      <w:pPr>
        <w:shd w:val="clear"/>
        <w:spacing w:line="44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（2）投标人在制作投标文件时请按投标文件规定的顺序编制，要求简洁、明了，并添加投标文件目录、页码、书签，便于评标委员会评审查阅。</w:t>
      </w:r>
    </w:p>
    <w:p w14:paraId="27F1F061">
      <w:pPr>
        <w:shd w:val="clear"/>
        <w:spacing w:line="44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（3）对应第五章评分中服务响应/商务条件响应性说明：负偏离【以（一）****(每条)1.1****(每项)】。</w:t>
      </w:r>
    </w:p>
    <w:p w14:paraId="1C611C8A">
      <w:pPr>
        <w:shd w:val="clear"/>
        <w:spacing w:line="440" w:lineRule="exact"/>
        <w:rPr>
          <w:rFonts w:hAnsi="宋体"/>
          <w:b/>
          <w:bCs/>
          <w:color w:val="auto"/>
          <w:sz w:val="28"/>
          <w:highlight w:val="none"/>
        </w:rPr>
      </w:pPr>
      <w:r>
        <w:rPr>
          <w:rFonts w:hint="eastAsia" w:hAnsi="宋体"/>
          <w:b/>
          <w:bCs/>
          <w:color w:val="auto"/>
          <w:sz w:val="28"/>
          <w:highlight w:val="none"/>
        </w:rPr>
        <w:t>三、政府采购政策：</w:t>
      </w:r>
      <w:bookmarkEnd w:id="294"/>
    </w:p>
    <w:p w14:paraId="3BFBDC45">
      <w:pPr>
        <w:shd w:val="clear"/>
        <w:spacing w:line="440" w:lineRule="exact"/>
        <w:ind w:firstLine="482" w:firstLineChars="200"/>
        <w:rPr>
          <w:rFonts w:ascii="宋体" w:hAnsi="宋体" w:cs="宋体"/>
          <w:b/>
          <w:bCs/>
          <w:color w:val="auto"/>
          <w:sz w:val="24"/>
          <w:szCs w:val="24"/>
          <w:highlight w:val="none"/>
        </w:rPr>
      </w:pPr>
      <w:bookmarkStart w:id="296" w:name="_Toc22323"/>
      <w:r>
        <w:rPr>
          <w:rFonts w:hint="eastAsia" w:ascii="宋体" w:hAnsi="宋体" w:cs="宋体"/>
          <w:b/>
          <w:bCs/>
          <w:color w:val="auto"/>
          <w:sz w:val="24"/>
          <w:szCs w:val="24"/>
          <w:highlight w:val="none"/>
        </w:rPr>
        <w:t>1、落实政府采购政策需满足的资格要求：</w:t>
      </w:r>
    </w:p>
    <w:p w14:paraId="69C47D71">
      <w:pPr>
        <w:shd w:val="clear"/>
        <w:spacing w:line="44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（1）本项目专门面向中小企业采购，所属行业为其他未列明行业。</w:t>
      </w:r>
    </w:p>
    <w:p w14:paraId="006BA08B">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（2）在投标文件中须提供《中小企业声明函》。（填报严格按工信部联企业〔2011〕300号通知中的《中小企业划型标准规定》进行）。</w:t>
      </w:r>
    </w:p>
    <w:p w14:paraId="1D0D7C8E">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44A3E617">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（4）享受政府采购支持政策的残疾人福利性单位应当同时满足以下条件：</w:t>
      </w:r>
    </w:p>
    <w:p w14:paraId="6D3E68D5">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安置的残疾人占本单位在职职工人数的比例不低于25%（含25%），并且安置的残疾人人数不少于10人（含10人）；依法与安置的每位残疾人签订了一年以上（含一年）的劳动合同或服务协议；</w:t>
      </w:r>
    </w:p>
    <w:p w14:paraId="729D7395">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6F9707C1">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提供本单位制造的货物、承担的工程或者服务，或者提供其他残疾人福利性单位制造的货物（不包括使用非残疾人福利性单位注册商标的货物）。</w:t>
      </w:r>
    </w:p>
    <w:p w14:paraId="386CEB0F">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5D489E5">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中标、中标人享受中小企业扶持政策或者为残疾人福利性单位的，应当随中标、成交结果同时公告其《中小企业声明函》或《残疾人福利性单位声明函》，接受社会监督。若投标人提供的上述声明函为虚假声明则视同提供虚假材料，按“政府采购法”相关规定处理并报请政府监管部门给予行政处罚。</w:t>
      </w:r>
    </w:p>
    <w:bookmarkEnd w:id="296"/>
    <w:p w14:paraId="29727266">
      <w:pPr>
        <w:shd w:val="clear"/>
        <w:spacing w:line="440" w:lineRule="exact"/>
        <w:ind w:firstLine="241" w:firstLineChars="100"/>
        <w:rPr>
          <w:rFonts w:ascii="宋体" w:hAnsi="宋体" w:cs="宋体"/>
          <w:b/>
          <w:color w:val="auto"/>
          <w:sz w:val="24"/>
          <w:szCs w:val="24"/>
          <w:highlight w:val="none"/>
        </w:rPr>
      </w:pPr>
      <w:r>
        <w:rPr>
          <w:rFonts w:hint="eastAsia" w:ascii="宋体" w:hAnsi="宋体" w:cs="宋体"/>
          <w:b/>
          <w:color w:val="auto"/>
          <w:sz w:val="24"/>
          <w:szCs w:val="24"/>
          <w:highlight w:val="none"/>
        </w:rPr>
        <w:t>2、信用信息查询</w:t>
      </w:r>
    </w:p>
    <w:p w14:paraId="0EFDB39B">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根据政府采购法及相关法规，以及《国务院关于建立完善守信联合激励和失信联合惩戒制度加快推进社会诚信体系建设的指导意见》（国发〔2016〕33 号）、财政部《关于在政府采购活动中查询及使用信用记录有关问题的通知》（财库〔2016〕125 号）、江苏省财政厅《关于做好政府采购信用信息查询使用及登记等工作的通知》（苏财购〔2016〕50 号）等文件的规定，我们将依法对投标人进行信用查询，凡经评标小组确认不符合政府采购相关法律法规规定的，将拒绝其参与政府采购活动。</w:t>
      </w:r>
    </w:p>
    <w:p w14:paraId="1817FD9C">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1、查询截止时点：投标文件递交截止时间。</w:t>
      </w:r>
    </w:p>
    <w:p w14:paraId="0BF23F61">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2、查询渠道：信用中国（ https://www.creditchina.gov.cn/ ）查询相关主体信用记录，并采取必要方式做好信用信息报告等查询记录留存，信用信息报告等查询记录应当与其他招标文件一并保存。 </w:t>
      </w:r>
    </w:p>
    <w:p w14:paraId="5D98B9CF">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3、查询证据留存方式：</w:t>
      </w:r>
    </w:p>
    <w:p w14:paraId="1CB26A47">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对存在失信信息的投标人，评标委员会应填写《苏州市级政府采购投标人失信信息确认函》，由失信投标人确认。同时，采购代理机构工作人员应根据评标委员会确认的失信信息，登陆到来源网站页面进行复核并打印，作为证据留存。</w:t>
      </w:r>
    </w:p>
    <w:p w14:paraId="05142FB5">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4、信用记录使用规则：</w:t>
      </w:r>
    </w:p>
    <w:p w14:paraId="4325CE4A">
      <w:pPr>
        <w:shd w:val="clear"/>
        <w:ind w:firstLine="480" w:firstLineChars="200"/>
        <w:rPr>
          <w:rFonts w:hint="eastAsia" w:ascii="宋体" w:hAnsi="宋体" w:eastAsia="宋体" w:cs="宋体"/>
          <w:b/>
          <w:color w:val="auto"/>
          <w:sz w:val="36"/>
          <w:highlight w:val="none"/>
          <w:lang w:eastAsia="zh-CN"/>
        </w:rPr>
      </w:pPr>
      <w:r>
        <w:rPr>
          <w:rFonts w:hint="eastAsia" w:ascii="宋体" w:hAnsi="宋体" w:cs="宋体"/>
          <w:color w:val="auto"/>
          <w:sz w:val="24"/>
          <w:szCs w:val="24"/>
          <w:highlight w:val="none"/>
        </w:rPr>
        <w:t>评标委员会在对投标人进行资格性审查时，应根据查询结果对投标人的不良信用记录逐项甄别确认</w:t>
      </w:r>
      <w:bookmarkEnd w:id="280"/>
      <w:bookmarkEnd w:id="281"/>
      <w:bookmarkEnd w:id="282"/>
      <w:bookmarkStart w:id="297" w:name="_Toc315868063"/>
      <w:bookmarkStart w:id="298" w:name="_Toc315875326"/>
      <w:bookmarkStart w:id="299" w:name="_Toc158691777"/>
      <w:r>
        <w:rPr>
          <w:rFonts w:hint="eastAsia" w:ascii="宋体" w:hAnsi="宋体" w:cs="宋体"/>
          <w:color w:val="auto"/>
          <w:sz w:val="24"/>
          <w:szCs w:val="24"/>
          <w:highlight w:val="none"/>
          <w:lang w:eastAsia="zh-CN"/>
        </w:rPr>
        <w:t>。</w:t>
      </w:r>
    </w:p>
    <w:p w14:paraId="1030478C">
      <w:pPr>
        <w:shd w:val="clear"/>
        <w:rPr>
          <w:rFonts w:ascii="Times New Roman" w:hAnsi="Times New Roman"/>
          <w:b/>
          <w:color w:val="auto"/>
          <w:sz w:val="36"/>
          <w:highlight w:val="none"/>
        </w:rPr>
      </w:pPr>
      <w:r>
        <w:rPr>
          <w:rFonts w:ascii="Times New Roman" w:hAnsi="Times New Roman"/>
          <w:b/>
          <w:color w:val="auto"/>
          <w:sz w:val="36"/>
          <w:highlight w:val="none"/>
        </w:rPr>
        <w:br w:type="page"/>
      </w:r>
    </w:p>
    <w:p w14:paraId="5D1994EC">
      <w:pPr>
        <w:shd w:val="clear"/>
        <w:spacing w:line="360" w:lineRule="auto"/>
        <w:jc w:val="center"/>
        <w:outlineLvl w:val="0"/>
        <w:rPr>
          <w:rFonts w:ascii="Times New Roman" w:hAnsi="Times New Roman"/>
          <w:b/>
          <w:color w:val="auto"/>
          <w:sz w:val="36"/>
          <w:highlight w:val="none"/>
        </w:rPr>
      </w:pPr>
      <w:bookmarkStart w:id="300" w:name="_Toc22994"/>
      <w:r>
        <w:rPr>
          <w:rFonts w:ascii="Times New Roman" w:hAnsi="Times New Roman"/>
          <w:b/>
          <w:color w:val="auto"/>
          <w:sz w:val="36"/>
          <w:highlight w:val="none"/>
        </w:rPr>
        <w:t>第</w:t>
      </w:r>
      <w:r>
        <w:rPr>
          <w:rFonts w:hint="eastAsia" w:ascii="Times New Roman" w:hAnsi="Times New Roman"/>
          <w:b/>
          <w:color w:val="auto"/>
          <w:sz w:val="36"/>
          <w:highlight w:val="none"/>
        </w:rPr>
        <w:t>六</w:t>
      </w:r>
      <w:r>
        <w:rPr>
          <w:rFonts w:ascii="Times New Roman" w:hAnsi="Times New Roman"/>
          <w:b/>
          <w:color w:val="auto"/>
          <w:sz w:val="36"/>
          <w:highlight w:val="none"/>
        </w:rPr>
        <w:t>章</w:t>
      </w:r>
      <w:r>
        <w:rPr>
          <w:rFonts w:hint="eastAsia" w:ascii="Times New Roman" w:hAnsi="Times New Roman"/>
          <w:b/>
          <w:color w:val="auto"/>
          <w:sz w:val="36"/>
          <w:highlight w:val="none"/>
        </w:rPr>
        <w:t xml:space="preserve"> 投标文件</w:t>
      </w:r>
      <w:r>
        <w:rPr>
          <w:rFonts w:ascii="Times New Roman" w:hAnsi="Times New Roman"/>
          <w:b/>
          <w:color w:val="auto"/>
          <w:sz w:val="36"/>
          <w:highlight w:val="none"/>
        </w:rPr>
        <w:t>格式</w:t>
      </w:r>
      <w:bookmarkEnd w:id="300"/>
    </w:p>
    <w:p w14:paraId="2AEE334C">
      <w:pPr>
        <w:shd w:val="clear"/>
        <w:rPr>
          <w:b/>
          <w:color w:val="auto"/>
          <w:sz w:val="44"/>
          <w:szCs w:val="44"/>
          <w:highlight w:val="none"/>
        </w:rPr>
      </w:pPr>
      <w:r>
        <w:rPr>
          <w:b/>
          <w:color w:val="auto"/>
          <w:sz w:val="44"/>
          <w:szCs w:val="44"/>
          <w:highlight w:val="none"/>
        </w:rPr>
        <w:t>封面：</w:t>
      </w:r>
    </w:p>
    <w:p w14:paraId="3C79F17D">
      <w:pPr>
        <w:shd w:val="clear"/>
        <w:jc w:val="center"/>
        <w:rPr>
          <w:b/>
          <w:color w:val="auto"/>
          <w:sz w:val="72"/>
          <w:szCs w:val="72"/>
          <w:highlight w:val="none"/>
        </w:rPr>
      </w:pPr>
    </w:p>
    <w:p w14:paraId="6656FCB4">
      <w:pPr>
        <w:shd w:val="clear"/>
        <w:jc w:val="center"/>
        <w:rPr>
          <w:b/>
          <w:color w:val="auto"/>
          <w:sz w:val="72"/>
          <w:szCs w:val="72"/>
          <w:highlight w:val="none"/>
        </w:rPr>
      </w:pPr>
    </w:p>
    <w:p w14:paraId="5967381C">
      <w:pPr>
        <w:shd w:val="clear"/>
        <w:jc w:val="center"/>
        <w:rPr>
          <w:b/>
          <w:color w:val="auto"/>
          <w:sz w:val="72"/>
          <w:szCs w:val="72"/>
          <w:highlight w:val="none"/>
        </w:rPr>
      </w:pPr>
      <w:r>
        <w:rPr>
          <w:rFonts w:hint="eastAsia" w:hAnsi="宋体"/>
          <w:b/>
          <w:color w:val="auto"/>
          <w:sz w:val="72"/>
          <w:szCs w:val="72"/>
          <w:highlight w:val="none"/>
        </w:rPr>
        <w:t>投标文件</w:t>
      </w:r>
    </w:p>
    <w:p w14:paraId="3B07A758">
      <w:pPr>
        <w:shd w:val="clear"/>
        <w:rPr>
          <w:b/>
          <w:color w:val="auto"/>
          <w:sz w:val="36"/>
          <w:szCs w:val="36"/>
          <w:highlight w:val="none"/>
        </w:rPr>
      </w:pPr>
    </w:p>
    <w:p w14:paraId="2F2D3326">
      <w:pPr>
        <w:shd w:val="clear"/>
        <w:rPr>
          <w:b/>
          <w:color w:val="auto"/>
          <w:sz w:val="36"/>
          <w:szCs w:val="36"/>
          <w:highlight w:val="none"/>
        </w:rPr>
      </w:pPr>
    </w:p>
    <w:p w14:paraId="02D3918B">
      <w:pPr>
        <w:shd w:val="clear"/>
        <w:rPr>
          <w:b/>
          <w:color w:val="auto"/>
          <w:sz w:val="36"/>
          <w:szCs w:val="36"/>
          <w:highlight w:val="none"/>
        </w:rPr>
      </w:pPr>
    </w:p>
    <w:p w14:paraId="0D472728">
      <w:pPr>
        <w:shd w:val="clear"/>
        <w:rPr>
          <w:b/>
          <w:color w:val="auto"/>
          <w:sz w:val="36"/>
          <w:szCs w:val="36"/>
          <w:highlight w:val="none"/>
        </w:rPr>
      </w:pPr>
    </w:p>
    <w:p w14:paraId="7FF87FA6">
      <w:pPr>
        <w:shd w:val="clear"/>
        <w:jc w:val="center"/>
        <w:rPr>
          <w:rFonts w:hint="eastAsia" w:eastAsia="宋体"/>
          <w:b/>
          <w:color w:val="auto"/>
          <w:sz w:val="36"/>
          <w:szCs w:val="36"/>
          <w:highlight w:val="none"/>
          <w:lang w:eastAsia="zh-CN"/>
        </w:rPr>
      </w:pPr>
      <w:r>
        <w:rPr>
          <w:rFonts w:hint="eastAsia"/>
          <w:b/>
          <w:color w:val="auto"/>
          <w:sz w:val="36"/>
          <w:szCs w:val="36"/>
          <w:highlight w:val="none"/>
        </w:rPr>
        <w:t>项目名称：</w:t>
      </w:r>
      <w:r>
        <w:rPr>
          <w:rFonts w:hint="eastAsia"/>
          <w:b/>
          <w:color w:val="auto"/>
          <w:sz w:val="36"/>
          <w:szCs w:val="36"/>
          <w:highlight w:val="none"/>
          <w:lang w:eastAsia="zh-CN"/>
        </w:rPr>
        <w:t>2025年度常熟市市级河道保洁服务</w:t>
      </w:r>
    </w:p>
    <w:p w14:paraId="681CBBFC">
      <w:pPr>
        <w:shd w:val="clear"/>
        <w:ind w:firstLine="1084" w:firstLineChars="300"/>
        <w:jc w:val="center"/>
        <w:rPr>
          <w:rFonts w:ascii="宋体" w:hAnsi="宋体" w:cs="宋体"/>
          <w:b/>
          <w:color w:val="auto"/>
          <w:sz w:val="36"/>
          <w:szCs w:val="36"/>
          <w:highlight w:val="none"/>
        </w:rPr>
      </w:pPr>
    </w:p>
    <w:p w14:paraId="2A49611C">
      <w:pPr>
        <w:shd w:val="clear"/>
        <w:ind w:firstLine="1084" w:firstLineChars="300"/>
        <w:jc w:val="center"/>
        <w:rPr>
          <w:rFonts w:hint="eastAsia" w:ascii="宋体" w:hAnsi="宋体" w:cs="宋体"/>
          <w:b/>
          <w:color w:val="auto"/>
          <w:sz w:val="36"/>
          <w:szCs w:val="36"/>
          <w:highlight w:val="none"/>
          <w:lang w:eastAsia="zh-CN"/>
        </w:rPr>
      </w:pPr>
      <w:r>
        <w:rPr>
          <w:rFonts w:hint="eastAsia" w:ascii="宋体" w:hAnsi="宋体" w:cs="宋体"/>
          <w:b/>
          <w:color w:val="auto"/>
          <w:sz w:val="36"/>
          <w:szCs w:val="36"/>
          <w:highlight w:val="none"/>
        </w:rPr>
        <w:t>项目编号：</w:t>
      </w:r>
      <w:r>
        <w:rPr>
          <w:rFonts w:hint="eastAsia" w:ascii="宋体" w:hAnsi="宋体" w:cs="宋体"/>
          <w:b/>
          <w:color w:val="auto"/>
          <w:sz w:val="36"/>
          <w:szCs w:val="36"/>
          <w:highlight w:val="none"/>
          <w:lang w:eastAsia="zh-CN"/>
        </w:rPr>
        <w:t>JSZC-320581-HXGW-G2024-0101</w:t>
      </w:r>
    </w:p>
    <w:p w14:paraId="1B18C0E7">
      <w:pPr>
        <w:shd w:val="clear"/>
        <w:ind w:firstLine="1084" w:firstLineChars="300"/>
        <w:jc w:val="center"/>
        <w:rPr>
          <w:rFonts w:hint="eastAsia" w:ascii="宋体" w:hAnsi="宋体" w:cs="宋体"/>
          <w:b/>
          <w:color w:val="auto"/>
          <w:sz w:val="36"/>
          <w:szCs w:val="36"/>
          <w:highlight w:val="none"/>
          <w:lang w:eastAsia="zh-CN"/>
        </w:rPr>
      </w:pPr>
    </w:p>
    <w:p w14:paraId="5331BB5E">
      <w:pPr>
        <w:shd w:val="clear"/>
        <w:ind w:firstLine="1084" w:firstLineChars="300"/>
        <w:jc w:val="center"/>
        <w:rPr>
          <w:b/>
          <w:color w:val="auto"/>
          <w:sz w:val="36"/>
          <w:szCs w:val="36"/>
          <w:highlight w:val="none"/>
        </w:rPr>
      </w:pPr>
      <w:r>
        <w:rPr>
          <w:rFonts w:hint="eastAsia" w:ascii="Times New Roman" w:hAnsi="Times New Roman"/>
          <w:b/>
          <w:color w:val="000000"/>
          <w:sz w:val="36"/>
          <w:szCs w:val="36"/>
        </w:rPr>
        <w:t>分包号：第</w:t>
      </w:r>
      <w:r>
        <w:rPr>
          <w:rFonts w:hint="eastAsia" w:ascii="Times New Roman" w:hAnsi="Times New Roman"/>
          <w:b/>
          <w:color w:val="000000"/>
          <w:sz w:val="36"/>
          <w:szCs w:val="36"/>
          <w:u w:val="single"/>
          <w:lang w:val="en-US" w:eastAsia="zh-CN"/>
        </w:rPr>
        <w:t xml:space="preserve">    </w:t>
      </w:r>
      <w:r>
        <w:rPr>
          <w:rFonts w:hint="eastAsia" w:ascii="Times New Roman" w:hAnsi="Times New Roman"/>
          <w:b/>
          <w:color w:val="000000"/>
          <w:sz w:val="36"/>
          <w:szCs w:val="36"/>
        </w:rPr>
        <w:t>包（适用于第一包～第四包）</w:t>
      </w:r>
    </w:p>
    <w:p w14:paraId="3845DF0B">
      <w:pPr>
        <w:shd w:val="clear"/>
        <w:rPr>
          <w:color w:val="auto"/>
          <w:sz w:val="36"/>
          <w:szCs w:val="36"/>
          <w:highlight w:val="none"/>
        </w:rPr>
      </w:pPr>
    </w:p>
    <w:p w14:paraId="7242E730">
      <w:pPr>
        <w:shd w:val="clear"/>
        <w:rPr>
          <w:b/>
          <w:color w:val="auto"/>
          <w:sz w:val="36"/>
          <w:szCs w:val="36"/>
          <w:highlight w:val="none"/>
        </w:rPr>
      </w:pPr>
    </w:p>
    <w:p w14:paraId="68A15910">
      <w:pPr>
        <w:shd w:val="clear"/>
        <w:ind w:firstLine="1084" w:firstLineChars="300"/>
        <w:jc w:val="center"/>
        <w:rPr>
          <w:rFonts w:hAnsi="宋体"/>
          <w:b/>
          <w:color w:val="auto"/>
          <w:sz w:val="36"/>
          <w:szCs w:val="36"/>
          <w:highlight w:val="none"/>
        </w:rPr>
      </w:pPr>
    </w:p>
    <w:p w14:paraId="634F3F66">
      <w:pPr>
        <w:shd w:val="clear"/>
        <w:ind w:firstLine="1084" w:firstLineChars="300"/>
        <w:jc w:val="center"/>
        <w:rPr>
          <w:b/>
          <w:color w:val="auto"/>
          <w:sz w:val="36"/>
          <w:szCs w:val="36"/>
          <w:highlight w:val="none"/>
        </w:rPr>
      </w:pPr>
      <w:r>
        <w:rPr>
          <w:rFonts w:hint="eastAsia" w:ascii="宋体" w:hAnsi="宋体"/>
          <w:b/>
          <w:color w:val="auto"/>
          <w:sz w:val="36"/>
          <w:szCs w:val="21"/>
          <w:highlight w:val="none"/>
        </w:rPr>
        <w:t>投标人名称</w:t>
      </w:r>
      <w:r>
        <w:rPr>
          <w:rFonts w:hAnsi="宋体"/>
          <w:b/>
          <w:color w:val="auto"/>
          <w:sz w:val="36"/>
          <w:szCs w:val="36"/>
          <w:highlight w:val="none"/>
        </w:rPr>
        <w:t>：</w:t>
      </w:r>
      <w:r>
        <w:rPr>
          <w:rFonts w:hint="eastAsia" w:ascii="宋体" w:hAnsi="宋体"/>
          <w:b/>
          <w:color w:val="auto"/>
          <w:sz w:val="36"/>
          <w:szCs w:val="21"/>
          <w:highlight w:val="none"/>
          <w:u w:val="single"/>
        </w:rPr>
        <w:t>（加盖CA电子公章）</w:t>
      </w:r>
    </w:p>
    <w:p w14:paraId="0FC81029">
      <w:pPr>
        <w:shd w:val="clear"/>
        <w:ind w:firstLine="1988" w:firstLineChars="550"/>
        <w:jc w:val="center"/>
        <w:rPr>
          <w:b/>
          <w:color w:val="auto"/>
          <w:sz w:val="36"/>
          <w:szCs w:val="36"/>
          <w:highlight w:val="none"/>
        </w:rPr>
      </w:pPr>
    </w:p>
    <w:p w14:paraId="57A31889">
      <w:pPr>
        <w:shd w:val="clear"/>
        <w:ind w:firstLine="1988" w:firstLineChars="550"/>
        <w:jc w:val="center"/>
        <w:rPr>
          <w:b/>
          <w:color w:val="auto"/>
          <w:sz w:val="36"/>
          <w:szCs w:val="36"/>
          <w:highlight w:val="none"/>
        </w:rPr>
      </w:pPr>
      <w:r>
        <w:rPr>
          <w:b/>
          <w:color w:val="auto"/>
          <w:sz w:val="36"/>
          <w:szCs w:val="36"/>
          <w:highlight w:val="none"/>
        </w:rPr>
        <w:t>日期：</w:t>
      </w:r>
      <w:r>
        <w:rPr>
          <w:rFonts w:hint="eastAsia"/>
          <w:b/>
          <w:color w:val="auto"/>
          <w:sz w:val="36"/>
          <w:szCs w:val="36"/>
          <w:highlight w:val="none"/>
        </w:rPr>
        <w:t xml:space="preserve">   </w:t>
      </w:r>
      <w:r>
        <w:rPr>
          <w:b/>
          <w:color w:val="auto"/>
          <w:sz w:val="36"/>
          <w:szCs w:val="36"/>
          <w:highlight w:val="none"/>
        </w:rPr>
        <w:t>年</w:t>
      </w:r>
      <w:r>
        <w:rPr>
          <w:rFonts w:hint="eastAsia"/>
          <w:b/>
          <w:color w:val="auto"/>
          <w:sz w:val="36"/>
          <w:szCs w:val="36"/>
          <w:highlight w:val="none"/>
        </w:rPr>
        <w:t xml:space="preserve">   </w:t>
      </w:r>
      <w:r>
        <w:rPr>
          <w:b/>
          <w:color w:val="auto"/>
          <w:sz w:val="36"/>
          <w:szCs w:val="36"/>
          <w:highlight w:val="none"/>
        </w:rPr>
        <w:t xml:space="preserve">月 </w:t>
      </w:r>
      <w:r>
        <w:rPr>
          <w:rFonts w:hint="eastAsia"/>
          <w:b/>
          <w:color w:val="auto"/>
          <w:sz w:val="36"/>
          <w:szCs w:val="36"/>
          <w:highlight w:val="none"/>
        </w:rPr>
        <w:t xml:space="preserve">   </w:t>
      </w:r>
      <w:r>
        <w:rPr>
          <w:b/>
          <w:color w:val="auto"/>
          <w:sz w:val="36"/>
          <w:szCs w:val="36"/>
          <w:highlight w:val="none"/>
        </w:rPr>
        <w:t>日</w:t>
      </w:r>
    </w:p>
    <w:p w14:paraId="0297E3A7">
      <w:pPr>
        <w:shd w:val="clear"/>
        <w:ind w:firstLine="482" w:firstLineChars="200"/>
        <w:rPr>
          <w:b/>
          <w:color w:val="auto"/>
          <w:sz w:val="24"/>
          <w:szCs w:val="24"/>
          <w:highlight w:val="none"/>
        </w:rPr>
      </w:pPr>
    </w:p>
    <w:p w14:paraId="645361D6">
      <w:pPr>
        <w:shd w:val="clear"/>
        <w:rPr>
          <w:b/>
          <w:color w:val="auto"/>
          <w:sz w:val="24"/>
          <w:szCs w:val="24"/>
          <w:highlight w:val="none"/>
        </w:rPr>
      </w:pPr>
    </w:p>
    <w:p w14:paraId="27DDAB62">
      <w:pPr>
        <w:shd w:val="clear"/>
        <w:rPr>
          <w:color w:val="auto"/>
          <w:sz w:val="36"/>
          <w:szCs w:val="36"/>
          <w:highlight w:val="none"/>
        </w:rPr>
      </w:pPr>
      <w:r>
        <w:rPr>
          <w:color w:val="auto"/>
          <w:sz w:val="36"/>
          <w:szCs w:val="36"/>
          <w:highlight w:val="none"/>
        </w:rPr>
        <w:br w:type="page"/>
      </w:r>
    </w:p>
    <w:p w14:paraId="37DC663D">
      <w:pPr>
        <w:shd w:val="clear"/>
        <w:jc w:val="center"/>
        <w:rPr>
          <w:b/>
          <w:color w:val="auto"/>
          <w:sz w:val="48"/>
          <w:szCs w:val="48"/>
          <w:highlight w:val="none"/>
        </w:rPr>
      </w:pPr>
      <w:r>
        <w:rPr>
          <w:rFonts w:hint="eastAsia"/>
          <w:b/>
          <w:color w:val="auto"/>
          <w:sz w:val="48"/>
          <w:szCs w:val="48"/>
          <w:highlight w:val="none"/>
        </w:rPr>
        <w:t>目录</w:t>
      </w:r>
    </w:p>
    <w:p w14:paraId="1AA04D21">
      <w:pPr>
        <w:shd w:val="clear"/>
        <w:spacing w:line="400" w:lineRule="exact"/>
        <w:ind w:firstLine="482" w:firstLineChars="200"/>
        <w:rPr>
          <w:rFonts w:ascii="宋体" w:hAnsi="宋体"/>
          <w:b/>
          <w:bCs/>
          <w:color w:val="auto"/>
          <w:sz w:val="24"/>
          <w:szCs w:val="24"/>
          <w:highlight w:val="none"/>
        </w:rPr>
      </w:pPr>
      <w:bookmarkStart w:id="301" w:name="_Toc511680880"/>
      <w:r>
        <w:rPr>
          <w:rFonts w:hint="eastAsia" w:ascii="宋体" w:hAnsi="宋体"/>
          <w:b/>
          <w:bCs/>
          <w:color w:val="auto"/>
          <w:sz w:val="24"/>
          <w:szCs w:val="24"/>
          <w:highlight w:val="none"/>
        </w:rPr>
        <w:t>一、基本目录</w:t>
      </w:r>
    </w:p>
    <w:p w14:paraId="22B3B26A">
      <w:pPr>
        <w:shd w:val="clear"/>
        <w:spacing w:line="4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highlight w:val="none"/>
        </w:rPr>
        <w:t>开标一览表</w:t>
      </w:r>
      <w:r>
        <w:rPr>
          <w:rFonts w:hint="eastAsia" w:ascii="宋体" w:hAnsi="宋体"/>
          <w:color w:val="auto"/>
          <w:sz w:val="24"/>
          <w:szCs w:val="24"/>
          <w:highlight w:val="none"/>
        </w:rPr>
        <w:t>（格式见附件1）</w:t>
      </w:r>
    </w:p>
    <w:p w14:paraId="6C6C8AE3">
      <w:pPr>
        <w:shd w:val="clea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w:t>
      </w:r>
      <w:r>
        <w:rPr>
          <w:rFonts w:hint="eastAsia" w:ascii="宋体" w:hAnsi="宋体"/>
          <w:color w:val="auto"/>
          <w:sz w:val="24"/>
          <w:highlight w:val="none"/>
          <w:lang w:val="en-US" w:eastAsia="zh-CN"/>
        </w:rPr>
        <w:t>报价明细表</w:t>
      </w:r>
      <w:r>
        <w:rPr>
          <w:rFonts w:hint="eastAsia" w:ascii="宋体" w:hAnsi="宋体"/>
          <w:color w:val="auto"/>
          <w:sz w:val="24"/>
          <w:szCs w:val="24"/>
          <w:highlight w:val="none"/>
        </w:rPr>
        <w:t>（格式见附件</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w:t>
      </w:r>
    </w:p>
    <w:p w14:paraId="7CEE6151">
      <w:pPr>
        <w:shd w:val="clear"/>
        <w:spacing w:line="40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二、资格审查内容</w:t>
      </w:r>
    </w:p>
    <w:p w14:paraId="4239A6CE">
      <w:pPr>
        <w:shd w:val="clea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*1、满足《中华人民共和国政府采购法》第二十二条规定，并提供下列材料：</w:t>
      </w:r>
    </w:p>
    <w:p w14:paraId="693E82BC">
      <w:pPr>
        <w:shd w:val="clear"/>
        <w:spacing w:line="40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1.1 法人或者其他组织的营业执照等证明文件；</w:t>
      </w:r>
    </w:p>
    <w:p w14:paraId="46EE9BDF">
      <w:pPr>
        <w:shd w:val="clear"/>
        <w:spacing w:line="40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 xml:space="preserve">1.2 </w:t>
      </w:r>
      <w:r>
        <w:rPr>
          <w:rFonts w:hint="eastAsia" w:ascii="宋体" w:hAnsi="宋体" w:cs="宋体"/>
          <w:b/>
          <w:bCs w:val="0"/>
          <w:color w:val="auto"/>
          <w:sz w:val="24"/>
          <w:szCs w:val="24"/>
          <w:highlight w:val="none"/>
        </w:rPr>
        <w:t>2022年</w:t>
      </w:r>
      <w:r>
        <w:rPr>
          <w:rFonts w:hint="eastAsia" w:ascii="宋体" w:hAnsi="宋体" w:cs="宋体"/>
          <w:b w:val="0"/>
          <w:bCs/>
          <w:color w:val="auto"/>
          <w:sz w:val="24"/>
          <w:szCs w:val="24"/>
          <w:highlight w:val="none"/>
        </w:rPr>
        <w:t>至今任意一期</w:t>
      </w:r>
      <w:r>
        <w:rPr>
          <w:rFonts w:hint="eastAsia" w:ascii="宋体" w:hAnsi="宋体" w:cs="宋体"/>
          <w:b/>
          <w:bCs w:val="0"/>
          <w:color w:val="auto"/>
          <w:sz w:val="24"/>
          <w:szCs w:val="24"/>
          <w:highlight w:val="none"/>
        </w:rPr>
        <w:t>经审计</w:t>
      </w:r>
      <w:r>
        <w:rPr>
          <w:rFonts w:hint="eastAsia" w:ascii="宋体" w:hAnsi="宋体" w:cs="宋体"/>
          <w:b w:val="0"/>
          <w:bCs/>
          <w:color w:val="auto"/>
          <w:sz w:val="24"/>
          <w:szCs w:val="24"/>
          <w:highlight w:val="none"/>
        </w:rPr>
        <w:t>的财务报告或者近期由银行出具的资信证明</w:t>
      </w:r>
      <w:r>
        <w:rPr>
          <w:rFonts w:hint="eastAsia" w:ascii="宋体" w:hAnsi="宋体"/>
          <w:b w:val="0"/>
          <w:bCs/>
          <w:color w:val="auto"/>
          <w:sz w:val="24"/>
          <w:szCs w:val="24"/>
          <w:highlight w:val="none"/>
        </w:rPr>
        <w:t>；</w:t>
      </w:r>
    </w:p>
    <w:p w14:paraId="76C87856">
      <w:pPr>
        <w:shd w:val="clear"/>
        <w:spacing w:line="40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p>
    <w:p w14:paraId="67465138">
      <w:pPr>
        <w:shd w:val="clear"/>
        <w:spacing w:line="40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1.4 具备履行合同所必需的设备和专业技术能力的书面声明（格式见附件</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w:t>
      </w:r>
    </w:p>
    <w:p w14:paraId="4DAC1DAE">
      <w:pPr>
        <w:shd w:val="clear"/>
        <w:spacing w:line="400" w:lineRule="exact"/>
        <w:ind w:firstLine="720" w:firstLineChars="300"/>
        <w:rPr>
          <w:rFonts w:ascii="宋体" w:hAnsi="宋体"/>
          <w:color w:val="auto"/>
          <w:sz w:val="24"/>
          <w:szCs w:val="24"/>
          <w:highlight w:val="none"/>
        </w:rPr>
      </w:pPr>
      <w:r>
        <w:rPr>
          <w:rFonts w:hint="eastAsia" w:ascii="宋体" w:hAnsi="宋体"/>
          <w:color w:val="auto"/>
          <w:sz w:val="24"/>
          <w:szCs w:val="24"/>
          <w:highlight w:val="none"/>
        </w:rPr>
        <w:t>1.5 参加政府采购活动前 3 年内在经营活动中没有重大违法记录的书面声明（格式见附件</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w:t>
      </w:r>
    </w:p>
    <w:p w14:paraId="6EC22C75">
      <w:pPr>
        <w:shd w:val="clear"/>
        <w:spacing w:line="400" w:lineRule="exact"/>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*2、中小企业声明函（格式见附件</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）或残疾人福利性单位声明函（格式见附件</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）或省级以上监狱管理局、戒毒管理局（含新疆生产建设兵团）出具的属于监狱企业的证明文件</w:t>
      </w:r>
    </w:p>
    <w:p w14:paraId="6511268C">
      <w:pPr>
        <w:shd w:val="clear"/>
        <w:spacing w:line="40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注：其中加“*”项目若有缺失或无效，将导致其投标文件无效且不允许在投标文件开启时间后补正。</w:t>
      </w:r>
    </w:p>
    <w:p w14:paraId="79DF1577">
      <w:pPr>
        <w:shd w:val="clear"/>
        <w:spacing w:line="400" w:lineRule="exact"/>
        <w:ind w:firstLine="480" w:firstLineChars="200"/>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 3、</w:t>
      </w:r>
      <w:r>
        <w:rPr>
          <w:rFonts w:hint="eastAsia" w:ascii="宋体" w:hAnsi="宋体"/>
          <w:color w:val="auto"/>
          <w:sz w:val="24"/>
          <w:szCs w:val="24"/>
          <w:highlight w:val="none"/>
        </w:rPr>
        <w:t>法人授权书（格式见附件</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）（如法定代表人签署投标文件的，法人授权书无需提供</w:t>
      </w:r>
      <w:r>
        <w:rPr>
          <w:rFonts w:hint="eastAsia" w:ascii="宋体" w:hAnsi="宋体"/>
          <w:color w:val="auto"/>
          <w:sz w:val="24"/>
          <w:szCs w:val="24"/>
          <w:highlight w:val="none"/>
          <w:lang w:eastAsia="zh-CN"/>
        </w:rPr>
        <w:t>）</w:t>
      </w:r>
    </w:p>
    <w:p w14:paraId="56D6EF4D">
      <w:pPr>
        <w:shd w:val="clear"/>
        <w:spacing w:line="40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三、符合性审查内容</w:t>
      </w:r>
    </w:p>
    <w:p w14:paraId="18B39277">
      <w:pPr>
        <w:shd w:val="clear"/>
        <w:spacing w:line="400" w:lineRule="exact"/>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1、投入要素明细表</w:t>
      </w:r>
      <w:r>
        <w:rPr>
          <w:rFonts w:hint="eastAsia" w:ascii="宋体" w:hAnsi="宋体"/>
          <w:color w:val="auto"/>
          <w:sz w:val="24"/>
          <w:szCs w:val="24"/>
          <w:highlight w:val="none"/>
        </w:rPr>
        <w:t>（格式见附件</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w:t>
      </w:r>
    </w:p>
    <w:p w14:paraId="59995112">
      <w:pPr>
        <w:shd w:val="clea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eastAsia="zh-CN"/>
        </w:rPr>
        <w:t>、</w:t>
      </w:r>
      <w:r>
        <w:rPr>
          <w:rFonts w:hint="eastAsia" w:ascii="宋体" w:hAnsi="宋体"/>
          <w:color w:val="auto"/>
          <w:sz w:val="24"/>
          <w:szCs w:val="24"/>
          <w:highlight w:val="none"/>
        </w:rPr>
        <w:t>投标函（格式见附件</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w:t>
      </w:r>
    </w:p>
    <w:p w14:paraId="2E83BA68">
      <w:pPr>
        <w:shd w:val="clear"/>
        <w:spacing w:line="400" w:lineRule="exact"/>
        <w:ind w:firstLine="480" w:firstLineChars="200"/>
        <w:rPr>
          <w:rFonts w:ascii="宋体" w:hAnsi="宋体"/>
          <w:color w:val="auto"/>
          <w:sz w:val="24"/>
          <w:szCs w:val="24"/>
          <w:highlight w:val="none"/>
        </w:rPr>
      </w:pPr>
      <w:r>
        <w:rPr>
          <w:rFonts w:hint="eastAsia" w:ascii="宋体" w:hAnsi="宋体"/>
          <w:color w:val="auto"/>
          <w:sz w:val="24"/>
          <w:highlight w:val="none"/>
        </w:rPr>
        <w:t>3</w:t>
      </w:r>
      <w:r>
        <w:rPr>
          <w:rFonts w:hint="eastAsia" w:ascii="宋体" w:hAnsi="宋体"/>
          <w:color w:val="auto"/>
          <w:sz w:val="24"/>
          <w:highlight w:val="none"/>
          <w:lang w:eastAsia="zh-CN"/>
        </w:rPr>
        <w:t>、</w:t>
      </w:r>
      <w:r>
        <w:rPr>
          <w:rFonts w:hint="eastAsia" w:ascii="宋体" w:hAnsi="宋体"/>
          <w:color w:val="auto"/>
          <w:sz w:val="24"/>
          <w:szCs w:val="24"/>
          <w:highlight w:val="none"/>
        </w:rPr>
        <w:t>实质性要求响应及偏离表（格式见附件</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w:t>
      </w:r>
    </w:p>
    <w:p w14:paraId="4EEDE949">
      <w:pPr>
        <w:shd w:val="clear"/>
        <w:spacing w:line="400" w:lineRule="exact"/>
        <w:ind w:firstLine="480" w:firstLineChars="200"/>
        <w:rPr>
          <w:rFonts w:ascii="宋体" w:hAnsi="宋体"/>
          <w:color w:val="auto"/>
          <w:sz w:val="24"/>
          <w:highlight w:val="none"/>
        </w:rPr>
      </w:pPr>
      <w:r>
        <w:rPr>
          <w:rFonts w:hint="eastAsia" w:ascii="宋体" w:hAnsi="宋体"/>
          <w:color w:val="auto"/>
          <w:sz w:val="24"/>
          <w:highlight w:val="none"/>
        </w:rPr>
        <w:t>4</w:t>
      </w:r>
      <w:r>
        <w:rPr>
          <w:rFonts w:hint="eastAsia" w:ascii="宋体" w:hAnsi="宋体"/>
          <w:color w:val="auto"/>
          <w:sz w:val="24"/>
          <w:highlight w:val="none"/>
          <w:lang w:eastAsia="zh-CN"/>
        </w:rPr>
        <w:t>、</w:t>
      </w:r>
      <w:r>
        <w:rPr>
          <w:rFonts w:hint="eastAsia" w:ascii="宋体" w:hAnsi="宋体"/>
          <w:color w:val="auto"/>
          <w:sz w:val="24"/>
          <w:highlight w:val="none"/>
        </w:rPr>
        <w:t>服务要求响应及偏离表（格式见</w:t>
      </w:r>
      <w:r>
        <w:rPr>
          <w:rFonts w:ascii="宋体" w:hAnsi="宋体"/>
          <w:color w:val="auto"/>
          <w:sz w:val="24"/>
          <w:highlight w:val="none"/>
        </w:rPr>
        <w:t>附件</w:t>
      </w:r>
      <w:r>
        <w:rPr>
          <w:rFonts w:hint="eastAsia" w:ascii="宋体" w:hAnsi="宋体"/>
          <w:color w:val="auto"/>
          <w:sz w:val="24"/>
          <w:highlight w:val="none"/>
          <w:lang w:val="en-US" w:eastAsia="zh-CN"/>
        </w:rPr>
        <w:t>11</w:t>
      </w:r>
      <w:r>
        <w:rPr>
          <w:rFonts w:hint="eastAsia" w:ascii="宋体" w:hAnsi="宋体"/>
          <w:color w:val="auto"/>
          <w:sz w:val="24"/>
          <w:highlight w:val="none"/>
        </w:rPr>
        <w:t>）</w:t>
      </w:r>
    </w:p>
    <w:p w14:paraId="364335DE">
      <w:pPr>
        <w:shd w:val="clear"/>
        <w:spacing w:line="400" w:lineRule="exact"/>
        <w:ind w:firstLine="480" w:firstLineChars="200"/>
        <w:rPr>
          <w:rFonts w:hint="eastAsia" w:ascii="宋体" w:hAnsi="宋体"/>
          <w:color w:val="auto"/>
          <w:sz w:val="24"/>
          <w:szCs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商务要求响应及偏离表</w:t>
      </w:r>
      <w:r>
        <w:rPr>
          <w:rFonts w:hint="eastAsia" w:ascii="宋体" w:hAnsi="宋体"/>
          <w:color w:val="auto"/>
          <w:sz w:val="24"/>
          <w:szCs w:val="24"/>
          <w:highlight w:val="none"/>
        </w:rPr>
        <w:t>（格式见附件1</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w:t>
      </w:r>
    </w:p>
    <w:p w14:paraId="2CE5A871">
      <w:pPr>
        <w:shd w:val="clea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lang w:val="en-US" w:eastAsia="zh-CN"/>
        </w:rPr>
        <w:t>6、人员及船只到位期限承诺书</w:t>
      </w:r>
      <w:r>
        <w:rPr>
          <w:rFonts w:hint="eastAsia" w:ascii="宋体" w:hAnsi="宋体"/>
          <w:color w:val="auto"/>
          <w:sz w:val="24"/>
          <w:szCs w:val="24"/>
          <w:highlight w:val="none"/>
        </w:rPr>
        <w:t>（格式见附件1</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w:t>
      </w:r>
    </w:p>
    <w:p w14:paraId="0E8AA02C">
      <w:pPr>
        <w:shd w:val="clear"/>
        <w:spacing w:line="40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四、综合评审文件</w:t>
      </w:r>
    </w:p>
    <w:p w14:paraId="789EA1D4">
      <w:pPr>
        <w:shd w:val="clea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1、项目实施方案（格式见附件1</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w:t>
      </w:r>
    </w:p>
    <w:p w14:paraId="09F2AE9E">
      <w:pPr>
        <w:shd w:val="clea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highlight w:val="none"/>
        </w:rPr>
        <w:t>项目组人员一览表</w:t>
      </w:r>
      <w:r>
        <w:rPr>
          <w:rFonts w:hint="eastAsia" w:ascii="宋体" w:hAnsi="宋体"/>
          <w:color w:val="auto"/>
          <w:sz w:val="24"/>
          <w:szCs w:val="24"/>
          <w:highlight w:val="none"/>
        </w:rPr>
        <w:t>（格式见附件1</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w:t>
      </w:r>
    </w:p>
    <w:p w14:paraId="08D47E65">
      <w:pPr>
        <w:shd w:val="clea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3、设备配备一览表（格式见附件1</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w:t>
      </w:r>
    </w:p>
    <w:p w14:paraId="1A483AA6">
      <w:pPr>
        <w:shd w:val="clea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4、业绩一览表（格式见附件1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w:t>
      </w:r>
    </w:p>
    <w:p w14:paraId="4CD8AE06">
      <w:pPr>
        <w:shd w:val="clea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5、其他证明文件（格式见附件1</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w:t>
      </w:r>
    </w:p>
    <w:p w14:paraId="161BFD9E">
      <w:pPr>
        <w:shd w:val="clear"/>
        <w:spacing w:line="400" w:lineRule="exact"/>
        <w:ind w:firstLine="482" w:firstLineChars="200"/>
        <w:rPr>
          <w:rFonts w:ascii="宋体" w:hAnsi="宋体"/>
          <w:b/>
          <w:bCs/>
          <w:color w:val="auto"/>
          <w:sz w:val="24"/>
          <w:szCs w:val="24"/>
          <w:highlight w:val="none"/>
        </w:rPr>
      </w:pPr>
      <w:r>
        <w:rPr>
          <w:rFonts w:hint="eastAsia" w:ascii="宋体" w:hAnsi="宋体"/>
          <w:b/>
          <w:bCs/>
          <w:color w:val="auto"/>
          <w:sz w:val="24"/>
          <w:szCs w:val="24"/>
          <w:highlight w:val="none"/>
        </w:rPr>
        <w:t>备注：针对“二、资格审查内容”和“三</w:t>
      </w:r>
      <w:r>
        <w:rPr>
          <w:rFonts w:ascii="宋体" w:hAnsi="宋体"/>
          <w:b/>
          <w:bCs/>
          <w:color w:val="auto"/>
          <w:sz w:val="24"/>
          <w:szCs w:val="24"/>
          <w:highlight w:val="none"/>
        </w:rPr>
        <w:t>、</w:t>
      </w:r>
      <w:r>
        <w:rPr>
          <w:rFonts w:hint="eastAsia" w:ascii="宋体" w:hAnsi="宋体"/>
          <w:b/>
          <w:bCs/>
          <w:color w:val="auto"/>
          <w:sz w:val="24"/>
          <w:szCs w:val="24"/>
          <w:highlight w:val="none"/>
        </w:rPr>
        <w:t>符合性</w:t>
      </w:r>
      <w:r>
        <w:rPr>
          <w:rFonts w:ascii="宋体" w:hAnsi="宋体"/>
          <w:b/>
          <w:bCs/>
          <w:color w:val="auto"/>
          <w:sz w:val="24"/>
          <w:szCs w:val="24"/>
          <w:highlight w:val="none"/>
        </w:rPr>
        <w:t>审查内容</w:t>
      </w:r>
      <w:r>
        <w:rPr>
          <w:rFonts w:hint="eastAsia" w:ascii="宋体" w:hAnsi="宋体"/>
          <w:b/>
          <w:bCs/>
          <w:color w:val="auto"/>
          <w:sz w:val="24"/>
          <w:szCs w:val="24"/>
          <w:highlight w:val="none"/>
        </w:rPr>
        <w:t>”，投标人必须在投标文件中提供相关材料，</w:t>
      </w:r>
      <w:r>
        <w:rPr>
          <w:rFonts w:ascii="宋体" w:hAnsi="宋体"/>
          <w:b/>
          <w:bCs/>
          <w:color w:val="auto"/>
          <w:sz w:val="24"/>
          <w:szCs w:val="24"/>
          <w:highlight w:val="none"/>
        </w:rPr>
        <w:t>若有缺失或无效</w:t>
      </w:r>
      <w:r>
        <w:rPr>
          <w:rFonts w:hint="eastAsia" w:ascii="宋体" w:hAnsi="宋体"/>
          <w:b/>
          <w:bCs/>
          <w:color w:val="auto"/>
          <w:sz w:val="24"/>
          <w:szCs w:val="24"/>
          <w:highlight w:val="none"/>
        </w:rPr>
        <w:t>的</w:t>
      </w:r>
      <w:r>
        <w:rPr>
          <w:rFonts w:ascii="宋体" w:hAnsi="宋体"/>
          <w:b/>
          <w:bCs/>
          <w:color w:val="auto"/>
          <w:sz w:val="24"/>
          <w:szCs w:val="24"/>
          <w:highlight w:val="none"/>
        </w:rPr>
        <w:t>，将导致其投标</w:t>
      </w:r>
      <w:r>
        <w:rPr>
          <w:rFonts w:hint="eastAsia" w:ascii="宋体" w:hAnsi="宋体"/>
          <w:b/>
          <w:bCs/>
          <w:color w:val="auto"/>
          <w:sz w:val="24"/>
          <w:szCs w:val="24"/>
          <w:highlight w:val="none"/>
        </w:rPr>
        <w:t>无效。</w:t>
      </w:r>
    </w:p>
    <w:p w14:paraId="1874BC63">
      <w:pPr>
        <w:shd w:val="clear"/>
        <w:rPr>
          <w:rFonts w:hAnsi="宋体"/>
          <w:b/>
          <w:color w:val="auto"/>
          <w:sz w:val="24"/>
          <w:szCs w:val="24"/>
          <w:highlight w:val="none"/>
        </w:rPr>
      </w:pPr>
      <w:r>
        <w:rPr>
          <w:color w:val="auto"/>
          <w:highlight w:val="none"/>
        </w:rPr>
        <w:br w:type="page"/>
      </w:r>
      <w:bookmarkEnd w:id="301"/>
    </w:p>
    <w:p w14:paraId="4D722B15">
      <w:pPr>
        <w:pStyle w:val="8"/>
        <w:shd w:val="clear"/>
        <w:rPr>
          <w:rFonts w:ascii="宋体" w:hAnsi="宋体" w:eastAsia="宋体" w:cs="宋体"/>
          <w:color w:val="auto"/>
          <w:highlight w:val="none"/>
        </w:rPr>
      </w:pPr>
      <w:bookmarkStart w:id="302" w:name="_Toc5013"/>
      <w:bookmarkStart w:id="303" w:name="_Toc472326799"/>
      <w:bookmarkStart w:id="304" w:name="_Toc511680881"/>
      <w:r>
        <w:rPr>
          <w:rFonts w:hint="eastAsia" w:ascii="宋体" w:hAnsi="宋体" w:eastAsia="宋体" w:cs="宋体"/>
          <w:color w:val="auto"/>
          <w:highlight w:val="none"/>
        </w:rPr>
        <w:t>附件1 开标一览表</w:t>
      </w:r>
      <w:bookmarkEnd w:id="302"/>
      <w:bookmarkEnd w:id="303"/>
      <w:bookmarkEnd w:id="304"/>
    </w:p>
    <w:bookmarkEnd w:id="297"/>
    <w:bookmarkEnd w:id="298"/>
    <w:bookmarkEnd w:id="299"/>
    <w:p w14:paraId="3041BCFC">
      <w:pPr>
        <w:shd w:val="clear"/>
        <w:spacing w:line="400" w:lineRule="exact"/>
        <w:ind w:firstLine="482"/>
        <w:rPr>
          <w:rFonts w:ascii="宋体" w:hAnsi="宋体" w:cs="宋体"/>
          <w:color w:val="auto"/>
          <w:sz w:val="24"/>
          <w:szCs w:val="24"/>
          <w:highlight w:val="none"/>
        </w:rPr>
      </w:pPr>
      <w:bookmarkStart w:id="305" w:name="_Toc13333"/>
      <w:bookmarkStart w:id="306" w:name="_Toc504487339"/>
      <w:bookmarkStart w:id="307" w:name="_Toc500969519"/>
      <w:bookmarkStart w:id="308" w:name="_Toc507155725"/>
      <w:bookmarkStart w:id="309" w:name="_Toc501026326"/>
      <w:bookmarkStart w:id="310" w:name="_Toc10210"/>
      <w:r>
        <w:rPr>
          <w:rFonts w:hint="eastAsia" w:ascii="宋体" w:hAnsi="宋体"/>
          <w:color w:val="auto"/>
          <w:sz w:val="24"/>
          <w:szCs w:val="24"/>
          <w:highlight w:val="none"/>
        </w:rPr>
        <w:t>投标人</w:t>
      </w:r>
      <w:r>
        <w:rPr>
          <w:rFonts w:hint="eastAsia" w:ascii="宋体" w:hAnsi="宋体" w:cs="宋体"/>
          <w:color w:val="auto"/>
          <w:sz w:val="24"/>
          <w:szCs w:val="24"/>
          <w:highlight w:val="none"/>
        </w:rPr>
        <w:t>全称（加盖CA电子签章）：</w:t>
      </w:r>
    </w:p>
    <w:p w14:paraId="5C77D7D1">
      <w:pPr>
        <w:shd w:val="clear"/>
        <w:spacing w:line="400" w:lineRule="exact"/>
        <w:ind w:firstLine="482"/>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2025年度常熟市市级河道保洁服务</w:t>
      </w:r>
    </w:p>
    <w:p w14:paraId="231634CF">
      <w:pPr>
        <w:shd w:val="clear"/>
        <w:spacing w:line="400" w:lineRule="exact"/>
        <w:ind w:firstLine="482"/>
        <w:rPr>
          <w:rFonts w:hint="eastAsia" w:ascii="宋体" w:hAnsi="宋体" w:cs="宋体"/>
          <w:bCs/>
          <w:color w:val="auto"/>
          <w:sz w:val="24"/>
          <w:szCs w:val="24"/>
          <w:highlight w:val="none"/>
          <w:lang w:eastAsia="zh-CN"/>
        </w:rPr>
      </w:pPr>
      <w:r>
        <w:rPr>
          <w:rFonts w:hint="eastAsia" w:ascii="宋体" w:hAnsi="宋体" w:cs="宋体"/>
          <w:color w:val="auto"/>
          <w:sz w:val="24"/>
          <w:szCs w:val="24"/>
          <w:highlight w:val="none"/>
        </w:rPr>
        <w:t>项目编号：</w:t>
      </w:r>
      <w:r>
        <w:rPr>
          <w:rFonts w:hint="eastAsia" w:ascii="宋体" w:hAnsi="宋体" w:cs="宋体"/>
          <w:bCs/>
          <w:color w:val="auto"/>
          <w:sz w:val="24"/>
          <w:szCs w:val="24"/>
          <w:highlight w:val="none"/>
          <w:lang w:eastAsia="zh-CN"/>
        </w:rPr>
        <w:t>JSZC-320581-HXGW-G2024-0101</w:t>
      </w:r>
    </w:p>
    <w:p w14:paraId="041E79F1">
      <w:pPr>
        <w:shd w:val="clear"/>
        <w:spacing w:line="400" w:lineRule="exact"/>
        <w:ind w:firstLine="482"/>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eastAsia="zh-CN"/>
        </w:rPr>
        <w:t>分 包 号：第</w:t>
      </w:r>
      <w:r>
        <w:rPr>
          <w:rFonts w:hint="eastAsia" w:ascii="宋体" w:hAnsi="宋体" w:cs="宋体"/>
          <w:b/>
          <w:bCs w:val="0"/>
          <w:color w:val="auto"/>
          <w:sz w:val="24"/>
          <w:szCs w:val="24"/>
          <w:highlight w:val="none"/>
          <w:u w:val="single"/>
          <w:lang w:val="en-US" w:eastAsia="zh-CN"/>
        </w:rPr>
        <w:t xml:space="preserve">   </w:t>
      </w:r>
      <w:r>
        <w:rPr>
          <w:rFonts w:hint="eastAsia" w:ascii="宋体" w:hAnsi="宋体" w:cs="宋体"/>
          <w:b/>
          <w:bCs w:val="0"/>
          <w:color w:val="auto"/>
          <w:sz w:val="24"/>
          <w:szCs w:val="24"/>
          <w:highlight w:val="none"/>
          <w:lang w:eastAsia="zh-CN"/>
        </w:rPr>
        <w:t>包（适用于第一包～第四包）</w:t>
      </w:r>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14:paraId="73596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4" w:hRule="atLeast"/>
          <w:jc w:val="center"/>
        </w:trPr>
        <w:tc>
          <w:tcPr>
            <w:tcW w:w="8880" w:type="dxa"/>
            <w:vAlign w:val="center"/>
          </w:tcPr>
          <w:p w14:paraId="2D7D152F">
            <w:pPr>
              <w:jc w:val="center"/>
              <w:rPr>
                <w:rFonts w:ascii="宋体" w:hAnsi="宋体" w:cs="宋体"/>
                <w:color w:val="auto"/>
                <w:sz w:val="24"/>
                <w:szCs w:val="24"/>
              </w:rPr>
            </w:pPr>
            <w:r>
              <w:rPr>
                <w:rFonts w:hint="eastAsia" w:ascii="宋体" w:hAnsi="宋体" w:cs="宋体"/>
                <w:color w:val="auto"/>
                <w:sz w:val="24"/>
                <w:szCs w:val="24"/>
              </w:rPr>
              <w:t>报价优惠率</w:t>
            </w:r>
          </w:p>
        </w:tc>
      </w:tr>
      <w:tr w14:paraId="326E2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6" w:hRule="atLeast"/>
          <w:jc w:val="center"/>
        </w:trPr>
        <w:tc>
          <w:tcPr>
            <w:tcW w:w="8880" w:type="dxa"/>
            <w:vAlign w:val="center"/>
          </w:tcPr>
          <w:p w14:paraId="65518F80">
            <w:pPr>
              <w:adjustRightInd w:val="0"/>
              <w:snapToGrid w:val="0"/>
              <w:rPr>
                <w:rFonts w:ascii="宋体" w:hAnsi="宋体" w:cs="宋体"/>
                <w:color w:val="auto"/>
                <w:sz w:val="28"/>
                <w:szCs w:val="28"/>
              </w:rPr>
            </w:pPr>
          </w:p>
          <w:p w14:paraId="4D5E877A">
            <w:pPr>
              <w:adjustRightInd w:val="0"/>
              <w:snapToGrid w:val="0"/>
              <w:rPr>
                <w:rFonts w:ascii="宋体" w:hAnsi="宋体" w:cs="宋体"/>
                <w:color w:val="auto"/>
                <w:sz w:val="28"/>
                <w:szCs w:val="28"/>
                <w:u w:val="single"/>
              </w:rPr>
            </w:pPr>
            <w:r>
              <w:rPr>
                <w:rFonts w:hint="eastAsia" w:ascii="宋体" w:hAnsi="宋体" w:cs="宋体"/>
                <w:color w:val="auto"/>
                <w:sz w:val="28"/>
                <w:szCs w:val="28"/>
                <w:u w:val="single"/>
              </w:rPr>
              <w:t xml:space="preserve">                        %</w:t>
            </w:r>
          </w:p>
          <w:p w14:paraId="5D6EB7B1">
            <w:pPr>
              <w:spacing w:line="500" w:lineRule="exact"/>
              <w:rPr>
                <w:rFonts w:ascii="宋体" w:hAnsi="宋体" w:cs="宋体"/>
                <w:color w:val="auto"/>
                <w:sz w:val="24"/>
              </w:rPr>
            </w:pPr>
          </w:p>
        </w:tc>
      </w:tr>
    </w:tbl>
    <w:p w14:paraId="46FD7B87">
      <w:pPr>
        <w:spacing w:line="440" w:lineRule="exact"/>
        <w:rPr>
          <w:rFonts w:hint="eastAsia" w:ascii="宋体" w:hAnsi="宋体" w:cs="宋体"/>
          <w:bCs/>
          <w:color w:val="auto"/>
          <w:kern w:val="0"/>
          <w:sz w:val="24"/>
          <w:szCs w:val="24"/>
          <w:highlight w:val="none"/>
        </w:rPr>
      </w:pPr>
      <w:r>
        <w:rPr>
          <w:rFonts w:hint="eastAsia" w:ascii="宋体" w:hAnsi="宋体" w:cs="宋体"/>
          <w:color w:val="auto"/>
          <w:sz w:val="24"/>
          <w:szCs w:val="24"/>
          <w:highlight w:val="none"/>
        </w:rPr>
        <w:t>注：</w:t>
      </w:r>
      <w:r>
        <w:rPr>
          <w:rFonts w:hint="eastAsia" w:ascii="宋体" w:hAnsi="宋体" w:cs="宋体"/>
          <w:bCs/>
          <w:color w:val="auto"/>
          <w:kern w:val="0"/>
          <w:sz w:val="24"/>
          <w:szCs w:val="24"/>
          <w:highlight w:val="none"/>
        </w:rPr>
        <w:t>1、“报价优惠率”请保留小数点后两位。</w:t>
      </w:r>
    </w:p>
    <w:p w14:paraId="07D335E2">
      <w:pPr>
        <w:spacing w:line="440" w:lineRule="exact"/>
        <w:ind w:firstLine="480" w:firstLineChars="200"/>
        <w:rPr>
          <w:color w:val="auto"/>
          <w:highlight w:val="none"/>
        </w:rPr>
      </w:pPr>
      <w:r>
        <w:rPr>
          <w:rFonts w:hint="eastAsia" w:ascii="宋体" w:hAnsi="宋体" w:cs="宋体"/>
          <w:bCs/>
          <w:color w:val="auto"/>
          <w:kern w:val="0"/>
          <w:sz w:val="24"/>
          <w:szCs w:val="24"/>
          <w:highlight w:val="none"/>
        </w:rPr>
        <w:t>2、投标报价优惠率均不得低于0%，否则将作无效投标处理。</w:t>
      </w:r>
      <w:r>
        <w:rPr>
          <w:rFonts w:hint="eastAsia" w:ascii="宋体" w:hAnsi="宋体" w:eastAsia="宋体" w:cs="宋体"/>
          <w:color w:val="auto"/>
          <w:sz w:val="24"/>
          <w:szCs w:val="24"/>
          <w:highlight w:val="none"/>
        </w:rPr>
        <w:br w:type="page"/>
      </w:r>
    </w:p>
    <w:p w14:paraId="5595DB62">
      <w:pPr>
        <w:pStyle w:val="8"/>
        <w:shd w:val="clear"/>
        <w:rPr>
          <w:rFonts w:hint="eastAsia" w:ascii="宋体" w:hAnsi="宋体" w:eastAsia="宋体" w:cs="宋体"/>
          <w:b/>
          <w:color w:val="auto"/>
          <w:kern w:val="2"/>
          <w:sz w:val="28"/>
          <w:szCs w:val="28"/>
        </w:rPr>
      </w:pPr>
      <w:bookmarkStart w:id="311" w:name="_Toc1320"/>
      <w:bookmarkStart w:id="312" w:name="_Toc13787"/>
      <w:r>
        <w:rPr>
          <w:rFonts w:hint="eastAsia" w:ascii="宋体" w:hAnsi="宋体" w:eastAsia="宋体" w:cs="宋体"/>
          <w:b/>
          <w:bCs/>
          <w:color w:val="auto"/>
          <w:sz w:val="28"/>
          <w:szCs w:val="28"/>
          <w:highlight w:val="none"/>
        </w:rPr>
        <w:t xml:space="preserve">附件2 </w:t>
      </w:r>
      <w:bookmarkEnd w:id="311"/>
      <w:r>
        <w:rPr>
          <w:rFonts w:hint="eastAsia" w:ascii="宋体" w:hAnsi="宋体" w:eastAsia="宋体" w:cs="宋体"/>
          <w:b/>
          <w:color w:val="auto"/>
          <w:kern w:val="2"/>
          <w:sz w:val="28"/>
          <w:szCs w:val="28"/>
        </w:rPr>
        <w:t>报价明细表</w:t>
      </w:r>
      <w:bookmarkEnd w:id="312"/>
    </w:p>
    <w:p w14:paraId="2A858A3F">
      <w:pPr>
        <w:pStyle w:val="52"/>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分包号</w:t>
      </w:r>
      <w:r>
        <w:rPr>
          <w:rFonts w:hint="eastAsia" w:ascii="宋体" w:hAnsi="宋体" w:eastAsia="宋体" w:cs="宋体"/>
          <w:color w:val="auto"/>
          <w:sz w:val="24"/>
          <w:szCs w:val="24"/>
        </w:rPr>
        <w:t>：</w:t>
      </w:r>
    </w:p>
    <w:tbl>
      <w:tblPr>
        <w:tblStyle w:val="54"/>
        <w:tblW w:w="0" w:type="auto"/>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3039"/>
        <w:gridCol w:w="984"/>
        <w:gridCol w:w="2376"/>
        <w:gridCol w:w="2106"/>
      </w:tblGrid>
      <w:tr w14:paraId="087AE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8" w:hRule="atLeast"/>
        </w:trPr>
        <w:tc>
          <w:tcPr>
            <w:tcW w:w="840" w:type="dxa"/>
            <w:noWrap w:val="0"/>
            <w:vAlign w:val="center"/>
          </w:tcPr>
          <w:p w14:paraId="2B4393D7">
            <w:pPr>
              <w:spacing w:after="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序号</w:t>
            </w:r>
          </w:p>
        </w:tc>
        <w:tc>
          <w:tcPr>
            <w:tcW w:w="3039" w:type="dxa"/>
            <w:noWrap w:val="0"/>
            <w:vAlign w:val="center"/>
          </w:tcPr>
          <w:p w14:paraId="1999A49E">
            <w:pPr>
              <w:spacing w:after="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投入项目及费用名称</w:t>
            </w:r>
          </w:p>
        </w:tc>
        <w:tc>
          <w:tcPr>
            <w:tcW w:w="984" w:type="dxa"/>
            <w:noWrap w:val="0"/>
            <w:vAlign w:val="center"/>
          </w:tcPr>
          <w:p w14:paraId="753AAB99">
            <w:pPr>
              <w:spacing w:after="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数量</w:t>
            </w:r>
          </w:p>
        </w:tc>
        <w:tc>
          <w:tcPr>
            <w:tcW w:w="2376" w:type="dxa"/>
            <w:noWrap w:val="0"/>
            <w:vAlign w:val="center"/>
          </w:tcPr>
          <w:p w14:paraId="1543A9C3">
            <w:pPr>
              <w:spacing w:after="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分项金额</w:t>
            </w:r>
          </w:p>
          <w:p w14:paraId="341212F9">
            <w:pPr>
              <w:spacing w:after="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（人民币元）</w:t>
            </w:r>
          </w:p>
        </w:tc>
        <w:tc>
          <w:tcPr>
            <w:tcW w:w="2106" w:type="dxa"/>
            <w:noWrap w:val="0"/>
            <w:vAlign w:val="center"/>
          </w:tcPr>
          <w:p w14:paraId="4500DAF1">
            <w:pPr>
              <w:spacing w:after="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备注</w:t>
            </w:r>
          </w:p>
        </w:tc>
      </w:tr>
      <w:tr w14:paraId="5F1C3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trPr>
        <w:tc>
          <w:tcPr>
            <w:tcW w:w="840" w:type="dxa"/>
            <w:noWrap w:val="0"/>
            <w:vAlign w:val="center"/>
          </w:tcPr>
          <w:p w14:paraId="3E90D1FB">
            <w:pPr>
              <w:spacing w:after="0"/>
              <w:jc w:val="center"/>
              <w:rPr>
                <w:rFonts w:hint="eastAsia" w:ascii="宋体" w:hAnsi="宋体" w:eastAsia="宋体" w:cs="宋体"/>
                <w:b/>
                <w:bCs w:val="0"/>
                <w:color w:val="auto"/>
                <w:sz w:val="24"/>
                <w:szCs w:val="24"/>
              </w:rPr>
            </w:pPr>
            <w:r>
              <w:rPr>
                <w:rFonts w:hint="eastAsia" w:ascii="宋体" w:hAnsi="宋体" w:eastAsia="宋体" w:cs="宋体"/>
                <w:color w:val="auto"/>
                <w:sz w:val="24"/>
                <w:szCs w:val="24"/>
              </w:rPr>
              <w:t>1</w:t>
            </w:r>
          </w:p>
        </w:tc>
        <w:tc>
          <w:tcPr>
            <w:tcW w:w="3039" w:type="dxa"/>
            <w:noWrap w:val="0"/>
            <w:vAlign w:val="center"/>
          </w:tcPr>
          <w:p w14:paraId="4D1E5A8D">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人员总费用</w:t>
            </w:r>
          </w:p>
        </w:tc>
        <w:tc>
          <w:tcPr>
            <w:tcW w:w="984" w:type="dxa"/>
            <w:noWrap w:val="0"/>
            <w:vAlign w:val="center"/>
          </w:tcPr>
          <w:p w14:paraId="0D1F9393">
            <w:pPr>
              <w:spacing w:after="0"/>
              <w:jc w:val="center"/>
              <w:rPr>
                <w:rFonts w:hint="eastAsia" w:ascii="宋体" w:hAnsi="宋体" w:eastAsia="宋体" w:cs="宋体"/>
                <w:color w:val="auto"/>
                <w:sz w:val="24"/>
                <w:szCs w:val="24"/>
              </w:rPr>
            </w:pPr>
          </w:p>
        </w:tc>
        <w:tc>
          <w:tcPr>
            <w:tcW w:w="2376" w:type="dxa"/>
            <w:noWrap w:val="0"/>
            <w:vAlign w:val="center"/>
          </w:tcPr>
          <w:p w14:paraId="546BDEF6">
            <w:pPr>
              <w:spacing w:after="0"/>
              <w:jc w:val="center"/>
              <w:rPr>
                <w:rFonts w:hint="eastAsia" w:ascii="宋体" w:hAnsi="宋体" w:eastAsia="宋体" w:cs="宋体"/>
                <w:color w:val="auto"/>
                <w:sz w:val="24"/>
                <w:szCs w:val="24"/>
              </w:rPr>
            </w:pPr>
          </w:p>
        </w:tc>
        <w:tc>
          <w:tcPr>
            <w:tcW w:w="2106" w:type="dxa"/>
            <w:noWrap w:val="0"/>
            <w:vAlign w:val="center"/>
          </w:tcPr>
          <w:p w14:paraId="172CEEAA">
            <w:pPr>
              <w:spacing w:after="0"/>
              <w:jc w:val="left"/>
              <w:rPr>
                <w:rFonts w:hint="eastAsia" w:ascii="宋体" w:hAnsi="宋体" w:eastAsia="宋体" w:cs="宋体"/>
                <w:color w:val="auto"/>
                <w:sz w:val="24"/>
                <w:szCs w:val="24"/>
              </w:rPr>
            </w:pPr>
            <w:r>
              <w:rPr>
                <w:rFonts w:hint="eastAsia" w:ascii="宋体" w:hAnsi="宋体" w:eastAsia="宋体" w:cs="宋体"/>
                <w:color w:val="auto"/>
                <w:sz w:val="24"/>
                <w:szCs w:val="24"/>
              </w:rPr>
              <w:t>请根据“第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包人员费用附表”列明测算方式及明细</w:t>
            </w:r>
          </w:p>
        </w:tc>
      </w:tr>
      <w:tr w14:paraId="5C8D8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trPr>
        <w:tc>
          <w:tcPr>
            <w:tcW w:w="840" w:type="dxa"/>
            <w:noWrap w:val="0"/>
            <w:vAlign w:val="center"/>
          </w:tcPr>
          <w:p w14:paraId="3DF1F4A1">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3039" w:type="dxa"/>
            <w:noWrap w:val="0"/>
            <w:vAlign w:val="center"/>
          </w:tcPr>
          <w:p w14:paraId="01BBA50F">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船只总费用</w:t>
            </w:r>
          </w:p>
        </w:tc>
        <w:tc>
          <w:tcPr>
            <w:tcW w:w="984" w:type="dxa"/>
            <w:noWrap w:val="0"/>
            <w:vAlign w:val="center"/>
          </w:tcPr>
          <w:p w14:paraId="350C0CB8">
            <w:pPr>
              <w:spacing w:after="0"/>
              <w:ind w:firstLine="240" w:firstLineChars="100"/>
              <w:rPr>
                <w:rFonts w:hint="eastAsia" w:ascii="宋体" w:hAnsi="宋体" w:eastAsia="宋体" w:cs="宋体"/>
                <w:color w:val="auto"/>
                <w:sz w:val="24"/>
                <w:szCs w:val="24"/>
              </w:rPr>
            </w:pPr>
          </w:p>
        </w:tc>
        <w:tc>
          <w:tcPr>
            <w:tcW w:w="2376" w:type="dxa"/>
            <w:noWrap w:val="0"/>
            <w:vAlign w:val="center"/>
          </w:tcPr>
          <w:p w14:paraId="7B71E53C">
            <w:pPr>
              <w:spacing w:after="0"/>
              <w:jc w:val="center"/>
              <w:rPr>
                <w:rFonts w:hint="eastAsia" w:ascii="宋体" w:hAnsi="宋体" w:eastAsia="宋体" w:cs="宋体"/>
                <w:color w:val="auto"/>
                <w:sz w:val="24"/>
                <w:szCs w:val="24"/>
              </w:rPr>
            </w:pPr>
          </w:p>
        </w:tc>
        <w:tc>
          <w:tcPr>
            <w:tcW w:w="2106" w:type="dxa"/>
            <w:noWrap w:val="0"/>
            <w:vAlign w:val="center"/>
          </w:tcPr>
          <w:p w14:paraId="31213ED2">
            <w:pPr>
              <w:spacing w:after="0"/>
              <w:jc w:val="left"/>
              <w:rPr>
                <w:rFonts w:hint="eastAsia" w:ascii="宋体" w:hAnsi="宋体" w:eastAsia="宋体" w:cs="宋体"/>
                <w:color w:val="auto"/>
                <w:sz w:val="24"/>
                <w:szCs w:val="24"/>
              </w:rPr>
            </w:pPr>
            <w:r>
              <w:rPr>
                <w:rFonts w:hint="eastAsia" w:ascii="宋体" w:hAnsi="宋体" w:eastAsia="宋体" w:cs="宋体"/>
                <w:color w:val="auto"/>
                <w:sz w:val="24"/>
                <w:szCs w:val="24"/>
              </w:rPr>
              <w:t>请根据“第</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包船只费用附表”列明测算方式及明细</w:t>
            </w:r>
          </w:p>
        </w:tc>
      </w:tr>
      <w:tr w14:paraId="1EE2F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0" w:type="dxa"/>
            <w:noWrap w:val="0"/>
            <w:vAlign w:val="center"/>
          </w:tcPr>
          <w:p w14:paraId="3956184F">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3039" w:type="dxa"/>
            <w:noWrap w:val="0"/>
            <w:vAlign w:val="center"/>
          </w:tcPr>
          <w:p w14:paraId="3EDF41EB">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保洁费用</w:t>
            </w:r>
          </w:p>
        </w:tc>
        <w:tc>
          <w:tcPr>
            <w:tcW w:w="984" w:type="dxa"/>
            <w:noWrap w:val="0"/>
            <w:vAlign w:val="center"/>
          </w:tcPr>
          <w:p w14:paraId="36AB46DB">
            <w:pPr>
              <w:pStyle w:val="31"/>
              <w:adjustRightInd/>
              <w:spacing w:after="0" w:line="240" w:lineRule="auto"/>
              <w:textAlignment w:val="auto"/>
              <w:rPr>
                <w:rFonts w:hint="eastAsia" w:ascii="宋体" w:hAnsi="宋体" w:eastAsia="宋体" w:cs="宋体"/>
                <w:bCs/>
                <w:color w:val="auto"/>
                <w:sz w:val="24"/>
                <w:szCs w:val="24"/>
                <w:lang w:val="en-US" w:eastAsia="zh-CN"/>
              </w:rPr>
            </w:pPr>
          </w:p>
        </w:tc>
        <w:tc>
          <w:tcPr>
            <w:tcW w:w="2376" w:type="dxa"/>
            <w:noWrap w:val="0"/>
            <w:vAlign w:val="center"/>
          </w:tcPr>
          <w:p w14:paraId="23E62EF4">
            <w:pPr>
              <w:pStyle w:val="31"/>
              <w:spacing w:after="0"/>
              <w:jc w:val="center"/>
              <w:rPr>
                <w:rFonts w:hint="eastAsia" w:ascii="宋体" w:hAnsi="宋体" w:eastAsia="宋体" w:cs="宋体"/>
                <w:bCs/>
                <w:color w:val="auto"/>
                <w:sz w:val="24"/>
                <w:szCs w:val="24"/>
                <w:lang w:val="en-US" w:eastAsia="zh-CN"/>
              </w:rPr>
            </w:pPr>
          </w:p>
        </w:tc>
        <w:tc>
          <w:tcPr>
            <w:tcW w:w="2106" w:type="dxa"/>
            <w:noWrap w:val="0"/>
            <w:vAlign w:val="center"/>
          </w:tcPr>
          <w:p w14:paraId="6C4C4B82">
            <w:pPr>
              <w:pStyle w:val="31"/>
              <w:spacing w:after="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请列明测算方式及明细</w:t>
            </w:r>
          </w:p>
        </w:tc>
      </w:tr>
      <w:tr w14:paraId="13700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7" w:hRule="atLeast"/>
        </w:trPr>
        <w:tc>
          <w:tcPr>
            <w:tcW w:w="840" w:type="dxa"/>
            <w:noWrap w:val="0"/>
            <w:vAlign w:val="center"/>
          </w:tcPr>
          <w:p w14:paraId="4CC50C8E">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3039" w:type="dxa"/>
            <w:noWrap w:val="0"/>
            <w:vAlign w:val="center"/>
          </w:tcPr>
          <w:p w14:paraId="33A9B93C">
            <w:pPr>
              <w:pStyle w:val="177"/>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其他费用</w:t>
            </w:r>
          </w:p>
        </w:tc>
        <w:tc>
          <w:tcPr>
            <w:tcW w:w="984" w:type="dxa"/>
            <w:noWrap w:val="0"/>
            <w:vAlign w:val="center"/>
          </w:tcPr>
          <w:p w14:paraId="0EC3A86F">
            <w:pPr>
              <w:spacing w:after="0"/>
              <w:rPr>
                <w:rFonts w:hint="eastAsia" w:ascii="宋体" w:hAnsi="宋体" w:eastAsia="宋体" w:cs="宋体"/>
                <w:color w:val="auto"/>
                <w:sz w:val="24"/>
                <w:szCs w:val="24"/>
              </w:rPr>
            </w:pPr>
          </w:p>
        </w:tc>
        <w:tc>
          <w:tcPr>
            <w:tcW w:w="2376" w:type="dxa"/>
            <w:noWrap w:val="0"/>
            <w:vAlign w:val="center"/>
          </w:tcPr>
          <w:p w14:paraId="6851AC90">
            <w:pPr>
              <w:spacing w:after="0"/>
              <w:jc w:val="center"/>
              <w:rPr>
                <w:rFonts w:hint="eastAsia" w:ascii="宋体" w:hAnsi="宋体" w:eastAsia="宋体" w:cs="宋体"/>
                <w:color w:val="auto"/>
                <w:sz w:val="24"/>
                <w:szCs w:val="24"/>
              </w:rPr>
            </w:pPr>
          </w:p>
        </w:tc>
        <w:tc>
          <w:tcPr>
            <w:tcW w:w="2106" w:type="dxa"/>
            <w:noWrap w:val="0"/>
            <w:vAlign w:val="center"/>
          </w:tcPr>
          <w:p w14:paraId="7A92936B">
            <w:pPr>
              <w:spacing w:after="0"/>
              <w:jc w:val="left"/>
              <w:rPr>
                <w:rFonts w:hint="eastAsia" w:ascii="宋体" w:hAnsi="宋体" w:eastAsia="宋体" w:cs="宋体"/>
                <w:color w:val="auto"/>
                <w:sz w:val="24"/>
                <w:szCs w:val="24"/>
              </w:rPr>
            </w:pPr>
          </w:p>
        </w:tc>
      </w:tr>
      <w:tr w14:paraId="42B3C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trPr>
        <w:tc>
          <w:tcPr>
            <w:tcW w:w="840" w:type="dxa"/>
            <w:noWrap w:val="0"/>
            <w:vAlign w:val="center"/>
          </w:tcPr>
          <w:p w14:paraId="1739C168">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3039" w:type="dxa"/>
            <w:noWrap w:val="0"/>
            <w:vAlign w:val="center"/>
          </w:tcPr>
          <w:p w14:paraId="3E28D674">
            <w:pPr>
              <w:pStyle w:val="177"/>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利润及管理费</w:t>
            </w:r>
          </w:p>
        </w:tc>
        <w:tc>
          <w:tcPr>
            <w:tcW w:w="984" w:type="dxa"/>
            <w:noWrap w:val="0"/>
            <w:vAlign w:val="center"/>
          </w:tcPr>
          <w:p w14:paraId="6F394683">
            <w:pPr>
              <w:spacing w:after="0"/>
              <w:rPr>
                <w:rFonts w:hint="eastAsia" w:ascii="宋体" w:hAnsi="宋体" w:eastAsia="宋体" w:cs="宋体"/>
                <w:color w:val="auto"/>
                <w:sz w:val="24"/>
                <w:szCs w:val="24"/>
              </w:rPr>
            </w:pPr>
          </w:p>
        </w:tc>
        <w:tc>
          <w:tcPr>
            <w:tcW w:w="2376" w:type="dxa"/>
            <w:noWrap w:val="0"/>
            <w:vAlign w:val="center"/>
          </w:tcPr>
          <w:p w14:paraId="6722F59A">
            <w:pPr>
              <w:spacing w:after="0"/>
              <w:jc w:val="center"/>
              <w:rPr>
                <w:rFonts w:hint="eastAsia" w:ascii="宋体" w:hAnsi="宋体" w:eastAsia="宋体" w:cs="宋体"/>
                <w:color w:val="auto"/>
                <w:sz w:val="24"/>
                <w:szCs w:val="24"/>
              </w:rPr>
            </w:pPr>
          </w:p>
        </w:tc>
        <w:tc>
          <w:tcPr>
            <w:tcW w:w="2106" w:type="dxa"/>
            <w:noWrap w:val="0"/>
            <w:vAlign w:val="center"/>
          </w:tcPr>
          <w:p w14:paraId="109455B3">
            <w:pPr>
              <w:spacing w:after="0"/>
              <w:jc w:val="left"/>
              <w:rPr>
                <w:rFonts w:hint="eastAsia" w:ascii="宋体" w:hAnsi="宋体" w:eastAsia="宋体" w:cs="宋体"/>
                <w:color w:val="auto"/>
                <w:sz w:val="24"/>
                <w:szCs w:val="24"/>
              </w:rPr>
            </w:pPr>
          </w:p>
        </w:tc>
      </w:tr>
      <w:tr w14:paraId="78967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5" w:hRule="atLeast"/>
        </w:trPr>
        <w:tc>
          <w:tcPr>
            <w:tcW w:w="840" w:type="dxa"/>
            <w:noWrap w:val="0"/>
            <w:vAlign w:val="center"/>
          </w:tcPr>
          <w:p w14:paraId="43775908">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3039" w:type="dxa"/>
            <w:noWrap w:val="0"/>
            <w:vAlign w:val="center"/>
          </w:tcPr>
          <w:p w14:paraId="7A8BF1F8">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税费</w:t>
            </w:r>
          </w:p>
        </w:tc>
        <w:tc>
          <w:tcPr>
            <w:tcW w:w="984" w:type="dxa"/>
            <w:noWrap w:val="0"/>
            <w:vAlign w:val="center"/>
          </w:tcPr>
          <w:p w14:paraId="0E5D0DE7">
            <w:pPr>
              <w:pStyle w:val="177"/>
              <w:spacing w:after="0"/>
              <w:rPr>
                <w:rFonts w:hint="eastAsia" w:ascii="宋体" w:hAnsi="宋体" w:eastAsia="宋体" w:cs="宋体"/>
                <w:color w:val="auto"/>
                <w:sz w:val="24"/>
                <w:szCs w:val="24"/>
              </w:rPr>
            </w:pPr>
          </w:p>
        </w:tc>
        <w:tc>
          <w:tcPr>
            <w:tcW w:w="2376" w:type="dxa"/>
            <w:noWrap w:val="0"/>
            <w:vAlign w:val="center"/>
          </w:tcPr>
          <w:p w14:paraId="23FE8D7A">
            <w:pPr>
              <w:pStyle w:val="177"/>
              <w:spacing w:after="0"/>
              <w:jc w:val="center"/>
              <w:rPr>
                <w:rFonts w:hint="eastAsia" w:ascii="宋体" w:hAnsi="宋体" w:eastAsia="宋体" w:cs="宋体"/>
                <w:color w:val="auto"/>
                <w:sz w:val="24"/>
                <w:szCs w:val="24"/>
              </w:rPr>
            </w:pPr>
          </w:p>
        </w:tc>
        <w:tc>
          <w:tcPr>
            <w:tcW w:w="2106" w:type="dxa"/>
            <w:noWrap w:val="0"/>
            <w:vAlign w:val="center"/>
          </w:tcPr>
          <w:p w14:paraId="3462AD32">
            <w:pPr>
              <w:pStyle w:val="177"/>
              <w:spacing w:after="0"/>
              <w:jc w:val="left"/>
              <w:rPr>
                <w:rFonts w:hint="eastAsia" w:ascii="宋体" w:hAnsi="宋体" w:eastAsia="宋体" w:cs="宋体"/>
                <w:color w:val="auto"/>
                <w:sz w:val="24"/>
                <w:szCs w:val="24"/>
              </w:rPr>
            </w:pPr>
            <w:r>
              <w:rPr>
                <w:rFonts w:hint="eastAsia" w:ascii="宋体" w:hAnsi="宋体" w:eastAsia="宋体" w:cs="宋体"/>
                <w:color w:val="auto"/>
                <w:sz w:val="24"/>
                <w:szCs w:val="24"/>
              </w:rPr>
              <w:t>请列明测算方式及明细</w:t>
            </w:r>
          </w:p>
        </w:tc>
      </w:tr>
      <w:tr w14:paraId="69329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5" w:hRule="atLeast"/>
        </w:trPr>
        <w:tc>
          <w:tcPr>
            <w:tcW w:w="840" w:type="dxa"/>
            <w:noWrap w:val="0"/>
            <w:vAlign w:val="center"/>
          </w:tcPr>
          <w:p w14:paraId="76487CEC">
            <w:pPr>
              <w:spacing w:after="0"/>
              <w:jc w:val="center"/>
              <w:rPr>
                <w:rFonts w:hint="eastAsia" w:ascii="宋体" w:hAnsi="宋体" w:eastAsia="宋体" w:cs="宋体"/>
                <w:color w:val="auto"/>
                <w:sz w:val="24"/>
                <w:szCs w:val="24"/>
              </w:rPr>
            </w:pPr>
          </w:p>
        </w:tc>
        <w:tc>
          <w:tcPr>
            <w:tcW w:w="3039" w:type="dxa"/>
            <w:noWrap w:val="0"/>
            <w:vAlign w:val="center"/>
          </w:tcPr>
          <w:p w14:paraId="0F5F59A4">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984" w:type="dxa"/>
            <w:noWrap w:val="0"/>
            <w:vAlign w:val="center"/>
          </w:tcPr>
          <w:p w14:paraId="3C046451">
            <w:pPr>
              <w:pStyle w:val="177"/>
              <w:spacing w:after="0"/>
              <w:rPr>
                <w:rFonts w:hint="eastAsia" w:ascii="宋体" w:hAnsi="宋体" w:eastAsia="宋体" w:cs="宋体"/>
                <w:color w:val="auto"/>
                <w:sz w:val="24"/>
                <w:szCs w:val="24"/>
              </w:rPr>
            </w:pPr>
          </w:p>
        </w:tc>
        <w:tc>
          <w:tcPr>
            <w:tcW w:w="2376" w:type="dxa"/>
            <w:noWrap w:val="0"/>
            <w:vAlign w:val="center"/>
          </w:tcPr>
          <w:p w14:paraId="62C507F6">
            <w:pPr>
              <w:pStyle w:val="177"/>
              <w:spacing w:after="0"/>
              <w:jc w:val="center"/>
              <w:rPr>
                <w:rFonts w:hint="eastAsia" w:ascii="宋体" w:hAnsi="宋体" w:eastAsia="宋体" w:cs="宋体"/>
                <w:color w:val="auto"/>
                <w:sz w:val="24"/>
                <w:szCs w:val="24"/>
              </w:rPr>
            </w:pPr>
          </w:p>
        </w:tc>
        <w:tc>
          <w:tcPr>
            <w:tcW w:w="2106" w:type="dxa"/>
            <w:noWrap w:val="0"/>
            <w:vAlign w:val="center"/>
          </w:tcPr>
          <w:p w14:paraId="57C2FBE2">
            <w:pPr>
              <w:pStyle w:val="177"/>
              <w:spacing w:after="0"/>
              <w:jc w:val="center"/>
              <w:rPr>
                <w:rFonts w:hint="eastAsia" w:ascii="宋体" w:hAnsi="宋体" w:eastAsia="宋体" w:cs="宋体"/>
                <w:color w:val="auto"/>
                <w:sz w:val="24"/>
                <w:szCs w:val="24"/>
              </w:rPr>
            </w:pPr>
          </w:p>
        </w:tc>
      </w:tr>
      <w:tr w14:paraId="4F3B0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5" w:hRule="atLeast"/>
        </w:trPr>
        <w:tc>
          <w:tcPr>
            <w:tcW w:w="4863" w:type="dxa"/>
            <w:gridSpan w:val="3"/>
            <w:noWrap w:val="0"/>
            <w:vAlign w:val="center"/>
          </w:tcPr>
          <w:p w14:paraId="50021865">
            <w:pPr>
              <w:spacing w:after="0"/>
              <w:jc w:val="center"/>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合计费用（元）</w:t>
            </w:r>
          </w:p>
        </w:tc>
        <w:tc>
          <w:tcPr>
            <w:tcW w:w="4482" w:type="dxa"/>
            <w:gridSpan w:val="2"/>
            <w:noWrap w:val="0"/>
            <w:vAlign w:val="center"/>
          </w:tcPr>
          <w:p w14:paraId="4C1B4E4C">
            <w:pPr>
              <w:spacing w:after="0"/>
              <w:rPr>
                <w:rFonts w:hint="eastAsia" w:ascii="宋体" w:hAnsi="宋体" w:eastAsia="宋体" w:cs="宋体"/>
                <w:color w:val="auto"/>
                <w:sz w:val="24"/>
                <w:szCs w:val="24"/>
                <w:highlight w:val="none"/>
              </w:rPr>
            </w:pPr>
          </w:p>
        </w:tc>
      </w:tr>
    </w:tbl>
    <w:p w14:paraId="59D2C8D1">
      <w:pPr>
        <w:widowControl w:val="0"/>
        <w:spacing w:after="0" w:line="460" w:lineRule="exact"/>
        <w:rPr>
          <w:rFonts w:hint="eastAsia" w:ascii="宋体" w:hAnsi="宋体" w:eastAsia="宋体" w:cs="宋体"/>
          <w:bCs w:val="0"/>
          <w:color w:val="auto"/>
          <w:kern w:val="2"/>
          <w:sz w:val="24"/>
          <w:szCs w:val="24"/>
        </w:rPr>
      </w:pPr>
      <w:r>
        <w:rPr>
          <w:rFonts w:hint="eastAsia" w:ascii="宋体" w:hAnsi="宋体" w:eastAsia="宋体" w:cs="宋体"/>
          <w:bCs w:val="0"/>
          <w:color w:val="auto"/>
          <w:kern w:val="2"/>
          <w:sz w:val="24"/>
          <w:szCs w:val="24"/>
        </w:rPr>
        <w:t>注：1、投标人应将对应分包所投入的有关费用情况分类别依次填报在上述表格中。</w:t>
      </w:r>
    </w:p>
    <w:p w14:paraId="68ED770E">
      <w:pPr>
        <w:widowControl w:val="0"/>
        <w:spacing w:after="0" w:line="460" w:lineRule="exact"/>
        <w:ind w:firstLine="480" w:firstLineChars="200"/>
        <w:rPr>
          <w:rFonts w:hint="eastAsia" w:ascii="宋体" w:hAnsi="宋体" w:eastAsia="宋体" w:cs="宋体"/>
          <w:bCs w:val="0"/>
          <w:color w:val="auto"/>
          <w:kern w:val="2"/>
          <w:sz w:val="24"/>
          <w:szCs w:val="24"/>
        </w:rPr>
      </w:pPr>
      <w:r>
        <w:rPr>
          <w:rFonts w:hint="eastAsia" w:ascii="宋体" w:hAnsi="宋体" w:eastAsia="宋体" w:cs="宋体"/>
          <w:bCs w:val="0"/>
          <w:color w:val="auto"/>
          <w:kern w:val="2"/>
          <w:sz w:val="24"/>
          <w:szCs w:val="24"/>
        </w:rPr>
        <w:t>2、表中“合计费用</w:t>
      </w:r>
      <w:r>
        <w:rPr>
          <w:rFonts w:hint="eastAsia" w:ascii="宋体" w:hAnsi="宋体" w:eastAsia="宋体" w:cs="宋体"/>
          <w:bCs w:val="0"/>
          <w:color w:val="auto"/>
          <w:kern w:val="2"/>
          <w:sz w:val="24"/>
          <w:szCs w:val="24"/>
          <w:lang w:eastAsia="zh-CN"/>
        </w:rPr>
        <w:t>（</w:t>
      </w:r>
      <w:r>
        <w:rPr>
          <w:rFonts w:hint="eastAsia" w:ascii="宋体" w:hAnsi="宋体" w:eastAsia="宋体" w:cs="宋体"/>
          <w:bCs w:val="0"/>
          <w:color w:val="auto"/>
          <w:kern w:val="2"/>
          <w:sz w:val="24"/>
          <w:szCs w:val="24"/>
          <w:lang w:val="en-US" w:eastAsia="zh-CN"/>
        </w:rPr>
        <w:t>元</w:t>
      </w:r>
      <w:r>
        <w:rPr>
          <w:rFonts w:hint="eastAsia" w:ascii="宋体" w:hAnsi="宋体" w:eastAsia="宋体" w:cs="宋体"/>
          <w:bCs w:val="0"/>
          <w:color w:val="auto"/>
          <w:kern w:val="2"/>
          <w:sz w:val="24"/>
          <w:szCs w:val="24"/>
          <w:lang w:eastAsia="zh-CN"/>
        </w:rPr>
        <w:t>）</w:t>
      </w:r>
      <w:r>
        <w:rPr>
          <w:rFonts w:hint="eastAsia" w:ascii="宋体" w:hAnsi="宋体" w:eastAsia="宋体" w:cs="宋体"/>
          <w:bCs w:val="0"/>
          <w:color w:val="auto"/>
          <w:kern w:val="2"/>
          <w:sz w:val="24"/>
          <w:szCs w:val="24"/>
        </w:rPr>
        <w:t>”应与</w:t>
      </w:r>
      <w:r>
        <w:rPr>
          <w:rFonts w:hint="eastAsia" w:ascii="宋体" w:hAnsi="宋体" w:eastAsia="宋体" w:cs="宋体"/>
          <w:b/>
          <w:bCs w:val="0"/>
          <w:color w:val="auto"/>
          <w:kern w:val="2"/>
          <w:sz w:val="24"/>
          <w:szCs w:val="24"/>
        </w:rPr>
        <w:t>对应分包采购预算乘以</w:t>
      </w:r>
      <w:r>
        <w:rPr>
          <w:rFonts w:hint="eastAsia" w:ascii="宋体" w:hAnsi="宋体" w:eastAsia="宋体" w:cs="宋体"/>
          <w:b/>
          <w:bCs w:val="0"/>
          <w:color w:val="auto"/>
          <w:kern w:val="2"/>
          <w:sz w:val="24"/>
          <w:szCs w:val="24"/>
          <w:lang w:eastAsia="zh-CN"/>
        </w:rPr>
        <w:t>（</w:t>
      </w:r>
      <w:r>
        <w:rPr>
          <w:rFonts w:hint="eastAsia" w:ascii="宋体" w:hAnsi="宋体" w:eastAsia="宋体" w:cs="宋体"/>
          <w:b/>
          <w:bCs w:val="0"/>
          <w:color w:val="auto"/>
          <w:kern w:val="2"/>
          <w:sz w:val="24"/>
          <w:szCs w:val="24"/>
          <w:lang w:val="en-US" w:eastAsia="zh-CN"/>
        </w:rPr>
        <w:t>1-报价</w:t>
      </w:r>
      <w:r>
        <w:rPr>
          <w:rFonts w:hint="eastAsia" w:ascii="宋体" w:hAnsi="宋体" w:eastAsia="宋体" w:cs="宋体"/>
          <w:b/>
          <w:bCs w:val="0"/>
          <w:color w:val="auto"/>
          <w:kern w:val="2"/>
          <w:sz w:val="24"/>
          <w:szCs w:val="24"/>
          <w:lang w:eastAsia="zh-CN"/>
        </w:rPr>
        <w:t>优惠率）</w:t>
      </w:r>
      <w:r>
        <w:rPr>
          <w:rFonts w:hint="eastAsia" w:ascii="宋体" w:hAnsi="宋体" w:eastAsia="宋体" w:cs="宋体"/>
          <w:bCs w:val="0"/>
          <w:color w:val="auto"/>
          <w:kern w:val="2"/>
          <w:sz w:val="24"/>
          <w:szCs w:val="24"/>
        </w:rPr>
        <w:t>的一致。</w:t>
      </w:r>
    </w:p>
    <w:p w14:paraId="39E45208">
      <w:pPr>
        <w:widowControl w:val="0"/>
        <w:spacing w:after="0" w:line="460" w:lineRule="exact"/>
        <w:ind w:firstLine="480" w:firstLineChars="200"/>
        <w:rPr>
          <w:rFonts w:hint="eastAsia" w:ascii="宋体" w:hAnsi="宋体" w:eastAsia="宋体" w:cs="宋体"/>
          <w:bCs w:val="0"/>
          <w:color w:val="auto"/>
          <w:kern w:val="2"/>
          <w:sz w:val="24"/>
          <w:szCs w:val="24"/>
        </w:rPr>
      </w:pPr>
      <w:r>
        <w:rPr>
          <w:rFonts w:hint="eastAsia" w:ascii="宋体" w:hAnsi="宋体" w:eastAsia="宋体" w:cs="宋体"/>
          <w:bCs w:val="0"/>
          <w:color w:val="auto"/>
          <w:kern w:val="2"/>
          <w:sz w:val="24"/>
          <w:szCs w:val="24"/>
        </w:rPr>
        <w:t>3、投入费用明细供评委和采购人参考。</w:t>
      </w:r>
    </w:p>
    <w:p w14:paraId="540D258A">
      <w:pPr>
        <w:widowControl w:val="0"/>
        <w:spacing w:after="0" w:line="460" w:lineRule="exact"/>
        <w:ind w:firstLine="480" w:firstLineChars="200"/>
        <w:rPr>
          <w:rFonts w:hint="eastAsia" w:ascii="宋体" w:hAnsi="宋体" w:eastAsia="宋体" w:cs="宋体"/>
          <w:bCs w:val="0"/>
          <w:color w:val="auto"/>
          <w:kern w:val="2"/>
          <w:sz w:val="24"/>
          <w:szCs w:val="24"/>
        </w:rPr>
      </w:pPr>
      <w:r>
        <w:rPr>
          <w:rFonts w:hint="eastAsia" w:ascii="宋体" w:hAnsi="宋体" w:eastAsia="宋体" w:cs="宋体"/>
          <w:bCs w:val="0"/>
          <w:color w:val="auto"/>
          <w:kern w:val="2"/>
          <w:sz w:val="24"/>
          <w:szCs w:val="24"/>
        </w:rPr>
        <w:t>4、如有需要说明的事项，请在备注中列明。</w:t>
      </w:r>
    </w:p>
    <w:p w14:paraId="07FBDCA2">
      <w:pPr>
        <w:widowControl w:val="0"/>
        <w:spacing w:after="0" w:line="46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val="0"/>
          <w:color w:val="auto"/>
          <w:kern w:val="2"/>
          <w:sz w:val="24"/>
          <w:szCs w:val="24"/>
        </w:rPr>
        <w:t>5、每个分包单独提供一份表格。</w:t>
      </w:r>
    </w:p>
    <w:p w14:paraId="0E251D5B">
      <w:pPr>
        <w:spacing w:line="400" w:lineRule="exact"/>
        <w:jc w:val="center"/>
        <w:rPr>
          <w:rFonts w:hint="eastAsia" w:ascii="宋体" w:hAnsi="宋体" w:eastAsia="宋体" w:cs="宋体"/>
          <w:b/>
          <w:bCs w:val="0"/>
          <w:color w:val="auto"/>
          <w:sz w:val="24"/>
          <w:szCs w:val="24"/>
        </w:rPr>
      </w:pPr>
      <w:r>
        <w:rPr>
          <w:rFonts w:hint="eastAsia" w:ascii="Times New Roman" w:hAnsi="Times New Roman"/>
          <w:b/>
          <w:bCs/>
          <w:color w:val="auto"/>
          <w:sz w:val="28"/>
          <w:szCs w:val="28"/>
          <w:highlight w:val="none"/>
        </w:rPr>
        <w:br w:type="page"/>
      </w:r>
      <w:r>
        <w:rPr>
          <w:rFonts w:hint="eastAsia" w:ascii="宋体" w:hAnsi="宋体" w:eastAsia="宋体" w:cs="宋体"/>
          <w:b/>
          <w:bCs w:val="0"/>
          <w:color w:val="auto"/>
          <w:sz w:val="24"/>
          <w:szCs w:val="24"/>
        </w:rPr>
        <w:t>第</w:t>
      </w:r>
      <w:r>
        <w:rPr>
          <w:rFonts w:hint="eastAsia" w:ascii="宋体" w:hAnsi="宋体" w:eastAsia="宋体" w:cs="宋体"/>
          <w:b/>
          <w:bCs w:val="0"/>
          <w:color w:val="auto"/>
          <w:sz w:val="24"/>
          <w:szCs w:val="24"/>
          <w:u w:val="single"/>
        </w:rPr>
        <w:t xml:space="preserve">      </w:t>
      </w:r>
      <w:r>
        <w:rPr>
          <w:rFonts w:hint="eastAsia" w:ascii="宋体" w:hAnsi="宋体" w:eastAsia="宋体" w:cs="宋体"/>
          <w:b/>
          <w:bCs w:val="0"/>
          <w:color w:val="auto"/>
          <w:sz w:val="24"/>
          <w:szCs w:val="24"/>
        </w:rPr>
        <w:t>包人员费用附表</w:t>
      </w:r>
    </w:p>
    <w:tbl>
      <w:tblPr>
        <w:tblStyle w:val="54"/>
        <w:tblW w:w="0" w:type="auto"/>
        <w:tblInd w:w="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4"/>
        <w:gridCol w:w="1260"/>
        <w:gridCol w:w="1365"/>
        <w:gridCol w:w="1155"/>
        <w:gridCol w:w="945"/>
        <w:gridCol w:w="1155"/>
        <w:gridCol w:w="2156"/>
      </w:tblGrid>
      <w:tr w14:paraId="58E37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noWrap w:val="0"/>
            <w:vAlign w:val="center"/>
          </w:tcPr>
          <w:p w14:paraId="64B8C08C">
            <w:pPr>
              <w:spacing w:after="0"/>
              <w:rPr>
                <w:rFonts w:hint="eastAsia" w:ascii="宋体" w:hAnsi="宋体" w:eastAsia="宋体" w:cs="宋体"/>
                <w:b/>
                <w:color w:val="auto"/>
                <w:sz w:val="24"/>
                <w:szCs w:val="24"/>
              </w:rPr>
            </w:pPr>
            <w:r>
              <w:rPr>
                <w:rFonts w:hint="eastAsia" w:ascii="宋体" w:hAnsi="宋体" w:eastAsia="宋体" w:cs="宋体"/>
                <w:b/>
                <w:color w:val="auto"/>
                <w:sz w:val="24"/>
                <w:szCs w:val="24"/>
              </w:rPr>
              <w:t>费用名称</w:t>
            </w:r>
          </w:p>
        </w:tc>
        <w:tc>
          <w:tcPr>
            <w:tcW w:w="1260" w:type="dxa"/>
            <w:noWrap w:val="0"/>
            <w:vAlign w:val="center"/>
          </w:tcPr>
          <w:p w14:paraId="75566DD5">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人员类别</w:t>
            </w:r>
          </w:p>
        </w:tc>
        <w:tc>
          <w:tcPr>
            <w:tcW w:w="1365" w:type="dxa"/>
            <w:noWrap w:val="0"/>
            <w:vAlign w:val="center"/>
          </w:tcPr>
          <w:p w14:paraId="4DDB9DE1">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费用名称</w:t>
            </w:r>
          </w:p>
        </w:tc>
        <w:tc>
          <w:tcPr>
            <w:tcW w:w="1155" w:type="dxa"/>
            <w:noWrap w:val="0"/>
            <w:vAlign w:val="center"/>
          </w:tcPr>
          <w:p w14:paraId="2F608864">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单价</w:t>
            </w:r>
          </w:p>
        </w:tc>
        <w:tc>
          <w:tcPr>
            <w:tcW w:w="945" w:type="dxa"/>
            <w:noWrap w:val="0"/>
            <w:vAlign w:val="center"/>
          </w:tcPr>
          <w:p w14:paraId="0E805E97">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数量</w:t>
            </w:r>
          </w:p>
        </w:tc>
        <w:tc>
          <w:tcPr>
            <w:tcW w:w="1155" w:type="dxa"/>
            <w:noWrap w:val="0"/>
            <w:vAlign w:val="center"/>
          </w:tcPr>
          <w:p w14:paraId="723AE642">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tc>
        <w:tc>
          <w:tcPr>
            <w:tcW w:w="2156" w:type="dxa"/>
            <w:noWrap w:val="0"/>
            <w:vAlign w:val="center"/>
          </w:tcPr>
          <w:p w14:paraId="3C459385">
            <w:pPr>
              <w:spacing w:after="0"/>
              <w:jc w:val="center"/>
              <w:rPr>
                <w:rFonts w:hint="eastAsia" w:ascii="宋体" w:hAnsi="宋体" w:eastAsia="宋体" w:cs="宋体"/>
                <w:b/>
                <w:color w:val="auto"/>
                <w:sz w:val="24"/>
                <w:szCs w:val="24"/>
              </w:rPr>
            </w:pPr>
          </w:p>
        </w:tc>
      </w:tr>
      <w:tr w14:paraId="1B869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restart"/>
            <w:noWrap w:val="0"/>
            <w:vAlign w:val="center"/>
          </w:tcPr>
          <w:p w14:paraId="0E6B17E1">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人员工资福利费用</w:t>
            </w:r>
          </w:p>
        </w:tc>
        <w:tc>
          <w:tcPr>
            <w:tcW w:w="1260" w:type="dxa"/>
            <w:vMerge w:val="restart"/>
            <w:noWrap w:val="0"/>
            <w:vAlign w:val="center"/>
          </w:tcPr>
          <w:p w14:paraId="4B876251">
            <w:pPr>
              <w:spacing w:after="0"/>
              <w:rPr>
                <w:rFonts w:hint="eastAsia" w:ascii="宋体" w:hAnsi="宋体" w:eastAsia="宋体" w:cs="宋体"/>
                <w:color w:val="auto"/>
                <w:sz w:val="24"/>
                <w:szCs w:val="24"/>
              </w:rPr>
            </w:pPr>
          </w:p>
        </w:tc>
        <w:tc>
          <w:tcPr>
            <w:tcW w:w="1365" w:type="dxa"/>
            <w:noWrap w:val="0"/>
            <w:vAlign w:val="center"/>
          </w:tcPr>
          <w:p w14:paraId="6DC73B97">
            <w:pPr>
              <w:spacing w:after="0"/>
              <w:rPr>
                <w:rFonts w:hint="eastAsia" w:ascii="宋体" w:hAnsi="宋体" w:eastAsia="宋体" w:cs="宋体"/>
                <w:color w:val="auto"/>
                <w:sz w:val="24"/>
                <w:szCs w:val="24"/>
              </w:rPr>
            </w:pPr>
          </w:p>
        </w:tc>
        <w:tc>
          <w:tcPr>
            <w:tcW w:w="1155" w:type="dxa"/>
            <w:noWrap w:val="0"/>
            <w:vAlign w:val="center"/>
          </w:tcPr>
          <w:p w14:paraId="15724044">
            <w:pPr>
              <w:spacing w:after="0"/>
              <w:rPr>
                <w:rFonts w:hint="eastAsia" w:ascii="宋体" w:hAnsi="宋体" w:eastAsia="宋体" w:cs="宋体"/>
                <w:color w:val="auto"/>
                <w:sz w:val="24"/>
                <w:szCs w:val="24"/>
              </w:rPr>
            </w:pPr>
          </w:p>
        </w:tc>
        <w:tc>
          <w:tcPr>
            <w:tcW w:w="945" w:type="dxa"/>
            <w:noWrap w:val="0"/>
            <w:vAlign w:val="center"/>
          </w:tcPr>
          <w:p w14:paraId="49A81BA8">
            <w:pPr>
              <w:spacing w:after="0"/>
              <w:rPr>
                <w:rFonts w:hint="eastAsia" w:ascii="宋体" w:hAnsi="宋体" w:eastAsia="宋体" w:cs="宋体"/>
                <w:color w:val="auto"/>
                <w:sz w:val="24"/>
                <w:szCs w:val="24"/>
              </w:rPr>
            </w:pPr>
          </w:p>
        </w:tc>
        <w:tc>
          <w:tcPr>
            <w:tcW w:w="1155" w:type="dxa"/>
            <w:noWrap w:val="0"/>
            <w:vAlign w:val="center"/>
          </w:tcPr>
          <w:p w14:paraId="75060E06">
            <w:pPr>
              <w:adjustRightInd w:val="0"/>
              <w:spacing w:after="0" w:line="312" w:lineRule="atLeast"/>
              <w:textAlignment w:val="baseline"/>
              <w:rPr>
                <w:rFonts w:hint="eastAsia" w:ascii="宋体" w:hAnsi="宋体" w:eastAsia="宋体" w:cs="宋体"/>
                <w:color w:val="auto"/>
                <w:sz w:val="24"/>
                <w:szCs w:val="24"/>
              </w:rPr>
            </w:pPr>
          </w:p>
        </w:tc>
        <w:tc>
          <w:tcPr>
            <w:tcW w:w="2156" w:type="dxa"/>
            <w:vMerge w:val="restart"/>
            <w:noWrap w:val="0"/>
            <w:vAlign w:val="center"/>
          </w:tcPr>
          <w:p w14:paraId="6D128109">
            <w:pPr>
              <w:adjustRightInd w:val="0"/>
              <w:spacing w:after="0" w:line="312" w:lineRule="atLeas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费用名称：如每月基本工资、加班费、保险费、服装费、过节福利费等</w:t>
            </w:r>
          </w:p>
        </w:tc>
      </w:tr>
      <w:tr w14:paraId="2C80E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64C6F86A">
            <w:pPr>
              <w:spacing w:after="0"/>
              <w:jc w:val="center"/>
              <w:rPr>
                <w:rFonts w:hint="eastAsia" w:ascii="宋体" w:hAnsi="宋体" w:eastAsia="宋体" w:cs="宋体"/>
                <w:color w:val="auto"/>
                <w:sz w:val="24"/>
                <w:szCs w:val="24"/>
              </w:rPr>
            </w:pPr>
          </w:p>
        </w:tc>
        <w:tc>
          <w:tcPr>
            <w:tcW w:w="1260" w:type="dxa"/>
            <w:vMerge w:val="continue"/>
            <w:noWrap w:val="0"/>
            <w:vAlign w:val="center"/>
          </w:tcPr>
          <w:p w14:paraId="3D8B0938">
            <w:pPr>
              <w:spacing w:after="0"/>
              <w:rPr>
                <w:rFonts w:hint="eastAsia" w:ascii="宋体" w:hAnsi="宋体" w:eastAsia="宋体" w:cs="宋体"/>
                <w:color w:val="auto"/>
                <w:sz w:val="24"/>
                <w:szCs w:val="24"/>
              </w:rPr>
            </w:pPr>
          </w:p>
        </w:tc>
        <w:tc>
          <w:tcPr>
            <w:tcW w:w="1365" w:type="dxa"/>
            <w:noWrap w:val="0"/>
            <w:vAlign w:val="center"/>
          </w:tcPr>
          <w:p w14:paraId="5BF4D389">
            <w:pPr>
              <w:spacing w:after="0"/>
              <w:rPr>
                <w:rFonts w:hint="eastAsia" w:ascii="宋体" w:hAnsi="宋体" w:eastAsia="宋体" w:cs="宋体"/>
                <w:color w:val="auto"/>
                <w:sz w:val="24"/>
                <w:szCs w:val="24"/>
              </w:rPr>
            </w:pPr>
          </w:p>
        </w:tc>
        <w:tc>
          <w:tcPr>
            <w:tcW w:w="1155" w:type="dxa"/>
            <w:noWrap w:val="0"/>
            <w:vAlign w:val="center"/>
          </w:tcPr>
          <w:p w14:paraId="0660DC3E">
            <w:pPr>
              <w:spacing w:after="0"/>
              <w:rPr>
                <w:rFonts w:hint="eastAsia" w:ascii="宋体" w:hAnsi="宋体" w:eastAsia="宋体" w:cs="宋体"/>
                <w:color w:val="auto"/>
                <w:sz w:val="24"/>
                <w:szCs w:val="24"/>
              </w:rPr>
            </w:pPr>
          </w:p>
        </w:tc>
        <w:tc>
          <w:tcPr>
            <w:tcW w:w="945" w:type="dxa"/>
            <w:noWrap w:val="0"/>
            <w:vAlign w:val="center"/>
          </w:tcPr>
          <w:p w14:paraId="74B4E380">
            <w:pPr>
              <w:spacing w:after="0"/>
              <w:rPr>
                <w:rFonts w:hint="eastAsia" w:ascii="宋体" w:hAnsi="宋体" w:eastAsia="宋体" w:cs="宋体"/>
                <w:color w:val="auto"/>
                <w:sz w:val="24"/>
                <w:szCs w:val="24"/>
              </w:rPr>
            </w:pPr>
          </w:p>
        </w:tc>
        <w:tc>
          <w:tcPr>
            <w:tcW w:w="1155" w:type="dxa"/>
            <w:noWrap w:val="0"/>
            <w:vAlign w:val="center"/>
          </w:tcPr>
          <w:p w14:paraId="4529BED3">
            <w:pPr>
              <w:spacing w:after="0"/>
              <w:rPr>
                <w:rFonts w:hint="eastAsia" w:ascii="宋体" w:hAnsi="宋体" w:eastAsia="宋体" w:cs="宋体"/>
                <w:color w:val="auto"/>
                <w:sz w:val="24"/>
                <w:szCs w:val="24"/>
              </w:rPr>
            </w:pPr>
          </w:p>
        </w:tc>
        <w:tc>
          <w:tcPr>
            <w:tcW w:w="2156" w:type="dxa"/>
            <w:vMerge w:val="continue"/>
            <w:noWrap w:val="0"/>
            <w:vAlign w:val="center"/>
          </w:tcPr>
          <w:p w14:paraId="74E91173">
            <w:pPr>
              <w:spacing w:after="0"/>
              <w:rPr>
                <w:rFonts w:hint="eastAsia" w:ascii="宋体" w:hAnsi="宋体" w:eastAsia="宋体" w:cs="宋体"/>
                <w:color w:val="auto"/>
                <w:sz w:val="24"/>
                <w:szCs w:val="24"/>
              </w:rPr>
            </w:pPr>
          </w:p>
        </w:tc>
      </w:tr>
      <w:tr w14:paraId="04EC6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152CAED0">
            <w:pPr>
              <w:spacing w:after="0"/>
              <w:jc w:val="center"/>
              <w:rPr>
                <w:rFonts w:hint="eastAsia" w:ascii="宋体" w:hAnsi="宋体" w:eastAsia="宋体" w:cs="宋体"/>
                <w:color w:val="auto"/>
                <w:sz w:val="24"/>
                <w:szCs w:val="24"/>
              </w:rPr>
            </w:pPr>
          </w:p>
        </w:tc>
        <w:tc>
          <w:tcPr>
            <w:tcW w:w="1260" w:type="dxa"/>
            <w:vMerge w:val="continue"/>
            <w:noWrap w:val="0"/>
            <w:vAlign w:val="center"/>
          </w:tcPr>
          <w:p w14:paraId="611313F9">
            <w:pPr>
              <w:spacing w:after="0"/>
              <w:rPr>
                <w:rFonts w:hint="eastAsia" w:ascii="宋体" w:hAnsi="宋体" w:eastAsia="宋体" w:cs="宋体"/>
                <w:color w:val="auto"/>
                <w:sz w:val="24"/>
                <w:szCs w:val="24"/>
              </w:rPr>
            </w:pPr>
          </w:p>
        </w:tc>
        <w:tc>
          <w:tcPr>
            <w:tcW w:w="1365" w:type="dxa"/>
            <w:noWrap w:val="0"/>
            <w:vAlign w:val="center"/>
          </w:tcPr>
          <w:p w14:paraId="10C9EAB5">
            <w:pPr>
              <w:spacing w:after="0"/>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155" w:type="dxa"/>
            <w:noWrap w:val="0"/>
            <w:vAlign w:val="center"/>
          </w:tcPr>
          <w:p w14:paraId="00A80FF4">
            <w:pPr>
              <w:spacing w:after="0"/>
              <w:rPr>
                <w:rFonts w:hint="eastAsia" w:ascii="宋体" w:hAnsi="宋体" w:eastAsia="宋体" w:cs="宋体"/>
                <w:color w:val="auto"/>
                <w:sz w:val="24"/>
                <w:szCs w:val="24"/>
              </w:rPr>
            </w:pPr>
          </w:p>
        </w:tc>
        <w:tc>
          <w:tcPr>
            <w:tcW w:w="945" w:type="dxa"/>
            <w:noWrap w:val="0"/>
            <w:vAlign w:val="center"/>
          </w:tcPr>
          <w:p w14:paraId="4A6FF98D">
            <w:pPr>
              <w:spacing w:after="0"/>
              <w:rPr>
                <w:rFonts w:hint="eastAsia" w:ascii="宋体" w:hAnsi="宋体" w:eastAsia="宋体" w:cs="宋体"/>
                <w:color w:val="auto"/>
                <w:sz w:val="24"/>
                <w:szCs w:val="24"/>
              </w:rPr>
            </w:pPr>
          </w:p>
        </w:tc>
        <w:tc>
          <w:tcPr>
            <w:tcW w:w="1155" w:type="dxa"/>
            <w:noWrap w:val="0"/>
            <w:vAlign w:val="center"/>
          </w:tcPr>
          <w:p w14:paraId="4B90D3BE">
            <w:pPr>
              <w:adjustRightInd w:val="0"/>
              <w:spacing w:after="0" w:line="312" w:lineRule="atLeast"/>
              <w:textAlignment w:val="baseline"/>
              <w:rPr>
                <w:rFonts w:hint="eastAsia" w:ascii="宋体" w:hAnsi="宋体" w:eastAsia="宋体" w:cs="宋体"/>
                <w:color w:val="auto"/>
                <w:sz w:val="24"/>
                <w:szCs w:val="24"/>
              </w:rPr>
            </w:pPr>
          </w:p>
        </w:tc>
        <w:tc>
          <w:tcPr>
            <w:tcW w:w="2156" w:type="dxa"/>
            <w:vMerge w:val="continue"/>
            <w:noWrap w:val="0"/>
            <w:vAlign w:val="center"/>
          </w:tcPr>
          <w:p w14:paraId="1217351B">
            <w:pPr>
              <w:adjustRightInd w:val="0"/>
              <w:spacing w:after="0" w:line="312" w:lineRule="atLeast"/>
              <w:textAlignment w:val="baseline"/>
              <w:rPr>
                <w:rFonts w:hint="eastAsia" w:ascii="宋体" w:hAnsi="宋体" w:eastAsia="宋体" w:cs="宋体"/>
                <w:color w:val="auto"/>
                <w:sz w:val="24"/>
                <w:szCs w:val="24"/>
              </w:rPr>
            </w:pPr>
          </w:p>
        </w:tc>
      </w:tr>
      <w:tr w14:paraId="208AE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3E11F986">
            <w:pPr>
              <w:spacing w:after="0"/>
              <w:jc w:val="center"/>
              <w:rPr>
                <w:rFonts w:hint="eastAsia" w:ascii="宋体" w:hAnsi="宋体" w:eastAsia="宋体" w:cs="宋体"/>
                <w:color w:val="auto"/>
                <w:sz w:val="24"/>
                <w:szCs w:val="24"/>
              </w:rPr>
            </w:pPr>
          </w:p>
        </w:tc>
        <w:tc>
          <w:tcPr>
            <w:tcW w:w="8036" w:type="dxa"/>
            <w:gridSpan w:val="6"/>
            <w:noWrap w:val="0"/>
            <w:vAlign w:val="center"/>
          </w:tcPr>
          <w:p w14:paraId="35081396">
            <w:pPr>
              <w:adjustRightInd w:val="0"/>
              <w:spacing w:after="0" w:line="312" w:lineRule="atLeas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单个该类别人员工资福利费用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元/年。</w:t>
            </w:r>
          </w:p>
        </w:tc>
      </w:tr>
      <w:tr w14:paraId="561F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76A5B2A6">
            <w:pPr>
              <w:spacing w:after="0"/>
              <w:jc w:val="center"/>
              <w:rPr>
                <w:rFonts w:hint="eastAsia" w:ascii="宋体" w:hAnsi="宋体" w:eastAsia="宋体" w:cs="宋体"/>
                <w:color w:val="auto"/>
                <w:sz w:val="24"/>
                <w:szCs w:val="24"/>
              </w:rPr>
            </w:pPr>
          </w:p>
        </w:tc>
        <w:tc>
          <w:tcPr>
            <w:tcW w:w="8036" w:type="dxa"/>
            <w:gridSpan w:val="6"/>
            <w:noWrap w:val="0"/>
            <w:vAlign w:val="center"/>
          </w:tcPr>
          <w:p w14:paraId="3C7166AB">
            <w:pPr>
              <w:adjustRightInd w:val="0"/>
              <w:spacing w:after="0" w:line="312" w:lineRule="atLeas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该类别人员数量：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w:t>
            </w:r>
          </w:p>
        </w:tc>
      </w:tr>
      <w:tr w14:paraId="65E20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55E5216B">
            <w:pPr>
              <w:spacing w:after="0"/>
              <w:jc w:val="center"/>
              <w:rPr>
                <w:rFonts w:hint="eastAsia" w:ascii="宋体" w:hAnsi="宋体" w:eastAsia="宋体" w:cs="宋体"/>
                <w:color w:val="auto"/>
                <w:sz w:val="24"/>
                <w:szCs w:val="24"/>
              </w:rPr>
            </w:pPr>
          </w:p>
        </w:tc>
        <w:tc>
          <w:tcPr>
            <w:tcW w:w="8036" w:type="dxa"/>
            <w:gridSpan w:val="6"/>
            <w:noWrap w:val="0"/>
            <w:vAlign w:val="center"/>
          </w:tcPr>
          <w:p w14:paraId="29DBD294">
            <w:pPr>
              <w:adjustRightInd w:val="0"/>
              <w:spacing w:after="0" w:line="312" w:lineRule="atLeas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该类别人员一年工资福利费用合计：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tc>
      </w:tr>
      <w:tr w14:paraId="5A882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2E703A23">
            <w:pPr>
              <w:spacing w:after="0"/>
              <w:jc w:val="center"/>
              <w:rPr>
                <w:rFonts w:hint="eastAsia" w:ascii="宋体" w:hAnsi="宋体" w:eastAsia="宋体" w:cs="宋体"/>
                <w:color w:val="auto"/>
                <w:sz w:val="24"/>
                <w:szCs w:val="24"/>
              </w:rPr>
            </w:pPr>
          </w:p>
        </w:tc>
        <w:tc>
          <w:tcPr>
            <w:tcW w:w="1260" w:type="dxa"/>
            <w:vMerge w:val="restart"/>
            <w:noWrap w:val="0"/>
            <w:vAlign w:val="center"/>
          </w:tcPr>
          <w:p w14:paraId="45FBF65B">
            <w:pPr>
              <w:spacing w:after="0"/>
              <w:rPr>
                <w:rFonts w:hint="eastAsia" w:ascii="宋体" w:hAnsi="宋体" w:eastAsia="宋体" w:cs="宋体"/>
                <w:color w:val="auto"/>
                <w:sz w:val="24"/>
                <w:szCs w:val="24"/>
              </w:rPr>
            </w:pPr>
          </w:p>
        </w:tc>
        <w:tc>
          <w:tcPr>
            <w:tcW w:w="1365" w:type="dxa"/>
            <w:noWrap w:val="0"/>
            <w:vAlign w:val="center"/>
          </w:tcPr>
          <w:p w14:paraId="5791831D">
            <w:pPr>
              <w:spacing w:after="0"/>
              <w:rPr>
                <w:rFonts w:hint="eastAsia" w:ascii="宋体" w:hAnsi="宋体" w:eastAsia="宋体" w:cs="宋体"/>
                <w:color w:val="auto"/>
                <w:sz w:val="24"/>
                <w:szCs w:val="24"/>
              </w:rPr>
            </w:pPr>
          </w:p>
        </w:tc>
        <w:tc>
          <w:tcPr>
            <w:tcW w:w="1155" w:type="dxa"/>
            <w:noWrap w:val="0"/>
            <w:vAlign w:val="center"/>
          </w:tcPr>
          <w:p w14:paraId="4B3E382D">
            <w:pPr>
              <w:spacing w:after="0"/>
              <w:rPr>
                <w:rFonts w:hint="eastAsia" w:ascii="宋体" w:hAnsi="宋体" w:eastAsia="宋体" w:cs="宋体"/>
                <w:color w:val="auto"/>
                <w:sz w:val="24"/>
                <w:szCs w:val="24"/>
              </w:rPr>
            </w:pPr>
          </w:p>
        </w:tc>
        <w:tc>
          <w:tcPr>
            <w:tcW w:w="945" w:type="dxa"/>
            <w:noWrap w:val="0"/>
            <w:vAlign w:val="center"/>
          </w:tcPr>
          <w:p w14:paraId="020B7E46">
            <w:pPr>
              <w:spacing w:after="0"/>
              <w:rPr>
                <w:rFonts w:hint="eastAsia" w:ascii="宋体" w:hAnsi="宋体" w:eastAsia="宋体" w:cs="宋体"/>
                <w:color w:val="auto"/>
                <w:sz w:val="24"/>
                <w:szCs w:val="24"/>
              </w:rPr>
            </w:pPr>
          </w:p>
        </w:tc>
        <w:tc>
          <w:tcPr>
            <w:tcW w:w="3311" w:type="dxa"/>
            <w:gridSpan w:val="2"/>
            <w:noWrap w:val="0"/>
            <w:vAlign w:val="center"/>
          </w:tcPr>
          <w:p w14:paraId="27BE67C7">
            <w:pPr>
              <w:spacing w:after="0"/>
              <w:rPr>
                <w:rFonts w:hint="eastAsia" w:ascii="宋体" w:hAnsi="宋体" w:eastAsia="宋体" w:cs="宋体"/>
                <w:color w:val="auto"/>
                <w:sz w:val="24"/>
                <w:szCs w:val="24"/>
              </w:rPr>
            </w:pPr>
          </w:p>
        </w:tc>
      </w:tr>
      <w:tr w14:paraId="37DFB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703004F0">
            <w:pPr>
              <w:spacing w:after="0"/>
              <w:jc w:val="center"/>
              <w:rPr>
                <w:rFonts w:hint="eastAsia" w:ascii="宋体" w:hAnsi="宋体" w:eastAsia="宋体" w:cs="宋体"/>
                <w:color w:val="auto"/>
                <w:sz w:val="24"/>
                <w:szCs w:val="24"/>
              </w:rPr>
            </w:pPr>
          </w:p>
        </w:tc>
        <w:tc>
          <w:tcPr>
            <w:tcW w:w="1260" w:type="dxa"/>
            <w:vMerge w:val="continue"/>
            <w:noWrap w:val="0"/>
            <w:vAlign w:val="center"/>
          </w:tcPr>
          <w:p w14:paraId="71FDA115">
            <w:pPr>
              <w:spacing w:after="0"/>
              <w:jc w:val="center"/>
              <w:rPr>
                <w:rFonts w:hint="eastAsia" w:ascii="宋体" w:hAnsi="宋体" w:eastAsia="宋体" w:cs="宋体"/>
                <w:color w:val="auto"/>
                <w:sz w:val="24"/>
                <w:szCs w:val="24"/>
              </w:rPr>
            </w:pPr>
          </w:p>
        </w:tc>
        <w:tc>
          <w:tcPr>
            <w:tcW w:w="1365" w:type="dxa"/>
            <w:noWrap w:val="0"/>
            <w:vAlign w:val="center"/>
          </w:tcPr>
          <w:p w14:paraId="63EF4E5C">
            <w:pPr>
              <w:spacing w:after="0"/>
              <w:rPr>
                <w:rFonts w:hint="eastAsia" w:ascii="宋体" w:hAnsi="宋体" w:eastAsia="宋体" w:cs="宋体"/>
                <w:color w:val="auto"/>
                <w:sz w:val="24"/>
                <w:szCs w:val="24"/>
              </w:rPr>
            </w:pPr>
          </w:p>
        </w:tc>
        <w:tc>
          <w:tcPr>
            <w:tcW w:w="1155" w:type="dxa"/>
            <w:noWrap w:val="0"/>
            <w:vAlign w:val="center"/>
          </w:tcPr>
          <w:p w14:paraId="5DD85519">
            <w:pPr>
              <w:spacing w:after="0"/>
              <w:rPr>
                <w:rFonts w:hint="eastAsia" w:ascii="宋体" w:hAnsi="宋体" w:eastAsia="宋体" w:cs="宋体"/>
                <w:color w:val="auto"/>
                <w:sz w:val="24"/>
                <w:szCs w:val="24"/>
              </w:rPr>
            </w:pPr>
          </w:p>
        </w:tc>
        <w:tc>
          <w:tcPr>
            <w:tcW w:w="945" w:type="dxa"/>
            <w:noWrap w:val="0"/>
            <w:vAlign w:val="center"/>
          </w:tcPr>
          <w:p w14:paraId="0774FFF1">
            <w:pPr>
              <w:spacing w:after="0"/>
              <w:rPr>
                <w:rFonts w:hint="eastAsia" w:ascii="宋体" w:hAnsi="宋体" w:eastAsia="宋体" w:cs="宋体"/>
                <w:color w:val="auto"/>
                <w:sz w:val="24"/>
                <w:szCs w:val="24"/>
              </w:rPr>
            </w:pPr>
          </w:p>
        </w:tc>
        <w:tc>
          <w:tcPr>
            <w:tcW w:w="3311" w:type="dxa"/>
            <w:gridSpan w:val="2"/>
            <w:noWrap w:val="0"/>
            <w:vAlign w:val="center"/>
          </w:tcPr>
          <w:p w14:paraId="25FD44B3">
            <w:pPr>
              <w:spacing w:after="0"/>
              <w:rPr>
                <w:rFonts w:hint="eastAsia" w:ascii="宋体" w:hAnsi="宋体" w:eastAsia="宋体" w:cs="宋体"/>
                <w:color w:val="auto"/>
                <w:sz w:val="24"/>
                <w:szCs w:val="24"/>
              </w:rPr>
            </w:pPr>
          </w:p>
        </w:tc>
      </w:tr>
      <w:tr w14:paraId="3024A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0DDD4BD1">
            <w:pPr>
              <w:spacing w:after="0"/>
              <w:jc w:val="center"/>
              <w:rPr>
                <w:rFonts w:hint="eastAsia" w:ascii="宋体" w:hAnsi="宋体" w:eastAsia="宋体" w:cs="宋体"/>
                <w:color w:val="auto"/>
                <w:sz w:val="24"/>
                <w:szCs w:val="24"/>
              </w:rPr>
            </w:pPr>
          </w:p>
        </w:tc>
        <w:tc>
          <w:tcPr>
            <w:tcW w:w="1260" w:type="dxa"/>
            <w:vMerge w:val="continue"/>
            <w:noWrap w:val="0"/>
            <w:vAlign w:val="center"/>
          </w:tcPr>
          <w:p w14:paraId="58CA6130">
            <w:pPr>
              <w:spacing w:after="0"/>
              <w:rPr>
                <w:rFonts w:hint="eastAsia" w:ascii="宋体" w:hAnsi="宋体" w:eastAsia="宋体" w:cs="宋体"/>
                <w:color w:val="auto"/>
                <w:sz w:val="24"/>
                <w:szCs w:val="24"/>
              </w:rPr>
            </w:pPr>
          </w:p>
        </w:tc>
        <w:tc>
          <w:tcPr>
            <w:tcW w:w="1365" w:type="dxa"/>
            <w:noWrap w:val="0"/>
            <w:vAlign w:val="center"/>
          </w:tcPr>
          <w:p w14:paraId="213F076C">
            <w:pPr>
              <w:spacing w:after="0"/>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155" w:type="dxa"/>
            <w:noWrap w:val="0"/>
            <w:vAlign w:val="center"/>
          </w:tcPr>
          <w:p w14:paraId="562CCA8F">
            <w:pPr>
              <w:spacing w:after="0"/>
              <w:rPr>
                <w:rFonts w:hint="eastAsia" w:ascii="宋体" w:hAnsi="宋体" w:eastAsia="宋体" w:cs="宋体"/>
                <w:color w:val="auto"/>
                <w:sz w:val="24"/>
                <w:szCs w:val="24"/>
              </w:rPr>
            </w:pPr>
          </w:p>
        </w:tc>
        <w:tc>
          <w:tcPr>
            <w:tcW w:w="945" w:type="dxa"/>
            <w:noWrap w:val="0"/>
            <w:vAlign w:val="center"/>
          </w:tcPr>
          <w:p w14:paraId="10796646">
            <w:pPr>
              <w:spacing w:after="0"/>
              <w:rPr>
                <w:rFonts w:hint="eastAsia" w:ascii="宋体" w:hAnsi="宋体" w:eastAsia="宋体" w:cs="宋体"/>
                <w:color w:val="auto"/>
                <w:sz w:val="24"/>
                <w:szCs w:val="24"/>
              </w:rPr>
            </w:pPr>
          </w:p>
        </w:tc>
        <w:tc>
          <w:tcPr>
            <w:tcW w:w="3311" w:type="dxa"/>
            <w:gridSpan w:val="2"/>
            <w:noWrap w:val="0"/>
            <w:vAlign w:val="center"/>
          </w:tcPr>
          <w:p w14:paraId="77EF4EDD">
            <w:pPr>
              <w:spacing w:after="0"/>
              <w:rPr>
                <w:rFonts w:hint="eastAsia" w:ascii="宋体" w:hAnsi="宋体" w:eastAsia="宋体" w:cs="宋体"/>
                <w:color w:val="auto"/>
                <w:sz w:val="24"/>
                <w:szCs w:val="24"/>
              </w:rPr>
            </w:pPr>
          </w:p>
        </w:tc>
      </w:tr>
      <w:tr w14:paraId="144F2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37DDC93E">
            <w:pPr>
              <w:spacing w:after="0"/>
              <w:jc w:val="center"/>
              <w:rPr>
                <w:rFonts w:hint="eastAsia" w:ascii="宋体" w:hAnsi="宋体" w:eastAsia="宋体" w:cs="宋体"/>
                <w:color w:val="auto"/>
                <w:sz w:val="24"/>
                <w:szCs w:val="24"/>
              </w:rPr>
            </w:pPr>
          </w:p>
        </w:tc>
        <w:tc>
          <w:tcPr>
            <w:tcW w:w="8036" w:type="dxa"/>
            <w:gridSpan w:val="6"/>
            <w:noWrap w:val="0"/>
            <w:vAlign w:val="center"/>
          </w:tcPr>
          <w:p w14:paraId="17348154">
            <w:pPr>
              <w:spacing w:after="0"/>
              <w:rPr>
                <w:rFonts w:hint="eastAsia" w:ascii="宋体" w:hAnsi="宋体" w:eastAsia="宋体" w:cs="宋体"/>
                <w:color w:val="auto"/>
                <w:sz w:val="24"/>
                <w:szCs w:val="24"/>
              </w:rPr>
            </w:pPr>
            <w:r>
              <w:rPr>
                <w:rFonts w:hint="eastAsia" w:ascii="宋体" w:hAnsi="宋体" w:eastAsia="宋体" w:cs="宋体"/>
                <w:color w:val="auto"/>
                <w:sz w:val="24"/>
                <w:szCs w:val="24"/>
              </w:rPr>
              <w:t>单个该类别人员工资福利费用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元/年。</w:t>
            </w:r>
          </w:p>
        </w:tc>
      </w:tr>
      <w:tr w14:paraId="62CE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253848BE">
            <w:pPr>
              <w:spacing w:after="0"/>
              <w:jc w:val="center"/>
              <w:rPr>
                <w:rFonts w:hint="eastAsia" w:ascii="宋体" w:hAnsi="宋体" w:eastAsia="宋体" w:cs="宋体"/>
                <w:color w:val="auto"/>
                <w:sz w:val="24"/>
                <w:szCs w:val="24"/>
              </w:rPr>
            </w:pPr>
          </w:p>
        </w:tc>
        <w:tc>
          <w:tcPr>
            <w:tcW w:w="8036" w:type="dxa"/>
            <w:gridSpan w:val="6"/>
            <w:noWrap w:val="0"/>
            <w:vAlign w:val="center"/>
          </w:tcPr>
          <w:p w14:paraId="78952BD0">
            <w:pPr>
              <w:spacing w:after="0"/>
              <w:rPr>
                <w:rFonts w:hint="eastAsia" w:ascii="宋体" w:hAnsi="宋体" w:eastAsia="宋体" w:cs="宋体"/>
                <w:color w:val="auto"/>
                <w:sz w:val="24"/>
                <w:szCs w:val="24"/>
              </w:rPr>
            </w:pPr>
            <w:r>
              <w:rPr>
                <w:rFonts w:hint="eastAsia" w:ascii="宋体" w:hAnsi="宋体" w:eastAsia="宋体" w:cs="宋体"/>
                <w:color w:val="auto"/>
                <w:sz w:val="24"/>
                <w:szCs w:val="24"/>
              </w:rPr>
              <w:t>该类别人员数量：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w:t>
            </w:r>
          </w:p>
        </w:tc>
      </w:tr>
      <w:tr w14:paraId="510C1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42436BD2">
            <w:pPr>
              <w:spacing w:after="0"/>
              <w:jc w:val="center"/>
              <w:rPr>
                <w:rFonts w:hint="eastAsia" w:ascii="宋体" w:hAnsi="宋体" w:eastAsia="宋体" w:cs="宋体"/>
                <w:color w:val="auto"/>
                <w:sz w:val="24"/>
                <w:szCs w:val="24"/>
              </w:rPr>
            </w:pPr>
          </w:p>
        </w:tc>
        <w:tc>
          <w:tcPr>
            <w:tcW w:w="8036" w:type="dxa"/>
            <w:gridSpan w:val="6"/>
            <w:noWrap w:val="0"/>
            <w:vAlign w:val="center"/>
          </w:tcPr>
          <w:p w14:paraId="041DF952">
            <w:pPr>
              <w:spacing w:after="0"/>
              <w:rPr>
                <w:rFonts w:hint="eastAsia" w:ascii="宋体" w:hAnsi="宋体" w:eastAsia="宋体" w:cs="宋体"/>
                <w:color w:val="auto"/>
                <w:sz w:val="24"/>
                <w:szCs w:val="24"/>
              </w:rPr>
            </w:pPr>
            <w:r>
              <w:rPr>
                <w:rFonts w:hint="eastAsia" w:ascii="宋体" w:hAnsi="宋体" w:eastAsia="宋体" w:cs="宋体"/>
                <w:color w:val="auto"/>
                <w:sz w:val="24"/>
                <w:szCs w:val="24"/>
              </w:rPr>
              <w:t>该类别人员一年工资福利费用合计：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tc>
      </w:tr>
      <w:tr w14:paraId="157AB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1B4AD26A">
            <w:pPr>
              <w:spacing w:after="0"/>
              <w:jc w:val="center"/>
              <w:rPr>
                <w:rFonts w:hint="eastAsia" w:ascii="宋体" w:hAnsi="宋体" w:eastAsia="宋体" w:cs="宋体"/>
                <w:color w:val="auto"/>
                <w:sz w:val="24"/>
                <w:szCs w:val="24"/>
              </w:rPr>
            </w:pPr>
          </w:p>
        </w:tc>
        <w:tc>
          <w:tcPr>
            <w:tcW w:w="1260" w:type="dxa"/>
            <w:vMerge w:val="restart"/>
            <w:noWrap w:val="0"/>
            <w:vAlign w:val="center"/>
          </w:tcPr>
          <w:p w14:paraId="18F04EE4">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365" w:type="dxa"/>
            <w:noWrap w:val="0"/>
            <w:vAlign w:val="center"/>
          </w:tcPr>
          <w:p w14:paraId="11D3D48C">
            <w:pPr>
              <w:spacing w:after="0"/>
              <w:rPr>
                <w:rFonts w:hint="eastAsia" w:ascii="宋体" w:hAnsi="宋体" w:eastAsia="宋体" w:cs="宋体"/>
                <w:color w:val="auto"/>
                <w:sz w:val="24"/>
                <w:szCs w:val="24"/>
              </w:rPr>
            </w:pPr>
          </w:p>
        </w:tc>
        <w:tc>
          <w:tcPr>
            <w:tcW w:w="1155" w:type="dxa"/>
            <w:noWrap w:val="0"/>
            <w:vAlign w:val="center"/>
          </w:tcPr>
          <w:p w14:paraId="6504D96F">
            <w:pPr>
              <w:spacing w:after="0"/>
              <w:rPr>
                <w:rFonts w:hint="eastAsia" w:ascii="宋体" w:hAnsi="宋体" w:eastAsia="宋体" w:cs="宋体"/>
                <w:color w:val="auto"/>
                <w:sz w:val="24"/>
                <w:szCs w:val="24"/>
              </w:rPr>
            </w:pPr>
          </w:p>
        </w:tc>
        <w:tc>
          <w:tcPr>
            <w:tcW w:w="945" w:type="dxa"/>
            <w:noWrap w:val="0"/>
            <w:vAlign w:val="center"/>
          </w:tcPr>
          <w:p w14:paraId="65D094D1">
            <w:pPr>
              <w:spacing w:after="0"/>
              <w:rPr>
                <w:rFonts w:hint="eastAsia" w:ascii="宋体" w:hAnsi="宋体" w:eastAsia="宋体" w:cs="宋体"/>
                <w:color w:val="auto"/>
                <w:sz w:val="24"/>
                <w:szCs w:val="24"/>
              </w:rPr>
            </w:pPr>
          </w:p>
        </w:tc>
        <w:tc>
          <w:tcPr>
            <w:tcW w:w="3311" w:type="dxa"/>
            <w:gridSpan w:val="2"/>
            <w:vMerge w:val="restart"/>
            <w:noWrap w:val="0"/>
            <w:vAlign w:val="center"/>
          </w:tcPr>
          <w:p w14:paraId="16EEBA2B">
            <w:pPr>
              <w:spacing w:after="0"/>
              <w:rPr>
                <w:rFonts w:hint="eastAsia" w:ascii="宋体" w:hAnsi="宋体" w:eastAsia="宋体" w:cs="宋体"/>
                <w:color w:val="auto"/>
                <w:sz w:val="24"/>
                <w:szCs w:val="24"/>
              </w:rPr>
            </w:pPr>
          </w:p>
          <w:p w14:paraId="14FEB3A2">
            <w:pPr>
              <w:spacing w:after="0"/>
              <w:rPr>
                <w:rFonts w:hint="eastAsia" w:ascii="宋体" w:hAnsi="宋体" w:eastAsia="宋体" w:cs="宋体"/>
                <w:color w:val="auto"/>
                <w:sz w:val="24"/>
                <w:szCs w:val="24"/>
              </w:rPr>
            </w:pPr>
          </w:p>
          <w:p w14:paraId="69DF901F">
            <w:pPr>
              <w:spacing w:after="0"/>
              <w:rPr>
                <w:rFonts w:hint="eastAsia" w:ascii="宋体" w:hAnsi="宋体" w:eastAsia="宋体" w:cs="宋体"/>
                <w:color w:val="auto"/>
                <w:sz w:val="24"/>
                <w:szCs w:val="24"/>
              </w:rPr>
            </w:pPr>
          </w:p>
        </w:tc>
      </w:tr>
      <w:tr w14:paraId="2202E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077C4999">
            <w:pPr>
              <w:spacing w:after="0"/>
              <w:jc w:val="center"/>
              <w:rPr>
                <w:rFonts w:hint="eastAsia" w:ascii="宋体" w:hAnsi="宋体" w:eastAsia="宋体" w:cs="宋体"/>
                <w:color w:val="auto"/>
                <w:sz w:val="24"/>
                <w:szCs w:val="24"/>
              </w:rPr>
            </w:pPr>
          </w:p>
        </w:tc>
        <w:tc>
          <w:tcPr>
            <w:tcW w:w="1260" w:type="dxa"/>
            <w:vMerge w:val="continue"/>
            <w:noWrap w:val="0"/>
            <w:vAlign w:val="center"/>
          </w:tcPr>
          <w:p w14:paraId="7EE003A1">
            <w:pPr>
              <w:spacing w:after="0"/>
              <w:rPr>
                <w:rFonts w:hint="eastAsia" w:ascii="宋体" w:hAnsi="宋体" w:eastAsia="宋体" w:cs="宋体"/>
                <w:color w:val="auto"/>
                <w:sz w:val="24"/>
                <w:szCs w:val="24"/>
              </w:rPr>
            </w:pPr>
          </w:p>
        </w:tc>
        <w:tc>
          <w:tcPr>
            <w:tcW w:w="1365" w:type="dxa"/>
            <w:noWrap w:val="0"/>
            <w:vAlign w:val="center"/>
          </w:tcPr>
          <w:p w14:paraId="20F11FD2">
            <w:pPr>
              <w:spacing w:after="0"/>
              <w:rPr>
                <w:rFonts w:hint="eastAsia" w:ascii="宋体" w:hAnsi="宋体" w:eastAsia="宋体" w:cs="宋体"/>
                <w:color w:val="auto"/>
                <w:sz w:val="24"/>
                <w:szCs w:val="24"/>
              </w:rPr>
            </w:pPr>
          </w:p>
        </w:tc>
        <w:tc>
          <w:tcPr>
            <w:tcW w:w="1155" w:type="dxa"/>
            <w:noWrap w:val="0"/>
            <w:vAlign w:val="center"/>
          </w:tcPr>
          <w:p w14:paraId="4777644A">
            <w:pPr>
              <w:spacing w:after="0"/>
              <w:rPr>
                <w:rFonts w:hint="eastAsia" w:ascii="宋体" w:hAnsi="宋体" w:eastAsia="宋体" w:cs="宋体"/>
                <w:color w:val="auto"/>
                <w:sz w:val="24"/>
                <w:szCs w:val="24"/>
              </w:rPr>
            </w:pPr>
          </w:p>
        </w:tc>
        <w:tc>
          <w:tcPr>
            <w:tcW w:w="945" w:type="dxa"/>
            <w:noWrap w:val="0"/>
            <w:vAlign w:val="center"/>
          </w:tcPr>
          <w:p w14:paraId="71975146">
            <w:pPr>
              <w:spacing w:after="0"/>
              <w:rPr>
                <w:rFonts w:hint="eastAsia" w:ascii="宋体" w:hAnsi="宋体" w:eastAsia="宋体" w:cs="宋体"/>
                <w:color w:val="auto"/>
                <w:sz w:val="24"/>
                <w:szCs w:val="24"/>
              </w:rPr>
            </w:pPr>
          </w:p>
        </w:tc>
        <w:tc>
          <w:tcPr>
            <w:tcW w:w="3311" w:type="dxa"/>
            <w:gridSpan w:val="2"/>
            <w:vMerge w:val="continue"/>
            <w:noWrap w:val="0"/>
            <w:vAlign w:val="center"/>
          </w:tcPr>
          <w:p w14:paraId="07596E24">
            <w:pPr>
              <w:spacing w:after="0"/>
              <w:rPr>
                <w:rFonts w:hint="eastAsia" w:ascii="宋体" w:hAnsi="宋体" w:eastAsia="宋体" w:cs="宋体"/>
                <w:color w:val="auto"/>
                <w:sz w:val="24"/>
                <w:szCs w:val="24"/>
              </w:rPr>
            </w:pPr>
          </w:p>
        </w:tc>
      </w:tr>
      <w:tr w14:paraId="2202D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389B5D43">
            <w:pPr>
              <w:spacing w:after="0"/>
              <w:jc w:val="center"/>
              <w:rPr>
                <w:rFonts w:hint="eastAsia" w:ascii="宋体" w:hAnsi="宋体" w:eastAsia="宋体" w:cs="宋体"/>
                <w:color w:val="auto"/>
                <w:sz w:val="24"/>
                <w:szCs w:val="24"/>
              </w:rPr>
            </w:pPr>
          </w:p>
        </w:tc>
        <w:tc>
          <w:tcPr>
            <w:tcW w:w="1260" w:type="dxa"/>
            <w:vMerge w:val="continue"/>
            <w:noWrap w:val="0"/>
            <w:vAlign w:val="center"/>
          </w:tcPr>
          <w:p w14:paraId="0B17152B">
            <w:pPr>
              <w:spacing w:after="0"/>
              <w:rPr>
                <w:rFonts w:hint="eastAsia" w:ascii="宋体" w:hAnsi="宋体" w:eastAsia="宋体" w:cs="宋体"/>
                <w:color w:val="auto"/>
                <w:sz w:val="24"/>
                <w:szCs w:val="24"/>
              </w:rPr>
            </w:pPr>
          </w:p>
        </w:tc>
        <w:tc>
          <w:tcPr>
            <w:tcW w:w="1365" w:type="dxa"/>
            <w:noWrap w:val="0"/>
            <w:vAlign w:val="center"/>
          </w:tcPr>
          <w:p w14:paraId="23D1B628">
            <w:pPr>
              <w:spacing w:after="0"/>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155" w:type="dxa"/>
            <w:noWrap w:val="0"/>
            <w:vAlign w:val="center"/>
          </w:tcPr>
          <w:p w14:paraId="5AD81981">
            <w:pPr>
              <w:spacing w:after="0"/>
              <w:rPr>
                <w:rFonts w:hint="eastAsia" w:ascii="宋体" w:hAnsi="宋体" w:eastAsia="宋体" w:cs="宋体"/>
                <w:color w:val="auto"/>
                <w:sz w:val="24"/>
                <w:szCs w:val="24"/>
              </w:rPr>
            </w:pPr>
          </w:p>
        </w:tc>
        <w:tc>
          <w:tcPr>
            <w:tcW w:w="945" w:type="dxa"/>
            <w:noWrap w:val="0"/>
            <w:vAlign w:val="center"/>
          </w:tcPr>
          <w:p w14:paraId="35A582D2">
            <w:pPr>
              <w:spacing w:after="0"/>
              <w:rPr>
                <w:rFonts w:hint="eastAsia" w:ascii="宋体" w:hAnsi="宋体" w:eastAsia="宋体" w:cs="宋体"/>
                <w:color w:val="auto"/>
                <w:sz w:val="24"/>
                <w:szCs w:val="24"/>
              </w:rPr>
            </w:pPr>
          </w:p>
        </w:tc>
        <w:tc>
          <w:tcPr>
            <w:tcW w:w="3311" w:type="dxa"/>
            <w:gridSpan w:val="2"/>
            <w:vMerge w:val="continue"/>
            <w:noWrap w:val="0"/>
            <w:vAlign w:val="center"/>
          </w:tcPr>
          <w:p w14:paraId="07648EDC">
            <w:pPr>
              <w:spacing w:after="0"/>
              <w:rPr>
                <w:rFonts w:hint="eastAsia" w:ascii="宋体" w:hAnsi="宋体" w:eastAsia="宋体" w:cs="宋体"/>
                <w:color w:val="auto"/>
                <w:sz w:val="24"/>
                <w:szCs w:val="24"/>
              </w:rPr>
            </w:pPr>
          </w:p>
        </w:tc>
      </w:tr>
      <w:tr w14:paraId="25A37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7571A2AA">
            <w:pPr>
              <w:spacing w:after="0"/>
              <w:jc w:val="center"/>
              <w:rPr>
                <w:rFonts w:hint="eastAsia" w:ascii="宋体" w:hAnsi="宋体" w:eastAsia="宋体" w:cs="宋体"/>
                <w:color w:val="auto"/>
                <w:sz w:val="24"/>
                <w:szCs w:val="24"/>
              </w:rPr>
            </w:pPr>
          </w:p>
        </w:tc>
        <w:tc>
          <w:tcPr>
            <w:tcW w:w="8036" w:type="dxa"/>
            <w:gridSpan w:val="6"/>
            <w:noWrap w:val="0"/>
            <w:vAlign w:val="center"/>
          </w:tcPr>
          <w:p w14:paraId="485054F3">
            <w:pPr>
              <w:spacing w:after="0"/>
              <w:rPr>
                <w:rFonts w:hint="eastAsia" w:ascii="宋体" w:hAnsi="宋体" w:eastAsia="宋体" w:cs="宋体"/>
                <w:color w:val="auto"/>
                <w:sz w:val="24"/>
                <w:szCs w:val="24"/>
              </w:rPr>
            </w:pPr>
            <w:r>
              <w:rPr>
                <w:rFonts w:hint="eastAsia" w:ascii="宋体" w:hAnsi="宋体" w:eastAsia="宋体" w:cs="宋体"/>
                <w:color w:val="auto"/>
                <w:sz w:val="24"/>
                <w:szCs w:val="24"/>
              </w:rPr>
              <w:t>单个该类别人员工资福利费用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元/年。</w:t>
            </w:r>
          </w:p>
        </w:tc>
      </w:tr>
      <w:tr w14:paraId="68FAE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10415D7C">
            <w:pPr>
              <w:spacing w:after="0"/>
              <w:jc w:val="center"/>
              <w:rPr>
                <w:rFonts w:hint="eastAsia" w:ascii="宋体" w:hAnsi="宋体" w:eastAsia="宋体" w:cs="宋体"/>
                <w:color w:val="auto"/>
                <w:sz w:val="24"/>
                <w:szCs w:val="24"/>
              </w:rPr>
            </w:pPr>
          </w:p>
        </w:tc>
        <w:tc>
          <w:tcPr>
            <w:tcW w:w="8036" w:type="dxa"/>
            <w:gridSpan w:val="6"/>
            <w:noWrap w:val="0"/>
            <w:vAlign w:val="center"/>
          </w:tcPr>
          <w:p w14:paraId="10E3A245">
            <w:pPr>
              <w:spacing w:after="0"/>
              <w:rPr>
                <w:rFonts w:hint="eastAsia" w:ascii="宋体" w:hAnsi="宋体" w:eastAsia="宋体" w:cs="宋体"/>
                <w:color w:val="auto"/>
                <w:sz w:val="24"/>
                <w:szCs w:val="24"/>
              </w:rPr>
            </w:pPr>
            <w:r>
              <w:rPr>
                <w:rFonts w:hint="eastAsia" w:ascii="宋体" w:hAnsi="宋体" w:eastAsia="宋体" w:cs="宋体"/>
                <w:color w:val="auto"/>
                <w:sz w:val="24"/>
                <w:szCs w:val="24"/>
              </w:rPr>
              <w:t>该类别人员数量：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w:t>
            </w:r>
          </w:p>
        </w:tc>
      </w:tr>
      <w:tr w14:paraId="41AD8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324" w:type="dxa"/>
            <w:vMerge w:val="continue"/>
            <w:noWrap w:val="0"/>
            <w:vAlign w:val="center"/>
          </w:tcPr>
          <w:p w14:paraId="1D7BE708">
            <w:pPr>
              <w:spacing w:after="0"/>
              <w:jc w:val="center"/>
              <w:rPr>
                <w:rFonts w:hint="eastAsia" w:ascii="宋体" w:hAnsi="宋体" w:eastAsia="宋体" w:cs="宋体"/>
                <w:color w:val="auto"/>
                <w:sz w:val="24"/>
                <w:szCs w:val="24"/>
              </w:rPr>
            </w:pPr>
          </w:p>
        </w:tc>
        <w:tc>
          <w:tcPr>
            <w:tcW w:w="8036" w:type="dxa"/>
            <w:gridSpan w:val="6"/>
            <w:noWrap w:val="0"/>
            <w:vAlign w:val="center"/>
          </w:tcPr>
          <w:p w14:paraId="23F7EDC6">
            <w:pPr>
              <w:spacing w:after="0"/>
              <w:rPr>
                <w:rFonts w:hint="eastAsia" w:ascii="宋体" w:hAnsi="宋体" w:eastAsia="宋体" w:cs="宋体"/>
                <w:color w:val="auto"/>
                <w:sz w:val="24"/>
                <w:szCs w:val="24"/>
              </w:rPr>
            </w:pPr>
            <w:r>
              <w:rPr>
                <w:rFonts w:hint="eastAsia" w:ascii="宋体" w:hAnsi="宋体" w:eastAsia="宋体" w:cs="宋体"/>
                <w:color w:val="auto"/>
                <w:sz w:val="24"/>
                <w:szCs w:val="24"/>
              </w:rPr>
              <w:t>该类别人员一年工资福利费用合计：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tc>
      </w:tr>
      <w:tr w14:paraId="0403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trPr>
        <w:tc>
          <w:tcPr>
            <w:tcW w:w="3949" w:type="dxa"/>
            <w:gridSpan w:val="3"/>
            <w:noWrap w:val="0"/>
            <w:vAlign w:val="center"/>
          </w:tcPr>
          <w:p w14:paraId="5BE69CBD">
            <w:pPr>
              <w:spacing w:after="0"/>
              <w:jc w:val="center"/>
              <w:rPr>
                <w:rFonts w:hint="eastAsia" w:ascii="宋体" w:hAnsi="宋体" w:eastAsia="宋体" w:cs="宋体"/>
                <w:color w:val="auto"/>
                <w:sz w:val="24"/>
                <w:szCs w:val="24"/>
              </w:rPr>
            </w:pPr>
            <w:r>
              <w:rPr>
                <w:rFonts w:hint="eastAsia" w:ascii="宋体" w:hAnsi="宋体" w:eastAsia="宋体" w:cs="宋体"/>
                <w:b/>
                <w:bCs w:val="0"/>
                <w:color w:val="auto"/>
                <w:sz w:val="24"/>
                <w:szCs w:val="24"/>
              </w:rPr>
              <w:t>人员合计费用（元）</w:t>
            </w:r>
          </w:p>
        </w:tc>
        <w:tc>
          <w:tcPr>
            <w:tcW w:w="5411" w:type="dxa"/>
            <w:gridSpan w:val="4"/>
            <w:noWrap w:val="0"/>
            <w:vAlign w:val="center"/>
          </w:tcPr>
          <w:p w14:paraId="7D084AD5">
            <w:pPr>
              <w:spacing w:after="0"/>
              <w:jc w:val="center"/>
              <w:rPr>
                <w:rFonts w:hint="eastAsia" w:ascii="宋体" w:hAnsi="宋体" w:eastAsia="宋体" w:cs="宋体"/>
                <w:color w:val="auto"/>
                <w:sz w:val="24"/>
                <w:szCs w:val="24"/>
              </w:rPr>
            </w:pPr>
          </w:p>
        </w:tc>
      </w:tr>
    </w:tbl>
    <w:p w14:paraId="1C57BDB6">
      <w:pPr>
        <w:spacing w:after="0" w:line="480" w:lineRule="exact"/>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注：1、投标人应将对应分包所投入的有关人员费用情况分类别依次填报在上述表格中。</w:t>
      </w:r>
    </w:p>
    <w:p w14:paraId="62A31044">
      <w:pPr>
        <w:spacing w:after="0" w:line="480" w:lineRule="exact"/>
        <w:ind w:firstLine="480" w:firstLineChars="200"/>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2、表中“人员合计费用（元）”应与</w:t>
      </w:r>
      <w:r>
        <w:rPr>
          <w:rFonts w:hint="eastAsia" w:ascii="宋体" w:hAnsi="宋体" w:eastAsia="宋体" w:cs="宋体"/>
          <w:b/>
          <w:bCs w:val="0"/>
          <w:color w:val="auto"/>
          <w:sz w:val="24"/>
          <w:szCs w:val="24"/>
          <w:highlight w:val="none"/>
        </w:rPr>
        <w:t>对应分包报价明细表</w:t>
      </w:r>
      <w:r>
        <w:rPr>
          <w:rFonts w:hint="eastAsia" w:ascii="宋体" w:hAnsi="宋体" w:eastAsia="宋体" w:cs="宋体"/>
          <w:bCs w:val="0"/>
          <w:color w:val="auto"/>
          <w:sz w:val="24"/>
          <w:szCs w:val="24"/>
          <w:highlight w:val="none"/>
        </w:rPr>
        <w:t>中的“人员总费用”相一致。</w:t>
      </w:r>
    </w:p>
    <w:p w14:paraId="204A07AE">
      <w:pPr>
        <w:spacing w:after="0" w:line="480" w:lineRule="exact"/>
        <w:ind w:firstLine="480" w:firstLineChars="200"/>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3、投入费用明细供评委和采购人参考。</w:t>
      </w:r>
    </w:p>
    <w:p w14:paraId="20AABA3F">
      <w:pPr>
        <w:spacing w:after="0" w:line="480" w:lineRule="exact"/>
        <w:ind w:firstLine="480" w:firstLineChars="200"/>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4、如有需要说明的事项，请在备注中列明。</w:t>
      </w:r>
    </w:p>
    <w:p w14:paraId="683A244F">
      <w:pPr>
        <w:spacing w:after="0" w:line="480" w:lineRule="exact"/>
        <w:ind w:firstLine="482" w:firstLineChars="200"/>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5、</w:t>
      </w:r>
      <w:r>
        <w:rPr>
          <w:rFonts w:hint="eastAsia" w:ascii="宋体" w:hAnsi="宋体" w:eastAsia="宋体" w:cs="宋体"/>
          <w:b/>
          <w:bCs w:val="0"/>
          <w:color w:val="auto"/>
          <w:kern w:val="2"/>
          <w:sz w:val="24"/>
          <w:szCs w:val="24"/>
        </w:rPr>
        <w:t>每个分包单独提供一份表格。</w:t>
      </w:r>
    </w:p>
    <w:p w14:paraId="100E8525">
      <w:pPr>
        <w:widowControl w:val="0"/>
        <w:spacing w:after="0" w:line="450" w:lineRule="exact"/>
        <w:rPr>
          <w:rFonts w:hint="eastAsia" w:ascii="宋体" w:hAnsi="宋体" w:eastAsia="宋体" w:cs="宋体"/>
          <w:bCs w:val="0"/>
          <w:color w:val="auto"/>
          <w:sz w:val="24"/>
          <w:szCs w:val="24"/>
        </w:rPr>
      </w:pPr>
    </w:p>
    <w:p w14:paraId="63650409">
      <w:pPr>
        <w:spacing w:line="400" w:lineRule="exact"/>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br w:type="page"/>
      </w:r>
      <w:r>
        <w:rPr>
          <w:rFonts w:hint="eastAsia" w:ascii="宋体" w:hAnsi="宋体" w:eastAsia="宋体" w:cs="宋体"/>
          <w:b/>
          <w:bCs w:val="0"/>
          <w:color w:val="auto"/>
          <w:sz w:val="24"/>
          <w:szCs w:val="24"/>
        </w:rPr>
        <w:t>第</w:t>
      </w:r>
      <w:r>
        <w:rPr>
          <w:rFonts w:hint="eastAsia" w:ascii="宋体" w:hAnsi="宋体" w:eastAsia="宋体" w:cs="宋体"/>
          <w:b/>
          <w:bCs w:val="0"/>
          <w:color w:val="auto"/>
          <w:sz w:val="24"/>
          <w:szCs w:val="24"/>
          <w:u w:val="single"/>
        </w:rPr>
        <w:t xml:space="preserve">     </w:t>
      </w:r>
      <w:r>
        <w:rPr>
          <w:rFonts w:hint="eastAsia" w:ascii="宋体" w:hAnsi="宋体" w:eastAsia="宋体" w:cs="宋体"/>
          <w:b/>
          <w:bCs w:val="0"/>
          <w:color w:val="auto"/>
          <w:sz w:val="24"/>
          <w:szCs w:val="24"/>
        </w:rPr>
        <w:t>包船只费用附表</w:t>
      </w:r>
    </w:p>
    <w:tbl>
      <w:tblPr>
        <w:tblStyle w:val="54"/>
        <w:tblW w:w="9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3588"/>
        <w:gridCol w:w="3804"/>
        <w:gridCol w:w="924"/>
      </w:tblGrid>
      <w:tr w14:paraId="5E64D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365" w:type="dxa"/>
            <w:noWrap w:val="0"/>
            <w:vAlign w:val="center"/>
          </w:tcPr>
          <w:p w14:paraId="23590516">
            <w:pPr>
              <w:spacing w:after="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船只类别</w:t>
            </w:r>
          </w:p>
        </w:tc>
        <w:tc>
          <w:tcPr>
            <w:tcW w:w="3588" w:type="dxa"/>
            <w:noWrap w:val="0"/>
            <w:vAlign w:val="center"/>
          </w:tcPr>
          <w:p w14:paraId="443EB102">
            <w:pPr>
              <w:spacing w:after="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费用类别</w:t>
            </w:r>
          </w:p>
        </w:tc>
        <w:tc>
          <w:tcPr>
            <w:tcW w:w="3804" w:type="dxa"/>
            <w:noWrap w:val="0"/>
            <w:vAlign w:val="center"/>
          </w:tcPr>
          <w:p w14:paraId="155DFC7F">
            <w:pPr>
              <w:spacing w:after="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费用组成明细</w:t>
            </w:r>
          </w:p>
        </w:tc>
        <w:tc>
          <w:tcPr>
            <w:tcW w:w="924" w:type="dxa"/>
            <w:noWrap w:val="0"/>
            <w:vAlign w:val="center"/>
          </w:tcPr>
          <w:p w14:paraId="3A7BDE14">
            <w:pPr>
              <w:spacing w:after="0"/>
              <w:jc w:val="center"/>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备注</w:t>
            </w:r>
          </w:p>
        </w:tc>
      </w:tr>
      <w:tr w14:paraId="3D359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restart"/>
            <w:noWrap w:val="0"/>
            <w:vAlign w:val="center"/>
          </w:tcPr>
          <w:p w14:paraId="323F3904">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常规机动船只（铁壳平底船）</w:t>
            </w:r>
          </w:p>
          <w:p w14:paraId="10F631F1">
            <w:pPr>
              <w:spacing w:after="0"/>
              <w:jc w:val="center"/>
              <w:rPr>
                <w:rFonts w:hint="eastAsia" w:ascii="宋体" w:hAnsi="宋体" w:eastAsia="宋体" w:cs="宋体"/>
                <w:color w:val="auto"/>
                <w:sz w:val="24"/>
                <w:szCs w:val="24"/>
              </w:rPr>
            </w:pPr>
          </w:p>
        </w:tc>
        <w:tc>
          <w:tcPr>
            <w:tcW w:w="3588" w:type="dxa"/>
            <w:noWrap w:val="0"/>
            <w:vAlign w:val="center"/>
          </w:tcPr>
          <w:p w14:paraId="34D2D949">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投入数量</w:t>
            </w:r>
          </w:p>
        </w:tc>
        <w:tc>
          <w:tcPr>
            <w:tcW w:w="3804" w:type="dxa"/>
            <w:noWrap w:val="0"/>
            <w:vAlign w:val="center"/>
          </w:tcPr>
          <w:p w14:paraId="2DBEE820">
            <w:pPr>
              <w:spacing w:after="0"/>
              <w:jc w:val="center"/>
              <w:rPr>
                <w:rFonts w:hint="eastAsia" w:ascii="宋体" w:hAnsi="宋体" w:eastAsia="宋体" w:cs="宋体"/>
                <w:color w:val="auto"/>
                <w:sz w:val="24"/>
                <w:szCs w:val="24"/>
              </w:rPr>
            </w:pPr>
          </w:p>
        </w:tc>
        <w:tc>
          <w:tcPr>
            <w:tcW w:w="924" w:type="dxa"/>
            <w:noWrap w:val="0"/>
            <w:vAlign w:val="center"/>
          </w:tcPr>
          <w:p w14:paraId="57A74CD1">
            <w:pPr>
              <w:spacing w:after="0"/>
              <w:jc w:val="center"/>
              <w:rPr>
                <w:rFonts w:hint="eastAsia" w:ascii="宋体" w:hAnsi="宋体" w:eastAsia="宋体" w:cs="宋体"/>
                <w:color w:val="auto"/>
                <w:sz w:val="24"/>
                <w:szCs w:val="24"/>
              </w:rPr>
            </w:pPr>
          </w:p>
        </w:tc>
      </w:tr>
      <w:tr w14:paraId="58D40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745C6DE4">
            <w:pPr>
              <w:spacing w:after="0"/>
              <w:jc w:val="center"/>
              <w:rPr>
                <w:rFonts w:hint="eastAsia" w:ascii="宋体" w:hAnsi="宋体" w:eastAsia="宋体" w:cs="宋体"/>
                <w:color w:val="auto"/>
                <w:sz w:val="24"/>
                <w:szCs w:val="24"/>
              </w:rPr>
            </w:pPr>
          </w:p>
        </w:tc>
        <w:tc>
          <w:tcPr>
            <w:tcW w:w="3588" w:type="dxa"/>
            <w:noWrap w:val="0"/>
            <w:vAlign w:val="center"/>
          </w:tcPr>
          <w:p w14:paraId="78B11730">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船只能耗费（每只/元/年）</w:t>
            </w:r>
          </w:p>
        </w:tc>
        <w:tc>
          <w:tcPr>
            <w:tcW w:w="3804" w:type="dxa"/>
            <w:noWrap w:val="0"/>
            <w:vAlign w:val="center"/>
          </w:tcPr>
          <w:p w14:paraId="7BC257AF">
            <w:pPr>
              <w:spacing w:after="0"/>
              <w:jc w:val="center"/>
              <w:rPr>
                <w:rFonts w:hint="eastAsia" w:ascii="宋体" w:hAnsi="宋体" w:eastAsia="宋体" w:cs="宋体"/>
                <w:color w:val="auto"/>
                <w:sz w:val="24"/>
                <w:szCs w:val="24"/>
              </w:rPr>
            </w:pPr>
          </w:p>
        </w:tc>
        <w:tc>
          <w:tcPr>
            <w:tcW w:w="924" w:type="dxa"/>
            <w:noWrap w:val="0"/>
            <w:vAlign w:val="center"/>
          </w:tcPr>
          <w:p w14:paraId="175A79DD">
            <w:pPr>
              <w:spacing w:after="0"/>
              <w:jc w:val="center"/>
              <w:rPr>
                <w:rFonts w:hint="eastAsia" w:ascii="宋体" w:hAnsi="宋体" w:eastAsia="宋体" w:cs="宋体"/>
                <w:color w:val="auto"/>
                <w:sz w:val="24"/>
                <w:szCs w:val="24"/>
              </w:rPr>
            </w:pPr>
          </w:p>
        </w:tc>
      </w:tr>
      <w:tr w14:paraId="5C79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026895B3">
            <w:pPr>
              <w:spacing w:after="0"/>
              <w:jc w:val="center"/>
              <w:rPr>
                <w:rFonts w:hint="eastAsia" w:ascii="宋体" w:hAnsi="宋体" w:eastAsia="宋体" w:cs="宋体"/>
                <w:color w:val="auto"/>
                <w:sz w:val="24"/>
                <w:szCs w:val="24"/>
              </w:rPr>
            </w:pPr>
          </w:p>
        </w:tc>
        <w:tc>
          <w:tcPr>
            <w:tcW w:w="3588" w:type="dxa"/>
            <w:noWrap w:val="0"/>
            <w:vAlign w:val="center"/>
          </w:tcPr>
          <w:p w14:paraId="21617132">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修理、工具费（每只/元/年）</w:t>
            </w:r>
          </w:p>
        </w:tc>
        <w:tc>
          <w:tcPr>
            <w:tcW w:w="3804" w:type="dxa"/>
            <w:noWrap w:val="0"/>
            <w:vAlign w:val="center"/>
          </w:tcPr>
          <w:p w14:paraId="3E87A326">
            <w:pPr>
              <w:spacing w:after="0"/>
              <w:jc w:val="center"/>
              <w:rPr>
                <w:rFonts w:hint="eastAsia" w:ascii="宋体" w:hAnsi="宋体" w:eastAsia="宋体" w:cs="宋体"/>
                <w:color w:val="auto"/>
                <w:sz w:val="24"/>
                <w:szCs w:val="24"/>
              </w:rPr>
            </w:pPr>
          </w:p>
        </w:tc>
        <w:tc>
          <w:tcPr>
            <w:tcW w:w="924" w:type="dxa"/>
            <w:noWrap w:val="0"/>
            <w:vAlign w:val="center"/>
          </w:tcPr>
          <w:p w14:paraId="29F17060">
            <w:pPr>
              <w:spacing w:after="0"/>
              <w:jc w:val="center"/>
              <w:rPr>
                <w:rFonts w:hint="eastAsia" w:ascii="宋体" w:hAnsi="宋体" w:eastAsia="宋体" w:cs="宋体"/>
                <w:color w:val="auto"/>
                <w:sz w:val="24"/>
                <w:szCs w:val="24"/>
              </w:rPr>
            </w:pPr>
          </w:p>
        </w:tc>
      </w:tr>
      <w:tr w14:paraId="3F0C5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353EED69">
            <w:pPr>
              <w:spacing w:after="0"/>
              <w:jc w:val="center"/>
              <w:rPr>
                <w:rFonts w:hint="eastAsia" w:ascii="宋体" w:hAnsi="宋体" w:eastAsia="宋体" w:cs="宋体"/>
                <w:color w:val="auto"/>
                <w:sz w:val="24"/>
                <w:szCs w:val="24"/>
              </w:rPr>
            </w:pPr>
          </w:p>
        </w:tc>
        <w:tc>
          <w:tcPr>
            <w:tcW w:w="3588" w:type="dxa"/>
            <w:noWrap w:val="0"/>
            <w:vAlign w:val="center"/>
          </w:tcPr>
          <w:p w14:paraId="5FCC612D">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折旧费（每只/元/年）</w:t>
            </w:r>
          </w:p>
        </w:tc>
        <w:tc>
          <w:tcPr>
            <w:tcW w:w="3804" w:type="dxa"/>
            <w:noWrap w:val="0"/>
            <w:vAlign w:val="center"/>
          </w:tcPr>
          <w:p w14:paraId="43D45091">
            <w:pPr>
              <w:spacing w:after="0"/>
              <w:jc w:val="center"/>
              <w:rPr>
                <w:rFonts w:hint="eastAsia" w:ascii="宋体" w:hAnsi="宋体" w:eastAsia="宋体" w:cs="宋体"/>
                <w:color w:val="auto"/>
                <w:sz w:val="24"/>
                <w:szCs w:val="24"/>
              </w:rPr>
            </w:pPr>
          </w:p>
        </w:tc>
        <w:tc>
          <w:tcPr>
            <w:tcW w:w="924" w:type="dxa"/>
            <w:noWrap w:val="0"/>
            <w:vAlign w:val="center"/>
          </w:tcPr>
          <w:p w14:paraId="221D98C5">
            <w:pPr>
              <w:spacing w:after="0"/>
              <w:jc w:val="center"/>
              <w:rPr>
                <w:rFonts w:hint="eastAsia" w:ascii="宋体" w:hAnsi="宋体" w:eastAsia="宋体" w:cs="宋体"/>
                <w:color w:val="auto"/>
                <w:sz w:val="24"/>
                <w:szCs w:val="24"/>
              </w:rPr>
            </w:pPr>
          </w:p>
        </w:tc>
      </w:tr>
      <w:tr w14:paraId="3CCC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1F85A4B3">
            <w:pPr>
              <w:spacing w:after="0"/>
              <w:jc w:val="center"/>
              <w:rPr>
                <w:rFonts w:hint="eastAsia" w:ascii="宋体" w:hAnsi="宋体" w:eastAsia="宋体" w:cs="宋体"/>
                <w:color w:val="auto"/>
                <w:sz w:val="24"/>
                <w:szCs w:val="24"/>
              </w:rPr>
            </w:pPr>
          </w:p>
        </w:tc>
        <w:tc>
          <w:tcPr>
            <w:tcW w:w="3588" w:type="dxa"/>
            <w:noWrap w:val="0"/>
            <w:vAlign w:val="center"/>
          </w:tcPr>
          <w:p w14:paraId="5BFAEB09">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保险及规费（每只/元/年）</w:t>
            </w:r>
          </w:p>
        </w:tc>
        <w:tc>
          <w:tcPr>
            <w:tcW w:w="3804" w:type="dxa"/>
            <w:noWrap w:val="0"/>
            <w:vAlign w:val="center"/>
          </w:tcPr>
          <w:p w14:paraId="14E0E852">
            <w:pPr>
              <w:spacing w:after="0"/>
              <w:jc w:val="center"/>
              <w:rPr>
                <w:rFonts w:hint="eastAsia" w:ascii="宋体" w:hAnsi="宋体" w:eastAsia="宋体" w:cs="宋体"/>
                <w:color w:val="auto"/>
                <w:sz w:val="24"/>
                <w:szCs w:val="24"/>
              </w:rPr>
            </w:pPr>
          </w:p>
        </w:tc>
        <w:tc>
          <w:tcPr>
            <w:tcW w:w="924" w:type="dxa"/>
            <w:noWrap w:val="0"/>
            <w:vAlign w:val="center"/>
          </w:tcPr>
          <w:p w14:paraId="5E4B0D19">
            <w:pPr>
              <w:spacing w:after="0"/>
              <w:jc w:val="center"/>
              <w:rPr>
                <w:rFonts w:hint="eastAsia" w:ascii="宋体" w:hAnsi="宋体" w:eastAsia="宋体" w:cs="宋体"/>
                <w:color w:val="auto"/>
                <w:sz w:val="24"/>
                <w:szCs w:val="24"/>
              </w:rPr>
            </w:pPr>
          </w:p>
        </w:tc>
      </w:tr>
      <w:tr w14:paraId="5F225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09BFD120">
            <w:pPr>
              <w:spacing w:after="0"/>
              <w:jc w:val="center"/>
              <w:rPr>
                <w:rFonts w:hint="eastAsia" w:ascii="宋体" w:hAnsi="宋体" w:eastAsia="宋体" w:cs="宋体"/>
                <w:color w:val="auto"/>
                <w:sz w:val="24"/>
                <w:szCs w:val="24"/>
              </w:rPr>
            </w:pPr>
          </w:p>
        </w:tc>
        <w:tc>
          <w:tcPr>
            <w:tcW w:w="3588" w:type="dxa"/>
            <w:noWrap w:val="0"/>
            <w:vAlign w:val="center"/>
          </w:tcPr>
          <w:p w14:paraId="2680219D">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3804" w:type="dxa"/>
            <w:noWrap w:val="0"/>
            <w:vAlign w:val="center"/>
          </w:tcPr>
          <w:p w14:paraId="04FD1F71">
            <w:pPr>
              <w:spacing w:after="0"/>
              <w:jc w:val="center"/>
              <w:rPr>
                <w:rFonts w:hint="eastAsia" w:ascii="宋体" w:hAnsi="宋体" w:eastAsia="宋体" w:cs="宋体"/>
                <w:color w:val="auto"/>
                <w:sz w:val="24"/>
                <w:szCs w:val="24"/>
              </w:rPr>
            </w:pPr>
          </w:p>
        </w:tc>
        <w:tc>
          <w:tcPr>
            <w:tcW w:w="924" w:type="dxa"/>
            <w:noWrap w:val="0"/>
            <w:vAlign w:val="center"/>
          </w:tcPr>
          <w:p w14:paraId="2BE00268">
            <w:pPr>
              <w:spacing w:after="0"/>
              <w:jc w:val="center"/>
              <w:rPr>
                <w:rFonts w:hint="eastAsia" w:ascii="宋体" w:hAnsi="宋体" w:eastAsia="宋体" w:cs="宋体"/>
                <w:color w:val="auto"/>
                <w:sz w:val="24"/>
                <w:szCs w:val="24"/>
              </w:rPr>
            </w:pPr>
          </w:p>
        </w:tc>
      </w:tr>
      <w:tr w14:paraId="7FA25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358ED4E6">
            <w:pPr>
              <w:spacing w:after="0"/>
              <w:jc w:val="center"/>
              <w:rPr>
                <w:rFonts w:hint="eastAsia" w:ascii="宋体" w:hAnsi="宋体" w:eastAsia="宋体" w:cs="宋体"/>
                <w:color w:val="auto"/>
                <w:sz w:val="24"/>
                <w:szCs w:val="24"/>
              </w:rPr>
            </w:pPr>
          </w:p>
        </w:tc>
        <w:tc>
          <w:tcPr>
            <w:tcW w:w="3588" w:type="dxa"/>
            <w:noWrap w:val="0"/>
            <w:vAlign w:val="center"/>
          </w:tcPr>
          <w:p w14:paraId="7C6E1015">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船只类别小计（每只/元/年）</w:t>
            </w:r>
          </w:p>
        </w:tc>
        <w:tc>
          <w:tcPr>
            <w:tcW w:w="3804" w:type="dxa"/>
            <w:noWrap w:val="0"/>
            <w:vAlign w:val="center"/>
          </w:tcPr>
          <w:p w14:paraId="3B92D8B8">
            <w:pPr>
              <w:spacing w:after="0"/>
              <w:jc w:val="center"/>
              <w:rPr>
                <w:rFonts w:hint="eastAsia" w:ascii="宋体" w:hAnsi="宋体" w:eastAsia="宋体" w:cs="宋体"/>
                <w:color w:val="auto"/>
                <w:sz w:val="24"/>
                <w:szCs w:val="24"/>
              </w:rPr>
            </w:pPr>
          </w:p>
        </w:tc>
        <w:tc>
          <w:tcPr>
            <w:tcW w:w="924" w:type="dxa"/>
            <w:noWrap w:val="0"/>
            <w:vAlign w:val="center"/>
          </w:tcPr>
          <w:p w14:paraId="3B35DEA0">
            <w:pPr>
              <w:spacing w:after="0"/>
              <w:jc w:val="center"/>
              <w:rPr>
                <w:rFonts w:hint="eastAsia" w:ascii="宋体" w:hAnsi="宋体" w:eastAsia="宋体" w:cs="宋体"/>
                <w:color w:val="auto"/>
                <w:sz w:val="24"/>
                <w:szCs w:val="24"/>
              </w:rPr>
            </w:pPr>
          </w:p>
        </w:tc>
      </w:tr>
      <w:tr w14:paraId="32834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4D35C8BC">
            <w:pPr>
              <w:spacing w:after="0"/>
              <w:jc w:val="center"/>
              <w:rPr>
                <w:rFonts w:hint="eastAsia" w:ascii="宋体" w:hAnsi="宋体" w:eastAsia="宋体" w:cs="宋体"/>
                <w:color w:val="auto"/>
                <w:sz w:val="24"/>
                <w:szCs w:val="24"/>
              </w:rPr>
            </w:pPr>
          </w:p>
        </w:tc>
        <w:tc>
          <w:tcPr>
            <w:tcW w:w="3588" w:type="dxa"/>
            <w:noWrap w:val="0"/>
            <w:vAlign w:val="center"/>
          </w:tcPr>
          <w:p w14:paraId="3A2103D7">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船只类别合计（元/年）</w:t>
            </w:r>
          </w:p>
        </w:tc>
        <w:tc>
          <w:tcPr>
            <w:tcW w:w="3804" w:type="dxa"/>
            <w:noWrap w:val="0"/>
            <w:vAlign w:val="center"/>
          </w:tcPr>
          <w:p w14:paraId="5A106423">
            <w:pPr>
              <w:spacing w:after="0"/>
              <w:jc w:val="center"/>
              <w:rPr>
                <w:rFonts w:hint="eastAsia" w:ascii="宋体" w:hAnsi="宋体" w:eastAsia="宋体" w:cs="宋体"/>
                <w:color w:val="auto"/>
                <w:sz w:val="24"/>
                <w:szCs w:val="24"/>
              </w:rPr>
            </w:pPr>
          </w:p>
        </w:tc>
        <w:tc>
          <w:tcPr>
            <w:tcW w:w="924" w:type="dxa"/>
            <w:noWrap w:val="0"/>
            <w:vAlign w:val="center"/>
          </w:tcPr>
          <w:p w14:paraId="52E64B17">
            <w:pPr>
              <w:spacing w:after="0"/>
              <w:jc w:val="center"/>
              <w:rPr>
                <w:rFonts w:hint="eastAsia" w:ascii="宋体" w:hAnsi="宋体" w:eastAsia="宋体" w:cs="宋体"/>
                <w:color w:val="auto"/>
                <w:sz w:val="24"/>
                <w:szCs w:val="24"/>
              </w:rPr>
            </w:pPr>
          </w:p>
        </w:tc>
      </w:tr>
      <w:tr w14:paraId="697C5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restart"/>
            <w:noWrap w:val="0"/>
            <w:vAlign w:val="center"/>
          </w:tcPr>
          <w:p w14:paraId="1015B0BB">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全自动水面清洁船</w:t>
            </w:r>
          </w:p>
        </w:tc>
        <w:tc>
          <w:tcPr>
            <w:tcW w:w="3588" w:type="dxa"/>
            <w:noWrap w:val="0"/>
            <w:vAlign w:val="center"/>
          </w:tcPr>
          <w:p w14:paraId="212BA762">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投入数量</w:t>
            </w:r>
          </w:p>
        </w:tc>
        <w:tc>
          <w:tcPr>
            <w:tcW w:w="3804" w:type="dxa"/>
            <w:noWrap w:val="0"/>
            <w:vAlign w:val="center"/>
          </w:tcPr>
          <w:p w14:paraId="14A18C0C">
            <w:pPr>
              <w:spacing w:after="0"/>
              <w:jc w:val="center"/>
              <w:rPr>
                <w:rFonts w:hint="eastAsia" w:ascii="宋体" w:hAnsi="宋体" w:eastAsia="宋体" w:cs="宋体"/>
                <w:color w:val="auto"/>
                <w:sz w:val="24"/>
                <w:szCs w:val="24"/>
              </w:rPr>
            </w:pPr>
          </w:p>
        </w:tc>
        <w:tc>
          <w:tcPr>
            <w:tcW w:w="924" w:type="dxa"/>
            <w:noWrap w:val="0"/>
            <w:vAlign w:val="center"/>
          </w:tcPr>
          <w:p w14:paraId="5C16441D">
            <w:pPr>
              <w:spacing w:after="0"/>
              <w:jc w:val="center"/>
              <w:rPr>
                <w:rFonts w:hint="eastAsia" w:ascii="宋体" w:hAnsi="宋体" w:eastAsia="宋体" w:cs="宋体"/>
                <w:color w:val="auto"/>
                <w:sz w:val="24"/>
                <w:szCs w:val="24"/>
              </w:rPr>
            </w:pPr>
          </w:p>
        </w:tc>
      </w:tr>
      <w:tr w14:paraId="33D4B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33EFE19F">
            <w:pPr>
              <w:spacing w:after="0"/>
              <w:jc w:val="center"/>
              <w:rPr>
                <w:rFonts w:hint="eastAsia" w:ascii="宋体" w:hAnsi="宋体" w:eastAsia="宋体" w:cs="宋体"/>
                <w:color w:val="auto"/>
                <w:sz w:val="24"/>
                <w:szCs w:val="24"/>
              </w:rPr>
            </w:pPr>
          </w:p>
        </w:tc>
        <w:tc>
          <w:tcPr>
            <w:tcW w:w="3588" w:type="dxa"/>
            <w:noWrap w:val="0"/>
            <w:vAlign w:val="center"/>
          </w:tcPr>
          <w:p w14:paraId="64BF6B21">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船只能耗费（每只/元/年）</w:t>
            </w:r>
          </w:p>
        </w:tc>
        <w:tc>
          <w:tcPr>
            <w:tcW w:w="3804" w:type="dxa"/>
            <w:noWrap w:val="0"/>
            <w:vAlign w:val="center"/>
          </w:tcPr>
          <w:p w14:paraId="147D7745">
            <w:pPr>
              <w:spacing w:after="0"/>
              <w:jc w:val="center"/>
              <w:rPr>
                <w:rFonts w:hint="eastAsia" w:ascii="宋体" w:hAnsi="宋体" w:eastAsia="宋体" w:cs="宋体"/>
                <w:color w:val="auto"/>
                <w:sz w:val="24"/>
                <w:szCs w:val="24"/>
              </w:rPr>
            </w:pPr>
          </w:p>
        </w:tc>
        <w:tc>
          <w:tcPr>
            <w:tcW w:w="924" w:type="dxa"/>
            <w:noWrap w:val="0"/>
            <w:vAlign w:val="center"/>
          </w:tcPr>
          <w:p w14:paraId="098BE449">
            <w:pPr>
              <w:spacing w:after="0"/>
              <w:jc w:val="center"/>
              <w:rPr>
                <w:rFonts w:hint="eastAsia" w:ascii="宋体" w:hAnsi="宋体" w:eastAsia="宋体" w:cs="宋体"/>
                <w:color w:val="auto"/>
                <w:sz w:val="24"/>
                <w:szCs w:val="24"/>
              </w:rPr>
            </w:pPr>
          </w:p>
        </w:tc>
      </w:tr>
      <w:tr w14:paraId="6C4FB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1A57B966">
            <w:pPr>
              <w:spacing w:after="0"/>
              <w:jc w:val="center"/>
              <w:rPr>
                <w:rFonts w:hint="eastAsia" w:ascii="宋体" w:hAnsi="宋体" w:eastAsia="宋体" w:cs="宋体"/>
                <w:color w:val="auto"/>
                <w:sz w:val="24"/>
                <w:szCs w:val="24"/>
              </w:rPr>
            </w:pPr>
          </w:p>
        </w:tc>
        <w:tc>
          <w:tcPr>
            <w:tcW w:w="3588" w:type="dxa"/>
            <w:noWrap w:val="0"/>
            <w:vAlign w:val="center"/>
          </w:tcPr>
          <w:p w14:paraId="3D0D761E">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修理、工具费（每只/元/年）</w:t>
            </w:r>
          </w:p>
        </w:tc>
        <w:tc>
          <w:tcPr>
            <w:tcW w:w="3804" w:type="dxa"/>
            <w:noWrap w:val="0"/>
            <w:vAlign w:val="center"/>
          </w:tcPr>
          <w:p w14:paraId="23D94D5E">
            <w:pPr>
              <w:spacing w:after="0"/>
              <w:jc w:val="center"/>
              <w:rPr>
                <w:rFonts w:hint="eastAsia" w:ascii="宋体" w:hAnsi="宋体" w:eastAsia="宋体" w:cs="宋体"/>
                <w:color w:val="auto"/>
                <w:sz w:val="24"/>
                <w:szCs w:val="24"/>
              </w:rPr>
            </w:pPr>
          </w:p>
        </w:tc>
        <w:tc>
          <w:tcPr>
            <w:tcW w:w="924" w:type="dxa"/>
            <w:noWrap w:val="0"/>
            <w:vAlign w:val="center"/>
          </w:tcPr>
          <w:p w14:paraId="3E47BDE1">
            <w:pPr>
              <w:spacing w:after="0"/>
              <w:jc w:val="center"/>
              <w:rPr>
                <w:rFonts w:hint="eastAsia" w:ascii="宋体" w:hAnsi="宋体" w:eastAsia="宋体" w:cs="宋体"/>
                <w:color w:val="auto"/>
                <w:sz w:val="24"/>
                <w:szCs w:val="24"/>
              </w:rPr>
            </w:pPr>
          </w:p>
        </w:tc>
      </w:tr>
      <w:tr w14:paraId="4DB1D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7A3BFF68">
            <w:pPr>
              <w:spacing w:after="0"/>
              <w:jc w:val="center"/>
              <w:rPr>
                <w:rFonts w:hint="eastAsia" w:ascii="宋体" w:hAnsi="宋体" w:eastAsia="宋体" w:cs="宋体"/>
                <w:color w:val="auto"/>
                <w:sz w:val="24"/>
                <w:szCs w:val="24"/>
              </w:rPr>
            </w:pPr>
          </w:p>
        </w:tc>
        <w:tc>
          <w:tcPr>
            <w:tcW w:w="3588" w:type="dxa"/>
            <w:noWrap w:val="0"/>
            <w:vAlign w:val="center"/>
          </w:tcPr>
          <w:p w14:paraId="392D2D93">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折旧费（每只/元/年）</w:t>
            </w:r>
          </w:p>
        </w:tc>
        <w:tc>
          <w:tcPr>
            <w:tcW w:w="3804" w:type="dxa"/>
            <w:noWrap w:val="0"/>
            <w:vAlign w:val="center"/>
          </w:tcPr>
          <w:p w14:paraId="3EDED2D7">
            <w:pPr>
              <w:spacing w:after="0"/>
              <w:jc w:val="center"/>
              <w:rPr>
                <w:rFonts w:hint="eastAsia" w:ascii="宋体" w:hAnsi="宋体" w:eastAsia="宋体" w:cs="宋体"/>
                <w:color w:val="auto"/>
                <w:sz w:val="24"/>
                <w:szCs w:val="24"/>
              </w:rPr>
            </w:pPr>
          </w:p>
        </w:tc>
        <w:tc>
          <w:tcPr>
            <w:tcW w:w="924" w:type="dxa"/>
            <w:noWrap w:val="0"/>
            <w:vAlign w:val="center"/>
          </w:tcPr>
          <w:p w14:paraId="2AB12F41">
            <w:pPr>
              <w:spacing w:after="0"/>
              <w:jc w:val="center"/>
              <w:rPr>
                <w:rFonts w:hint="eastAsia" w:ascii="宋体" w:hAnsi="宋体" w:eastAsia="宋体" w:cs="宋体"/>
                <w:color w:val="auto"/>
                <w:sz w:val="24"/>
                <w:szCs w:val="24"/>
              </w:rPr>
            </w:pPr>
          </w:p>
        </w:tc>
      </w:tr>
      <w:tr w14:paraId="18A29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3A293AE4">
            <w:pPr>
              <w:spacing w:after="0"/>
              <w:jc w:val="center"/>
              <w:rPr>
                <w:rFonts w:hint="eastAsia" w:ascii="宋体" w:hAnsi="宋体" w:eastAsia="宋体" w:cs="宋体"/>
                <w:color w:val="auto"/>
                <w:sz w:val="24"/>
                <w:szCs w:val="24"/>
              </w:rPr>
            </w:pPr>
          </w:p>
        </w:tc>
        <w:tc>
          <w:tcPr>
            <w:tcW w:w="3588" w:type="dxa"/>
            <w:noWrap w:val="0"/>
            <w:vAlign w:val="center"/>
          </w:tcPr>
          <w:p w14:paraId="7230E215">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保险及规费（每只/元/年）</w:t>
            </w:r>
          </w:p>
        </w:tc>
        <w:tc>
          <w:tcPr>
            <w:tcW w:w="3804" w:type="dxa"/>
            <w:noWrap w:val="0"/>
            <w:vAlign w:val="center"/>
          </w:tcPr>
          <w:p w14:paraId="57BF4F8C">
            <w:pPr>
              <w:spacing w:after="0"/>
              <w:jc w:val="center"/>
              <w:rPr>
                <w:rFonts w:hint="eastAsia" w:ascii="宋体" w:hAnsi="宋体" w:eastAsia="宋体" w:cs="宋体"/>
                <w:color w:val="auto"/>
                <w:sz w:val="24"/>
                <w:szCs w:val="24"/>
              </w:rPr>
            </w:pPr>
          </w:p>
        </w:tc>
        <w:tc>
          <w:tcPr>
            <w:tcW w:w="924" w:type="dxa"/>
            <w:noWrap w:val="0"/>
            <w:vAlign w:val="center"/>
          </w:tcPr>
          <w:p w14:paraId="6E759B02">
            <w:pPr>
              <w:spacing w:after="0"/>
              <w:jc w:val="center"/>
              <w:rPr>
                <w:rFonts w:hint="eastAsia" w:ascii="宋体" w:hAnsi="宋体" w:eastAsia="宋体" w:cs="宋体"/>
                <w:color w:val="auto"/>
                <w:sz w:val="24"/>
                <w:szCs w:val="24"/>
              </w:rPr>
            </w:pPr>
          </w:p>
        </w:tc>
      </w:tr>
      <w:tr w14:paraId="35FC2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012AB876">
            <w:pPr>
              <w:spacing w:after="0"/>
              <w:jc w:val="center"/>
              <w:rPr>
                <w:rFonts w:hint="eastAsia" w:ascii="宋体" w:hAnsi="宋体" w:eastAsia="宋体" w:cs="宋体"/>
                <w:color w:val="auto"/>
                <w:sz w:val="24"/>
                <w:szCs w:val="24"/>
              </w:rPr>
            </w:pPr>
          </w:p>
        </w:tc>
        <w:tc>
          <w:tcPr>
            <w:tcW w:w="3588" w:type="dxa"/>
            <w:noWrap w:val="0"/>
            <w:vAlign w:val="center"/>
          </w:tcPr>
          <w:p w14:paraId="30991D0B">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3804" w:type="dxa"/>
            <w:noWrap w:val="0"/>
            <w:vAlign w:val="center"/>
          </w:tcPr>
          <w:p w14:paraId="5AD17613">
            <w:pPr>
              <w:spacing w:after="0"/>
              <w:jc w:val="center"/>
              <w:rPr>
                <w:rFonts w:hint="eastAsia" w:ascii="宋体" w:hAnsi="宋体" w:eastAsia="宋体" w:cs="宋体"/>
                <w:color w:val="auto"/>
                <w:sz w:val="24"/>
                <w:szCs w:val="24"/>
              </w:rPr>
            </w:pPr>
          </w:p>
        </w:tc>
        <w:tc>
          <w:tcPr>
            <w:tcW w:w="924" w:type="dxa"/>
            <w:noWrap w:val="0"/>
            <w:vAlign w:val="center"/>
          </w:tcPr>
          <w:p w14:paraId="7852FB9D">
            <w:pPr>
              <w:spacing w:after="0"/>
              <w:jc w:val="center"/>
              <w:rPr>
                <w:rFonts w:hint="eastAsia" w:ascii="宋体" w:hAnsi="宋体" w:eastAsia="宋体" w:cs="宋体"/>
                <w:color w:val="auto"/>
                <w:sz w:val="24"/>
                <w:szCs w:val="24"/>
              </w:rPr>
            </w:pPr>
          </w:p>
        </w:tc>
      </w:tr>
      <w:tr w14:paraId="50309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5796EA9D">
            <w:pPr>
              <w:spacing w:after="0"/>
              <w:jc w:val="center"/>
              <w:rPr>
                <w:rFonts w:hint="eastAsia" w:ascii="宋体" w:hAnsi="宋体" w:eastAsia="宋体" w:cs="宋体"/>
                <w:color w:val="auto"/>
                <w:sz w:val="24"/>
                <w:szCs w:val="24"/>
              </w:rPr>
            </w:pPr>
          </w:p>
        </w:tc>
        <w:tc>
          <w:tcPr>
            <w:tcW w:w="3588" w:type="dxa"/>
            <w:noWrap w:val="0"/>
            <w:vAlign w:val="center"/>
          </w:tcPr>
          <w:p w14:paraId="37F378BB">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船只类别小计（每只/元/年）</w:t>
            </w:r>
          </w:p>
        </w:tc>
        <w:tc>
          <w:tcPr>
            <w:tcW w:w="3804" w:type="dxa"/>
            <w:noWrap w:val="0"/>
            <w:vAlign w:val="center"/>
          </w:tcPr>
          <w:p w14:paraId="6A80BF8B">
            <w:pPr>
              <w:spacing w:after="0"/>
              <w:jc w:val="center"/>
              <w:rPr>
                <w:rFonts w:hint="eastAsia" w:ascii="宋体" w:hAnsi="宋体" w:eastAsia="宋体" w:cs="宋体"/>
                <w:color w:val="auto"/>
                <w:sz w:val="24"/>
                <w:szCs w:val="24"/>
              </w:rPr>
            </w:pPr>
          </w:p>
        </w:tc>
        <w:tc>
          <w:tcPr>
            <w:tcW w:w="924" w:type="dxa"/>
            <w:noWrap w:val="0"/>
            <w:vAlign w:val="center"/>
          </w:tcPr>
          <w:p w14:paraId="31EE312A">
            <w:pPr>
              <w:spacing w:after="0"/>
              <w:jc w:val="center"/>
              <w:rPr>
                <w:rFonts w:hint="eastAsia" w:ascii="宋体" w:hAnsi="宋体" w:eastAsia="宋体" w:cs="宋体"/>
                <w:color w:val="auto"/>
                <w:sz w:val="24"/>
                <w:szCs w:val="24"/>
              </w:rPr>
            </w:pPr>
          </w:p>
        </w:tc>
      </w:tr>
      <w:tr w14:paraId="61DAB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1365" w:type="dxa"/>
            <w:vMerge w:val="continue"/>
            <w:noWrap w:val="0"/>
            <w:vAlign w:val="center"/>
          </w:tcPr>
          <w:p w14:paraId="4C5ADA5F">
            <w:pPr>
              <w:spacing w:after="0"/>
              <w:jc w:val="center"/>
              <w:rPr>
                <w:rFonts w:hint="eastAsia" w:ascii="宋体" w:hAnsi="宋体" w:eastAsia="宋体" w:cs="宋体"/>
                <w:color w:val="auto"/>
                <w:sz w:val="24"/>
                <w:szCs w:val="24"/>
              </w:rPr>
            </w:pPr>
          </w:p>
        </w:tc>
        <w:tc>
          <w:tcPr>
            <w:tcW w:w="3588" w:type="dxa"/>
            <w:noWrap w:val="0"/>
            <w:vAlign w:val="center"/>
          </w:tcPr>
          <w:p w14:paraId="69BE6FF9">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船只类别合计（元/年）</w:t>
            </w:r>
          </w:p>
        </w:tc>
        <w:tc>
          <w:tcPr>
            <w:tcW w:w="3804" w:type="dxa"/>
            <w:noWrap w:val="0"/>
            <w:vAlign w:val="center"/>
          </w:tcPr>
          <w:p w14:paraId="77A24A01">
            <w:pPr>
              <w:spacing w:after="0"/>
              <w:jc w:val="center"/>
              <w:rPr>
                <w:rFonts w:hint="eastAsia" w:ascii="宋体" w:hAnsi="宋体" w:eastAsia="宋体" w:cs="宋体"/>
                <w:color w:val="auto"/>
                <w:sz w:val="24"/>
                <w:szCs w:val="24"/>
              </w:rPr>
            </w:pPr>
          </w:p>
        </w:tc>
        <w:tc>
          <w:tcPr>
            <w:tcW w:w="924" w:type="dxa"/>
            <w:noWrap w:val="0"/>
            <w:vAlign w:val="center"/>
          </w:tcPr>
          <w:p w14:paraId="4C6D7B7F">
            <w:pPr>
              <w:spacing w:after="0"/>
              <w:jc w:val="center"/>
              <w:rPr>
                <w:rFonts w:hint="eastAsia" w:ascii="宋体" w:hAnsi="宋体" w:eastAsia="宋体" w:cs="宋体"/>
                <w:color w:val="auto"/>
                <w:sz w:val="24"/>
                <w:szCs w:val="24"/>
              </w:rPr>
            </w:pPr>
          </w:p>
        </w:tc>
      </w:tr>
      <w:tr w14:paraId="480E5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4953" w:type="dxa"/>
            <w:gridSpan w:val="2"/>
            <w:noWrap w:val="0"/>
            <w:vAlign w:val="center"/>
          </w:tcPr>
          <w:p w14:paraId="065B0FF7">
            <w:pPr>
              <w:spacing w:after="0"/>
              <w:jc w:val="center"/>
              <w:rPr>
                <w:rFonts w:hint="eastAsia" w:ascii="宋体" w:hAnsi="宋体" w:eastAsia="宋体" w:cs="宋体"/>
                <w:color w:val="auto"/>
                <w:sz w:val="24"/>
                <w:szCs w:val="24"/>
              </w:rPr>
            </w:pPr>
            <w:r>
              <w:rPr>
                <w:rFonts w:hint="eastAsia" w:ascii="宋体" w:hAnsi="宋体" w:eastAsia="宋体" w:cs="宋体"/>
                <w:b/>
                <w:bCs w:val="0"/>
                <w:color w:val="auto"/>
                <w:sz w:val="24"/>
                <w:szCs w:val="24"/>
              </w:rPr>
              <w:t>船只合计费用（元）</w:t>
            </w:r>
          </w:p>
        </w:tc>
        <w:tc>
          <w:tcPr>
            <w:tcW w:w="3804" w:type="dxa"/>
            <w:noWrap w:val="0"/>
            <w:vAlign w:val="center"/>
          </w:tcPr>
          <w:p w14:paraId="10AAC4EA">
            <w:pPr>
              <w:spacing w:after="0"/>
              <w:jc w:val="center"/>
              <w:rPr>
                <w:rFonts w:hint="eastAsia" w:ascii="宋体" w:hAnsi="宋体" w:eastAsia="宋体" w:cs="宋体"/>
                <w:color w:val="auto"/>
                <w:sz w:val="24"/>
                <w:szCs w:val="24"/>
              </w:rPr>
            </w:pPr>
          </w:p>
        </w:tc>
        <w:tc>
          <w:tcPr>
            <w:tcW w:w="924" w:type="dxa"/>
            <w:noWrap w:val="0"/>
            <w:vAlign w:val="center"/>
          </w:tcPr>
          <w:p w14:paraId="55DCB2CA">
            <w:pPr>
              <w:spacing w:after="0"/>
              <w:jc w:val="center"/>
              <w:rPr>
                <w:rFonts w:hint="eastAsia" w:ascii="宋体" w:hAnsi="宋体" w:eastAsia="宋体" w:cs="宋体"/>
                <w:color w:val="auto"/>
                <w:sz w:val="24"/>
                <w:szCs w:val="24"/>
              </w:rPr>
            </w:pPr>
          </w:p>
        </w:tc>
      </w:tr>
    </w:tbl>
    <w:p w14:paraId="002A87C9">
      <w:pPr>
        <w:spacing w:after="0" w:line="480" w:lineRule="exact"/>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注：1、投标人应将对应分包所投入的有关船只费用情况分类别依次填报在上述表格中。</w:t>
      </w:r>
    </w:p>
    <w:p w14:paraId="045F9250">
      <w:pPr>
        <w:spacing w:after="0" w:line="480" w:lineRule="exact"/>
        <w:ind w:firstLine="480" w:firstLineChars="200"/>
        <w:jc w:val="left"/>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2、表中“船只合计费用（元）”应与</w:t>
      </w:r>
      <w:r>
        <w:rPr>
          <w:rFonts w:hint="eastAsia" w:ascii="宋体" w:hAnsi="宋体" w:eastAsia="宋体" w:cs="宋体"/>
          <w:b/>
          <w:bCs w:val="0"/>
          <w:color w:val="auto"/>
          <w:sz w:val="24"/>
          <w:szCs w:val="24"/>
        </w:rPr>
        <w:t>对应分包报价明细表</w:t>
      </w:r>
      <w:r>
        <w:rPr>
          <w:rFonts w:hint="eastAsia" w:ascii="宋体" w:hAnsi="宋体" w:eastAsia="宋体" w:cs="宋体"/>
          <w:bCs w:val="0"/>
          <w:color w:val="auto"/>
          <w:sz w:val="24"/>
          <w:szCs w:val="24"/>
        </w:rPr>
        <w:t>中的“船只总费用”相一致。</w:t>
      </w:r>
    </w:p>
    <w:p w14:paraId="0D9BF674">
      <w:pPr>
        <w:spacing w:after="0" w:line="480" w:lineRule="exact"/>
        <w:ind w:firstLine="480" w:firstLineChars="200"/>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3、投入费用明细供评委和采购人参考。</w:t>
      </w:r>
    </w:p>
    <w:p w14:paraId="2583B587">
      <w:pPr>
        <w:spacing w:after="0" w:line="480" w:lineRule="exact"/>
        <w:ind w:firstLine="480" w:firstLineChars="200"/>
        <w:rPr>
          <w:rFonts w:hint="eastAsia" w:ascii="宋体" w:hAnsi="宋体" w:eastAsia="宋体" w:cs="宋体"/>
          <w:bCs w:val="0"/>
          <w:color w:val="auto"/>
          <w:sz w:val="24"/>
          <w:szCs w:val="24"/>
          <w:lang w:eastAsia="zh-CN"/>
        </w:rPr>
      </w:pPr>
      <w:r>
        <w:rPr>
          <w:rFonts w:hint="eastAsia" w:ascii="宋体" w:hAnsi="宋体" w:eastAsia="宋体" w:cs="宋体"/>
          <w:bCs w:val="0"/>
          <w:color w:val="auto"/>
          <w:sz w:val="24"/>
          <w:szCs w:val="24"/>
        </w:rPr>
        <w:t>4、如有需要说明的事项，请在备注中列明</w:t>
      </w:r>
      <w:r>
        <w:rPr>
          <w:rFonts w:hint="eastAsia" w:ascii="宋体" w:hAnsi="宋体" w:eastAsia="宋体" w:cs="宋体"/>
          <w:bCs w:val="0"/>
          <w:color w:val="auto"/>
          <w:sz w:val="24"/>
          <w:szCs w:val="24"/>
          <w:lang w:eastAsia="zh-CN"/>
        </w:rPr>
        <w:t>。</w:t>
      </w:r>
    </w:p>
    <w:p w14:paraId="230C16EC">
      <w:pPr>
        <w:spacing w:after="0" w:line="48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Cs w:val="0"/>
          <w:color w:val="auto"/>
          <w:sz w:val="24"/>
          <w:szCs w:val="24"/>
        </w:rPr>
        <w:t>5、</w:t>
      </w:r>
      <w:r>
        <w:rPr>
          <w:rFonts w:hint="eastAsia" w:ascii="宋体" w:hAnsi="宋体" w:eastAsia="宋体" w:cs="宋体"/>
          <w:b/>
          <w:bCs w:val="0"/>
          <w:color w:val="auto"/>
          <w:kern w:val="2"/>
          <w:sz w:val="24"/>
          <w:szCs w:val="24"/>
        </w:rPr>
        <w:t>每个分包单独提供一份表格。</w:t>
      </w:r>
    </w:p>
    <w:p w14:paraId="0F54671D">
      <w:pPr>
        <w:spacing w:after="0" w:line="480" w:lineRule="exact"/>
        <w:rPr>
          <w:rFonts w:hint="eastAsia" w:ascii="宋体" w:hAnsi="宋体" w:eastAsia="宋体" w:cs="宋体"/>
          <w:b/>
          <w:bCs w:val="0"/>
          <w:color w:val="auto"/>
          <w:sz w:val="28"/>
          <w:szCs w:val="28"/>
        </w:rPr>
      </w:pPr>
      <w:r>
        <w:rPr>
          <w:rFonts w:hint="eastAsia" w:ascii="Times New Roman" w:hAnsi="Times New Roman"/>
          <w:b/>
          <w:bCs/>
          <w:color w:val="auto"/>
          <w:sz w:val="28"/>
          <w:szCs w:val="28"/>
          <w:highlight w:val="none"/>
          <w:lang w:val="en-US" w:eastAsia="zh-CN"/>
        </w:rPr>
        <w:br w:type="page"/>
      </w:r>
      <w:r>
        <w:rPr>
          <w:rFonts w:hint="eastAsia" w:ascii="宋体" w:hAnsi="宋体" w:eastAsia="宋体" w:cs="宋体"/>
          <w:b/>
          <w:bCs w:val="0"/>
          <w:color w:val="auto"/>
          <w:sz w:val="28"/>
          <w:szCs w:val="28"/>
        </w:rPr>
        <w:t>分包号：适用于第一包～第四包</w:t>
      </w:r>
    </w:p>
    <w:p w14:paraId="101BF0D5">
      <w:pPr>
        <w:spacing w:after="0" w:line="480" w:lineRule="exact"/>
        <w:jc w:val="center"/>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rPr>
        <w:t>报价承诺书</w:t>
      </w:r>
    </w:p>
    <w:p w14:paraId="50BCDB44">
      <w:pPr>
        <w:widowControl w:val="0"/>
        <w:adjustRightInd w:val="0"/>
        <w:snapToGrid w:val="0"/>
        <w:spacing w:after="0" w:line="580" w:lineRule="exact"/>
        <w:rPr>
          <w:rFonts w:hint="eastAsia" w:ascii="宋体" w:hAnsi="宋体" w:eastAsia="宋体" w:cs="宋体"/>
          <w:bCs w:val="0"/>
          <w:color w:val="auto"/>
          <w:spacing w:val="6"/>
          <w:kern w:val="2"/>
          <w:sz w:val="24"/>
          <w:szCs w:val="24"/>
        </w:rPr>
      </w:pPr>
      <w:r>
        <w:rPr>
          <w:rFonts w:hint="eastAsia" w:ascii="宋体" w:hAnsi="宋体" w:eastAsia="宋体" w:cs="宋体"/>
          <w:bCs w:val="0"/>
          <w:color w:val="auto"/>
          <w:spacing w:val="6"/>
          <w:kern w:val="2"/>
          <w:sz w:val="24"/>
          <w:szCs w:val="24"/>
        </w:rPr>
        <w:t>项目名称：</w:t>
      </w:r>
      <w:r>
        <w:rPr>
          <w:rFonts w:hint="eastAsia" w:ascii="宋体" w:hAnsi="宋体" w:eastAsia="宋体" w:cs="宋体"/>
          <w:bCs w:val="0"/>
          <w:color w:val="auto"/>
          <w:spacing w:val="6"/>
          <w:kern w:val="2"/>
          <w:sz w:val="24"/>
          <w:szCs w:val="24"/>
          <w:u w:val="single"/>
        </w:rPr>
        <w:t xml:space="preserve"> 202</w:t>
      </w:r>
      <w:r>
        <w:rPr>
          <w:rFonts w:hint="eastAsia" w:ascii="宋体" w:hAnsi="宋体" w:eastAsia="宋体" w:cs="宋体"/>
          <w:bCs w:val="0"/>
          <w:color w:val="auto"/>
          <w:spacing w:val="6"/>
          <w:kern w:val="2"/>
          <w:sz w:val="24"/>
          <w:szCs w:val="24"/>
          <w:u w:val="single"/>
          <w:lang w:val="en-US" w:eastAsia="zh-CN"/>
        </w:rPr>
        <w:t>5</w:t>
      </w:r>
      <w:r>
        <w:rPr>
          <w:rFonts w:hint="eastAsia" w:ascii="宋体" w:hAnsi="宋体" w:eastAsia="宋体" w:cs="宋体"/>
          <w:bCs w:val="0"/>
          <w:color w:val="auto"/>
          <w:spacing w:val="6"/>
          <w:kern w:val="2"/>
          <w:sz w:val="24"/>
          <w:szCs w:val="24"/>
          <w:u w:val="single"/>
        </w:rPr>
        <w:t xml:space="preserve">年度常熟市市级河道保洁服务 </w:t>
      </w:r>
    </w:p>
    <w:p w14:paraId="3AE3AFDE">
      <w:pPr>
        <w:widowControl w:val="0"/>
        <w:adjustRightInd w:val="0"/>
        <w:snapToGrid w:val="0"/>
        <w:spacing w:after="0" w:line="580" w:lineRule="exact"/>
        <w:rPr>
          <w:rFonts w:hint="eastAsia" w:ascii="宋体" w:hAnsi="宋体" w:eastAsia="宋体" w:cs="宋体"/>
          <w:bCs w:val="0"/>
          <w:color w:val="auto"/>
          <w:spacing w:val="6"/>
          <w:kern w:val="2"/>
          <w:sz w:val="24"/>
          <w:szCs w:val="24"/>
        </w:rPr>
      </w:pPr>
      <w:r>
        <w:rPr>
          <w:rFonts w:hint="eastAsia" w:ascii="宋体" w:hAnsi="宋体" w:eastAsia="宋体" w:cs="宋体"/>
          <w:bCs w:val="0"/>
          <w:color w:val="auto"/>
          <w:spacing w:val="6"/>
          <w:kern w:val="2"/>
          <w:sz w:val="24"/>
          <w:szCs w:val="24"/>
        </w:rPr>
        <w:t>致：</w:t>
      </w:r>
      <w:r>
        <w:rPr>
          <w:rFonts w:hint="eastAsia" w:ascii="宋体" w:hAnsi="宋体" w:eastAsia="宋体" w:cs="宋体"/>
          <w:bCs w:val="0"/>
          <w:color w:val="auto"/>
          <w:spacing w:val="6"/>
          <w:kern w:val="2"/>
          <w:sz w:val="24"/>
          <w:szCs w:val="24"/>
          <w:u w:val="single"/>
        </w:rPr>
        <w:t xml:space="preserve"> </w:t>
      </w:r>
      <w:r>
        <w:rPr>
          <w:rFonts w:hint="eastAsia" w:ascii="宋体" w:hAnsi="宋体" w:cs="宋体"/>
          <w:bCs w:val="0"/>
          <w:color w:val="auto"/>
          <w:spacing w:val="6"/>
          <w:kern w:val="2"/>
          <w:sz w:val="24"/>
          <w:szCs w:val="24"/>
          <w:u w:val="single"/>
          <w:lang w:eastAsia="zh-CN"/>
        </w:rPr>
        <w:t>常熟市水务局</w:t>
      </w:r>
      <w:r>
        <w:rPr>
          <w:rFonts w:hint="eastAsia" w:ascii="宋体" w:hAnsi="宋体" w:eastAsia="宋体" w:cs="宋体"/>
          <w:bCs w:val="0"/>
          <w:color w:val="auto"/>
          <w:spacing w:val="6"/>
          <w:kern w:val="2"/>
          <w:sz w:val="24"/>
          <w:szCs w:val="24"/>
          <w:u w:val="single"/>
        </w:rPr>
        <w:t xml:space="preserve">   </w:t>
      </w:r>
    </w:p>
    <w:p w14:paraId="0B26D432">
      <w:pPr>
        <w:widowControl w:val="0"/>
        <w:adjustRightInd w:val="0"/>
        <w:snapToGrid w:val="0"/>
        <w:spacing w:after="0" w:line="580" w:lineRule="exact"/>
        <w:ind w:firstLine="504" w:firstLineChars="200"/>
        <w:rPr>
          <w:rFonts w:hint="eastAsia" w:ascii="宋体" w:hAnsi="宋体" w:eastAsia="宋体" w:cs="宋体"/>
          <w:bCs w:val="0"/>
          <w:color w:val="auto"/>
          <w:spacing w:val="6"/>
          <w:kern w:val="2"/>
          <w:sz w:val="24"/>
          <w:szCs w:val="24"/>
        </w:rPr>
      </w:pPr>
      <w:r>
        <w:rPr>
          <w:rFonts w:hint="eastAsia" w:ascii="宋体" w:hAnsi="宋体" w:eastAsia="宋体" w:cs="宋体"/>
          <w:bCs w:val="0"/>
          <w:color w:val="auto"/>
          <w:spacing w:val="6"/>
          <w:kern w:val="2"/>
          <w:sz w:val="24"/>
          <w:szCs w:val="24"/>
        </w:rPr>
        <w:t>我公司承诺若中标后，投标文件中的所有报价明细会贯彻本项目实施，如服务限期内有因费用问题不利于本项目顺利进行的情形，其所有责任由我公司承担。</w:t>
      </w:r>
    </w:p>
    <w:p w14:paraId="02BD9331">
      <w:pPr>
        <w:widowControl w:val="0"/>
        <w:adjustRightInd w:val="0"/>
        <w:snapToGrid w:val="0"/>
        <w:spacing w:after="0" w:line="580" w:lineRule="exact"/>
        <w:ind w:firstLine="504" w:firstLineChars="200"/>
        <w:rPr>
          <w:rFonts w:hint="eastAsia" w:ascii="宋体" w:hAnsi="宋体" w:eastAsia="宋体" w:cs="宋体"/>
          <w:bCs w:val="0"/>
          <w:color w:val="auto"/>
          <w:spacing w:val="6"/>
          <w:kern w:val="2"/>
          <w:sz w:val="24"/>
          <w:szCs w:val="24"/>
        </w:rPr>
      </w:pPr>
    </w:p>
    <w:p w14:paraId="5A9496AB">
      <w:pPr>
        <w:widowControl w:val="0"/>
        <w:adjustRightInd w:val="0"/>
        <w:snapToGrid w:val="0"/>
        <w:spacing w:after="0" w:line="580" w:lineRule="exact"/>
        <w:ind w:firstLine="504" w:firstLineChars="200"/>
        <w:rPr>
          <w:rFonts w:hint="eastAsia" w:ascii="宋体" w:hAnsi="宋体" w:eastAsia="宋体" w:cs="宋体"/>
          <w:bCs w:val="0"/>
          <w:color w:val="auto"/>
          <w:spacing w:val="6"/>
          <w:kern w:val="2"/>
          <w:sz w:val="24"/>
          <w:szCs w:val="24"/>
        </w:rPr>
      </w:pPr>
    </w:p>
    <w:p w14:paraId="1F8609A1">
      <w:pPr>
        <w:widowControl w:val="0"/>
        <w:adjustRightInd w:val="0"/>
        <w:snapToGrid w:val="0"/>
        <w:spacing w:after="0" w:line="580" w:lineRule="exact"/>
        <w:ind w:firstLine="504" w:firstLineChars="200"/>
        <w:rPr>
          <w:rFonts w:hint="eastAsia" w:ascii="宋体" w:hAnsi="宋体" w:eastAsia="宋体" w:cs="宋体"/>
          <w:bCs w:val="0"/>
          <w:color w:val="auto"/>
          <w:spacing w:val="6"/>
          <w:kern w:val="2"/>
          <w:sz w:val="24"/>
          <w:szCs w:val="24"/>
        </w:rPr>
      </w:pPr>
    </w:p>
    <w:p w14:paraId="5D0B78EF">
      <w:pPr>
        <w:pStyle w:val="2"/>
        <w:shd w:val="clear"/>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企业名称（加盖CA电子公章）：</w:t>
      </w:r>
    </w:p>
    <w:p w14:paraId="0382E747">
      <w:pPr>
        <w:pStyle w:val="2"/>
        <w:shd w:val="clear"/>
        <w:spacing w:before="35" w:line="440" w:lineRule="exact"/>
        <w:ind w:left="4060" w:right="2166" w:firstLine="358" w:firstLineChars="152"/>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日期：</w:t>
      </w:r>
    </w:p>
    <w:p w14:paraId="654BA229">
      <w:pPr>
        <w:rPr>
          <w:rFonts w:hint="eastAsia" w:ascii="Times New Roman" w:hAnsi="Times New Roman"/>
          <w:b/>
          <w:bCs/>
          <w:color w:val="auto"/>
          <w:sz w:val="28"/>
          <w:szCs w:val="28"/>
          <w:highlight w:val="none"/>
          <w:lang w:val="en-US" w:eastAsia="zh-CN"/>
        </w:rPr>
      </w:pPr>
    </w:p>
    <w:p w14:paraId="45EE416B">
      <w:pPr>
        <w:rPr>
          <w:rFonts w:hint="eastAsia" w:ascii="Times New Roman" w:hAnsi="Times New Roman"/>
          <w:b/>
          <w:bCs/>
          <w:color w:val="auto"/>
          <w:sz w:val="28"/>
          <w:szCs w:val="28"/>
          <w:highlight w:val="none"/>
          <w:lang w:val="en-US" w:eastAsia="zh-CN"/>
        </w:rPr>
      </w:pPr>
      <w:r>
        <w:rPr>
          <w:rFonts w:hint="eastAsia" w:ascii="Times New Roman" w:hAnsi="Times New Roman"/>
          <w:b/>
          <w:bCs/>
          <w:color w:val="auto"/>
          <w:sz w:val="28"/>
          <w:szCs w:val="28"/>
          <w:highlight w:val="none"/>
          <w:lang w:val="en-US" w:eastAsia="zh-CN"/>
        </w:rPr>
        <w:br w:type="page"/>
      </w:r>
    </w:p>
    <w:p w14:paraId="67B5F525">
      <w:pPr>
        <w:shd w:val="clear"/>
        <w:spacing w:line="440" w:lineRule="exact"/>
        <w:ind w:firstLine="482"/>
        <w:jc w:val="center"/>
        <w:outlineLvl w:val="1"/>
        <w:rPr>
          <w:rFonts w:hint="eastAsia" w:ascii="Times New Roman" w:hAnsi="Times New Roman" w:eastAsia="宋体"/>
          <w:b/>
          <w:bCs/>
          <w:color w:val="auto"/>
          <w:sz w:val="28"/>
          <w:szCs w:val="28"/>
          <w:highlight w:val="none"/>
          <w:lang w:eastAsia="zh-CN"/>
        </w:rPr>
      </w:pPr>
      <w:bookmarkStart w:id="313" w:name="_Toc14283"/>
      <w:r>
        <w:rPr>
          <w:rFonts w:hint="eastAsia" w:ascii="Times New Roman" w:hAnsi="Times New Roman"/>
          <w:b/>
          <w:bCs/>
          <w:color w:val="auto"/>
          <w:sz w:val="28"/>
          <w:szCs w:val="28"/>
          <w:highlight w:val="none"/>
          <w:lang w:val="en-US" w:eastAsia="zh-CN"/>
        </w:rPr>
        <w:t xml:space="preserve">附件3 </w:t>
      </w:r>
      <w:r>
        <w:rPr>
          <w:rFonts w:hint="eastAsia" w:ascii="Times New Roman" w:hAnsi="Times New Roman"/>
          <w:b/>
          <w:bCs/>
          <w:color w:val="auto"/>
          <w:sz w:val="28"/>
          <w:szCs w:val="28"/>
          <w:highlight w:val="none"/>
          <w:lang w:eastAsia="zh-CN"/>
        </w:rPr>
        <w:t>投入要素明细表</w:t>
      </w:r>
      <w:bookmarkEnd w:id="313"/>
    </w:p>
    <w:p w14:paraId="5009F153">
      <w:pPr>
        <w:widowControl w:val="0"/>
        <w:spacing w:after="0" w:line="240" w:lineRule="auto"/>
        <w:rPr>
          <w:rFonts w:hint="eastAsia" w:ascii="宋体" w:hAnsi="宋体" w:eastAsia="宋体" w:cs="宋体"/>
          <w:b/>
          <w:bCs w:val="0"/>
          <w:color w:val="auto"/>
          <w:kern w:val="2"/>
          <w:sz w:val="24"/>
          <w:szCs w:val="24"/>
        </w:rPr>
      </w:pPr>
      <w:r>
        <w:rPr>
          <w:rFonts w:hint="eastAsia" w:ascii="宋体" w:hAnsi="宋体" w:eastAsia="宋体" w:cs="宋体"/>
          <w:b/>
          <w:bCs w:val="0"/>
          <w:color w:val="auto"/>
          <w:kern w:val="2"/>
          <w:sz w:val="24"/>
          <w:szCs w:val="24"/>
        </w:rPr>
        <w:t>分包号：</w:t>
      </w:r>
    </w:p>
    <w:tbl>
      <w:tblPr>
        <w:tblStyle w:val="54"/>
        <w:tblW w:w="10247"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55"/>
        <w:gridCol w:w="2715"/>
        <w:gridCol w:w="1976"/>
        <w:gridCol w:w="1265"/>
        <w:gridCol w:w="3036"/>
      </w:tblGrid>
      <w:tr w14:paraId="5EFB35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9" w:hRule="atLeast"/>
        </w:trPr>
        <w:tc>
          <w:tcPr>
            <w:tcW w:w="1255" w:type="dxa"/>
            <w:tcBorders>
              <w:top w:val="single" w:color="auto" w:sz="4" w:space="0"/>
              <w:left w:val="single" w:color="auto" w:sz="4" w:space="0"/>
              <w:bottom w:val="single" w:color="auto" w:sz="4" w:space="0"/>
              <w:right w:val="single" w:color="auto" w:sz="4" w:space="0"/>
            </w:tcBorders>
            <w:noWrap w:val="0"/>
            <w:vAlign w:val="center"/>
          </w:tcPr>
          <w:p w14:paraId="7BB16503">
            <w:pPr>
              <w:widowControl w:val="0"/>
              <w:spacing w:after="0" w:line="240" w:lineRule="auto"/>
              <w:jc w:val="center"/>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投入要素名称</w:t>
            </w:r>
          </w:p>
        </w:tc>
        <w:tc>
          <w:tcPr>
            <w:tcW w:w="4691" w:type="dxa"/>
            <w:gridSpan w:val="2"/>
            <w:tcBorders>
              <w:top w:val="single" w:color="auto" w:sz="4" w:space="0"/>
              <w:left w:val="single" w:color="auto" w:sz="4" w:space="0"/>
              <w:bottom w:val="single" w:color="auto" w:sz="4" w:space="0"/>
              <w:right w:val="single" w:color="auto" w:sz="4" w:space="0"/>
            </w:tcBorders>
            <w:noWrap w:val="0"/>
            <w:vAlign w:val="center"/>
          </w:tcPr>
          <w:p w14:paraId="3D8FCBD2">
            <w:pPr>
              <w:widowControl w:val="0"/>
              <w:spacing w:after="0" w:line="240" w:lineRule="auto"/>
              <w:jc w:val="center"/>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人员岗位/船只招标数量要求</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0D9B417B">
            <w:pPr>
              <w:widowControl w:val="0"/>
              <w:spacing w:after="0" w:line="240" w:lineRule="auto"/>
              <w:jc w:val="center"/>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投标投入数量</w:t>
            </w:r>
          </w:p>
        </w:tc>
        <w:tc>
          <w:tcPr>
            <w:tcW w:w="3036" w:type="dxa"/>
            <w:tcBorders>
              <w:top w:val="single" w:color="auto" w:sz="4" w:space="0"/>
              <w:left w:val="single" w:color="auto" w:sz="4" w:space="0"/>
              <w:bottom w:val="single" w:color="auto" w:sz="4" w:space="0"/>
              <w:right w:val="single" w:color="auto" w:sz="4" w:space="0"/>
            </w:tcBorders>
            <w:noWrap w:val="0"/>
            <w:vAlign w:val="center"/>
          </w:tcPr>
          <w:p w14:paraId="37E94218">
            <w:pPr>
              <w:widowControl w:val="0"/>
              <w:spacing w:after="0" w:line="240" w:lineRule="auto"/>
              <w:jc w:val="center"/>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备注</w:t>
            </w:r>
          </w:p>
        </w:tc>
      </w:tr>
      <w:tr w14:paraId="18C305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82" w:hRule="atLeast"/>
        </w:trPr>
        <w:tc>
          <w:tcPr>
            <w:tcW w:w="1255" w:type="dxa"/>
            <w:vMerge w:val="restart"/>
            <w:tcBorders>
              <w:top w:val="single" w:color="auto" w:sz="4" w:space="0"/>
              <w:left w:val="single" w:color="auto" w:sz="4" w:space="0"/>
              <w:right w:val="single" w:color="auto" w:sz="4" w:space="0"/>
            </w:tcBorders>
            <w:noWrap w:val="0"/>
            <w:vAlign w:val="center"/>
          </w:tcPr>
          <w:p w14:paraId="366B8292">
            <w:pPr>
              <w:widowControl w:val="0"/>
              <w:spacing w:after="0" w:line="240" w:lineRule="auto"/>
              <w:jc w:val="center"/>
              <w:rPr>
                <w:rFonts w:hint="eastAsia" w:ascii="宋体" w:hAnsi="宋体" w:eastAsia="宋体" w:cs="宋体"/>
                <w:b/>
                <w:bCs w:val="0"/>
                <w:color w:val="auto"/>
                <w:kern w:val="10"/>
                <w:sz w:val="24"/>
                <w:szCs w:val="24"/>
              </w:rPr>
            </w:pPr>
            <w:r>
              <w:rPr>
                <w:rFonts w:hint="eastAsia" w:ascii="宋体" w:hAnsi="宋体" w:eastAsia="宋体" w:cs="宋体"/>
                <w:b/>
                <w:bCs w:val="0"/>
                <w:color w:val="auto"/>
                <w:kern w:val="10"/>
                <w:sz w:val="24"/>
                <w:szCs w:val="24"/>
              </w:rPr>
              <w:t>投入人员</w:t>
            </w:r>
          </w:p>
        </w:tc>
        <w:tc>
          <w:tcPr>
            <w:tcW w:w="4691" w:type="dxa"/>
            <w:gridSpan w:val="2"/>
            <w:tcBorders>
              <w:top w:val="single" w:color="auto" w:sz="4" w:space="0"/>
              <w:left w:val="single" w:color="auto" w:sz="4" w:space="0"/>
              <w:bottom w:val="single" w:color="auto" w:sz="4" w:space="0"/>
              <w:right w:val="single" w:color="auto" w:sz="4" w:space="0"/>
            </w:tcBorders>
            <w:noWrap w:val="0"/>
            <w:vAlign w:val="center"/>
          </w:tcPr>
          <w:p w14:paraId="4D147828">
            <w:pPr>
              <w:widowControl w:val="0"/>
              <w:spacing w:after="0" w:line="240" w:lineRule="auto"/>
              <w:jc w:val="center"/>
              <w:rPr>
                <w:rFonts w:hint="eastAsia" w:ascii="宋体" w:hAnsi="宋体" w:eastAsia="宋体" w:cs="宋体"/>
                <w:bCs w:val="0"/>
                <w:color w:val="auto"/>
                <w:kern w:val="10"/>
                <w:sz w:val="24"/>
                <w:szCs w:val="24"/>
                <w:highlight w:val="yellow"/>
              </w:rPr>
            </w:pPr>
            <w:r>
              <w:rPr>
                <w:rFonts w:hint="eastAsia" w:ascii="宋体" w:hAnsi="宋体" w:eastAsia="宋体" w:cs="宋体"/>
                <w:bCs w:val="0"/>
                <w:color w:val="auto"/>
                <w:kern w:val="10"/>
                <w:sz w:val="24"/>
                <w:szCs w:val="24"/>
              </w:rPr>
              <w:t>（此处请填写拟投入人员岗位）</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282E6249">
            <w:pPr>
              <w:widowControl w:val="0"/>
              <w:spacing w:after="0" w:line="240" w:lineRule="auto"/>
              <w:jc w:val="center"/>
              <w:rPr>
                <w:rFonts w:hint="eastAsia" w:ascii="宋体" w:hAnsi="宋体" w:eastAsia="宋体" w:cs="宋体"/>
                <w:bCs w:val="0"/>
                <w:color w:val="auto"/>
                <w:kern w:val="10"/>
                <w:sz w:val="24"/>
                <w:szCs w:val="24"/>
                <w:highlight w:val="yellow"/>
              </w:rPr>
            </w:pPr>
          </w:p>
        </w:tc>
        <w:tc>
          <w:tcPr>
            <w:tcW w:w="3036" w:type="dxa"/>
            <w:vMerge w:val="restart"/>
            <w:tcBorders>
              <w:top w:val="single" w:color="auto" w:sz="4" w:space="0"/>
              <w:left w:val="single" w:color="auto" w:sz="4" w:space="0"/>
              <w:right w:val="single" w:color="auto" w:sz="4" w:space="0"/>
            </w:tcBorders>
            <w:noWrap w:val="0"/>
            <w:vAlign w:val="center"/>
          </w:tcPr>
          <w:p w14:paraId="1C96A5F9">
            <w:pPr>
              <w:widowControl w:val="0"/>
              <w:spacing w:after="0" w:line="240" w:lineRule="auto"/>
              <w:jc w:val="center"/>
              <w:rPr>
                <w:rFonts w:hint="eastAsia" w:ascii="宋体" w:hAnsi="宋体" w:eastAsia="宋体" w:cs="宋体"/>
                <w:bCs w:val="0"/>
                <w:color w:val="auto"/>
                <w:kern w:val="10"/>
                <w:sz w:val="24"/>
                <w:szCs w:val="24"/>
                <w:highlight w:val="yellow"/>
              </w:rPr>
            </w:pPr>
            <w:r>
              <w:rPr>
                <w:rFonts w:hint="eastAsia" w:ascii="宋体" w:hAnsi="宋体" w:eastAsia="宋体" w:cs="宋体"/>
                <w:bCs w:val="0"/>
                <w:color w:val="auto"/>
                <w:kern w:val="10"/>
                <w:sz w:val="24"/>
                <w:szCs w:val="24"/>
              </w:rPr>
              <w:t>拟投入人员情况请参照“</w:t>
            </w:r>
            <w:r>
              <w:rPr>
                <w:rFonts w:hint="eastAsia" w:ascii="宋体" w:hAnsi="宋体" w:eastAsia="宋体" w:cs="宋体"/>
                <w:b/>
                <w:bCs w:val="0"/>
                <w:color w:val="auto"/>
                <w:kern w:val="2"/>
                <w:sz w:val="24"/>
                <w:szCs w:val="24"/>
              </w:rPr>
              <w:t>第</w:t>
            </w:r>
            <w:r>
              <w:rPr>
                <w:rFonts w:hint="eastAsia" w:ascii="宋体" w:hAnsi="宋体" w:eastAsia="宋体" w:cs="宋体"/>
                <w:b/>
                <w:bCs w:val="0"/>
                <w:color w:val="auto"/>
                <w:kern w:val="2"/>
                <w:sz w:val="24"/>
                <w:szCs w:val="24"/>
                <w:u w:val="single"/>
              </w:rPr>
              <w:t xml:space="preserve">   </w:t>
            </w:r>
            <w:r>
              <w:rPr>
                <w:rFonts w:hint="eastAsia" w:ascii="宋体" w:hAnsi="宋体" w:eastAsia="宋体" w:cs="宋体"/>
                <w:b/>
                <w:bCs w:val="0"/>
                <w:color w:val="auto"/>
                <w:kern w:val="2"/>
                <w:sz w:val="24"/>
                <w:szCs w:val="24"/>
              </w:rPr>
              <w:t>包拟投入人员情况一览表</w:t>
            </w:r>
            <w:r>
              <w:rPr>
                <w:rFonts w:hint="eastAsia" w:ascii="宋体" w:hAnsi="宋体" w:eastAsia="宋体" w:cs="宋体"/>
                <w:bCs w:val="0"/>
                <w:color w:val="auto"/>
                <w:kern w:val="10"/>
                <w:sz w:val="24"/>
                <w:szCs w:val="24"/>
              </w:rPr>
              <w:t>”格式列表详细说明。</w:t>
            </w:r>
          </w:p>
        </w:tc>
      </w:tr>
      <w:tr w14:paraId="1C319C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8" w:hRule="atLeast"/>
        </w:trPr>
        <w:tc>
          <w:tcPr>
            <w:tcW w:w="1255" w:type="dxa"/>
            <w:vMerge w:val="continue"/>
            <w:tcBorders>
              <w:left w:val="single" w:color="auto" w:sz="4" w:space="0"/>
              <w:right w:val="single" w:color="auto" w:sz="4" w:space="0"/>
            </w:tcBorders>
            <w:noWrap w:val="0"/>
            <w:vAlign w:val="center"/>
          </w:tcPr>
          <w:p w14:paraId="389A9525">
            <w:pPr>
              <w:widowControl w:val="0"/>
              <w:spacing w:after="0" w:line="240" w:lineRule="auto"/>
              <w:jc w:val="center"/>
              <w:rPr>
                <w:rFonts w:hint="eastAsia" w:ascii="宋体" w:hAnsi="宋体" w:eastAsia="宋体" w:cs="宋体"/>
                <w:b/>
                <w:bCs w:val="0"/>
                <w:color w:val="auto"/>
                <w:kern w:val="10"/>
                <w:sz w:val="24"/>
                <w:szCs w:val="24"/>
              </w:rPr>
            </w:pPr>
          </w:p>
        </w:tc>
        <w:tc>
          <w:tcPr>
            <w:tcW w:w="4691" w:type="dxa"/>
            <w:gridSpan w:val="2"/>
            <w:tcBorders>
              <w:top w:val="single" w:color="auto" w:sz="4" w:space="0"/>
              <w:left w:val="single" w:color="auto" w:sz="4" w:space="0"/>
              <w:bottom w:val="single" w:color="auto" w:sz="4" w:space="0"/>
              <w:right w:val="single" w:color="auto" w:sz="4" w:space="0"/>
            </w:tcBorders>
            <w:noWrap w:val="0"/>
            <w:vAlign w:val="center"/>
          </w:tcPr>
          <w:p w14:paraId="4F4B3F0B">
            <w:pPr>
              <w:widowControl w:val="0"/>
              <w:spacing w:after="0" w:line="240" w:lineRule="auto"/>
              <w:jc w:val="center"/>
              <w:rPr>
                <w:rFonts w:hint="eastAsia" w:ascii="宋体" w:hAnsi="宋体" w:eastAsia="宋体" w:cs="宋体"/>
                <w:bCs w:val="0"/>
                <w:color w:val="auto"/>
                <w:kern w:val="10"/>
                <w:sz w:val="24"/>
                <w:szCs w:val="24"/>
                <w:highlight w:val="yellow"/>
              </w:rPr>
            </w:pPr>
            <w:r>
              <w:rPr>
                <w:rFonts w:hint="eastAsia" w:ascii="宋体" w:hAnsi="宋体" w:eastAsia="宋体" w:cs="宋体"/>
                <w:bCs w:val="0"/>
                <w:color w:val="auto"/>
                <w:kern w:val="10"/>
                <w:sz w:val="24"/>
                <w:szCs w:val="24"/>
              </w:rPr>
              <w:t>（此处请填写拟投入人员岗位）</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0BA7D15C">
            <w:pPr>
              <w:widowControl w:val="0"/>
              <w:spacing w:after="0" w:line="240" w:lineRule="auto"/>
              <w:jc w:val="center"/>
              <w:rPr>
                <w:rFonts w:hint="eastAsia" w:ascii="宋体" w:hAnsi="宋体" w:eastAsia="宋体" w:cs="宋体"/>
                <w:bCs w:val="0"/>
                <w:color w:val="auto"/>
                <w:kern w:val="10"/>
                <w:sz w:val="24"/>
                <w:szCs w:val="24"/>
                <w:highlight w:val="yellow"/>
              </w:rPr>
            </w:pPr>
          </w:p>
        </w:tc>
        <w:tc>
          <w:tcPr>
            <w:tcW w:w="3036" w:type="dxa"/>
            <w:vMerge w:val="continue"/>
            <w:tcBorders>
              <w:left w:val="single" w:color="auto" w:sz="4" w:space="0"/>
              <w:right w:val="single" w:color="auto" w:sz="4" w:space="0"/>
            </w:tcBorders>
            <w:noWrap w:val="0"/>
            <w:vAlign w:val="center"/>
          </w:tcPr>
          <w:p w14:paraId="567B72C1">
            <w:pPr>
              <w:widowControl w:val="0"/>
              <w:spacing w:after="0" w:line="240" w:lineRule="auto"/>
              <w:jc w:val="center"/>
              <w:rPr>
                <w:rFonts w:hint="eastAsia" w:ascii="宋体" w:hAnsi="宋体" w:eastAsia="宋体" w:cs="宋体"/>
                <w:bCs w:val="0"/>
                <w:color w:val="auto"/>
                <w:kern w:val="10"/>
                <w:sz w:val="24"/>
                <w:szCs w:val="24"/>
                <w:highlight w:val="yellow"/>
              </w:rPr>
            </w:pPr>
          </w:p>
        </w:tc>
      </w:tr>
      <w:tr w14:paraId="565DB7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59" w:hRule="atLeast"/>
        </w:trPr>
        <w:tc>
          <w:tcPr>
            <w:tcW w:w="1255" w:type="dxa"/>
            <w:vMerge w:val="continue"/>
            <w:tcBorders>
              <w:left w:val="single" w:color="auto" w:sz="4" w:space="0"/>
              <w:bottom w:val="single" w:color="auto" w:sz="4" w:space="0"/>
              <w:right w:val="single" w:color="auto" w:sz="4" w:space="0"/>
            </w:tcBorders>
            <w:noWrap w:val="0"/>
            <w:vAlign w:val="center"/>
          </w:tcPr>
          <w:p w14:paraId="61AA11DA">
            <w:pPr>
              <w:widowControl w:val="0"/>
              <w:spacing w:after="0" w:line="240" w:lineRule="auto"/>
              <w:jc w:val="center"/>
              <w:rPr>
                <w:rFonts w:hint="eastAsia" w:ascii="宋体" w:hAnsi="宋体" w:eastAsia="宋体" w:cs="宋体"/>
                <w:b/>
                <w:bCs w:val="0"/>
                <w:color w:val="auto"/>
                <w:kern w:val="10"/>
                <w:sz w:val="24"/>
                <w:szCs w:val="24"/>
              </w:rPr>
            </w:pPr>
          </w:p>
        </w:tc>
        <w:tc>
          <w:tcPr>
            <w:tcW w:w="4691" w:type="dxa"/>
            <w:gridSpan w:val="2"/>
            <w:tcBorders>
              <w:top w:val="single" w:color="auto" w:sz="4" w:space="0"/>
              <w:left w:val="single" w:color="auto" w:sz="4" w:space="0"/>
              <w:bottom w:val="single" w:color="auto" w:sz="4" w:space="0"/>
              <w:right w:val="single" w:color="auto" w:sz="4" w:space="0"/>
            </w:tcBorders>
            <w:noWrap w:val="0"/>
            <w:vAlign w:val="center"/>
          </w:tcPr>
          <w:p w14:paraId="2346CC25">
            <w:pPr>
              <w:widowControl w:val="0"/>
              <w:spacing w:after="0" w:line="240" w:lineRule="auto"/>
              <w:jc w:val="center"/>
              <w:rPr>
                <w:rFonts w:hint="eastAsia" w:ascii="宋体" w:hAnsi="宋体" w:eastAsia="宋体" w:cs="宋体"/>
                <w:bCs w:val="0"/>
                <w:color w:val="auto"/>
                <w:kern w:val="10"/>
                <w:sz w:val="24"/>
                <w:szCs w:val="24"/>
                <w:highlight w:val="yellow"/>
              </w:rPr>
            </w:pPr>
            <w:r>
              <w:rPr>
                <w:rFonts w:hint="eastAsia" w:ascii="宋体" w:hAnsi="宋体" w:eastAsia="宋体" w:cs="宋体"/>
                <w:bCs w:val="0"/>
                <w:color w:val="auto"/>
                <w:kern w:val="10"/>
                <w:sz w:val="24"/>
                <w:szCs w:val="24"/>
              </w:rPr>
              <w:t>……</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59DEFE25">
            <w:pPr>
              <w:widowControl w:val="0"/>
              <w:spacing w:after="0" w:line="240" w:lineRule="auto"/>
              <w:jc w:val="center"/>
              <w:rPr>
                <w:rFonts w:hint="eastAsia" w:ascii="宋体" w:hAnsi="宋体" w:eastAsia="宋体" w:cs="宋体"/>
                <w:bCs w:val="0"/>
                <w:color w:val="auto"/>
                <w:kern w:val="10"/>
                <w:sz w:val="24"/>
                <w:szCs w:val="24"/>
                <w:highlight w:val="yellow"/>
              </w:rPr>
            </w:pPr>
          </w:p>
        </w:tc>
        <w:tc>
          <w:tcPr>
            <w:tcW w:w="3036" w:type="dxa"/>
            <w:vMerge w:val="continue"/>
            <w:tcBorders>
              <w:left w:val="single" w:color="auto" w:sz="4" w:space="0"/>
              <w:bottom w:val="single" w:color="auto" w:sz="4" w:space="0"/>
              <w:right w:val="single" w:color="auto" w:sz="4" w:space="0"/>
            </w:tcBorders>
            <w:noWrap w:val="0"/>
            <w:vAlign w:val="center"/>
          </w:tcPr>
          <w:p w14:paraId="6041F471">
            <w:pPr>
              <w:widowControl w:val="0"/>
              <w:spacing w:after="0" w:line="240" w:lineRule="auto"/>
              <w:jc w:val="center"/>
              <w:rPr>
                <w:rFonts w:hint="eastAsia" w:ascii="宋体" w:hAnsi="宋体" w:eastAsia="宋体" w:cs="宋体"/>
                <w:bCs w:val="0"/>
                <w:color w:val="auto"/>
                <w:kern w:val="10"/>
                <w:sz w:val="24"/>
                <w:szCs w:val="24"/>
                <w:highlight w:val="yellow"/>
              </w:rPr>
            </w:pPr>
          </w:p>
        </w:tc>
      </w:tr>
      <w:tr w14:paraId="49CE3C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7" w:hRule="atLeast"/>
        </w:trPr>
        <w:tc>
          <w:tcPr>
            <w:tcW w:w="1255" w:type="dxa"/>
            <w:vMerge w:val="restart"/>
            <w:tcBorders>
              <w:top w:val="single" w:color="auto" w:sz="4" w:space="0"/>
              <w:left w:val="single" w:color="auto" w:sz="4" w:space="0"/>
              <w:right w:val="single" w:color="auto" w:sz="4" w:space="0"/>
            </w:tcBorders>
            <w:noWrap w:val="0"/>
            <w:vAlign w:val="center"/>
          </w:tcPr>
          <w:p w14:paraId="675A5317">
            <w:pPr>
              <w:widowControl w:val="0"/>
              <w:spacing w:after="0" w:line="240" w:lineRule="auto"/>
              <w:jc w:val="center"/>
              <w:rPr>
                <w:rFonts w:hint="eastAsia" w:ascii="宋体" w:hAnsi="宋体" w:eastAsia="宋体" w:cs="宋体"/>
                <w:b/>
                <w:bCs w:val="0"/>
                <w:color w:val="auto"/>
                <w:kern w:val="10"/>
                <w:sz w:val="24"/>
                <w:szCs w:val="24"/>
              </w:rPr>
            </w:pPr>
            <w:r>
              <w:rPr>
                <w:rFonts w:hint="eastAsia" w:ascii="宋体" w:hAnsi="宋体" w:eastAsia="宋体" w:cs="宋体"/>
                <w:b/>
                <w:bCs w:val="0"/>
                <w:color w:val="auto"/>
                <w:kern w:val="10"/>
                <w:sz w:val="24"/>
                <w:szCs w:val="24"/>
              </w:rPr>
              <w:t>作业船只</w:t>
            </w:r>
          </w:p>
        </w:tc>
        <w:tc>
          <w:tcPr>
            <w:tcW w:w="2715" w:type="dxa"/>
            <w:vMerge w:val="restart"/>
            <w:tcBorders>
              <w:top w:val="single" w:color="auto" w:sz="4" w:space="0"/>
              <w:left w:val="single" w:color="auto" w:sz="4" w:space="0"/>
              <w:right w:val="single" w:color="auto" w:sz="4" w:space="0"/>
            </w:tcBorders>
            <w:noWrap w:val="0"/>
            <w:vAlign w:val="center"/>
          </w:tcPr>
          <w:p w14:paraId="34D5B234">
            <w:pPr>
              <w:widowControl w:val="0"/>
              <w:spacing w:after="0" w:line="240" w:lineRule="auto"/>
              <w:jc w:val="center"/>
              <w:rPr>
                <w:rFonts w:hint="eastAsia" w:ascii="宋体" w:hAnsi="宋体" w:eastAsia="宋体" w:cs="宋体"/>
                <w:bCs w:val="0"/>
                <w:color w:val="auto"/>
                <w:kern w:val="10"/>
                <w:sz w:val="24"/>
                <w:szCs w:val="24"/>
              </w:rPr>
            </w:pPr>
            <w:r>
              <w:rPr>
                <w:rFonts w:hint="eastAsia" w:ascii="宋体" w:hAnsi="宋体" w:eastAsia="宋体" w:cs="宋体"/>
                <w:bCs w:val="0"/>
                <w:color w:val="auto"/>
                <w:kern w:val="10"/>
                <w:sz w:val="24"/>
                <w:szCs w:val="24"/>
              </w:rPr>
              <w:t>常规机动船只（铁壳平底船）</w:t>
            </w:r>
          </w:p>
        </w:tc>
        <w:tc>
          <w:tcPr>
            <w:tcW w:w="1976" w:type="dxa"/>
            <w:tcBorders>
              <w:top w:val="single" w:color="auto" w:sz="4" w:space="0"/>
              <w:left w:val="single" w:color="auto" w:sz="4" w:space="0"/>
              <w:bottom w:val="single" w:color="auto" w:sz="4" w:space="0"/>
              <w:right w:val="single" w:color="auto" w:sz="4" w:space="0"/>
            </w:tcBorders>
            <w:noWrap w:val="0"/>
            <w:vAlign w:val="center"/>
          </w:tcPr>
          <w:p w14:paraId="6B0240C7">
            <w:pPr>
              <w:widowControl w:val="0"/>
              <w:spacing w:after="0" w:line="240" w:lineRule="auto"/>
              <w:jc w:val="center"/>
              <w:rPr>
                <w:rFonts w:hint="eastAsia" w:ascii="宋体" w:hAnsi="宋体" w:eastAsia="宋体" w:cs="宋体"/>
                <w:bCs w:val="0"/>
                <w:color w:val="auto"/>
                <w:kern w:val="10"/>
                <w:sz w:val="24"/>
                <w:szCs w:val="24"/>
                <w:highlight w:val="yellow"/>
              </w:rPr>
            </w:pPr>
            <w:r>
              <w:rPr>
                <w:rFonts w:hint="eastAsia" w:ascii="宋体" w:hAnsi="宋体" w:eastAsia="宋体" w:cs="宋体"/>
                <w:bCs w:val="0"/>
                <w:color w:val="auto"/>
                <w:kern w:val="10"/>
                <w:sz w:val="24"/>
                <w:szCs w:val="24"/>
              </w:rPr>
              <w:t>当班（总）船数</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53D175CF">
            <w:pPr>
              <w:widowControl w:val="0"/>
              <w:spacing w:after="0" w:line="240" w:lineRule="auto"/>
              <w:jc w:val="center"/>
              <w:rPr>
                <w:rFonts w:hint="eastAsia" w:ascii="宋体" w:hAnsi="宋体" w:eastAsia="宋体" w:cs="宋体"/>
                <w:bCs w:val="0"/>
                <w:color w:val="auto"/>
                <w:kern w:val="10"/>
                <w:sz w:val="24"/>
                <w:szCs w:val="24"/>
                <w:highlight w:val="yellow"/>
              </w:rPr>
            </w:pPr>
          </w:p>
        </w:tc>
        <w:tc>
          <w:tcPr>
            <w:tcW w:w="3036" w:type="dxa"/>
            <w:vMerge w:val="restart"/>
            <w:tcBorders>
              <w:top w:val="single" w:color="auto" w:sz="4" w:space="0"/>
              <w:left w:val="single" w:color="auto" w:sz="4" w:space="0"/>
              <w:right w:val="single" w:color="auto" w:sz="4" w:space="0"/>
            </w:tcBorders>
            <w:noWrap w:val="0"/>
            <w:vAlign w:val="center"/>
          </w:tcPr>
          <w:p w14:paraId="5F57CB57">
            <w:pPr>
              <w:widowControl w:val="0"/>
              <w:spacing w:after="0" w:line="240" w:lineRule="auto"/>
              <w:jc w:val="center"/>
              <w:rPr>
                <w:rFonts w:hint="eastAsia" w:ascii="宋体" w:hAnsi="宋体" w:eastAsia="宋体" w:cs="宋体"/>
                <w:b/>
                <w:bCs w:val="0"/>
                <w:color w:val="auto"/>
                <w:kern w:val="2"/>
                <w:sz w:val="24"/>
                <w:szCs w:val="24"/>
              </w:rPr>
            </w:pPr>
            <w:r>
              <w:rPr>
                <w:rFonts w:hint="eastAsia" w:ascii="宋体" w:hAnsi="宋体" w:eastAsia="宋体" w:cs="宋体"/>
                <w:bCs w:val="0"/>
                <w:color w:val="auto"/>
                <w:kern w:val="10"/>
                <w:sz w:val="24"/>
                <w:szCs w:val="24"/>
              </w:rPr>
              <w:t>拟投入船只情况请参照“</w:t>
            </w:r>
            <w:r>
              <w:rPr>
                <w:rFonts w:hint="eastAsia" w:ascii="宋体" w:hAnsi="宋体" w:eastAsia="宋体" w:cs="宋体"/>
                <w:b/>
                <w:bCs w:val="0"/>
                <w:color w:val="auto"/>
                <w:kern w:val="2"/>
                <w:sz w:val="24"/>
                <w:szCs w:val="24"/>
              </w:rPr>
              <w:t>第</w:t>
            </w:r>
            <w:r>
              <w:rPr>
                <w:rFonts w:hint="eastAsia" w:ascii="宋体" w:hAnsi="宋体" w:eastAsia="宋体" w:cs="宋体"/>
                <w:b/>
                <w:bCs w:val="0"/>
                <w:color w:val="auto"/>
                <w:kern w:val="2"/>
                <w:sz w:val="24"/>
                <w:szCs w:val="24"/>
                <w:u w:val="single"/>
              </w:rPr>
              <w:t xml:space="preserve">   </w:t>
            </w:r>
            <w:r>
              <w:rPr>
                <w:rFonts w:hint="eastAsia" w:ascii="宋体" w:hAnsi="宋体" w:eastAsia="宋体" w:cs="宋体"/>
                <w:b/>
                <w:bCs w:val="0"/>
                <w:color w:val="auto"/>
                <w:kern w:val="2"/>
                <w:sz w:val="24"/>
                <w:szCs w:val="24"/>
              </w:rPr>
              <w:t>包拟投入作业船只情况一览表</w:t>
            </w:r>
            <w:r>
              <w:rPr>
                <w:rFonts w:hint="eastAsia" w:ascii="宋体" w:hAnsi="宋体" w:eastAsia="宋体" w:cs="宋体"/>
                <w:bCs w:val="0"/>
                <w:color w:val="auto"/>
                <w:kern w:val="10"/>
                <w:sz w:val="24"/>
                <w:szCs w:val="24"/>
              </w:rPr>
              <w:t>”格式列表详细说明。</w:t>
            </w:r>
          </w:p>
        </w:tc>
      </w:tr>
      <w:tr w14:paraId="379846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17" w:hRule="atLeast"/>
        </w:trPr>
        <w:tc>
          <w:tcPr>
            <w:tcW w:w="1255" w:type="dxa"/>
            <w:vMerge w:val="continue"/>
            <w:tcBorders>
              <w:top w:val="single" w:color="auto" w:sz="4" w:space="0"/>
              <w:left w:val="single" w:color="auto" w:sz="4" w:space="0"/>
              <w:right w:val="single" w:color="auto" w:sz="4" w:space="0"/>
            </w:tcBorders>
            <w:noWrap w:val="0"/>
            <w:vAlign w:val="center"/>
          </w:tcPr>
          <w:p w14:paraId="1D29650B">
            <w:pPr>
              <w:widowControl w:val="0"/>
              <w:spacing w:after="0" w:line="240" w:lineRule="auto"/>
              <w:jc w:val="center"/>
              <w:rPr>
                <w:rFonts w:hint="eastAsia" w:ascii="宋体" w:hAnsi="宋体" w:eastAsia="宋体" w:cs="宋体"/>
                <w:b/>
                <w:bCs w:val="0"/>
                <w:color w:val="auto"/>
                <w:kern w:val="10"/>
                <w:sz w:val="24"/>
                <w:szCs w:val="24"/>
              </w:rPr>
            </w:pPr>
          </w:p>
        </w:tc>
        <w:tc>
          <w:tcPr>
            <w:tcW w:w="2715" w:type="dxa"/>
            <w:vMerge w:val="continue"/>
            <w:tcBorders>
              <w:left w:val="single" w:color="auto" w:sz="4" w:space="0"/>
              <w:bottom w:val="single" w:color="auto" w:sz="4" w:space="0"/>
              <w:right w:val="single" w:color="auto" w:sz="4" w:space="0"/>
            </w:tcBorders>
            <w:noWrap w:val="0"/>
            <w:vAlign w:val="center"/>
          </w:tcPr>
          <w:p w14:paraId="5022CAA4">
            <w:pPr>
              <w:widowControl w:val="0"/>
              <w:spacing w:after="0" w:line="240" w:lineRule="auto"/>
              <w:jc w:val="center"/>
              <w:rPr>
                <w:rFonts w:hint="eastAsia" w:ascii="宋体" w:hAnsi="宋体" w:eastAsia="宋体" w:cs="宋体"/>
                <w:bCs w:val="0"/>
                <w:color w:val="auto"/>
                <w:kern w:val="10"/>
                <w:sz w:val="24"/>
                <w:szCs w:val="24"/>
              </w:rPr>
            </w:pPr>
          </w:p>
        </w:tc>
        <w:tc>
          <w:tcPr>
            <w:tcW w:w="1976" w:type="dxa"/>
            <w:tcBorders>
              <w:left w:val="single" w:color="auto" w:sz="4" w:space="0"/>
              <w:bottom w:val="single" w:color="auto" w:sz="4" w:space="0"/>
              <w:right w:val="single" w:color="auto" w:sz="4" w:space="0"/>
            </w:tcBorders>
            <w:noWrap w:val="0"/>
            <w:vAlign w:val="center"/>
          </w:tcPr>
          <w:p w14:paraId="4CE249FB">
            <w:pPr>
              <w:widowControl w:val="0"/>
              <w:spacing w:after="0" w:line="240" w:lineRule="auto"/>
              <w:jc w:val="center"/>
              <w:rPr>
                <w:rFonts w:hint="eastAsia" w:ascii="宋体" w:hAnsi="宋体" w:eastAsia="宋体" w:cs="宋体"/>
                <w:bCs w:val="0"/>
                <w:color w:val="auto"/>
                <w:kern w:val="10"/>
                <w:sz w:val="24"/>
                <w:szCs w:val="24"/>
                <w:highlight w:val="yellow"/>
              </w:rPr>
            </w:pPr>
            <w:r>
              <w:rPr>
                <w:rFonts w:hint="eastAsia" w:ascii="宋体" w:hAnsi="宋体" w:eastAsia="宋体" w:cs="宋体"/>
                <w:bCs w:val="0"/>
                <w:color w:val="auto"/>
                <w:kern w:val="10"/>
                <w:sz w:val="24"/>
                <w:szCs w:val="24"/>
              </w:rPr>
              <w:t>其中持证船只</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1C7F961C">
            <w:pPr>
              <w:widowControl w:val="0"/>
              <w:spacing w:after="0" w:line="240" w:lineRule="auto"/>
              <w:jc w:val="center"/>
              <w:rPr>
                <w:rFonts w:hint="eastAsia" w:ascii="宋体" w:hAnsi="宋体" w:eastAsia="宋体" w:cs="宋体"/>
                <w:bCs w:val="0"/>
                <w:color w:val="auto"/>
                <w:kern w:val="10"/>
                <w:sz w:val="24"/>
                <w:szCs w:val="24"/>
                <w:highlight w:val="yellow"/>
              </w:rPr>
            </w:pPr>
          </w:p>
        </w:tc>
        <w:tc>
          <w:tcPr>
            <w:tcW w:w="3036" w:type="dxa"/>
            <w:vMerge w:val="continue"/>
            <w:tcBorders>
              <w:top w:val="single" w:color="auto" w:sz="4" w:space="0"/>
              <w:left w:val="single" w:color="auto" w:sz="4" w:space="0"/>
              <w:right w:val="single" w:color="auto" w:sz="4" w:space="0"/>
            </w:tcBorders>
            <w:noWrap w:val="0"/>
            <w:vAlign w:val="center"/>
          </w:tcPr>
          <w:p w14:paraId="25D733C1">
            <w:pPr>
              <w:widowControl w:val="0"/>
              <w:spacing w:after="0" w:line="240" w:lineRule="auto"/>
              <w:jc w:val="center"/>
              <w:rPr>
                <w:rFonts w:hint="eastAsia" w:ascii="宋体" w:hAnsi="宋体" w:eastAsia="宋体" w:cs="宋体"/>
                <w:bCs w:val="0"/>
                <w:color w:val="auto"/>
                <w:kern w:val="10"/>
                <w:sz w:val="24"/>
                <w:szCs w:val="24"/>
              </w:rPr>
            </w:pPr>
          </w:p>
        </w:tc>
      </w:tr>
      <w:tr w14:paraId="2561AA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9" w:hRule="atLeast"/>
        </w:trPr>
        <w:tc>
          <w:tcPr>
            <w:tcW w:w="1255" w:type="dxa"/>
            <w:vMerge w:val="continue"/>
            <w:tcBorders>
              <w:left w:val="single" w:color="auto" w:sz="4" w:space="0"/>
              <w:bottom w:val="single" w:color="auto" w:sz="4" w:space="0"/>
              <w:right w:val="single" w:color="auto" w:sz="4" w:space="0"/>
            </w:tcBorders>
            <w:noWrap w:val="0"/>
            <w:vAlign w:val="center"/>
          </w:tcPr>
          <w:p w14:paraId="6FDF7760">
            <w:pPr>
              <w:widowControl w:val="0"/>
              <w:spacing w:after="0" w:line="240" w:lineRule="auto"/>
              <w:jc w:val="center"/>
              <w:rPr>
                <w:rFonts w:hint="eastAsia" w:ascii="宋体" w:hAnsi="宋体" w:eastAsia="宋体" w:cs="宋体"/>
                <w:b/>
                <w:bCs w:val="0"/>
                <w:color w:val="auto"/>
                <w:kern w:val="10"/>
                <w:sz w:val="24"/>
                <w:szCs w:val="24"/>
              </w:rPr>
            </w:pPr>
          </w:p>
        </w:tc>
        <w:tc>
          <w:tcPr>
            <w:tcW w:w="4691" w:type="dxa"/>
            <w:gridSpan w:val="2"/>
            <w:tcBorders>
              <w:top w:val="single" w:color="auto" w:sz="4" w:space="0"/>
              <w:left w:val="single" w:color="auto" w:sz="4" w:space="0"/>
              <w:bottom w:val="single" w:color="auto" w:sz="4" w:space="0"/>
              <w:right w:val="single" w:color="auto" w:sz="4" w:space="0"/>
            </w:tcBorders>
            <w:noWrap w:val="0"/>
            <w:vAlign w:val="center"/>
          </w:tcPr>
          <w:p w14:paraId="58021021">
            <w:pPr>
              <w:widowControl w:val="0"/>
              <w:spacing w:after="0" w:line="240" w:lineRule="auto"/>
              <w:jc w:val="center"/>
              <w:rPr>
                <w:rFonts w:hint="eastAsia" w:ascii="宋体" w:hAnsi="宋体" w:eastAsia="宋体" w:cs="宋体"/>
                <w:bCs w:val="0"/>
                <w:color w:val="auto"/>
                <w:kern w:val="10"/>
                <w:sz w:val="24"/>
                <w:szCs w:val="24"/>
                <w:highlight w:val="yellow"/>
              </w:rPr>
            </w:pPr>
            <w:r>
              <w:rPr>
                <w:rFonts w:hint="eastAsia" w:ascii="宋体" w:hAnsi="宋体" w:eastAsia="宋体" w:cs="宋体"/>
                <w:bCs w:val="0"/>
                <w:color w:val="auto"/>
                <w:kern w:val="10"/>
                <w:sz w:val="24"/>
                <w:szCs w:val="24"/>
              </w:rPr>
              <w:t>全自动水面清洁船</w:t>
            </w:r>
          </w:p>
        </w:tc>
        <w:tc>
          <w:tcPr>
            <w:tcW w:w="1265" w:type="dxa"/>
            <w:tcBorders>
              <w:top w:val="single" w:color="auto" w:sz="4" w:space="0"/>
              <w:left w:val="single" w:color="auto" w:sz="4" w:space="0"/>
              <w:bottom w:val="single" w:color="auto" w:sz="4" w:space="0"/>
              <w:right w:val="single" w:color="auto" w:sz="4" w:space="0"/>
            </w:tcBorders>
            <w:noWrap w:val="0"/>
            <w:vAlign w:val="center"/>
          </w:tcPr>
          <w:p w14:paraId="7F83CA64">
            <w:pPr>
              <w:widowControl w:val="0"/>
              <w:spacing w:after="0" w:line="240" w:lineRule="auto"/>
              <w:jc w:val="center"/>
              <w:rPr>
                <w:rFonts w:hint="eastAsia" w:ascii="宋体" w:hAnsi="宋体" w:eastAsia="宋体" w:cs="宋体"/>
                <w:bCs w:val="0"/>
                <w:color w:val="auto"/>
                <w:kern w:val="10"/>
                <w:sz w:val="24"/>
                <w:szCs w:val="24"/>
                <w:highlight w:val="yellow"/>
              </w:rPr>
            </w:pPr>
          </w:p>
        </w:tc>
        <w:tc>
          <w:tcPr>
            <w:tcW w:w="3036" w:type="dxa"/>
            <w:vMerge w:val="continue"/>
            <w:tcBorders>
              <w:left w:val="single" w:color="auto" w:sz="4" w:space="0"/>
              <w:bottom w:val="single" w:color="auto" w:sz="4" w:space="0"/>
              <w:right w:val="single" w:color="auto" w:sz="4" w:space="0"/>
            </w:tcBorders>
            <w:noWrap w:val="0"/>
            <w:vAlign w:val="center"/>
          </w:tcPr>
          <w:p w14:paraId="1908B4E1">
            <w:pPr>
              <w:widowControl w:val="0"/>
              <w:spacing w:after="0" w:line="240" w:lineRule="auto"/>
              <w:jc w:val="center"/>
              <w:rPr>
                <w:rFonts w:hint="eastAsia" w:ascii="宋体" w:hAnsi="宋体" w:eastAsia="宋体" w:cs="宋体"/>
                <w:bCs w:val="0"/>
                <w:color w:val="auto"/>
                <w:kern w:val="10"/>
                <w:sz w:val="24"/>
                <w:szCs w:val="24"/>
                <w:highlight w:val="yellow"/>
              </w:rPr>
            </w:pPr>
          </w:p>
        </w:tc>
      </w:tr>
      <w:tr w14:paraId="3BAC1D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39" w:hRule="atLeast"/>
        </w:trPr>
        <w:tc>
          <w:tcPr>
            <w:tcW w:w="1255" w:type="dxa"/>
            <w:tcBorders>
              <w:top w:val="single" w:color="auto" w:sz="4" w:space="0"/>
              <w:left w:val="single" w:color="auto" w:sz="4" w:space="0"/>
              <w:bottom w:val="single" w:color="auto" w:sz="4" w:space="0"/>
              <w:right w:val="single" w:color="auto" w:sz="4" w:space="0"/>
            </w:tcBorders>
            <w:noWrap w:val="0"/>
            <w:vAlign w:val="center"/>
          </w:tcPr>
          <w:p w14:paraId="39FB8DCD">
            <w:pPr>
              <w:widowControl w:val="0"/>
              <w:spacing w:after="0" w:line="240" w:lineRule="auto"/>
              <w:jc w:val="center"/>
              <w:rPr>
                <w:rFonts w:hint="eastAsia" w:ascii="宋体" w:hAnsi="宋体" w:eastAsia="宋体" w:cs="宋体"/>
                <w:b/>
                <w:bCs w:val="0"/>
                <w:color w:val="auto"/>
                <w:kern w:val="10"/>
                <w:sz w:val="24"/>
                <w:szCs w:val="24"/>
              </w:rPr>
            </w:pPr>
            <w:r>
              <w:rPr>
                <w:rFonts w:hint="eastAsia" w:ascii="宋体" w:hAnsi="宋体" w:eastAsia="宋体" w:cs="宋体"/>
                <w:b/>
                <w:bCs w:val="0"/>
                <w:color w:val="auto"/>
                <w:kern w:val="10"/>
                <w:sz w:val="24"/>
                <w:szCs w:val="24"/>
              </w:rPr>
              <w:t>其他</w:t>
            </w:r>
          </w:p>
        </w:tc>
        <w:tc>
          <w:tcPr>
            <w:tcW w:w="4691" w:type="dxa"/>
            <w:gridSpan w:val="2"/>
            <w:tcBorders>
              <w:top w:val="single" w:color="auto" w:sz="4" w:space="0"/>
              <w:left w:val="single" w:color="auto" w:sz="4" w:space="0"/>
              <w:bottom w:val="single" w:color="auto" w:sz="4" w:space="0"/>
              <w:right w:val="single" w:color="auto" w:sz="4" w:space="0"/>
            </w:tcBorders>
            <w:noWrap w:val="0"/>
            <w:vAlign w:val="center"/>
          </w:tcPr>
          <w:p w14:paraId="2A269BA3">
            <w:pPr>
              <w:widowControl w:val="0"/>
              <w:spacing w:after="0" w:line="240" w:lineRule="auto"/>
              <w:jc w:val="center"/>
              <w:rPr>
                <w:rFonts w:hint="eastAsia" w:ascii="宋体" w:hAnsi="宋体" w:eastAsia="宋体" w:cs="宋体"/>
                <w:bCs w:val="0"/>
                <w:color w:val="auto"/>
                <w:kern w:val="10"/>
                <w:sz w:val="24"/>
                <w:szCs w:val="24"/>
                <w:highlight w:val="yellow"/>
              </w:rPr>
            </w:pPr>
          </w:p>
        </w:tc>
        <w:tc>
          <w:tcPr>
            <w:tcW w:w="1265" w:type="dxa"/>
            <w:tcBorders>
              <w:top w:val="single" w:color="auto" w:sz="4" w:space="0"/>
              <w:left w:val="single" w:color="auto" w:sz="4" w:space="0"/>
              <w:bottom w:val="single" w:color="auto" w:sz="4" w:space="0"/>
              <w:right w:val="single" w:color="auto" w:sz="4" w:space="0"/>
            </w:tcBorders>
            <w:noWrap w:val="0"/>
            <w:vAlign w:val="center"/>
          </w:tcPr>
          <w:p w14:paraId="123B3002">
            <w:pPr>
              <w:widowControl w:val="0"/>
              <w:spacing w:after="0" w:line="240" w:lineRule="auto"/>
              <w:jc w:val="center"/>
              <w:rPr>
                <w:rFonts w:hint="eastAsia" w:ascii="宋体" w:hAnsi="宋体" w:eastAsia="宋体" w:cs="宋体"/>
                <w:bCs w:val="0"/>
                <w:color w:val="auto"/>
                <w:kern w:val="10"/>
                <w:sz w:val="24"/>
                <w:szCs w:val="24"/>
                <w:highlight w:val="yellow"/>
              </w:rPr>
            </w:pPr>
          </w:p>
        </w:tc>
        <w:tc>
          <w:tcPr>
            <w:tcW w:w="3036" w:type="dxa"/>
            <w:tcBorders>
              <w:top w:val="single" w:color="auto" w:sz="4" w:space="0"/>
              <w:left w:val="single" w:color="auto" w:sz="4" w:space="0"/>
              <w:bottom w:val="single" w:color="auto" w:sz="4" w:space="0"/>
              <w:right w:val="single" w:color="auto" w:sz="4" w:space="0"/>
            </w:tcBorders>
            <w:noWrap w:val="0"/>
            <w:vAlign w:val="center"/>
          </w:tcPr>
          <w:p w14:paraId="637812A5">
            <w:pPr>
              <w:widowControl w:val="0"/>
              <w:spacing w:after="0" w:line="240" w:lineRule="auto"/>
              <w:jc w:val="center"/>
              <w:rPr>
                <w:rFonts w:hint="eastAsia" w:ascii="宋体" w:hAnsi="宋体" w:eastAsia="宋体" w:cs="宋体"/>
                <w:bCs w:val="0"/>
                <w:color w:val="auto"/>
                <w:kern w:val="10"/>
                <w:sz w:val="24"/>
                <w:szCs w:val="24"/>
                <w:highlight w:val="yellow"/>
              </w:rPr>
            </w:pPr>
            <w:r>
              <w:rPr>
                <w:rFonts w:hint="eastAsia" w:ascii="宋体" w:hAnsi="宋体" w:eastAsia="宋体" w:cs="宋体"/>
                <w:bCs w:val="0"/>
                <w:color w:val="auto"/>
                <w:kern w:val="10"/>
                <w:sz w:val="24"/>
                <w:szCs w:val="24"/>
              </w:rPr>
              <w:t>包括工具、设备等（如果有的话）</w:t>
            </w:r>
          </w:p>
        </w:tc>
      </w:tr>
    </w:tbl>
    <w:p w14:paraId="1388D4BF">
      <w:pPr>
        <w:widowControl w:val="0"/>
        <w:spacing w:after="0" w:line="44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注：1、投标人应将所投入分包的有关河道保洁服务要素情况分类别依次填报在上述表格中。</w:t>
      </w:r>
    </w:p>
    <w:p w14:paraId="2568645F">
      <w:pPr>
        <w:widowControl w:val="0"/>
        <w:spacing w:after="0"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2、因表述含糊导致的评标风险将由投标人承担。</w:t>
      </w:r>
    </w:p>
    <w:p w14:paraId="411E4BD1">
      <w:pPr>
        <w:widowControl w:val="0"/>
        <w:spacing w:after="0" w:line="440" w:lineRule="exact"/>
        <w:ind w:firstLine="480" w:firstLineChars="200"/>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3、</w:t>
      </w:r>
      <w:r>
        <w:rPr>
          <w:rFonts w:hint="eastAsia" w:ascii="宋体" w:hAnsi="宋体" w:eastAsia="宋体" w:cs="宋体"/>
          <w:bCs w:val="0"/>
          <w:color w:val="auto"/>
          <w:sz w:val="24"/>
          <w:szCs w:val="24"/>
        </w:rPr>
        <w:t>如有需要说明的事项，请在备注中列明</w:t>
      </w:r>
      <w:r>
        <w:rPr>
          <w:rFonts w:hint="eastAsia" w:ascii="宋体" w:hAnsi="宋体" w:eastAsia="宋体" w:cs="宋体"/>
          <w:color w:val="auto"/>
          <w:kern w:val="2"/>
          <w:sz w:val="24"/>
          <w:szCs w:val="24"/>
        </w:rPr>
        <w:t>。</w:t>
      </w:r>
    </w:p>
    <w:p w14:paraId="7C4946A5">
      <w:pPr>
        <w:widowControl w:val="0"/>
        <w:spacing w:after="0" w:line="440" w:lineRule="exact"/>
        <w:ind w:firstLine="482" w:firstLineChars="200"/>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4、每个分包单独提供一份表格。</w:t>
      </w:r>
    </w:p>
    <w:p w14:paraId="55CAA750">
      <w:pPr>
        <w:shd w:val="clea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B1D3527">
      <w:pPr>
        <w:pStyle w:val="8"/>
        <w:shd w:val="clear"/>
        <w:rPr>
          <w:rFonts w:ascii="宋体" w:hAnsi="宋体" w:eastAsia="宋体" w:cs="宋体"/>
          <w:color w:val="auto"/>
          <w:highlight w:val="none"/>
        </w:rPr>
      </w:pPr>
      <w:bookmarkStart w:id="314" w:name="_Toc12642"/>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 xml:space="preserve"> 具备履行合同所必需的设备和专业技术能力的书面声明</w:t>
      </w:r>
      <w:bookmarkEnd w:id="314"/>
    </w:p>
    <w:p w14:paraId="021AD17B">
      <w:pPr>
        <w:shd w:val="clear"/>
        <w:spacing w:line="460" w:lineRule="exact"/>
        <w:ind w:firstLine="492"/>
        <w:rPr>
          <w:rFonts w:ascii="宋体" w:hAnsi="宋体"/>
          <w:bCs/>
          <w:color w:val="auto"/>
          <w:sz w:val="24"/>
          <w:highlight w:val="none"/>
        </w:rPr>
      </w:pPr>
      <w:r>
        <w:rPr>
          <w:rFonts w:hint="eastAsia" w:ascii="宋体" w:hAnsi="宋体"/>
          <w:bCs/>
          <w:color w:val="auto"/>
          <w:sz w:val="24"/>
          <w:highlight w:val="none"/>
        </w:rPr>
        <w:t>我单位郑重声明：我单位具备履行本项采购合同所必需的设备和专业技术能力，为履行本项采购合同我公司具备如下主要设备和主要专业技术能力：</w:t>
      </w:r>
    </w:p>
    <w:p w14:paraId="1B579809">
      <w:pPr>
        <w:shd w:val="clear"/>
        <w:spacing w:line="460" w:lineRule="exact"/>
        <w:ind w:firstLine="492"/>
        <w:rPr>
          <w:rFonts w:ascii="宋体" w:hAnsi="宋体"/>
          <w:bCs/>
          <w:color w:val="auto"/>
          <w:sz w:val="24"/>
          <w:highlight w:val="none"/>
        </w:rPr>
      </w:pPr>
      <w:r>
        <w:rPr>
          <w:rFonts w:hint="eastAsia" w:ascii="宋体" w:hAnsi="宋体"/>
          <w:bCs/>
          <w:color w:val="auto"/>
          <w:sz w:val="24"/>
          <w:highlight w:val="none"/>
        </w:rPr>
        <w:t>主要设备有：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06432476">
      <w:pPr>
        <w:shd w:val="clear"/>
        <w:spacing w:line="460" w:lineRule="exact"/>
        <w:ind w:firstLine="492"/>
        <w:rPr>
          <w:rFonts w:ascii="宋体" w:hAnsi="宋体"/>
          <w:bCs/>
          <w:color w:val="auto"/>
          <w:sz w:val="24"/>
          <w:highlight w:val="none"/>
        </w:rPr>
      </w:pPr>
      <w:r>
        <w:rPr>
          <w:rFonts w:hint="eastAsia" w:ascii="宋体" w:hAnsi="宋体"/>
          <w:bCs/>
          <w:color w:val="auto"/>
          <w:sz w:val="24"/>
          <w:highlight w:val="none"/>
        </w:rPr>
        <w:t>主要专业技术能力有：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5AD14841">
      <w:pPr>
        <w:shd w:val="clear"/>
        <w:rPr>
          <w:rFonts w:ascii="宋体" w:hAnsi="宋体"/>
          <w:bCs/>
          <w:color w:val="auto"/>
          <w:sz w:val="24"/>
          <w:highlight w:val="none"/>
        </w:rPr>
      </w:pPr>
      <w:r>
        <w:rPr>
          <w:rFonts w:hint="eastAsia" w:ascii="宋体" w:hAnsi="宋体"/>
          <w:bCs/>
          <w:color w:val="auto"/>
          <w:sz w:val="24"/>
          <w:highlight w:val="none"/>
        </w:rPr>
        <w:br w:type="page"/>
      </w:r>
    </w:p>
    <w:p w14:paraId="64F08AE4">
      <w:pPr>
        <w:pStyle w:val="8"/>
        <w:shd w:val="clear"/>
        <w:rPr>
          <w:rFonts w:ascii="宋体" w:hAnsi="宋体" w:eastAsia="宋体" w:cs="宋体"/>
          <w:color w:val="auto"/>
          <w:highlight w:val="none"/>
        </w:rPr>
      </w:pPr>
      <w:bookmarkStart w:id="315" w:name="_Toc22870"/>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 xml:space="preserve"> 参加政府采购活动前3年内在经营活动中没有重大违法记录的书面声明</w:t>
      </w:r>
      <w:bookmarkEnd w:id="315"/>
    </w:p>
    <w:p w14:paraId="1E88C3DD">
      <w:pPr>
        <w:pBdr>
          <w:top w:val="none" w:color="000000" w:sz="0" w:space="0"/>
          <w:left w:val="none" w:color="000000" w:sz="0" w:space="0"/>
          <w:bottom w:val="none" w:color="000000" w:sz="0" w:space="0"/>
          <w:right w:val="none" w:color="000000" w:sz="0" w:space="0"/>
        </w:pBdr>
        <w:shd w:val="clear"/>
        <w:spacing w:line="460" w:lineRule="atLeast"/>
        <w:jc w:val="center"/>
        <w:rPr>
          <w:color w:val="auto"/>
          <w:sz w:val="24"/>
          <w:szCs w:val="24"/>
          <w:highlight w:val="none"/>
        </w:rPr>
      </w:pPr>
      <w:r>
        <w:rPr>
          <w:rFonts w:ascii="宋体" w:hAnsi="宋体" w:cs="宋体"/>
          <w:b/>
          <w:color w:val="auto"/>
          <w:sz w:val="24"/>
          <w:szCs w:val="24"/>
          <w:highlight w:val="none"/>
        </w:rPr>
        <w:t> </w:t>
      </w:r>
    </w:p>
    <w:p w14:paraId="7C4FFCDC">
      <w:pPr>
        <w:pBdr>
          <w:top w:val="none" w:color="000000" w:sz="0" w:space="0"/>
          <w:left w:val="none" w:color="000000" w:sz="0" w:space="0"/>
          <w:bottom w:val="none" w:color="000000" w:sz="0" w:space="0"/>
          <w:right w:val="none" w:color="000000" w:sz="0" w:space="0"/>
        </w:pBdr>
        <w:shd w:val="clear"/>
        <w:spacing w:line="460" w:lineRule="atLeast"/>
        <w:jc w:val="center"/>
        <w:rPr>
          <w:color w:val="auto"/>
          <w:sz w:val="24"/>
          <w:szCs w:val="24"/>
          <w:highlight w:val="none"/>
        </w:rPr>
      </w:pPr>
      <w:r>
        <w:rPr>
          <w:rFonts w:ascii="宋体" w:hAnsi="宋体" w:cs="宋体"/>
          <w:b/>
          <w:color w:val="auto"/>
          <w:sz w:val="24"/>
          <w:szCs w:val="24"/>
          <w:highlight w:val="none"/>
        </w:rPr>
        <w:t>声 明</w:t>
      </w:r>
    </w:p>
    <w:p w14:paraId="2EF1576B">
      <w:pPr>
        <w:pBdr>
          <w:top w:val="none" w:color="000000" w:sz="0" w:space="0"/>
          <w:left w:val="none" w:color="000000" w:sz="0" w:space="0"/>
          <w:bottom w:val="none" w:color="000000" w:sz="0" w:space="0"/>
          <w:right w:val="none" w:color="000000" w:sz="0" w:space="0"/>
        </w:pBdr>
        <w:shd w:val="clear"/>
        <w:spacing w:line="460" w:lineRule="atLeast"/>
        <w:ind w:firstLine="480"/>
        <w:rPr>
          <w:color w:val="auto"/>
          <w:sz w:val="24"/>
          <w:szCs w:val="24"/>
          <w:highlight w:val="none"/>
        </w:rPr>
      </w:pPr>
      <w:r>
        <w:rPr>
          <w:rFonts w:ascii="宋体" w:hAnsi="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1CF05076">
      <w:pPr>
        <w:shd w:val="clear"/>
        <w:rPr>
          <w:color w:val="auto"/>
          <w:highlight w:val="none"/>
        </w:rPr>
      </w:pPr>
      <w:r>
        <w:rPr>
          <w:rFonts w:hint="eastAsia"/>
          <w:color w:val="auto"/>
          <w:highlight w:val="none"/>
        </w:rPr>
        <w:br w:type="page"/>
      </w:r>
    </w:p>
    <w:p w14:paraId="7E17EAE8">
      <w:pPr>
        <w:pStyle w:val="8"/>
        <w:shd w:val="clear"/>
        <w:spacing w:line="440" w:lineRule="exact"/>
        <w:rPr>
          <w:rFonts w:eastAsia="宋体"/>
          <w:color w:val="auto"/>
          <w:highlight w:val="none"/>
        </w:rPr>
      </w:pPr>
      <w:bookmarkStart w:id="316" w:name="_Toc961"/>
      <w:bookmarkStart w:id="317" w:name="_Toc10883"/>
      <w:r>
        <w:rPr>
          <w:rFonts w:hint="eastAsia" w:eastAsia="宋体"/>
          <w:color w:val="auto"/>
          <w:highlight w:val="none"/>
        </w:rPr>
        <w:t>附件</w:t>
      </w:r>
      <w:r>
        <w:rPr>
          <w:rFonts w:hint="eastAsia" w:eastAsia="宋体"/>
          <w:color w:val="auto"/>
          <w:highlight w:val="none"/>
          <w:lang w:val="en-US" w:eastAsia="zh-CN"/>
        </w:rPr>
        <w:t>6</w:t>
      </w:r>
      <w:r>
        <w:rPr>
          <w:rFonts w:hint="eastAsia" w:eastAsia="宋体"/>
          <w:color w:val="auto"/>
          <w:highlight w:val="none"/>
        </w:rPr>
        <w:t xml:space="preserve"> </w:t>
      </w:r>
      <w:bookmarkEnd w:id="316"/>
      <w:r>
        <w:rPr>
          <w:rFonts w:hint="eastAsia" w:eastAsia="宋体"/>
          <w:color w:val="auto"/>
          <w:highlight w:val="none"/>
        </w:rPr>
        <w:t>法人授权书</w:t>
      </w:r>
      <w:bookmarkEnd w:id="317"/>
    </w:p>
    <w:p w14:paraId="1904FC3B">
      <w:pPr>
        <w:shd w:val="clea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涵熙（苏州）工程顾问有限公司：</w:t>
      </w:r>
    </w:p>
    <w:p w14:paraId="5FA7164A">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本授权委托书声明：注册于</w:t>
      </w:r>
      <w:r>
        <w:rPr>
          <w:rFonts w:hint="eastAsia" w:ascii="宋体" w:hAnsi="宋体" w:cs="宋体"/>
          <w:color w:val="auto"/>
          <w:sz w:val="24"/>
          <w:szCs w:val="24"/>
          <w:highlight w:val="none"/>
          <w:u w:val="single"/>
        </w:rPr>
        <w:t xml:space="preserve">     （投标人地址）    </w:t>
      </w:r>
      <w:r>
        <w:rPr>
          <w:rFonts w:hint="eastAsia" w:ascii="宋体" w:hAnsi="宋体" w:cs="宋体"/>
          <w:color w:val="auto"/>
          <w:sz w:val="24"/>
          <w:szCs w:val="24"/>
          <w:highlight w:val="none"/>
        </w:rPr>
        <w:t xml:space="preserve"> 的</w:t>
      </w:r>
      <w:r>
        <w:rPr>
          <w:rFonts w:hint="eastAsia" w:ascii="宋体" w:hAnsi="宋体" w:cs="宋体"/>
          <w:color w:val="auto"/>
          <w:sz w:val="24"/>
          <w:szCs w:val="24"/>
          <w:highlight w:val="none"/>
          <w:u w:val="single"/>
        </w:rPr>
        <w:t xml:space="preserve">      （投标人全称）         </w:t>
      </w:r>
      <w:r>
        <w:rPr>
          <w:rFonts w:hint="eastAsia" w:ascii="宋体" w:hAnsi="宋体" w:cs="宋体"/>
          <w:color w:val="auto"/>
          <w:sz w:val="24"/>
          <w:szCs w:val="24"/>
          <w:highlight w:val="none"/>
        </w:rPr>
        <w:t xml:space="preserve">的  </w:t>
      </w:r>
      <w:r>
        <w:rPr>
          <w:rFonts w:hint="eastAsia" w:ascii="宋体" w:hAnsi="宋体" w:cs="宋体"/>
          <w:color w:val="auto"/>
          <w:sz w:val="24"/>
          <w:szCs w:val="24"/>
          <w:highlight w:val="none"/>
          <w:u w:val="single"/>
        </w:rPr>
        <w:t xml:space="preserve">（法定代表人姓名）  </w:t>
      </w:r>
      <w:r>
        <w:rPr>
          <w:rFonts w:hint="eastAsia" w:ascii="宋体" w:hAnsi="宋体" w:cs="宋体"/>
          <w:color w:val="auto"/>
          <w:sz w:val="24"/>
          <w:szCs w:val="24"/>
          <w:highlight w:val="none"/>
        </w:rPr>
        <w:t>，代表本公司（工厂）授权</w:t>
      </w:r>
      <w:r>
        <w:rPr>
          <w:rFonts w:hint="eastAsia" w:ascii="宋体" w:hAnsi="宋体" w:cs="宋体"/>
          <w:color w:val="auto"/>
          <w:sz w:val="24"/>
          <w:szCs w:val="24"/>
          <w:highlight w:val="none"/>
          <w:u w:val="single"/>
        </w:rPr>
        <w:t xml:space="preserve">   （授权代表姓名）   </w:t>
      </w:r>
      <w:r>
        <w:rPr>
          <w:rFonts w:hint="eastAsia" w:ascii="宋体" w:hAnsi="宋体" w:cs="宋体"/>
          <w:color w:val="auto"/>
          <w:sz w:val="24"/>
          <w:szCs w:val="24"/>
          <w:highlight w:val="none"/>
        </w:rPr>
        <w:t>为本公司（工厂）的合法代理人，就贵方组织的</w:t>
      </w:r>
      <w:r>
        <w:rPr>
          <w:rFonts w:hint="eastAsia" w:ascii="宋体" w:hAnsi="宋体" w:cs="宋体"/>
          <w:color w:val="auto"/>
          <w:sz w:val="24"/>
          <w:szCs w:val="24"/>
          <w:highlight w:val="none"/>
          <w:u w:val="single"/>
          <w:lang w:eastAsia="zh-CN"/>
        </w:rPr>
        <w:t>2025年度常熟市市级河道保洁服务</w:t>
      </w:r>
      <w:r>
        <w:rPr>
          <w:rFonts w:hint="eastAsia" w:ascii="宋体" w:hAnsi="宋体" w:cs="宋体"/>
          <w:color w:val="auto"/>
          <w:sz w:val="24"/>
          <w:szCs w:val="24"/>
          <w:highlight w:val="none"/>
          <w:u w:val="single"/>
        </w:rPr>
        <w:t xml:space="preserve"> （项目编号：</w:t>
      </w:r>
      <w:r>
        <w:rPr>
          <w:rFonts w:hint="eastAsia" w:ascii="宋体" w:hAnsi="宋体" w:cs="宋体"/>
          <w:color w:val="auto"/>
          <w:sz w:val="24"/>
          <w:szCs w:val="24"/>
          <w:highlight w:val="none"/>
          <w:u w:val="single"/>
          <w:lang w:eastAsia="zh-CN"/>
        </w:rPr>
        <w:t>JSZC-320581-HXGW-G2024-0101</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的</w:t>
      </w:r>
      <w:r>
        <w:rPr>
          <w:rFonts w:hint="eastAsia" w:ascii="宋体" w:hAnsi="宋体"/>
          <w:b/>
          <w:bCs/>
          <w:sz w:val="24"/>
          <w:szCs w:val="24"/>
          <w:u w:val="single"/>
        </w:rPr>
        <w:t>第</w:t>
      </w:r>
      <w:r>
        <w:rPr>
          <w:rFonts w:hint="eastAsia" w:ascii="宋体" w:hAnsi="宋体"/>
          <w:b/>
          <w:bCs/>
          <w:sz w:val="24"/>
          <w:szCs w:val="24"/>
          <w:u w:val="single"/>
          <w:lang w:val="en-US" w:eastAsia="zh-CN"/>
        </w:rPr>
        <w:t xml:space="preserve">   </w:t>
      </w:r>
      <w:r>
        <w:rPr>
          <w:rFonts w:hint="eastAsia" w:ascii="宋体" w:hAnsi="宋体"/>
          <w:b/>
          <w:bCs/>
          <w:sz w:val="24"/>
          <w:szCs w:val="24"/>
          <w:u w:val="single"/>
        </w:rPr>
        <w:t>包</w:t>
      </w:r>
      <w:r>
        <w:rPr>
          <w:rFonts w:hint="eastAsia" w:ascii="宋体" w:hAnsi="宋体" w:cs="Times New Roman"/>
          <w:b/>
          <w:bCs/>
          <w:sz w:val="24"/>
          <w:szCs w:val="24"/>
          <w:u w:val="single"/>
          <w:lang w:eastAsia="zh-CN"/>
        </w:rPr>
        <w:t>（</w:t>
      </w:r>
      <w:r>
        <w:rPr>
          <w:rFonts w:hint="eastAsia" w:ascii="宋体" w:hAnsi="宋体" w:cs="Times New Roman"/>
          <w:b/>
          <w:bCs/>
          <w:sz w:val="24"/>
          <w:szCs w:val="24"/>
          <w:u w:val="single"/>
        </w:rPr>
        <w:t>适用于第一包～第四包</w:t>
      </w:r>
      <w:r>
        <w:rPr>
          <w:rFonts w:hint="eastAsia" w:ascii="宋体" w:hAnsi="宋体" w:cs="Times New Roman"/>
          <w:b/>
          <w:bCs/>
          <w:sz w:val="24"/>
          <w:szCs w:val="24"/>
          <w:u w:val="single"/>
          <w:lang w:eastAsia="zh-CN"/>
        </w:rPr>
        <w:t>）</w:t>
      </w:r>
      <w:r>
        <w:rPr>
          <w:rFonts w:hint="eastAsia" w:ascii="宋体" w:hAnsi="宋体" w:cs="宋体"/>
          <w:color w:val="auto"/>
          <w:sz w:val="24"/>
          <w:szCs w:val="24"/>
          <w:highlight w:val="none"/>
        </w:rPr>
        <w:t>采购活动，以本公司（工厂）名义处理一切与之有关的事务。</w:t>
      </w:r>
    </w:p>
    <w:p w14:paraId="06643E63">
      <w:pPr>
        <w:shd w:val="clea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本授权书于</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日生效，被授权人无转委权。</w:t>
      </w:r>
    </w:p>
    <w:p w14:paraId="0AA779FB">
      <w:pPr>
        <w:shd w:val="clear"/>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特此声明。</w:t>
      </w:r>
    </w:p>
    <w:p w14:paraId="79058B73">
      <w:pPr>
        <w:shd w:val="clear"/>
        <w:spacing w:line="440" w:lineRule="exact"/>
        <w:rPr>
          <w:rFonts w:ascii="宋体" w:hAnsi="宋体" w:cs="宋体"/>
          <w:color w:val="auto"/>
          <w:sz w:val="24"/>
          <w:szCs w:val="24"/>
          <w:highlight w:val="none"/>
        </w:rPr>
      </w:pPr>
    </w:p>
    <w:p w14:paraId="285A880C">
      <w:pPr>
        <w:shd w:val="clear"/>
        <w:rPr>
          <w:rFonts w:ascii="Times New Roman" w:hAnsi="Times New Roman"/>
          <w:color w:val="auto"/>
          <w:sz w:val="24"/>
          <w:szCs w:val="24"/>
          <w:highlight w:val="none"/>
          <w:u w:val="single"/>
        </w:rPr>
      </w:pPr>
      <w:r>
        <w:rPr>
          <w:rFonts w:hint="eastAsia" w:ascii="宋体" w:hAnsi="宋体" w:cs="宋体"/>
          <w:color w:val="auto"/>
          <w:sz w:val="24"/>
          <w:szCs w:val="24"/>
          <w:highlight w:val="none"/>
        </w:rPr>
        <w:t>投标人</w:t>
      </w:r>
      <w:r>
        <w:rPr>
          <w:rFonts w:hint="eastAsia" w:ascii="宋体" w:hAnsi="宋体" w:cs="宋体"/>
          <w:bCs/>
          <w:color w:val="auto"/>
          <w:sz w:val="24"/>
          <w:szCs w:val="24"/>
          <w:highlight w:val="none"/>
        </w:rPr>
        <w:t>名称：</w:t>
      </w:r>
      <w:r>
        <w:rPr>
          <w:rFonts w:ascii="Times New Roman" w:hAnsi="Times New Roman"/>
          <w:color w:val="auto"/>
          <w:sz w:val="24"/>
          <w:szCs w:val="24"/>
          <w:highlight w:val="none"/>
          <w:u w:val="single"/>
        </w:rPr>
        <w:t>（加盖CA电子公章）</w:t>
      </w:r>
    </w:p>
    <w:p w14:paraId="6F6E3F31">
      <w:pPr>
        <w:shd w:val="clear"/>
        <w:rPr>
          <w:rFonts w:ascii="宋体" w:hAnsi="宋体" w:cs="宋体"/>
          <w:bCs/>
          <w:color w:val="auto"/>
          <w:sz w:val="24"/>
          <w:szCs w:val="24"/>
          <w:highlight w:val="none"/>
          <w:u w:val="single"/>
        </w:rPr>
      </w:pPr>
      <w:r>
        <w:rPr>
          <w:rFonts w:hint="eastAsia" w:ascii="宋体" w:hAnsi="宋体" w:cs="宋体"/>
          <w:bCs/>
          <w:color w:val="auto"/>
          <w:sz w:val="24"/>
          <w:szCs w:val="24"/>
          <w:highlight w:val="none"/>
        </w:rPr>
        <w:t>地      址：</w:t>
      </w:r>
      <w:r>
        <w:rPr>
          <w:rFonts w:hint="eastAsia" w:ascii="宋体" w:hAnsi="宋体" w:cs="宋体"/>
          <w:bCs/>
          <w:color w:val="auto"/>
          <w:sz w:val="24"/>
          <w:szCs w:val="24"/>
          <w:highlight w:val="none"/>
          <w:u w:val="single"/>
        </w:rPr>
        <w:t xml:space="preserve">                   </w:t>
      </w:r>
    </w:p>
    <w:p w14:paraId="2780495B">
      <w:pPr>
        <w:shd w:val="clear"/>
        <w:rPr>
          <w:rFonts w:ascii="宋体" w:hAnsi="宋体" w:cs="宋体"/>
          <w:bCs/>
          <w:color w:val="auto"/>
          <w:sz w:val="24"/>
          <w:szCs w:val="24"/>
          <w:highlight w:val="none"/>
        </w:rPr>
      </w:pPr>
    </w:p>
    <w:p w14:paraId="7915EED0">
      <w:pPr>
        <w:shd w:val="clear"/>
        <w:rPr>
          <w:rFonts w:ascii="宋体" w:hAnsi="宋体" w:cs="宋体"/>
          <w:bCs/>
          <w:color w:val="auto"/>
          <w:sz w:val="24"/>
          <w:szCs w:val="24"/>
          <w:highlight w:val="none"/>
        </w:rPr>
      </w:pPr>
      <w:r>
        <w:rPr>
          <w:rFonts w:hint="eastAsia" w:ascii="宋体" w:hAnsi="宋体" w:cs="宋体"/>
          <w:bCs/>
          <w:color w:val="auto"/>
          <w:sz w:val="24"/>
          <w:szCs w:val="24"/>
          <w:highlight w:val="none"/>
        </w:rPr>
        <w:t>法定代表人姓名：</w:t>
      </w:r>
      <w:r>
        <w:rPr>
          <w:rFonts w:hint="eastAsia" w:ascii="宋体" w:hAnsi="宋体" w:cs="宋体"/>
          <w:bCs/>
          <w:color w:val="auto"/>
          <w:sz w:val="24"/>
          <w:szCs w:val="24"/>
          <w:highlight w:val="none"/>
          <w:u w:val="single"/>
        </w:rPr>
        <w:t xml:space="preserve">                   </w:t>
      </w:r>
    </w:p>
    <w:p w14:paraId="63E49875">
      <w:pPr>
        <w:shd w:val="clear"/>
        <w:rPr>
          <w:rFonts w:ascii="宋体" w:hAnsi="宋体" w:cs="宋体"/>
          <w:bCs/>
          <w:color w:val="auto"/>
          <w:sz w:val="24"/>
          <w:szCs w:val="24"/>
          <w:highlight w:val="none"/>
        </w:rPr>
      </w:pPr>
      <w:r>
        <w:rPr>
          <w:rFonts w:hint="eastAsia" w:ascii="宋体" w:hAnsi="宋体" w:cs="宋体"/>
          <w:bCs/>
          <w:color w:val="auto"/>
          <w:sz w:val="24"/>
          <w:szCs w:val="24"/>
          <w:highlight w:val="none"/>
        </w:rPr>
        <w:t>公民身份号码：</w:t>
      </w:r>
      <w:r>
        <w:rPr>
          <w:rFonts w:hint="eastAsia" w:ascii="宋体" w:hAnsi="宋体" w:cs="宋体"/>
          <w:bCs/>
          <w:color w:val="auto"/>
          <w:sz w:val="24"/>
          <w:szCs w:val="24"/>
          <w:highlight w:val="none"/>
          <w:u w:val="single"/>
        </w:rPr>
        <w:t xml:space="preserve">                   </w:t>
      </w:r>
    </w:p>
    <w:p w14:paraId="0673088A">
      <w:pPr>
        <w:shd w:val="clear"/>
        <w:rPr>
          <w:rFonts w:ascii="宋体" w:hAnsi="宋体" w:cs="宋体"/>
          <w:bCs/>
          <w:color w:val="auto"/>
          <w:sz w:val="24"/>
          <w:szCs w:val="24"/>
          <w:highlight w:val="none"/>
        </w:rPr>
      </w:pPr>
      <w:r>
        <w:rPr>
          <w:rFonts w:hint="eastAsia" w:ascii="宋体" w:hAnsi="宋体" w:cs="宋体"/>
          <w:bCs/>
          <w:color w:val="auto"/>
          <w:sz w:val="24"/>
          <w:szCs w:val="24"/>
          <w:highlight w:val="none"/>
        </w:rPr>
        <w:t>职      务：</w:t>
      </w:r>
      <w:r>
        <w:rPr>
          <w:rFonts w:hint="eastAsia" w:ascii="宋体" w:hAnsi="宋体" w:cs="宋体"/>
          <w:bCs/>
          <w:color w:val="auto"/>
          <w:sz w:val="24"/>
          <w:szCs w:val="24"/>
          <w:highlight w:val="none"/>
          <w:u w:val="single"/>
        </w:rPr>
        <w:t xml:space="preserve">                   </w:t>
      </w:r>
    </w:p>
    <w:p w14:paraId="567A7802">
      <w:pPr>
        <w:shd w:val="clear"/>
        <w:rPr>
          <w:rFonts w:ascii="宋体" w:hAnsi="宋体" w:cs="宋体"/>
          <w:bCs/>
          <w:color w:val="auto"/>
          <w:sz w:val="24"/>
          <w:szCs w:val="24"/>
          <w:highlight w:val="none"/>
        </w:rPr>
      </w:pPr>
    </w:p>
    <w:p w14:paraId="75401C2A">
      <w:pPr>
        <w:shd w:val="clear"/>
        <w:rPr>
          <w:rFonts w:ascii="宋体" w:hAnsi="宋体" w:cs="宋体"/>
          <w:bCs/>
          <w:color w:val="auto"/>
          <w:sz w:val="24"/>
          <w:szCs w:val="24"/>
          <w:highlight w:val="none"/>
        </w:rPr>
      </w:pPr>
      <w:r>
        <w:rPr>
          <w:rFonts w:hint="eastAsia" w:ascii="宋体" w:hAnsi="宋体" w:cs="宋体"/>
          <w:bCs/>
          <w:color w:val="auto"/>
          <w:sz w:val="24"/>
          <w:szCs w:val="24"/>
          <w:highlight w:val="none"/>
        </w:rPr>
        <w:t>授权代表姓名：</w:t>
      </w:r>
      <w:r>
        <w:rPr>
          <w:rFonts w:hint="eastAsia" w:ascii="宋体" w:hAnsi="宋体" w:cs="宋体"/>
          <w:bCs/>
          <w:color w:val="auto"/>
          <w:sz w:val="24"/>
          <w:szCs w:val="24"/>
          <w:highlight w:val="none"/>
          <w:u w:val="single"/>
        </w:rPr>
        <w:t xml:space="preserve">                   </w:t>
      </w:r>
    </w:p>
    <w:p w14:paraId="24C75DD8">
      <w:pPr>
        <w:shd w:val="clear"/>
        <w:rPr>
          <w:rFonts w:ascii="宋体" w:hAnsi="宋体" w:cs="宋体"/>
          <w:bCs/>
          <w:color w:val="auto"/>
          <w:sz w:val="24"/>
          <w:szCs w:val="24"/>
          <w:highlight w:val="none"/>
        </w:rPr>
      </w:pPr>
      <w:r>
        <w:rPr>
          <w:rFonts w:hint="eastAsia" w:ascii="宋体" w:hAnsi="宋体" w:cs="宋体"/>
          <w:bCs/>
          <w:color w:val="auto"/>
          <w:sz w:val="24"/>
          <w:szCs w:val="24"/>
          <w:highlight w:val="none"/>
        </w:rPr>
        <w:t>公民身份号码：</w:t>
      </w:r>
      <w:r>
        <w:rPr>
          <w:rFonts w:hint="eastAsia" w:ascii="宋体" w:hAnsi="宋体" w:cs="宋体"/>
          <w:bCs/>
          <w:color w:val="auto"/>
          <w:sz w:val="24"/>
          <w:szCs w:val="24"/>
          <w:highlight w:val="none"/>
          <w:u w:val="single"/>
        </w:rPr>
        <w:t xml:space="preserve">                   </w:t>
      </w:r>
    </w:p>
    <w:p w14:paraId="555394D5">
      <w:pPr>
        <w:shd w:val="clear"/>
        <w:rPr>
          <w:rFonts w:ascii="宋体" w:hAnsi="宋体" w:cs="宋体"/>
          <w:bCs/>
          <w:color w:val="auto"/>
          <w:sz w:val="24"/>
          <w:szCs w:val="24"/>
          <w:highlight w:val="none"/>
        </w:rPr>
      </w:pPr>
      <w:r>
        <w:rPr>
          <w:rFonts w:hint="eastAsia" w:ascii="宋体" w:hAnsi="宋体" w:cs="宋体"/>
          <w:bCs/>
          <w:color w:val="auto"/>
          <w:sz w:val="24"/>
          <w:szCs w:val="24"/>
          <w:highlight w:val="none"/>
        </w:rPr>
        <w:t>职      务：</w:t>
      </w:r>
      <w:r>
        <w:rPr>
          <w:rFonts w:hint="eastAsia" w:ascii="宋体" w:hAnsi="宋体" w:cs="宋体"/>
          <w:bCs/>
          <w:color w:val="auto"/>
          <w:sz w:val="24"/>
          <w:szCs w:val="24"/>
          <w:highlight w:val="none"/>
          <w:u w:val="single"/>
        </w:rPr>
        <w:t xml:space="preserve">                   </w:t>
      </w:r>
    </w:p>
    <w:p w14:paraId="4498639B">
      <w:pPr>
        <w:shd w:val="clear"/>
        <w:rPr>
          <w:rFonts w:ascii="宋体" w:hAnsi="宋体" w:cs="宋体"/>
          <w:b/>
          <w:color w:val="auto"/>
          <w:sz w:val="24"/>
          <w:szCs w:val="24"/>
          <w:highlight w:val="none"/>
        </w:rPr>
      </w:pPr>
    </w:p>
    <w:p w14:paraId="0B68B5F8">
      <w:pPr>
        <w:shd w:val="clear"/>
        <w:spacing w:line="440" w:lineRule="exact"/>
        <w:rPr>
          <w:b/>
          <w:bCs/>
          <w:color w:val="auto"/>
          <w:sz w:val="24"/>
          <w:szCs w:val="24"/>
          <w:highlight w:val="none"/>
        </w:rPr>
      </w:pPr>
      <w:r>
        <w:rPr>
          <w:rFonts w:hint="eastAsia" w:ascii="宋体" w:hAnsi="宋体" w:cs="宋体"/>
          <w:b/>
          <w:color w:val="auto"/>
          <w:sz w:val="24"/>
          <w:highlight w:val="none"/>
        </w:rPr>
        <w:t>注：如法定代表人签署投标文件的</w:t>
      </w:r>
      <w:r>
        <w:rPr>
          <w:rFonts w:ascii="宋体" w:hAnsi="宋体" w:cs="宋体"/>
          <w:b/>
          <w:color w:val="auto"/>
          <w:sz w:val="24"/>
          <w:highlight w:val="none"/>
        </w:rPr>
        <w:t>，“法人授权书”可不提供，但需提供法人代表人身份证正反面及营业执照扫描件。</w:t>
      </w:r>
    </w:p>
    <w:p w14:paraId="4F7B3B5E">
      <w:pPr>
        <w:shd w:val="clear"/>
        <w:rPr>
          <w:rFonts w:ascii="宋体" w:hAnsi="宋体" w:cs="宋体"/>
          <w:color w:val="auto"/>
          <w:highlight w:val="none"/>
        </w:rPr>
      </w:pPr>
      <w:r>
        <w:rPr>
          <w:rFonts w:hint="eastAsia" w:ascii="宋体" w:hAnsi="宋体" w:cs="宋体"/>
          <w:color w:val="auto"/>
          <w:highlight w:val="none"/>
        </w:rPr>
        <w:br w:type="page"/>
      </w:r>
    </w:p>
    <w:p w14:paraId="37550390">
      <w:pPr>
        <w:pStyle w:val="8"/>
        <w:shd w:val="clear"/>
        <w:rPr>
          <w:rFonts w:ascii="宋体" w:hAnsi="宋体" w:eastAsia="宋体" w:cs="宋体"/>
          <w:color w:val="auto"/>
          <w:highlight w:val="none"/>
        </w:rPr>
      </w:pPr>
      <w:bookmarkStart w:id="318" w:name="_Toc1620"/>
      <w:r>
        <w:rPr>
          <w:rFonts w:hint="eastAsia" w:ascii="宋体" w:hAnsi="宋体" w:eastAsia="宋体" w:cs="宋体"/>
          <w:color w:val="auto"/>
          <w:highlight w:val="none"/>
        </w:rPr>
        <w:t>附件</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t xml:space="preserve"> 投标函</w:t>
      </w:r>
      <w:bookmarkEnd w:id="318"/>
    </w:p>
    <w:p w14:paraId="15CFCE5F">
      <w:pPr>
        <w:shd w:val="clear"/>
        <w:spacing w:line="460" w:lineRule="exact"/>
        <w:rPr>
          <w:color w:val="auto"/>
          <w:sz w:val="24"/>
          <w:szCs w:val="24"/>
          <w:highlight w:val="none"/>
        </w:rPr>
      </w:pPr>
      <w:r>
        <w:rPr>
          <w:color w:val="auto"/>
          <w:sz w:val="24"/>
          <w:szCs w:val="24"/>
          <w:highlight w:val="none"/>
        </w:rPr>
        <w:t>致：</w:t>
      </w:r>
      <w:r>
        <w:rPr>
          <w:rFonts w:hint="eastAsia"/>
          <w:color w:val="auto"/>
          <w:sz w:val="24"/>
          <w:szCs w:val="24"/>
          <w:highlight w:val="none"/>
        </w:rPr>
        <w:t>涵熙（苏州）工程顾问有限公司</w:t>
      </w:r>
    </w:p>
    <w:p w14:paraId="2FC2D880">
      <w:pPr>
        <w:shd w:val="clear"/>
        <w:spacing w:line="440" w:lineRule="exact"/>
        <w:ind w:firstLine="480"/>
        <w:jc w:val="left"/>
        <w:rPr>
          <w:rFonts w:ascii="宋体" w:hAnsi="宋体" w:cs="宋体"/>
          <w:color w:val="auto"/>
          <w:kern w:val="0"/>
          <w:sz w:val="24"/>
          <w:szCs w:val="24"/>
          <w:highlight w:val="none"/>
        </w:rPr>
      </w:pPr>
      <w:r>
        <w:rPr>
          <w:color w:val="auto"/>
          <w:sz w:val="24"/>
          <w:szCs w:val="24"/>
          <w:highlight w:val="none"/>
        </w:rPr>
        <w:t>根据贵方的</w:t>
      </w:r>
      <w:r>
        <w:rPr>
          <w:rFonts w:hint="eastAsia" w:hAnsi="宋体"/>
          <w:b/>
          <w:color w:val="auto"/>
          <w:sz w:val="24"/>
          <w:szCs w:val="24"/>
          <w:highlight w:val="none"/>
          <w:u w:val="single"/>
          <w:lang w:eastAsia="zh-CN"/>
        </w:rPr>
        <w:t>2025年度常熟市市级河道保洁服务</w:t>
      </w:r>
      <w:r>
        <w:rPr>
          <w:rFonts w:hint="eastAsia" w:ascii="宋体" w:hAnsi="宋体"/>
          <w:color w:val="auto"/>
          <w:sz w:val="24"/>
          <w:szCs w:val="24"/>
          <w:highlight w:val="none"/>
        </w:rPr>
        <w:t>项目</w:t>
      </w:r>
      <w:r>
        <w:rPr>
          <w:rFonts w:hint="eastAsia" w:hAnsi="宋体"/>
          <w:color w:val="auto"/>
          <w:sz w:val="24"/>
          <w:szCs w:val="24"/>
          <w:highlight w:val="none"/>
        </w:rPr>
        <w:t>招标文件</w:t>
      </w:r>
      <w:r>
        <w:rPr>
          <w:color w:val="auto"/>
          <w:sz w:val="24"/>
          <w:szCs w:val="24"/>
          <w:highlight w:val="none"/>
        </w:rPr>
        <w:t>（项目编号：</w:t>
      </w:r>
      <w:r>
        <w:rPr>
          <w:rFonts w:hint="eastAsia" w:ascii="宋体" w:hAnsi="宋体"/>
          <w:color w:val="auto"/>
          <w:sz w:val="24"/>
          <w:szCs w:val="24"/>
          <w:highlight w:val="none"/>
          <w:lang w:eastAsia="zh-CN"/>
        </w:rPr>
        <w:t>JSZC-320581-HXGW-G2024-0101</w:t>
      </w:r>
      <w:r>
        <w:rPr>
          <w:color w:val="auto"/>
          <w:sz w:val="24"/>
          <w:szCs w:val="24"/>
          <w:highlight w:val="none"/>
        </w:rPr>
        <w:t>）</w:t>
      </w:r>
      <w:r>
        <w:rPr>
          <w:rFonts w:hint="eastAsia" w:ascii="宋体" w:hAnsi="宋体"/>
          <w:sz w:val="24"/>
          <w:szCs w:val="24"/>
          <w:u w:val="single"/>
        </w:rPr>
        <w:t xml:space="preserve">（第      </w:t>
      </w:r>
      <w:r>
        <w:rPr>
          <w:rFonts w:ascii="宋体" w:hAnsi="宋体"/>
          <w:sz w:val="24"/>
          <w:szCs w:val="24"/>
          <w:u w:val="single"/>
        </w:rPr>
        <w:t xml:space="preserve">  </w:t>
      </w:r>
      <w:r>
        <w:rPr>
          <w:rFonts w:hint="eastAsia" w:ascii="宋体" w:hAnsi="宋体"/>
          <w:sz w:val="24"/>
          <w:szCs w:val="24"/>
          <w:u w:val="single"/>
        </w:rPr>
        <w:t>包</w:t>
      </w:r>
      <w:r>
        <w:rPr>
          <w:rFonts w:hint="eastAsia" w:ascii="宋体" w:hAnsi="宋体"/>
          <w:sz w:val="24"/>
          <w:szCs w:val="24"/>
          <w:u w:val="single"/>
          <w:lang w:eastAsia="zh-CN"/>
        </w:rPr>
        <w:t>）</w:t>
      </w:r>
      <w:r>
        <w:rPr>
          <w:color w:val="auto"/>
          <w:sz w:val="24"/>
          <w:szCs w:val="24"/>
          <w:highlight w:val="none"/>
        </w:rPr>
        <w:t>，</w:t>
      </w:r>
      <w:r>
        <w:rPr>
          <w:rFonts w:hint="eastAsia" w:ascii="宋体" w:hAnsi="宋体" w:cs="宋体"/>
          <w:color w:val="auto"/>
          <w:kern w:val="0"/>
          <w:sz w:val="24"/>
          <w:szCs w:val="24"/>
          <w:highlight w:val="none"/>
        </w:rPr>
        <w:t>正式授权下述签字人______(姓名)代表我方______________（投标人的名称），全权处理本次项目投标的有关事宜。</w:t>
      </w:r>
    </w:p>
    <w:p w14:paraId="416B683D">
      <w:pPr>
        <w:shd w:val="clear"/>
        <w:spacing w:line="440" w:lineRule="exact"/>
        <w:ind w:firstLine="48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据此函，__________签字人兹宣布同意如下：</w:t>
      </w:r>
    </w:p>
    <w:p w14:paraId="2B48242B">
      <w:pPr>
        <w:pStyle w:val="174"/>
        <w:shd w:val="clear"/>
        <w:spacing w:before="0" w:after="0" w:line="420" w:lineRule="exact"/>
        <w:rPr>
          <w:rFonts w:ascii="宋体" w:hAnsi="宋体"/>
          <w:color w:val="auto"/>
          <w:szCs w:val="21"/>
          <w:highlight w:val="none"/>
        </w:rPr>
      </w:pPr>
      <w:bookmarkStart w:id="319" w:name="_Toc496180957"/>
      <w:bookmarkStart w:id="320" w:name="_Toc495934670"/>
      <w:bookmarkStart w:id="321" w:name="_Toc496528251"/>
      <w:bookmarkStart w:id="322" w:name="_Toc23143"/>
      <w:bookmarkStart w:id="323" w:name="_Toc2220"/>
      <w:r>
        <w:rPr>
          <w:rFonts w:hint="eastAsia" w:ascii="宋体" w:hAnsi="宋体"/>
          <w:color w:val="auto"/>
          <w:szCs w:val="21"/>
          <w:highlight w:val="none"/>
        </w:rPr>
        <w:t>1.按招标文件规定的各项要求，向买方提供所需服务（包含与服务相关的货物）。</w:t>
      </w:r>
    </w:p>
    <w:p w14:paraId="31B1E02E">
      <w:pPr>
        <w:pStyle w:val="174"/>
        <w:shd w:val="clear"/>
        <w:spacing w:before="0" w:after="0" w:line="420" w:lineRule="exact"/>
        <w:rPr>
          <w:rFonts w:ascii="宋体" w:hAnsi="宋体"/>
          <w:color w:val="auto"/>
          <w:szCs w:val="21"/>
          <w:highlight w:val="none"/>
        </w:rPr>
      </w:pPr>
      <w:r>
        <w:rPr>
          <w:rFonts w:hint="eastAsia" w:ascii="宋体" w:hAnsi="宋体"/>
          <w:color w:val="auto"/>
          <w:szCs w:val="21"/>
          <w:highlight w:val="none"/>
        </w:rPr>
        <w:t>2.我们完全理解贵方不一定将合同授予最低报价的投标人。</w:t>
      </w:r>
    </w:p>
    <w:p w14:paraId="6E71E888">
      <w:pPr>
        <w:pStyle w:val="174"/>
        <w:shd w:val="clear"/>
        <w:spacing w:before="0" w:after="0" w:line="420" w:lineRule="exact"/>
        <w:rPr>
          <w:rFonts w:ascii="宋体" w:hAnsi="宋体"/>
          <w:color w:val="auto"/>
          <w:szCs w:val="21"/>
          <w:highlight w:val="none"/>
        </w:rPr>
      </w:pPr>
      <w:r>
        <w:rPr>
          <w:rFonts w:hint="eastAsia" w:ascii="宋体" w:hAnsi="宋体"/>
          <w:color w:val="auto"/>
          <w:szCs w:val="21"/>
          <w:highlight w:val="none"/>
        </w:rPr>
        <w:t>3.我们已详细审核全部招标文件及其有效补充文件，我们知道必须放弃提出含糊不清或误解问题的权利。</w:t>
      </w:r>
    </w:p>
    <w:p w14:paraId="1BE61C71">
      <w:pPr>
        <w:pStyle w:val="174"/>
        <w:shd w:val="clear"/>
        <w:spacing w:before="0" w:after="0" w:line="420" w:lineRule="exact"/>
        <w:rPr>
          <w:rFonts w:ascii="宋体" w:hAnsi="宋体"/>
          <w:color w:val="auto"/>
          <w:szCs w:val="21"/>
          <w:highlight w:val="none"/>
        </w:rPr>
      </w:pPr>
      <w:r>
        <w:rPr>
          <w:rFonts w:hint="eastAsia" w:ascii="宋体" w:hAnsi="宋体"/>
          <w:color w:val="auto"/>
          <w:szCs w:val="21"/>
          <w:highlight w:val="none"/>
        </w:rPr>
        <w:t>4.我们同意从规定的开标日期起遵循本投标文件，并在规定的投标有效期期满之前均具有约束力。</w:t>
      </w:r>
    </w:p>
    <w:p w14:paraId="01366329">
      <w:pPr>
        <w:pStyle w:val="174"/>
        <w:shd w:val="clear"/>
        <w:spacing w:before="0" w:after="0" w:line="420" w:lineRule="exact"/>
        <w:rPr>
          <w:rFonts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.同意向贵方提供贵方可能另外要求的与投标有关的任何证据或资料，并保证我方已提供和将要提供的文件是真实的、准确的。</w:t>
      </w:r>
    </w:p>
    <w:p w14:paraId="3C1C828C">
      <w:pPr>
        <w:pStyle w:val="174"/>
        <w:shd w:val="clear"/>
        <w:spacing w:before="0" w:after="0" w:line="420" w:lineRule="exact"/>
        <w:rPr>
          <w:rFonts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.一旦我方中标,我方将根据招标文件的规定，严格履行合同的责任和义务,并保证在招标文件规定的时间完成项目，交付买方验收、使用。</w:t>
      </w:r>
    </w:p>
    <w:p w14:paraId="4A68ED2E">
      <w:pPr>
        <w:pStyle w:val="174"/>
        <w:shd w:val="clear"/>
        <w:spacing w:before="0" w:after="0" w:line="420" w:lineRule="exact"/>
        <w:rPr>
          <w:rFonts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.与本投标有关的正式通讯地址为：</w:t>
      </w:r>
    </w:p>
    <w:p w14:paraId="52564E66">
      <w:pPr>
        <w:pStyle w:val="174"/>
        <w:shd w:val="clear"/>
        <w:spacing w:before="0" w:after="0" w:line="420" w:lineRule="exact"/>
        <w:ind w:left="420"/>
        <w:rPr>
          <w:rFonts w:ascii="宋体" w:hAnsi="宋体"/>
          <w:color w:val="auto"/>
          <w:szCs w:val="21"/>
          <w:highlight w:val="none"/>
        </w:rPr>
      </w:pPr>
      <w:r>
        <w:rPr>
          <w:rFonts w:hint="eastAsia" w:ascii="宋体" w:hAnsi="宋体"/>
          <w:color w:val="auto"/>
          <w:szCs w:val="21"/>
          <w:highlight w:val="none"/>
        </w:rPr>
        <w:t>地          址：</w:t>
      </w:r>
    </w:p>
    <w:p w14:paraId="19EBBB63">
      <w:pPr>
        <w:pStyle w:val="174"/>
        <w:shd w:val="clear"/>
        <w:spacing w:before="0" w:after="0" w:line="420" w:lineRule="exact"/>
        <w:ind w:left="420"/>
        <w:rPr>
          <w:rFonts w:ascii="宋体" w:hAnsi="宋体"/>
          <w:color w:val="auto"/>
          <w:szCs w:val="21"/>
          <w:highlight w:val="none"/>
        </w:rPr>
      </w:pPr>
      <w:r>
        <w:rPr>
          <w:rFonts w:hint="eastAsia" w:ascii="宋体" w:hAnsi="宋体"/>
          <w:color w:val="auto"/>
          <w:szCs w:val="21"/>
          <w:highlight w:val="none"/>
        </w:rPr>
        <w:t>邮          编：</w:t>
      </w:r>
    </w:p>
    <w:p w14:paraId="6C640792">
      <w:pPr>
        <w:pStyle w:val="174"/>
        <w:shd w:val="clear"/>
        <w:spacing w:before="0" w:after="0" w:line="420" w:lineRule="exact"/>
        <w:ind w:left="420"/>
        <w:rPr>
          <w:rFonts w:ascii="宋体" w:hAnsi="宋体"/>
          <w:color w:val="auto"/>
          <w:szCs w:val="21"/>
          <w:highlight w:val="none"/>
        </w:rPr>
      </w:pPr>
      <w:r>
        <w:rPr>
          <w:rFonts w:hint="eastAsia" w:ascii="宋体" w:hAnsi="宋体"/>
          <w:color w:val="auto"/>
          <w:szCs w:val="21"/>
          <w:highlight w:val="none"/>
        </w:rPr>
        <w:t>电          话：</w:t>
      </w:r>
    </w:p>
    <w:p w14:paraId="45498197">
      <w:pPr>
        <w:pStyle w:val="174"/>
        <w:shd w:val="clear"/>
        <w:spacing w:before="0" w:after="0" w:line="420" w:lineRule="exact"/>
        <w:ind w:left="420"/>
        <w:rPr>
          <w:rFonts w:ascii="宋体" w:hAnsi="宋体"/>
          <w:color w:val="auto"/>
          <w:szCs w:val="21"/>
          <w:highlight w:val="none"/>
        </w:rPr>
      </w:pPr>
      <w:r>
        <w:rPr>
          <w:rFonts w:hint="eastAsia" w:ascii="宋体" w:hAnsi="宋体"/>
          <w:color w:val="auto"/>
          <w:szCs w:val="21"/>
          <w:highlight w:val="none"/>
        </w:rPr>
        <w:t>传          真：</w:t>
      </w:r>
    </w:p>
    <w:p w14:paraId="0C5B6219">
      <w:pPr>
        <w:pStyle w:val="174"/>
        <w:shd w:val="clear"/>
        <w:spacing w:before="0" w:after="0" w:line="420" w:lineRule="exact"/>
        <w:ind w:left="420"/>
        <w:rPr>
          <w:rFonts w:ascii="宋体" w:hAnsi="宋体"/>
          <w:color w:val="auto"/>
          <w:szCs w:val="21"/>
          <w:highlight w:val="none"/>
        </w:rPr>
      </w:pPr>
      <w:r>
        <w:rPr>
          <w:rFonts w:hint="eastAsia" w:ascii="宋体" w:hAnsi="宋体"/>
          <w:color w:val="auto"/>
          <w:szCs w:val="21"/>
          <w:highlight w:val="none"/>
        </w:rPr>
        <w:t>投标人开户行：</w:t>
      </w:r>
    </w:p>
    <w:p w14:paraId="4C729103">
      <w:pPr>
        <w:pStyle w:val="174"/>
        <w:shd w:val="clear"/>
        <w:spacing w:before="0" w:after="0" w:line="420" w:lineRule="exact"/>
        <w:ind w:left="420"/>
        <w:rPr>
          <w:rFonts w:ascii="宋体" w:hAnsi="宋体"/>
          <w:color w:val="auto"/>
          <w:szCs w:val="21"/>
          <w:highlight w:val="none"/>
        </w:rPr>
      </w:pPr>
      <w:r>
        <w:rPr>
          <w:rFonts w:hint="eastAsia" w:ascii="宋体" w:hAnsi="宋体"/>
          <w:color w:val="auto"/>
          <w:szCs w:val="21"/>
          <w:highlight w:val="none"/>
        </w:rPr>
        <w:t xml:space="preserve">账          号： </w:t>
      </w:r>
    </w:p>
    <w:p w14:paraId="1B400920">
      <w:pPr>
        <w:pStyle w:val="174"/>
        <w:shd w:val="clear"/>
        <w:spacing w:before="0" w:after="0" w:line="420" w:lineRule="exact"/>
        <w:ind w:left="420"/>
        <w:rPr>
          <w:b/>
          <w:bCs/>
          <w:color w:val="auto"/>
          <w:sz w:val="28"/>
          <w:szCs w:val="28"/>
          <w:highlight w:val="none"/>
        </w:rPr>
      </w:pPr>
      <w:r>
        <w:rPr>
          <w:rFonts w:hint="eastAsia" w:ascii="宋体" w:hAnsi="宋体"/>
          <w:color w:val="auto"/>
          <w:szCs w:val="21"/>
          <w:highlight w:val="none"/>
        </w:rPr>
        <w:t>日           期：________年____月____日</w:t>
      </w:r>
      <w:r>
        <w:rPr>
          <w:b/>
          <w:bCs/>
          <w:color w:val="auto"/>
          <w:sz w:val="28"/>
          <w:szCs w:val="28"/>
          <w:highlight w:val="none"/>
        </w:rPr>
        <w:br w:type="page"/>
      </w:r>
    </w:p>
    <w:p w14:paraId="70D7C113">
      <w:pPr>
        <w:keepNext/>
        <w:shd w:val="clear"/>
        <w:jc w:val="center"/>
        <w:outlineLvl w:val="1"/>
        <w:rPr>
          <w:b/>
          <w:bCs/>
          <w:color w:val="auto"/>
          <w:sz w:val="28"/>
          <w:szCs w:val="28"/>
          <w:highlight w:val="none"/>
        </w:rPr>
      </w:pPr>
      <w:bookmarkStart w:id="324" w:name="_Toc17800"/>
      <w:r>
        <w:rPr>
          <w:b/>
          <w:bCs/>
          <w:color w:val="auto"/>
          <w:sz w:val="28"/>
          <w:szCs w:val="28"/>
          <w:highlight w:val="none"/>
        </w:rPr>
        <w:t>附件</w:t>
      </w:r>
      <w:bookmarkEnd w:id="319"/>
      <w:bookmarkEnd w:id="320"/>
      <w:bookmarkEnd w:id="321"/>
      <w:bookmarkEnd w:id="322"/>
      <w:r>
        <w:rPr>
          <w:rFonts w:hint="eastAsia"/>
          <w:b/>
          <w:bCs/>
          <w:color w:val="auto"/>
          <w:sz w:val="28"/>
          <w:szCs w:val="28"/>
          <w:highlight w:val="none"/>
          <w:lang w:val="en-US" w:eastAsia="zh-CN"/>
        </w:rPr>
        <w:t>8</w:t>
      </w:r>
      <w:r>
        <w:rPr>
          <w:rFonts w:hint="eastAsia"/>
          <w:b/>
          <w:bCs/>
          <w:color w:val="auto"/>
          <w:sz w:val="28"/>
          <w:szCs w:val="28"/>
          <w:highlight w:val="none"/>
        </w:rPr>
        <w:t xml:space="preserve"> 中小企业声明函</w:t>
      </w:r>
      <w:bookmarkEnd w:id="323"/>
      <w:bookmarkEnd w:id="324"/>
    </w:p>
    <w:p w14:paraId="446D3F69">
      <w:pPr>
        <w:shd w:val="clear"/>
        <w:adjustRightInd w:val="0"/>
        <w:spacing w:line="360" w:lineRule="auto"/>
        <w:rPr>
          <w:color w:val="auto"/>
          <w:sz w:val="24"/>
          <w:szCs w:val="24"/>
          <w:highlight w:val="none"/>
          <w:lang w:val="zh-CN"/>
        </w:rPr>
      </w:pPr>
      <w:r>
        <w:rPr>
          <w:rFonts w:hint="eastAsia"/>
          <w:color w:val="auto"/>
          <w:sz w:val="24"/>
          <w:szCs w:val="24"/>
          <w:highlight w:val="none"/>
          <w:u w:val="single"/>
        </w:rPr>
        <w:t>涵熙（苏州）工程顾问有限公司</w:t>
      </w:r>
      <w:r>
        <w:rPr>
          <w:color w:val="auto"/>
          <w:sz w:val="24"/>
          <w:szCs w:val="24"/>
          <w:highlight w:val="none"/>
          <w:lang w:val="zh-CN"/>
        </w:rPr>
        <w:t>：</w:t>
      </w:r>
    </w:p>
    <w:p w14:paraId="2B098648">
      <w:pPr>
        <w:shd w:val="clear"/>
        <w:spacing w:line="360" w:lineRule="auto"/>
        <w:ind w:firstLine="480" w:firstLineChars="200"/>
        <w:rPr>
          <w:color w:val="auto"/>
          <w:sz w:val="24"/>
          <w:szCs w:val="21"/>
          <w:highlight w:val="none"/>
        </w:rPr>
      </w:pPr>
      <w:r>
        <w:rPr>
          <w:rFonts w:hint="eastAsia"/>
          <w:color w:val="auto"/>
          <w:sz w:val="24"/>
          <w:szCs w:val="21"/>
          <w:highlight w:val="none"/>
        </w:rPr>
        <w:t>本公司郑重声明，根据《政府采购促进中小企业发展管理办法》（财库[20</w:t>
      </w:r>
      <w:r>
        <w:rPr>
          <w:color w:val="auto"/>
          <w:sz w:val="24"/>
          <w:szCs w:val="21"/>
          <w:highlight w:val="none"/>
        </w:rPr>
        <w:t>20</w:t>
      </w:r>
      <w:r>
        <w:rPr>
          <w:rFonts w:hint="eastAsia"/>
          <w:color w:val="auto"/>
          <w:sz w:val="24"/>
          <w:szCs w:val="21"/>
          <w:highlight w:val="none"/>
        </w:rPr>
        <w:t>]</w:t>
      </w:r>
      <w:r>
        <w:rPr>
          <w:color w:val="auto"/>
          <w:sz w:val="24"/>
          <w:szCs w:val="21"/>
          <w:highlight w:val="none"/>
        </w:rPr>
        <w:t>46</w:t>
      </w:r>
      <w:r>
        <w:rPr>
          <w:rFonts w:hint="eastAsia"/>
          <w:color w:val="auto"/>
          <w:sz w:val="24"/>
          <w:szCs w:val="21"/>
          <w:highlight w:val="none"/>
        </w:rPr>
        <w:t>号）的规定，本公司参加</w:t>
      </w:r>
      <w:r>
        <w:rPr>
          <w:rFonts w:hint="eastAsia" w:cs="宋体"/>
          <w:color w:val="auto"/>
          <w:sz w:val="24"/>
          <w:szCs w:val="24"/>
          <w:highlight w:val="none"/>
          <w:u w:val="single"/>
          <w:lang w:eastAsia="zh-CN"/>
        </w:rPr>
        <w:t>常熟市水务局</w:t>
      </w:r>
      <w:r>
        <w:rPr>
          <w:rFonts w:hint="eastAsia" w:cs="宋体"/>
          <w:color w:val="auto"/>
          <w:sz w:val="24"/>
          <w:szCs w:val="24"/>
          <w:highlight w:val="none"/>
          <w:lang w:val="zh-CN"/>
        </w:rPr>
        <w:t>的</w:t>
      </w:r>
      <w:r>
        <w:rPr>
          <w:rFonts w:hint="eastAsia" w:cs="宋体"/>
          <w:color w:val="auto"/>
          <w:sz w:val="24"/>
          <w:szCs w:val="24"/>
          <w:highlight w:val="none"/>
          <w:u w:val="single"/>
          <w:lang w:eastAsia="zh-CN"/>
        </w:rPr>
        <w:t>2025年度常熟市市级河道保洁服务</w:t>
      </w:r>
      <w:r>
        <w:rPr>
          <w:rFonts w:hint="eastAsia"/>
          <w:color w:val="auto"/>
          <w:sz w:val="24"/>
          <w:szCs w:val="21"/>
          <w:highlight w:val="none"/>
        </w:rPr>
        <w:t>采购活动，服务全部由符合政策要求的中小企业承接。相关企业的具体情况如下：</w:t>
      </w:r>
    </w:p>
    <w:p w14:paraId="1462610B">
      <w:pPr>
        <w:widowControl/>
        <w:shd w:val="clear"/>
        <w:spacing w:line="360" w:lineRule="auto"/>
        <w:ind w:firstLine="480" w:firstLineChars="200"/>
        <w:jc w:val="left"/>
        <w:rPr>
          <w:color w:val="auto"/>
          <w:kern w:val="0"/>
          <w:sz w:val="24"/>
          <w:szCs w:val="24"/>
          <w:highlight w:val="none"/>
        </w:rPr>
      </w:pPr>
      <w:r>
        <w:rPr>
          <w:rFonts w:hint="eastAsia"/>
          <w:color w:val="auto"/>
          <w:kern w:val="0"/>
          <w:sz w:val="24"/>
          <w:szCs w:val="24"/>
          <w:highlight w:val="none"/>
        </w:rPr>
        <w:t>1、</w:t>
      </w:r>
      <w:r>
        <w:rPr>
          <w:rFonts w:hint="eastAsia" w:cs="宋体"/>
          <w:color w:val="auto"/>
          <w:sz w:val="24"/>
          <w:szCs w:val="24"/>
          <w:highlight w:val="none"/>
          <w:u w:val="single"/>
          <w:lang w:eastAsia="zh-CN"/>
        </w:rPr>
        <w:t>2025年度常熟市市级河道保洁服务</w:t>
      </w:r>
      <w:r>
        <w:rPr>
          <w:rFonts w:hint="eastAsia"/>
          <w:color w:val="auto"/>
          <w:kern w:val="0"/>
          <w:sz w:val="24"/>
          <w:szCs w:val="24"/>
          <w:highlight w:val="none"/>
        </w:rPr>
        <w:t>，属于</w:t>
      </w:r>
      <w:r>
        <w:rPr>
          <w:rFonts w:hint="eastAsia"/>
          <w:color w:val="auto"/>
          <w:kern w:val="0"/>
          <w:sz w:val="24"/>
          <w:szCs w:val="24"/>
          <w:highlight w:val="none"/>
          <w:u w:val="single"/>
        </w:rPr>
        <w:t>其他未列明行业</w:t>
      </w:r>
      <w:r>
        <w:rPr>
          <w:rFonts w:hint="eastAsia"/>
          <w:color w:val="auto"/>
          <w:kern w:val="0"/>
          <w:sz w:val="24"/>
          <w:szCs w:val="24"/>
          <w:highlight w:val="none"/>
        </w:rPr>
        <w:t>行业；</w:t>
      </w:r>
      <w:r>
        <w:rPr>
          <w:rFonts w:hint="eastAsia" w:ascii="宋体" w:hAnsi="宋体"/>
          <w:color w:val="auto"/>
          <w:kern w:val="0"/>
          <w:sz w:val="24"/>
          <w:szCs w:val="24"/>
          <w:highlight w:val="none"/>
        </w:rPr>
        <w:t>承接企业为</w:t>
      </w:r>
      <w:r>
        <w:rPr>
          <w:rFonts w:hint="eastAsia"/>
          <w:color w:val="auto"/>
          <w:kern w:val="0"/>
          <w:sz w:val="24"/>
          <w:szCs w:val="24"/>
          <w:highlight w:val="none"/>
          <w:u w:val="single"/>
        </w:rPr>
        <w:t>（企业名称）</w:t>
      </w:r>
      <w:r>
        <w:rPr>
          <w:rFonts w:hint="eastAsia"/>
          <w:color w:val="auto"/>
          <w:kern w:val="0"/>
          <w:sz w:val="24"/>
          <w:szCs w:val="24"/>
          <w:highlight w:val="none"/>
        </w:rPr>
        <w:t>，</w:t>
      </w:r>
      <w:r>
        <w:rPr>
          <w:rFonts w:hint="eastAsia" w:ascii="宋体" w:hAnsi="宋体" w:cs="仿宋"/>
          <w:color w:val="auto"/>
          <w:sz w:val="24"/>
          <w:szCs w:val="24"/>
          <w:highlight w:val="none"/>
        </w:rPr>
        <w:t>从业人员</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人，营业收入为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万元，资产总额为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万元，</w:t>
      </w:r>
      <w:r>
        <w:rPr>
          <w:rFonts w:hint="eastAsia"/>
          <w:color w:val="auto"/>
          <w:kern w:val="0"/>
          <w:sz w:val="24"/>
          <w:szCs w:val="24"/>
          <w:highlight w:val="none"/>
        </w:rPr>
        <w:t>属于</w:t>
      </w:r>
      <w:r>
        <w:rPr>
          <w:rFonts w:hint="eastAsia"/>
          <w:color w:val="auto"/>
          <w:kern w:val="0"/>
          <w:sz w:val="24"/>
          <w:szCs w:val="24"/>
          <w:highlight w:val="none"/>
          <w:u w:val="single"/>
        </w:rPr>
        <w:t>（中型企业、小型企业、微型企业）</w:t>
      </w:r>
      <w:r>
        <w:rPr>
          <w:rFonts w:hint="eastAsia"/>
          <w:color w:val="auto"/>
          <w:kern w:val="0"/>
          <w:sz w:val="24"/>
          <w:szCs w:val="24"/>
          <w:highlight w:val="none"/>
        </w:rPr>
        <w:t>。</w:t>
      </w:r>
    </w:p>
    <w:p w14:paraId="75454EF7">
      <w:pPr>
        <w:widowControl/>
        <w:shd w:val="clear"/>
        <w:spacing w:line="360" w:lineRule="auto"/>
        <w:ind w:firstLine="480" w:firstLineChars="200"/>
        <w:jc w:val="left"/>
        <w:rPr>
          <w:color w:val="auto"/>
          <w:kern w:val="0"/>
          <w:sz w:val="24"/>
          <w:szCs w:val="24"/>
          <w:highlight w:val="none"/>
        </w:rPr>
      </w:pPr>
      <w:r>
        <w:rPr>
          <w:rFonts w:hint="eastAsia"/>
          <w:color w:val="auto"/>
          <w:kern w:val="0"/>
          <w:sz w:val="24"/>
          <w:szCs w:val="24"/>
          <w:highlight w:val="none"/>
        </w:rPr>
        <w:t>以上企业，不属于大企业的分支机构，不存在控股股东为大企业的情形，也不存在与大企业的负责人为同一人的情形。</w:t>
      </w:r>
    </w:p>
    <w:p w14:paraId="1D62FA6B">
      <w:pPr>
        <w:widowControl/>
        <w:shd w:val="clear"/>
        <w:spacing w:line="360" w:lineRule="auto"/>
        <w:ind w:firstLine="480" w:firstLineChars="200"/>
        <w:jc w:val="left"/>
        <w:rPr>
          <w:color w:val="auto"/>
          <w:kern w:val="0"/>
          <w:sz w:val="24"/>
          <w:szCs w:val="24"/>
          <w:highlight w:val="none"/>
        </w:rPr>
      </w:pPr>
      <w:r>
        <w:rPr>
          <w:rFonts w:hint="eastAsia"/>
          <w:color w:val="auto"/>
          <w:kern w:val="0"/>
          <w:sz w:val="24"/>
          <w:szCs w:val="24"/>
          <w:highlight w:val="none"/>
        </w:rPr>
        <w:t>本企业对上述声明内容的真实性负责。如有虚假，将依法承担相应责任。</w:t>
      </w:r>
    </w:p>
    <w:p w14:paraId="0C4B2EB1">
      <w:pPr>
        <w:pStyle w:val="2"/>
        <w:shd w:val="clear"/>
        <w:spacing w:before="55" w:line="560" w:lineRule="exact"/>
        <w:ind w:right="414" w:firstLine="472" w:firstLineChars="200"/>
        <w:rPr>
          <w:rFonts w:ascii="Times New Roman" w:hAnsi="Times New Roman" w:eastAsia="宋体"/>
          <w:color w:val="auto"/>
          <w:spacing w:val="-2"/>
          <w:sz w:val="24"/>
          <w:szCs w:val="24"/>
          <w:highlight w:val="none"/>
        </w:rPr>
      </w:pPr>
    </w:p>
    <w:p w14:paraId="5A7CD611">
      <w:pPr>
        <w:pStyle w:val="2"/>
        <w:shd w:val="clear"/>
        <w:spacing w:before="35" w:line="440" w:lineRule="exact"/>
        <w:ind w:left="4060" w:right="2166" w:firstLine="358" w:firstLineChars="152"/>
        <w:rPr>
          <w:rFonts w:ascii="Times New Roman" w:hAnsi="Times New Roman" w:eastAsia="宋体"/>
          <w:color w:val="auto"/>
          <w:spacing w:val="-2"/>
          <w:sz w:val="24"/>
          <w:szCs w:val="24"/>
          <w:highlight w:val="none"/>
        </w:rPr>
      </w:pPr>
      <w:r>
        <w:rPr>
          <w:rFonts w:ascii="Times New Roman" w:hAnsi="Times New Roman" w:eastAsia="宋体"/>
          <w:color w:val="auto"/>
          <w:spacing w:val="-2"/>
          <w:sz w:val="24"/>
          <w:szCs w:val="24"/>
          <w:highlight w:val="none"/>
        </w:rPr>
        <w:t>企业名称（加盖CA电子公章）：</w:t>
      </w:r>
    </w:p>
    <w:p w14:paraId="493349A2">
      <w:pPr>
        <w:pStyle w:val="2"/>
        <w:shd w:val="clear"/>
        <w:spacing w:before="35" w:line="440" w:lineRule="exact"/>
        <w:ind w:left="4060" w:right="2166" w:firstLine="358" w:firstLineChars="152"/>
        <w:rPr>
          <w:rFonts w:ascii="Times New Roman" w:hAnsi="Times New Roman" w:eastAsia="宋体"/>
          <w:color w:val="auto"/>
          <w:spacing w:val="-2"/>
          <w:sz w:val="24"/>
          <w:szCs w:val="24"/>
          <w:highlight w:val="none"/>
        </w:rPr>
      </w:pPr>
      <w:r>
        <w:rPr>
          <w:rFonts w:ascii="Times New Roman" w:hAnsi="Times New Roman" w:eastAsia="宋体"/>
          <w:color w:val="auto"/>
          <w:spacing w:val="-2"/>
          <w:sz w:val="24"/>
          <w:szCs w:val="24"/>
          <w:highlight w:val="none"/>
        </w:rPr>
        <w:t>日期：</w:t>
      </w:r>
    </w:p>
    <w:p w14:paraId="4E15F594">
      <w:pPr>
        <w:shd w:val="clear"/>
        <w:jc w:val="center"/>
        <w:rPr>
          <w:color w:val="auto"/>
          <w:sz w:val="24"/>
          <w:szCs w:val="24"/>
          <w:highlight w:val="none"/>
        </w:rPr>
      </w:pPr>
    </w:p>
    <w:p w14:paraId="0BE2B1EF">
      <w:pPr>
        <w:shd w:val="clear"/>
        <w:jc w:val="center"/>
        <w:rPr>
          <w:color w:val="auto"/>
          <w:sz w:val="24"/>
          <w:szCs w:val="24"/>
          <w:highlight w:val="none"/>
        </w:rPr>
      </w:pPr>
    </w:p>
    <w:p w14:paraId="59BDAE1E">
      <w:pPr>
        <w:shd w:val="clear"/>
        <w:jc w:val="center"/>
        <w:rPr>
          <w:color w:val="auto"/>
          <w:sz w:val="24"/>
          <w:szCs w:val="24"/>
          <w:highlight w:val="none"/>
        </w:rPr>
      </w:pPr>
    </w:p>
    <w:p w14:paraId="4C1FA9AA">
      <w:pPr>
        <w:shd w:val="clear"/>
        <w:spacing w:line="440" w:lineRule="exact"/>
        <w:jc w:val="left"/>
        <w:rPr>
          <w:b/>
          <w:bCs/>
          <w:color w:val="auto"/>
          <w:sz w:val="24"/>
          <w:szCs w:val="32"/>
          <w:highlight w:val="none"/>
        </w:rPr>
      </w:pPr>
      <w:r>
        <w:rPr>
          <w:rFonts w:hint="eastAsia"/>
          <w:b/>
          <w:color w:val="auto"/>
          <w:sz w:val="24"/>
          <w:szCs w:val="24"/>
          <w:highlight w:val="none"/>
        </w:rPr>
        <w:t>注</w:t>
      </w:r>
      <w:r>
        <w:rPr>
          <w:b/>
          <w:color w:val="auto"/>
          <w:sz w:val="24"/>
          <w:szCs w:val="24"/>
          <w:highlight w:val="none"/>
        </w:rPr>
        <w:t>：（1）从业人员、营业收入、资产总额填报上一年度数据，</w:t>
      </w:r>
      <w:r>
        <w:rPr>
          <w:rFonts w:hint="eastAsia"/>
          <w:b/>
          <w:color w:val="auto"/>
          <w:sz w:val="24"/>
          <w:szCs w:val="24"/>
          <w:highlight w:val="none"/>
        </w:rPr>
        <w:t>无</w:t>
      </w:r>
      <w:r>
        <w:rPr>
          <w:b/>
          <w:color w:val="auto"/>
          <w:sz w:val="24"/>
          <w:szCs w:val="24"/>
          <w:highlight w:val="none"/>
        </w:rPr>
        <w:t>上一年度数据的新成立企业</w:t>
      </w:r>
      <w:r>
        <w:rPr>
          <w:b/>
          <w:bCs/>
          <w:color w:val="auto"/>
          <w:sz w:val="24"/>
          <w:szCs w:val="32"/>
          <w:highlight w:val="none"/>
        </w:rPr>
        <w:t>可不填报。</w:t>
      </w:r>
    </w:p>
    <w:p w14:paraId="07B017E9">
      <w:pPr>
        <w:shd w:val="clear"/>
        <w:spacing w:line="440" w:lineRule="exact"/>
        <w:ind w:firstLine="482" w:firstLineChars="200"/>
        <w:rPr>
          <w:b/>
          <w:bCs/>
          <w:color w:val="auto"/>
          <w:sz w:val="24"/>
          <w:szCs w:val="24"/>
          <w:highlight w:val="none"/>
        </w:rPr>
      </w:pPr>
      <w:r>
        <w:rPr>
          <w:b/>
          <w:bCs/>
          <w:color w:val="auto"/>
          <w:sz w:val="24"/>
          <w:szCs w:val="24"/>
          <w:highlight w:val="none"/>
        </w:rPr>
        <w:t>（</w:t>
      </w:r>
      <w:r>
        <w:rPr>
          <w:rFonts w:hint="eastAsia"/>
          <w:b/>
          <w:bCs/>
          <w:color w:val="auto"/>
          <w:sz w:val="24"/>
          <w:szCs w:val="24"/>
          <w:highlight w:val="none"/>
        </w:rPr>
        <w:t>2</w:t>
      </w:r>
      <w:r>
        <w:rPr>
          <w:b/>
          <w:bCs/>
          <w:color w:val="auto"/>
          <w:sz w:val="24"/>
          <w:szCs w:val="24"/>
          <w:highlight w:val="none"/>
        </w:rPr>
        <w:t>）</w:t>
      </w:r>
      <w:r>
        <w:rPr>
          <w:rFonts w:hint="eastAsia"/>
          <w:b/>
          <w:bCs/>
          <w:color w:val="auto"/>
          <w:sz w:val="24"/>
          <w:szCs w:val="24"/>
          <w:highlight w:val="none"/>
        </w:rPr>
        <w:t>本项目所属行业为：其他未列明行业。</w:t>
      </w:r>
    </w:p>
    <w:p w14:paraId="3B1CA3E3">
      <w:pPr>
        <w:shd w:val="clear"/>
        <w:spacing w:line="480" w:lineRule="exact"/>
        <w:ind w:firstLine="482" w:firstLineChars="200"/>
        <w:rPr>
          <w:b/>
          <w:bCs/>
          <w:color w:val="auto"/>
          <w:sz w:val="24"/>
          <w:szCs w:val="24"/>
          <w:highlight w:val="none"/>
        </w:rPr>
      </w:pPr>
      <w:r>
        <w:rPr>
          <w:rFonts w:ascii="宋体" w:hAnsi="宋体"/>
          <w:b/>
          <w:bCs/>
          <w:color w:val="auto"/>
          <w:sz w:val="24"/>
          <w:szCs w:val="24"/>
          <w:highlight w:val="none"/>
        </w:rPr>
        <w:t>（</w:t>
      </w:r>
      <w:r>
        <w:rPr>
          <w:rFonts w:hint="eastAsia" w:ascii="宋体" w:hAnsi="宋体"/>
          <w:b/>
          <w:bCs/>
          <w:color w:val="auto"/>
          <w:sz w:val="24"/>
          <w:szCs w:val="24"/>
          <w:highlight w:val="none"/>
        </w:rPr>
        <w:t>3</w:t>
      </w:r>
      <w:r>
        <w:rPr>
          <w:rFonts w:ascii="宋体" w:hAnsi="宋体"/>
          <w:b/>
          <w:bCs/>
          <w:color w:val="auto"/>
          <w:sz w:val="24"/>
          <w:szCs w:val="24"/>
          <w:highlight w:val="none"/>
        </w:rPr>
        <w:t>）</w:t>
      </w:r>
      <w:r>
        <w:rPr>
          <w:b/>
          <w:bCs/>
          <w:color w:val="auto"/>
          <w:sz w:val="24"/>
          <w:szCs w:val="24"/>
          <w:highlight w:val="none"/>
        </w:rPr>
        <w:t>上述</w:t>
      </w:r>
      <w:r>
        <w:rPr>
          <w:rFonts w:hint="eastAsia"/>
          <w:b/>
          <w:bCs/>
          <w:color w:val="auto"/>
          <w:sz w:val="24"/>
          <w:szCs w:val="24"/>
          <w:highlight w:val="none"/>
        </w:rPr>
        <w:t>“</w:t>
      </w:r>
      <w:r>
        <w:rPr>
          <w:b/>
          <w:bCs/>
          <w:color w:val="auto"/>
          <w:sz w:val="24"/>
          <w:szCs w:val="24"/>
          <w:highlight w:val="none"/>
        </w:rPr>
        <w:t>中小企业声明函</w:t>
      </w:r>
      <w:r>
        <w:rPr>
          <w:rFonts w:hint="eastAsia"/>
          <w:b/>
          <w:bCs/>
          <w:color w:val="auto"/>
          <w:sz w:val="24"/>
          <w:szCs w:val="24"/>
          <w:highlight w:val="none"/>
        </w:rPr>
        <w:t>”</w:t>
      </w:r>
      <w:r>
        <w:rPr>
          <w:b/>
          <w:bCs/>
          <w:color w:val="auto"/>
          <w:sz w:val="24"/>
          <w:szCs w:val="24"/>
          <w:highlight w:val="none"/>
        </w:rPr>
        <w:t>格式原则上不得改动，因擅自改动引起的评审风险由</w:t>
      </w:r>
      <w:r>
        <w:rPr>
          <w:rFonts w:hint="eastAsia"/>
          <w:b/>
          <w:bCs/>
          <w:color w:val="auto"/>
          <w:sz w:val="24"/>
          <w:szCs w:val="24"/>
          <w:highlight w:val="none"/>
        </w:rPr>
        <w:t>投标人</w:t>
      </w:r>
      <w:r>
        <w:rPr>
          <w:b/>
          <w:bCs/>
          <w:color w:val="auto"/>
          <w:sz w:val="24"/>
          <w:szCs w:val="24"/>
          <w:highlight w:val="none"/>
        </w:rPr>
        <w:t>自行承担</w:t>
      </w:r>
      <w:r>
        <w:rPr>
          <w:rFonts w:hint="eastAsia"/>
          <w:b/>
          <w:bCs/>
          <w:color w:val="auto"/>
          <w:sz w:val="24"/>
          <w:szCs w:val="24"/>
          <w:highlight w:val="none"/>
        </w:rPr>
        <w:t>。</w:t>
      </w:r>
    </w:p>
    <w:p w14:paraId="5211BA74">
      <w:pPr>
        <w:shd w:val="clear"/>
        <w:spacing w:line="480" w:lineRule="exact"/>
        <w:ind w:firstLine="482" w:firstLineChars="200"/>
        <w:rPr>
          <w:rFonts w:ascii="宋体" w:hAnsi="宋体"/>
          <w:color w:val="auto"/>
          <w:sz w:val="24"/>
          <w:szCs w:val="24"/>
          <w:highlight w:val="none"/>
        </w:rPr>
      </w:pPr>
      <w:r>
        <w:rPr>
          <w:rFonts w:hint="eastAsia" w:ascii="Times New Roman" w:hAnsi="Times New Roman"/>
          <w:b/>
          <w:bCs/>
          <w:color w:val="auto"/>
          <w:sz w:val="24"/>
          <w:szCs w:val="24"/>
          <w:highlight w:val="none"/>
        </w:rPr>
        <w:t>（4）如未对上述声明函内（中型企业、小型企业、微型企业）进行勾选或明确，</w:t>
      </w:r>
      <w:r>
        <w:rPr>
          <w:rFonts w:ascii="Times New Roman" w:hAnsi="Times New Roman"/>
          <w:b/>
          <w:bCs/>
          <w:color w:val="auto"/>
          <w:sz w:val="24"/>
          <w:szCs w:val="24"/>
          <w:highlight w:val="none"/>
        </w:rPr>
        <w:t>引起的评审风险由</w:t>
      </w:r>
      <w:r>
        <w:rPr>
          <w:rFonts w:hint="eastAsia" w:ascii="Times New Roman" w:hAnsi="Times New Roman"/>
          <w:b/>
          <w:bCs/>
          <w:color w:val="auto"/>
          <w:sz w:val="24"/>
          <w:szCs w:val="24"/>
          <w:highlight w:val="none"/>
        </w:rPr>
        <w:t>投标人</w:t>
      </w:r>
      <w:r>
        <w:rPr>
          <w:rFonts w:ascii="Times New Roman" w:hAnsi="Times New Roman"/>
          <w:b/>
          <w:bCs/>
          <w:color w:val="auto"/>
          <w:sz w:val="24"/>
          <w:szCs w:val="24"/>
          <w:highlight w:val="none"/>
        </w:rPr>
        <w:t>自行承担。</w:t>
      </w:r>
    </w:p>
    <w:p w14:paraId="5080EA32">
      <w:pPr>
        <w:shd w:val="clear"/>
        <w:spacing w:line="440" w:lineRule="exact"/>
        <w:ind w:firstLine="562" w:firstLineChars="200"/>
        <w:rPr>
          <w:b/>
          <w:bCs/>
          <w:color w:val="auto"/>
          <w:sz w:val="28"/>
          <w:szCs w:val="28"/>
          <w:highlight w:val="none"/>
        </w:rPr>
        <w:sectPr>
          <w:footerReference r:id="rId11" w:type="first"/>
          <w:footerReference r:id="rId10" w:type="default"/>
          <w:pgSz w:w="11907" w:h="16840"/>
          <w:pgMar w:top="1134" w:right="882" w:bottom="1134" w:left="1365" w:header="567" w:footer="794" w:gutter="0"/>
          <w:pgNumType w:fmt="decimal" w:start="1"/>
          <w:cols w:space="720" w:num="1"/>
          <w:titlePg/>
          <w:docGrid w:type="lines" w:linePitch="305" w:charSpace="0"/>
        </w:sectPr>
      </w:pPr>
    </w:p>
    <w:p w14:paraId="6261D2F7">
      <w:pPr>
        <w:shd w:val="clear"/>
        <w:spacing w:line="440" w:lineRule="exact"/>
        <w:jc w:val="center"/>
        <w:outlineLvl w:val="1"/>
        <w:rPr>
          <w:color w:val="auto"/>
          <w:highlight w:val="none"/>
        </w:rPr>
      </w:pPr>
      <w:bookmarkStart w:id="325" w:name="_Toc9286"/>
      <w:bookmarkStart w:id="326" w:name="_Toc3558"/>
      <w:bookmarkStart w:id="327" w:name="_Toc1913"/>
      <w:r>
        <w:rPr>
          <w:b/>
          <w:bCs/>
          <w:color w:val="auto"/>
          <w:sz w:val="28"/>
          <w:szCs w:val="28"/>
          <w:highlight w:val="none"/>
        </w:rPr>
        <w:t>附件</w:t>
      </w:r>
      <w:bookmarkEnd w:id="325"/>
      <w:r>
        <w:rPr>
          <w:rFonts w:hint="eastAsia"/>
          <w:b/>
          <w:bCs/>
          <w:color w:val="auto"/>
          <w:sz w:val="28"/>
          <w:szCs w:val="28"/>
          <w:highlight w:val="none"/>
          <w:lang w:val="en-US" w:eastAsia="zh-CN"/>
        </w:rPr>
        <w:t>9</w:t>
      </w:r>
      <w:r>
        <w:rPr>
          <w:rFonts w:hint="eastAsia"/>
          <w:b/>
          <w:bCs/>
          <w:color w:val="auto"/>
          <w:sz w:val="28"/>
          <w:szCs w:val="28"/>
          <w:highlight w:val="none"/>
        </w:rPr>
        <w:t xml:space="preserve"> 残疾人福利性单位声明函</w:t>
      </w:r>
      <w:bookmarkEnd w:id="326"/>
      <w:bookmarkEnd w:id="327"/>
    </w:p>
    <w:p w14:paraId="27B1A923">
      <w:pPr>
        <w:shd w:val="clear"/>
        <w:adjustRightInd w:val="0"/>
        <w:snapToGrid w:val="0"/>
        <w:spacing w:line="580" w:lineRule="exact"/>
        <w:ind w:firstLine="480" w:firstLineChars="200"/>
        <w:rPr>
          <w:rFonts w:cs="宋体"/>
          <w:color w:val="auto"/>
          <w:sz w:val="24"/>
          <w:szCs w:val="24"/>
          <w:highlight w:val="none"/>
          <w:lang w:val="zh-CN"/>
        </w:rPr>
      </w:pPr>
      <w:r>
        <w:rPr>
          <w:rFonts w:hint="eastAsia" w:cs="宋体"/>
          <w:color w:val="auto"/>
          <w:sz w:val="24"/>
          <w:szCs w:val="24"/>
          <w:highlight w:val="none"/>
          <w:lang w:val="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3E797EC">
      <w:pPr>
        <w:shd w:val="clear"/>
        <w:adjustRightInd w:val="0"/>
        <w:snapToGrid w:val="0"/>
        <w:spacing w:line="580" w:lineRule="exact"/>
        <w:ind w:firstLine="480" w:firstLineChars="200"/>
        <w:rPr>
          <w:rFonts w:cs="宋体"/>
          <w:color w:val="auto"/>
          <w:sz w:val="24"/>
          <w:szCs w:val="24"/>
          <w:highlight w:val="none"/>
          <w:lang w:val="zh-CN"/>
        </w:rPr>
      </w:pPr>
      <w:r>
        <w:rPr>
          <w:rFonts w:hint="eastAsia" w:cs="宋体"/>
          <w:color w:val="auto"/>
          <w:sz w:val="24"/>
          <w:szCs w:val="24"/>
          <w:highlight w:val="none"/>
          <w:lang w:val="zh-CN"/>
        </w:rPr>
        <w:t>本单位对上述声明的真实性负责。如有虚假，将依法承担相应责任。</w:t>
      </w:r>
    </w:p>
    <w:p w14:paraId="4BEC5ACB">
      <w:pPr>
        <w:shd w:val="clear"/>
        <w:adjustRightInd w:val="0"/>
        <w:snapToGrid w:val="0"/>
        <w:spacing w:line="580" w:lineRule="exact"/>
        <w:jc w:val="left"/>
        <w:rPr>
          <w:rFonts w:cs="宋体"/>
          <w:color w:val="auto"/>
          <w:sz w:val="24"/>
          <w:szCs w:val="24"/>
          <w:highlight w:val="none"/>
          <w:lang w:val="zh-CN"/>
        </w:rPr>
      </w:pPr>
    </w:p>
    <w:p w14:paraId="2B31CD18">
      <w:pPr>
        <w:shd w:val="clear"/>
        <w:adjustRightInd w:val="0"/>
        <w:snapToGrid w:val="0"/>
        <w:spacing w:line="580" w:lineRule="exact"/>
        <w:ind w:firstLine="4800" w:firstLineChars="2000"/>
        <w:jc w:val="left"/>
        <w:rPr>
          <w:rFonts w:cs="宋体"/>
          <w:color w:val="auto"/>
          <w:sz w:val="24"/>
          <w:szCs w:val="24"/>
          <w:highlight w:val="none"/>
          <w:lang w:val="zh-CN"/>
        </w:rPr>
      </w:pPr>
      <w:r>
        <w:rPr>
          <w:rFonts w:hint="eastAsia" w:cs="宋体"/>
          <w:color w:val="auto"/>
          <w:sz w:val="24"/>
          <w:szCs w:val="24"/>
          <w:highlight w:val="none"/>
          <w:lang w:val="zh-CN"/>
        </w:rPr>
        <w:t>单位名称：</w:t>
      </w:r>
    </w:p>
    <w:p w14:paraId="44FFEE66">
      <w:pPr>
        <w:shd w:val="clear"/>
        <w:adjustRightInd w:val="0"/>
        <w:snapToGrid w:val="0"/>
        <w:spacing w:line="580" w:lineRule="exact"/>
        <w:ind w:firstLine="4800" w:firstLineChars="2000"/>
        <w:jc w:val="left"/>
        <w:rPr>
          <w:rFonts w:cs="宋体"/>
          <w:color w:val="auto"/>
          <w:sz w:val="24"/>
          <w:szCs w:val="24"/>
          <w:highlight w:val="none"/>
          <w:lang w:val="zh-CN"/>
        </w:rPr>
      </w:pPr>
      <w:r>
        <w:rPr>
          <w:rFonts w:hint="eastAsia" w:cs="宋体"/>
          <w:color w:val="auto"/>
          <w:sz w:val="24"/>
          <w:szCs w:val="24"/>
          <w:highlight w:val="none"/>
          <w:lang w:val="zh-CN"/>
        </w:rPr>
        <w:t>日   期：</w:t>
      </w:r>
    </w:p>
    <w:p w14:paraId="087CEDD9">
      <w:pPr>
        <w:shd w:val="clear"/>
        <w:adjustRightInd w:val="0"/>
        <w:snapToGrid w:val="0"/>
        <w:spacing w:line="580" w:lineRule="exact"/>
        <w:jc w:val="left"/>
        <w:rPr>
          <w:rFonts w:cs="宋体"/>
          <w:color w:val="auto"/>
          <w:sz w:val="24"/>
          <w:szCs w:val="24"/>
          <w:highlight w:val="none"/>
          <w:lang w:val="zh-CN"/>
        </w:rPr>
      </w:pPr>
    </w:p>
    <w:p w14:paraId="382532DE">
      <w:pPr>
        <w:shd w:val="clear"/>
        <w:suppressAutoHyphens/>
        <w:autoSpaceDN w:val="0"/>
        <w:spacing w:line="360" w:lineRule="auto"/>
        <w:ind w:firstLine="5160"/>
        <w:textAlignment w:val="baseline"/>
        <w:rPr>
          <w:color w:val="auto"/>
          <w:kern w:val="3"/>
          <w:sz w:val="24"/>
          <w:highlight w:val="none"/>
        </w:rPr>
      </w:pPr>
    </w:p>
    <w:p w14:paraId="1660041A">
      <w:pPr>
        <w:shd w:val="clear"/>
        <w:spacing w:line="440" w:lineRule="exact"/>
        <w:rPr>
          <w:color w:val="auto"/>
          <w:sz w:val="24"/>
          <w:szCs w:val="22"/>
          <w:highlight w:val="none"/>
        </w:rPr>
      </w:pPr>
      <w:r>
        <w:rPr>
          <w:rFonts w:hint="eastAsia"/>
          <w:color w:val="auto"/>
          <w:sz w:val="24"/>
          <w:szCs w:val="22"/>
          <w:highlight w:val="none"/>
        </w:rPr>
        <w:t>请投标人认真阅读如下内容：</w:t>
      </w:r>
    </w:p>
    <w:p w14:paraId="09ACB559">
      <w:pPr>
        <w:shd w:val="clear"/>
        <w:spacing w:line="440" w:lineRule="exact"/>
        <w:rPr>
          <w:color w:val="auto"/>
          <w:sz w:val="24"/>
          <w:szCs w:val="22"/>
          <w:highlight w:val="none"/>
        </w:rPr>
      </w:pPr>
      <w:r>
        <w:rPr>
          <w:rFonts w:hint="eastAsia"/>
          <w:color w:val="auto"/>
          <w:sz w:val="24"/>
          <w:szCs w:val="22"/>
          <w:highlight w:val="none"/>
        </w:rPr>
        <w:t>注：根据《财政部、民政部、中国残疾人联合会关于促进残疾人就业政府采购政策的通知》（财库〔2017〕141号）的规定的划分标准，享受政府采购支持政策的残疾人福利性单位应当同时满足以下条件：</w:t>
      </w:r>
    </w:p>
    <w:p w14:paraId="6AD2C2BF">
      <w:pPr>
        <w:shd w:val="clear"/>
        <w:spacing w:line="440" w:lineRule="exact"/>
        <w:ind w:firstLine="480" w:firstLineChars="200"/>
        <w:rPr>
          <w:color w:val="auto"/>
          <w:sz w:val="24"/>
          <w:szCs w:val="22"/>
          <w:highlight w:val="none"/>
        </w:rPr>
      </w:pPr>
      <w:r>
        <w:rPr>
          <w:rFonts w:hint="eastAsia"/>
          <w:color w:val="auto"/>
          <w:sz w:val="24"/>
          <w:szCs w:val="22"/>
          <w:highlight w:val="none"/>
        </w:rPr>
        <w:t>1）安置的残疾人占本单位在职职工人数的比例不低于25%（含25%），并且安置的残疾人人数不少于10人（含10人）；</w:t>
      </w:r>
    </w:p>
    <w:p w14:paraId="72BB2527">
      <w:pPr>
        <w:shd w:val="clear"/>
        <w:spacing w:line="440" w:lineRule="exact"/>
        <w:ind w:firstLine="480" w:firstLineChars="200"/>
        <w:rPr>
          <w:color w:val="auto"/>
          <w:sz w:val="24"/>
          <w:szCs w:val="22"/>
          <w:highlight w:val="none"/>
        </w:rPr>
      </w:pPr>
      <w:r>
        <w:rPr>
          <w:rFonts w:hint="eastAsia"/>
          <w:color w:val="auto"/>
          <w:sz w:val="24"/>
          <w:szCs w:val="22"/>
          <w:highlight w:val="none"/>
        </w:rPr>
        <w:t>2）依法与安置的每位残疾人签订了一年以上（含一年）的劳动合同或服务协议；</w:t>
      </w:r>
    </w:p>
    <w:p w14:paraId="3C43C3F3">
      <w:pPr>
        <w:shd w:val="clear"/>
        <w:spacing w:line="440" w:lineRule="exact"/>
        <w:ind w:firstLine="480" w:firstLineChars="200"/>
        <w:rPr>
          <w:color w:val="auto"/>
          <w:sz w:val="24"/>
          <w:szCs w:val="22"/>
          <w:highlight w:val="none"/>
        </w:rPr>
      </w:pPr>
      <w:r>
        <w:rPr>
          <w:rFonts w:hint="eastAsia"/>
          <w:color w:val="auto"/>
          <w:sz w:val="24"/>
          <w:szCs w:val="22"/>
          <w:highlight w:val="none"/>
        </w:rPr>
        <w:t>3）为安置的每位残疾人按月足额缴纳了基本养老保险、基本医疗保险、失业保险、工伤保险和生育保险等社会保险费；</w:t>
      </w:r>
    </w:p>
    <w:p w14:paraId="7BF67B00">
      <w:pPr>
        <w:shd w:val="clear"/>
        <w:spacing w:line="440" w:lineRule="exact"/>
        <w:ind w:firstLine="480" w:firstLineChars="200"/>
        <w:rPr>
          <w:color w:val="auto"/>
          <w:sz w:val="24"/>
          <w:szCs w:val="22"/>
          <w:highlight w:val="none"/>
        </w:rPr>
      </w:pPr>
      <w:r>
        <w:rPr>
          <w:rFonts w:hint="eastAsia"/>
          <w:color w:val="auto"/>
          <w:sz w:val="24"/>
          <w:szCs w:val="22"/>
          <w:highlight w:val="none"/>
        </w:rPr>
        <w:t>4）通过银行等金融机构向安置的每位残疾人，按月支付了不低于单位所在区县适用的经省级人民政府批准的月最低工资标准的工资；</w:t>
      </w:r>
    </w:p>
    <w:p w14:paraId="1BEC715F">
      <w:pPr>
        <w:shd w:val="clear"/>
        <w:spacing w:line="440" w:lineRule="exact"/>
        <w:ind w:firstLine="480" w:firstLineChars="200"/>
        <w:rPr>
          <w:color w:val="auto"/>
          <w:sz w:val="24"/>
          <w:szCs w:val="22"/>
          <w:highlight w:val="none"/>
        </w:rPr>
      </w:pPr>
      <w:r>
        <w:rPr>
          <w:rFonts w:hint="eastAsia"/>
          <w:color w:val="auto"/>
          <w:sz w:val="24"/>
          <w:szCs w:val="22"/>
          <w:highlight w:val="none"/>
        </w:rPr>
        <w:t>5）提供本单位制造的货物、承担的工程或者服务（以下简称产品），或者提供其他残疾人福利性单位制造的货物（不包括使用非残疾人福利性单位注册商标的货物）。</w:t>
      </w:r>
    </w:p>
    <w:p w14:paraId="058729C0">
      <w:pPr>
        <w:shd w:val="clear"/>
        <w:spacing w:line="440" w:lineRule="exact"/>
        <w:ind w:firstLine="480" w:firstLineChars="200"/>
        <w:rPr>
          <w:color w:val="auto"/>
          <w:highlight w:val="none"/>
        </w:rPr>
      </w:pPr>
      <w:r>
        <w:rPr>
          <w:rFonts w:hint="eastAsia"/>
          <w:color w:val="auto"/>
          <w:sz w:val="24"/>
          <w:szCs w:val="22"/>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D40E664">
      <w:pPr>
        <w:pStyle w:val="8"/>
        <w:keepNext w:val="0"/>
        <w:pageBreakBefore/>
        <w:shd w:val="clear"/>
        <w:rPr>
          <w:rFonts w:eastAsia="宋体"/>
          <w:color w:val="auto"/>
          <w:highlight w:val="none"/>
        </w:rPr>
      </w:pPr>
      <w:bookmarkStart w:id="328" w:name="_Toc26890"/>
      <w:r>
        <w:rPr>
          <w:rFonts w:hint="eastAsia" w:eastAsia="宋体"/>
          <w:color w:val="auto"/>
          <w:highlight w:val="none"/>
        </w:rPr>
        <w:t>附件</w:t>
      </w:r>
      <w:r>
        <w:rPr>
          <w:rFonts w:hint="eastAsia" w:eastAsia="宋体"/>
          <w:color w:val="auto"/>
          <w:highlight w:val="none"/>
          <w:lang w:val="en-US" w:eastAsia="zh-CN"/>
        </w:rPr>
        <w:t>10</w:t>
      </w:r>
      <w:r>
        <w:rPr>
          <w:rFonts w:hint="eastAsia" w:eastAsia="宋体"/>
          <w:color w:val="auto"/>
          <w:highlight w:val="none"/>
        </w:rPr>
        <w:t xml:space="preserve"> 实质性要求响应及偏离表</w:t>
      </w:r>
      <w:bookmarkEnd w:id="328"/>
    </w:p>
    <w:tbl>
      <w:tblPr>
        <w:tblStyle w:val="55"/>
        <w:tblW w:w="0" w:type="auto"/>
        <w:tblInd w:w="30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4"/>
        <w:gridCol w:w="4666"/>
        <w:gridCol w:w="2260"/>
        <w:gridCol w:w="1526"/>
      </w:tblGrid>
      <w:tr w14:paraId="6B6B51A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8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812F9F9">
            <w:pPr>
              <w:pBdr>
                <w:top w:val="none" w:color="000000" w:sz="0" w:space="0"/>
                <w:left w:val="none" w:color="000000" w:sz="0" w:space="0"/>
                <w:bottom w:val="none" w:color="000000" w:sz="0" w:space="0"/>
                <w:right w:val="none" w:color="000000" w:sz="0" w:space="0"/>
              </w:pBdr>
              <w:shd w:val="clear"/>
              <w:spacing w:line="400" w:lineRule="atLeast"/>
              <w:jc w:val="center"/>
              <w:rPr>
                <w:color w:val="auto"/>
                <w:highlight w:val="none"/>
              </w:rPr>
            </w:pPr>
            <w:r>
              <w:rPr>
                <w:rFonts w:ascii="宋体" w:hAnsi="宋体" w:cs="宋体"/>
                <w:color w:val="auto"/>
                <w:sz w:val="24"/>
                <w:highlight w:val="none"/>
              </w:rPr>
              <w:t>序号</w:t>
            </w:r>
          </w:p>
        </w:tc>
        <w:tc>
          <w:tcPr>
            <w:tcW w:w="466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E89C9C6">
            <w:pPr>
              <w:pBdr>
                <w:top w:val="none" w:color="000000" w:sz="0" w:space="0"/>
                <w:left w:val="none" w:color="000000" w:sz="0" w:space="0"/>
                <w:bottom w:val="none" w:color="000000" w:sz="0" w:space="0"/>
                <w:right w:val="none" w:color="000000" w:sz="0" w:space="0"/>
              </w:pBdr>
              <w:shd w:val="clear"/>
              <w:spacing w:line="400" w:lineRule="atLeast"/>
              <w:jc w:val="center"/>
              <w:rPr>
                <w:color w:val="auto"/>
                <w:highlight w:val="none"/>
              </w:rPr>
            </w:pPr>
            <w:r>
              <w:rPr>
                <w:rFonts w:ascii="宋体" w:hAnsi="宋体" w:cs="宋体"/>
                <w:color w:val="auto"/>
                <w:sz w:val="24"/>
                <w:highlight w:val="none"/>
              </w:rPr>
              <w:t>技术要求和商务要求中的</w:t>
            </w:r>
            <w:r>
              <w:rPr>
                <w:rFonts w:ascii="宋体" w:hAnsi="宋体" w:cs="宋体"/>
                <w:b/>
                <w:color w:val="auto"/>
                <w:sz w:val="24"/>
                <w:highlight w:val="none"/>
              </w:rPr>
              <w:t>实质性要求</w:t>
            </w:r>
          </w:p>
        </w:tc>
        <w:tc>
          <w:tcPr>
            <w:tcW w:w="2260"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0C3D2DB">
            <w:pPr>
              <w:pBdr>
                <w:top w:val="none" w:color="000000" w:sz="0" w:space="0"/>
                <w:left w:val="none" w:color="000000" w:sz="0" w:space="0"/>
                <w:bottom w:val="none" w:color="000000" w:sz="0" w:space="0"/>
                <w:right w:val="none" w:color="000000" w:sz="0" w:space="0"/>
              </w:pBdr>
              <w:shd w:val="clear"/>
              <w:spacing w:line="400" w:lineRule="atLeast"/>
              <w:jc w:val="center"/>
              <w:rPr>
                <w:color w:val="auto"/>
                <w:highlight w:val="none"/>
              </w:rPr>
            </w:pPr>
            <w:r>
              <w:rPr>
                <w:rFonts w:ascii="宋体" w:hAnsi="宋体" w:cs="宋体"/>
                <w:color w:val="auto"/>
                <w:sz w:val="24"/>
                <w:highlight w:val="none"/>
              </w:rPr>
              <w:t>响应情况</w:t>
            </w:r>
          </w:p>
        </w:tc>
        <w:tc>
          <w:tcPr>
            <w:tcW w:w="152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B53BF00">
            <w:pPr>
              <w:pBdr>
                <w:top w:val="none" w:color="000000" w:sz="0" w:space="0"/>
                <w:left w:val="none" w:color="000000" w:sz="0" w:space="0"/>
                <w:bottom w:val="none" w:color="000000" w:sz="0" w:space="0"/>
                <w:right w:val="none" w:color="000000" w:sz="0" w:space="0"/>
              </w:pBdr>
              <w:shd w:val="clear"/>
              <w:spacing w:line="400" w:lineRule="atLeast"/>
              <w:jc w:val="center"/>
              <w:rPr>
                <w:color w:val="auto"/>
                <w:highlight w:val="none"/>
              </w:rPr>
            </w:pPr>
            <w:r>
              <w:rPr>
                <w:rFonts w:ascii="宋体" w:hAnsi="宋体" w:cs="宋体"/>
                <w:color w:val="auto"/>
                <w:sz w:val="24"/>
                <w:highlight w:val="none"/>
              </w:rPr>
              <w:t>超出、符合或偏离</w:t>
            </w:r>
          </w:p>
        </w:tc>
      </w:tr>
      <w:tr w14:paraId="7BE005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834"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127B469">
            <w:pPr>
              <w:pBdr>
                <w:top w:val="none" w:color="000000" w:sz="0" w:space="0"/>
                <w:left w:val="none" w:color="000000" w:sz="0" w:space="0"/>
                <w:bottom w:val="none" w:color="000000" w:sz="0" w:space="0"/>
                <w:right w:val="none" w:color="000000" w:sz="0" w:space="0"/>
              </w:pBdr>
              <w:shd w:val="clear"/>
              <w:spacing w:line="400" w:lineRule="atLeast"/>
              <w:jc w:val="center"/>
              <w:rPr>
                <w:color w:val="auto"/>
                <w:highlight w:val="none"/>
              </w:rPr>
            </w:pPr>
            <w:r>
              <w:rPr>
                <w:rFonts w:ascii="宋体" w:hAnsi="宋体" w:cs="宋体"/>
                <w:color w:val="auto"/>
                <w:sz w:val="24"/>
                <w:highlight w:val="none"/>
              </w:rPr>
              <w:t>1</w:t>
            </w:r>
          </w:p>
        </w:tc>
        <w:tc>
          <w:tcPr>
            <w:tcW w:w="4666" w:type="dxa"/>
            <w:tcBorders>
              <w:top w:val="nil"/>
              <w:left w:val="nil"/>
              <w:bottom w:val="single" w:color="000000" w:sz="8" w:space="0"/>
              <w:right w:val="single" w:color="000000" w:sz="8" w:space="0"/>
            </w:tcBorders>
            <w:tcMar>
              <w:top w:w="0" w:type="dxa"/>
              <w:left w:w="108" w:type="dxa"/>
              <w:bottom w:w="0" w:type="dxa"/>
              <w:right w:w="108" w:type="dxa"/>
            </w:tcMar>
          </w:tcPr>
          <w:p w14:paraId="11E2D361">
            <w:pPr>
              <w:pBdr>
                <w:top w:val="none" w:color="000000" w:sz="0" w:space="0"/>
                <w:left w:val="none" w:color="000000" w:sz="0" w:space="0"/>
                <w:bottom w:val="none" w:color="000000" w:sz="0" w:space="0"/>
                <w:right w:val="none" w:color="000000" w:sz="0" w:space="0"/>
              </w:pBdr>
              <w:shd w:val="clear"/>
              <w:spacing w:line="439" w:lineRule="atLeast"/>
              <w:rPr>
                <w:color w:val="auto"/>
                <w:highlight w:val="none"/>
              </w:rPr>
            </w:pPr>
            <w:r>
              <w:rPr>
                <w:rFonts w:eastAsia="Calibri" w:cs="Calibri"/>
                <w:color w:val="auto"/>
                <w:sz w:val="24"/>
                <w:highlight w:val="none"/>
              </w:rPr>
              <w:t> </w:t>
            </w:r>
          </w:p>
        </w:tc>
        <w:tc>
          <w:tcPr>
            <w:tcW w:w="2260" w:type="dxa"/>
            <w:tcBorders>
              <w:top w:val="nil"/>
              <w:left w:val="nil"/>
              <w:bottom w:val="single" w:color="000000" w:sz="8" w:space="0"/>
              <w:right w:val="single" w:color="000000" w:sz="8" w:space="0"/>
            </w:tcBorders>
            <w:tcMar>
              <w:top w:w="0" w:type="dxa"/>
              <w:left w:w="108" w:type="dxa"/>
              <w:bottom w:w="0" w:type="dxa"/>
              <w:right w:w="108" w:type="dxa"/>
            </w:tcMar>
          </w:tcPr>
          <w:p w14:paraId="1662D490">
            <w:pPr>
              <w:pBdr>
                <w:top w:val="none" w:color="000000" w:sz="0" w:space="0"/>
                <w:left w:val="none" w:color="000000" w:sz="0" w:space="0"/>
                <w:bottom w:val="none" w:color="000000" w:sz="0" w:space="0"/>
                <w:right w:val="none" w:color="000000" w:sz="0" w:space="0"/>
              </w:pBdr>
              <w:shd w:val="clear"/>
              <w:spacing w:line="400" w:lineRule="atLeast"/>
              <w:jc w:val="center"/>
              <w:rPr>
                <w:color w:val="auto"/>
                <w:highlight w:val="none"/>
              </w:rPr>
            </w:pPr>
            <w:r>
              <w:rPr>
                <w:rFonts w:ascii="宋体" w:hAnsi="宋体" w:cs="宋体"/>
                <w:color w:val="auto"/>
                <w:sz w:val="24"/>
                <w:highlight w:val="none"/>
              </w:rPr>
              <w:t> </w:t>
            </w:r>
          </w:p>
        </w:tc>
        <w:tc>
          <w:tcPr>
            <w:tcW w:w="1526" w:type="dxa"/>
            <w:tcBorders>
              <w:top w:val="nil"/>
              <w:left w:val="nil"/>
              <w:bottom w:val="single" w:color="000000" w:sz="8" w:space="0"/>
              <w:right w:val="single" w:color="000000" w:sz="8" w:space="0"/>
            </w:tcBorders>
            <w:tcMar>
              <w:top w:w="0" w:type="dxa"/>
              <w:left w:w="108" w:type="dxa"/>
              <w:bottom w:w="0" w:type="dxa"/>
              <w:right w:w="108" w:type="dxa"/>
            </w:tcMar>
          </w:tcPr>
          <w:p w14:paraId="3B70CC2D">
            <w:pPr>
              <w:pBdr>
                <w:top w:val="none" w:color="000000" w:sz="0" w:space="0"/>
                <w:left w:val="none" w:color="000000" w:sz="0" w:space="0"/>
                <w:bottom w:val="none" w:color="000000" w:sz="0" w:space="0"/>
                <w:right w:val="none" w:color="000000" w:sz="0" w:space="0"/>
              </w:pBdr>
              <w:shd w:val="clear"/>
              <w:spacing w:line="400" w:lineRule="atLeast"/>
              <w:jc w:val="center"/>
              <w:rPr>
                <w:color w:val="auto"/>
                <w:highlight w:val="none"/>
              </w:rPr>
            </w:pPr>
            <w:r>
              <w:rPr>
                <w:rFonts w:ascii="宋体" w:hAnsi="宋体" w:cs="宋体"/>
                <w:color w:val="auto"/>
                <w:sz w:val="24"/>
                <w:highlight w:val="none"/>
              </w:rPr>
              <w:t> </w:t>
            </w:r>
          </w:p>
        </w:tc>
      </w:tr>
    </w:tbl>
    <w:p w14:paraId="77D31845">
      <w:pPr>
        <w:pBdr>
          <w:top w:val="none" w:color="000000" w:sz="0" w:space="0"/>
          <w:left w:val="none" w:color="000000" w:sz="0" w:space="0"/>
          <w:bottom w:val="none" w:color="000000" w:sz="0" w:space="0"/>
          <w:right w:val="none" w:color="000000" w:sz="0" w:space="0"/>
        </w:pBdr>
        <w:shd w:val="clear"/>
        <w:spacing w:line="400" w:lineRule="atLeast"/>
        <w:rPr>
          <w:color w:val="auto"/>
          <w:highlight w:val="none"/>
        </w:rPr>
      </w:pPr>
      <w:r>
        <w:rPr>
          <w:rFonts w:ascii="宋体" w:hAnsi="宋体" w:cs="宋体"/>
          <w:color w:val="auto"/>
          <w:sz w:val="24"/>
          <w:highlight w:val="none"/>
        </w:rPr>
        <w:t>备注：1.</w:t>
      </w:r>
      <w:r>
        <w:rPr>
          <w:rFonts w:hint="eastAsia" w:ascii="宋体" w:hAnsi="宋体" w:cs="宋体"/>
          <w:color w:val="auto"/>
          <w:sz w:val="24"/>
          <w:highlight w:val="none"/>
        </w:rPr>
        <w:t>投标人</w:t>
      </w:r>
      <w:r>
        <w:rPr>
          <w:rFonts w:ascii="宋体" w:hAnsi="宋体" w:cs="宋体"/>
          <w:color w:val="auto"/>
          <w:sz w:val="24"/>
          <w:highlight w:val="none"/>
        </w:rPr>
        <w:t>必须对技术要求和商务要求中的不可实质性变动要求逐条做出明确响应，否则作无效</w:t>
      </w:r>
      <w:r>
        <w:rPr>
          <w:rFonts w:hint="eastAsia" w:ascii="宋体" w:hAnsi="宋体" w:cs="宋体"/>
          <w:color w:val="auto"/>
          <w:sz w:val="24"/>
          <w:highlight w:val="none"/>
        </w:rPr>
        <w:t>投标</w:t>
      </w:r>
      <w:r>
        <w:rPr>
          <w:rFonts w:ascii="宋体" w:hAnsi="宋体" w:cs="宋体"/>
          <w:color w:val="auto"/>
          <w:sz w:val="24"/>
          <w:highlight w:val="none"/>
        </w:rPr>
        <w:t>处理。</w:t>
      </w:r>
    </w:p>
    <w:p w14:paraId="4126C8A0">
      <w:pPr>
        <w:shd w:val="clear"/>
        <w:rPr>
          <w:color w:val="auto"/>
          <w:highlight w:val="none"/>
        </w:rPr>
      </w:pPr>
      <w:r>
        <w:rPr>
          <w:rFonts w:hint="eastAsia"/>
          <w:color w:val="auto"/>
          <w:highlight w:val="none"/>
        </w:rPr>
        <w:br w:type="page"/>
      </w:r>
    </w:p>
    <w:p w14:paraId="44353C18">
      <w:pPr>
        <w:pStyle w:val="8"/>
        <w:keepNext w:val="0"/>
        <w:pageBreakBefore/>
        <w:shd w:val="clear"/>
        <w:rPr>
          <w:rFonts w:eastAsia="宋体"/>
          <w:color w:val="auto"/>
          <w:highlight w:val="none"/>
        </w:rPr>
      </w:pPr>
      <w:bookmarkStart w:id="329" w:name="_Toc10326"/>
      <w:r>
        <w:rPr>
          <w:rFonts w:hint="eastAsia" w:eastAsia="宋体"/>
          <w:color w:val="auto"/>
          <w:highlight w:val="none"/>
        </w:rPr>
        <w:t>附件</w:t>
      </w:r>
      <w:r>
        <w:rPr>
          <w:rFonts w:hint="eastAsia" w:eastAsia="宋体"/>
          <w:color w:val="auto"/>
          <w:highlight w:val="none"/>
          <w:lang w:val="en-US" w:eastAsia="zh-CN"/>
        </w:rPr>
        <w:t>11</w:t>
      </w:r>
      <w:r>
        <w:rPr>
          <w:rFonts w:hint="eastAsia" w:eastAsia="宋体"/>
          <w:color w:val="auto"/>
          <w:highlight w:val="none"/>
        </w:rPr>
        <w:t xml:space="preserve"> 服务要求响应及偏离表</w:t>
      </w:r>
      <w:bookmarkEnd w:id="329"/>
    </w:p>
    <w:tbl>
      <w:tblPr>
        <w:tblStyle w:val="54"/>
        <w:tblW w:w="9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gridCol w:w="1606"/>
        <w:gridCol w:w="1623"/>
        <w:gridCol w:w="1923"/>
        <w:gridCol w:w="845"/>
        <w:gridCol w:w="805"/>
        <w:gridCol w:w="2670"/>
      </w:tblGrid>
      <w:tr w14:paraId="5B999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restart"/>
            <w:vAlign w:val="center"/>
          </w:tcPr>
          <w:p w14:paraId="0A9C338E">
            <w:pPr>
              <w:shd w:val="clear"/>
              <w:jc w:val="center"/>
              <w:rPr>
                <w:rFonts w:ascii="宋体" w:hAnsi="宋体"/>
                <w:b/>
                <w:color w:val="auto"/>
                <w:sz w:val="24"/>
                <w:szCs w:val="24"/>
                <w:highlight w:val="none"/>
              </w:rPr>
            </w:pPr>
            <w:r>
              <w:rPr>
                <w:rFonts w:ascii="宋体" w:hAnsi="宋体"/>
                <w:b/>
                <w:color w:val="auto"/>
                <w:sz w:val="24"/>
                <w:szCs w:val="24"/>
                <w:highlight w:val="none"/>
              </w:rPr>
              <w:t>序号</w:t>
            </w:r>
          </w:p>
        </w:tc>
        <w:tc>
          <w:tcPr>
            <w:tcW w:w="1606" w:type="dxa"/>
            <w:vMerge w:val="restart"/>
            <w:vAlign w:val="center"/>
          </w:tcPr>
          <w:p w14:paraId="71494250">
            <w:pPr>
              <w:shd w:val="clear"/>
              <w:jc w:val="center"/>
              <w:rPr>
                <w:rFonts w:ascii="宋体" w:hAnsi="宋体"/>
                <w:b/>
                <w:color w:val="auto"/>
                <w:sz w:val="24"/>
                <w:szCs w:val="24"/>
                <w:highlight w:val="none"/>
              </w:rPr>
            </w:pPr>
            <w:r>
              <w:rPr>
                <w:rFonts w:hint="eastAsia" w:ascii="宋体" w:hAnsi="宋体"/>
                <w:b/>
                <w:color w:val="auto"/>
                <w:sz w:val="24"/>
                <w:szCs w:val="24"/>
                <w:highlight w:val="none"/>
              </w:rPr>
              <w:t>招标文件</w:t>
            </w:r>
            <w:r>
              <w:rPr>
                <w:rFonts w:hint="eastAsia"/>
                <w:b/>
                <w:color w:val="auto"/>
                <w:sz w:val="24"/>
                <w:szCs w:val="24"/>
                <w:highlight w:val="none"/>
              </w:rPr>
              <w:t>服务</w:t>
            </w:r>
            <w:r>
              <w:rPr>
                <w:rFonts w:ascii="宋体" w:hAnsi="宋体"/>
                <w:b/>
                <w:color w:val="auto"/>
                <w:sz w:val="24"/>
                <w:szCs w:val="24"/>
                <w:highlight w:val="none"/>
              </w:rPr>
              <w:t>要求</w:t>
            </w:r>
          </w:p>
        </w:tc>
        <w:tc>
          <w:tcPr>
            <w:tcW w:w="1623" w:type="dxa"/>
            <w:vMerge w:val="restart"/>
            <w:vAlign w:val="center"/>
          </w:tcPr>
          <w:p w14:paraId="6A1441E8">
            <w:pPr>
              <w:shd w:val="clear"/>
              <w:jc w:val="center"/>
              <w:rPr>
                <w:rFonts w:ascii="宋体" w:hAnsi="宋体"/>
                <w:b/>
                <w:color w:val="auto"/>
                <w:sz w:val="24"/>
                <w:szCs w:val="24"/>
                <w:highlight w:val="none"/>
              </w:rPr>
            </w:pPr>
            <w:r>
              <w:rPr>
                <w:rFonts w:hint="eastAsia" w:ascii="宋体" w:hAnsi="宋体"/>
                <w:b/>
                <w:color w:val="auto"/>
                <w:sz w:val="24"/>
                <w:szCs w:val="24"/>
                <w:highlight w:val="none"/>
              </w:rPr>
              <w:t>招标文件提供服务承诺</w:t>
            </w:r>
          </w:p>
        </w:tc>
        <w:tc>
          <w:tcPr>
            <w:tcW w:w="1923" w:type="dxa"/>
            <w:vMerge w:val="restart"/>
            <w:vAlign w:val="center"/>
          </w:tcPr>
          <w:p w14:paraId="021C23D8">
            <w:pPr>
              <w:shd w:val="clear"/>
              <w:jc w:val="center"/>
              <w:rPr>
                <w:rFonts w:ascii="宋体" w:hAnsi="宋体"/>
                <w:b/>
                <w:color w:val="auto"/>
                <w:sz w:val="24"/>
                <w:szCs w:val="24"/>
                <w:highlight w:val="none"/>
              </w:rPr>
            </w:pPr>
            <w:r>
              <w:rPr>
                <w:rFonts w:ascii="宋体" w:hAnsi="宋体"/>
                <w:b/>
                <w:color w:val="auto"/>
                <w:sz w:val="24"/>
                <w:szCs w:val="24"/>
                <w:highlight w:val="none"/>
              </w:rPr>
              <w:t>有无偏离</w:t>
            </w:r>
          </w:p>
        </w:tc>
        <w:tc>
          <w:tcPr>
            <w:tcW w:w="1650" w:type="dxa"/>
            <w:gridSpan w:val="2"/>
            <w:vAlign w:val="center"/>
          </w:tcPr>
          <w:p w14:paraId="59E572E8">
            <w:pPr>
              <w:shd w:val="clear"/>
              <w:jc w:val="center"/>
              <w:rPr>
                <w:rFonts w:ascii="宋体" w:hAnsi="宋体"/>
                <w:b/>
                <w:color w:val="auto"/>
                <w:sz w:val="24"/>
                <w:szCs w:val="24"/>
                <w:highlight w:val="none"/>
              </w:rPr>
            </w:pPr>
            <w:r>
              <w:rPr>
                <w:rFonts w:hint="eastAsia" w:ascii="宋体" w:hAnsi="宋体"/>
                <w:b/>
                <w:color w:val="auto"/>
                <w:sz w:val="24"/>
                <w:szCs w:val="24"/>
                <w:highlight w:val="none"/>
              </w:rPr>
              <w:t>有偏离</w:t>
            </w:r>
          </w:p>
        </w:tc>
        <w:tc>
          <w:tcPr>
            <w:tcW w:w="2670" w:type="dxa"/>
            <w:vAlign w:val="center"/>
          </w:tcPr>
          <w:p w14:paraId="6941279D">
            <w:pPr>
              <w:shd w:val="clear"/>
              <w:jc w:val="center"/>
              <w:rPr>
                <w:rFonts w:ascii="宋体" w:hAnsi="宋体"/>
                <w:b/>
                <w:color w:val="auto"/>
                <w:sz w:val="24"/>
                <w:szCs w:val="24"/>
                <w:highlight w:val="none"/>
              </w:rPr>
            </w:pPr>
            <w:r>
              <w:rPr>
                <w:rFonts w:ascii="宋体" w:hAnsi="宋体"/>
                <w:b/>
                <w:color w:val="auto"/>
                <w:sz w:val="24"/>
                <w:szCs w:val="24"/>
                <w:highlight w:val="none"/>
              </w:rPr>
              <w:t>偏离内容</w:t>
            </w:r>
          </w:p>
        </w:tc>
      </w:tr>
      <w:tr w14:paraId="6E4FF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466" w:type="dxa"/>
            <w:vMerge w:val="continue"/>
            <w:vAlign w:val="center"/>
          </w:tcPr>
          <w:p w14:paraId="7ED40D58">
            <w:pPr>
              <w:shd w:val="clear"/>
              <w:jc w:val="center"/>
              <w:rPr>
                <w:rFonts w:ascii="宋体" w:hAnsi="宋体"/>
                <w:b/>
                <w:color w:val="auto"/>
                <w:sz w:val="24"/>
                <w:szCs w:val="24"/>
                <w:highlight w:val="none"/>
              </w:rPr>
            </w:pPr>
          </w:p>
        </w:tc>
        <w:tc>
          <w:tcPr>
            <w:tcW w:w="1606" w:type="dxa"/>
            <w:vMerge w:val="continue"/>
            <w:vAlign w:val="center"/>
          </w:tcPr>
          <w:p w14:paraId="5AC68CF8">
            <w:pPr>
              <w:shd w:val="clear"/>
              <w:jc w:val="center"/>
              <w:rPr>
                <w:rFonts w:ascii="宋体" w:hAnsi="宋体"/>
                <w:b/>
                <w:color w:val="auto"/>
                <w:sz w:val="24"/>
                <w:szCs w:val="24"/>
                <w:highlight w:val="none"/>
              </w:rPr>
            </w:pPr>
          </w:p>
        </w:tc>
        <w:tc>
          <w:tcPr>
            <w:tcW w:w="1623" w:type="dxa"/>
            <w:vMerge w:val="continue"/>
            <w:vAlign w:val="center"/>
          </w:tcPr>
          <w:p w14:paraId="1BB8B802">
            <w:pPr>
              <w:shd w:val="clear"/>
              <w:jc w:val="center"/>
              <w:rPr>
                <w:rFonts w:ascii="宋体" w:hAnsi="宋体"/>
                <w:b/>
                <w:color w:val="auto"/>
                <w:sz w:val="24"/>
                <w:szCs w:val="24"/>
                <w:highlight w:val="none"/>
              </w:rPr>
            </w:pPr>
          </w:p>
        </w:tc>
        <w:tc>
          <w:tcPr>
            <w:tcW w:w="1923" w:type="dxa"/>
            <w:vMerge w:val="continue"/>
            <w:vAlign w:val="center"/>
          </w:tcPr>
          <w:p w14:paraId="79E08025">
            <w:pPr>
              <w:shd w:val="clear"/>
              <w:jc w:val="center"/>
              <w:rPr>
                <w:rFonts w:ascii="宋体" w:hAnsi="宋体"/>
                <w:b/>
                <w:color w:val="auto"/>
                <w:sz w:val="24"/>
                <w:szCs w:val="24"/>
                <w:highlight w:val="none"/>
              </w:rPr>
            </w:pPr>
          </w:p>
        </w:tc>
        <w:tc>
          <w:tcPr>
            <w:tcW w:w="845" w:type="dxa"/>
            <w:vAlign w:val="center"/>
          </w:tcPr>
          <w:p w14:paraId="11C39171">
            <w:pPr>
              <w:shd w:val="clear"/>
              <w:jc w:val="center"/>
              <w:rPr>
                <w:rFonts w:ascii="宋体" w:hAnsi="宋体"/>
                <w:b/>
                <w:color w:val="auto"/>
                <w:sz w:val="24"/>
                <w:szCs w:val="24"/>
                <w:highlight w:val="none"/>
              </w:rPr>
            </w:pPr>
            <w:r>
              <w:rPr>
                <w:rFonts w:hint="eastAsia" w:ascii="宋体" w:hAnsi="宋体"/>
                <w:b/>
                <w:color w:val="auto"/>
                <w:sz w:val="24"/>
                <w:szCs w:val="24"/>
                <w:highlight w:val="none"/>
              </w:rPr>
              <w:t>正</w:t>
            </w:r>
          </w:p>
        </w:tc>
        <w:tc>
          <w:tcPr>
            <w:tcW w:w="805" w:type="dxa"/>
            <w:vAlign w:val="center"/>
          </w:tcPr>
          <w:p w14:paraId="24483B92">
            <w:pPr>
              <w:shd w:val="clear"/>
              <w:jc w:val="center"/>
              <w:rPr>
                <w:rFonts w:ascii="宋体" w:hAnsi="宋体"/>
                <w:b/>
                <w:color w:val="auto"/>
                <w:sz w:val="24"/>
                <w:szCs w:val="24"/>
                <w:highlight w:val="none"/>
              </w:rPr>
            </w:pPr>
            <w:r>
              <w:rPr>
                <w:rFonts w:hint="eastAsia" w:ascii="宋体" w:hAnsi="宋体"/>
                <w:b/>
                <w:color w:val="auto"/>
                <w:sz w:val="24"/>
                <w:szCs w:val="24"/>
                <w:highlight w:val="none"/>
              </w:rPr>
              <w:t>负</w:t>
            </w:r>
          </w:p>
        </w:tc>
        <w:tc>
          <w:tcPr>
            <w:tcW w:w="2670" w:type="dxa"/>
            <w:vAlign w:val="center"/>
          </w:tcPr>
          <w:p w14:paraId="272918F2">
            <w:pPr>
              <w:shd w:val="clear"/>
              <w:jc w:val="center"/>
              <w:rPr>
                <w:rFonts w:ascii="宋体" w:hAnsi="宋体"/>
                <w:b/>
                <w:color w:val="auto"/>
                <w:sz w:val="24"/>
                <w:szCs w:val="24"/>
                <w:highlight w:val="none"/>
              </w:rPr>
            </w:pPr>
          </w:p>
        </w:tc>
      </w:tr>
      <w:tr w14:paraId="3DCD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69403FB5">
            <w:pPr>
              <w:shd w:val="clear"/>
              <w:jc w:val="center"/>
              <w:rPr>
                <w:rFonts w:ascii="宋体" w:hAnsi="宋体"/>
                <w:color w:val="auto"/>
                <w:sz w:val="24"/>
                <w:szCs w:val="24"/>
                <w:highlight w:val="none"/>
              </w:rPr>
            </w:pPr>
            <w:r>
              <w:rPr>
                <w:rFonts w:ascii="宋体" w:hAnsi="宋体"/>
                <w:color w:val="auto"/>
                <w:sz w:val="24"/>
                <w:szCs w:val="24"/>
                <w:highlight w:val="none"/>
              </w:rPr>
              <w:t>1</w:t>
            </w:r>
          </w:p>
        </w:tc>
        <w:tc>
          <w:tcPr>
            <w:tcW w:w="1606" w:type="dxa"/>
            <w:vAlign w:val="center"/>
          </w:tcPr>
          <w:p w14:paraId="2F0A2BC9">
            <w:pPr>
              <w:shd w:val="clear"/>
              <w:jc w:val="center"/>
              <w:rPr>
                <w:rFonts w:ascii="宋体" w:hAnsi="宋体"/>
                <w:color w:val="auto"/>
                <w:sz w:val="24"/>
                <w:szCs w:val="24"/>
                <w:highlight w:val="none"/>
              </w:rPr>
            </w:pPr>
          </w:p>
        </w:tc>
        <w:tc>
          <w:tcPr>
            <w:tcW w:w="1623" w:type="dxa"/>
            <w:vAlign w:val="center"/>
          </w:tcPr>
          <w:p w14:paraId="1F11CC50">
            <w:pPr>
              <w:shd w:val="clear"/>
              <w:jc w:val="center"/>
              <w:rPr>
                <w:rFonts w:ascii="宋体" w:hAnsi="宋体"/>
                <w:color w:val="auto"/>
                <w:highlight w:val="none"/>
              </w:rPr>
            </w:pPr>
          </w:p>
        </w:tc>
        <w:tc>
          <w:tcPr>
            <w:tcW w:w="1923" w:type="dxa"/>
            <w:vAlign w:val="center"/>
          </w:tcPr>
          <w:p w14:paraId="6E14F07E">
            <w:pPr>
              <w:shd w:val="clear"/>
              <w:jc w:val="center"/>
              <w:rPr>
                <w:rFonts w:ascii="宋体" w:hAnsi="宋体"/>
                <w:color w:val="auto"/>
                <w:highlight w:val="none"/>
              </w:rPr>
            </w:pPr>
          </w:p>
        </w:tc>
        <w:tc>
          <w:tcPr>
            <w:tcW w:w="845" w:type="dxa"/>
            <w:vAlign w:val="center"/>
          </w:tcPr>
          <w:p w14:paraId="061B67DC">
            <w:pPr>
              <w:shd w:val="clear"/>
              <w:jc w:val="center"/>
              <w:rPr>
                <w:rFonts w:ascii="宋体" w:hAnsi="宋体"/>
                <w:color w:val="auto"/>
                <w:highlight w:val="none"/>
              </w:rPr>
            </w:pPr>
          </w:p>
        </w:tc>
        <w:tc>
          <w:tcPr>
            <w:tcW w:w="805" w:type="dxa"/>
            <w:vAlign w:val="center"/>
          </w:tcPr>
          <w:p w14:paraId="119B9B3E">
            <w:pPr>
              <w:shd w:val="clear"/>
              <w:jc w:val="center"/>
              <w:rPr>
                <w:rFonts w:ascii="宋体" w:hAnsi="宋体"/>
                <w:color w:val="auto"/>
                <w:highlight w:val="none"/>
              </w:rPr>
            </w:pPr>
          </w:p>
        </w:tc>
        <w:tc>
          <w:tcPr>
            <w:tcW w:w="2670" w:type="dxa"/>
            <w:vAlign w:val="center"/>
          </w:tcPr>
          <w:p w14:paraId="4CD9BF3C">
            <w:pPr>
              <w:shd w:val="clear"/>
              <w:jc w:val="center"/>
              <w:rPr>
                <w:rFonts w:ascii="宋体" w:hAnsi="宋体"/>
                <w:color w:val="auto"/>
                <w:highlight w:val="none"/>
              </w:rPr>
            </w:pPr>
          </w:p>
        </w:tc>
      </w:tr>
      <w:tr w14:paraId="74732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42080B4A">
            <w:pPr>
              <w:shd w:val="clear"/>
              <w:jc w:val="center"/>
              <w:rPr>
                <w:rFonts w:ascii="宋体" w:hAnsi="宋体"/>
                <w:color w:val="auto"/>
                <w:sz w:val="24"/>
                <w:szCs w:val="24"/>
                <w:highlight w:val="none"/>
              </w:rPr>
            </w:pPr>
            <w:r>
              <w:rPr>
                <w:rFonts w:ascii="宋体" w:hAnsi="宋体"/>
                <w:color w:val="auto"/>
                <w:sz w:val="24"/>
                <w:szCs w:val="24"/>
                <w:highlight w:val="none"/>
              </w:rPr>
              <w:t>2</w:t>
            </w:r>
          </w:p>
        </w:tc>
        <w:tc>
          <w:tcPr>
            <w:tcW w:w="1606" w:type="dxa"/>
            <w:vAlign w:val="center"/>
          </w:tcPr>
          <w:p w14:paraId="339AE67C">
            <w:pPr>
              <w:shd w:val="clear"/>
              <w:jc w:val="center"/>
              <w:rPr>
                <w:rFonts w:ascii="宋体" w:hAnsi="宋体"/>
                <w:color w:val="auto"/>
                <w:highlight w:val="none"/>
              </w:rPr>
            </w:pPr>
          </w:p>
        </w:tc>
        <w:tc>
          <w:tcPr>
            <w:tcW w:w="1623" w:type="dxa"/>
            <w:vAlign w:val="center"/>
          </w:tcPr>
          <w:p w14:paraId="3D427D58">
            <w:pPr>
              <w:shd w:val="clear"/>
              <w:jc w:val="center"/>
              <w:rPr>
                <w:rFonts w:ascii="宋体" w:hAnsi="宋体"/>
                <w:color w:val="auto"/>
                <w:highlight w:val="none"/>
              </w:rPr>
            </w:pPr>
          </w:p>
        </w:tc>
        <w:tc>
          <w:tcPr>
            <w:tcW w:w="1923" w:type="dxa"/>
            <w:vAlign w:val="center"/>
          </w:tcPr>
          <w:p w14:paraId="129E69BC">
            <w:pPr>
              <w:shd w:val="clear"/>
              <w:jc w:val="center"/>
              <w:rPr>
                <w:rFonts w:ascii="宋体" w:hAnsi="宋体"/>
                <w:color w:val="auto"/>
                <w:highlight w:val="none"/>
              </w:rPr>
            </w:pPr>
          </w:p>
        </w:tc>
        <w:tc>
          <w:tcPr>
            <w:tcW w:w="845" w:type="dxa"/>
            <w:vAlign w:val="center"/>
          </w:tcPr>
          <w:p w14:paraId="03C8D30D">
            <w:pPr>
              <w:shd w:val="clear"/>
              <w:jc w:val="center"/>
              <w:rPr>
                <w:rFonts w:ascii="宋体" w:hAnsi="宋体"/>
                <w:color w:val="auto"/>
                <w:highlight w:val="none"/>
              </w:rPr>
            </w:pPr>
          </w:p>
        </w:tc>
        <w:tc>
          <w:tcPr>
            <w:tcW w:w="805" w:type="dxa"/>
            <w:vAlign w:val="center"/>
          </w:tcPr>
          <w:p w14:paraId="6DE815C0">
            <w:pPr>
              <w:shd w:val="clear"/>
              <w:jc w:val="center"/>
              <w:rPr>
                <w:rFonts w:ascii="宋体" w:hAnsi="宋体"/>
                <w:color w:val="auto"/>
                <w:highlight w:val="none"/>
              </w:rPr>
            </w:pPr>
          </w:p>
        </w:tc>
        <w:tc>
          <w:tcPr>
            <w:tcW w:w="2670" w:type="dxa"/>
            <w:vAlign w:val="center"/>
          </w:tcPr>
          <w:p w14:paraId="37CE3831">
            <w:pPr>
              <w:shd w:val="clear"/>
              <w:jc w:val="center"/>
              <w:rPr>
                <w:rFonts w:ascii="宋体" w:hAnsi="宋体"/>
                <w:color w:val="auto"/>
                <w:highlight w:val="none"/>
              </w:rPr>
            </w:pPr>
          </w:p>
        </w:tc>
      </w:tr>
      <w:tr w14:paraId="2B365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66" w:type="dxa"/>
            <w:vAlign w:val="center"/>
          </w:tcPr>
          <w:p w14:paraId="3C3EFE77">
            <w:pPr>
              <w:shd w:val="clear"/>
              <w:jc w:val="center"/>
              <w:rPr>
                <w:rFonts w:ascii="宋体" w:hAnsi="宋体"/>
                <w:color w:val="auto"/>
                <w:sz w:val="24"/>
                <w:szCs w:val="24"/>
                <w:highlight w:val="none"/>
              </w:rPr>
            </w:pPr>
            <w:r>
              <w:rPr>
                <w:rFonts w:ascii="宋体" w:hAnsi="宋体"/>
                <w:color w:val="auto"/>
                <w:highlight w:val="none"/>
              </w:rPr>
              <w:t>……</w:t>
            </w:r>
          </w:p>
        </w:tc>
        <w:tc>
          <w:tcPr>
            <w:tcW w:w="1606" w:type="dxa"/>
            <w:vAlign w:val="center"/>
          </w:tcPr>
          <w:p w14:paraId="10EF6062">
            <w:pPr>
              <w:shd w:val="clear"/>
              <w:jc w:val="center"/>
              <w:rPr>
                <w:rFonts w:ascii="宋体" w:hAnsi="宋体"/>
                <w:color w:val="auto"/>
                <w:highlight w:val="none"/>
              </w:rPr>
            </w:pPr>
          </w:p>
        </w:tc>
        <w:tc>
          <w:tcPr>
            <w:tcW w:w="1623" w:type="dxa"/>
            <w:vAlign w:val="center"/>
          </w:tcPr>
          <w:p w14:paraId="5E80AEAB">
            <w:pPr>
              <w:shd w:val="clear"/>
              <w:jc w:val="center"/>
              <w:rPr>
                <w:rFonts w:ascii="宋体" w:hAnsi="宋体"/>
                <w:color w:val="auto"/>
                <w:highlight w:val="none"/>
              </w:rPr>
            </w:pPr>
          </w:p>
        </w:tc>
        <w:tc>
          <w:tcPr>
            <w:tcW w:w="1923" w:type="dxa"/>
            <w:vAlign w:val="center"/>
          </w:tcPr>
          <w:p w14:paraId="06B81022">
            <w:pPr>
              <w:shd w:val="clear"/>
              <w:jc w:val="center"/>
              <w:rPr>
                <w:rFonts w:ascii="宋体" w:hAnsi="宋体"/>
                <w:color w:val="auto"/>
                <w:highlight w:val="none"/>
              </w:rPr>
            </w:pPr>
          </w:p>
        </w:tc>
        <w:tc>
          <w:tcPr>
            <w:tcW w:w="845" w:type="dxa"/>
            <w:vAlign w:val="center"/>
          </w:tcPr>
          <w:p w14:paraId="2E4A75C5">
            <w:pPr>
              <w:shd w:val="clear"/>
              <w:jc w:val="center"/>
              <w:rPr>
                <w:rFonts w:ascii="宋体" w:hAnsi="宋体"/>
                <w:color w:val="auto"/>
                <w:highlight w:val="none"/>
              </w:rPr>
            </w:pPr>
          </w:p>
        </w:tc>
        <w:tc>
          <w:tcPr>
            <w:tcW w:w="805" w:type="dxa"/>
            <w:vAlign w:val="center"/>
          </w:tcPr>
          <w:p w14:paraId="1E3B4643">
            <w:pPr>
              <w:shd w:val="clear"/>
              <w:jc w:val="center"/>
              <w:rPr>
                <w:rFonts w:ascii="宋体" w:hAnsi="宋体"/>
                <w:color w:val="auto"/>
                <w:highlight w:val="none"/>
              </w:rPr>
            </w:pPr>
          </w:p>
        </w:tc>
        <w:tc>
          <w:tcPr>
            <w:tcW w:w="2670" w:type="dxa"/>
            <w:vAlign w:val="center"/>
          </w:tcPr>
          <w:p w14:paraId="28A398C2">
            <w:pPr>
              <w:shd w:val="clear"/>
              <w:jc w:val="center"/>
              <w:rPr>
                <w:rFonts w:ascii="宋体" w:hAnsi="宋体"/>
                <w:color w:val="auto"/>
                <w:highlight w:val="none"/>
              </w:rPr>
            </w:pPr>
          </w:p>
        </w:tc>
      </w:tr>
      <w:tr w14:paraId="36F73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45A4A739">
            <w:pPr>
              <w:shd w:val="clear"/>
              <w:jc w:val="center"/>
              <w:rPr>
                <w:rFonts w:ascii="宋体" w:hAnsi="宋体"/>
                <w:color w:val="auto"/>
                <w:sz w:val="24"/>
                <w:szCs w:val="24"/>
                <w:highlight w:val="none"/>
              </w:rPr>
            </w:pPr>
          </w:p>
        </w:tc>
        <w:tc>
          <w:tcPr>
            <w:tcW w:w="1606" w:type="dxa"/>
            <w:vAlign w:val="center"/>
          </w:tcPr>
          <w:p w14:paraId="2175DEFE">
            <w:pPr>
              <w:shd w:val="clear"/>
              <w:jc w:val="center"/>
              <w:rPr>
                <w:rFonts w:ascii="宋体" w:hAnsi="宋体"/>
                <w:color w:val="auto"/>
                <w:highlight w:val="none"/>
              </w:rPr>
            </w:pPr>
          </w:p>
        </w:tc>
        <w:tc>
          <w:tcPr>
            <w:tcW w:w="1623" w:type="dxa"/>
            <w:vAlign w:val="center"/>
          </w:tcPr>
          <w:p w14:paraId="3977F02C">
            <w:pPr>
              <w:shd w:val="clear"/>
              <w:jc w:val="center"/>
              <w:rPr>
                <w:rFonts w:ascii="宋体" w:hAnsi="宋体"/>
                <w:color w:val="auto"/>
                <w:highlight w:val="none"/>
              </w:rPr>
            </w:pPr>
          </w:p>
        </w:tc>
        <w:tc>
          <w:tcPr>
            <w:tcW w:w="1923" w:type="dxa"/>
            <w:vAlign w:val="center"/>
          </w:tcPr>
          <w:p w14:paraId="01AA419E">
            <w:pPr>
              <w:shd w:val="clear"/>
              <w:jc w:val="center"/>
              <w:rPr>
                <w:rFonts w:ascii="宋体" w:hAnsi="宋体"/>
                <w:color w:val="auto"/>
                <w:highlight w:val="none"/>
              </w:rPr>
            </w:pPr>
          </w:p>
        </w:tc>
        <w:tc>
          <w:tcPr>
            <w:tcW w:w="845" w:type="dxa"/>
            <w:vAlign w:val="center"/>
          </w:tcPr>
          <w:p w14:paraId="51E857AC">
            <w:pPr>
              <w:shd w:val="clear"/>
              <w:jc w:val="center"/>
              <w:rPr>
                <w:rFonts w:ascii="宋体" w:hAnsi="宋体"/>
                <w:color w:val="auto"/>
                <w:highlight w:val="none"/>
              </w:rPr>
            </w:pPr>
          </w:p>
        </w:tc>
        <w:tc>
          <w:tcPr>
            <w:tcW w:w="805" w:type="dxa"/>
            <w:vAlign w:val="center"/>
          </w:tcPr>
          <w:p w14:paraId="50BCCE71">
            <w:pPr>
              <w:shd w:val="clear"/>
              <w:jc w:val="center"/>
              <w:rPr>
                <w:rFonts w:ascii="宋体" w:hAnsi="宋体"/>
                <w:color w:val="auto"/>
                <w:highlight w:val="none"/>
              </w:rPr>
            </w:pPr>
          </w:p>
        </w:tc>
        <w:tc>
          <w:tcPr>
            <w:tcW w:w="2670" w:type="dxa"/>
            <w:vAlign w:val="center"/>
          </w:tcPr>
          <w:p w14:paraId="30045118">
            <w:pPr>
              <w:shd w:val="clear"/>
              <w:jc w:val="center"/>
              <w:rPr>
                <w:rFonts w:ascii="宋体" w:hAnsi="宋体"/>
                <w:color w:val="auto"/>
                <w:highlight w:val="none"/>
              </w:rPr>
            </w:pPr>
          </w:p>
        </w:tc>
      </w:tr>
      <w:tr w14:paraId="08F53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5AB07F08">
            <w:pPr>
              <w:shd w:val="clear"/>
              <w:jc w:val="center"/>
              <w:rPr>
                <w:rFonts w:ascii="宋体" w:hAnsi="宋体"/>
                <w:color w:val="auto"/>
                <w:sz w:val="24"/>
                <w:szCs w:val="24"/>
                <w:highlight w:val="none"/>
              </w:rPr>
            </w:pPr>
          </w:p>
        </w:tc>
        <w:tc>
          <w:tcPr>
            <w:tcW w:w="1606" w:type="dxa"/>
            <w:vAlign w:val="center"/>
          </w:tcPr>
          <w:p w14:paraId="2F34E445">
            <w:pPr>
              <w:shd w:val="clear"/>
              <w:jc w:val="center"/>
              <w:rPr>
                <w:rFonts w:ascii="宋体" w:hAnsi="宋体"/>
                <w:color w:val="auto"/>
                <w:highlight w:val="none"/>
              </w:rPr>
            </w:pPr>
          </w:p>
        </w:tc>
        <w:tc>
          <w:tcPr>
            <w:tcW w:w="1623" w:type="dxa"/>
            <w:vAlign w:val="center"/>
          </w:tcPr>
          <w:p w14:paraId="246A9BCE">
            <w:pPr>
              <w:shd w:val="clear"/>
              <w:jc w:val="center"/>
              <w:rPr>
                <w:rFonts w:ascii="宋体" w:hAnsi="宋体"/>
                <w:color w:val="auto"/>
                <w:highlight w:val="none"/>
              </w:rPr>
            </w:pPr>
          </w:p>
        </w:tc>
        <w:tc>
          <w:tcPr>
            <w:tcW w:w="1923" w:type="dxa"/>
            <w:vAlign w:val="center"/>
          </w:tcPr>
          <w:p w14:paraId="4EE8A672">
            <w:pPr>
              <w:shd w:val="clear"/>
              <w:jc w:val="center"/>
              <w:rPr>
                <w:rFonts w:ascii="宋体" w:hAnsi="宋体"/>
                <w:color w:val="auto"/>
                <w:highlight w:val="none"/>
              </w:rPr>
            </w:pPr>
          </w:p>
        </w:tc>
        <w:tc>
          <w:tcPr>
            <w:tcW w:w="845" w:type="dxa"/>
            <w:vAlign w:val="center"/>
          </w:tcPr>
          <w:p w14:paraId="43CE4F90">
            <w:pPr>
              <w:shd w:val="clear"/>
              <w:jc w:val="center"/>
              <w:rPr>
                <w:rFonts w:ascii="宋体" w:hAnsi="宋体"/>
                <w:color w:val="auto"/>
                <w:highlight w:val="none"/>
              </w:rPr>
            </w:pPr>
          </w:p>
        </w:tc>
        <w:tc>
          <w:tcPr>
            <w:tcW w:w="805" w:type="dxa"/>
            <w:vAlign w:val="center"/>
          </w:tcPr>
          <w:p w14:paraId="12728162">
            <w:pPr>
              <w:shd w:val="clear"/>
              <w:jc w:val="center"/>
              <w:rPr>
                <w:rFonts w:ascii="宋体" w:hAnsi="宋体"/>
                <w:color w:val="auto"/>
                <w:highlight w:val="none"/>
              </w:rPr>
            </w:pPr>
          </w:p>
        </w:tc>
        <w:tc>
          <w:tcPr>
            <w:tcW w:w="2670" w:type="dxa"/>
            <w:vAlign w:val="center"/>
          </w:tcPr>
          <w:p w14:paraId="7BB473D8">
            <w:pPr>
              <w:shd w:val="clear"/>
              <w:jc w:val="center"/>
              <w:rPr>
                <w:rFonts w:ascii="宋体" w:hAnsi="宋体"/>
                <w:color w:val="auto"/>
                <w:highlight w:val="none"/>
              </w:rPr>
            </w:pPr>
          </w:p>
        </w:tc>
      </w:tr>
      <w:tr w14:paraId="5F6BC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2F02680E">
            <w:pPr>
              <w:shd w:val="clear"/>
              <w:jc w:val="center"/>
              <w:rPr>
                <w:rFonts w:ascii="宋体" w:hAnsi="宋体"/>
                <w:color w:val="auto"/>
                <w:sz w:val="24"/>
                <w:szCs w:val="24"/>
                <w:highlight w:val="none"/>
              </w:rPr>
            </w:pPr>
          </w:p>
        </w:tc>
        <w:tc>
          <w:tcPr>
            <w:tcW w:w="1606" w:type="dxa"/>
            <w:vAlign w:val="center"/>
          </w:tcPr>
          <w:p w14:paraId="563251F6">
            <w:pPr>
              <w:shd w:val="clear"/>
              <w:jc w:val="center"/>
              <w:rPr>
                <w:rFonts w:ascii="宋体" w:hAnsi="宋体"/>
                <w:color w:val="auto"/>
                <w:highlight w:val="none"/>
              </w:rPr>
            </w:pPr>
          </w:p>
        </w:tc>
        <w:tc>
          <w:tcPr>
            <w:tcW w:w="1623" w:type="dxa"/>
            <w:vAlign w:val="center"/>
          </w:tcPr>
          <w:p w14:paraId="2FD3CA44">
            <w:pPr>
              <w:shd w:val="clear"/>
              <w:jc w:val="center"/>
              <w:rPr>
                <w:rFonts w:ascii="宋体" w:hAnsi="宋体"/>
                <w:color w:val="auto"/>
                <w:highlight w:val="none"/>
              </w:rPr>
            </w:pPr>
          </w:p>
        </w:tc>
        <w:tc>
          <w:tcPr>
            <w:tcW w:w="1923" w:type="dxa"/>
            <w:vAlign w:val="center"/>
          </w:tcPr>
          <w:p w14:paraId="2A6DC47B">
            <w:pPr>
              <w:shd w:val="clear"/>
              <w:jc w:val="center"/>
              <w:rPr>
                <w:rFonts w:ascii="宋体" w:hAnsi="宋体"/>
                <w:color w:val="auto"/>
                <w:highlight w:val="none"/>
              </w:rPr>
            </w:pPr>
          </w:p>
        </w:tc>
        <w:tc>
          <w:tcPr>
            <w:tcW w:w="845" w:type="dxa"/>
            <w:vAlign w:val="center"/>
          </w:tcPr>
          <w:p w14:paraId="56C41520">
            <w:pPr>
              <w:shd w:val="clear"/>
              <w:jc w:val="center"/>
              <w:rPr>
                <w:rFonts w:ascii="宋体" w:hAnsi="宋体"/>
                <w:color w:val="auto"/>
                <w:highlight w:val="none"/>
              </w:rPr>
            </w:pPr>
          </w:p>
        </w:tc>
        <w:tc>
          <w:tcPr>
            <w:tcW w:w="805" w:type="dxa"/>
            <w:vAlign w:val="center"/>
          </w:tcPr>
          <w:p w14:paraId="78A5C950">
            <w:pPr>
              <w:shd w:val="clear"/>
              <w:jc w:val="center"/>
              <w:rPr>
                <w:rFonts w:ascii="宋体" w:hAnsi="宋体"/>
                <w:color w:val="auto"/>
                <w:highlight w:val="none"/>
              </w:rPr>
            </w:pPr>
          </w:p>
        </w:tc>
        <w:tc>
          <w:tcPr>
            <w:tcW w:w="2670" w:type="dxa"/>
            <w:vAlign w:val="center"/>
          </w:tcPr>
          <w:p w14:paraId="1B5EAD1E">
            <w:pPr>
              <w:shd w:val="clear"/>
              <w:jc w:val="center"/>
              <w:rPr>
                <w:rFonts w:ascii="宋体" w:hAnsi="宋体"/>
                <w:color w:val="auto"/>
                <w:highlight w:val="none"/>
              </w:rPr>
            </w:pPr>
          </w:p>
        </w:tc>
      </w:tr>
      <w:tr w14:paraId="442A3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66" w:type="dxa"/>
            <w:vAlign w:val="center"/>
          </w:tcPr>
          <w:p w14:paraId="29DF6C8C">
            <w:pPr>
              <w:shd w:val="clear"/>
              <w:jc w:val="center"/>
              <w:rPr>
                <w:rFonts w:ascii="宋体" w:hAnsi="宋体"/>
                <w:color w:val="auto"/>
                <w:sz w:val="24"/>
                <w:szCs w:val="24"/>
                <w:highlight w:val="none"/>
              </w:rPr>
            </w:pPr>
          </w:p>
        </w:tc>
        <w:tc>
          <w:tcPr>
            <w:tcW w:w="1606" w:type="dxa"/>
            <w:vAlign w:val="center"/>
          </w:tcPr>
          <w:p w14:paraId="5CE6685E">
            <w:pPr>
              <w:shd w:val="clear"/>
              <w:jc w:val="center"/>
              <w:rPr>
                <w:rFonts w:ascii="宋体" w:hAnsi="宋体"/>
                <w:color w:val="auto"/>
                <w:highlight w:val="none"/>
              </w:rPr>
            </w:pPr>
          </w:p>
        </w:tc>
        <w:tc>
          <w:tcPr>
            <w:tcW w:w="1623" w:type="dxa"/>
            <w:vAlign w:val="center"/>
          </w:tcPr>
          <w:p w14:paraId="5D9E97B4">
            <w:pPr>
              <w:shd w:val="clear"/>
              <w:jc w:val="center"/>
              <w:rPr>
                <w:rFonts w:ascii="宋体" w:hAnsi="宋体"/>
                <w:color w:val="auto"/>
                <w:highlight w:val="none"/>
              </w:rPr>
            </w:pPr>
          </w:p>
        </w:tc>
        <w:tc>
          <w:tcPr>
            <w:tcW w:w="1923" w:type="dxa"/>
            <w:vAlign w:val="center"/>
          </w:tcPr>
          <w:p w14:paraId="072FA209">
            <w:pPr>
              <w:shd w:val="clear"/>
              <w:jc w:val="center"/>
              <w:rPr>
                <w:rFonts w:ascii="宋体" w:hAnsi="宋体"/>
                <w:color w:val="auto"/>
                <w:highlight w:val="none"/>
              </w:rPr>
            </w:pPr>
          </w:p>
        </w:tc>
        <w:tc>
          <w:tcPr>
            <w:tcW w:w="845" w:type="dxa"/>
            <w:vAlign w:val="center"/>
          </w:tcPr>
          <w:p w14:paraId="08CF725A">
            <w:pPr>
              <w:shd w:val="clear"/>
              <w:jc w:val="center"/>
              <w:rPr>
                <w:rFonts w:ascii="宋体" w:hAnsi="宋体"/>
                <w:color w:val="auto"/>
                <w:highlight w:val="none"/>
              </w:rPr>
            </w:pPr>
          </w:p>
        </w:tc>
        <w:tc>
          <w:tcPr>
            <w:tcW w:w="805" w:type="dxa"/>
            <w:vAlign w:val="center"/>
          </w:tcPr>
          <w:p w14:paraId="622CD3FB">
            <w:pPr>
              <w:shd w:val="clear"/>
              <w:jc w:val="center"/>
              <w:rPr>
                <w:rFonts w:ascii="宋体" w:hAnsi="宋体"/>
                <w:color w:val="auto"/>
                <w:highlight w:val="none"/>
              </w:rPr>
            </w:pPr>
          </w:p>
        </w:tc>
        <w:tc>
          <w:tcPr>
            <w:tcW w:w="2670" w:type="dxa"/>
            <w:vAlign w:val="center"/>
          </w:tcPr>
          <w:p w14:paraId="1E2E9D51">
            <w:pPr>
              <w:shd w:val="clear"/>
              <w:jc w:val="center"/>
              <w:rPr>
                <w:rFonts w:ascii="宋体" w:hAnsi="宋体"/>
                <w:color w:val="auto"/>
                <w:highlight w:val="none"/>
              </w:rPr>
            </w:pPr>
          </w:p>
        </w:tc>
      </w:tr>
      <w:tr w14:paraId="5B77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466" w:type="dxa"/>
            <w:vAlign w:val="center"/>
          </w:tcPr>
          <w:p w14:paraId="2B893231">
            <w:pPr>
              <w:shd w:val="clear"/>
              <w:jc w:val="center"/>
              <w:rPr>
                <w:rFonts w:ascii="宋体" w:hAnsi="宋体"/>
                <w:color w:val="auto"/>
                <w:sz w:val="24"/>
                <w:szCs w:val="24"/>
                <w:highlight w:val="none"/>
              </w:rPr>
            </w:pPr>
          </w:p>
        </w:tc>
        <w:tc>
          <w:tcPr>
            <w:tcW w:w="1606" w:type="dxa"/>
            <w:vAlign w:val="center"/>
          </w:tcPr>
          <w:p w14:paraId="36BC1724">
            <w:pPr>
              <w:shd w:val="clear"/>
              <w:jc w:val="center"/>
              <w:rPr>
                <w:rFonts w:ascii="宋体" w:hAnsi="宋体"/>
                <w:color w:val="auto"/>
                <w:sz w:val="24"/>
                <w:szCs w:val="24"/>
                <w:highlight w:val="none"/>
              </w:rPr>
            </w:pPr>
          </w:p>
        </w:tc>
        <w:tc>
          <w:tcPr>
            <w:tcW w:w="1623" w:type="dxa"/>
            <w:vAlign w:val="center"/>
          </w:tcPr>
          <w:p w14:paraId="1F80A35A">
            <w:pPr>
              <w:shd w:val="clear"/>
              <w:jc w:val="center"/>
              <w:rPr>
                <w:rFonts w:ascii="宋体" w:hAnsi="宋体"/>
                <w:color w:val="auto"/>
                <w:highlight w:val="none"/>
              </w:rPr>
            </w:pPr>
          </w:p>
        </w:tc>
        <w:tc>
          <w:tcPr>
            <w:tcW w:w="1923" w:type="dxa"/>
            <w:vAlign w:val="center"/>
          </w:tcPr>
          <w:p w14:paraId="3EB57128">
            <w:pPr>
              <w:shd w:val="clear"/>
              <w:jc w:val="center"/>
              <w:rPr>
                <w:rFonts w:ascii="宋体" w:hAnsi="宋体"/>
                <w:color w:val="auto"/>
                <w:highlight w:val="none"/>
              </w:rPr>
            </w:pPr>
          </w:p>
        </w:tc>
        <w:tc>
          <w:tcPr>
            <w:tcW w:w="845" w:type="dxa"/>
            <w:vAlign w:val="center"/>
          </w:tcPr>
          <w:p w14:paraId="29871538">
            <w:pPr>
              <w:shd w:val="clear"/>
              <w:jc w:val="center"/>
              <w:rPr>
                <w:rFonts w:ascii="宋体" w:hAnsi="宋体"/>
                <w:color w:val="auto"/>
                <w:highlight w:val="none"/>
              </w:rPr>
            </w:pPr>
          </w:p>
        </w:tc>
        <w:tc>
          <w:tcPr>
            <w:tcW w:w="805" w:type="dxa"/>
            <w:vAlign w:val="center"/>
          </w:tcPr>
          <w:p w14:paraId="6EDFBA3A">
            <w:pPr>
              <w:shd w:val="clear"/>
              <w:jc w:val="center"/>
              <w:rPr>
                <w:rFonts w:ascii="宋体" w:hAnsi="宋体"/>
                <w:color w:val="auto"/>
                <w:highlight w:val="none"/>
              </w:rPr>
            </w:pPr>
          </w:p>
        </w:tc>
        <w:tc>
          <w:tcPr>
            <w:tcW w:w="2670" w:type="dxa"/>
            <w:vAlign w:val="center"/>
          </w:tcPr>
          <w:p w14:paraId="4261BC09">
            <w:pPr>
              <w:shd w:val="clear"/>
              <w:jc w:val="center"/>
              <w:rPr>
                <w:rFonts w:ascii="宋体" w:hAnsi="宋体"/>
                <w:color w:val="auto"/>
                <w:highlight w:val="none"/>
              </w:rPr>
            </w:pPr>
          </w:p>
        </w:tc>
      </w:tr>
    </w:tbl>
    <w:p w14:paraId="482E169D">
      <w:pPr>
        <w:shd w:val="clear"/>
        <w:spacing w:line="440" w:lineRule="exact"/>
        <w:rPr>
          <w:bCs/>
          <w:color w:val="auto"/>
          <w:sz w:val="24"/>
          <w:szCs w:val="24"/>
          <w:highlight w:val="none"/>
        </w:rPr>
      </w:pPr>
      <w:r>
        <w:rPr>
          <w:bCs/>
          <w:color w:val="auto"/>
          <w:sz w:val="24"/>
          <w:szCs w:val="24"/>
          <w:highlight w:val="none"/>
        </w:rPr>
        <w:t>注：1、</w:t>
      </w:r>
      <w:r>
        <w:rPr>
          <w:rFonts w:hint="eastAsia"/>
          <w:bCs/>
          <w:color w:val="auto"/>
          <w:sz w:val="24"/>
          <w:szCs w:val="24"/>
          <w:highlight w:val="none"/>
        </w:rPr>
        <w:t>投标人</w:t>
      </w:r>
      <w:r>
        <w:rPr>
          <w:bCs/>
          <w:color w:val="auto"/>
          <w:sz w:val="24"/>
          <w:szCs w:val="24"/>
          <w:highlight w:val="none"/>
        </w:rPr>
        <w:t>应根据</w:t>
      </w:r>
      <w:r>
        <w:rPr>
          <w:rFonts w:hint="eastAsia"/>
          <w:bCs/>
          <w:color w:val="auto"/>
          <w:sz w:val="24"/>
          <w:szCs w:val="24"/>
          <w:highlight w:val="none"/>
        </w:rPr>
        <w:t xml:space="preserve">“第四章 </w:t>
      </w:r>
      <w:r>
        <w:rPr>
          <w:rFonts w:hint="eastAsia"/>
          <w:bCs/>
          <w:color w:val="auto"/>
          <w:sz w:val="24"/>
          <w:szCs w:val="24"/>
          <w:highlight w:val="none"/>
          <w:lang w:val="en-US" w:eastAsia="zh-CN"/>
        </w:rPr>
        <w:t>采购</w:t>
      </w:r>
      <w:r>
        <w:rPr>
          <w:rFonts w:hint="eastAsia"/>
          <w:bCs/>
          <w:color w:val="auto"/>
          <w:sz w:val="24"/>
          <w:szCs w:val="24"/>
          <w:highlight w:val="none"/>
        </w:rPr>
        <w:t>需求”中的“三、项目服务要求”，对照投标人</w:t>
      </w:r>
      <w:r>
        <w:rPr>
          <w:bCs/>
          <w:color w:val="auto"/>
          <w:sz w:val="24"/>
          <w:szCs w:val="24"/>
          <w:highlight w:val="none"/>
        </w:rPr>
        <w:t>所</w:t>
      </w:r>
      <w:r>
        <w:rPr>
          <w:rFonts w:hint="eastAsia"/>
          <w:bCs/>
          <w:color w:val="auto"/>
          <w:sz w:val="24"/>
          <w:szCs w:val="24"/>
          <w:highlight w:val="none"/>
        </w:rPr>
        <w:t>提供</w:t>
      </w:r>
      <w:r>
        <w:rPr>
          <w:bCs/>
          <w:color w:val="auto"/>
          <w:sz w:val="24"/>
          <w:szCs w:val="24"/>
          <w:highlight w:val="none"/>
        </w:rPr>
        <w:t>的服务承诺进行逐项评议。</w:t>
      </w:r>
    </w:p>
    <w:p w14:paraId="39AE34F5">
      <w:pPr>
        <w:shd w:val="clear"/>
        <w:spacing w:line="500" w:lineRule="exact"/>
        <w:ind w:firstLine="480" w:firstLineChars="200"/>
        <w:rPr>
          <w:b/>
          <w:color w:val="auto"/>
          <w:sz w:val="24"/>
          <w:szCs w:val="24"/>
          <w:highlight w:val="none"/>
        </w:rPr>
      </w:pPr>
      <w:r>
        <w:rPr>
          <w:color w:val="auto"/>
          <w:sz w:val="24"/>
          <w:szCs w:val="24"/>
          <w:highlight w:val="none"/>
        </w:rPr>
        <w:t>2、</w:t>
      </w:r>
      <w:r>
        <w:rPr>
          <w:rFonts w:hint="eastAsia"/>
          <w:color w:val="auto"/>
          <w:sz w:val="24"/>
          <w:szCs w:val="24"/>
          <w:highlight w:val="none"/>
        </w:rPr>
        <w:t>若无偏离，在“无偏离”栏中填写“无偏离”；若有偏离在“有偏离”栏中填写“正偏离”或“负偏离”，并在“偏离内容”栏中作出说明</w:t>
      </w:r>
      <w:r>
        <w:rPr>
          <w:color w:val="auto"/>
          <w:sz w:val="24"/>
          <w:szCs w:val="24"/>
          <w:highlight w:val="none"/>
        </w:rPr>
        <w:t>。</w:t>
      </w:r>
    </w:p>
    <w:p w14:paraId="0D3F00D8">
      <w:pPr>
        <w:shd w:val="clear"/>
        <w:ind w:firstLine="480" w:firstLineChars="200"/>
        <w:rPr>
          <w:color w:val="auto"/>
          <w:sz w:val="24"/>
          <w:szCs w:val="24"/>
          <w:highlight w:val="none"/>
        </w:rPr>
      </w:pPr>
      <w:r>
        <w:rPr>
          <w:rFonts w:hint="eastAsia"/>
          <w:color w:val="auto"/>
          <w:sz w:val="24"/>
          <w:szCs w:val="24"/>
          <w:highlight w:val="none"/>
        </w:rPr>
        <w:t>3、</w:t>
      </w:r>
      <w:r>
        <w:rPr>
          <w:color w:val="auto"/>
          <w:sz w:val="24"/>
          <w:szCs w:val="24"/>
          <w:highlight w:val="none"/>
        </w:rPr>
        <w:t>表格不够可另接。</w:t>
      </w:r>
    </w:p>
    <w:p w14:paraId="172B62A3">
      <w:pPr>
        <w:shd w:val="clear"/>
        <w:rPr>
          <w:color w:val="auto"/>
          <w:highlight w:val="none"/>
        </w:rPr>
      </w:pPr>
      <w:r>
        <w:rPr>
          <w:rFonts w:hint="eastAsia"/>
          <w:color w:val="auto"/>
          <w:highlight w:val="none"/>
        </w:rPr>
        <w:br w:type="page"/>
      </w:r>
    </w:p>
    <w:p w14:paraId="30666E63">
      <w:pPr>
        <w:pStyle w:val="8"/>
        <w:shd w:val="clear"/>
        <w:rPr>
          <w:rFonts w:eastAsia="宋体"/>
          <w:color w:val="auto"/>
          <w:highlight w:val="none"/>
        </w:rPr>
      </w:pPr>
      <w:bookmarkStart w:id="330" w:name="_Toc28660"/>
      <w:r>
        <w:rPr>
          <w:rFonts w:hint="eastAsia" w:eastAsia="宋体"/>
          <w:color w:val="auto"/>
          <w:highlight w:val="none"/>
        </w:rPr>
        <w:t>附件1</w:t>
      </w:r>
      <w:r>
        <w:rPr>
          <w:rFonts w:hint="eastAsia" w:eastAsia="宋体"/>
          <w:color w:val="auto"/>
          <w:highlight w:val="none"/>
          <w:lang w:val="en-US" w:eastAsia="zh-CN"/>
        </w:rPr>
        <w:t>2</w:t>
      </w:r>
      <w:r>
        <w:rPr>
          <w:rFonts w:hint="eastAsia" w:eastAsia="宋体"/>
          <w:color w:val="auto"/>
          <w:highlight w:val="none"/>
        </w:rPr>
        <w:t xml:space="preserve"> 项目实施方案</w:t>
      </w:r>
      <w:bookmarkEnd w:id="330"/>
    </w:p>
    <w:p w14:paraId="1D1CE6C5">
      <w:pPr>
        <w:shd w:val="clear"/>
        <w:ind w:firstLine="480" w:firstLineChars="200"/>
        <w:rPr>
          <w:color w:val="auto"/>
          <w:sz w:val="24"/>
          <w:szCs w:val="24"/>
          <w:highlight w:val="none"/>
        </w:rPr>
      </w:pPr>
      <w:r>
        <w:rPr>
          <w:rFonts w:hint="eastAsia"/>
          <w:color w:val="auto"/>
          <w:sz w:val="24"/>
          <w:szCs w:val="24"/>
        </w:rPr>
        <w:t>根据“第五章</w:t>
      </w:r>
      <w:r>
        <w:rPr>
          <w:color w:val="auto"/>
          <w:sz w:val="24"/>
          <w:szCs w:val="24"/>
        </w:rPr>
        <w:t xml:space="preserve">  评审</w:t>
      </w:r>
      <w:r>
        <w:rPr>
          <w:rFonts w:hint="eastAsia"/>
          <w:color w:val="auto"/>
          <w:sz w:val="24"/>
          <w:szCs w:val="24"/>
          <w:lang w:val="en-US" w:eastAsia="zh-CN"/>
        </w:rPr>
        <w:t>方法与评审</w:t>
      </w:r>
      <w:r>
        <w:rPr>
          <w:color w:val="auto"/>
          <w:sz w:val="24"/>
          <w:szCs w:val="24"/>
        </w:rPr>
        <w:t>标准</w:t>
      </w:r>
      <w:r>
        <w:rPr>
          <w:rFonts w:hint="eastAsia"/>
          <w:color w:val="auto"/>
          <w:sz w:val="24"/>
          <w:szCs w:val="24"/>
        </w:rPr>
        <w:t>”提供相关说明及证明材料</w:t>
      </w:r>
      <w:r>
        <w:rPr>
          <w:rFonts w:hint="eastAsia"/>
          <w:color w:val="auto"/>
          <w:highlight w:val="none"/>
        </w:rPr>
        <w:br w:type="page"/>
      </w:r>
      <w:bookmarkEnd w:id="305"/>
      <w:bookmarkStart w:id="331" w:name="_Toc42157463"/>
    </w:p>
    <w:bookmarkEnd w:id="331"/>
    <w:p w14:paraId="5A4196A1">
      <w:pPr>
        <w:pStyle w:val="8"/>
        <w:shd w:val="clear"/>
        <w:rPr>
          <w:rFonts w:ascii="宋体" w:hAnsi="宋体" w:eastAsia="宋体" w:cs="宋体"/>
          <w:color w:val="auto"/>
          <w:highlight w:val="none"/>
        </w:rPr>
      </w:pPr>
      <w:bookmarkStart w:id="332" w:name="_Toc24968"/>
      <w:bookmarkStart w:id="333" w:name="_Toc631"/>
      <w:bookmarkStart w:id="334" w:name="_Toc69302318"/>
      <w:bookmarkStart w:id="335" w:name="_Toc511680884"/>
      <w:bookmarkStart w:id="336" w:name="_Toc472326802"/>
      <w:bookmarkStart w:id="337" w:name="_Toc321922918"/>
      <w:bookmarkStart w:id="338" w:name="_Toc32268"/>
      <w:r>
        <w:rPr>
          <w:rFonts w:hint="eastAsia" w:eastAsia="宋体"/>
          <w:color w:val="auto"/>
          <w:highlight w:val="none"/>
        </w:rPr>
        <w:t>附件1</w:t>
      </w:r>
      <w:r>
        <w:rPr>
          <w:rFonts w:hint="eastAsia" w:eastAsia="宋体"/>
          <w:color w:val="auto"/>
          <w:highlight w:val="none"/>
          <w:lang w:val="en-US" w:eastAsia="zh-CN"/>
        </w:rPr>
        <w:t>3</w:t>
      </w:r>
      <w:r>
        <w:rPr>
          <w:rFonts w:hint="eastAsia" w:eastAsia="宋体"/>
          <w:color w:val="auto"/>
          <w:highlight w:val="none"/>
        </w:rPr>
        <w:t xml:space="preserve"> </w:t>
      </w:r>
      <w:r>
        <w:rPr>
          <w:rFonts w:hint="eastAsia" w:ascii="宋体" w:hAnsi="宋体" w:eastAsia="宋体" w:cs="宋体"/>
          <w:color w:val="auto"/>
          <w:highlight w:val="none"/>
        </w:rPr>
        <w:t>项目组人员一览表</w:t>
      </w:r>
      <w:bookmarkEnd w:id="332"/>
    </w:p>
    <w:bookmarkEnd w:id="333"/>
    <w:p w14:paraId="303888E2">
      <w:pPr>
        <w:widowControl w:val="0"/>
        <w:spacing w:after="0" w:line="240" w:lineRule="auto"/>
        <w:jc w:val="center"/>
        <w:rPr>
          <w:rFonts w:hint="eastAsia" w:ascii="宋体" w:hAnsi="宋体" w:eastAsia="宋体" w:cs="宋体"/>
          <w:b/>
          <w:bCs w:val="0"/>
          <w:color w:val="auto"/>
          <w:kern w:val="2"/>
          <w:sz w:val="24"/>
          <w:szCs w:val="24"/>
        </w:rPr>
      </w:pPr>
      <w:r>
        <w:rPr>
          <w:rFonts w:hint="eastAsia" w:ascii="宋体" w:hAnsi="宋体" w:eastAsia="宋体" w:cs="宋体"/>
          <w:b/>
          <w:bCs w:val="0"/>
          <w:color w:val="auto"/>
          <w:kern w:val="2"/>
          <w:sz w:val="24"/>
          <w:szCs w:val="24"/>
        </w:rPr>
        <w:t>第</w:t>
      </w:r>
      <w:r>
        <w:rPr>
          <w:rFonts w:hint="eastAsia" w:ascii="宋体" w:hAnsi="宋体" w:eastAsia="宋体" w:cs="宋体"/>
          <w:b/>
          <w:bCs w:val="0"/>
          <w:color w:val="auto"/>
          <w:kern w:val="2"/>
          <w:sz w:val="24"/>
          <w:szCs w:val="24"/>
          <w:u w:val="single"/>
        </w:rPr>
        <w:t xml:space="preserve">   </w:t>
      </w:r>
      <w:r>
        <w:rPr>
          <w:rFonts w:hint="eastAsia" w:ascii="宋体" w:hAnsi="宋体" w:eastAsia="宋体" w:cs="宋体"/>
          <w:b/>
          <w:bCs w:val="0"/>
          <w:color w:val="auto"/>
          <w:kern w:val="2"/>
          <w:sz w:val="24"/>
          <w:szCs w:val="24"/>
        </w:rPr>
        <w:t>包拟投入人员情况一览表</w:t>
      </w:r>
    </w:p>
    <w:tbl>
      <w:tblPr>
        <w:tblStyle w:val="54"/>
        <w:tblW w:w="9933"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1"/>
        <w:gridCol w:w="851"/>
        <w:gridCol w:w="850"/>
        <w:gridCol w:w="993"/>
        <w:gridCol w:w="850"/>
        <w:gridCol w:w="1134"/>
        <w:gridCol w:w="1276"/>
        <w:gridCol w:w="1134"/>
        <w:gridCol w:w="1134"/>
      </w:tblGrid>
      <w:tr w14:paraId="4EDA8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8" w:hRule="atLeast"/>
        </w:trPr>
        <w:tc>
          <w:tcPr>
            <w:tcW w:w="1711" w:type="dxa"/>
            <w:noWrap w:val="0"/>
            <w:vAlign w:val="center"/>
          </w:tcPr>
          <w:p w14:paraId="6CD5EC3E">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人员岗位类别</w:t>
            </w:r>
          </w:p>
        </w:tc>
        <w:tc>
          <w:tcPr>
            <w:tcW w:w="851" w:type="dxa"/>
            <w:noWrap w:val="0"/>
            <w:vAlign w:val="center"/>
          </w:tcPr>
          <w:p w14:paraId="7B1B954D">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姓名</w:t>
            </w:r>
          </w:p>
        </w:tc>
        <w:tc>
          <w:tcPr>
            <w:tcW w:w="850" w:type="dxa"/>
            <w:noWrap w:val="0"/>
            <w:vAlign w:val="center"/>
          </w:tcPr>
          <w:p w14:paraId="3F08C118">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性别</w:t>
            </w:r>
          </w:p>
        </w:tc>
        <w:tc>
          <w:tcPr>
            <w:tcW w:w="993" w:type="dxa"/>
            <w:noWrap w:val="0"/>
            <w:vAlign w:val="center"/>
          </w:tcPr>
          <w:p w14:paraId="0BE5C503">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年龄</w:t>
            </w:r>
          </w:p>
        </w:tc>
        <w:tc>
          <w:tcPr>
            <w:tcW w:w="850" w:type="dxa"/>
            <w:noWrap w:val="0"/>
            <w:vAlign w:val="center"/>
          </w:tcPr>
          <w:p w14:paraId="11627875">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职称</w:t>
            </w:r>
          </w:p>
        </w:tc>
        <w:tc>
          <w:tcPr>
            <w:tcW w:w="1134" w:type="dxa"/>
            <w:noWrap w:val="0"/>
            <w:vAlign w:val="center"/>
          </w:tcPr>
          <w:p w14:paraId="6FC0319E">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职业资格</w:t>
            </w:r>
          </w:p>
        </w:tc>
        <w:tc>
          <w:tcPr>
            <w:tcW w:w="1276" w:type="dxa"/>
            <w:noWrap w:val="0"/>
            <w:vAlign w:val="center"/>
          </w:tcPr>
          <w:p w14:paraId="0EF4EEBB">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资格证书编号</w:t>
            </w:r>
          </w:p>
        </w:tc>
        <w:tc>
          <w:tcPr>
            <w:tcW w:w="1134" w:type="dxa"/>
            <w:noWrap w:val="0"/>
            <w:vAlign w:val="center"/>
          </w:tcPr>
          <w:p w14:paraId="01B7E377">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文化程度</w:t>
            </w:r>
          </w:p>
        </w:tc>
        <w:tc>
          <w:tcPr>
            <w:tcW w:w="1134" w:type="dxa"/>
            <w:noWrap w:val="0"/>
            <w:vAlign w:val="center"/>
          </w:tcPr>
          <w:p w14:paraId="1CF54183">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从业年限</w:t>
            </w:r>
          </w:p>
        </w:tc>
      </w:tr>
      <w:tr w14:paraId="231B8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9" w:hRule="atLeast"/>
        </w:trPr>
        <w:tc>
          <w:tcPr>
            <w:tcW w:w="1711" w:type="dxa"/>
            <w:noWrap w:val="0"/>
            <w:vAlign w:val="center"/>
          </w:tcPr>
          <w:p w14:paraId="5E549718">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（此处请填写拟投入人员岗位）</w:t>
            </w:r>
          </w:p>
        </w:tc>
        <w:tc>
          <w:tcPr>
            <w:tcW w:w="851" w:type="dxa"/>
            <w:noWrap w:val="0"/>
            <w:vAlign w:val="center"/>
          </w:tcPr>
          <w:p w14:paraId="72027A3D">
            <w:pPr>
              <w:spacing w:after="0"/>
              <w:jc w:val="center"/>
              <w:rPr>
                <w:rFonts w:hint="eastAsia" w:ascii="宋体" w:hAnsi="宋体" w:eastAsia="宋体" w:cs="宋体"/>
                <w:color w:val="auto"/>
                <w:sz w:val="24"/>
                <w:szCs w:val="24"/>
              </w:rPr>
            </w:pPr>
          </w:p>
        </w:tc>
        <w:tc>
          <w:tcPr>
            <w:tcW w:w="850" w:type="dxa"/>
            <w:noWrap w:val="0"/>
            <w:vAlign w:val="top"/>
          </w:tcPr>
          <w:p w14:paraId="445E3E23">
            <w:pPr>
              <w:spacing w:after="0"/>
              <w:jc w:val="center"/>
              <w:rPr>
                <w:rFonts w:hint="eastAsia" w:ascii="宋体" w:hAnsi="宋体" w:eastAsia="宋体" w:cs="宋体"/>
                <w:color w:val="auto"/>
                <w:sz w:val="24"/>
                <w:szCs w:val="24"/>
              </w:rPr>
            </w:pPr>
          </w:p>
        </w:tc>
        <w:tc>
          <w:tcPr>
            <w:tcW w:w="993" w:type="dxa"/>
            <w:noWrap w:val="0"/>
            <w:vAlign w:val="center"/>
          </w:tcPr>
          <w:p w14:paraId="10B37E44">
            <w:pPr>
              <w:spacing w:after="0"/>
              <w:jc w:val="center"/>
              <w:rPr>
                <w:rFonts w:hint="eastAsia" w:ascii="宋体" w:hAnsi="宋体" w:eastAsia="宋体" w:cs="宋体"/>
                <w:color w:val="auto"/>
                <w:sz w:val="24"/>
                <w:szCs w:val="24"/>
              </w:rPr>
            </w:pPr>
          </w:p>
        </w:tc>
        <w:tc>
          <w:tcPr>
            <w:tcW w:w="850" w:type="dxa"/>
            <w:noWrap w:val="0"/>
            <w:vAlign w:val="center"/>
          </w:tcPr>
          <w:p w14:paraId="51FC3F2A">
            <w:pPr>
              <w:spacing w:after="0"/>
              <w:jc w:val="center"/>
              <w:rPr>
                <w:rFonts w:hint="eastAsia" w:ascii="宋体" w:hAnsi="宋体" w:eastAsia="宋体" w:cs="宋体"/>
                <w:color w:val="auto"/>
                <w:sz w:val="24"/>
                <w:szCs w:val="24"/>
              </w:rPr>
            </w:pPr>
          </w:p>
        </w:tc>
        <w:tc>
          <w:tcPr>
            <w:tcW w:w="1134" w:type="dxa"/>
            <w:noWrap w:val="0"/>
            <w:vAlign w:val="center"/>
          </w:tcPr>
          <w:p w14:paraId="4BA2DB81">
            <w:pPr>
              <w:spacing w:after="0"/>
              <w:jc w:val="center"/>
              <w:rPr>
                <w:rFonts w:hint="eastAsia" w:ascii="宋体" w:hAnsi="宋体" w:eastAsia="宋体" w:cs="宋体"/>
                <w:color w:val="auto"/>
                <w:sz w:val="24"/>
                <w:szCs w:val="24"/>
              </w:rPr>
            </w:pPr>
          </w:p>
        </w:tc>
        <w:tc>
          <w:tcPr>
            <w:tcW w:w="1276" w:type="dxa"/>
            <w:noWrap w:val="0"/>
            <w:vAlign w:val="top"/>
          </w:tcPr>
          <w:p w14:paraId="7058A91E">
            <w:pPr>
              <w:spacing w:after="0"/>
              <w:jc w:val="center"/>
              <w:rPr>
                <w:rFonts w:hint="eastAsia" w:ascii="宋体" w:hAnsi="宋体" w:eastAsia="宋体" w:cs="宋体"/>
                <w:color w:val="auto"/>
                <w:sz w:val="24"/>
                <w:szCs w:val="24"/>
              </w:rPr>
            </w:pPr>
          </w:p>
        </w:tc>
        <w:tc>
          <w:tcPr>
            <w:tcW w:w="1134" w:type="dxa"/>
            <w:noWrap w:val="0"/>
            <w:vAlign w:val="center"/>
          </w:tcPr>
          <w:p w14:paraId="2B007DA1">
            <w:pPr>
              <w:spacing w:after="0"/>
              <w:jc w:val="center"/>
              <w:rPr>
                <w:rFonts w:hint="eastAsia" w:ascii="宋体" w:hAnsi="宋体" w:eastAsia="宋体" w:cs="宋体"/>
                <w:color w:val="auto"/>
                <w:sz w:val="24"/>
                <w:szCs w:val="24"/>
              </w:rPr>
            </w:pPr>
          </w:p>
        </w:tc>
        <w:tc>
          <w:tcPr>
            <w:tcW w:w="1134" w:type="dxa"/>
            <w:noWrap w:val="0"/>
            <w:vAlign w:val="center"/>
          </w:tcPr>
          <w:p w14:paraId="1F4EFF96">
            <w:pPr>
              <w:spacing w:after="0"/>
              <w:jc w:val="center"/>
              <w:rPr>
                <w:rFonts w:hint="eastAsia" w:ascii="宋体" w:hAnsi="宋体" w:eastAsia="宋体" w:cs="宋体"/>
                <w:color w:val="auto"/>
                <w:sz w:val="24"/>
                <w:szCs w:val="24"/>
              </w:rPr>
            </w:pPr>
          </w:p>
        </w:tc>
      </w:tr>
      <w:tr w14:paraId="77F6C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3" w:hRule="atLeast"/>
        </w:trPr>
        <w:tc>
          <w:tcPr>
            <w:tcW w:w="1711" w:type="dxa"/>
            <w:noWrap w:val="0"/>
            <w:vAlign w:val="center"/>
          </w:tcPr>
          <w:p w14:paraId="4A4BD089">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（此处请填写拟投入人员岗位）</w:t>
            </w:r>
          </w:p>
        </w:tc>
        <w:tc>
          <w:tcPr>
            <w:tcW w:w="851" w:type="dxa"/>
            <w:noWrap w:val="0"/>
            <w:vAlign w:val="center"/>
          </w:tcPr>
          <w:p w14:paraId="204E4B22">
            <w:pPr>
              <w:spacing w:after="0"/>
              <w:jc w:val="center"/>
              <w:rPr>
                <w:rFonts w:hint="eastAsia" w:ascii="宋体" w:hAnsi="宋体" w:eastAsia="宋体" w:cs="宋体"/>
                <w:color w:val="auto"/>
                <w:sz w:val="24"/>
                <w:szCs w:val="24"/>
              </w:rPr>
            </w:pPr>
          </w:p>
        </w:tc>
        <w:tc>
          <w:tcPr>
            <w:tcW w:w="850" w:type="dxa"/>
            <w:noWrap w:val="0"/>
            <w:vAlign w:val="top"/>
          </w:tcPr>
          <w:p w14:paraId="7EEE032A">
            <w:pPr>
              <w:spacing w:after="0"/>
              <w:jc w:val="center"/>
              <w:rPr>
                <w:rFonts w:hint="eastAsia" w:ascii="宋体" w:hAnsi="宋体" w:eastAsia="宋体" w:cs="宋体"/>
                <w:color w:val="auto"/>
                <w:sz w:val="24"/>
                <w:szCs w:val="24"/>
              </w:rPr>
            </w:pPr>
          </w:p>
        </w:tc>
        <w:tc>
          <w:tcPr>
            <w:tcW w:w="993" w:type="dxa"/>
            <w:noWrap w:val="0"/>
            <w:vAlign w:val="center"/>
          </w:tcPr>
          <w:p w14:paraId="109D71CB">
            <w:pPr>
              <w:spacing w:after="0"/>
              <w:jc w:val="center"/>
              <w:rPr>
                <w:rFonts w:hint="eastAsia" w:ascii="宋体" w:hAnsi="宋体" w:eastAsia="宋体" w:cs="宋体"/>
                <w:color w:val="auto"/>
                <w:sz w:val="24"/>
                <w:szCs w:val="24"/>
              </w:rPr>
            </w:pPr>
          </w:p>
        </w:tc>
        <w:tc>
          <w:tcPr>
            <w:tcW w:w="850" w:type="dxa"/>
            <w:noWrap w:val="0"/>
            <w:vAlign w:val="center"/>
          </w:tcPr>
          <w:p w14:paraId="29F1E4EA">
            <w:pPr>
              <w:spacing w:after="0"/>
              <w:jc w:val="center"/>
              <w:rPr>
                <w:rFonts w:hint="eastAsia" w:ascii="宋体" w:hAnsi="宋体" w:eastAsia="宋体" w:cs="宋体"/>
                <w:color w:val="auto"/>
                <w:sz w:val="24"/>
                <w:szCs w:val="24"/>
              </w:rPr>
            </w:pPr>
          </w:p>
        </w:tc>
        <w:tc>
          <w:tcPr>
            <w:tcW w:w="1134" w:type="dxa"/>
            <w:noWrap w:val="0"/>
            <w:vAlign w:val="center"/>
          </w:tcPr>
          <w:p w14:paraId="6E66FE9B">
            <w:pPr>
              <w:spacing w:after="0"/>
              <w:jc w:val="center"/>
              <w:rPr>
                <w:rFonts w:hint="eastAsia" w:ascii="宋体" w:hAnsi="宋体" w:eastAsia="宋体" w:cs="宋体"/>
                <w:color w:val="auto"/>
                <w:sz w:val="24"/>
                <w:szCs w:val="24"/>
              </w:rPr>
            </w:pPr>
          </w:p>
        </w:tc>
        <w:tc>
          <w:tcPr>
            <w:tcW w:w="1276" w:type="dxa"/>
            <w:noWrap w:val="0"/>
            <w:vAlign w:val="top"/>
          </w:tcPr>
          <w:p w14:paraId="20AFBAF9">
            <w:pPr>
              <w:spacing w:after="0"/>
              <w:jc w:val="center"/>
              <w:rPr>
                <w:rFonts w:hint="eastAsia" w:ascii="宋体" w:hAnsi="宋体" w:eastAsia="宋体" w:cs="宋体"/>
                <w:color w:val="auto"/>
                <w:sz w:val="24"/>
                <w:szCs w:val="24"/>
              </w:rPr>
            </w:pPr>
          </w:p>
        </w:tc>
        <w:tc>
          <w:tcPr>
            <w:tcW w:w="1134" w:type="dxa"/>
            <w:noWrap w:val="0"/>
            <w:vAlign w:val="center"/>
          </w:tcPr>
          <w:p w14:paraId="45F0D40C">
            <w:pPr>
              <w:spacing w:after="0"/>
              <w:jc w:val="center"/>
              <w:rPr>
                <w:rFonts w:hint="eastAsia" w:ascii="宋体" w:hAnsi="宋体" w:eastAsia="宋体" w:cs="宋体"/>
                <w:color w:val="auto"/>
                <w:sz w:val="24"/>
                <w:szCs w:val="24"/>
              </w:rPr>
            </w:pPr>
          </w:p>
        </w:tc>
        <w:tc>
          <w:tcPr>
            <w:tcW w:w="1134" w:type="dxa"/>
            <w:noWrap w:val="0"/>
            <w:vAlign w:val="center"/>
          </w:tcPr>
          <w:p w14:paraId="36E24091">
            <w:pPr>
              <w:spacing w:after="0"/>
              <w:jc w:val="center"/>
              <w:rPr>
                <w:rFonts w:hint="eastAsia" w:ascii="宋体" w:hAnsi="宋体" w:eastAsia="宋体" w:cs="宋体"/>
                <w:color w:val="auto"/>
                <w:sz w:val="24"/>
                <w:szCs w:val="24"/>
              </w:rPr>
            </w:pPr>
          </w:p>
        </w:tc>
      </w:tr>
      <w:tr w14:paraId="4D8D4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7" w:hRule="atLeast"/>
        </w:trPr>
        <w:tc>
          <w:tcPr>
            <w:tcW w:w="1711" w:type="dxa"/>
            <w:noWrap w:val="0"/>
            <w:vAlign w:val="center"/>
          </w:tcPr>
          <w:p w14:paraId="724D522C">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851" w:type="dxa"/>
            <w:noWrap w:val="0"/>
            <w:vAlign w:val="center"/>
          </w:tcPr>
          <w:p w14:paraId="511A9C06">
            <w:pPr>
              <w:spacing w:after="0"/>
              <w:jc w:val="center"/>
              <w:rPr>
                <w:rFonts w:hint="eastAsia" w:ascii="宋体" w:hAnsi="宋体" w:eastAsia="宋体" w:cs="宋体"/>
                <w:color w:val="auto"/>
                <w:sz w:val="24"/>
                <w:szCs w:val="24"/>
              </w:rPr>
            </w:pPr>
          </w:p>
        </w:tc>
        <w:tc>
          <w:tcPr>
            <w:tcW w:w="850" w:type="dxa"/>
            <w:noWrap w:val="0"/>
            <w:vAlign w:val="top"/>
          </w:tcPr>
          <w:p w14:paraId="5F441A37">
            <w:pPr>
              <w:spacing w:after="0"/>
              <w:jc w:val="center"/>
              <w:rPr>
                <w:rFonts w:hint="eastAsia" w:ascii="宋体" w:hAnsi="宋体" w:eastAsia="宋体" w:cs="宋体"/>
                <w:color w:val="auto"/>
                <w:sz w:val="24"/>
                <w:szCs w:val="24"/>
              </w:rPr>
            </w:pPr>
          </w:p>
        </w:tc>
        <w:tc>
          <w:tcPr>
            <w:tcW w:w="993" w:type="dxa"/>
            <w:noWrap w:val="0"/>
            <w:vAlign w:val="center"/>
          </w:tcPr>
          <w:p w14:paraId="7F2C6EA4">
            <w:pPr>
              <w:spacing w:after="0"/>
              <w:jc w:val="center"/>
              <w:rPr>
                <w:rFonts w:hint="eastAsia" w:ascii="宋体" w:hAnsi="宋体" w:eastAsia="宋体" w:cs="宋体"/>
                <w:color w:val="auto"/>
                <w:sz w:val="24"/>
                <w:szCs w:val="24"/>
              </w:rPr>
            </w:pPr>
          </w:p>
        </w:tc>
        <w:tc>
          <w:tcPr>
            <w:tcW w:w="850" w:type="dxa"/>
            <w:noWrap w:val="0"/>
            <w:vAlign w:val="center"/>
          </w:tcPr>
          <w:p w14:paraId="45DD3B12">
            <w:pPr>
              <w:spacing w:after="0"/>
              <w:jc w:val="center"/>
              <w:rPr>
                <w:rFonts w:hint="eastAsia" w:ascii="宋体" w:hAnsi="宋体" w:eastAsia="宋体" w:cs="宋体"/>
                <w:color w:val="auto"/>
                <w:sz w:val="24"/>
                <w:szCs w:val="24"/>
              </w:rPr>
            </w:pPr>
          </w:p>
        </w:tc>
        <w:tc>
          <w:tcPr>
            <w:tcW w:w="1134" w:type="dxa"/>
            <w:noWrap w:val="0"/>
            <w:vAlign w:val="center"/>
          </w:tcPr>
          <w:p w14:paraId="6BE29342">
            <w:pPr>
              <w:spacing w:after="0"/>
              <w:jc w:val="center"/>
              <w:rPr>
                <w:rFonts w:hint="eastAsia" w:ascii="宋体" w:hAnsi="宋体" w:eastAsia="宋体" w:cs="宋体"/>
                <w:color w:val="auto"/>
                <w:sz w:val="24"/>
                <w:szCs w:val="24"/>
              </w:rPr>
            </w:pPr>
          </w:p>
        </w:tc>
        <w:tc>
          <w:tcPr>
            <w:tcW w:w="1276" w:type="dxa"/>
            <w:noWrap w:val="0"/>
            <w:vAlign w:val="top"/>
          </w:tcPr>
          <w:p w14:paraId="7FC30DC6">
            <w:pPr>
              <w:spacing w:after="0"/>
              <w:jc w:val="center"/>
              <w:rPr>
                <w:rFonts w:hint="eastAsia" w:ascii="宋体" w:hAnsi="宋体" w:eastAsia="宋体" w:cs="宋体"/>
                <w:color w:val="auto"/>
                <w:sz w:val="24"/>
                <w:szCs w:val="24"/>
              </w:rPr>
            </w:pPr>
          </w:p>
        </w:tc>
        <w:tc>
          <w:tcPr>
            <w:tcW w:w="1134" w:type="dxa"/>
            <w:noWrap w:val="0"/>
            <w:vAlign w:val="center"/>
          </w:tcPr>
          <w:p w14:paraId="330F790F">
            <w:pPr>
              <w:spacing w:after="0"/>
              <w:jc w:val="center"/>
              <w:rPr>
                <w:rFonts w:hint="eastAsia" w:ascii="宋体" w:hAnsi="宋体" w:eastAsia="宋体" w:cs="宋体"/>
                <w:color w:val="auto"/>
                <w:sz w:val="24"/>
                <w:szCs w:val="24"/>
              </w:rPr>
            </w:pPr>
          </w:p>
        </w:tc>
        <w:tc>
          <w:tcPr>
            <w:tcW w:w="1134" w:type="dxa"/>
            <w:noWrap w:val="0"/>
            <w:vAlign w:val="center"/>
          </w:tcPr>
          <w:p w14:paraId="34F0F783">
            <w:pPr>
              <w:spacing w:after="0"/>
              <w:jc w:val="center"/>
              <w:rPr>
                <w:rFonts w:hint="eastAsia" w:ascii="宋体" w:hAnsi="宋体" w:eastAsia="宋体" w:cs="宋体"/>
                <w:color w:val="auto"/>
                <w:sz w:val="24"/>
                <w:szCs w:val="24"/>
              </w:rPr>
            </w:pPr>
          </w:p>
        </w:tc>
      </w:tr>
      <w:tr w14:paraId="7ACB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49" w:hRule="atLeast"/>
        </w:trPr>
        <w:tc>
          <w:tcPr>
            <w:tcW w:w="1711" w:type="dxa"/>
            <w:noWrap w:val="0"/>
            <w:vAlign w:val="center"/>
          </w:tcPr>
          <w:p w14:paraId="11C6A0F0">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该分包</w:t>
            </w:r>
          </w:p>
          <w:p w14:paraId="22A19801">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人员岗位配置方案详细说明</w:t>
            </w:r>
          </w:p>
        </w:tc>
        <w:tc>
          <w:tcPr>
            <w:tcW w:w="8222" w:type="dxa"/>
            <w:gridSpan w:val="8"/>
            <w:noWrap w:val="0"/>
            <w:vAlign w:val="center"/>
          </w:tcPr>
          <w:p w14:paraId="3B2464DA">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（此处请对该分包人员岗位配置方案进行详细说明）</w:t>
            </w:r>
          </w:p>
        </w:tc>
      </w:tr>
    </w:tbl>
    <w:p w14:paraId="4D98827F">
      <w:pPr>
        <w:spacing w:after="0" w:line="500" w:lineRule="exact"/>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注：1、投标人应</w:t>
      </w:r>
      <w:r>
        <w:rPr>
          <w:rFonts w:hint="eastAsia" w:ascii="宋体" w:hAnsi="宋体" w:eastAsia="宋体" w:cs="宋体"/>
          <w:color w:val="auto"/>
          <w:sz w:val="24"/>
          <w:szCs w:val="24"/>
        </w:rPr>
        <w:t>根据拟投入</w:t>
      </w:r>
      <w:r>
        <w:rPr>
          <w:rFonts w:hint="eastAsia" w:ascii="宋体" w:hAnsi="宋体" w:eastAsia="宋体" w:cs="宋体"/>
          <w:bCs w:val="0"/>
          <w:color w:val="auto"/>
          <w:sz w:val="24"/>
          <w:szCs w:val="24"/>
        </w:rPr>
        <w:t>分包的</w:t>
      </w:r>
      <w:r>
        <w:rPr>
          <w:rFonts w:hint="eastAsia" w:ascii="宋体" w:hAnsi="宋体" w:eastAsia="宋体" w:cs="宋体"/>
          <w:color w:val="auto"/>
          <w:sz w:val="24"/>
          <w:szCs w:val="24"/>
        </w:rPr>
        <w:t>人员情况、据实分别填报上述表格</w:t>
      </w:r>
      <w:r>
        <w:rPr>
          <w:rFonts w:hint="eastAsia" w:ascii="宋体" w:hAnsi="宋体" w:eastAsia="宋体" w:cs="宋体"/>
          <w:bCs w:val="0"/>
          <w:color w:val="auto"/>
          <w:sz w:val="24"/>
          <w:szCs w:val="24"/>
        </w:rPr>
        <w:t>。</w:t>
      </w:r>
    </w:p>
    <w:p w14:paraId="0C3BF3EF">
      <w:pPr>
        <w:spacing w:after="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2、投标文件中须提供投标人为以上人员缴纳的近三个月中任意一个月的社保证明材料或劳动合同以及持证保洁人员行业主管部门颁发的合格有效证书或文书。</w:t>
      </w:r>
    </w:p>
    <w:p w14:paraId="5BF6B5E8">
      <w:pPr>
        <w:spacing w:after="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3、投标文件中须提供以上人员的身份证扫描件。</w:t>
      </w:r>
    </w:p>
    <w:p w14:paraId="57FC9EEF">
      <w:pPr>
        <w:spacing w:after="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4、</w:t>
      </w:r>
      <w:r>
        <w:rPr>
          <w:rFonts w:hint="eastAsia" w:ascii="宋体" w:hAnsi="宋体" w:eastAsia="宋体" w:cs="宋体"/>
          <w:b/>
          <w:bCs w:val="0"/>
          <w:color w:val="auto"/>
          <w:kern w:val="2"/>
          <w:sz w:val="24"/>
          <w:szCs w:val="24"/>
        </w:rPr>
        <w:t>投标文件中须提供项目管理人员</w:t>
      </w:r>
      <w:r>
        <w:rPr>
          <w:rFonts w:hint="eastAsia" w:ascii="宋体" w:hAnsi="宋体" w:eastAsia="宋体" w:cs="宋体"/>
          <w:b/>
          <w:color w:val="auto"/>
          <w:sz w:val="24"/>
          <w:szCs w:val="24"/>
        </w:rPr>
        <w:t>服务管理经验的</w:t>
      </w:r>
      <w:r>
        <w:rPr>
          <w:rFonts w:hint="eastAsia" w:ascii="宋体" w:hAnsi="宋体" w:eastAsia="宋体" w:cs="宋体"/>
          <w:b/>
          <w:bCs w:val="0"/>
          <w:color w:val="auto"/>
          <w:kern w:val="2"/>
          <w:sz w:val="24"/>
          <w:szCs w:val="24"/>
        </w:rPr>
        <w:t>证明材料</w:t>
      </w:r>
      <w:r>
        <w:rPr>
          <w:rFonts w:hint="eastAsia" w:ascii="宋体" w:hAnsi="宋体" w:eastAsia="宋体" w:cs="宋体"/>
          <w:b/>
          <w:color w:val="auto"/>
          <w:kern w:val="2"/>
          <w:sz w:val="24"/>
          <w:szCs w:val="24"/>
        </w:rPr>
        <w:t>扫描件</w:t>
      </w:r>
      <w:r>
        <w:rPr>
          <w:rFonts w:hint="eastAsia" w:ascii="宋体" w:hAnsi="宋体" w:eastAsia="宋体" w:cs="宋体"/>
          <w:b/>
          <w:bCs w:val="0"/>
          <w:color w:val="auto"/>
          <w:kern w:val="2"/>
          <w:sz w:val="24"/>
          <w:szCs w:val="24"/>
        </w:rPr>
        <w:t>（</w:t>
      </w:r>
      <w:r>
        <w:rPr>
          <w:rFonts w:hint="eastAsia" w:ascii="宋体" w:hAnsi="宋体" w:eastAsia="宋体" w:cs="宋体"/>
          <w:b/>
          <w:color w:val="auto"/>
          <w:sz w:val="24"/>
          <w:szCs w:val="24"/>
        </w:rPr>
        <w:t>需加盖单位公章（不限工作单位））</w:t>
      </w:r>
    </w:p>
    <w:p w14:paraId="13C5F430">
      <w:pPr>
        <w:spacing w:after="0"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5、请投标人对该分包人员岗位配置方案进行详细说明。</w:t>
      </w:r>
    </w:p>
    <w:p w14:paraId="55F104DA">
      <w:pPr>
        <w:spacing w:after="0"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6、因表述含糊导致的评标风险将由投标人承担。</w:t>
      </w:r>
    </w:p>
    <w:p w14:paraId="616ED3AD">
      <w:pPr>
        <w:spacing w:after="0"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7、如有需要说明的事项，请在备注中列明。</w:t>
      </w:r>
    </w:p>
    <w:p w14:paraId="5656947A">
      <w:pPr>
        <w:widowControl w:val="0"/>
        <w:spacing w:after="0" w:line="440" w:lineRule="exact"/>
        <w:ind w:firstLine="482" w:firstLineChars="200"/>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8、每个分包单独提供一份表格。</w:t>
      </w:r>
    </w:p>
    <w:p w14:paraId="3D44C795">
      <w:pPr>
        <w:shd w:val="clear"/>
        <w:spacing w:line="440" w:lineRule="exact"/>
        <w:ind w:firstLine="422" w:firstLineChars="200"/>
        <w:rPr>
          <w:b/>
          <w:bCs/>
          <w:color w:val="auto"/>
          <w:highlight w:val="none"/>
        </w:rPr>
      </w:pPr>
      <w:r>
        <w:rPr>
          <w:rFonts w:hint="eastAsia"/>
          <w:b/>
          <w:bCs/>
          <w:color w:val="auto"/>
          <w:highlight w:val="none"/>
        </w:rPr>
        <w:br w:type="page"/>
      </w:r>
      <w:bookmarkEnd w:id="334"/>
      <w:bookmarkEnd w:id="335"/>
      <w:bookmarkEnd w:id="336"/>
      <w:bookmarkEnd w:id="337"/>
    </w:p>
    <w:p w14:paraId="56FA8275">
      <w:pPr>
        <w:pStyle w:val="8"/>
        <w:shd w:val="clear"/>
        <w:rPr>
          <w:rFonts w:eastAsia="宋体"/>
          <w:color w:val="auto"/>
          <w:highlight w:val="none"/>
        </w:rPr>
      </w:pPr>
      <w:bookmarkStart w:id="339" w:name="_Toc26809"/>
      <w:r>
        <w:rPr>
          <w:rFonts w:hint="eastAsia" w:eastAsia="宋体"/>
          <w:color w:val="auto"/>
          <w:highlight w:val="none"/>
        </w:rPr>
        <w:t>附件1</w:t>
      </w:r>
      <w:r>
        <w:rPr>
          <w:rFonts w:hint="eastAsia" w:eastAsia="宋体"/>
          <w:color w:val="auto"/>
          <w:highlight w:val="none"/>
          <w:lang w:val="en-US" w:eastAsia="zh-CN"/>
        </w:rPr>
        <w:t>4</w:t>
      </w:r>
      <w:r>
        <w:rPr>
          <w:rFonts w:hint="eastAsia" w:eastAsia="宋体"/>
          <w:color w:val="auto"/>
          <w:highlight w:val="none"/>
        </w:rPr>
        <w:t xml:space="preserve"> 设备配备一览表</w:t>
      </w:r>
      <w:bookmarkEnd w:id="339"/>
    </w:p>
    <w:p w14:paraId="45E8E85C">
      <w:pPr>
        <w:widowControl w:val="0"/>
        <w:spacing w:after="0" w:line="240" w:lineRule="auto"/>
        <w:jc w:val="center"/>
        <w:rPr>
          <w:rFonts w:hint="eastAsia" w:ascii="宋体" w:hAnsi="宋体" w:eastAsia="宋体" w:cs="宋体"/>
          <w:b/>
          <w:bCs w:val="0"/>
          <w:color w:val="auto"/>
          <w:kern w:val="2"/>
          <w:sz w:val="24"/>
          <w:szCs w:val="24"/>
        </w:rPr>
      </w:pPr>
      <w:r>
        <w:rPr>
          <w:rFonts w:hint="eastAsia" w:ascii="宋体" w:hAnsi="宋体" w:eastAsia="宋体" w:cs="宋体"/>
          <w:b/>
          <w:bCs w:val="0"/>
          <w:color w:val="auto"/>
          <w:kern w:val="2"/>
          <w:sz w:val="24"/>
          <w:szCs w:val="24"/>
        </w:rPr>
        <w:t>第</w:t>
      </w:r>
      <w:r>
        <w:rPr>
          <w:rFonts w:hint="eastAsia" w:ascii="宋体" w:hAnsi="宋体" w:eastAsia="宋体" w:cs="宋体"/>
          <w:b/>
          <w:bCs w:val="0"/>
          <w:color w:val="auto"/>
          <w:kern w:val="2"/>
          <w:sz w:val="24"/>
          <w:szCs w:val="24"/>
          <w:u w:val="single"/>
        </w:rPr>
        <w:t xml:space="preserve">   </w:t>
      </w:r>
      <w:r>
        <w:rPr>
          <w:rFonts w:hint="eastAsia" w:ascii="宋体" w:hAnsi="宋体" w:eastAsia="宋体" w:cs="宋体"/>
          <w:b/>
          <w:bCs w:val="0"/>
          <w:color w:val="auto"/>
          <w:kern w:val="2"/>
          <w:sz w:val="24"/>
          <w:szCs w:val="24"/>
        </w:rPr>
        <w:t>包拟投入作业船只情况一览表</w:t>
      </w:r>
    </w:p>
    <w:tbl>
      <w:tblPr>
        <w:tblStyle w:val="54"/>
        <w:tblW w:w="99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986"/>
        <w:gridCol w:w="996"/>
        <w:gridCol w:w="780"/>
        <w:gridCol w:w="1068"/>
        <w:gridCol w:w="1198"/>
        <w:gridCol w:w="1276"/>
        <w:gridCol w:w="1134"/>
        <w:gridCol w:w="1134"/>
      </w:tblGrid>
      <w:tr w14:paraId="21A08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1404" w:type="dxa"/>
            <w:noWrap w:val="0"/>
            <w:vAlign w:val="center"/>
          </w:tcPr>
          <w:p w14:paraId="20C52E5F">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船只类别</w:t>
            </w:r>
          </w:p>
        </w:tc>
        <w:tc>
          <w:tcPr>
            <w:tcW w:w="986" w:type="dxa"/>
            <w:noWrap w:val="0"/>
            <w:vAlign w:val="center"/>
          </w:tcPr>
          <w:p w14:paraId="625A118D">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996" w:type="dxa"/>
            <w:noWrap w:val="0"/>
            <w:vAlign w:val="center"/>
          </w:tcPr>
          <w:p w14:paraId="352C96D1">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船只</w:t>
            </w:r>
          </w:p>
          <w:p w14:paraId="040A1258">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名称</w:t>
            </w:r>
          </w:p>
        </w:tc>
        <w:tc>
          <w:tcPr>
            <w:tcW w:w="780" w:type="dxa"/>
            <w:noWrap w:val="0"/>
            <w:vAlign w:val="center"/>
          </w:tcPr>
          <w:p w14:paraId="753278E7">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品牌型号</w:t>
            </w:r>
          </w:p>
        </w:tc>
        <w:tc>
          <w:tcPr>
            <w:tcW w:w="1068" w:type="dxa"/>
            <w:noWrap w:val="0"/>
            <w:vAlign w:val="center"/>
          </w:tcPr>
          <w:p w14:paraId="0FFB741B">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数量</w:t>
            </w:r>
          </w:p>
        </w:tc>
        <w:tc>
          <w:tcPr>
            <w:tcW w:w="1198" w:type="dxa"/>
            <w:noWrap w:val="0"/>
            <w:vAlign w:val="center"/>
          </w:tcPr>
          <w:p w14:paraId="0303E724">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主要技术性能参数</w:t>
            </w:r>
          </w:p>
        </w:tc>
        <w:tc>
          <w:tcPr>
            <w:tcW w:w="1276" w:type="dxa"/>
            <w:noWrap w:val="0"/>
            <w:vAlign w:val="center"/>
          </w:tcPr>
          <w:p w14:paraId="34D0AAE8">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自有/租赁</w:t>
            </w:r>
          </w:p>
        </w:tc>
        <w:tc>
          <w:tcPr>
            <w:tcW w:w="1134" w:type="dxa"/>
            <w:noWrap w:val="0"/>
            <w:vAlign w:val="center"/>
          </w:tcPr>
          <w:p w14:paraId="21754011">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船舶证书编号</w:t>
            </w:r>
          </w:p>
        </w:tc>
        <w:tc>
          <w:tcPr>
            <w:tcW w:w="1134" w:type="dxa"/>
            <w:noWrap w:val="0"/>
            <w:vAlign w:val="center"/>
          </w:tcPr>
          <w:p w14:paraId="4A33502C">
            <w:pPr>
              <w:spacing w:after="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tc>
      </w:tr>
      <w:tr w14:paraId="3A5B5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vMerge w:val="restart"/>
            <w:noWrap w:val="0"/>
            <w:vAlign w:val="center"/>
          </w:tcPr>
          <w:p w14:paraId="20F9447D">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常规机动船只（铁壳平底船）</w:t>
            </w:r>
          </w:p>
        </w:tc>
        <w:tc>
          <w:tcPr>
            <w:tcW w:w="986" w:type="dxa"/>
            <w:noWrap w:val="0"/>
            <w:vAlign w:val="center"/>
          </w:tcPr>
          <w:p w14:paraId="17AAB174">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996" w:type="dxa"/>
            <w:noWrap w:val="0"/>
            <w:vAlign w:val="center"/>
          </w:tcPr>
          <w:p w14:paraId="37600131">
            <w:pPr>
              <w:spacing w:after="0"/>
              <w:jc w:val="center"/>
              <w:rPr>
                <w:rFonts w:hint="eastAsia" w:ascii="宋体" w:hAnsi="宋体" w:eastAsia="宋体" w:cs="宋体"/>
                <w:color w:val="auto"/>
                <w:sz w:val="24"/>
                <w:szCs w:val="24"/>
              </w:rPr>
            </w:pPr>
          </w:p>
        </w:tc>
        <w:tc>
          <w:tcPr>
            <w:tcW w:w="780" w:type="dxa"/>
            <w:noWrap w:val="0"/>
            <w:vAlign w:val="center"/>
          </w:tcPr>
          <w:p w14:paraId="5391078A">
            <w:pPr>
              <w:spacing w:after="0"/>
              <w:jc w:val="center"/>
              <w:rPr>
                <w:rFonts w:hint="eastAsia" w:ascii="宋体" w:hAnsi="宋体" w:eastAsia="宋体" w:cs="宋体"/>
                <w:color w:val="auto"/>
                <w:sz w:val="24"/>
                <w:szCs w:val="24"/>
              </w:rPr>
            </w:pPr>
          </w:p>
        </w:tc>
        <w:tc>
          <w:tcPr>
            <w:tcW w:w="1068" w:type="dxa"/>
            <w:noWrap w:val="0"/>
            <w:vAlign w:val="center"/>
          </w:tcPr>
          <w:p w14:paraId="48952E1C">
            <w:pPr>
              <w:spacing w:after="0"/>
              <w:jc w:val="center"/>
              <w:rPr>
                <w:rFonts w:hint="eastAsia" w:ascii="宋体" w:hAnsi="宋体" w:eastAsia="宋体" w:cs="宋体"/>
                <w:color w:val="auto"/>
                <w:sz w:val="24"/>
                <w:szCs w:val="24"/>
              </w:rPr>
            </w:pPr>
          </w:p>
        </w:tc>
        <w:tc>
          <w:tcPr>
            <w:tcW w:w="1198" w:type="dxa"/>
            <w:noWrap w:val="0"/>
            <w:vAlign w:val="center"/>
          </w:tcPr>
          <w:p w14:paraId="07EBD665">
            <w:pPr>
              <w:spacing w:after="0"/>
              <w:jc w:val="center"/>
              <w:rPr>
                <w:rFonts w:hint="eastAsia" w:ascii="宋体" w:hAnsi="宋体" w:eastAsia="宋体" w:cs="宋体"/>
                <w:color w:val="auto"/>
                <w:sz w:val="24"/>
                <w:szCs w:val="24"/>
              </w:rPr>
            </w:pPr>
          </w:p>
        </w:tc>
        <w:tc>
          <w:tcPr>
            <w:tcW w:w="1276" w:type="dxa"/>
            <w:noWrap w:val="0"/>
            <w:vAlign w:val="center"/>
          </w:tcPr>
          <w:p w14:paraId="7946616C">
            <w:pPr>
              <w:spacing w:after="0"/>
              <w:jc w:val="center"/>
              <w:rPr>
                <w:rFonts w:hint="eastAsia" w:ascii="宋体" w:hAnsi="宋体" w:eastAsia="宋体" w:cs="宋体"/>
                <w:color w:val="auto"/>
                <w:sz w:val="24"/>
                <w:szCs w:val="24"/>
              </w:rPr>
            </w:pPr>
          </w:p>
        </w:tc>
        <w:tc>
          <w:tcPr>
            <w:tcW w:w="1134" w:type="dxa"/>
            <w:noWrap w:val="0"/>
            <w:vAlign w:val="top"/>
          </w:tcPr>
          <w:p w14:paraId="74C1E290">
            <w:pPr>
              <w:spacing w:after="0"/>
              <w:jc w:val="center"/>
              <w:rPr>
                <w:rFonts w:hint="eastAsia" w:ascii="宋体" w:hAnsi="宋体" w:eastAsia="宋体" w:cs="宋体"/>
                <w:color w:val="auto"/>
                <w:sz w:val="24"/>
                <w:szCs w:val="24"/>
              </w:rPr>
            </w:pPr>
          </w:p>
        </w:tc>
        <w:tc>
          <w:tcPr>
            <w:tcW w:w="1134" w:type="dxa"/>
            <w:noWrap w:val="0"/>
            <w:vAlign w:val="center"/>
          </w:tcPr>
          <w:p w14:paraId="50D5C989">
            <w:pPr>
              <w:spacing w:after="0"/>
              <w:jc w:val="center"/>
              <w:rPr>
                <w:rFonts w:hint="eastAsia" w:ascii="宋体" w:hAnsi="宋体" w:eastAsia="宋体" w:cs="宋体"/>
                <w:color w:val="auto"/>
                <w:sz w:val="24"/>
                <w:szCs w:val="24"/>
              </w:rPr>
            </w:pPr>
          </w:p>
        </w:tc>
      </w:tr>
      <w:tr w14:paraId="476FF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vMerge w:val="continue"/>
            <w:noWrap w:val="0"/>
            <w:vAlign w:val="center"/>
          </w:tcPr>
          <w:p w14:paraId="69003BFA">
            <w:pPr>
              <w:jc w:val="center"/>
              <w:rPr>
                <w:rFonts w:hint="eastAsia" w:ascii="宋体" w:hAnsi="宋体" w:eastAsia="宋体" w:cs="宋体"/>
                <w:color w:val="auto"/>
                <w:sz w:val="24"/>
                <w:szCs w:val="24"/>
              </w:rPr>
            </w:pPr>
          </w:p>
        </w:tc>
        <w:tc>
          <w:tcPr>
            <w:tcW w:w="986" w:type="dxa"/>
            <w:noWrap w:val="0"/>
            <w:vAlign w:val="center"/>
          </w:tcPr>
          <w:p w14:paraId="7FA48A25">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996" w:type="dxa"/>
            <w:noWrap w:val="0"/>
            <w:vAlign w:val="center"/>
          </w:tcPr>
          <w:p w14:paraId="41402AEB">
            <w:pPr>
              <w:spacing w:after="0"/>
              <w:jc w:val="center"/>
              <w:rPr>
                <w:rFonts w:hint="eastAsia" w:ascii="宋体" w:hAnsi="宋体" w:eastAsia="宋体" w:cs="宋体"/>
                <w:color w:val="auto"/>
                <w:sz w:val="24"/>
                <w:szCs w:val="24"/>
              </w:rPr>
            </w:pPr>
          </w:p>
        </w:tc>
        <w:tc>
          <w:tcPr>
            <w:tcW w:w="780" w:type="dxa"/>
            <w:noWrap w:val="0"/>
            <w:vAlign w:val="center"/>
          </w:tcPr>
          <w:p w14:paraId="1C01A509">
            <w:pPr>
              <w:spacing w:after="0"/>
              <w:jc w:val="center"/>
              <w:rPr>
                <w:rFonts w:hint="eastAsia" w:ascii="宋体" w:hAnsi="宋体" w:eastAsia="宋体" w:cs="宋体"/>
                <w:color w:val="auto"/>
                <w:sz w:val="24"/>
                <w:szCs w:val="24"/>
              </w:rPr>
            </w:pPr>
          </w:p>
        </w:tc>
        <w:tc>
          <w:tcPr>
            <w:tcW w:w="1068" w:type="dxa"/>
            <w:noWrap w:val="0"/>
            <w:vAlign w:val="center"/>
          </w:tcPr>
          <w:p w14:paraId="7F0EFEAB">
            <w:pPr>
              <w:spacing w:after="0"/>
              <w:jc w:val="center"/>
              <w:rPr>
                <w:rFonts w:hint="eastAsia" w:ascii="宋体" w:hAnsi="宋体" w:eastAsia="宋体" w:cs="宋体"/>
                <w:color w:val="auto"/>
                <w:sz w:val="24"/>
                <w:szCs w:val="24"/>
              </w:rPr>
            </w:pPr>
          </w:p>
        </w:tc>
        <w:tc>
          <w:tcPr>
            <w:tcW w:w="1198" w:type="dxa"/>
            <w:noWrap w:val="0"/>
            <w:vAlign w:val="center"/>
          </w:tcPr>
          <w:p w14:paraId="58D41B2C">
            <w:pPr>
              <w:spacing w:after="0"/>
              <w:jc w:val="center"/>
              <w:rPr>
                <w:rFonts w:hint="eastAsia" w:ascii="宋体" w:hAnsi="宋体" w:eastAsia="宋体" w:cs="宋体"/>
                <w:color w:val="auto"/>
                <w:sz w:val="24"/>
                <w:szCs w:val="24"/>
              </w:rPr>
            </w:pPr>
          </w:p>
        </w:tc>
        <w:tc>
          <w:tcPr>
            <w:tcW w:w="1276" w:type="dxa"/>
            <w:noWrap w:val="0"/>
            <w:vAlign w:val="center"/>
          </w:tcPr>
          <w:p w14:paraId="3C282068">
            <w:pPr>
              <w:spacing w:after="0"/>
              <w:jc w:val="center"/>
              <w:rPr>
                <w:rFonts w:hint="eastAsia" w:ascii="宋体" w:hAnsi="宋体" w:eastAsia="宋体" w:cs="宋体"/>
                <w:color w:val="auto"/>
                <w:sz w:val="24"/>
                <w:szCs w:val="24"/>
              </w:rPr>
            </w:pPr>
          </w:p>
        </w:tc>
        <w:tc>
          <w:tcPr>
            <w:tcW w:w="1134" w:type="dxa"/>
            <w:noWrap w:val="0"/>
            <w:vAlign w:val="top"/>
          </w:tcPr>
          <w:p w14:paraId="2B2FB901">
            <w:pPr>
              <w:spacing w:after="0"/>
              <w:jc w:val="center"/>
              <w:rPr>
                <w:rFonts w:hint="eastAsia" w:ascii="宋体" w:hAnsi="宋体" w:eastAsia="宋体" w:cs="宋体"/>
                <w:color w:val="auto"/>
                <w:sz w:val="24"/>
                <w:szCs w:val="24"/>
              </w:rPr>
            </w:pPr>
          </w:p>
        </w:tc>
        <w:tc>
          <w:tcPr>
            <w:tcW w:w="1134" w:type="dxa"/>
            <w:noWrap w:val="0"/>
            <w:vAlign w:val="center"/>
          </w:tcPr>
          <w:p w14:paraId="2E298690">
            <w:pPr>
              <w:spacing w:after="0"/>
              <w:jc w:val="center"/>
              <w:rPr>
                <w:rFonts w:hint="eastAsia" w:ascii="宋体" w:hAnsi="宋体" w:eastAsia="宋体" w:cs="宋体"/>
                <w:color w:val="auto"/>
                <w:sz w:val="24"/>
                <w:szCs w:val="24"/>
              </w:rPr>
            </w:pPr>
          </w:p>
        </w:tc>
      </w:tr>
      <w:tr w14:paraId="78E87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vMerge w:val="continue"/>
            <w:noWrap w:val="0"/>
            <w:vAlign w:val="center"/>
          </w:tcPr>
          <w:p w14:paraId="26A6A9D6">
            <w:pPr>
              <w:jc w:val="center"/>
              <w:rPr>
                <w:rFonts w:hint="eastAsia" w:ascii="宋体" w:hAnsi="宋体" w:eastAsia="宋体" w:cs="宋体"/>
                <w:color w:val="auto"/>
                <w:sz w:val="24"/>
                <w:szCs w:val="24"/>
              </w:rPr>
            </w:pPr>
          </w:p>
        </w:tc>
        <w:tc>
          <w:tcPr>
            <w:tcW w:w="986" w:type="dxa"/>
            <w:noWrap w:val="0"/>
            <w:vAlign w:val="center"/>
          </w:tcPr>
          <w:p w14:paraId="208278DE">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996" w:type="dxa"/>
            <w:noWrap w:val="0"/>
            <w:vAlign w:val="center"/>
          </w:tcPr>
          <w:p w14:paraId="476B4897">
            <w:pPr>
              <w:spacing w:after="0"/>
              <w:jc w:val="center"/>
              <w:rPr>
                <w:rFonts w:hint="eastAsia" w:ascii="宋体" w:hAnsi="宋体" w:eastAsia="宋体" w:cs="宋体"/>
                <w:color w:val="auto"/>
                <w:sz w:val="24"/>
                <w:szCs w:val="24"/>
              </w:rPr>
            </w:pPr>
          </w:p>
        </w:tc>
        <w:tc>
          <w:tcPr>
            <w:tcW w:w="780" w:type="dxa"/>
            <w:noWrap w:val="0"/>
            <w:vAlign w:val="center"/>
          </w:tcPr>
          <w:p w14:paraId="304E1E1F">
            <w:pPr>
              <w:spacing w:after="0"/>
              <w:jc w:val="center"/>
              <w:rPr>
                <w:rFonts w:hint="eastAsia" w:ascii="宋体" w:hAnsi="宋体" w:eastAsia="宋体" w:cs="宋体"/>
                <w:color w:val="auto"/>
                <w:sz w:val="24"/>
                <w:szCs w:val="24"/>
              </w:rPr>
            </w:pPr>
          </w:p>
        </w:tc>
        <w:tc>
          <w:tcPr>
            <w:tcW w:w="1068" w:type="dxa"/>
            <w:noWrap w:val="0"/>
            <w:vAlign w:val="center"/>
          </w:tcPr>
          <w:p w14:paraId="08F341C5">
            <w:pPr>
              <w:spacing w:after="0"/>
              <w:jc w:val="center"/>
              <w:rPr>
                <w:rFonts w:hint="eastAsia" w:ascii="宋体" w:hAnsi="宋体" w:eastAsia="宋体" w:cs="宋体"/>
                <w:color w:val="auto"/>
                <w:sz w:val="24"/>
                <w:szCs w:val="24"/>
              </w:rPr>
            </w:pPr>
          </w:p>
        </w:tc>
        <w:tc>
          <w:tcPr>
            <w:tcW w:w="1198" w:type="dxa"/>
            <w:noWrap w:val="0"/>
            <w:vAlign w:val="center"/>
          </w:tcPr>
          <w:p w14:paraId="7CE56290">
            <w:pPr>
              <w:spacing w:after="0"/>
              <w:jc w:val="center"/>
              <w:rPr>
                <w:rFonts w:hint="eastAsia" w:ascii="宋体" w:hAnsi="宋体" w:eastAsia="宋体" w:cs="宋体"/>
                <w:color w:val="auto"/>
                <w:sz w:val="24"/>
                <w:szCs w:val="24"/>
              </w:rPr>
            </w:pPr>
          </w:p>
        </w:tc>
        <w:tc>
          <w:tcPr>
            <w:tcW w:w="1276" w:type="dxa"/>
            <w:noWrap w:val="0"/>
            <w:vAlign w:val="center"/>
          </w:tcPr>
          <w:p w14:paraId="752CF799">
            <w:pPr>
              <w:spacing w:after="0"/>
              <w:jc w:val="center"/>
              <w:rPr>
                <w:rFonts w:hint="eastAsia" w:ascii="宋体" w:hAnsi="宋体" w:eastAsia="宋体" w:cs="宋体"/>
                <w:color w:val="auto"/>
                <w:sz w:val="24"/>
                <w:szCs w:val="24"/>
              </w:rPr>
            </w:pPr>
          </w:p>
        </w:tc>
        <w:tc>
          <w:tcPr>
            <w:tcW w:w="1134" w:type="dxa"/>
            <w:noWrap w:val="0"/>
            <w:vAlign w:val="top"/>
          </w:tcPr>
          <w:p w14:paraId="55D43065">
            <w:pPr>
              <w:spacing w:after="0"/>
              <w:jc w:val="center"/>
              <w:rPr>
                <w:rFonts w:hint="eastAsia" w:ascii="宋体" w:hAnsi="宋体" w:eastAsia="宋体" w:cs="宋体"/>
                <w:color w:val="auto"/>
                <w:sz w:val="24"/>
                <w:szCs w:val="24"/>
              </w:rPr>
            </w:pPr>
          </w:p>
        </w:tc>
        <w:tc>
          <w:tcPr>
            <w:tcW w:w="1134" w:type="dxa"/>
            <w:noWrap w:val="0"/>
            <w:vAlign w:val="center"/>
          </w:tcPr>
          <w:p w14:paraId="3DF1BFE6">
            <w:pPr>
              <w:spacing w:after="0"/>
              <w:jc w:val="center"/>
              <w:rPr>
                <w:rFonts w:hint="eastAsia" w:ascii="宋体" w:hAnsi="宋体" w:eastAsia="宋体" w:cs="宋体"/>
                <w:color w:val="auto"/>
                <w:sz w:val="24"/>
                <w:szCs w:val="24"/>
              </w:rPr>
            </w:pPr>
          </w:p>
        </w:tc>
      </w:tr>
      <w:tr w14:paraId="482DA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vMerge w:val="restart"/>
            <w:noWrap w:val="0"/>
            <w:vAlign w:val="center"/>
          </w:tcPr>
          <w:p w14:paraId="68166426">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全自动水面清洁船</w:t>
            </w:r>
          </w:p>
        </w:tc>
        <w:tc>
          <w:tcPr>
            <w:tcW w:w="986" w:type="dxa"/>
            <w:noWrap w:val="0"/>
            <w:vAlign w:val="center"/>
          </w:tcPr>
          <w:p w14:paraId="65BA03DB">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996" w:type="dxa"/>
            <w:noWrap w:val="0"/>
            <w:vAlign w:val="center"/>
          </w:tcPr>
          <w:p w14:paraId="4F469125">
            <w:pPr>
              <w:spacing w:after="0"/>
              <w:jc w:val="center"/>
              <w:rPr>
                <w:rFonts w:hint="eastAsia" w:ascii="宋体" w:hAnsi="宋体" w:eastAsia="宋体" w:cs="宋体"/>
                <w:color w:val="auto"/>
                <w:sz w:val="24"/>
                <w:szCs w:val="24"/>
              </w:rPr>
            </w:pPr>
          </w:p>
        </w:tc>
        <w:tc>
          <w:tcPr>
            <w:tcW w:w="780" w:type="dxa"/>
            <w:noWrap w:val="0"/>
            <w:vAlign w:val="center"/>
          </w:tcPr>
          <w:p w14:paraId="6892A5C2">
            <w:pPr>
              <w:spacing w:after="0"/>
              <w:jc w:val="center"/>
              <w:rPr>
                <w:rFonts w:hint="eastAsia" w:ascii="宋体" w:hAnsi="宋体" w:eastAsia="宋体" w:cs="宋体"/>
                <w:color w:val="auto"/>
                <w:sz w:val="24"/>
                <w:szCs w:val="24"/>
              </w:rPr>
            </w:pPr>
          </w:p>
        </w:tc>
        <w:tc>
          <w:tcPr>
            <w:tcW w:w="1068" w:type="dxa"/>
            <w:noWrap w:val="0"/>
            <w:vAlign w:val="center"/>
          </w:tcPr>
          <w:p w14:paraId="3A220C50">
            <w:pPr>
              <w:spacing w:after="0"/>
              <w:jc w:val="center"/>
              <w:rPr>
                <w:rFonts w:hint="eastAsia" w:ascii="宋体" w:hAnsi="宋体" w:eastAsia="宋体" w:cs="宋体"/>
                <w:color w:val="auto"/>
                <w:sz w:val="24"/>
                <w:szCs w:val="24"/>
              </w:rPr>
            </w:pPr>
          </w:p>
        </w:tc>
        <w:tc>
          <w:tcPr>
            <w:tcW w:w="1198" w:type="dxa"/>
            <w:noWrap w:val="0"/>
            <w:vAlign w:val="center"/>
          </w:tcPr>
          <w:p w14:paraId="0E9EFEA4">
            <w:pPr>
              <w:spacing w:after="0"/>
              <w:jc w:val="center"/>
              <w:rPr>
                <w:rFonts w:hint="eastAsia" w:ascii="宋体" w:hAnsi="宋体" w:eastAsia="宋体" w:cs="宋体"/>
                <w:color w:val="auto"/>
                <w:sz w:val="24"/>
                <w:szCs w:val="24"/>
              </w:rPr>
            </w:pPr>
          </w:p>
        </w:tc>
        <w:tc>
          <w:tcPr>
            <w:tcW w:w="1276" w:type="dxa"/>
            <w:noWrap w:val="0"/>
            <w:vAlign w:val="center"/>
          </w:tcPr>
          <w:p w14:paraId="1A656306">
            <w:pPr>
              <w:spacing w:after="0"/>
              <w:jc w:val="center"/>
              <w:rPr>
                <w:rFonts w:hint="eastAsia" w:ascii="宋体" w:hAnsi="宋体" w:eastAsia="宋体" w:cs="宋体"/>
                <w:color w:val="auto"/>
                <w:sz w:val="24"/>
                <w:szCs w:val="24"/>
              </w:rPr>
            </w:pPr>
          </w:p>
        </w:tc>
        <w:tc>
          <w:tcPr>
            <w:tcW w:w="1134" w:type="dxa"/>
            <w:noWrap w:val="0"/>
            <w:vAlign w:val="top"/>
          </w:tcPr>
          <w:p w14:paraId="614AE287">
            <w:pPr>
              <w:spacing w:after="0"/>
              <w:jc w:val="center"/>
              <w:rPr>
                <w:rFonts w:hint="eastAsia" w:ascii="宋体" w:hAnsi="宋体" w:eastAsia="宋体" w:cs="宋体"/>
                <w:color w:val="auto"/>
                <w:sz w:val="24"/>
                <w:szCs w:val="24"/>
              </w:rPr>
            </w:pPr>
          </w:p>
        </w:tc>
        <w:tc>
          <w:tcPr>
            <w:tcW w:w="1134" w:type="dxa"/>
            <w:noWrap w:val="0"/>
            <w:vAlign w:val="center"/>
          </w:tcPr>
          <w:p w14:paraId="02EECF7E">
            <w:pPr>
              <w:spacing w:after="0"/>
              <w:jc w:val="center"/>
              <w:rPr>
                <w:rFonts w:hint="eastAsia" w:ascii="宋体" w:hAnsi="宋体" w:eastAsia="宋体" w:cs="宋体"/>
                <w:color w:val="auto"/>
                <w:sz w:val="24"/>
                <w:szCs w:val="24"/>
              </w:rPr>
            </w:pPr>
          </w:p>
        </w:tc>
      </w:tr>
      <w:tr w14:paraId="13E7A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vMerge w:val="continue"/>
            <w:noWrap w:val="0"/>
            <w:vAlign w:val="center"/>
          </w:tcPr>
          <w:p w14:paraId="0C84FB36">
            <w:pPr>
              <w:jc w:val="center"/>
              <w:rPr>
                <w:rFonts w:hint="eastAsia" w:ascii="宋体" w:hAnsi="宋体" w:eastAsia="宋体" w:cs="宋体"/>
                <w:color w:val="auto"/>
                <w:sz w:val="24"/>
                <w:szCs w:val="24"/>
              </w:rPr>
            </w:pPr>
          </w:p>
        </w:tc>
        <w:tc>
          <w:tcPr>
            <w:tcW w:w="986" w:type="dxa"/>
            <w:noWrap w:val="0"/>
            <w:vAlign w:val="center"/>
          </w:tcPr>
          <w:p w14:paraId="35EC0223">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996" w:type="dxa"/>
            <w:noWrap w:val="0"/>
            <w:vAlign w:val="center"/>
          </w:tcPr>
          <w:p w14:paraId="27CE7EC0">
            <w:pPr>
              <w:spacing w:after="0"/>
              <w:jc w:val="center"/>
              <w:rPr>
                <w:rFonts w:hint="eastAsia" w:ascii="宋体" w:hAnsi="宋体" w:eastAsia="宋体" w:cs="宋体"/>
                <w:color w:val="auto"/>
                <w:sz w:val="24"/>
                <w:szCs w:val="24"/>
              </w:rPr>
            </w:pPr>
          </w:p>
        </w:tc>
        <w:tc>
          <w:tcPr>
            <w:tcW w:w="780" w:type="dxa"/>
            <w:noWrap w:val="0"/>
            <w:vAlign w:val="center"/>
          </w:tcPr>
          <w:p w14:paraId="0CE41ECC">
            <w:pPr>
              <w:spacing w:after="0"/>
              <w:jc w:val="center"/>
              <w:rPr>
                <w:rFonts w:hint="eastAsia" w:ascii="宋体" w:hAnsi="宋体" w:eastAsia="宋体" w:cs="宋体"/>
                <w:color w:val="auto"/>
                <w:sz w:val="24"/>
                <w:szCs w:val="24"/>
              </w:rPr>
            </w:pPr>
          </w:p>
        </w:tc>
        <w:tc>
          <w:tcPr>
            <w:tcW w:w="1068" w:type="dxa"/>
            <w:noWrap w:val="0"/>
            <w:vAlign w:val="center"/>
          </w:tcPr>
          <w:p w14:paraId="36200247">
            <w:pPr>
              <w:spacing w:after="0"/>
              <w:jc w:val="center"/>
              <w:rPr>
                <w:rFonts w:hint="eastAsia" w:ascii="宋体" w:hAnsi="宋体" w:eastAsia="宋体" w:cs="宋体"/>
                <w:color w:val="auto"/>
                <w:sz w:val="24"/>
                <w:szCs w:val="24"/>
              </w:rPr>
            </w:pPr>
          </w:p>
        </w:tc>
        <w:tc>
          <w:tcPr>
            <w:tcW w:w="1198" w:type="dxa"/>
            <w:noWrap w:val="0"/>
            <w:vAlign w:val="center"/>
          </w:tcPr>
          <w:p w14:paraId="1ED23A34">
            <w:pPr>
              <w:spacing w:after="0"/>
              <w:jc w:val="center"/>
              <w:rPr>
                <w:rFonts w:hint="eastAsia" w:ascii="宋体" w:hAnsi="宋体" w:eastAsia="宋体" w:cs="宋体"/>
                <w:color w:val="auto"/>
                <w:sz w:val="24"/>
                <w:szCs w:val="24"/>
              </w:rPr>
            </w:pPr>
          </w:p>
        </w:tc>
        <w:tc>
          <w:tcPr>
            <w:tcW w:w="1276" w:type="dxa"/>
            <w:noWrap w:val="0"/>
            <w:vAlign w:val="center"/>
          </w:tcPr>
          <w:p w14:paraId="28EB91EA">
            <w:pPr>
              <w:spacing w:after="0"/>
              <w:jc w:val="center"/>
              <w:rPr>
                <w:rFonts w:hint="eastAsia" w:ascii="宋体" w:hAnsi="宋体" w:eastAsia="宋体" w:cs="宋体"/>
                <w:color w:val="auto"/>
                <w:sz w:val="24"/>
                <w:szCs w:val="24"/>
              </w:rPr>
            </w:pPr>
          </w:p>
        </w:tc>
        <w:tc>
          <w:tcPr>
            <w:tcW w:w="1134" w:type="dxa"/>
            <w:noWrap w:val="0"/>
            <w:vAlign w:val="top"/>
          </w:tcPr>
          <w:p w14:paraId="60DF78C4">
            <w:pPr>
              <w:spacing w:after="0"/>
              <w:jc w:val="center"/>
              <w:rPr>
                <w:rFonts w:hint="eastAsia" w:ascii="宋体" w:hAnsi="宋体" w:eastAsia="宋体" w:cs="宋体"/>
                <w:color w:val="auto"/>
                <w:sz w:val="24"/>
                <w:szCs w:val="24"/>
              </w:rPr>
            </w:pPr>
          </w:p>
        </w:tc>
        <w:tc>
          <w:tcPr>
            <w:tcW w:w="1134" w:type="dxa"/>
            <w:noWrap w:val="0"/>
            <w:vAlign w:val="center"/>
          </w:tcPr>
          <w:p w14:paraId="150FA8CB">
            <w:pPr>
              <w:spacing w:after="0"/>
              <w:jc w:val="center"/>
              <w:rPr>
                <w:rFonts w:hint="eastAsia" w:ascii="宋体" w:hAnsi="宋体" w:eastAsia="宋体" w:cs="宋体"/>
                <w:color w:val="auto"/>
                <w:sz w:val="24"/>
                <w:szCs w:val="24"/>
              </w:rPr>
            </w:pPr>
          </w:p>
        </w:tc>
      </w:tr>
      <w:tr w14:paraId="4FC6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4" w:type="dxa"/>
            <w:vMerge w:val="continue"/>
            <w:noWrap w:val="0"/>
            <w:vAlign w:val="center"/>
          </w:tcPr>
          <w:p w14:paraId="74C76F42">
            <w:pPr>
              <w:jc w:val="center"/>
              <w:rPr>
                <w:rFonts w:hint="eastAsia" w:ascii="宋体" w:hAnsi="宋体" w:eastAsia="宋体" w:cs="宋体"/>
                <w:color w:val="auto"/>
                <w:sz w:val="24"/>
                <w:szCs w:val="24"/>
              </w:rPr>
            </w:pPr>
          </w:p>
        </w:tc>
        <w:tc>
          <w:tcPr>
            <w:tcW w:w="986" w:type="dxa"/>
            <w:noWrap w:val="0"/>
            <w:vAlign w:val="center"/>
          </w:tcPr>
          <w:p w14:paraId="297237CC">
            <w:pPr>
              <w:spacing w:after="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996" w:type="dxa"/>
            <w:noWrap w:val="0"/>
            <w:vAlign w:val="center"/>
          </w:tcPr>
          <w:p w14:paraId="59BEDE45">
            <w:pPr>
              <w:spacing w:after="0"/>
              <w:jc w:val="center"/>
              <w:rPr>
                <w:rFonts w:hint="eastAsia" w:ascii="宋体" w:hAnsi="宋体" w:eastAsia="宋体" w:cs="宋体"/>
                <w:color w:val="auto"/>
                <w:sz w:val="24"/>
                <w:szCs w:val="24"/>
              </w:rPr>
            </w:pPr>
          </w:p>
        </w:tc>
        <w:tc>
          <w:tcPr>
            <w:tcW w:w="780" w:type="dxa"/>
            <w:noWrap w:val="0"/>
            <w:vAlign w:val="center"/>
          </w:tcPr>
          <w:p w14:paraId="77A6C217">
            <w:pPr>
              <w:spacing w:after="0"/>
              <w:jc w:val="center"/>
              <w:rPr>
                <w:rFonts w:hint="eastAsia" w:ascii="宋体" w:hAnsi="宋体" w:eastAsia="宋体" w:cs="宋体"/>
                <w:color w:val="auto"/>
                <w:sz w:val="24"/>
                <w:szCs w:val="24"/>
              </w:rPr>
            </w:pPr>
          </w:p>
        </w:tc>
        <w:tc>
          <w:tcPr>
            <w:tcW w:w="1068" w:type="dxa"/>
            <w:noWrap w:val="0"/>
            <w:vAlign w:val="center"/>
          </w:tcPr>
          <w:p w14:paraId="62549E36">
            <w:pPr>
              <w:spacing w:after="0"/>
              <w:jc w:val="center"/>
              <w:rPr>
                <w:rFonts w:hint="eastAsia" w:ascii="宋体" w:hAnsi="宋体" w:eastAsia="宋体" w:cs="宋体"/>
                <w:color w:val="auto"/>
                <w:sz w:val="24"/>
                <w:szCs w:val="24"/>
              </w:rPr>
            </w:pPr>
          </w:p>
        </w:tc>
        <w:tc>
          <w:tcPr>
            <w:tcW w:w="1198" w:type="dxa"/>
            <w:noWrap w:val="0"/>
            <w:vAlign w:val="center"/>
          </w:tcPr>
          <w:p w14:paraId="084A2B90">
            <w:pPr>
              <w:spacing w:after="0"/>
              <w:jc w:val="center"/>
              <w:rPr>
                <w:rFonts w:hint="eastAsia" w:ascii="宋体" w:hAnsi="宋体" w:eastAsia="宋体" w:cs="宋体"/>
                <w:color w:val="auto"/>
                <w:sz w:val="24"/>
                <w:szCs w:val="24"/>
              </w:rPr>
            </w:pPr>
          </w:p>
        </w:tc>
        <w:tc>
          <w:tcPr>
            <w:tcW w:w="1276" w:type="dxa"/>
            <w:noWrap w:val="0"/>
            <w:vAlign w:val="center"/>
          </w:tcPr>
          <w:p w14:paraId="637E1281">
            <w:pPr>
              <w:spacing w:after="0"/>
              <w:jc w:val="center"/>
              <w:rPr>
                <w:rFonts w:hint="eastAsia" w:ascii="宋体" w:hAnsi="宋体" w:eastAsia="宋体" w:cs="宋体"/>
                <w:color w:val="auto"/>
                <w:sz w:val="24"/>
                <w:szCs w:val="24"/>
              </w:rPr>
            </w:pPr>
          </w:p>
        </w:tc>
        <w:tc>
          <w:tcPr>
            <w:tcW w:w="1134" w:type="dxa"/>
            <w:noWrap w:val="0"/>
            <w:vAlign w:val="top"/>
          </w:tcPr>
          <w:p w14:paraId="26B25197">
            <w:pPr>
              <w:spacing w:after="0"/>
              <w:jc w:val="center"/>
              <w:rPr>
                <w:rFonts w:hint="eastAsia" w:ascii="宋体" w:hAnsi="宋体" w:eastAsia="宋体" w:cs="宋体"/>
                <w:color w:val="auto"/>
                <w:sz w:val="24"/>
                <w:szCs w:val="24"/>
              </w:rPr>
            </w:pPr>
          </w:p>
        </w:tc>
        <w:tc>
          <w:tcPr>
            <w:tcW w:w="1134" w:type="dxa"/>
            <w:noWrap w:val="0"/>
            <w:vAlign w:val="center"/>
          </w:tcPr>
          <w:p w14:paraId="48FCA95D">
            <w:pPr>
              <w:spacing w:after="0"/>
              <w:jc w:val="center"/>
              <w:rPr>
                <w:rFonts w:hint="eastAsia" w:ascii="宋体" w:hAnsi="宋体" w:eastAsia="宋体" w:cs="宋体"/>
                <w:color w:val="auto"/>
                <w:sz w:val="24"/>
                <w:szCs w:val="24"/>
              </w:rPr>
            </w:pPr>
          </w:p>
        </w:tc>
      </w:tr>
    </w:tbl>
    <w:p w14:paraId="3BE2C01F">
      <w:pPr>
        <w:pStyle w:val="18"/>
        <w:overflowPunct w:val="0"/>
        <w:spacing w:after="0" w:line="480" w:lineRule="exact"/>
        <w:ind w:firstLine="0"/>
        <w:rPr>
          <w:rFonts w:hint="eastAsia" w:ascii="宋体" w:hAnsi="宋体" w:eastAsia="宋体" w:cs="宋体"/>
          <w:color w:val="auto"/>
          <w:sz w:val="24"/>
          <w:szCs w:val="24"/>
        </w:rPr>
      </w:pPr>
      <w:r>
        <w:rPr>
          <w:rFonts w:hint="eastAsia" w:ascii="宋体" w:hAnsi="宋体" w:eastAsia="宋体" w:cs="宋体"/>
          <w:color w:val="auto"/>
          <w:sz w:val="24"/>
          <w:szCs w:val="24"/>
        </w:rPr>
        <w:t>注：1、</w:t>
      </w:r>
      <w:r>
        <w:rPr>
          <w:rFonts w:hint="eastAsia" w:ascii="宋体" w:hAnsi="宋体" w:eastAsia="宋体" w:cs="宋体"/>
          <w:bCs/>
          <w:color w:val="auto"/>
          <w:sz w:val="24"/>
          <w:szCs w:val="24"/>
        </w:rPr>
        <w:t>投标人应</w:t>
      </w:r>
      <w:r>
        <w:rPr>
          <w:rFonts w:hint="eastAsia" w:ascii="宋体" w:hAnsi="宋体" w:eastAsia="宋体" w:cs="宋体"/>
          <w:color w:val="auto"/>
          <w:sz w:val="24"/>
          <w:szCs w:val="24"/>
        </w:rPr>
        <w:t>根据拟投入</w:t>
      </w:r>
      <w:r>
        <w:rPr>
          <w:rFonts w:hint="eastAsia" w:ascii="宋体" w:hAnsi="宋体" w:eastAsia="宋体" w:cs="宋体"/>
          <w:bCs/>
          <w:color w:val="auto"/>
          <w:sz w:val="24"/>
          <w:szCs w:val="24"/>
        </w:rPr>
        <w:t>分包的</w:t>
      </w:r>
      <w:r>
        <w:rPr>
          <w:rFonts w:hint="eastAsia" w:ascii="宋体" w:hAnsi="宋体" w:eastAsia="宋体" w:cs="宋体"/>
          <w:color w:val="auto"/>
          <w:sz w:val="24"/>
          <w:szCs w:val="24"/>
        </w:rPr>
        <w:t>船只情况据实分别填报上述表格</w:t>
      </w:r>
      <w:r>
        <w:rPr>
          <w:rFonts w:hint="eastAsia" w:ascii="宋体" w:hAnsi="宋体" w:eastAsia="宋体" w:cs="宋体"/>
          <w:bCs/>
          <w:color w:val="auto"/>
          <w:sz w:val="24"/>
          <w:szCs w:val="24"/>
        </w:rPr>
        <w:t>。</w:t>
      </w:r>
    </w:p>
    <w:p w14:paraId="3EACFC1C">
      <w:pPr>
        <w:spacing w:after="0" w:line="460" w:lineRule="exact"/>
        <w:ind w:firstLine="482" w:firstLineChars="200"/>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2、常规机动船只（铁壳平底船）</w:t>
      </w:r>
      <w:r>
        <w:rPr>
          <w:rFonts w:hint="eastAsia" w:ascii="宋体" w:hAnsi="宋体" w:eastAsia="宋体" w:cs="宋体"/>
          <w:b/>
          <w:bCs w:val="0"/>
          <w:color w:val="auto"/>
          <w:spacing w:val="-20"/>
          <w:sz w:val="24"/>
          <w:szCs w:val="24"/>
        </w:rPr>
        <w:t>自有/租赁</w:t>
      </w:r>
      <w:r>
        <w:rPr>
          <w:rFonts w:hint="eastAsia" w:ascii="宋体" w:hAnsi="宋体" w:eastAsia="宋体" w:cs="宋体"/>
          <w:b/>
          <w:bCs w:val="0"/>
          <w:color w:val="auto"/>
          <w:sz w:val="24"/>
          <w:szCs w:val="24"/>
        </w:rPr>
        <w:t>说明：</w:t>
      </w:r>
    </w:p>
    <w:p w14:paraId="31C6E45B">
      <w:pPr>
        <w:spacing w:after="0" w:line="460" w:lineRule="exact"/>
        <w:ind w:firstLine="720" w:firstLineChars="300"/>
        <w:rPr>
          <w:rFonts w:hint="eastAsia" w:ascii="宋体" w:hAnsi="宋体" w:eastAsia="宋体" w:cs="宋体"/>
          <w:bCs w:val="0"/>
          <w:color w:val="auto"/>
          <w:kern w:val="2"/>
          <w:sz w:val="24"/>
          <w:szCs w:val="24"/>
        </w:rPr>
      </w:pPr>
      <w:r>
        <w:rPr>
          <w:rFonts w:hint="eastAsia" w:ascii="宋体" w:hAnsi="宋体" w:eastAsia="宋体" w:cs="宋体"/>
          <w:bCs w:val="0"/>
          <w:color w:val="auto"/>
          <w:kern w:val="2"/>
          <w:sz w:val="24"/>
          <w:szCs w:val="24"/>
        </w:rPr>
        <w:t>①常规机动船只（铁壳平底船）如为投标人</w:t>
      </w:r>
      <w:r>
        <w:rPr>
          <w:rFonts w:hint="eastAsia" w:ascii="宋体" w:hAnsi="宋体" w:eastAsia="宋体" w:cs="宋体"/>
          <w:b/>
          <w:bCs w:val="0"/>
          <w:color w:val="auto"/>
          <w:kern w:val="2"/>
          <w:sz w:val="24"/>
          <w:szCs w:val="24"/>
        </w:rPr>
        <w:t>自有</w:t>
      </w:r>
      <w:r>
        <w:rPr>
          <w:rFonts w:hint="eastAsia" w:ascii="宋体" w:hAnsi="宋体" w:eastAsia="宋体" w:cs="宋体"/>
          <w:bCs w:val="0"/>
          <w:color w:val="auto"/>
          <w:kern w:val="2"/>
          <w:sz w:val="24"/>
          <w:szCs w:val="24"/>
        </w:rPr>
        <w:t>的，投标文件中应提供购置发票或其他证明材料扫描件。</w:t>
      </w:r>
    </w:p>
    <w:p w14:paraId="7C24B6CD">
      <w:pPr>
        <w:spacing w:after="0" w:line="460" w:lineRule="exact"/>
        <w:ind w:firstLine="720" w:firstLineChars="300"/>
        <w:rPr>
          <w:rFonts w:hint="eastAsia" w:ascii="宋体" w:hAnsi="宋体" w:eastAsia="宋体" w:cs="宋体"/>
          <w:b/>
          <w:bCs w:val="0"/>
          <w:color w:val="auto"/>
          <w:kern w:val="2"/>
          <w:sz w:val="24"/>
          <w:szCs w:val="24"/>
        </w:rPr>
      </w:pPr>
      <w:r>
        <w:rPr>
          <w:rFonts w:hint="eastAsia" w:ascii="宋体" w:hAnsi="宋体" w:eastAsia="宋体" w:cs="宋体"/>
          <w:bCs w:val="0"/>
          <w:color w:val="auto"/>
          <w:kern w:val="2"/>
          <w:sz w:val="24"/>
          <w:szCs w:val="24"/>
        </w:rPr>
        <w:t>②常规机动船只（铁壳平底船）如为投标人</w:t>
      </w:r>
      <w:r>
        <w:rPr>
          <w:rFonts w:hint="eastAsia" w:ascii="宋体" w:hAnsi="宋体" w:eastAsia="宋体" w:cs="宋体"/>
          <w:b/>
          <w:bCs w:val="0"/>
          <w:color w:val="auto"/>
          <w:kern w:val="2"/>
          <w:sz w:val="24"/>
          <w:szCs w:val="24"/>
        </w:rPr>
        <w:t>租赁</w:t>
      </w:r>
      <w:r>
        <w:rPr>
          <w:rFonts w:hint="eastAsia" w:ascii="宋体" w:hAnsi="宋体" w:eastAsia="宋体" w:cs="宋体"/>
          <w:bCs w:val="0"/>
          <w:color w:val="auto"/>
          <w:kern w:val="2"/>
          <w:sz w:val="24"/>
          <w:szCs w:val="24"/>
        </w:rPr>
        <w:t>的，投标文件中应提供购置发票（或其他证明材料）、租赁合同及租赁发票扫描件。</w:t>
      </w:r>
      <w:r>
        <w:rPr>
          <w:rFonts w:hint="eastAsia" w:ascii="宋体" w:hAnsi="宋体" w:eastAsia="宋体" w:cs="宋体"/>
          <w:b/>
          <w:bCs w:val="0"/>
          <w:color w:val="auto"/>
          <w:kern w:val="2"/>
          <w:sz w:val="24"/>
          <w:szCs w:val="24"/>
        </w:rPr>
        <w:t>提供的证明材料中须明确租赁服务期限。</w:t>
      </w:r>
    </w:p>
    <w:p w14:paraId="0237F04F">
      <w:pPr>
        <w:spacing w:after="0" w:line="460" w:lineRule="exact"/>
        <w:ind w:firstLine="723" w:firstLineChars="300"/>
        <w:rPr>
          <w:rFonts w:hint="eastAsia" w:ascii="宋体" w:hAnsi="宋体" w:eastAsia="宋体" w:cs="宋体"/>
          <w:b/>
          <w:bCs w:val="0"/>
          <w:color w:val="auto"/>
          <w:kern w:val="2"/>
          <w:sz w:val="24"/>
          <w:szCs w:val="24"/>
        </w:rPr>
      </w:pPr>
      <w:r>
        <w:rPr>
          <w:rFonts w:hint="eastAsia" w:ascii="宋体" w:hAnsi="宋体" w:eastAsia="宋体" w:cs="宋体"/>
          <w:b/>
          <w:bCs w:val="0"/>
          <w:color w:val="auto"/>
          <w:kern w:val="2"/>
          <w:sz w:val="24"/>
          <w:szCs w:val="24"/>
        </w:rPr>
        <w:t>③持证船只须在投标文件中提供行业主管部门颁发的合格有效证书或文书。</w:t>
      </w:r>
    </w:p>
    <w:p w14:paraId="2D0BB679">
      <w:pPr>
        <w:spacing w:after="0" w:line="460" w:lineRule="exact"/>
        <w:ind w:firstLine="482" w:firstLineChars="200"/>
        <w:rPr>
          <w:rFonts w:hint="eastAsia" w:ascii="宋体" w:hAnsi="宋体" w:eastAsia="宋体" w:cs="宋体"/>
          <w:b/>
          <w:bCs w:val="0"/>
          <w:color w:val="auto"/>
          <w:kern w:val="2"/>
          <w:sz w:val="24"/>
          <w:szCs w:val="24"/>
        </w:rPr>
      </w:pPr>
      <w:r>
        <w:rPr>
          <w:rFonts w:hint="eastAsia" w:ascii="宋体" w:hAnsi="宋体" w:eastAsia="宋体" w:cs="宋体"/>
          <w:b/>
          <w:bCs w:val="0"/>
          <w:color w:val="auto"/>
          <w:kern w:val="2"/>
          <w:sz w:val="24"/>
          <w:szCs w:val="24"/>
        </w:rPr>
        <w:t>3、全自动水面清洁船自有/租赁说明：</w:t>
      </w:r>
    </w:p>
    <w:p w14:paraId="5FFA97FC">
      <w:pPr>
        <w:spacing w:after="0" w:line="460" w:lineRule="exact"/>
        <w:ind w:firstLine="720" w:firstLineChars="300"/>
        <w:rPr>
          <w:rFonts w:hint="eastAsia" w:ascii="宋体" w:hAnsi="宋体" w:eastAsia="宋体" w:cs="宋体"/>
          <w:bCs w:val="0"/>
          <w:color w:val="auto"/>
          <w:kern w:val="2"/>
          <w:sz w:val="24"/>
          <w:szCs w:val="24"/>
        </w:rPr>
      </w:pPr>
      <w:r>
        <w:rPr>
          <w:rFonts w:hint="eastAsia" w:ascii="宋体" w:hAnsi="宋体" w:eastAsia="宋体" w:cs="宋体"/>
          <w:bCs w:val="0"/>
          <w:color w:val="auto"/>
          <w:kern w:val="2"/>
          <w:sz w:val="24"/>
          <w:szCs w:val="24"/>
        </w:rPr>
        <w:t>①全自动水面清洁船如为投标人</w:t>
      </w:r>
      <w:r>
        <w:rPr>
          <w:rFonts w:hint="eastAsia" w:ascii="宋体" w:hAnsi="宋体" w:eastAsia="宋体" w:cs="宋体"/>
          <w:b/>
          <w:bCs w:val="0"/>
          <w:color w:val="auto"/>
          <w:kern w:val="2"/>
          <w:sz w:val="24"/>
          <w:szCs w:val="24"/>
        </w:rPr>
        <w:t>自有</w:t>
      </w:r>
      <w:r>
        <w:rPr>
          <w:rFonts w:hint="eastAsia" w:ascii="宋体" w:hAnsi="宋体" w:eastAsia="宋体" w:cs="宋体"/>
          <w:bCs w:val="0"/>
          <w:color w:val="auto"/>
          <w:kern w:val="2"/>
          <w:sz w:val="24"/>
          <w:szCs w:val="24"/>
        </w:rPr>
        <w:t>的，投标文件中应提供购置发票或其他证明材料扫描件。</w:t>
      </w:r>
    </w:p>
    <w:p w14:paraId="329F7B7F">
      <w:pPr>
        <w:spacing w:after="0" w:line="460" w:lineRule="exact"/>
        <w:ind w:firstLine="720" w:firstLineChars="300"/>
        <w:rPr>
          <w:rFonts w:hint="eastAsia" w:ascii="宋体" w:hAnsi="宋体" w:eastAsia="宋体" w:cs="宋体"/>
          <w:b/>
          <w:bCs w:val="0"/>
          <w:color w:val="auto"/>
          <w:kern w:val="2"/>
          <w:sz w:val="24"/>
          <w:szCs w:val="24"/>
        </w:rPr>
      </w:pPr>
      <w:r>
        <w:rPr>
          <w:rFonts w:hint="eastAsia" w:ascii="宋体" w:hAnsi="宋体" w:eastAsia="宋体" w:cs="宋体"/>
          <w:bCs w:val="0"/>
          <w:color w:val="auto"/>
          <w:kern w:val="2"/>
          <w:sz w:val="24"/>
          <w:szCs w:val="24"/>
        </w:rPr>
        <w:t>②全自动水面清洁船如为投标人</w:t>
      </w:r>
      <w:r>
        <w:rPr>
          <w:rFonts w:hint="eastAsia" w:ascii="宋体" w:hAnsi="宋体" w:eastAsia="宋体" w:cs="宋体"/>
          <w:b/>
          <w:bCs w:val="0"/>
          <w:color w:val="auto"/>
          <w:kern w:val="2"/>
          <w:sz w:val="24"/>
          <w:szCs w:val="24"/>
        </w:rPr>
        <w:t>租赁</w:t>
      </w:r>
      <w:r>
        <w:rPr>
          <w:rFonts w:hint="eastAsia" w:ascii="宋体" w:hAnsi="宋体" w:eastAsia="宋体" w:cs="宋体"/>
          <w:bCs w:val="0"/>
          <w:color w:val="auto"/>
          <w:kern w:val="2"/>
          <w:sz w:val="24"/>
          <w:szCs w:val="24"/>
        </w:rPr>
        <w:t>的，投标文件中应提供购置发票（或其他证明材料）、租赁合同及租赁发票扫描件。</w:t>
      </w:r>
      <w:r>
        <w:rPr>
          <w:rFonts w:hint="eastAsia" w:ascii="宋体" w:hAnsi="宋体" w:eastAsia="宋体" w:cs="宋体"/>
          <w:b/>
          <w:bCs w:val="0"/>
          <w:color w:val="auto"/>
          <w:kern w:val="2"/>
          <w:sz w:val="24"/>
          <w:szCs w:val="24"/>
        </w:rPr>
        <w:t>提供的证明材料中须明确租赁服务期限。</w:t>
      </w:r>
    </w:p>
    <w:p w14:paraId="6B39635B">
      <w:pPr>
        <w:spacing w:after="0" w:line="460" w:lineRule="exact"/>
        <w:ind w:firstLine="723" w:firstLineChars="300"/>
        <w:rPr>
          <w:rFonts w:hint="eastAsia" w:ascii="宋体" w:hAnsi="宋体" w:eastAsia="宋体" w:cs="宋体"/>
          <w:b/>
          <w:bCs w:val="0"/>
          <w:color w:val="auto"/>
          <w:kern w:val="2"/>
          <w:sz w:val="24"/>
          <w:szCs w:val="24"/>
        </w:rPr>
      </w:pPr>
      <w:r>
        <w:rPr>
          <w:rFonts w:hint="eastAsia" w:ascii="宋体" w:hAnsi="宋体" w:eastAsia="宋体" w:cs="宋体"/>
          <w:b/>
          <w:bCs w:val="0"/>
          <w:color w:val="auto"/>
          <w:kern w:val="2"/>
          <w:sz w:val="24"/>
          <w:szCs w:val="24"/>
        </w:rPr>
        <w:t>③以上全自动水面清洁船须在投标文件中提供行业主管部门颁发的合格有效证书或文书。</w:t>
      </w:r>
    </w:p>
    <w:p w14:paraId="22204EF5">
      <w:pPr>
        <w:spacing w:after="0" w:line="460" w:lineRule="exact"/>
        <w:ind w:firstLine="480" w:firstLineChars="200"/>
        <w:rPr>
          <w:rFonts w:hint="eastAsia" w:ascii="宋体" w:hAnsi="宋体" w:eastAsia="宋体" w:cs="宋体"/>
          <w:bCs w:val="0"/>
          <w:color w:val="auto"/>
          <w:kern w:val="2"/>
          <w:sz w:val="24"/>
          <w:szCs w:val="24"/>
        </w:rPr>
      </w:pPr>
      <w:r>
        <w:rPr>
          <w:rFonts w:hint="eastAsia" w:ascii="宋体" w:hAnsi="宋体" w:eastAsia="宋体" w:cs="宋体"/>
          <w:bCs w:val="0"/>
          <w:color w:val="auto"/>
          <w:kern w:val="2"/>
          <w:sz w:val="24"/>
          <w:szCs w:val="24"/>
        </w:rPr>
        <w:t>4、请投标人对船只的主要技术性能参数进行说明。</w:t>
      </w:r>
    </w:p>
    <w:p w14:paraId="6D2BC76E">
      <w:pPr>
        <w:spacing w:after="0" w:line="460" w:lineRule="exact"/>
        <w:ind w:firstLine="482" w:firstLineChars="200"/>
        <w:rPr>
          <w:rFonts w:hint="eastAsia" w:ascii="宋体" w:hAnsi="宋体" w:eastAsia="宋体" w:cs="宋体"/>
          <w:b/>
          <w:bCs w:val="0"/>
          <w:color w:val="auto"/>
          <w:kern w:val="2"/>
          <w:sz w:val="24"/>
          <w:szCs w:val="24"/>
        </w:rPr>
      </w:pPr>
      <w:r>
        <w:rPr>
          <w:rFonts w:hint="eastAsia" w:ascii="宋体" w:hAnsi="宋体" w:eastAsia="宋体" w:cs="宋体"/>
          <w:b/>
          <w:bCs w:val="0"/>
          <w:color w:val="auto"/>
          <w:kern w:val="2"/>
          <w:sz w:val="24"/>
          <w:szCs w:val="24"/>
        </w:rPr>
        <w:t>5、请投标人对各船只的维修、保养、管理、停泊配套设施在此另外进行说明。</w:t>
      </w:r>
    </w:p>
    <w:p w14:paraId="7E21F8BC">
      <w:pPr>
        <w:spacing w:after="0" w:line="460" w:lineRule="exact"/>
        <w:ind w:firstLine="480" w:firstLineChars="200"/>
        <w:rPr>
          <w:rFonts w:hint="eastAsia" w:ascii="宋体" w:hAnsi="宋体" w:eastAsia="宋体" w:cs="宋体"/>
          <w:bCs w:val="0"/>
          <w:color w:val="auto"/>
          <w:kern w:val="2"/>
          <w:sz w:val="24"/>
          <w:szCs w:val="24"/>
        </w:rPr>
      </w:pPr>
      <w:r>
        <w:rPr>
          <w:rFonts w:hint="eastAsia" w:ascii="宋体" w:hAnsi="宋体" w:eastAsia="宋体" w:cs="宋体"/>
          <w:bCs w:val="0"/>
          <w:color w:val="auto"/>
          <w:kern w:val="2"/>
          <w:sz w:val="24"/>
          <w:szCs w:val="24"/>
        </w:rPr>
        <w:t>6、表格内容应包含但不限于以上内容，各投标人可自行调整。</w:t>
      </w:r>
    </w:p>
    <w:p w14:paraId="33889E60">
      <w:pPr>
        <w:spacing w:after="0" w:line="460" w:lineRule="exact"/>
        <w:ind w:firstLine="480" w:firstLineChars="200"/>
        <w:rPr>
          <w:rFonts w:hint="eastAsia" w:ascii="宋体" w:hAnsi="宋体" w:eastAsia="宋体" w:cs="宋体"/>
          <w:bCs w:val="0"/>
          <w:color w:val="auto"/>
          <w:kern w:val="2"/>
          <w:sz w:val="24"/>
          <w:szCs w:val="24"/>
        </w:rPr>
      </w:pPr>
      <w:r>
        <w:rPr>
          <w:rFonts w:hint="eastAsia" w:ascii="宋体" w:hAnsi="宋体" w:eastAsia="宋体" w:cs="宋体"/>
          <w:bCs w:val="0"/>
          <w:color w:val="auto"/>
          <w:kern w:val="2"/>
          <w:sz w:val="24"/>
          <w:szCs w:val="24"/>
        </w:rPr>
        <w:t>7、因表述含糊导致的评标风险将由投标人承担。</w:t>
      </w:r>
    </w:p>
    <w:p w14:paraId="78E9E4E3">
      <w:pPr>
        <w:spacing w:after="0" w:line="460" w:lineRule="exact"/>
        <w:ind w:firstLine="480" w:firstLineChars="200"/>
        <w:rPr>
          <w:rFonts w:hint="eastAsia" w:ascii="宋体" w:hAnsi="宋体" w:eastAsia="宋体" w:cs="宋体"/>
          <w:bCs w:val="0"/>
          <w:color w:val="auto"/>
          <w:kern w:val="2"/>
          <w:sz w:val="24"/>
          <w:szCs w:val="24"/>
        </w:rPr>
      </w:pPr>
      <w:r>
        <w:rPr>
          <w:rFonts w:hint="eastAsia" w:ascii="宋体" w:hAnsi="宋体" w:eastAsia="宋体" w:cs="宋体"/>
          <w:bCs w:val="0"/>
          <w:color w:val="auto"/>
          <w:kern w:val="2"/>
          <w:sz w:val="24"/>
          <w:szCs w:val="24"/>
        </w:rPr>
        <w:t>8、如有需要说明的事项，请在备注中列明。</w:t>
      </w:r>
    </w:p>
    <w:p w14:paraId="3E9EF2E8">
      <w:pPr>
        <w:spacing w:after="0" w:line="460" w:lineRule="exact"/>
        <w:ind w:firstLine="482" w:firstLineChars="200"/>
        <w:rPr>
          <w:rFonts w:hint="eastAsia" w:ascii="宋体" w:hAnsi="宋体" w:eastAsia="宋体" w:cs="宋体"/>
          <w:b/>
          <w:bCs w:val="0"/>
          <w:color w:val="auto"/>
          <w:kern w:val="2"/>
          <w:sz w:val="24"/>
          <w:szCs w:val="24"/>
        </w:rPr>
      </w:pPr>
      <w:r>
        <w:rPr>
          <w:rFonts w:hint="eastAsia" w:ascii="宋体" w:hAnsi="宋体" w:eastAsia="宋体" w:cs="宋体"/>
          <w:b/>
          <w:bCs w:val="0"/>
          <w:color w:val="auto"/>
          <w:kern w:val="2"/>
          <w:sz w:val="24"/>
          <w:szCs w:val="24"/>
        </w:rPr>
        <w:t>9、每个分包单独提供一份表格。</w:t>
      </w:r>
    </w:p>
    <w:p w14:paraId="3A1BE95B">
      <w:pPr>
        <w:pStyle w:val="8"/>
        <w:keepNext w:val="0"/>
        <w:pageBreakBefore/>
        <w:shd w:val="clear"/>
        <w:rPr>
          <w:rFonts w:eastAsia="宋体"/>
          <w:color w:val="auto"/>
          <w:highlight w:val="none"/>
        </w:rPr>
      </w:pPr>
      <w:bookmarkStart w:id="340" w:name="_Toc24525"/>
      <w:r>
        <w:rPr>
          <w:rFonts w:hint="eastAsia" w:eastAsia="宋体"/>
          <w:color w:val="auto"/>
          <w:highlight w:val="none"/>
        </w:rPr>
        <w:t>附件1</w:t>
      </w:r>
      <w:r>
        <w:rPr>
          <w:rFonts w:hint="eastAsia" w:eastAsia="宋体"/>
          <w:color w:val="auto"/>
          <w:highlight w:val="none"/>
          <w:lang w:val="en-US" w:eastAsia="zh-CN"/>
        </w:rPr>
        <w:t>5</w:t>
      </w:r>
      <w:r>
        <w:rPr>
          <w:rFonts w:hint="eastAsia" w:eastAsia="宋体"/>
          <w:color w:val="auto"/>
          <w:highlight w:val="none"/>
        </w:rPr>
        <w:t xml:space="preserve"> 业绩一览表</w:t>
      </w:r>
      <w:bookmarkEnd w:id="338"/>
      <w:bookmarkEnd w:id="340"/>
    </w:p>
    <w:tbl>
      <w:tblPr>
        <w:tblStyle w:val="5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9"/>
        <w:gridCol w:w="2004"/>
        <w:gridCol w:w="1954"/>
        <w:gridCol w:w="1943"/>
        <w:gridCol w:w="1249"/>
      </w:tblGrid>
      <w:tr w14:paraId="13BBA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969" w:type="dxa"/>
            <w:noWrap/>
            <w:vAlign w:val="center"/>
          </w:tcPr>
          <w:p w14:paraId="77533D1C">
            <w:pPr>
              <w:pStyle w:val="2"/>
              <w:shd w:val="clear"/>
              <w:overflowPunct w:val="0"/>
              <w:jc w:val="center"/>
              <w:rPr>
                <w:rFonts w:ascii="Times New Roman" w:hAnsi="Times New Roman" w:eastAsia="宋体"/>
                <w:color w:val="auto"/>
                <w:sz w:val="24"/>
                <w:szCs w:val="24"/>
                <w:highlight w:val="none"/>
              </w:rPr>
            </w:pPr>
            <w:bookmarkStart w:id="341" w:name="_Toc75437942"/>
            <w:r>
              <w:rPr>
                <w:rFonts w:ascii="Times New Roman" w:hAnsi="Times New Roman" w:eastAsia="宋体"/>
                <w:color w:val="auto"/>
                <w:sz w:val="24"/>
                <w:szCs w:val="24"/>
                <w:highlight w:val="none"/>
              </w:rPr>
              <w:t>序号</w:t>
            </w:r>
          </w:p>
        </w:tc>
        <w:tc>
          <w:tcPr>
            <w:tcW w:w="2004" w:type="dxa"/>
            <w:noWrap/>
            <w:vAlign w:val="center"/>
          </w:tcPr>
          <w:p w14:paraId="104311A9">
            <w:pPr>
              <w:pStyle w:val="2"/>
              <w:shd w:val="clear"/>
              <w:overflowPunct w:val="0"/>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项目名称</w:t>
            </w:r>
          </w:p>
        </w:tc>
        <w:tc>
          <w:tcPr>
            <w:tcW w:w="1954" w:type="dxa"/>
            <w:noWrap/>
            <w:vAlign w:val="center"/>
          </w:tcPr>
          <w:p w14:paraId="31E49D83">
            <w:pPr>
              <w:pStyle w:val="2"/>
              <w:shd w:val="clear"/>
              <w:overflowPunct w:val="0"/>
              <w:jc w:val="center"/>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合同签订时间</w:t>
            </w:r>
          </w:p>
        </w:tc>
        <w:tc>
          <w:tcPr>
            <w:tcW w:w="1943" w:type="dxa"/>
            <w:noWrap/>
            <w:vAlign w:val="center"/>
          </w:tcPr>
          <w:p w14:paraId="7A54EAA7">
            <w:pPr>
              <w:pStyle w:val="2"/>
              <w:shd w:val="clear"/>
              <w:overflowPunct w:val="0"/>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业主联系人及联系电话</w:t>
            </w:r>
          </w:p>
        </w:tc>
        <w:tc>
          <w:tcPr>
            <w:tcW w:w="1249" w:type="dxa"/>
            <w:noWrap/>
            <w:vAlign w:val="center"/>
          </w:tcPr>
          <w:p w14:paraId="004F2125">
            <w:pPr>
              <w:pStyle w:val="2"/>
              <w:shd w:val="clear"/>
              <w:overflowPunct w:val="0"/>
              <w:jc w:val="center"/>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备  注</w:t>
            </w:r>
          </w:p>
        </w:tc>
      </w:tr>
      <w:tr w14:paraId="59F95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969" w:type="dxa"/>
            <w:noWrap/>
            <w:vAlign w:val="center"/>
          </w:tcPr>
          <w:p w14:paraId="01B96F59">
            <w:pPr>
              <w:pStyle w:val="2"/>
              <w:shd w:val="clear"/>
              <w:overflowPunct w:val="0"/>
              <w:jc w:val="center"/>
              <w:rPr>
                <w:rFonts w:ascii="Times New Roman" w:hAnsi="Times New Roman" w:eastAsia="宋体"/>
                <w:color w:val="auto"/>
                <w:sz w:val="24"/>
                <w:highlight w:val="none"/>
              </w:rPr>
            </w:pPr>
            <w:r>
              <w:rPr>
                <w:rFonts w:ascii="Times New Roman" w:hAnsi="Times New Roman" w:eastAsia="宋体"/>
                <w:color w:val="auto"/>
                <w:sz w:val="24"/>
                <w:highlight w:val="none"/>
              </w:rPr>
              <w:t>1</w:t>
            </w:r>
          </w:p>
        </w:tc>
        <w:tc>
          <w:tcPr>
            <w:tcW w:w="2004" w:type="dxa"/>
            <w:noWrap/>
            <w:vAlign w:val="center"/>
          </w:tcPr>
          <w:p w14:paraId="22B854E4">
            <w:pPr>
              <w:pStyle w:val="2"/>
              <w:shd w:val="clear"/>
              <w:overflowPunct w:val="0"/>
              <w:jc w:val="center"/>
              <w:rPr>
                <w:rFonts w:ascii="Times New Roman" w:hAnsi="Times New Roman" w:eastAsia="宋体"/>
                <w:color w:val="auto"/>
                <w:sz w:val="24"/>
                <w:highlight w:val="none"/>
              </w:rPr>
            </w:pPr>
          </w:p>
        </w:tc>
        <w:tc>
          <w:tcPr>
            <w:tcW w:w="1954" w:type="dxa"/>
            <w:noWrap/>
            <w:vAlign w:val="center"/>
          </w:tcPr>
          <w:p w14:paraId="290585BA">
            <w:pPr>
              <w:pStyle w:val="2"/>
              <w:shd w:val="clear"/>
              <w:overflowPunct w:val="0"/>
              <w:jc w:val="center"/>
              <w:rPr>
                <w:rFonts w:ascii="Times New Roman" w:hAnsi="Times New Roman" w:eastAsia="宋体"/>
                <w:color w:val="auto"/>
                <w:sz w:val="24"/>
                <w:highlight w:val="none"/>
              </w:rPr>
            </w:pPr>
          </w:p>
        </w:tc>
        <w:tc>
          <w:tcPr>
            <w:tcW w:w="1943" w:type="dxa"/>
            <w:noWrap/>
            <w:vAlign w:val="center"/>
          </w:tcPr>
          <w:p w14:paraId="05C59EFB">
            <w:pPr>
              <w:pStyle w:val="2"/>
              <w:shd w:val="clear"/>
              <w:overflowPunct w:val="0"/>
              <w:jc w:val="center"/>
              <w:rPr>
                <w:rFonts w:ascii="Times New Roman" w:hAnsi="Times New Roman" w:eastAsia="宋体"/>
                <w:color w:val="auto"/>
                <w:sz w:val="24"/>
                <w:highlight w:val="none"/>
              </w:rPr>
            </w:pPr>
          </w:p>
        </w:tc>
        <w:tc>
          <w:tcPr>
            <w:tcW w:w="1249" w:type="dxa"/>
            <w:noWrap/>
            <w:vAlign w:val="center"/>
          </w:tcPr>
          <w:p w14:paraId="6F260334">
            <w:pPr>
              <w:pStyle w:val="2"/>
              <w:shd w:val="clear"/>
              <w:overflowPunct w:val="0"/>
              <w:jc w:val="center"/>
              <w:rPr>
                <w:rFonts w:ascii="Times New Roman" w:hAnsi="Times New Roman" w:eastAsia="宋体"/>
                <w:color w:val="auto"/>
                <w:sz w:val="24"/>
                <w:highlight w:val="none"/>
              </w:rPr>
            </w:pPr>
          </w:p>
        </w:tc>
      </w:tr>
      <w:tr w14:paraId="4DEF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969" w:type="dxa"/>
            <w:noWrap/>
            <w:vAlign w:val="center"/>
          </w:tcPr>
          <w:p w14:paraId="3AEBDA1A">
            <w:pPr>
              <w:pStyle w:val="2"/>
              <w:shd w:val="clear"/>
              <w:overflowPunct w:val="0"/>
              <w:jc w:val="center"/>
              <w:rPr>
                <w:rFonts w:ascii="Times New Roman" w:hAnsi="Times New Roman" w:eastAsia="宋体"/>
                <w:color w:val="auto"/>
                <w:sz w:val="24"/>
                <w:highlight w:val="none"/>
              </w:rPr>
            </w:pPr>
            <w:r>
              <w:rPr>
                <w:rFonts w:ascii="Times New Roman" w:hAnsi="Times New Roman" w:eastAsia="宋体"/>
                <w:color w:val="auto"/>
                <w:sz w:val="24"/>
                <w:highlight w:val="none"/>
              </w:rPr>
              <w:t>2</w:t>
            </w:r>
          </w:p>
        </w:tc>
        <w:tc>
          <w:tcPr>
            <w:tcW w:w="2004" w:type="dxa"/>
            <w:noWrap/>
            <w:vAlign w:val="center"/>
          </w:tcPr>
          <w:p w14:paraId="5EA51018">
            <w:pPr>
              <w:pStyle w:val="2"/>
              <w:shd w:val="clear"/>
              <w:overflowPunct w:val="0"/>
              <w:jc w:val="center"/>
              <w:rPr>
                <w:rFonts w:ascii="Times New Roman" w:hAnsi="Times New Roman" w:eastAsia="宋体"/>
                <w:color w:val="auto"/>
                <w:sz w:val="24"/>
                <w:highlight w:val="none"/>
              </w:rPr>
            </w:pPr>
          </w:p>
        </w:tc>
        <w:tc>
          <w:tcPr>
            <w:tcW w:w="1954" w:type="dxa"/>
            <w:noWrap/>
            <w:vAlign w:val="center"/>
          </w:tcPr>
          <w:p w14:paraId="4858BB12">
            <w:pPr>
              <w:pStyle w:val="2"/>
              <w:shd w:val="clear"/>
              <w:overflowPunct w:val="0"/>
              <w:jc w:val="center"/>
              <w:rPr>
                <w:rFonts w:ascii="Times New Roman" w:hAnsi="Times New Roman" w:eastAsia="宋体"/>
                <w:color w:val="auto"/>
                <w:sz w:val="24"/>
                <w:highlight w:val="none"/>
              </w:rPr>
            </w:pPr>
          </w:p>
        </w:tc>
        <w:tc>
          <w:tcPr>
            <w:tcW w:w="1943" w:type="dxa"/>
            <w:noWrap/>
            <w:vAlign w:val="center"/>
          </w:tcPr>
          <w:p w14:paraId="397E5911">
            <w:pPr>
              <w:pStyle w:val="2"/>
              <w:shd w:val="clear"/>
              <w:overflowPunct w:val="0"/>
              <w:jc w:val="center"/>
              <w:rPr>
                <w:rFonts w:ascii="Times New Roman" w:hAnsi="Times New Roman" w:eastAsia="宋体"/>
                <w:color w:val="auto"/>
                <w:sz w:val="24"/>
                <w:highlight w:val="none"/>
              </w:rPr>
            </w:pPr>
          </w:p>
        </w:tc>
        <w:tc>
          <w:tcPr>
            <w:tcW w:w="1249" w:type="dxa"/>
            <w:noWrap/>
            <w:vAlign w:val="center"/>
          </w:tcPr>
          <w:p w14:paraId="6B0C491B">
            <w:pPr>
              <w:pStyle w:val="2"/>
              <w:shd w:val="clear"/>
              <w:overflowPunct w:val="0"/>
              <w:jc w:val="center"/>
              <w:rPr>
                <w:rFonts w:ascii="Times New Roman" w:hAnsi="Times New Roman" w:eastAsia="宋体"/>
                <w:color w:val="auto"/>
                <w:sz w:val="24"/>
                <w:highlight w:val="none"/>
              </w:rPr>
            </w:pPr>
          </w:p>
        </w:tc>
      </w:tr>
      <w:tr w14:paraId="2D813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969" w:type="dxa"/>
            <w:noWrap/>
            <w:vAlign w:val="center"/>
          </w:tcPr>
          <w:p w14:paraId="01ED2B5C">
            <w:pPr>
              <w:pStyle w:val="2"/>
              <w:shd w:val="clear"/>
              <w:overflowPunct w:val="0"/>
              <w:jc w:val="center"/>
              <w:rPr>
                <w:rFonts w:ascii="Times New Roman" w:hAnsi="Times New Roman" w:eastAsia="宋体"/>
                <w:color w:val="auto"/>
                <w:sz w:val="24"/>
                <w:highlight w:val="none"/>
              </w:rPr>
            </w:pPr>
            <w:r>
              <w:rPr>
                <w:rFonts w:ascii="Times New Roman" w:hAnsi="Times New Roman" w:eastAsia="宋体"/>
                <w:color w:val="auto"/>
                <w:sz w:val="24"/>
                <w:highlight w:val="none"/>
              </w:rPr>
              <w:t>3</w:t>
            </w:r>
          </w:p>
        </w:tc>
        <w:tc>
          <w:tcPr>
            <w:tcW w:w="2004" w:type="dxa"/>
            <w:noWrap/>
            <w:vAlign w:val="center"/>
          </w:tcPr>
          <w:p w14:paraId="11704F55">
            <w:pPr>
              <w:pStyle w:val="2"/>
              <w:shd w:val="clear"/>
              <w:overflowPunct w:val="0"/>
              <w:jc w:val="center"/>
              <w:rPr>
                <w:rFonts w:ascii="Times New Roman" w:hAnsi="Times New Roman" w:eastAsia="宋体"/>
                <w:color w:val="auto"/>
                <w:sz w:val="24"/>
                <w:highlight w:val="none"/>
              </w:rPr>
            </w:pPr>
          </w:p>
        </w:tc>
        <w:tc>
          <w:tcPr>
            <w:tcW w:w="1954" w:type="dxa"/>
            <w:noWrap/>
            <w:vAlign w:val="center"/>
          </w:tcPr>
          <w:p w14:paraId="3FD9DEE2">
            <w:pPr>
              <w:pStyle w:val="2"/>
              <w:shd w:val="clear"/>
              <w:overflowPunct w:val="0"/>
              <w:jc w:val="center"/>
              <w:rPr>
                <w:rFonts w:ascii="Times New Roman" w:hAnsi="Times New Roman" w:eastAsia="宋体"/>
                <w:color w:val="auto"/>
                <w:sz w:val="24"/>
                <w:highlight w:val="none"/>
              </w:rPr>
            </w:pPr>
          </w:p>
        </w:tc>
        <w:tc>
          <w:tcPr>
            <w:tcW w:w="1943" w:type="dxa"/>
            <w:noWrap/>
            <w:vAlign w:val="center"/>
          </w:tcPr>
          <w:p w14:paraId="41A3175B">
            <w:pPr>
              <w:pStyle w:val="2"/>
              <w:shd w:val="clear"/>
              <w:overflowPunct w:val="0"/>
              <w:jc w:val="center"/>
              <w:rPr>
                <w:rFonts w:ascii="Times New Roman" w:hAnsi="Times New Roman" w:eastAsia="宋体"/>
                <w:color w:val="auto"/>
                <w:sz w:val="24"/>
                <w:highlight w:val="none"/>
              </w:rPr>
            </w:pPr>
          </w:p>
        </w:tc>
        <w:tc>
          <w:tcPr>
            <w:tcW w:w="1249" w:type="dxa"/>
            <w:noWrap/>
            <w:vAlign w:val="center"/>
          </w:tcPr>
          <w:p w14:paraId="30744BC2">
            <w:pPr>
              <w:pStyle w:val="2"/>
              <w:shd w:val="clear"/>
              <w:overflowPunct w:val="0"/>
              <w:jc w:val="center"/>
              <w:rPr>
                <w:rFonts w:ascii="Times New Roman" w:hAnsi="Times New Roman" w:eastAsia="宋体"/>
                <w:color w:val="auto"/>
                <w:sz w:val="24"/>
                <w:highlight w:val="none"/>
              </w:rPr>
            </w:pPr>
          </w:p>
        </w:tc>
      </w:tr>
      <w:tr w14:paraId="1A20B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969" w:type="dxa"/>
            <w:noWrap/>
            <w:vAlign w:val="center"/>
          </w:tcPr>
          <w:p w14:paraId="7BA0D65E">
            <w:pPr>
              <w:pStyle w:val="2"/>
              <w:shd w:val="clear"/>
              <w:overflowPunct w:val="0"/>
              <w:jc w:val="center"/>
              <w:rPr>
                <w:rFonts w:ascii="Times New Roman" w:hAnsi="Times New Roman" w:eastAsia="宋体"/>
                <w:color w:val="auto"/>
                <w:sz w:val="24"/>
                <w:highlight w:val="none"/>
              </w:rPr>
            </w:pPr>
            <w:r>
              <w:rPr>
                <w:rFonts w:ascii="Times New Roman" w:hAnsi="Times New Roman" w:eastAsia="宋体"/>
                <w:color w:val="auto"/>
                <w:sz w:val="24"/>
                <w:highlight w:val="none"/>
              </w:rPr>
              <w:t>4</w:t>
            </w:r>
          </w:p>
        </w:tc>
        <w:tc>
          <w:tcPr>
            <w:tcW w:w="2004" w:type="dxa"/>
            <w:noWrap/>
            <w:vAlign w:val="center"/>
          </w:tcPr>
          <w:p w14:paraId="2845256E">
            <w:pPr>
              <w:pStyle w:val="2"/>
              <w:shd w:val="clear"/>
              <w:overflowPunct w:val="0"/>
              <w:jc w:val="center"/>
              <w:rPr>
                <w:rFonts w:ascii="Times New Roman" w:hAnsi="Times New Roman" w:eastAsia="宋体"/>
                <w:color w:val="auto"/>
                <w:sz w:val="24"/>
                <w:highlight w:val="none"/>
              </w:rPr>
            </w:pPr>
          </w:p>
        </w:tc>
        <w:tc>
          <w:tcPr>
            <w:tcW w:w="1954" w:type="dxa"/>
            <w:noWrap/>
            <w:vAlign w:val="center"/>
          </w:tcPr>
          <w:p w14:paraId="2966CA50">
            <w:pPr>
              <w:pStyle w:val="2"/>
              <w:shd w:val="clear"/>
              <w:overflowPunct w:val="0"/>
              <w:jc w:val="center"/>
              <w:rPr>
                <w:rFonts w:ascii="Times New Roman" w:hAnsi="Times New Roman" w:eastAsia="宋体"/>
                <w:color w:val="auto"/>
                <w:sz w:val="24"/>
                <w:highlight w:val="none"/>
              </w:rPr>
            </w:pPr>
          </w:p>
        </w:tc>
        <w:tc>
          <w:tcPr>
            <w:tcW w:w="1943" w:type="dxa"/>
            <w:noWrap/>
            <w:vAlign w:val="center"/>
          </w:tcPr>
          <w:p w14:paraId="5AF6423B">
            <w:pPr>
              <w:pStyle w:val="2"/>
              <w:shd w:val="clear"/>
              <w:overflowPunct w:val="0"/>
              <w:jc w:val="center"/>
              <w:rPr>
                <w:rFonts w:ascii="Times New Roman" w:hAnsi="Times New Roman" w:eastAsia="宋体"/>
                <w:color w:val="auto"/>
                <w:sz w:val="24"/>
                <w:highlight w:val="none"/>
              </w:rPr>
            </w:pPr>
          </w:p>
        </w:tc>
        <w:tc>
          <w:tcPr>
            <w:tcW w:w="1249" w:type="dxa"/>
            <w:noWrap/>
            <w:vAlign w:val="center"/>
          </w:tcPr>
          <w:p w14:paraId="684BA7A7">
            <w:pPr>
              <w:pStyle w:val="2"/>
              <w:shd w:val="clear"/>
              <w:overflowPunct w:val="0"/>
              <w:jc w:val="center"/>
              <w:rPr>
                <w:rFonts w:ascii="Times New Roman" w:hAnsi="Times New Roman" w:eastAsia="宋体"/>
                <w:color w:val="auto"/>
                <w:sz w:val="24"/>
                <w:highlight w:val="none"/>
              </w:rPr>
            </w:pPr>
          </w:p>
        </w:tc>
      </w:tr>
      <w:tr w14:paraId="2B4BE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969" w:type="dxa"/>
            <w:noWrap/>
            <w:vAlign w:val="center"/>
          </w:tcPr>
          <w:p w14:paraId="71CAB8B8">
            <w:pPr>
              <w:pStyle w:val="2"/>
              <w:shd w:val="clear"/>
              <w:overflowPunct w:val="0"/>
              <w:jc w:val="center"/>
              <w:rPr>
                <w:rFonts w:ascii="Times New Roman" w:hAnsi="Times New Roman" w:eastAsia="宋体"/>
                <w:color w:val="auto"/>
                <w:sz w:val="24"/>
                <w:highlight w:val="none"/>
              </w:rPr>
            </w:pPr>
            <w:r>
              <w:rPr>
                <w:rFonts w:hint="eastAsia" w:ascii="宋体" w:hAnsi="宋体" w:eastAsia="宋体" w:cs="宋体"/>
                <w:color w:val="auto"/>
                <w:sz w:val="24"/>
                <w:highlight w:val="none"/>
              </w:rPr>
              <w:t>…</w:t>
            </w:r>
          </w:p>
        </w:tc>
        <w:tc>
          <w:tcPr>
            <w:tcW w:w="2004" w:type="dxa"/>
            <w:tcBorders>
              <w:bottom w:val="single" w:color="auto" w:sz="4" w:space="0"/>
            </w:tcBorders>
            <w:noWrap/>
            <w:vAlign w:val="center"/>
          </w:tcPr>
          <w:p w14:paraId="27D388BE">
            <w:pPr>
              <w:pStyle w:val="2"/>
              <w:shd w:val="clear"/>
              <w:overflowPunct w:val="0"/>
              <w:jc w:val="center"/>
              <w:rPr>
                <w:rFonts w:ascii="Times New Roman" w:hAnsi="Times New Roman" w:eastAsia="宋体"/>
                <w:color w:val="auto"/>
                <w:sz w:val="24"/>
                <w:highlight w:val="none"/>
              </w:rPr>
            </w:pPr>
          </w:p>
        </w:tc>
        <w:tc>
          <w:tcPr>
            <w:tcW w:w="1954" w:type="dxa"/>
            <w:tcBorders>
              <w:bottom w:val="single" w:color="auto" w:sz="4" w:space="0"/>
            </w:tcBorders>
            <w:noWrap/>
            <w:vAlign w:val="center"/>
          </w:tcPr>
          <w:p w14:paraId="3138A53A">
            <w:pPr>
              <w:pStyle w:val="2"/>
              <w:shd w:val="clear"/>
              <w:overflowPunct w:val="0"/>
              <w:jc w:val="center"/>
              <w:rPr>
                <w:rFonts w:ascii="Times New Roman" w:hAnsi="Times New Roman" w:eastAsia="宋体"/>
                <w:color w:val="auto"/>
                <w:sz w:val="24"/>
                <w:highlight w:val="none"/>
              </w:rPr>
            </w:pPr>
          </w:p>
        </w:tc>
        <w:tc>
          <w:tcPr>
            <w:tcW w:w="1943" w:type="dxa"/>
            <w:tcBorders>
              <w:bottom w:val="single" w:color="auto" w:sz="4" w:space="0"/>
            </w:tcBorders>
            <w:noWrap/>
            <w:vAlign w:val="center"/>
          </w:tcPr>
          <w:p w14:paraId="7BBB8799">
            <w:pPr>
              <w:pStyle w:val="2"/>
              <w:shd w:val="clear"/>
              <w:overflowPunct w:val="0"/>
              <w:jc w:val="center"/>
              <w:rPr>
                <w:rFonts w:ascii="Times New Roman" w:hAnsi="Times New Roman" w:eastAsia="宋体"/>
                <w:color w:val="auto"/>
                <w:sz w:val="24"/>
                <w:highlight w:val="none"/>
              </w:rPr>
            </w:pPr>
          </w:p>
        </w:tc>
        <w:tc>
          <w:tcPr>
            <w:tcW w:w="1249" w:type="dxa"/>
            <w:tcBorders>
              <w:bottom w:val="single" w:color="auto" w:sz="4" w:space="0"/>
            </w:tcBorders>
            <w:noWrap/>
            <w:vAlign w:val="center"/>
          </w:tcPr>
          <w:p w14:paraId="5077D60B">
            <w:pPr>
              <w:pStyle w:val="2"/>
              <w:shd w:val="clear"/>
              <w:overflowPunct w:val="0"/>
              <w:jc w:val="center"/>
              <w:rPr>
                <w:rFonts w:ascii="Times New Roman" w:hAnsi="Times New Roman" w:eastAsia="宋体"/>
                <w:color w:val="auto"/>
                <w:sz w:val="24"/>
                <w:highlight w:val="none"/>
              </w:rPr>
            </w:pPr>
          </w:p>
        </w:tc>
      </w:tr>
    </w:tbl>
    <w:p w14:paraId="32550C64">
      <w:pPr>
        <w:shd w:val="clear"/>
        <w:spacing w:line="44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注：</w:t>
      </w:r>
      <w:r>
        <w:rPr>
          <w:rFonts w:hint="eastAsia" w:ascii="宋体" w:hAnsi="宋体" w:cs="宋体"/>
          <w:bCs/>
          <w:color w:val="auto"/>
          <w:sz w:val="24"/>
          <w:szCs w:val="24"/>
          <w:highlight w:val="none"/>
        </w:rPr>
        <w:t>1、上述业绩应为投标人202</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年1月1日至今（以合同签订日期为准）承担过河道保洁服务项目业绩。</w:t>
      </w:r>
    </w:p>
    <w:p w14:paraId="183DB219">
      <w:pPr>
        <w:numPr>
          <w:ilvl w:val="0"/>
          <w:numId w:val="0"/>
        </w:numPr>
        <w:shd w:val="clear"/>
        <w:spacing w:line="440" w:lineRule="exact"/>
        <w:ind w:firstLine="480" w:firstLineChars="200"/>
        <w:rPr>
          <w:rFonts w:hint="eastAsia" w:ascii="宋体" w:hAnsi="宋体" w:cs="宋体"/>
          <w:bCs/>
          <w:color w:val="auto"/>
          <w:sz w:val="24"/>
          <w:szCs w:val="24"/>
          <w:highlight w:val="none"/>
        </w:rPr>
      </w:pPr>
      <w:r>
        <w:rPr>
          <w:rFonts w:hint="eastAsia" w:ascii="宋体" w:hAnsi="宋体" w:eastAsia="宋体" w:cs="宋体"/>
          <w:bCs/>
          <w:color w:val="auto"/>
          <w:kern w:val="2"/>
          <w:sz w:val="24"/>
          <w:szCs w:val="24"/>
          <w:lang w:val="en-US" w:eastAsia="zh-CN" w:bidi="ar-SA"/>
        </w:rPr>
        <w:t>2、</w:t>
      </w:r>
      <w:r>
        <w:rPr>
          <w:rFonts w:hint="eastAsia" w:ascii="宋体" w:hAnsi="宋体" w:cs="宋体"/>
          <w:bCs/>
          <w:color w:val="auto"/>
          <w:sz w:val="24"/>
          <w:szCs w:val="24"/>
          <w:highlight w:val="none"/>
        </w:rPr>
        <w:t>请投标人提供上述表格中业绩的合同和对应合同的付款凭证的相关证明材料（合同内容至少包括合同首页、合同具体内容页、标的金额所在页、签字盖章页）。</w:t>
      </w:r>
    </w:p>
    <w:p w14:paraId="26A75597">
      <w:pPr>
        <w:numPr>
          <w:ilvl w:val="0"/>
          <w:numId w:val="0"/>
        </w:numPr>
        <w:shd w:val="clear"/>
        <w:spacing w:line="440" w:lineRule="exact"/>
        <w:ind w:firstLine="480" w:firstLineChars="200"/>
        <w:rPr>
          <w:rFonts w:ascii="宋体" w:hAnsi="宋体" w:cs="宋体"/>
          <w:color w:val="auto"/>
          <w:sz w:val="24"/>
          <w:szCs w:val="24"/>
          <w:highlight w:val="none"/>
        </w:rPr>
      </w:pPr>
      <w:r>
        <w:rPr>
          <w:rFonts w:ascii="宋体" w:hAnsi="宋体" w:eastAsia="宋体" w:cs="宋体"/>
          <w:color w:val="auto"/>
          <w:kern w:val="2"/>
          <w:sz w:val="24"/>
          <w:szCs w:val="24"/>
          <w:lang w:val="en-US" w:eastAsia="zh-CN" w:bidi="ar-SA"/>
        </w:rPr>
        <w:t>3、</w:t>
      </w:r>
      <w:r>
        <w:rPr>
          <w:rFonts w:hint="eastAsia" w:ascii="宋体" w:hAnsi="宋体" w:cs="宋体"/>
          <w:bCs/>
          <w:color w:val="auto"/>
          <w:sz w:val="24"/>
          <w:szCs w:val="24"/>
          <w:highlight w:val="none"/>
        </w:rPr>
        <w:t>如有需要说明的事项，请在备注中列明。</w:t>
      </w:r>
    </w:p>
    <w:p w14:paraId="4F25885F">
      <w:pPr>
        <w:numPr>
          <w:ilvl w:val="0"/>
          <w:numId w:val="0"/>
        </w:numPr>
        <w:shd w:val="clear"/>
        <w:spacing w:line="440" w:lineRule="exact"/>
        <w:ind w:firstLine="480" w:firstLineChars="200"/>
        <w:rPr>
          <w:rFonts w:ascii="宋体" w:hAnsi="宋体" w:cs="宋体"/>
          <w:color w:val="auto"/>
          <w:sz w:val="24"/>
          <w:szCs w:val="24"/>
          <w:highlight w:val="none"/>
        </w:rPr>
      </w:pPr>
      <w:r>
        <w:rPr>
          <w:rFonts w:ascii="宋体" w:hAnsi="宋体" w:eastAsia="宋体" w:cs="宋体"/>
          <w:color w:val="auto"/>
          <w:kern w:val="2"/>
          <w:sz w:val="24"/>
          <w:szCs w:val="24"/>
          <w:lang w:val="en-US" w:eastAsia="zh-CN" w:bidi="ar-SA"/>
        </w:rPr>
        <w:t>4、</w:t>
      </w:r>
      <w:r>
        <w:rPr>
          <w:rFonts w:hint="eastAsia" w:ascii="宋体" w:hAnsi="宋体" w:cs="宋体"/>
          <w:color w:val="auto"/>
          <w:sz w:val="24"/>
          <w:szCs w:val="24"/>
          <w:highlight w:val="none"/>
        </w:rPr>
        <w:t>我方在此声明，我方所提供的以上资料均真实和准确；我方保证上述信息的真实和准确，并愿意承担因我方就此弄虚作假所引起的一切法律后果。</w:t>
      </w:r>
    </w:p>
    <w:p w14:paraId="2CDAE5DE">
      <w:pPr>
        <w:shd w:val="clear"/>
        <w:spacing w:line="440" w:lineRule="exact"/>
        <w:ind w:firstLine="600" w:firstLineChars="250"/>
        <w:rPr>
          <w:bCs/>
          <w:color w:val="auto"/>
          <w:sz w:val="24"/>
          <w:highlight w:val="none"/>
        </w:rPr>
      </w:pPr>
    </w:p>
    <w:p w14:paraId="0369A299">
      <w:pPr>
        <w:shd w:val="clear"/>
        <w:spacing w:line="440" w:lineRule="exact"/>
        <w:rPr>
          <w:color w:val="auto"/>
          <w:highlight w:val="none"/>
        </w:rPr>
      </w:pPr>
      <w:r>
        <w:rPr>
          <w:rFonts w:hint="eastAsia"/>
          <w:color w:val="auto"/>
          <w:highlight w:val="none"/>
        </w:rPr>
        <w:br w:type="page"/>
      </w:r>
    </w:p>
    <w:bookmarkEnd w:id="341"/>
    <w:p w14:paraId="4D40C8BE">
      <w:pPr>
        <w:pStyle w:val="8"/>
        <w:keepNext w:val="0"/>
        <w:pageBreakBefore/>
        <w:shd w:val="clear"/>
        <w:rPr>
          <w:rFonts w:eastAsia="宋体"/>
          <w:color w:val="auto"/>
          <w:highlight w:val="none"/>
        </w:rPr>
      </w:pPr>
      <w:bookmarkStart w:id="342" w:name="_Toc14574"/>
      <w:bookmarkStart w:id="343" w:name="_Toc69302323"/>
      <w:bookmarkStart w:id="344" w:name="_Toc13129"/>
      <w:r>
        <w:rPr>
          <w:rFonts w:hint="eastAsia" w:eastAsia="宋体"/>
          <w:color w:val="auto"/>
          <w:highlight w:val="none"/>
        </w:rPr>
        <w:t>附件1</w:t>
      </w:r>
      <w:r>
        <w:rPr>
          <w:rFonts w:hint="eastAsia" w:eastAsia="宋体"/>
          <w:color w:val="auto"/>
          <w:highlight w:val="none"/>
          <w:lang w:val="en-US" w:eastAsia="zh-CN"/>
        </w:rPr>
        <w:t>6</w:t>
      </w:r>
      <w:r>
        <w:rPr>
          <w:rFonts w:hint="eastAsia" w:eastAsia="宋体"/>
          <w:color w:val="auto"/>
          <w:highlight w:val="none"/>
        </w:rPr>
        <w:t xml:space="preserve"> 商务条件响应及偏离表</w:t>
      </w:r>
      <w:bookmarkEnd w:id="342"/>
      <w:bookmarkEnd w:id="343"/>
      <w:bookmarkEnd w:id="344"/>
    </w:p>
    <w:tbl>
      <w:tblPr>
        <w:tblStyle w:val="54"/>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3"/>
        <w:gridCol w:w="1417"/>
        <w:gridCol w:w="4111"/>
      </w:tblGrid>
      <w:tr w14:paraId="08A96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6668438C">
            <w:pPr>
              <w:shd w:val="clear"/>
              <w:spacing w:line="320" w:lineRule="exact"/>
              <w:jc w:val="center"/>
              <w:rPr>
                <w:color w:val="auto"/>
                <w:sz w:val="24"/>
                <w:szCs w:val="24"/>
                <w:highlight w:val="none"/>
              </w:rPr>
            </w:pPr>
            <w:r>
              <w:rPr>
                <w:color w:val="auto"/>
                <w:sz w:val="24"/>
                <w:szCs w:val="24"/>
                <w:highlight w:val="none"/>
              </w:rPr>
              <w:t>合同条款</w:t>
            </w:r>
            <w:r>
              <w:rPr>
                <w:rFonts w:hint="eastAsia"/>
                <w:color w:val="auto"/>
                <w:sz w:val="24"/>
                <w:szCs w:val="24"/>
                <w:highlight w:val="none"/>
              </w:rPr>
              <w:t>号</w:t>
            </w:r>
          </w:p>
        </w:tc>
        <w:tc>
          <w:tcPr>
            <w:tcW w:w="1417" w:type="dxa"/>
            <w:vAlign w:val="center"/>
          </w:tcPr>
          <w:p w14:paraId="17A80E7D">
            <w:pPr>
              <w:shd w:val="clear"/>
              <w:spacing w:line="320" w:lineRule="exact"/>
              <w:jc w:val="center"/>
              <w:rPr>
                <w:color w:val="auto"/>
                <w:sz w:val="24"/>
                <w:szCs w:val="24"/>
                <w:highlight w:val="none"/>
              </w:rPr>
            </w:pPr>
            <w:r>
              <w:rPr>
                <w:color w:val="auto"/>
                <w:sz w:val="24"/>
                <w:szCs w:val="24"/>
                <w:highlight w:val="none"/>
              </w:rPr>
              <w:t>有无偏离</w:t>
            </w:r>
          </w:p>
        </w:tc>
        <w:tc>
          <w:tcPr>
            <w:tcW w:w="4111" w:type="dxa"/>
            <w:vAlign w:val="center"/>
          </w:tcPr>
          <w:p w14:paraId="17C63C96">
            <w:pPr>
              <w:shd w:val="clear"/>
              <w:spacing w:line="320" w:lineRule="exact"/>
              <w:jc w:val="center"/>
              <w:rPr>
                <w:color w:val="auto"/>
                <w:sz w:val="24"/>
                <w:szCs w:val="24"/>
                <w:highlight w:val="none"/>
              </w:rPr>
            </w:pPr>
            <w:r>
              <w:rPr>
                <w:color w:val="auto"/>
                <w:sz w:val="24"/>
                <w:szCs w:val="24"/>
                <w:highlight w:val="none"/>
              </w:rPr>
              <w:t>偏离内容及原因</w:t>
            </w:r>
          </w:p>
        </w:tc>
      </w:tr>
      <w:tr w14:paraId="4E7DA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478AD1BB">
            <w:pPr>
              <w:shd w:val="clear"/>
              <w:spacing w:line="320" w:lineRule="exact"/>
              <w:rPr>
                <w:color w:val="auto"/>
                <w:sz w:val="24"/>
                <w:szCs w:val="24"/>
                <w:highlight w:val="none"/>
              </w:rPr>
            </w:pPr>
            <w:r>
              <w:rPr>
                <w:rFonts w:hint="eastAsia"/>
                <w:color w:val="auto"/>
                <w:sz w:val="24"/>
                <w:szCs w:val="24"/>
                <w:highlight w:val="none"/>
              </w:rPr>
              <w:t>1.1 合同组成部分</w:t>
            </w:r>
          </w:p>
        </w:tc>
        <w:tc>
          <w:tcPr>
            <w:tcW w:w="1417" w:type="dxa"/>
            <w:vAlign w:val="center"/>
          </w:tcPr>
          <w:p w14:paraId="158A92A9">
            <w:pPr>
              <w:shd w:val="clear"/>
              <w:spacing w:line="320" w:lineRule="exact"/>
              <w:rPr>
                <w:color w:val="auto"/>
                <w:sz w:val="24"/>
                <w:szCs w:val="24"/>
                <w:highlight w:val="none"/>
              </w:rPr>
            </w:pPr>
          </w:p>
        </w:tc>
        <w:tc>
          <w:tcPr>
            <w:tcW w:w="4111" w:type="dxa"/>
            <w:vAlign w:val="center"/>
          </w:tcPr>
          <w:p w14:paraId="01F910A3">
            <w:pPr>
              <w:shd w:val="clear"/>
              <w:spacing w:line="320" w:lineRule="exact"/>
              <w:rPr>
                <w:color w:val="auto"/>
                <w:sz w:val="24"/>
                <w:szCs w:val="24"/>
                <w:highlight w:val="none"/>
              </w:rPr>
            </w:pPr>
          </w:p>
        </w:tc>
      </w:tr>
      <w:tr w14:paraId="05344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6EE32198">
            <w:pPr>
              <w:shd w:val="clear"/>
              <w:spacing w:line="320" w:lineRule="exact"/>
              <w:rPr>
                <w:color w:val="auto"/>
                <w:sz w:val="24"/>
                <w:szCs w:val="24"/>
                <w:highlight w:val="none"/>
              </w:rPr>
            </w:pPr>
            <w:r>
              <w:rPr>
                <w:rFonts w:hint="eastAsia"/>
                <w:color w:val="auto"/>
                <w:sz w:val="24"/>
                <w:szCs w:val="24"/>
                <w:highlight w:val="none"/>
              </w:rPr>
              <w:t>1.2 标的</w:t>
            </w:r>
          </w:p>
        </w:tc>
        <w:tc>
          <w:tcPr>
            <w:tcW w:w="1417" w:type="dxa"/>
            <w:vAlign w:val="center"/>
          </w:tcPr>
          <w:p w14:paraId="36F4DD2D">
            <w:pPr>
              <w:shd w:val="clear"/>
              <w:spacing w:line="320" w:lineRule="exact"/>
              <w:rPr>
                <w:color w:val="auto"/>
                <w:sz w:val="24"/>
                <w:szCs w:val="24"/>
                <w:highlight w:val="none"/>
              </w:rPr>
            </w:pPr>
          </w:p>
        </w:tc>
        <w:tc>
          <w:tcPr>
            <w:tcW w:w="4111" w:type="dxa"/>
            <w:vAlign w:val="center"/>
          </w:tcPr>
          <w:p w14:paraId="2454DFEB">
            <w:pPr>
              <w:shd w:val="clear"/>
              <w:spacing w:line="320" w:lineRule="exact"/>
              <w:rPr>
                <w:color w:val="auto"/>
                <w:sz w:val="24"/>
                <w:szCs w:val="24"/>
                <w:highlight w:val="none"/>
              </w:rPr>
            </w:pPr>
          </w:p>
        </w:tc>
      </w:tr>
      <w:tr w14:paraId="2CED7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211A7791">
            <w:pPr>
              <w:shd w:val="clear"/>
              <w:spacing w:line="320" w:lineRule="exact"/>
              <w:rPr>
                <w:color w:val="auto"/>
                <w:sz w:val="24"/>
                <w:szCs w:val="24"/>
                <w:highlight w:val="none"/>
              </w:rPr>
            </w:pPr>
            <w:r>
              <w:rPr>
                <w:rFonts w:hint="eastAsia"/>
                <w:color w:val="auto"/>
                <w:sz w:val="24"/>
                <w:szCs w:val="24"/>
                <w:highlight w:val="none"/>
              </w:rPr>
              <w:t>1.</w:t>
            </w:r>
            <w:r>
              <w:rPr>
                <w:color w:val="auto"/>
                <w:sz w:val="24"/>
                <w:szCs w:val="24"/>
                <w:highlight w:val="none"/>
              </w:rPr>
              <w:t>4</w:t>
            </w:r>
            <w:r>
              <w:rPr>
                <w:rFonts w:hint="eastAsia"/>
                <w:color w:val="auto"/>
                <w:sz w:val="24"/>
                <w:szCs w:val="24"/>
                <w:highlight w:val="none"/>
              </w:rPr>
              <w:t xml:space="preserve"> </w:t>
            </w:r>
            <w:r>
              <w:rPr>
                <w:color w:val="auto"/>
                <w:sz w:val="24"/>
                <w:szCs w:val="24"/>
                <w:highlight w:val="none"/>
              </w:rPr>
              <w:t>付款方式</w:t>
            </w:r>
            <w:r>
              <w:rPr>
                <w:rFonts w:hint="eastAsia"/>
                <w:color w:val="auto"/>
                <w:sz w:val="24"/>
                <w:szCs w:val="24"/>
                <w:highlight w:val="none"/>
              </w:rPr>
              <w:t>、开票方式及考核实施</w:t>
            </w:r>
          </w:p>
        </w:tc>
        <w:tc>
          <w:tcPr>
            <w:tcW w:w="1417" w:type="dxa"/>
            <w:vAlign w:val="center"/>
          </w:tcPr>
          <w:p w14:paraId="67A9E467">
            <w:pPr>
              <w:shd w:val="clear"/>
              <w:spacing w:line="320" w:lineRule="exact"/>
              <w:rPr>
                <w:color w:val="auto"/>
                <w:sz w:val="24"/>
                <w:szCs w:val="24"/>
                <w:highlight w:val="none"/>
              </w:rPr>
            </w:pPr>
          </w:p>
        </w:tc>
        <w:tc>
          <w:tcPr>
            <w:tcW w:w="4111" w:type="dxa"/>
            <w:vAlign w:val="center"/>
          </w:tcPr>
          <w:p w14:paraId="599DD7CC">
            <w:pPr>
              <w:shd w:val="clear"/>
              <w:spacing w:line="320" w:lineRule="exact"/>
              <w:rPr>
                <w:color w:val="auto"/>
                <w:sz w:val="24"/>
                <w:szCs w:val="24"/>
                <w:highlight w:val="none"/>
              </w:rPr>
            </w:pPr>
          </w:p>
        </w:tc>
      </w:tr>
      <w:tr w14:paraId="0CBD6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04075105">
            <w:pPr>
              <w:shd w:val="clear"/>
              <w:spacing w:line="320" w:lineRule="exact"/>
              <w:rPr>
                <w:color w:val="auto"/>
                <w:sz w:val="24"/>
                <w:szCs w:val="24"/>
                <w:highlight w:val="none"/>
              </w:rPr>
            </w:pPr>
            <w:r>
              <w:rPr>
                <w:rFonts w:hint="eastAsia"/>
                <w:color w:val="auto"/>
                <w:sz w:val="24"/>
                <w:szCs w:val="24"/>
                <w:highlight w:val="none"/>
              </w:rPr>
              <w:t>1.</w:t>
            </w:r>
            <w:r>
              <w:rPr>
                <w:color w:val="auto"/>
                <w:sz w:val="24"/>
                <w:szCs w:val="24"/>
                <w:highlight w:val="none"/>
              </w:rPr>
              <w:t>5</w:t>
            </w:r>
            <w:r>
              <w:rPr>
                <w:rFonts w:hint="eastAsia"/>
                <w:color w:val="auto"/>
                <w:sz w:val="24"/>
                <w:szCs w:val="24"/>
                <w:highlight w:val="none"/>
              </w:rPr>
              <w:t xml:space="preserve"> 服务</w:t>
            </w:r>
            <w:r>
              <w:rPr>
                <w:color w:val="auto"/>
                <w:sz w:val="24"/>
                <w:szCs w:val="24"/>
                <w:highlight w:val="none"/>
              </w:rPr>
              <w:t>期限</w:t>
            </w:r>
            <w:r>
              <w:rPr>
                <w:rFonts w:hint="eastAsia"/>
                <w:color w:val="auto"/>
                <w:sz w:val="24"/>
                <w:szCs w:val="24"/>
                <w:highlight w:val="none"/>
              </w:rPr>
              <w:t>和地点</w:t>
            </w:r>
          </w:p>
        </w:tc>
        <w:tc>
          <w:tcPr>
            <w:tcW w:w="1417" w:type="dxa"/>
            <w:vAlign w:val="center"/>
          </w:tcPr>
          <w:p w14:paraId="6AE8A4A6">
            <w:pPr>
              <w:shd w:val="clear"/>
              <w:spacing w:line="320" w:lineRule="exact"/>
              <w:rPr>
                <w:color w:val="auto"/>
                <w:sz w:val="24"/>
                <w:szCs w:val="24"/>
                <w:highlight w:val="none"/>
              </w:rPr>
            </w:pPr>
          </w:p>
        </w:tc>
        <w:tc>
          <w:tcPr>
            <w:tcW w:w="4111" w:type="dxa"/>
            <w:vAlign w:val="center"/>
          </w:tcPr>
          <w:p w14:paraId="603437E8">
            <w:pPr>
              <w:shd w:val="clear"/>
              <w:spacing w:line="320" w:lineRule="exact"/>
              <w:rPr>
                <w:color w:val="auto"/>
                <w:sz w:val="24"/>
                <w:szCs w:val="24"/>
                <w:highlight w:val="none"/>
              </w:rPr>
            </w:pPr>
          </w:p>
        </w:tc>
      </w:tr>
      <w:tr w14:paraId="079B6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6CF779EC">
            <w:pPr>
              <w:shd w:val="clear"/>
              <w:spacing w:line="320" w:lineRule="exact"/>
              <w:rPr>
                <w:color w:val="auto"/>
                <w:sz w:val="24"/>
                <w:szCs w:val="24"/>
                <w:highlight w:val="none"/>
              </w:rPr>
            </w:pPr>
            <w:r>
              <w:rPr>
                <w:rFonts w:hint="eastAsia"/>
                <w:color w:val="auto"/>
                <w:sz w:val="24"/>
                <w:szCs w:val="24"/>
                <w:highlight w:val="none"/>
              </w:rPr>
              <w:t>1.6</w:t>
            </w:r>
            <w:r>
              <w:rPr>
                <w:color w:val="auto"/>
                <w:sz w:val="24"/>
                <w:szCs w:val="24"/>
                <w:highlight w:val="none"/>
              </w:rPr>
              <w:t xml:space="preserve"> </w:t>
            </w:r>
            <w:r>
              <w:rPr>
                <w:rFonts w:hint="eastAsia"/>
                <w:color w:val="auto"/>
                <w:sz w:val="24"/>
                <w:szCs w:val="24"/>
                <w:highlight w:val="none"/>
              </w:rPr>
              <w:t>双方权利义务</w:t>
            </w:r>
          </w:p>
        </w:tc>
        <w:tc>
          <w:tcPr>
            <w:tcW w:w="1417" w:type="dxa"/>
            <w:vAlign w:val="center"/>
          </w:tcPr>
          <w:p w14:paraId="31BC333F">
            <w:pPr>
              <w:shd w:val="clear"/>
              <w:spacing w:line="320" w:lineRule="exact"/>
              <w:rPr>
                <w:color w:val="auto"/>
                <w:sz w:val="24"/>
                <w:szCs w:val="24"/>
                <w:highlight w:val="none"/>
              </w:rPr>
            </w:pPr>
          </w:p>
        </w:tc>
        <w:tc>
          <w:tcPr>
            <w:tcW w:w="4111" w:type="dxa"/>
            <w:vAlign w:val="center"/>
          </w:tcPr>
          <w:p w14:paraId="740A5983">
            <w:pPr>
              <w:shd w:val="clear"/>
              <w:spacing w:line="320" w:lineRule="exact"/>
              <w:rPr>
                <w:color w:val="auto"/>
                <w:sz w:val="24"/>
                <w:szCs w:val="24"/>
                <w:highlight w:val="none"/>
              </w:rPr>
            </w:pPr>
          </w:p>
        </w:tc>
      </w:tr>
      <w:tr w14:paraId="662C8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0277D292">
            <w:pPr>
              <w:shd w:val="clear"/>
              <w:spacing w:line="320" w:lineRule="exact"/>
              <w:rPr>
                <w:color w:val="auto"/>
                <w:sz w:val="24"/>
                <w:szCs w:val="24"/>
                <w:highlight w:val="none"/>
                <w:u w:val="single"/>
              </w:rPr>
            </w:pPr>
            <w:r>
              <w:rPr>
                <w:rFonts w:hint="eastAsia"/>
                <w:color w:val="auto"/>
                <w:sz w:val="24"/>
                <w:szCs w:val="24"/>
                <w:highlight w:val="none"/>
              </w:rPr>
              <w:t>1.</w:t>
            </w:r>
            <w:r>
              <w:rPr>
                <w:color w:val="auto"/>
                <w:sz w:val="24"/>
                <w:szCs w:val="24"/>
                <w:highlight w:val="none"/>
              </w:rPr>
              <w:t>7</w:t>
            </w:r>
            <w:r>
              <w:rPr>
                <w:rFonts w:hint="eastAsia"/>
                <w:color w:val="auto"/>
                <w:sz w:val="24"/>
                <w:szCs w:val="24"/>
                <w:highlight w:val="none"/>
              </w:rPr>
              <w:t xml:space="preserve"> 违约责任</w:t>
            </w:r>
          </w:p>
        </w:tc>
        <w:tc>
          <w:tcPr>
            <w:tcW w:w="1417" w:type="dxa"/>
            <w:vAlign w:val="center"/>
          </w:tcPr>
          <w:p w14:paraId="30B2DB38">
            <w:pPr>
              <w:shd w:val="clear"/>
              <w:spacing w:line="320" w:lineRule="exact"/>
              <w:rPr>
                <w:color w:val="auto"/>
                <w:sz w:val="24"/>
                <w:szCs w:val="24"/>
                <w:highlight w:val="none"/>
              </w:rPr>
            </w:pPr>
          </w:p>
        </w:tc>
        <w:tc>
          <w:tcPr>
            <w:tcW w:w="4111" w:type="dxa"/>
            <w:vAlign w:val="center"/>
          </w:tcPr>
          <w:p w14:paraId="763880AA">
            <w:pPr>
              <w:shd w:val="clear"/>
              <w:spacing w:line="320" w:lineRule="exact"/>
              <w:rPr>
                <w:color w:val="auto"/>
                <w:sz w:val="24"/>
                <w:szCs w:val="24"/>
                <w:highlight w:val="none"/>
              </w:rPr>
            </w:pPr>
          </w:p>
        </w:tc>
      </w:tr>
      <w:tr w14:paraId="5796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63CDB808">
            <w:pPr>
              <w:shd w:val="clear"/>
              <w:spacing w:line="320" w:lineRule="exact"/>
              <w:rPr>
                <w:color w:val="auto"/>
                <w:sz w:val="24"/>
                <w:szCs w:val="24"/>
                <w:highlight w:val="none"/>
              </w:rPr>
            </w:pPr>
            <w:r>
              <w:rPr>
                <w:rFonts w:hint="eastAsia"/>
                <w:color w:val="auto"/>
                <w:sz w:val="24"/>
                <w:szCs w:val="24"/>
                <w:highlight w:val="none"/>
              </w:rPr>
              <w:t>1.</w:t>
            </w:r>
            <w:r>
              <w:rPr>
                <w:color w:val="auto"/>
                <w:sz w:val="24"/>
                <w:szCs w:val="24"/>
                <w:highlight w:val="none"/>
              </w:rPr>
              <w:t>8</w:t>
            </w:r>
            <w:r>
              <w:rPr>
                <w:rFonts w:hint="eastAsia"/>
                <w:color w:val="auto"/>
                <w:sz w:val="24"/>
                <w:szCs w:val="24"/>
                <w:highlight w:val="none"/>
              </w:rPr>
              <w:t xml:space="preserve"> 合同</w:t>
            </w:r>
            <w:r>
              <w:rPr>
                <w:color w:val="auto"/>
                <w:sz w:val="24"/>
                <w:szCs w:val="24"/>
                <w:highlight w:val="none"/>
              </w:rPr>
              <w:t>争议的解决</w:t>
            </w:r>
          </w:p>
        </w:tc>
        <w:tc>
          <w:tcPr>
            <w:tcW w:w="1417" w:type="dxa"/>
            <w:vAlign w:val="center"/>
          </w:tcPr>
          <w:p w14:paraId="4E0D04F5">
            <w:pPr>
              <w:shd w:val="clear"/>
              <w:spacing w:line="320" w:lineRule="exact"/>
              <w:rPr>
                <w:color w:val="auto"/>
                <w:sz w:val="24"/>
                <w:szCs w:val="24"/>
                <w:highlight w:val="none"/>
              </w:rPr>
            </w:pPr>
          </w:p>
        </w:tc>
        <w:tc>
          <w:tcPr>
            <w:tcW w:w="4111" w:type="dxa"/>
            <w:vAlign w:val="center"/>
          </w:tcPr>
          <w:p w14:paraId="2E519392">
            <w:pPr>
              <w:shd w:val="clear"/>
              <w:spacing w:line="320" w:lineRule="exact"/>
              <w:rPr>
                <w:color w:val="auto"/>
                <w:sz w:val="24"/>
                <w:szCs w:val="24"/>
                <w:highlight w:val="none"/>
              </w:rPr>
            </w:pPr>
          </w:p>
        </w:tc>
      </w:tr>
      <w:tr w14:paraId="2D4C5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6ED3D909">
            <w:pPr>
              <w:shd w:val="clear"/>
              <w:spacing w:line="320" w:lineRule="exact"/>
              <w:rPr>
                <w:color w:val="auto"/>
                <w:sz w:val="24"/>
                <w:szCs w:val="24"/>
                <w:highlight w:val="none"/>
              </w:rPr>
            </w:pPr>
            <w:r>
              <w:rPr>
                <w:rFonts w:hint="eastAsia"/>
                <w:color w:val="auto"/>
                <w:sz w:val="24"/>
                <w:szCs w:val="24"/>
                <w:highlight w:val="none"/>
              </w:rPr>
              <w:t>1.</w:t>
            </w:r>
            <w:r>
              <w:rPr>
                <w:color w:val="auto"/>
                <w:sz w:val="24"/>
                <w:szCs w:val="24"/>
                <w:highlight w:val="none"/>
              </w:rPr>
              <w:t>9 合同生效</w:t>
            </w:r>
            <w:r>
              <w:rPr>
                <w:rFonts w:hint="eastAsia"/>
                <w:color w:val="auto"/>
                <w:sz w:val="24"/>
                <w:szCs w:val="24"/>
                <w:highlight w:val="none"/>
              </w:rPr>
              <w:t>及其他</w:t>
            </w:r>
          </w:p>
        </w:tc>
        <w:tc>
          <w:tcPr>
            <w:tcW w:w="1417" w:type="dxa"/>
            <w:vAlign w:val="center"/>
          </w:tcPr>
          <w:p w14:paraId="000FA983">
            <w:pPr>
              <w:shd w:val="clear"/>
              <w:spacing w:line="320" w:lineRule="exact"/>
              <w:rPr>
                <w:color w:val="auto"/>
                <w:sz w:val="24"/>
                <w:szCs w:val="24"/>
                <w:highlight w:val="none"/>
              </w:rPr>
            </w:pPr>
          </w:p>
        </w:tc>
        <w:tc>
          <w:tcPr>
            <w:tcW w:w="4111" w:type="dxa"/>
            <w:vAlign w:val="center"/>
          </w:tcPr>
          <w:p w14:paraId="44002756">
            <w:pPr>
              <w:shd w:val="clear"/>
              <w:spacing w:line="320" w:lineRule="exact"/>
              <w:rPr>
                <w:color w:val="auto"/>
                <w:sz w:val="24"/>
                <w:szCs w:val="24"/>
                <w:highlight w:val="none"/>
              </w:rPr>
            </w:pPr>
          </w:p>
        </w:tc>
      </w:tr>
      <w:tr w14:paraId="419F6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018A7794">
            <w:pPr>
              <w:shd w:val="clear"/>
              <w:spacing w:line="320" w:lineRule="exact"/>
              <w:rPr>
                <w:color w:val="auto"/>
                <w:sz w:val="24"/>
                <w:szCs w:val="24"/>
                <w:highlight w:val="none"/>
              </w:rPr>
            </w:pPr>
            <w:r>
              <w:rPr>
                <w:rFonts w:hint="eastAsia"/>
                <w:color w:val="auto"/>
                <w:sz w:val="24"/>
                <w:szCs w:val="24"/>
                <w:highlight w:val="none"/>
              </w:rPr>
              <w:t>2.1 定义</w:t>
            </w:r>
          </w:p>
        </w:tc>
        <w:tc>
          <w:tcPr>
            <w:tcW w:w="1417" w:type="dxa"/>
            <w:vAlign w:val="center"/>
          </w:tcPr>
          <w:p w14:paraId="702DCD03">
            <w:pPr>
              <w:shd w:val="clear"/>
              <w:spacing w:line="320" w:lineRule="exact"/>
              <w:rPr>
                <w:color w:val="auto"/>
                <w:sz w:val="24"/>
                <w:szCs w:val="24"/>
                <w:highlight w:val="none"/>
              </w:rPr>
            </w:pPr>
          </w:p>
        </w:tc>
        <w:tc>
          <w:tcPr>
            <w:tcW w:w="4111" w:type="dxa"/>
            <w:vAlign w:val="center"/>
          </w:tcPr>
          <w:p w14:paraId="6590022D">
            <w:pPr>
              <w:shd w:val="clear"/>
              <w:spacing w:line="320" w:lineRule="exact"/>
              <w:rPr>
                <w:color w:val="auto"/>
                <w:sz w:val="24"/>
                <w:szCs w:val="24"/>
                <w:highlight w:val="none"/>
              </w:rPr>
            </w:pPr>
          </w:p>
        </w:tc>
      </w:tr>
      <w:tr w14:paraId="37BE3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00D50711">
            <w:pPr>
              <w:shd w:val="clear"/>
              <w:spacing w:line="320" w:lineRule="exact"/>
              <w:rPr>
                <w:color w:val="auto"/>
                <w:sz w:val="24"/>
                <w:szCs w:val="24"/>
                <w:highlight w:val="none"/>
              </w:rPr>
            </w:pPr>
            <w:r>
              <w:rPr>
                <w:rFonts w:hint="eastAsia"/>
                <w:color w:val="auto"/>
                <w:sz w:val="24"/>
                <w:szCs w:val="24"/>
                <w:highlight w:val="none"/>
              </w:rPr>
              <w:t>2.</w:t>
            </w:r>
            <w:r>
              <w:rPr>
                <w:color w:val="auto"/>
                <w:sz w:val="24"/>
                <w:szCs w:val="24"/>
                <w:highlight w:val="none"/>
              </w:rPr>
              <w:t>2</w:t>
            </w:r>
            <w:r>
              <w:rPr>
                <w:rFonts w:hint="eastAsia"/>
                <w:color w:val="auto"/>
                <w:sz w:val="24"/>
                <w:szCs w:val="24"/>
                <w:highlight w:val="none"/>
              </w:rPr>
              <w:t xml:space="preserve"> </w:t>
            </w:r>
            <w:r>
              <w:rPr>
                <w:color w:val="auto"/>
                <w:sz w:val="24"/>
                <w:szCs w:val="24"/>
                <w:highlight w:val="none"/>
              </w:rPr>
              <w:t>技术规范</w:t>
            </w:r>
          </w:p>
        </w:tc>
        <w:tc>
          <w:tcPr>
            <w:tcW w:w="1417" w:type="dxa"/>
            <w:vAlign w:val="center"/>
          </w:tcPr>
          <w:p w14:paraId="2D2927D2">
            <w:pPr>
              <w:shd w:val="clear"/>
              <w:spacing w:line="320" w:lineRule="exact"/>
              <w:rPr>
                <w:color w:val="auto"/>
                <w:sz w:val="24"/>
                <w:szCs w:val="24"/>
                <w:highlight w:val="none"/>
              </w:rPr>
            </w:pPr>
          </w:p>
        </w:tc>
        <w:tc>
          <w:tcPr>
            <w:tcW w:w="4111" w:type="dxa"/>
            <w:vAlign w:val="center"/>
          </w:tcPr>
          <w:p w14:paraId="7E3F2A52">
            <w:pPr>
              <w:shd w:val="clear"/>
              <w:spacing w:line="320" w:lineRule="exact"/>
              <w:rPr>
                <w:color w:val="auto"/>
                <w:sz w:val="24"/>
                <w:szCs w:val="24"/>
                <w:highlight w:val="none"/>
              </w:rPr>
            </w:pPr>
          </w:p>
        </w:tc>
      </w:tr>
      <w:tr w14:paraId="752E3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288431F1">
            <w:pPr>
              <w:shd w:val="clear"/>
              <w:spacing w:line="320" w:lineRule="exact"/>
              <w:rPr>
                <w:color w:val="auto"/>
                <w:sz w:val="24"/>
                <w:szCs w:val="24"/>
                <w:highlight w:val="none"/>
              </w:rPr>
            </w:pPr>
            <w:r>
              <w:rPr>
                <w:rFonts w:hint="eastAsia"/>
                <w:color w:val="auto"/>
                <w:sz w:val="24"/>
                <w:szCs w:val="24"/>
                <w:highlight w:val="none"/>
              </w:rPr>
              <w:t>2.</w:t>
            </w:r>
            <w:r>
              <w:rPr>
                <w:color w:val="auto"/>
                <w:sz w:val="24"/>
                <w:szCs w:val="24"/>
                <w:highlight w:val="none"/>
              </w:rPr>
              <w:t>3</w:t>
            </w:r>
            <w:r>
              <w:rPr>
                <w:rFonts w:hint="eastAsia"/>
                <w:color w:val="auto"/>
                <w:sz w:val="24"/>
                <w:szCs w:val="24"/>
                <w:highlight w:val="none"/>
              </w:rPr>
              <w:t xml:space="preserve"> </w:t>
            </w:r>
            <w:r>
              <w:rPr>
                <w:color w:val="auto"/>
                <w:sz w:val="24"/>
                <w:szCs w:val="24"/>
                <w:highlight w:val="none"/>
              </w:rPr>
              <w:t>知识产权</w:t>
            </w:r>
          </w:p>
        </w:tc>
        <w:tc>
          <w:tcPr>
            <w:tcW w:w="1417" w:type="dxa"/>
            <w:vAlign w:val="center"/>
          </w:tcPr>
          <w:p w14:paraId="54F843A3">
            <w:pPr>
              <w:shd w:val="clear"/>
              <w:spacing w:line="320" w:lineRule="exact"/>
              <w:rPr>
                <w:color w:val="auto"/>
                <w:sz w:val="24"/>
                <w:szCs w:val="24"/>
                <w:highlight w:val="none"/>
              </w:rPr>
            </w:pPr>
          </w:p>
        </w:tc>
        <w:tc>
          <w:tcPr>
            <w:tcW w:w="4111" w:type="dxa"/>
            <w:vAlign w:val="center"/>
          </w:tcPr>
          <w:p w14:paraId="171E7052">
            <w:pPr>
              <w:shd w:val="clear"/>
              <w:spacing w:line="320" w:lineRule="exact"/>
              <w:rPr>
                <w:color w:val="auto"/>
                <w:sz w:val="24"/>
                <w:szCs w:val="24"/>
                <w:highlight w:val="none"/>
              </w:rPr>
            </w:pPr>
          </w:p>
        </w:tc>
      </w:tr>
      <w:tr w14:paraId="30B17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6F16A04A">
            <w:pPr>
              <w:shd w:val="clear"/>
              <w:spacing w:line="320" w:lineRule="exact"/>
              <w:rPr>
                <w:color w:val="auto"/>
                <w:sz w:val="24"/>
                <w:szCs w:val="24"/>
                <w:highlight w:val="none"/>
              </w:rPr>
            </w:pPr>
            <w:r>
              <w:rPr>
                <w:rFonts w:hint="eastAsia"/>
                <w:color w:val="auto"/>
                <w:sz w:val="24"/>
                <w:szCs w:val="24"/>
                <w:highlight w:val="none"/>
              </w:rPr>
              <w:t>2.4 履约检查和问题反馈</w:t>
            </w:r>
          </w:p>
        </w:tc>
        <w:tc>
          <w:tcPr>
            <w:tcW w:w="1417" w:type="dxa"/>
            <w:vAlign w:val="center"/>
          </w:tcPr>
          <w:p w14:paraId="1F729A43">
            <w:pPr>
              <w:shd w:val="clear"/>
              <w:spacing w:line="320" w:lineRule="exact"/>
              <w:rPr>
                <w:color w:val="auto"/>
                <w:sz w:val="24"/>
                <w:szCs w:val="24"/>
                <w:highlight w:val="none"/>
              </w:rPr>
            </w:pPr>
          </w:p>
        </w:tc>
        <w:tc>
          <w:tcPr>
            <w:tcW w:w="4111" w:type="dxa"/>
            <w:vAlign w:val="center"/>
          </w:tcPr>
          <w:p w14:paraId="42CEC69F">
            <w:pPr>
              <w:shd w:val="clear"/>
              <w:spacing w:line="320" w:lineRule="exact"/>
              <w:rPr>
                <w:color w:val="auto"/>
                <w:sz w:val="24"/>
                <w:szCs w:val="24"/>
                <w:highlight w:val="none"/>
              </w:rPr>
            </w:pPr>
          </w:p>
        </w:tc>
      </w:tr>
      <w:tr w14:paraId="3E6A2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19955747">
            <w:pPr>
              <w:shd w:val="clear"/>
              <w:spacing w:line="320" w:lineRule="exact"/>
              <w:rPr>
                <w:color w:val="auto"/>
                <w:sz w:val="24"/>
                <w:szCs w:val="24"/>
                <w:highlight w:val="none"/>
              </w:rPr>
            </w:pPr>
            <w:r>
              <w:rPr>
                <w:rFonts w:hint="eastAsia"/>
                <w:color w:val="auto"/>
                <w:sz w:val="24"/>
                <w:szCs w:val="24"/>
                <w:highlight w:val="none"/>
              </w:rPr>
              <w:t>2.</w:t>
            </w:r>
            <w:r>
              <w:rPr>
                <w:color w:val="auto"/>
                <w:sz w:val="24"/>
                <w:szCs w:val="24"/>
                <w:highlight w:val="none"/>
              </w:rPr>
              <w:t>5</w:t>
            </w:r>
            <w:r>
              <w:rPr>
                <w:rFonts w:hint="eastAsia"/>
                <w:color w:val="auto"/>
                <w:sz w:val="24"/>
                <w:szCs w:val="24"/>
                <w:highlight w:val="none"/>
              </w:rPr>
              <w:t xml:space="preserve"> </w:t>
            </w:r>
            <w:r>
              <w:rPr>
                <w:color w:val="auto"/>
                <w:sz w:val="24"/>
                <w:szCs w:val="24"/>
                <w:highlight w:val="none"/>
              </w:rPr>
              <w:t>技术资料和保密义务</w:t>
            </w:r>
          </w:p>
        </w:tc>
        <w:tc>
          <w:tcPr>
            <w:tcW w:w="1417" w:type="dxa"/>
            <w:vAlign w:val="center"/>
          </w:tcPr>
          <w:p w14:paraId="199DAFC8">
            <w:pPr>
              <w:shd w:val="clear"/>
              <w:spacing w:line="320" w:lineRule="exact"/>
              <w:rPr>
                <w:color w:val="auto"/>
                <w:sz w:val="24"/>
                <w:szCs w:val="24"/>
                <w:highlight w:val="none"/>
              </w:rPr>
            </w:pPr>
          </w:p>
        </w:tc>
        <w:tc>
          <w:tcPr>
            <w:tcW w:w="4111" w:type="dxa"/>
            <w:vAlign w:val="center"/>
          </w:tcPr>
          <w:p w14:paraId="067404F1">
            <w:pPr>
              <w:shd w:val="clear"/>
              <w:spacing w:line="320" w:lineRule="exact"/>
              <w:rPr>
                <w:color w:val="auto"/>
                <w:sz w:val="24"/>
                <w:szCs w:val="24"/>
                <w:highlight w:val="none"/>
              </w:rPr>
            </w:pPr>
          </w:p>
        </w:tc>
      </w:tr>
      <w:tr w14:paraId="20C66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0ECBEBEE">
            <w:pPr>
              <w:shd w:val="clear"/>
              <w:spacing w:line="320" w:lineRule="exact"/>
              <w:rPr>
                <w:color w:val="auto"/>
                <w:sz w:val="24"/>
                <w:szCs w:val="24"/>
                <w:highlight w:val="none"/>
              </w:rPr>
            </w:pPr>
            <w:r>
              <w:rPr>
                <w:rFonts w:hint="eastAsia"/>
                <w:color w:val="auto"/>
                <w:sz w:val="24"/>
                <w:szCs w:val="24"/>
                <w:highlight w:val="none"/>
              </w:rPr>
              <w:t>2.</w:t>
            </w:r>
            <w:r>
              <w:rPr>
                <w:color w:val="auto"/>
                <w:sz w:val="24"/>
                <w:szCs w:val="24"/>
                <w:highlight w:val="none"/>
              </w:rPr>
              <w:t>6</w:t>
            </w:r>
            <w:r>
              <w:rPr>
                <w:rFonts w:hint="eastAsia"/>
                <w:color w:val="auto"/>
                <w:sz w:val="24"/>
                <w:szCs w:val="24"/>
                <w:highlight w:val="none"/>
              </w:rPr>
              <w:t xml:space="preserve"> 质量保证</w:t>
            </w:r>
          </w:p>
        </w:tc>
        <w:tc>
          <w:tcPr>
            <w:tcW w:w="1417" w:type="dxa"/>
            <w:vAlign w:val="center"/>
          </w:tcPr>
          <w:p w14:paraId="7C13D549">
            <w:pPr>
              <w:shd w:val="clear"/>
              <w:spacing w:line="320" w:lineRule="exact"/>
              <w:rPr>
                <w:color w:val="auto"/>
                <w:sz w:val="24"/>
                <w:szCs w:val="24"/>
                <w:highlight w:val="none"/>
              </w:rPr>
            </w:pPr>
          </w:p>
        </w:tc>
        <w:tc>
          <w:tcPr>
            <w:tcW w:w="4111" w:type="dxa"/>
            <w:vAlign w:val="center"/>
          </w:tcPr>
          <w:p w14:paraId="7BE9B7AA">
            <w:pPr>
              <w:shd w:val="clear"/>
              <w:spacing w:line="320" w:lineRule="exact"/>
              <w:rPr>
                <w:color w:val="auto"/>
                <w:sz w:val="24"/>
                <w:szCs w:val="24"/>
                <w:highlight w:val="none"/>
              </w:rPr>
            </w:pPr>
          </w:p>
        </w:tc>
      </w:tr>
      <w:tr w14:paraId="164DA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7BECDF83">
            <w:pPr>
              <w:shd w:val="clear"/>
              <w:spacing w:line="320" w:lineRule="exact"/>
              <w:rPr>
                <w:color w:val="auto"/>
                <w:sz w:val="24"/>
                <w:szCs w:val="24"/>
                <w:highlight w:val="none"/>
              </w:rPr>
            </w:pPr>
            <w:r>
              <w:rPr>
                <w:rFonts w:hint="eastAsia"/>
                <w:color w:val="auto"/>
                <w:sz w:val="24"/>
                <w:szCs w:val="24"/>
                <w:highlight w:val="none"/>
              </w:rPr>
              <w:t>2.</w:t>
            </w:r>
            <w:r>
              <w:rPr>
                <w:color w:val="auto"/>
                <w:sz w:val="24"/>
                <w:szCs w:val="24"/>
                <w:highlight w:val="none"/>
              </w:rPr>
              <w:t>7</w:t>
            </w:r>
            <w:r>
              <w:rPr>
                <w:rFonts w:hint="eastAsia"/>
                <w:color w:val="auto"/>
                <w:sz w:val="24"/>
                <w:szCs w:val="24"/>
                <w:highlight w:val="none"/>
              </w:rPr>
              <w:t xml:space="preserve"> 延迟履行</w:t>
            </w:r>
          </w:p>
        </w:tc>
        <w:tc>
          <w:tcPr>
            <w:tcW w:w="1417" w:type="dxa"/>
            <w:vAlign w:val="center"/>
          </w:tcPr>
          <w:p w14:paraId="3FF21436">
            <w:pPr>
              <w:shd w:val="clear"/>
              <w:spacing w:line="320" w:lineRule="exact"/>
              <w:rPr>
                <w:color w:val="auto"/>
                <w:sz w:val="24"/>
                <w:szCs w:val="24"/>
                <w:highlight w:val="none"/>
              </w:rPr>
            </w:pPr>
          </w:p>
        </w:tc>
        <w:tc>
          <w:tcPr>
            <w:tcW w:w="4111" w:type="dxa"/>
            <w:vAlign w:val="center"/>
          </w:tcPr>
          <w:p w14:paraId="398A2092">
            <w:pPr>
              <w:shd w:val="clear"/>
              <w:spacing w:line="320" w:lineRule="exact"/>
              <w:rPr>
                <w:color w:val="auto"/>
                <w:sz w:val="24"/>
                <w:szCs w:val="24"/>
                <w:highlight w:val="none"/>
              </w:rPr>
            </w:pPr>
          </w:p>
        </w:tc>
      </w:tr>
      <w:tr w14:paraId="75350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38216AC5">
            <w:pPr>
              <w:shd w:val="clear"/>
              <w:spacing w:line="320" w:lineRule="exact"/>
              <w:rPr>
                <w:sz w:val="24"/>
                <w:szCs w:val="24"/>
                <w:highlight w:val="none"/>
              </w:rPr>
            </w:pPr>
            <w:r>
              <w:rPr>
                <w:rFonts w:hint="eastAsia"/>
                <w:sz w:val="24"/>
                <w:szCs w:val="24"/>
                <w:highlight w:val="none"/>
              </w:rPr>
              <w:t>2.</w:t>
            </w:r>
            <w:r>
              <w:rPr>
                <w:sz w:val="24"/>
                <w:szCs w:val="24"/>
                <w:highlight w:val="none"/>
              </w:rPr>
              <w:t>8</w:t>
            </w:r>
            <w:r>
              <w:rPr>
                <w:rFonts w:hint="eastAsia"/>
                <w:sz w:val="24"/>
                <w:szCs w:val="24"/>
                <w:highlight w:val="none"/>
              </w:rPr>
              <w:t xml:space="preserve"> 合同变更</w:t>
            </w:r>
          </w:p>
        </w:tc>
        <w:tc>
          <w:tcPr>
            <w:tcW w:w="1417" w:type="dxa"/>
            <w:vAlign w:val="center"/>
          </w:tcPr>
          <w:p w14:paraId="69811EB9">
            <w:pPr>
              <w:shd w:val="clear"/>
              <w:spacing w:line="320" w:lineRule="exact"/>
              <w:rPr>
                <w:sz w:val="24"/>
                <w:szCs w:val="24"/>
                <w:highlight w:val="none"/>
              </w:rPr>
            </w:pPr>
          </w:p>
        </w:tc>
        <w:tc>
          <w:tcPr>
            <w:tcW w:w="4111" w:type="dxa"/>
            <w:vAlign w:val="center"/>
          </w:tcPr>
          <w:p w14:paraId="195F015C">
            <w:pPr>
              <w:shd w:val="clear"/>
              <w:spacing w:line="320" w:lineRule="exact"/>
              <w:rPr>
                <w:sz w:val="24"/>
                <w:szCs w:val="24"/>
                <w:highlight w:val="none"/>
              </w:rPr>
            </w:pPr>
          </w:p>
        </w:tc>
      </w:tr>
      <w:tr w14:paraId="66FC2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12736870">
            <w:pPr>
              <w:shd w:val="clear"/>
              <w:spacing w:line="320" w:lineRule="exact"/>
              <w:rPr>
                <w:sz w:val="24"/>
                <w:szCs w:val="24"/>
                <w:highlight w:val="none"/>
              </w:rPr>
            </w:pPr>
            <w:r>
              <w:rPr>
                <w:rFonts w:hint="eastAsia"/>
                <w:sz w:val="24"/>
                <w:szCs w:val="24"/>
                <w:highlight w:val="none"/>
              </w:rPr>
              <w:t>2.</w:t>
            </w:r>
            <w:r>
              <w:rPr>
                <w:sz w:val="24"/>
                <w:szCs w:val="24"/>
                <w:highlight w:val="none"/>
              </w:rPr>
              <w:t>9</w:t>
            </w:r>
            <w:r>
              <w:rPr>
                <w:rFonts w:hint="eastAsia"/>
                <w:sz w:val="24"/>
                <w:szCs w:val="24"/>
                <w:highlight w:val="none"/>
              </w:rPr>
              <w:t xml:space="preserve"> </w:t>
            </w:r>
            <w:r>
              <w:rPr>
                <w:sz w:val="24"/>
                <w:szCs w:val="24"/>
                <w:highlight w:val="none"/>
              </w:rPr>
              <w:t>合同转让和分包</w:t>
            </w:r>
          </w:p>
        </w:tc>
        <w:tc>
          <w:tcPr>
            <w:tcW w:w="1417" w:type="dxa"/>
            <w:vAlign w:val="center"/>
          </w:tcPr>
          <w:p w14:paraId="0213B2C0">
            <w:pPr>
              <w:shd w:val="clear"/>
              <w:spacing w:line="320" w:lineRule="exact"/>
              <w:rPr>
                <w:sz w:val="24"/>
                <w:szCs w:val="24"/>
                <w:highlight w:val="none"/>
              </w:rPr>
            </w:pPr>
          </w:p>
        </w:tc>
        <w:tc>
          <w:tcPr>
            <w:tcW w:w="4111" w:type="dxa"/>
            <w:vAlign w:val="center"/>
          </w:tcPr>
          <w:p w14:paraId="76190BD4">
            <w:pPr>
              <w:shd w:val="clear"/>
              <w:spacing w:line="320" w:lineRule="exact"/>
              <w:rPr>
                <w:sz w:val="24"/>
                <w:szCs w:val="24"/>
                <w:highlight w:val="none"/>
              </w:rPr>
            </w:pPr>
          </w:p>
        </w:tc>
      </w:tr>
      <w:tr w14:paraId="2499D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6413028D">
            <w:pPr>
              <w:shd w:val="clear"/>
              <w:spacing w:line="320" w:lineRule="exact"/>
              <w:rPr>
                <w:sz w:val="24"/>
                <w:szCs w:val="24"/>
                <w:highlight w:val="none"/>
              </w:rPr>
            </w:pPr>
            <w:r>
              <w:rPr>
                <w:rFonts w:hint="eastAsia"/>
                <w:sz w:val="24"/>
                <w:szCs w:val="24"/>
                <w:highlight w:val="none"/>
              </w:rPr>
              <w:t>2.1</w:t>
            </w:r>
            <w:r>
              <w:rPr>
                <w:sz w:val="24"/>
                <w:szCs w:val="24"/>
                <w:highlight w:val="none"/>
              </w:rPr>
              <w:t>0 不可抗力</w:t>
            </w:r>
          </w:p>
        </w:tc>
        <w:tc>
          <w:tcPr>
            <w:tcW w:w="1417" w:type="dxa"/>
            <w:vAlign w:val="center"/>
          </w:tcPr>
          <w:p w14:paraId="0A6A135C">
            <w:pPr>
              <w:shd w:val="clear"/>
              <w:spacing w:line="320" w:lineRule="exact"/>
              <w:rPr>
                <w:sz w:val="24"/>
                <w:szCs w:val="24"/>
                <w:highlight w:val="none"/>
              </w:rPr>
            </w:pPr>
          </w:p>
        </w:tc>
        <w:tc>
          <w:tcPr>
            <w:tcW w:w="4111" w:type="dxa"/>
            <w:vAlign w:val="center"/>
          </w:tcPr>
          <w:p w14:paraId="42D5F54F">
            <w:pPr>
              <w:shd w:val="clear"/>
              <w:spacing w:line="320" w:lineRule="exact"/>
              <w:rPr>
                <w:sz w:val="24"/>
                <w:szCs w:val="24"/>
                <w:highlight w:val="none"/>
              </w:rPr>
            </w:pPr>
          </w:p>
        </w:tc>
      </w:tr>
      <w:tr w14:paraId="06EC2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0E51EDED">
            <w:pPr>
              <w:shd w:val="clear"/>
              <w:spacing w:line="320" w:lineRule="exact"/>
              <w:rPr>
                <w:sz w:val="24"/>
                <w:szCs w:val="24"/>
                <w:highlight w:val="none"/>
              </w:rPr>
            </w:pPr>
            <w:r>
              <w:rPr>
                <w:rFonts w:hint="eastAsia"/>
                <w:sz w:val="24"/>
                <w:szCs w:val="24"/>
                <w:highlight w:val="none"/>
              </w:rPr>
              <w:t>2.</w:t>
            </w:r>
            <w:r>
              <w:rPr>
                <w:sz w:val="24"/>
                <w:szCs w:val="24"/>
                <w:highlight w:val="none"/>
              </w:rPr>
              <w:t>11</w:t>
            </w:r>
            <w:r>
              <w:rPr>
                <w:rFonts w:hint="eastAsia"/>
                <w:sz w:val="24"/>
                <w:szCs w:val="24"/>
                <w:highlight w:val="none"/>
              </w:rPr>
              <w:t xml:space="preserve"> </w:t>
            </w:r>
            <w:r>
              <w:rPr>
                <w:sz w:val="24"/>
                <w:szCs w:val="24"/>
                <w:highlight w:val="none"/>
              </w:rPr>
              <w:t>税费</w:t>
            </w:r>
          </w:p>
        </w:tc>
        <w:tc>
          <w:tcPr>
            <w:tcW w:w="1417" w:type="dxa"/>
            <w:vAlign w:val="center"/>
          </w:tcPr>
          <w:p w14:paraId="1B7C092C">
            <w:pPr>
              <w:shd w:val="clear"/>
              <w:spacing w:line="320" w:lineRule="exact"/>
              <w:rPr>
                <w:sz w:val="24"/>
                <w:szCs w:val="24"/>
                <w:highlight w:val="none"/>
              </w:rPr>
            </w:pPr>
          </w:p>
        </w:tc>
        <w:tc>
          <w:tcPr>
            <w:tcW w:w="4111" w:type="dxa"/>
            <w:vAlign w:val="center"/>
          </w:tcPr>
          <w:p w14:paraId="1C14D706">
            <w:pPr>
              <w:shd w:val="clear"/>
              <w:spacing w:line="320" w:lineRule="exact"/>
              <w:rPr>
                <w:sz w:val="24"/>
                <w:szCs w:val="24"/>
                <w:highlight w:val="none"/>
              </w:rPr>
            </w:pPr>
          </w:p>
        </w:tc>
      </w:tr>
      <w:tr w14:paraId="3CB1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45F446F1">
            <w:pPr>
              <w:shd w:val="clear"/>
              <w:spacing w:line="320" w:lineRule="exact"/>
              <w:rPr>
                <w:sz w:val="24"/>
                <w:szCs w:val="24"/>
                <w:highlight w:val="none"/>
              </w:rPr>
            </w:pPr>
            <w:r>
              <w:rPr>
                <w:rFonts w:hint="eastAsia"/>
                <w:sz w:val="24"/>
                <w:szCs w:val="24"/>
                <w:highlight w:val="none"/>
              </w:rPr>
              <w:t>2.</w:t>
            </w:r>
            <w:r>
              <w:rPr>
                <w:sz w:val="24"/>
                <w:szCs w:val="24"/>
                <w:highlight w:val="none"/>
              </w:rPr>
              <w:t>12</w:t>
            </w:r>
            <w:r>
              <w:rPr>
                <w:rFonts w:hint="eastAsia"/>
                <w:sz w:val="24"/>
                <w:szCs w:val="24"/>
                <w:highlight w:val="none"/>
              </w:rPr>
              <w:t xml:space="preserve"> </w:t>
            </w:r>
            <w:r>
              <w:rPr>
                <w:sz w:val="24"/>
                <w:szCs w:val="24"/>
                <w:highlight w:val="none"/>
              </w:rPr>
              <w:t>乙方破产</w:t>
            </w:r>
          </w:p>
        </w:tc>
        <w:tc>
          <w:tcPr>
            <w:tcW w:w="1417" w:type="dxa"/>
            <w:vAlign w:val="center"/>
          </w:tcPr>
          <w:p w14:paraId="0854287F">
            <w:pPr>
              <w:shd w:val="clear"/>
              <w:spacing w:line="320" w:lineRule="exact"/>
              <w:rPr>
                <w:sz w:val="24"/>
                <w:szCs w:val="24"/>
                <w:highlight w:val="none"/>
              </w:rPr>
            </w:pPr>
          </w:p>
        </w:tc>
        <w:tc>
          <w:tcPr>
            <w:tcW w:w="4111" w:type="dxa"/>
            <w:vAlign w:val="center"/>
          </w:tcPr>
          <w:p w14:paraId="0926D1B7">
            <w:pPr>
              <w:shd w:val="clear"/>
              <w:spacing w:line="320" w:lineRule="exact"/>
              <w:rPr>
                <w:sz w:val="24"/>
                <w:szCs w:val="24"/>
                <w:highlight w:val="none"/>
              </w:rPr>
            </w:pPr>
          </w:p>
        </w:tc>
      </w:tr>
      <w:tr w14:paraId="3E3D7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0BFE2877">
            <w:pPr>
              <w:shd w:val="clear"/>
              <w:spacing w:line="320" w:lineRule="exact"/>
              <w:rPr>
                <w:sz w:val="24"/>
                <w:szCs w:val="24"/>
                <w:highlight w:val="none"/>
              </w:rPr>
            </w:pPr>
            <w:r>
              <w:rPr>
                <w:sz w:val="24"/>
                <w:szCs w:val="24"/>
                <w:highlight w:val="none"/>
              </w:rPr>
              <w:t>2.13 合同中止、终止</w:t>
            </w:r>
          </w:p>
        </w:tc>
        <w:tc>
          <w:tcPr>
            <w:tcW w:w="1417" w:type="dxa"/>
            <w:vAlign w:val="center"/>
          </w:tcPr>
          <w:p w14:paraId="01E912AA">
            <w:pPr>
              <w:shd w:val="clear"/>
              <w:spacing w:line="320" w:lineRule="exact"/>
              <w:rPr>
                <w:sz w:val="24"/>
                <w:szCs w:val="24"/>
                <w:highlight w:val="none"/>
              </w:rPr>
            </w:pPr>
          </w:p>
        </w:tc>
        <w:tc>
          <w:tcPr>
            <w:tcW w:w="4111" w:type="dxa"/>
            <w:vAlign w:val="center"/>
          </w:tcPr>
          <w:p w14:paraId="5088F348">
            <w:pPr>
              <w:shd w:val="clear"/>
              <w:spacing w:line="320" w:lineRule="exact"/>
              <w:rPr>
                <w:sz w:val="24"/>
                <w:szCs w:val="24"/>
                <w:highlight w:val="none"/>
              </w:rPr>
            </w:pPr>
          </w:p>
        </w:tc>
      </w:tr>
      <w:tr w14:paraId="71BCF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766F0DBC">
            <w:pPr>
              <w:shd w:val="clear"/>
              <w:spacing w:line="320" w:lineRule="exact"/>
              <w:rPr>
                <w:sz w:val="24"/>
                <w:szCs w:val="24"/>
                <w:highlight w:val="none"/>
              </w:rPr>
            </w:pPr>
            <w:r>
              <w:rPr>
                <w:rFonts w:hint="eastAsia"/>
                <w:sz w:val="24"/>
                <w:szCs w:val="24"/>
                <w:highlight w:val="none"/>
              </w:rPr>
              <w:t>2</w:t>
            </w:r>
            <w:r>
              <w:rPr>
                <w:sz w:val="24"/>
                <w:szCs w:val="24"/>
                <w:highlight w:val="none"/>
              </w:rPr>
              <w:t>.14</w:t>
            </w:r>
            <w:r>
              <w:rPr>
                <w:rFonts w:hint="eastAsia"/>
                <w:sz w:val="24"/>
                <w:szCs w:val="24"/>
                <w:highlight w:val="none"/>
              </w:rPr>
              <w:t xml:space="preserve"> </w:t>
            </w:r>
            <w:r>
              <w:rPr>
                <w:sz w:val="24"/>
                <w:szCs w:val="24"/>
                <w:highlight w:val="none"/>
              </w:rPr>
              <w:t>通知和送达</w:t>
            </w:r>
          </w:p>
        </w:tc>
        <w:tc>
          <w:tcPr>
            <w:tcW w:w="1417" w:type="dxa"/>
            <w:vAlign w:val="center"/>
          </w:tcPr>
          <w:p w14:paraId="4D136D66">
            <w:pPr>
              <w:shd w:val="clear"/>
              <w:spacing w:line="320" w:lineRule="exact"/>
              <w:rPr>
                <w:sz w:val="24"/>
                <w:szCs w:val="24"/>
                <w:highlight w:val="none"/>
              </w:rPr>
            </w:pPr>
          </w:p>
        </w:tc>
        <w:tc>
          <w:tcPr>
            <w:tcW w:w="4111" w:type="dxa"/>
            <w:vAlign w:val="center"/>
          </w:tcPr>
          <w:p w14:paraId="1044FD64">
            <w:pPr>
              <w:shd w:val="clear"/>
              <w:spacing w:line="320" w:lineRule="exact"/>
              <w:rPr>
                <w:sz w:val="24"/>
                <w:szCs w:val="24"/>
                <w:highlight w:val="none"/>
              </w:rPr>
            </w:pPr>
          </w:p>
        </w:tc>
      </w:tr>
      <w:tr w14:paraId="46FF1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75619D09">
            <w:pPr>
              <w:shd w:val="clear"/>
              <w:spacing w:line="320" w:lineRule="exact"/>
              <w:rPr>
                <w:sz w:val="24"/>
                <w:szCs w:val="24"/>
                <w:highlight w:val="none"/>
              </w:rPr>
            </w:pPr>
            <w:r>
              <w:rPr>
                <w:rFonts w:hint="eastAsia"/>
                <w:sz w:val="24"/>
                <w:szCs w:val="24"/>
                <w:highlight w:val="none"/>
              </w:rPr>
              <w:t>2</w:t>
            </w:r>
            <w:r>
              <w:rPr>
                <w:sz w:val="24"/>
                <w:szCs w:val="24"/>
                <w:highlight w:val="none"/>
              </w:rPr>
              <w:t>.15</w:t>
            </w:r>
            <w:r>
              <w:rPr>
                <w:rFonts w:hint="eastAsia"/>
                <w:sz w:val="24"/>
                <w:szCs w:val="24"/>
                <w:highlight w:val="none"/>
              </w:rPr>
              <w:t xml:space="preserve"> 合同使用的文字和</w:t>
            </w:r>
            <w:r>
              <w:rPr>
                <w:sz w:val="24"/>
                <w:szCs w:val="24"/>
                <w:highlight w:val="none"/>
              </w:rPr>
              <w:t>适用的法律</w:t>
            </w:r>
          </w:p>
        </w:tc>
        <w:tc>
          <w:tcPr>
            <w:tcW w:w="1417" w:type="dxa"/>
            <w:vAlign w:val="center"/>
          </w:tcPr>
          <w:p w14:paraId="6A898C01">
            <w:pPr>
              <w:shd w:val="clear"/>
              <w:spacing w:line="320" w:lineRule="exact"/>
              <w:rPr>
                <w:sz w:val="24"/>
                <w:szCs w:val="24"/>
                <w:highlight w:val="none"/>
              </w:rPr>
            </w:pPr>
          </w:p>
        </w:tc>
        <w:tc>
          <w:tcPr>
            <w:tcW w:w="4111" w:type="dxa"/>
            <w:vAlign w:val="center"/>
          </w:tcPr>
          <w:p w14:paraId="11006202">
            <w:pPr>
              <w:shd w:val="clear"/>
              <w:spacing w:line="320" w:lineRule="exact"/>
              <w:rPr>
                <w:sz w:val="24"/>
                <w:szCs w:val="24"/>
                <w:highlight w:val="none"/>
              </w:rPr>
            </w:pPr>
          </w:p>
        </w:tc>
      </w:tr>
      <w:tr w14:paraId="1A1CA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43" w:type="dxa"/>
            <w:vAlign w:val="center"/>
          </w:tcPr>
          <w:p w14:paraId="1650F27E">
            <w:pPr>
              <w:shd w:val="clear"/>
              <w:spacing w:line="320" w:lineRule="exact"/>
              <w:rPr>
                <w:sz w:val="24"/>
                <w:szCs w:val="24"/>
                <w:highlight w:val="none"/>
              </w:rPr>
            </w:pPr>
            <w:r>
              <w:rPr>
                <w:rFonts w:hint="eastAsia"/>
                <w:sz w:val="24"/>
                <w:szCs w:val="24"/>
                <w:highlight w:val="none"/>
              </w:rPr>
              <w:t>2</w:t>
            </w:r>
            <w:r>
              <w:rPr>
                <w:sz w:val="24"/>
                <w:szCs w:val="24"/>
                <w:highlight w:val="none"/>
              </w:rPr>
              <w:t>.16</w:t>
            </w:r>
            <w:r>
              <w:rPr>
                <w:rFonts w:hint="eastAsia"/>
                <w:sz w:val="24"/>
                <w:szCs w:val="24"/>
                <w:highlight w:val="none"/>
              </w:rPr>
              <w:t xml:space="preserve"> </w:t>
            </w:r>
            <w:r>
              <w:rPr>
                <w:sz w:val="24"/>
                <w:szCs w:val="24"/>
                <w:highlight w:val="none"/>
              </w:rPr>
              <w:t>履约保证金</w:t>
            </w:r>
          </w:p>
        </w:tc>
        <w:tc>
          <w:tcPr>
            <w:tcW w:w="1417" w:type="dxa"/>
            <w:vAlign w:val="center"/>
          </w:tcPr>
          <w:p w14:paraId="690FD545">
            <w:pPr>
              <w:shd w:val="clear"/>
              <w:spacing w:line="320" w:lineRule="exact"/>
              <w:rPr>
                <w:sz w:val="24"/>
                <w:szCs w:val="24"/>
                <w:highlight w:val="none"/>
              </w:rPr>
            </w:pPr>
          </w:p>
        </w:tc>
        <w:tc>
          <w:tcPr>
            <w:tcW w:w="4111" w:type="dxa"/>
            <w:vAlign w:val="center"/>
          </w:tcPr>
          <w:p w14:paraId="5814A223">
            <w:pPr>
              <w:shd w:val="clear"/>
              <w:spacing w:line="320" w:lineRule="exact"/>
              <w:rPr>
                <w:sz w:val="24"/>
                <w:szCs w:val="24"/>
                <w:highlight w:val="none"/>
              </w:rPr>
            </w:pPr>
          </w:p>
        </w:tc>
      </w:tr>
    </w:tbl>
    <w:p w14:paraId="36ADF102">
      <w:pPr>
        <w:shd w:val="clear"/>
        <w:spacing w:line="480" w:lineRule="exact"/>
        <w:rPr>
          <w:rFonts w:ascii="宋体" w:hAnsi="宋体" w:cs="宋体"/>
          <w:sz w:val="24"/>
          <w:szCs w:val="24"/>
          <w:highlight w:val="none"/>
        </w:rPr>
      </w:pPr>
      <w:r>
        <w:rPr>
          <w:rFonts w:hint="eastAsia" w:ascii="宋体" w:hAnsi="宋体" w:cs="宋体"/>
          <w:sz w:val="24"/>
          <w:szCs w:val="24"/>
          <w:highlight w:val="none"/>
        </w:rPr>
        <w:t>注：1、投标人应据实、详细填写上述表格，因表述含糊导致的评标风险将由投标人承担。</w:t>
      </w:r>
    </w:p>
    <w:p w14:paraId="2E67B974">
      <w:pPr>
        <w:shd w:val="clear"/>
        <w:spacing w:line="480" w:lineRule="exact"/>
        <w:ind w:firstLine="480" w:firstLineChars="200"/>
        <w:rPr>
          <w:rFonts w:ascii="宋体" w:hAnsi="宋体" w:cs="宋体"/>
          <w:b/>
          <w:bCs/>
          <w:sz w:val="24"/>
          <w:szCs w:val="24"/>
          <w:highlight w:val="none"/>
        </w:rPr>
      </w:pPr>
      <w:r>
        <w:rPr>
          <w:rFonts w:hint="eastAsia" w:ascii="宋体" w:hAnsi="宋体" w:cs="宋体"/>
          <w:sz w:val="24"/>
          <w:szCs w:val="24"/>
          <w:highlight w:val="none"/>
        </w:rPr>
        <w:t>2、若无偏离，在“有无偏离”栏中填写“无”；若有偏离在“有无偏离”栏中填写“有”并在“偏离内容及原因”栏中作出说明。</w:t>
      </w:r>
    </w:p>
    <w:p w14:paraId="782F4858">
      <w:pPr>
        <w:shd w:val="clear"/>
        <w:spacing w:line="480" w:lineRule="exact"/>
        <w:ind w:firstLine="482" w:firstLineChars="200"/>
        <w:rPr>
          <w:rFonts w:ascii="宋体" w:hAnsi="宋体" w:cs="宋体"/>
          <w:b/>
          <w:bCs/>
          <w:sz w:val="24"/>
          <w:szCs w:val="24"/>
          <w:highlight w:val="none"/>
        </w:rPr>
      </w:pPr>
      <w:r>
        <w:rPr>
          <w:rFonts w:hint="eastAsia" w:ascii="宋体" w:hAnsi="宋体" w:cs="宋体"/>
          <w:b/>
          <w:bCs/>
          <w:sz w:val="24"/>
          <w:szCs w:val="24"/>
          <w:highlight w:val="none"/>
        </w:rPr>
        <w:t>3、投标人如不能满足本项目的付款方式，将作无效投标处理。</w:t>
      </w:r>
    </w:p>
    <w:p w14:paraId="386BCD60">
      <w:pPr>
        <w:pStyle w:val="171"/>
        <w:shd w:val="clear"/>
        <w:jc w:val="center"/>
        <w:outlineLvl w:val="1"/>
        <w:rPr>
          <w:rFonts w:hint="eastAsia"/>
          <w:color w:val="000000" w:themeColor="text1"/>
          <w:highlight w:val="none"/>
          <w:lang w:val="en-US" w:eastAsia="zh-CN"/>
          <w14:textFill>
            <w14:solidFill>
              <w14:schemeClr w14:val="tx1"/>
            </w14:solidFill>
          </w14:textFill>
        </w:rPr>
      </w:pPr>
      <w:bookmarkStart w:id="345" w:name="_Toc12956"/>
      <w:bookmarkStart w:id="346" w:name="_Toc42157468"/>
      <w:bookmarkStart w:id="347" w:name="_Toc31580"/>
      <w:r>
        <w:rPr>
          <w:rFonts w:hint="eastAsia"/>
          <w:color w:val="000000" w:themeColor="text1"/>
          <w:highlight w:val="none"/>
          <w14:textFill>
            <w14:solidFill>
              <w14:schemeClr w14:val="tx1"/>
            </w14:solidFill>
          </w14:textFill>
        </w:rPr>
        <w:t>附件1</w:t>
      </w:r>
      <w:r>
        <w:rPr>
          <w:rFonts w:hint="eastAsia"/>
          <w:color w:val="000000" w:themeColor="text1"/>
          <w:highlight w:val="none"/>
          <w:lang w:val="en-US" w:eastAsia="zh-CN"/>
          <w14:textFill>
            <w14:solidFill>
              <w14:schemeClr w14:val="tx1"/>
            </w14:solidFill>
          </w14:textFill>
        </w:rPr>
        <w:t>7 人员及船只到位期限承诺书</w:t>
      </w:r>
      <w:bookmarkEnd w:id="345"/>
    </w:p>
    <w:p w14:paraId="378F4ABC">
      <w:pPr>
        <w:widowControl w:val="0"/>
        <w:adjustRightInd w:val="0"/>
        <w:snapToGrid w:val="0"/>
        <w:spacing w:after="0" w:line="580" w:lineRule="exact"/>
        <w:rPr>
          <w:rFonts w:hint="eastAsia" w:ascii="宋体" w:hAnsi="宋体" w:eastAsia="宋体" w:cs="宋体"/>
          <w:bCs w:val="0"/>
          <w:spacing w:val="6"/>
          <w:kern w:val="2"/>
          <w:sz w:val="24"/>
          <w:szCs w:val="24"/>
        </w:rPr>
      </w:pPr>
      <w:r>
        <w:rPr>
          <w:rFonts w:hint="eastAsia" w:ascii="宋体" w:hAnsi="宋体" w:eastAsia="宋体" w:cs="宋体"/>
          <w:bCs w:val="0"/>
          <w:spacing w:val="6"/>
          <w:kern w:val="2"/>
          <w:sz w:val="24"/>
          <w:szCs w:val="24"/>
        </w:rPr>
        <w:t>项目名称：</w:t>
      </w:r>
      <w:r>
        <w:rPr>
          <w:rFonts w:hint="eastAsia" w:ascii="宋体" w:hAnsi="宋体" w:eastAsia="宋体" w:cs="宋体"/>
          <w:bCs w:val="0"/>
          <w:spacing w:val="6"/>
          <w:kern w:val="2"/>
          <w:sz w:val="24"/>
          <w:szCs w:val="24"/>
          <w:u w:val="single"/>
        </w:rPr>
        <w:t xml:space="preserve"> </w:t>
      </w:r>
      <w:r>
        <w:rPr>
          <w:rFonts w:hint="eastAsia" w:ascii="宋体" w:hAnsi="宋体" w:eastAsia="宋体" w:cs="宋体"/>
          <w:bCs w:val="0"/>
          <w:spacing w:val="6"/>
          <w:kern w:val="2"/>
          <w:sz w:val="24"/>
          <w:szCs w:val="24"/>
          <w:u w:val="single"/>
          <w:lang w:eastAsia="zh-CN"/>
        </w:rPr>
        <w:t>2025年度常熟市市级河道保洁服务</w:t>
      </w:r>
      <w:r>
        <w:rPr>
          <w:rFonts w:hint="eastAsia" w:ascii="宋体" w:hAnsi="宋体" w:eastAsia="宋体" w:cs="宋体"/>
          <w:bCs w:val="0"/>
          <w:spacing w:val="6"/>
          <w:kern w:val="2"/>
          <w:sz w:val="24"/>
          <w:szCs w:val="24"/>
          <w:u w:val="single"/>
        </w:rPr>
        <w:t xml:space="preserve"> </w:t>
      </w:r>
    </w:p>
    <w:p w14:paraId="5D084852">
      <w:pPr>
        <w:widowControl w:val="0"/>
        <w:adjustRightInd w:val="0"/>
        <w:snapToGrid w:val="0"/>
        <w:spacing w:after="0" w:line="580" w:lineRule="exact"/>
        <w:rPr>
          <w:rFonts w:hint="eastAsia" w:ascii="宋体" w:hAnsi="宋体" w:eastAsia="宋体" w:cs="宋体"/>
          <w:bCs w:val="0"/>
          <w:spacing w:val="6"/>
          <w:kern w:val="2"/>
          <w:sz w:val="24"/>
          <w:szCs w:val="24"/>
        </w:rPr>
      </w:pPr>
      <w:r>
        <w:rPr>
          <w:rFonts w:hint="eastAsia" w:ascii="宋体" w:hAnsi="宋体" w:eastAsia="宋体" w:cs="宋体"/>
          <w:bCs w:val="0"/>
          <w:spacing w:val="6"/>
          <w:kern w:val="2"/>
          <w:sz w:val="24"/>
          <w:szCs w:val="24"/>
        </w:rPr>
        <w:t>致：</w:t>
      </w:r>
      <w:r>
        <w:rPr>
          <w:rFonts w:hint="eastAsia" w:ascii="宋体" w:hAnsi="宋体" w:eastAsia="宋体" w:cs="宋体"/>
          <w:bCs w:val="0"/>
          <w:spacing w:val="6"/>
          <w:kern w:val="2"/>
          <w:sz w:val="24"/>
          <w:szCs w:val="24"/>
          <w:u w:val="single"/>
        </w:rPr>
        <w:t xml:space="preserve"> </w:t>
      </w:r>
      <w:r>
        <w:rPr>
          <w:rFonts w:hint="eastAsia" w:ascii="宋体" w:hAnsi="宋体" w:eastAsia="宋体" w:cs="宋体"/>
          <w:bCs w:val="0"/>
          <w:spacing w:val="6"/>
          <w:kern w:val="2"/>
          <w:sz w:val="24"/>
          <w:szCs w:val="24"/>
          <w:u w:val="single"/>
          <w:lang w:eastAsia="zh-CN"/>
        </w:rPr>
        <w:t>常熟市水务局</w:t>
      </w:r>
      <w:r>
        <w:rPr>
          <w:rFonts w:hint="eastAsia" w:ascii="宋体" w:hAnsi="宋体" w:eastAsia="宋体" w:cs="宋体"/>
          <w:bCs w:val="0"/>
          <w:spacing w:val="6"/>
          <w:kern w:val="2"/>
          <w:sz w:val="24"/>
          <w:szCs w:val="24"/>
          <w:u w:val="single"/>
        </w:rPr>
        <w:t xml:space="preserve">   </w:t>
      </w:r>
    </w:p>
    <w:p w14:paraId="3011E812">
      <w:pPr>
        <w:widowControl w:val="0"/>
        <w:adjustRightInd w:val="0"/>
        <w:snapToGrid w:val="0"/>
        <w:spacing w:after="0" w:line="580" w:lineRule="exact"/>
        <w:ind w:firstLine="504" w:firstLineChars="200"/>
        <w:rPr>
          <w:rFonts w:hint="eastAsia" w:ascii="宋体" w:hAnsi="宋体" w:eastAsia="宋体" w:cs="宋体"/>
          <w:bCs w:val="0"/>
          <w:spacing w:val="6"/>
          <w:kern w:val="2"/>
          <w:sz w:val="24"/>
          <w:szCs w:val="24"/>
        </w:rPr>
      </w:pPr>
      <w:r>
        <w:rPr>
          <w:rFonts w:hint="eastAsia" w:ascii="宋体" w:hAnsi="宋体" w:eastAsia="宋体" w:cs="宋体"/>
          <w:bCs w:val="0"/>
          <w:spacing w:val="6"/>
          <w:kern w:val="2"/>
          <w:sz w:val="24"/>
          <w:szCs w:val="24"/>
        </w:rPr>
        <w:t>我公司在此作如下承诺：</w:t>
      </w:r>
    </w:p>
    <w:p w14:paraId="68849A70">
      <w:pPr>
        <w:widowControl w:val="0"/>
        <w:adjustRightInd w:val="0"/>
        <w:snapToGrid w:val="0"/>
        <w:spacing w:after="0" w:line="580" w:lineRule="exact"/>
        <w:ind w:firstLine="504" w:firstLineChars="200"/>
        <w:rPr>
          <w:rFonts w:hint="eastAsia" w:ascii="宋体" w:hAnsi="宋体" w:eastAsia="宋体" w:cs="宋体"/>
          <w:bCs w:val="0"/>
          <w:spacing w:val="6"/>
          <w:kern w:val="2"/>
          <w:sz w:val="24"/>
          <w:szCs w:val="24"/>
        </w:rPr>
      </w:pPr>
      <w:r>
        <w:rPr>
          <w:rFonts w:hint="eastAsia" w:ascii="宋体" w:hAnsi="宋体" w:eastAsia="宋体" w:cs="宋体"/>
          <w:bCs w:val="0"/>
          <w:spacing w:val="6"/>
          <w:kern w:val="2"/>
          <w:sz w:val="24"/>
          <w:szCs w:val="24"/>
        </w:rPr>
        <w:t>1、我公司承诺在202</w:t>
      </w:r>
      <w:r>
        <w:rPr>
          <w:rFonts w:hint="eastAsia" w:ascii="宋体" w:hAnsi="宋体" w:eastAsia="宋体" w:cs="宋体"/>
          <w:bCs w:val="0"/>
          <w:spacing w:val="6"/>
          <w:kern w:val="2"/>
          <w:sz w:val="24"/>
          <w:szCs w:val="24"/>
          <w:lang w:val="en-US" w:eastAsia="zh-CN"/>
        </w:rPr>
        <w:t>5</w:t>
      </w:r>
      <w:r>
        <w:rPr>
          <w:rFonts w:hint="eastAsia" w:ascii="宋体" w:hAnsi="宋体" w:eastAsia="宋体" w:cs="宋体"/>
          <w:bCs w:val="0"/>
          <w:spacing w:val="6"/>
          <w:kern w:val="2"/>
          <w:sz w:val="24"/>
          <w:szCs w:val="24"/>
        </w:rPr>
        <w:t>年1月1日前按照投标承诺的人员招聘到位。</w:t>
      </w:r>
    </w:p>
    <w:p w14:paraId="0FBD2D2E">
      <w:pPr>
        <w:widowControl w:val="0"/>
        <w:adjustRightInd w:val="0"/>
        <w:snapToGrid w:val="0"/>
        <w:spacing w:after="0" w:line="580" w:lineRule="exact"/>
        <w:ind w:firstLine="504" w:firstLineChars="200"/>
        <w:rPr>
          <w:rFonts w:hint="eastAsia" w:ascii="宋体" w:hAnsi="宋体" w:eastAsia="宋体" w:cs="宋体"/>
          <w:bCs w:val="0"/>
          <w:spacing w:val="6"/>
          <w:kern w:val="2"/>
          <w:sz w:val="24"/>
          <w:szCs w:val="24"/>
        </w:rPr>
      </w:pPr>
      <w:r>
        <w:rPr>
          <w:rFonts w:hint="eastAsia" w:ascii="宋体" w:hAnsi="宋体" w:eastAsia="宋体" w:cs="宋体"/>
          <w:bCs w:val="0"/>
          <w:spacing w:val="6"/>
          <w:kern w:val="2"/>
          <w:sz w:val="24"/>
          <w:szCs w:val="24"/>
        </w:rPr>
        <w:t>2、我公司承诺在202</w:t>
      </w:r>
      <w:r>
        <w:rPr>
          <w:rFonts w:hint="eastAsia" w:ascii="宋体" w:hAnsi="宋体" w:eastAsia="宋体" w:cs="宋体"/>
          <w:bCs w:val="0"/>
          <w:spacing w:val="6"/>
          <w:kern w:val="2"/>
          <w:sz w:val="24"/>
          <w:szCs w:val="24"/>
          <w:lang w:val="en-US" w:eastAsia="zh-CN"/>
        </w:rPr>
        <w:t>5</w:t>
      </w:r>
      <w:r>
        <w:rPr>
          <w:rFonts w:hint="eastAsia" w:ascii="宋体" w:hAnsi="宋体" w:eastAsia="宋体" w:cs="宋体"/>
          <w:bCs w:val="0"/>
          <w:spacing w:val="6"/>
          <w:kern w:val="2"/>
          <w:sz w:val="24"/>
          <w:szCs w:val="24"/>
        </w:rPr>
        <w:t>年1月1日前按照投标承诺的常规机动船只（铁壳平底船）购买或租赁到位。</w:t>
      </w:r>
    </w:p>
    <w:p w14:paraId="20AB2672">
      <w:pPr>
        <w:widowControl w:val="0"/>
        <w:adjustRightInd w:val="0"/>
        <w:snapToGrid w:val="0"/>
        <w:spacing w:after="0" w:line="580" w:lineRule="exact"/>
        <w:ind w:firstLine="504" w:firstLineChars="200"/>
        <w:rPr>
          <w:rFonts w:hint="eastAsia" w:ascii="宋体" w:hAnsi="宋体" w:eastAsia="宋体" w:cs="宋体"/>
          <w:bCs w:val="0"/>
          <w:spacing w:val="6"/>
          <w:kern w:val="2"/>
          <w:sz w:val="24"/>
          <w:szCs w:val="24"/>
        </w:rPr>
      </w:pPr>
      <w:r>
        <w:rPr>
          <w:rFonts w:hint="eastAsia" w:ascii="宋体" w:hAnsi="宋体" w:eastAsia="宋体" w:cs="宋体"/>
          <w:bCs w:val="0"/>
          <w:spacing w:val="6"/>
          <w:kern w:val="2"/>
          <w:sz w:val="24"/>
          <w:szCs w:val="24"/>
        </w:rPr>
        <w:t>3、我公司承诺在202</w:t>
      </w:r>
      <w:r>
        <w:rPr>
          <w:rFonts w:hint="eastAsia" w:ascii="宋体" w:hAnsi="宋体" w:eastAsia="宋体" w:cs="宋体"/>
          <w:bCs w:val="0"/>
          <w:spacing w:val="6"/>
          <w:kern w:val="2"/>
          <w:sz w:val="24"/>
          <w:szCs w:val="24"/>
          <w:lang w:val="en-US" w:eastAsia="zh-CN"/>
        </w:rPr>
        <w:t>5</w:t>
      </w:r>
      <w:r>
        <w:rPr>
          <w:rFonts w:hint="eastAsia" w:ascii="宋体" w:hAnsi="宋体" w:eastAsia="宋体" w:cs="宋体"/>
          <w:bCs w:val="0"/>
          <w:spacing w:val="6"/>
          <w:kern w:val="2"/>
          <w:sz w:val="24"/>
          <w:szCs w:val="24"/>
        </w:rPr>
        <w:t>年1月1日前按照投标承诺的全自动水面清洁船购买或租赁到位。</w:t>
      </w:r>
    </w:p>
    <w:p w14:paraId="0411695B">
      <w:pPr>
        <w:widowControl w:val="0"/>
        <w:adjustRightInd w:val="0"/>
        <w:snapToGrid w:val="0"/>
        <w:spacing w:after="0" w:line="580" w:lineRule="exact"/>
        <w:ind w:firstLine="504" w:firstLineChars="200"/>
        <w:rPr>
          <w:rFonts w:hint="eastAsia" w:ascii="宋体" w:hAnsi="宋体" w:eastAsia="宋体" w:cs="宋体"/>
          <w:bCs w:val="0"/>
          <w:spacing w:val="6"/>
          <w:kern w:val="2"/>
          <w:sz w:val="24"/>
          <w:szCs w:val="24"/>
        </w:rPr>
      </w:pPr>
      <w:r>
        <w:rPr>
          <w:rFonts w:hint="eastAsia" w:ascii="宋体" w:hAnsi="宋体" w:eastAsia="宋体" w:cs="宋体"/>
          <w:bCs w:val="0"/>
          <w:spacing w:val="6"/>
          <w:kern w:val="2"/>
          <w:sz w:val="24"/>
          <w:szCs w:val="24"/>
        </w:rPr>
        <w:t>4、如人员、船只在规定期限内未到位的，我公司接受</w:t>
      </w:r>
      <w:r>
        <w:rPr>
          <w:rFonts w:hint="eastAsia" w:ascii="宋体" w:hAnsi="宋体" w:eastAsia="宋体" w:cs="宋体"/>
          <w:bCs w:val="0"/>
          <w:spacing w:val="6"/>
          <w:kern w:val="2"/>
          <w:sz w:val="24"/>
          <w:szCs w:val="24"/>
          <w:lang w:eastAsia="zh-CN"/>
        </w:rPr>
        <w:t>常熟市水务局</w:t>
      </w:r>
      <w:r>
        <w:rPr>
          <w:rFonts w:hint="eastAsia" w:ascii="宋体" w:hAnsi="宋体" w:eastAsia="宋体" w:cs="宋体"/>
          <w:bCs w:val="0"/>
          <w:spacing w:val="6"/>
          <w:kern w:val="2"/>
          <w:sz w:val="24"/>
          <w:szCs w:val="24"/>
        </w:rPr>
        <w:t>终止项目合同，</w:t>
      </w:r>
      <w:r>
        <w:rPr>
          <w:rFonts w:hint="eastAsia" w:ascii="宋体" w:hAnsi="宋体" w:eastAsia="宋体" w:cs="宋体"/>
          <w:bCs w:val="0"/>
          <w:spacing w:val="6"/>
          <w:kern w:val="2"/>
          <w:sz w:val="24"/>
          <w:szCs w:val="24"/>
          <w:lang w:eastAsia="zh-CN"/>
        </w:rPr>
        <w:t>常熟市水务局</w:t>
      </w:r>
      <w:r>
        <w:rPr>
          <w:rFonts w:hint="eastAsia" w:ascii="宋体" w:hAnsi="宋体" w:eastAsia="宋体" w:cs="宋体"/>
          <w:bCs w:val="0"/>
          <w:spacing w:val="6"/>
          <w:kern w:val="2"/>
          <w:sz w:val="24"/>
          <w:szCs w:val="24"/>
        </w:rPr>
        <w:t>无须承担相应的违约责任。</w:t>
      </w:r>
    </w:p>
    <w:p w14:paraId="586A06BA">
      <w:pPr>
        <w:widowControl w:val="0"/>
        <w:adjustRightInd w:val="0"/>
        <w:snapToGrid w:val="0"/>
        <w:spacing w:after="0" w:line="580" w:lineRule="exact"/>
        <w:ind w:firstLine="504" w:firstLineChars="200"/>
        <w:rPr>
          <w:rFonts w:hint="eastAsia" w:ascii="宋体" w:hAnsi="宋体" w:eastAsia="宋体" w:cs="宋体"/>
          <w:bCs w:val="0"/>
          <w:spacing w:val="6"/>
          <w:kern w:val="2"/>
          <w:sz w:val="24"/>
          <w:szCs w:val="24"/>
        </w:rPr>
      </w:pPr>
    </w:p>
    <w:p w14:paraId="57C8B658">
      <w:pPr>
        <w:widowControl w:val="0"/>
        <w:adjustRightInd w:val="0"/>
        <w:snapToGrid w:val="0"/>
        <w:spacing w:after="0" w:line="580" w:lineRule="exact"/>
        <w:ind w:firstLine="504" w:firstLineChars="200"/>
        <w:rPr>
          <w:rFonts w:hint="eastAsia" w:ascii="宋体" w:hAnsi="宋体" w:eastAsia="宋体" w:cs="宋体"/>
          <w:bCs w:val="0"/>
          <w:spacing w:val="6"/>
          <w:kern w:val="2"/>
          <w:sz w:val="24"/>
          <w:szCs w:val="24"/>
        </w:rPr>
      </w:pPr>
    </w:p>
    <w:p w14:paraId="7CC75333">
      <w:pPr>
        <w:widowControl w:val="0"/>
        <w:spacing w:line="360" w:lineRule="auto"/>
        <w:ind w:firstLine="4216" w:firstLineChars="1750"/>
        <w:rPr>
          <w:rFonts w:hint="eastAsia" w:ascii="宋体" w:hAnsi="宋体" w:eastAsia="宋体" w:cs="宋体"/>
          <w:b/>
          <w:sz w:val="24"/>
          <w:szCs w:val="24"/>
        </w:rPr>
      </w:pPr>
      <w:r>
        <w:rPr>
          <w:rFonts w:hint="eastAsia" w:ascii="宋体" w:hAnsi="宋体" w:eastAsia="宋体" w:cs="宋体"/>
          <w:b/>
          <w:sz w:val="24"/>
          <w:szCs w:val="24"/>
        </w:rPr>
        <w:t>投标人公章（CA签章）：</w:t>
      </w:r>
    </w:p>
    <w:p w14:paraId="4D316357">
      <w:pPr>
        <w:widowControl w:val="0"/>
        <w:spacing w:line="360" w:lineRule="auto"/>
        <w:ind w:firstLine="4216" w:firstLineChars="1750"/>
        <w:rPr>
          <w:rFonts w:hint="eastAsia" w:ascii="宋体" w:hAnsi="宋体" w:eastAsia="宋体" w:cs="宋体"/>
          <w:b/>
          <w:sz w:val="24"/>
          <w:szCs w:val="24"/>
        </w:rPr>
      </w:pPr>
      <w:r>
        <w:rPr>
          <w:rFonts w:hint="eastAsia" w:ascii="宋体" w:hAnsi="宋体" w:eastAsia="宋体" w:cs="宋体"/>
          <w:b/>
          <w:sz w:val="24"/>
          <w:szCs w:val="24"/>
        </w:rPr>
        <w:t>法定代表人或授权代表（CA签章）：</w:t>
      </w:r>
    </w:p>
    <w:p w14:paraId="38826376">
      <w:pPr>
        <w:widowControl w:val="0"/>
        <w:spacing w:line="360" w:lineRule="auto"/>
        <w:ind w:firstLine="4216" w:firstLineChars="1750"/>
        <w:rPr>
          <w:rFonts w:hint="eastAsia" w:ascii="宋体" w:hAnsi="宋体" w:eastAsia="宋体" w:cs="宋体"/>
          <w:b/>
          <w:sz w:val="24"/>
          <w:szCs w:val="24"/>
        </w:rPr>
      </w:pPr>
      <w:r>
        <w:rPr>
          <w:rFonts w:hint="eastAsia" w:ascii="宋体" w:hAnsi="宋体" w:eastAsia="宋体" w:cs="宋体"/>
          <w:b/>
          <w:sz w:val="24"/>
          <w:szCs w:val="24"/>
        </w:rPr>
        <w:t>日期：</w:t>
      </w:r>
    </w:p>
    <w:p w14:paraId="7741AF5F">
      <w:pPr>
        <w:widowControl w:val="0"/>
        <w:spacing w:line="360" w:lineRule="auto"/>
        <w:rPr>
          <w:rFonts w:hint="eastAsia" w:ascii="宋体" w:hAnsi="宋体" w:eastAsia="宋体" w:cs="宋体"/>
          <w:b/>
          <w:sz w:val="24"/>
          <w:szCs w:val="24"/>
        </w:rPr>
      </w:pPr>
    </w:p>
    <w:p w14:paraId="2905E3AE">
      <w:pPr>
        <w:widowControl w:val="0"/>
        <w:spacing w:line="360" w:lineRule="auto"/>
        <w:rPr>
          <w:rFonts w:hint="eastAsia" w:ascii="宋体" w:hAnsi="宋体" w:eastAsia="宋体" w:cs="宋体"/>
          <w:b/>
          <w:sz w:val="24"/>
          <w:szCs w:val="24"/>
        </w:rPr>
      </w:pPr>
      <w:r>
        <w:rPr>
          <w:rFonts w:hint="eastAsia" w:ascii="宋体" w:hAnsi="宋体" w:eastAsia="宋体" w:cs="宋体"/>
          <w:b/>
          <w:sz w:val="24"/>
          <w:szCs w:val="24"/>
        </w:rPr>
        <w:t>注：（1）上述“人员及船只到位期限承诺书”格式不得改动，否则将作无效投标处理。</w:t>
      </w:r>
    </w:p>
    <w:p w14:paraId="7D76E54E">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sz w:val="24"/>
          <w:szCs w:val="24"/>
        </w:rPr>
        <w:t>（2）投标人应在投标文件中须提供人员及船只到位期限承诺书。未按招标文件的规定在投标文件中提供有效的人员及船只到位期限承诺书的，将作无效投标处理。</w:t>
      </w:r>
    </w:p>
    <w:p w14:paraId="60179304">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36E4DECD">
      <w:pPr>
        <w:pStyle w:val="171"/>
        <w:shd w:val="clear"/>
        <w:jc w:val="center"/>
        <w:outlineLvl w:val="1"/>
        <w:rPr>
          <w:rFonts w:ascii="Calibri" w:hAnsi="Calibri"/>
          <w:bCs/>
          <w:color w:val="000000" w:themeColor="text1"/>
          <w:sz w:val="28"/>
          <w:szCs w:val="28"/>
          <w:highlight w:val="none"/>
          <w14:textFill>
            <w14:solidFill>
              <w14:schemeClr w14:val="tx1"/>
            </w14:solidFill>
          </w14:textFill>
        </w:rPr>
      </w:pPr>
      <w:bookmarkStart w:id="348" w:name="_Toc7039"/>
      <w:r>
        <w:rPr>
          <w:rFonts w:hint="eastAsia"/>
          <w:color w:val="000000" w:themeColor="text1"/>
          <w:highlight w:val="none"/>
          <w14:textFill>
            <w14:solidFill>
              <w14:schemeClr w14:val="tx1"/>
            </w14:solidFill>
          </w14:textFill>
        </w:rPr>
        <w:t>附件1</w:t>
      </w:r>
      <w:r>
        <w:rPr>
          <w:rFonts w:hint="eastAsia"/>
          <w:color w:val="000000" w:themeColor="text1"/>
          <w:highlight w:val="none"/>
          <w:lang w:val="en-US" w:eastAsia="zh-CN"/>
          <w14:textFill>
            <w14:solidFill>
              <w14:schemeClr w14:val="tx1"/>
            </w14:solidFill>
          </w14:textFill>
        </w:rPr>
        <w:t>8</w:t>
      </w:r>
      <w:r>
        <w:rPr>
          <w:rFonts w:hint="eastAsia"/>
          <w:color w:val="000000" w:themeColor="text1"/>
          <w:highlight w:val="none"/>
          <w14:textFill>
            <w14:solidFill>
              <w14:schemeClr w14:val="tx1"/>
            </w14:solidFill>
          </w14:textFill>
        </w:rPr>
        <w:t xml:space="preserve"> </w:t>
      </w:r>
      <w:r>
        <w:rPr>
          <w:rFonts w:hint="eastAsia" w:ascii="Calibri" w:hAnsi="Calibri"/>
          <w:bCs/>
          <w:color w:val="000000" w:themeColor="text1"/>
          <w:sz w:val="28"/>
          <w:szCs w:val="28"/>
          <w:highlight w:val="none"/>
          <w14:textFill>
            <w14:solidFill>
              <w14:schemeClr w14:val="tx1"/>
            </w14:solidFill>
          </w14:textFill>
        </w:rPr>
        <w:t>其他证明文件</w:t>
      </w:r>
      <w:bookmarkEnd w:id="346"/>
      <w:bookmarkEnd w:id="347"/>
      <w:bookmarkEnd w:id="348"/>
    </w:p>
    <w:p w14:paraId="15E66CDC">
      <w:pPr>
        <w:shd w:val="clear"/>
        <w:spacing w:line="440" w:lineRule="exact"/>
        <w:ind w:firstLine="720" w:firstLineChars="300"/>
        <w:rPr>
          <w:rFonts w:hint="eastAsia" w:ascii="宋体" w:hAnsi="宋体" w:cs="宋体"/>
          <w:sz w:val="24"/>
          <w:szCs w:val="24"/>
          <w:highlight w:val="none"/>
        </w:rPr>
      </w:pPr>
      <w:r>
        <w:rPr>
          <w:rFonts w:hint="eastAsia" w:ascii="宋体" w:hAnsi="宋体" w:cs="宋体"/>
          <w:sz w:val="24"/>
          <w:szCs w:val="24"/>
          <w:highlight w:val="none"/>
        </w:rPr>
        <w:t>投标人认为需要提供的其他证明文件。</w:t>
      </w:r>
      <w:bookmarkEnd w:id="306"/>
      <w:bookmarkEnd w:id="307"/>
      <w:bookmarkEnd w:id="308"/>
      <w:bookmarkEnd w:id="309"/>
      <w:bookmarkEnd w:id="310"/>
    </w:p>
    <w:p w14:paraId="48DD9C2F">
      <w:pPr>
        <w:rPr>
          <w:rFonts w:hint="eastAsia" w:ascii="宋体" w:hAnsi="宋体" w:cs="宋体"/>
          <w:sz w:val="24"/>
          <w:szCs w:val="24"/>
          <w:highlight w:val="none"/>
        </w:rPr>
      </w:pPr>
      <w:r>
        <w:rPr>
          <w:rFonts w:hint="eastAsia" w:ascii="宋体" w:hAnsi="宋体" w:cs="宋体"/>
          <w:sz w:val="24"/>
          <w:szCs w:val="24"/>
          <w:highlight w:val="none"/>
        </w:rPr>
        <w:br w:type="page"/>
      </w:r>
    </w:p>
    <w:p w14:paraId="19759A21">
      <w:pPr>
        <w:spacing w:line="440" w:lineRule="exact"/>
        <w:ind w:firstLine="562"/>
        <w:jc w:val="center"/>
        <w:outlineLvl w:val="1"/>
        <w:rPr>
          <w:rFonts w:hint="default" w:ascii="宋体" w:hAnsi="宋体" w:eastAsia="宋体" w:cs="宋体"/>
          <w:b/>
          <w:bCs/>
          <w:color w:val="auto"/>
          <w:sz w:val="28"/>
          <w:szCs w:val="28"/>
          <w:highlight w:val="none"/>
          <w:lang w:val="en-US" w:eastAsia="zh-CN"/>
        </w:rPr>
      </w:pPr>
      <w:bookmarkStart w:id="349" w:name="_Toc3132"/>
      <w:bookmarkStart w:id="350" w:name="_Toc28093"/>
      <w:bookmarkStart w:id="351" w:name="_Toc28599"/>
      <w:r>
        <w:rPr>
          <w:rFonts w:hint="eastAsia" w:ascii="宋体" w:hAnsi="宋体" w:eastAsia="宋体" w:cs="宋体"/>
          <w:b/>
          <w:bCs/>
          <w:color w:val="auto"/>
          <w:sz w:val="28"/>
          <w:szCs w:val="28"/>
          <w:highlight w:val="none"/>
          <w:lang w:val="en-US" w:eastAsia="zh-CN"/>
        </w:rPr>
        <w:t>附件</w:t>
      </w:r>
      <w:bookmarkEnd w:id="349"/>
      <w:r>
        <w:rPr>
          <w:rFonts w:hint="eastAsia" w:ascii="宋体" w:hAnsi="宋体" w:eastAsia="宋体" w:cs="宋体"/>
          <w:b/>
          <w:bCs/>
          <w:color w:val="auto"/>
          <w:sz w:val="28"/>
          <w:szCs w:val="28"/>
          <w:highlight w:val="none"/>
          <w:lang w:val="en-US" w:eastAsia="zh-CN"/>
        </w:rPr>
        <w:t>1</w:t>
      </w:r>
      <w:r>
        <w:rPr>
          <w:rFonts w:hint="eastAsia" w:ascii="宋体" w:hAnsi="宋体" w:cs="宋体"/>
          <w:b/>
          <w:bCs/>
          <w:color w:val="auto"/>
          <w:sz w:val="28"/>
          <w:szCs w:val="28"/>
          <w:highlight w:val="none"/>
          <w:lang w:val="en-US" w:eastAsia="zh-CN"/>
        </w:rPr>
        <w:t xml:space="preserve">9 </w:t>
      </w:r>
      <w:r>
        <w:rPr>
          <w:rFonts w:hint="eastAsia" w:ascii="宋体" w:hAnsi="宋体" w:eastAsia="宋体" w:cs="宋体"/>
          <w:b/>
          <w:bCs/>
          <w:color w:val="auto"/>
          <w:sz w:val="28"/>
          <w:szCs w:val="28"/>
          <w:highlight w:val="none"/>
          <w:lang w:val="en-US" w:eastAsia="zh-CN"/>
        </w:rPr>
        <w:t>电子附件</w:t>
      </w:r>
      <w:bookmarkEnd w:id="350"/>
      <w:bookmarkEnd w:id="351"/>
    </w:p>
    <w:p w14:paraId="5BAFE604">
      <w:pPr>
        <w:shd w:val="clear"/>
        <w:spacing w:line="440" w:lineRule="exact"/>
        <w:ind w:firstLine="720" w:firstLineChars="300"/>
        <w:rPr>
          <w:rFonts w:hint="eastAsia" w:ascii="宋体" w:hAnsi="宋体" w:cs="宋体"/>
          <w:sz w:val="24"/>
          <w:szCs w:val="24"/>
          <w:highlight w:val="none"/>
          <w:lang w:eastAsia="zh-CN"/>
        </w:rPr>
      </w:pPr>
      <w:r>
        <w:rPr>
          <w:rFonts w:hint="eastAsia" w:ascii="宋体" w:hAnsi="宋体" w:cs="宋体"/>
          <w:sz w:val="24"/>
          <w:szCs w:val="24"/>
          <w:highlight w:val="none"/>
          <w:lang w:eastAsia="zh-CN"/>
        </w:rPr>
        <w:t>附件1：2025年常熟市级及以上河道长效管理明细表</w:t>
      </w:r>
    </w:p>
    <w:p w14:paraId="4C849555">
      <w:pPr>
        <w:shd w:val="clear"/>
        <w:spacing w:line="440" w:lineRule="exact"/>
        <w:ind w:firstLine="720" w:firstLineChars="300"/>
        <w:rPr>
          <w:rFonts w:hint="eastAsia" w:ascii="宋体" w:hAnsi="宋体" w:cs="宋体"/>
          <w:sz w:val="24"/>
          <w:szCs w:val="24"/>
          <w:highlight w:val="none"/>
          <w:lang w:eastAsia="zh-CN"/>
        </w:rPr>
      </w:pPr>
      <w:r>
        <w:rPr>
          <w:rFonts w:hint="eastAsia" w:ascii="宋体" w:hAnsi="宋体" w:cs="宋体"/>
          <w:sz w:val="24"/>
          <w:szCs w:val="24"/>
          <w:highlight w:val="none"/>
          <w:lang w:eastAsia="zh-CN"/>
        </w:rPr>
        <w:t>附件2：常熟市市级河道保洁船只分布参考图</w:t>
      </w:r>
    </w:p>
    <w:p w14:paraId="71A1D210">
      <w:pPr>
        <w:shd w:val="clear"/>
        <w:spacing w:line="440" w:lineRule="exact"/>
        <w:ind w:firstLine="720" w:firstLineChars="300"/>
        <w:rPr>
          <w:rFonts w:hint="eastAsia" w:ascii="宋体" w:hAnsi="宋体" w:cs="宋体"/>
          <w:sz w:val="24"/>
          <w:szCs w:val="24"/>
          <w:highlight w:val="none"/>
          <w:lang w:eastAsia="zh-CN"/>
        </w:rPr>
      </w:pPr>
      <w:r>
        <w:rPr>
          <w:rFonts w:hint="eastAsia" w:ascii="宋体" w:hAnsi="宋体" w:cs="宋体"/>
          <w:sz w:val="24"/>
          <w:szCs w:val="24"/>
          <w:highlight w:val="none"/>
          <w:lang w:eastAsia="zh-CN"/>
        </w:rPr>
        <w:t>附件3：市级河道长效管理检查考核办法</w:t>
      </w:r>
    </w:p>
    <w:p w14:paraId="1457F239">
      <w:pPr>
        <w:shd w:val="clear"/>
        <w:spacing w:line="440" w:lineRule="exact"/>
        <w:ind w:firstLine="720" w:firstLineChars="300"/>
        <w:rPr>
          <w:rFonts w:hint="eastAsia" w:ascii="宋体" w:hAnsi="宋体" w:cs="宋体"/>
          <w:sz w:val="24"/>
          <w:szCs w:val="24"/>
          <w:highlight w:val="none"/>
          <w:lang w:eastAsia="zh-CN"/>
        </w:rPr>
      </w:pPr>
      <w:r>
        <w:rPr>
          <w:rFonts w:hint="eastAsia" w:ascii="宋体" w:hAnsi="宋体" w:cs="宋体"/>
          <w:sz w:val="24"/>
          <w:szCs w:val="24"/>
          <w:highlight w:val="none"/>
          <w:lang w:eastAsia="zh-CN"/>
        </w:rPr>
        <w:t>附件4：市级河道长效管理考核评分表（2024）</w:t>
      </w:r>
    </w:p>
    <w:p w14:paraId="30523E70">
      <w:pPr>
        <w:shd w:val="clear"/>
        <w:spacing w:line="440" w:lineRule="exact"/>
        <w:ind w:firstLine="720" w:firstLineChars="300"/>
        <w:rPr>
          <w:rFonts w:hint="eastAsia" w:ascii="宋体" w:hAnsi="宋体" w:cs="宋体"/>
          <w:sz w:val="24"/>
          <w:szCs w:val="24"/>
          <w:highlight w:val="none"/>
          <w:lang w:eastAsia="zh-CN"/>
        </w:rPr>
      </w:pPr>
    </w:p>
    <w:p w14:paraId="0EF0BA86">
      <w:pPr>
        <w:shd w:val="clear"/>
        <w:spacing w:line="440" w:lineRule="exact"/>
        <w:ind w:firstLine="720" w:firstLineChars="300"/>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以上</w:t>
      </w:r>
      <w:r>
        <w:rPr>
          <w:rFonts w:hint="eastAsia" w:ascii="宋体" w:hAnsi="宋体" w:cs="宋体"/>
          <w:sz w:val="24"/>
          <w:szCs w:val="24"/>
          <w:highlight w:val="none"/>
          <w:lang w:eastAsia="zh-CN"/>
        </w:rPr>
        <w:t>相关附件详见百度网盘，请各单位自行下载：</w:t>
      </w:r>
    </w:p>
    <w:p w14:paraId="24B7C980">
      <w:pPr>
        <w:shd w:val="clear"/>
        <w:spacing w:line="440" w:lineRule="exact"/>
        <w:ind w:firstLine="720" w:firstLineChars="300"/>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链接：https://pan.baidu.com/s/1qzekUf2O-weIZsKesIuyQg </w:t>
      </w:r>
    </w:p>
    <w:p w14:paraId="3105C75F">
      <w:pPr>
        <w:shd w:val="clear"/>
        <w:spacing w:line="440" w:lineRule="exact"/>
        <w:ind w:firstLine="720" w:firstLineChars="300"/>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提取码：JAXP </w:t>
      </w:r>
    </w:p>
    <w:p w14:paraId="3045C037">
      <w:pPr>
        <w:shd w:val="clear"/>
        <w:spacing w:line="440" w:lineRule="exact"/>
        <w:ind w:firstLine="720" w:firstLineChars="300"/>
        <w:rPr>
          <w:rFonts w:hint="eastAsia"/>
          <w:color w:val="000000" w:themeColor="text1"/>
          <w:highlight w:val="none"/>
          <w14:textFill>
            <w14:solidFill>
              <w14:schemeClr w14:val="tx1"/>
            </w14:solidFill>
          </w14:textFill>
        </w:rPr>
      </w:pPr>
      <w:r>
        <w:rPr>
          <w:rFonts w:hint="eastAsia" w:ascii="宋体" w:hAnsi="宋体" w:cs="宋体"/>
          <w:sz w:val="24"/>
          <w:szCs w:val="24"/>
          <w:highlight w:val="none"/>
          <w:lang w:eastAsia="zh-CN"/>
        </w:rPr>
        <w:t>复制这段内容打开「百度网盘APP 即可获取」</w:t>
      </w:r>
    </w:p>
    <w:p w14:paraId="7FB6B0FE">
      <w:pPr>
        <w:shd w:val="clear"/>
        <w:spacing w:line="440" w:lineRule="exact"/>
        <w:ind w:firstLine="720" w:firstLineChars="300"/>
        <w:rPr>
          <w:rFonts w:hint="eastAsia" w:ascii="宋体" w:hAnsi="宋体" w:cs="宋体"/>
          <w:sz w:val="24"/>
          <w:szCs w:val="24"/>
          <w:highlight w:val="none"/>
        </w:rPr>
      </w:pPr>
    </w:p>
    <w:p w14:paraId="605C9FFB">
      <w:pPr>
        <w:shd w:val="clear"/>
        <w:spacing w:line="440" w:lineRule="exact"/>
        <w:ind w:firstLine="720" w:firstLineChars="300"/>
        <w:rPr>
          <w:rFonts w:hint="default" w:ascii="宋体" w:hAnsi="宋体" w:cs="宋体"/>
          <w:sz w:val="24"/>
          <w:szCs w:val="24"/>
          <w:highlight w:val="none"/>
          <w:lang w:val="en-US" w:eastAsia="zh-CN"/>
        </w:rPr>
      </w:pPr>
    </w:p>
    <w:sectPr>
      <w:footerReference r:id="rId13" w:type="first"/>
      <w:footerReference r:id="rId12" w:type="default"/>
      <w:pgSz w:w="11907" w:h="16840"/>
      <w:pgMar w:top="1134" w:right="882" w:bottom="1418" w:left="1365" w:header="567" w:footer="794" w:gutter="0"/>
      <w:pgNumType w:fmt="decimal"/>
      <w:cols w:space="720" w:num="1"/>
      <w:titlePg/>
      <w:docGrid w:type="lines" w:linePitch="30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Berlin Sans FB Demi">
    <w:panose1 w:val="020E0802020502020306"/>
    <w:charset w:val="00"/>
    <w:family w:val="swiss"/>
    <w:pitch w:val="default"/>
    <w:sig w:usb0="00000003" w:usb1="00000000" w:usb2="00000000" w:usb3="00000000" w:csb0="20000001" w:csb1="00000000"/>
  </w:font>
  <w:font w:name="ˎ̥">
    <w:altName w:val="Times New Roman"/>
    <w:panose1 w:val="00000000000000000000"/>
    <w:charset w:val="00"/>
    <w:family w:val="roman"/>
    <w:pitch w:val="default"/>
    <w:sig w:usb0="00000000" w:usb1="00000000" w:usb2="00000000" w:usb3="00000000" w:csb0="00040001"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76E07">
    <w:pPr>
      <w:pStyle w:val="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B535B">
    <w:pPr>
      <w:pStyle w:val="34"/>
      <w:framePr w:wrap="around" w:vAnchor="text" w:hAnchor="margin" w:xAlign="right" w:y="1"/>
      <w:rPr>
        <w:rStyle w:val="58"/>
      </w:rPr>
    </w:pPr>
    <w:r>
      <w:fldChar w:fldCharType="begin"/>
    </w:r>
    <w:r>
      <w:rPr>
        <w:rStyle w:val="58"/>
      </w:rPr>
      <w:instrText xml:space="preserve">PAGE  </w:instrText>
    </w:r>
    <w:r>
      <w:fldChar w:fldCharType="separate"/>
    </w:r>
    <w:r>
      <w:rPr>
        <w:rStyle w:val="58"/>
      </w:rPr>
      <w:t>16</w:t>
    </w:r>
    <w:r>
      <w:fldChar w:fldCharType="end"/>
    </w:r>
  </w:p>
  <w:p w14:paraId="1F55DC85">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651BB">
    <w:pPr>
      <w:pStyle w:val="3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531A5">
    <w:pPr>
      <w:pStyle w:val="3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B51EA">
    <w:pPr>
      <w:pStyle w:val="34"/>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B2F753">
                          <w:pPr>
                            <w:pStyle w:val="3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9B2F753">
                    <w:pPr>
                      <w:pStyle w:val="3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4DE6C">
    <w:pPr>
      <w:pStyle w:val="3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22C725">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322C725">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737F4">
    <w:pPr>
      <w:pStyle w:val="34"/>
      <w:ind w:right="36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A6AF4B">
                          <w:pPr>
                            <w:pStyle w:val="34"/>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AA6AF4B">
                    <w:pPr>
                      <w:pStyle w:val="34"/>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20C1D">
    <w:pPr>
      <w:pStyle w:val="3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BBE554">
                          <w:pPr>
                            <w:pStyle w:val="3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8BBE554">
                    <w:pPr>
                      <w:pStyle w:val="3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295C06">
    <w:pPr>
      <w:spacing w:line="360" w:lineRule="auto"/>
      <w:jc w:val="left"/>
    </w:pPr>
    <w:r>
      <w:rPr>
        <w:rFonts w:hint="eastAsia"/>
        <w:bCs/>
        <w:sz w:val="18"/>
        <w:szCs w:val="18"/>
      </w:rPr>
      <w:t>涵熙（苏州）工程顾问有限公司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02857">
    <w:pPr>
      <w:pStyle w:val="3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B62ED">
    <w:pPr>
      <w:pStyle w:val="35"/>
      <w:pBdr>
        <w:bottom w:val="none" w:color="auto" w:sz="0" w:space="1"/>
      </w:pBdr>
      <w:tabs>
        <w:tab w:val="left" w:pos="3355"/>
        <w:tab w:val="clear" w:pos="4153"/>
      </w:tabs>
      <w:jc w:val="left"/>
    </w:pPr>
    <w:r>
      <w:rPr>
        <w:rFonts w:hint="eastAsia"/>
      </w:rPr>
      <w:t>涵熙（苏州）工程顾问有限公司</w:t>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130CA4"/>
    <w:multiLevelType w:val="singleLevel"/>
    <w:tmpl w:val="A3130CA4"/>
    <w:lvl w:ilvl="0" w:tentative="0">
      <w:start w:val="2"/>
      <w:numFmt w:val="decimal"/>
      <w:suff w:val="nothing"/>
      <w:lvlText w:val="（%1）"/>
      <w:lvlJc w:val="left"/>
    </w:lvl>
  </w:abstractNum>
  <w:abstractNum w:abstractNumId="1">
    <w:nsid w:val="E6A26435"/>
    <w:multiLevelType w:val="singleLevel"/>
    <w:tmpl w:val="E6A26435"/>
    <w:lvl w:ilvl="0" w:tentative="0">
      <w:start w:val="2"/>
      <w:numFmt w:val="decimal"/>
      <w:suff w:val="nothing"/>
      <w:lvlText w:val="（%1）"/>
      <w:lvlJc w:val="left"/>
    </w:lvl>
  </w:abstractNum>
  <w:abstractNum w:abstractNumId="2">
    <w:nsid w:val="0A0C2485"/>
    <w:multiLevelType w:val="multilevel"/>
    <w:tmpl w:val="0A0C2485"/>
    <w:lvl w:ilvl="0" w:tentative="0">
      <w:start w:val="1"/>
      <w:numFmt w:val="decimal"/>
      <w:pStyle w:val="147"/>
      <w:lvlText w:val="%1、"/>
      <w:lvlJc w:val="left"/>
      <w:pPr>
        <w:tabs>
          <w:tab w:val="left" w:pos="3211"/>
        </w:tabs>
        <w:ind w:left="3211" w:hanging="375"/>
      </w:pPr>
      <w:rPr>
        <w:rFonts w:hint="eastAsia"/>
      </w:rPr>
    </w:lvl>
    <w:lvl w:ilvl="1" w:tentative="0">
      <w:start w:val="1"/>
      <w:numFmt w:val="lowerLetter"/>
      <w:lvlText w:val="%2)"/>
      <w:lvlJc w:val="left"/>
      <w:pPr>
        <w:tabs>
          <w:tab w:val="left" w:pos="3676"/>
        </w:tabs>
        <w:ind w:left="3676" w:hanging="420"/>
      </w:pPr>
    </w:lvl>
    <w:lvl w:ilvl="2" w:tentative="0">
      <w:start w:val="1"/>
      <w:numFmt w:val="lowerRoman"/>
      <w:lvlText w:val="%3."/>
      <w:lvlJc w:val="right"/>
      <w:pPr>
        <w:tabs>
          <w:tab w:val="left" w:pos="4096"/>
        </w:tabs>
        <w:ind w:left="4096" w:hanging="420"/>
      </w:pPr>
    </w:lvl>
    <w:lvl w:ilvl="3" w:tentative="0">
      <w:start w:val="1"/>
      <w:numFmt w:val="decimal"/>
      <w:lvlText w:val="%4."/>
      <w:lvlJc w:val="left"/>
      <w:pPr>
        <w:tabs>
          <w:tab w:val="left" w:pos="4516"/>
        </w:tabs>
        <w:ind w:left="4516" w:hanging="420"/>
      </w:pPr>
    </w:lvl>
    <w:lvl w:ilvl="4" w:tentative="0">
      <w:start w:val="1"/>
      <w:numFmt w:val="lowerLetter"/>
      <w:lvlText w:val="%5)"/>
      <w:lvlJc w:val="left"/>
      <w:pPr>
        <w:tabs>
          <w:tab w:val="left" w:pos="4936"/>
        </w:tabs>
        <w:ind w:left="4936" w:hanging="420"/>
      </w:pPr>
    </w:lvl>
    <w:lvl w:ilvl="5" w:tentative="0">
      <w:start w:val="1"/>
      <w:numFmt w:val="lowerRoman"/>
      <w:lvlText w:val="%6."/>
      <w:lvlJc w:val="right"/>
      <w:pPr>
        <w:tabs>
          <w:tab w:val="left" w:pos="5356"/>
        </w:tabs>
        <w:ind w:left="5356" w:hanging="420"/>
      </w:pPr>
    </w:lvl>
    <w:lvl w:ilvl="6" w:tentative="0">
      <w:start w:val="1"/>
      <w:numFmt w:val="decimal"/>
      <w:lvlText w:val="%7."/>
      <w:lvlJc w:val="left"/>
      <w:pPr>
        <w:tabs>
          <w:tab w:val="left" w:pos="5776"/>
        </w:tabs>
        <w:ind w:left="5776" w:hanging="420"/>
      </w:pPr>
    </w:lvl>
    <w:lvl w:ilvl="7" w:tentative="0">
      <w:start w:val="1"/>
      <w:numFmt w:val="lowerLetter"/>
      <w:lvlText w:val="%8)"/>
      <w:lvlJc w:val="left"/>
      <w:pPr>
        <w:tabs>
          <w:tab w:val="left" w:pos="6196"/>
        </w:tabs>
        <w:ind w:left="6196" w:hanging="420"/>
      </w:pPr>
    </w:lvl>
    <w:lvl w:ilvl="8" w:tentative="0">
      <w:start w:val="1"/>
      <w:numFmt w:val="lowerRoman"/>
      <w:lvlText w:val="%9."/>
      <w:lvlJc w:val="right"/>
      <w:pPr>
        <w:tabs>
          <w:tab w:val="left" w:pos="6616"/>
        </w:tabs>
        <w:ind w:left="6616" w:hanging="420"/>
      </w:pPr>
    </w:lvl>
  </w:abstractNum>
  <w:abstractNum w:abstractNumId="3">
    <w:nsid w:val="240D3E5A"/>
    <w:multiLevelType w:val="singleLevel"/>
    <w:tmpl w:val="240D3E5A"/>
    <w:lvl w:ilvl="0" w:tentative="0">
      <w:start w:val="1"/>
      <w:numFmt w:val="decimal"/>
      <w:pStyle w:val="144"/>
      <w:lvlText w:val="%1、"/>
      <w:lvlJc w:val="left"/>
      <w:pPr>
        <w:tabs>
          <w:tab w:val="left" w:pos="480"/>
        </w:tabs>
        <w:ind w:left="480" w:hanging="480"/>
      </w:pPr>
      <w:rPr>
        <w:rFonts w:hint="eastAsia"/>
      </w:rPr>
    </w:lvl>
  </w:abstractNum>
  <w:abstractNum w:abstractNumId="4">
    <w:nsid w:val="2497B83A"/>
    <w:multiLevelType w:val="singleLevel"/>
    <w:tmpl w:val="2497B83A"/>
    <w:lvl w:ilvl="0" w:tentative="0">
      <w:start w:val="3"/>
      <w:numFmt w:val="decimal"/>
      <w:suff w:val="nothing"/>
      <w:lvlText w:val="%1、"/>
      <w:lvlJc w:val="left"/>
    </w:lvl>
  </w:abstractNum>
  <w:abstractNum w:abstractNumId="5">
    <w:nsid w:val="420C153B"/>
    <w:multiLevelType w:val="multilevel"/>
    <w:tmpl w:val="420C153B"/>
    <w:lvl w:ilvl="0" w:tentative="0">
      <w:start w:val="1"/>
      <w:numFmt w:val="decimal"/>
      <w:pStyle w:val="14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5"/>
  <w:drawingGridHorizontalSpacing w:val="105"/>
  <w:drawingGridVerticalSpacing w:val="30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ZiOTJlM2EwOGJkODllOWI1NDA0NWE0NmYwMjU4OTQifQ=="/>
  </w:docVars>
  <w:rsids>
    <w:rsidRoot w:val="00BC6FEC"/>
    <w:rsid w:val="00012082"/>
    <w:rsid w:val="00023AA5"/>
    <w:rsid w:val="000261E2"/>
    <w:rsid w:val="000729E6"/>
    <w:rsid w:val="00083684"/>
    <w:rsid w:val="00093F5F"/>
    <w:rsid w:val="000B14DA"/>
    <w:rsid w:val="000E2916"/>
    <w:rsid w:val="001364DE"/>
    <w:rsid w:val="00180D1F"/>
    <w:rsid w:val="0023214B"/>
    <w:rsid w:val="00245ECE"/>
    <w:rsid w:val="00281135"/>
    <w:rsid w:val="002E52CC"/>
    <w:rsid w:val="002F745E"/>
    <w:rsid w:val="00403544"/>
    <w:rsid w:val="00453FA7"/>
    <w:rsid w:val="00547126"/>
    <w:rsid w:val="005C56DF"/>
    <w:rsid w:val="005D04D1"/>
    <w:rsid w:val="0060553E"/>
    <w:rsid w:val="00653106"/>
    <w:rsid w:val="00825485"/>
    <w:rsid w:val="00887F77"/>
    <w:rsid w:val="008C1C79"/>
    <w:rsid w:val="00990C73"/>
    <w:rsid w:val="009939A4"/>
    <w:rsid w:val="0099592E"/>
    <w:rsid w:val="009E4A75"/>
    <w:rsid w:val="00B13561"/>
    <w:rsid w:val="00B53530"/>
    <w:rsid w:val="00B636C6"/>
    <w:rsid w:val="00BC6FEC"/>
    <w:rsid w:val="00C3484C"/>
    <w:rsid w:val="00CB4BA2"/>
    <w:rsid w:val="00D444D4"/>
    <w:rsid w:val="00D656B8"/>
    <w:rsid w:val="00D76FB1"/>
    <w:rsid w:val="00DF3DD5"/>
    <w:rsid w:val="00E02867"/>
    <w:rsid w:val="00E9134D"/>
    <w:rsid w:val="00EC1A72"/>
    <w:rsid w:val="00EF5F1C"/>
    <w:rsid w:val="00F2409B"/>
    <w:rsid w:val="00FA4B0D"/>
    <w:rsid w:val="00FB7A7F"/>
    <w:rsid w:val="013D4B60"/>
    <w:rsid w:val="016F6768"/>
    <w:rsid w:val="018D03AA"/>
    <w:rsid w:val="025C186E"/>
    <w:rsid w:val="02977F51"/>
    <w:rsid w:val="02CB28C5"/>
    <w:rsid w:val="042916BC"/>
    <w:rsid w:val="043E5109"/>
    <w:rsid w:val="04462E9F"/>
    <w:rsid w:val="05B27878"/>
    <w:rsid w:val="06215FE6"/>
    <w:rsid w:val="069F7723"/>
    <w:rsid w:val="06DF76C9"/>
    <w:rsid w:val="0856314E"/>
    <w:rsid w:val="08825A27"/>
    <w:rsid w:val="096D6E50"/>
    <w:rsid w:val="09BE6107"/>
    <w:rsid w:val="09C6546E"/>
    <w:rsid w:val="0A1E045A"/>
    <w:rsid w:val="0AA81E44"/>
    <w:rsid w:val="0ABE1C92"/>
    <w:rsid w:val="0BD96D66"/>
    <w:rsid w:val="0BE508FA"/>
    <w:rsid w:val="0C474935"/>
    <w:rsid w:val="0C6176C6"/>
    <w:rsid w:val="0C886491"/>
    <w:rsid w:val="0D0758F2"/>
    <w:rsid w:val="0D3A2904"/>
    <w:rsid w:val="0D463A9D"/>
    <w:rsid w:val="0D463B59"/>
    <w:rsid w:val="0D777979"/>
    <w:rsid w:val="0DA43871"/>
    <w:rsid w:val="0E475BD8"/>
    <w:rsid w:val="0EBA6E69"/>
    <w:rsid w:val="0EF260FC"/>
    <w:rsid w:val="0F6C6610"/>
    <w:rsid w:val="0F9B4FA1"/>
    <w:rsid w:val="10B065F3"/>
    <w:rsid w:val="10F00F0A"/>
    <w:rsid w:val="112A66B2"/>
    <w:rsid w:val="115170CB"/>
    <w:rsid w:val="1190154B"/>
    <w:rsid w:val="11D72A26"/>
    <w:rsid w:val="123A5B2F"/>
    <w:rsid w:val="12873E25"/>
    <w:rsid w:val="12F056EE"/>
    <w:rsid w:val="13896363"/>
    <w:rsid w:val="138F41E2"/>
    <w:rsid w:val="13EB6562"/>
    <w:rsid w:val="14357918"/>
    <w:rsid w:val="144804AC"/>
    <w:rsid w:val="14AD5557"/>
    <w:rsid w:val="15001E69"/>
    <w:rsid w:val="15305B65"/>
    <w:rsid w:val="160A286E"/>
    <w:rsid w:val="161B7A32"/>
    <w:rsid w:val="16C952C5"/>
    <w:rsid w:val="16F930BA"/>
    <w:rsid w:val="172F5038"/>
    <w:rsid w:val="17E87158"/>
    <w:rsid w:val="18311F03"/>
    <w:rsid w:val="186F188C"/>
    <w:rsid w:val="18A845F7"/>
    <w:rsid w:val="19274253"/>
    <w:rsid w:val="195E3EC5"/>
    <w:rsid w:val="197430CD"/>
    <w:rsid w:val="198539A7"/>
    <w:rsid w:val="19D2061A"/>
    <w:rsid w:val="19F43600"/>
    <w:rsid w:val="1ADB643E"/>
    <w:rsid w:val="1AF765EC"/>
    <w:rsid w:val="1B4D516B"/>
    <w:rsid w:val="1B85477C"/>
    <w:rsid w:val="1BA80640"/>
    <w:rsid w:val="1C146210"/>
    <w:rsid w:val="1C803C30"/>
    <w:rsid w:val="1DB22149"/>
    <w:rsid w:val="1DCB0480"/>
    <w:rsid w:val="1E2659C8"/>
    <w:rsid w:val="1E3260E0"/>
    <w:rsid w:val="1E381243"/>
    <w:rsid w:val="1F3D3B25"/>
    <w:rsid w:val="1F5C15C8"/>
    <w:rsid w:val="208F58D5"/>
    <w:rsid w:val="20F43D9E"/>
    <w:rsid w:val="21B30A5C"/>
    <w:rsid w:val="21E24670"/>
    <w:rsid w:val="222E61BE"/>
    <w:rsid w:val="22444671"/>
    <w:rsid w:val="228331E7"/>
    <w:rsid w:val="231A7DF0"/>
    <w:rsid w:val="231E0FD3"/>
    <w:rsid w:val="237E6306"/>
    <w:rsid w:val="238E3779"/>
    <w:rsid w:val="23E66234"/>
    <w:rsid w:val="25571BCC"/>
    <w:rsid w:val="25864AB3"/>
    <w:rsid w:val="25B56321"/>
    <w:rsid w:val="261A6BBE"/>
    <w:rsid w:val="275601E7"/>
    <w:rsid w:val="27DB5919"/>
    <w:rsid w:val="27F87705"/>
    <w:rsid w:val="28456641"/>
    <w:rsid w:val="28EB1499"/>
    <w:rsid w:val="28F830D0"/>
    <w:rsid w:val="294C5930"/>
    <w:rsid w:val="2B2C5D05"/>
    <w:rsid w:val="2B75131C"/>
    <w:rsid w:val="2B8D1B71"/>
    <w:rsid w:val="2BBC5A37"/>
    <w:rsid w:val="2BE92F8E"/>
    <w:rsid w:val="2CC029EA"/>
    <w:rsid w:val="2CFA0F4A"/>
    <w:rsid w:val="2D241630"/>
    <w:rsid w:val="2D5D612E"/>
    <w:rsid w:val="2D7B48B5"/>
    <w:rsid w:val="2E6E6235"/>
    <w:rsid w:val="2E8B0930"/>
    <w:rsid w:val="2EB6668C"/>
    <w:rsid w:val="2ED00B60"/>
    <w:rsid w:val="2F194610"/>
    <w:rsid w:val="2F2B5012"/>
    <w:rsid w:val="2F4C1EAC"/>
    <w:rsid w:val="3074460D"/>
    <w:rsid w:val="308260A1"/>
    <w:rsid w:val="30F441BC"/>
    <w:rsid w:val="31E85B72"/>
    <w:rsid w:val="324A3201"/>
    <w:rsid w:val="32BB4EF5"/>
    <w:rsid w:val="334659D7"/>
    <w:rsid w:val="33590F6C"/>
    <w:rsid w:val="33C367C7"/>
    <w:rsid w:val="33FC0B4C"/>
    <w:rsid w:val="34184C92"/>
    <w:rsid w:val="344C3FA3"/>
    <w:rsid w:val="34FF743C"/>
    <w:rsid w:val="351D591B"/>
    <w:rsid w:val="35392768"/>
    <w:rsid w:val="359C110E"/>
    <w:rsid w:val="359E237C"/>
    <w:rsid w:val="35E024AF"/>
    <w:rsid w:val="36195A51"/>
    <w:rsid w:val="36220843"/>
    <w:rsid w:val="365C1DB7"/>
    <w:rsid w:val="36AC716F"/>
    <w:rsid w:val="37E427F4"/>
    <w:rsid w:val="3807097C"/>
    <w:rsid w:val="393D6A78"/>
    <w:rsid w:val="398B4551"/>
    <w:rsid w:val="3A2D6818"/>
    <w:rsid w:val="3A322484"/>
    <w:rsid w:val="3A7E7074"/>
    <w:rsid w:val="3AFB6D47"/>
    <w:rsid w:val="3B5E5837"/>
    <w:rsid w:val="3B6061D8"/>
    <w:rsid w:val="3BD95B2F"/>
    <w:rsid w:val="3C6109FB"/>
    <w:rsid w:val="3CD66E75"/>
    <w:rsid w:val="3CD827C6"/>
    <w:rsid w:val="3D2E280C"/>
    <w:rsid w:val="3DB21666"/>
    <w:rsid w:val="3DC5659F"/>
    <w:rsid w:val="3DCB41D7"/>
    <w:rsid w:val="3DE80E53"/>
    <w:rsid w:val="3EA66C34"/>
    <w:rsid w:val="3EDB7B9B"/>
    <w:rsid w:val="3F0E567F"/>
    <w:rsid w:val="3F267FCA"/>
    <w:rsid w:val="3FAD7E35"/>
    <w:rsid w:val="3FEC6ED2"/>
    <w:rsid w:val="401D15BF"/>
    <w:rsid w:val="40436A3F"/>
    <w:rsid w:val="40847720"/>
    <w:rsid w:val="419102B2"/>
    <w:rsid w:val="41B7693C"/>
    <w:rsid w:val="434D2FBA"/>
    <w:rsid w:val="43F779F1"/>
    <w:rsid w:val="449D3462"/>
    <w:rsid w:val="44E432C7"/>
    <w:rsid w:val="44F44B9E"/>
    <w:rsid w:val="455F5734"/>
    <w:rsid w:val="4560238D"/>
    <w:rsid w:val="46B03E69"/>
    <w:rsid w:val="46B42A0C"/>
    <w:rsid w:val="46D102AD"/>
    <w:rsid w:val="4711768D"/>
    <w:rsid w:val="471D3F3A"/>
    <w:rsid w:val="47A25E67"/>
    <w:rsid w:val="47C36B45"/>
    <w:rsid w:val="480D7DB3"/>
    <w:rsid w:val="48441E9E"/>
    <w:rsid w:val="48666DFA"/>
    <w:rsid w:val="48D87922"/>
    <w:rsid w:val="48E22B08"/>
    <w:rsid w:val="48F601E3"/>
    <w:rsid w:val="48F71834"/>
    <w:rsid w:val="49CD5922"/>
    <w:rsid w:val="4A214330"/>
    <w:rsid w:val="4A542596"/>
    <w:rsid w:val="4B223A4B"/>
    <w:rsid w:val="4B2E496F"/>
    <w:rsid w:val="4B485739"/>
    <w:rsid w:val="4B900DC7"/>
    <w:rsid w:val="4BA15802"/>
    <w:rsid w:val="4BED22AB"/>
    <w:rsid w:val="4BFF6238"/>
    <w:rsid w:val="4C1321FB"/>
    <w:rsid w:val="4C794DFF"/>
    <w:rsid w:val="4C8B5933"/>
    <w:rsid w:val="4CC40D74"/>
    <w:rsid w:val="4D08736C"/>
    <w:rsid w:val="4EC874A9"/>
    <w:rsid w:val="4F671552"/>
    <w:rsid w:val="4F753B00"/>
    <w:rsid w:val="501E79A7"/>
    <w:rsid w:val="50847475"/>
    <w:rsid w:val="50855E66"/>
    <w:rsid w:val="50B40590"/>
    <w:rsid w:val="51CC4075"/>
    <w:rsid w:val="52084B7D"/>
    <w:rsid w:val="52E66674"/>
    <w:rsid w:val="53795651"/>
    <w:rsid w:val="539E1985"/>
    <w:rsid w:val="53EA39B9"/>
    <w:rsid w:val="540B3BA3"/>
    <w:rsid w:val="54583642"/>
    <w:rsid w:val="545A4948"/>
    <w:rsid w:val="55C027DF"/>
    <w:rsid w:val="564822B6"/>
    <w:rsid w:val="56B418B0"/>
    <w:rsid w:val="572D7A00"/>
    <w:rsid w:val="577C0C4A"/>
    <w:rsid w:val="579069C9"/>
    <w:rsid w:val="57F20198"/>
    <w:rsid w:val="581F559B"/>
    <w:rsid w:val="58263AD6"/>
    <w:rsid w:val="585746E7"/>
    <w:rsid w:val="58846265"/>
    <w:rsid w:val="59724BCE"/>
    <w:rsid w:val="5A3B68EB"/>
    <w:rsid w:val="5A406F17"/>
    <w:rsid w:val="5A4107F5"/>
    <w:rsid w:val="5A6E15E1"/>
    <w:rsid w:val="5BC34450"/>
    <w:rsid w:val="5BDD3AD6"/>
    <w:rsid w:val="5CFD5019"/>
    <w:rsid w:val="5D022C1E"/>
    <w:rsid w:val="5D5C2F06"/>
    <w:rsid w:val="5D6E702D"/>
    <w:rsid w:val="5DEA79A5"/>
    <w:rsid w:val="5F3E6C4E"/>
    <w:rsid w:val="5F4B775B"/>
    <w:rsid w:val="5F67250C"/>
    <w:rsid w:val="60913327"/>
    <w:rsid w:val="60922815"/>
    <w:rsid w:val="60DF1AAA"/>
    <w:rsid w:val="610A5BD5"/>
    <w:rsid w:val="618E553F"/>
    <w:rsid w:val="62063199"/>
    <w:rsid w:val="620B28E1"/>
    <w:rsid w:val="62476DFF"/>
    <w:rsid w:val="62B37CBA"/>
    <w:rsid w:val="62CF234B"/>
    <w:rsid w:val="62FC1EC0"/>
    <w:rsid w:val="631625A7"/>
    <w:rsid w:val="633707C6"/>
    <w:rsid w:val="63430F43"/>
    <w:rsid w:val="63BA6ABF"/>
    <w:rsid w:val="63D706E8"/>
    <w:rsid w:val="63E25B62"/>
    <w:rsid w:val="64313C40"/>
    <w:rsid w:val="64346605"/>
    <w:rsid w:val="644B3DD4"/>
    <w:rsid w:val="64C00105"/>
    <w:rsid w:val="64F94FB6"/>
    <w:rsid w:val="65193157"/>
    <w:rsid w:val="651C4271"/>
    <w:rsid w:val="6526202B"/>
    <w:rsid w:val="65613E34"/>
    <w:rsid w:val="661F2219"/>
    <w:rsid w:val="67324ECF"/>
    <w:rsid w:val="686746BA"/>
    <w:rsid w:val="68B07650"/>
    <w:rsid w:val="68BB313F"/>
    <w:rsid w:val="68EA39A3"/>
    <w:rsid w:val="69287CEE"/>
    <w:rsid w:val="69883DB7"/>
    <w:rsid w:val="699B3BFB"/>
    <w:rsid w:val="69A74526"/>
    <w:rsid w:val="6A667059"/>
    <w:rsid w:val="6A957DEB"/>
    <w:rsid w:val="6AB53611"/>
    <w:rsid w:val="6AC127FC"/>
    <w:rsid w:val="6B375A58"/>
    <w:rsid w:val="6B5C220A"/>
    <w:rsid w:val="6BAA566B"/>
    <w:rsid w:val="6BB83209"/>
    <w:rsid w:val="6C1C455E"/>
    <w:rsid w:val="6C5B55C4"/>
    <w:rsid w:val="6CD4173C"/>
    <w:rsid w:val="6D106AFD"/>
    <w:rsid w:val="6D6955A8"/>
    <w:rsid w:val="6D780833"/>
    <w:rsid w:val="6D820E7F"/>
    <w:rsid w:val="6DDD45F5"/>
    <w:rsid w:val="6DF21C11"/>
    <w:rsid w:val="6DF54B56"/>
    <w:rsid w:val="6DFB2D93"/>
    <w:rsid w:val="6F272B9D"/>
    <w:rsid w:val="70185DFB"/>
    <w:rsid w:val="709A357C"/>
    <w:rsid w:val="70A71C8D"/>
    <w:rsid w:val="70B366B5"/>
    <w:rsid w:val="71005B53"/>
    <w:rsid w:val="7151329F"/>
    <w:rsid w:val="71B05A96"/>
    <w:rsid w:val="71D5752F"/>
    <w:rsid w:val="71D60B2F"/>
    <w:rsid w:val="71E10268"/>
    <w:rsid w:val="71E23FA8"/>
    <w:rsid w:val="71E909BB"/>
    <w:rsid w:val="7232057E"/>
    <w:rsid w:val="73AC57F8"/>
    <w:rsid w:val="74327EC2"/>
    <w:rsid w:val="748F1FA3"/>
    <w:rsid w:val="749133E5"/>
    <w:rsid w:val="74EF0F64"/>
    <w:rsid w:val="75883E49"/>
    <w:rsid w:val="75B73EE6"/>
    <w:rsid w:val="763B34B1"/>
    <w:rsid w:val="766E6043"/>
    <w:rsid w:val="770B6C9C"/>
    <w:rsid w:val="773A7468"/>
    <w:rsid w:val="77681858"/>
    <w:rsid w:val="77AD43D7"/>
    <w:rsid w:val="77D151CF"/>
    <w:rsid w:val="77D841FF"/>
    <w:rsid w:val="78712F67"/>
    <w:rsid w:val="78B54E67"/>
    <w:rsid w:val="78D94A27"/>
    <w:rsid w:val="78E52B71"/>
    <w:rsid w:val="79040ADD"/>
    <w:rsid w:val="79B0209F"/>
    <w:rsid w:val="79C60C73"/>
    <w:rsid w:val="7AB160CE"/>
    <w:rsid w:val="7B3765A6"/>
    <w:rsid w:val="7BAB7867"/>
    <w:rsid w:val="7BEB0E14"/>
    <w:rsid w:val="7C7A1A81"/>
    <w:rsid w:val="7CDE06B0"/>
    <w:rsid w:val="7CE6512F"/>
    <w:rsid w:val="7D0929F3"/>
    <w:rsid w:val="7D13225A"/>
    <w:rsid w:val="7D504CFE"/>
    <w:rsid w:val="7DB17510"/>
    <w:rsid w:val="7DE9629C"/>
    <w:rsid w:val="7DEB18F7"/>
    <w:rsid w:val="7DED3806"/>
    <w:rsid w:val="7E0D1A7A"/>
    <w:rsid w:val="7E882B49"/>
    <w:rsid w:val="7F1F2E51"/>
    <w:rsid w:val="7F754946"/>
    <w:rsid w:val="7FA06711"/>
    <w:rsid w:val="7FA57CF9"/>
    <w:rsid w:val="7FCC1D4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name="index heading"/>
    <w:lsdException w:qFormat="1" w:unhideWhenUsed="0" w:uiPriority="35" w:semiHidden="0" w:name="caption"/>
    <w:lsdException w:qFormat="1" w:unhideWhenUsed="0" w:uiPriority="0" w:name="table of figures"/>
    <w:lsdException w:uiPriority="0" w:name="envelope address"/>
    <w:lsdException w:qFormat="1" w:uiPriority="99" w:semiHidden="0" w:name="envelope return"/>
    <w:lsdException w:uiPriority="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qFormat="1" w:uiPriority="0" w:name="HTML Acronym"/>
    <w:lsdException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lang w:val="en-US" w:eastAsia="zh-CN" w:bidi="ar-SA"/>
    </w:rPr>
  </w:style>
  <w:style w:type="paragraph" w:styleId="7">
    <w:name w:val="heading 1"/>
    <w:basedOn w:val="1"/>
    <w:next w:val="1"/>
    <w:link w:val="75"/>
    <w:autoRedefine/>
    <w:qFormat/>
    <w:uiPriority w:val="0"/>
    <w:pPr>
      <w:keepNext/>
      <w:tabs>
        <w:tab w:val="left" w:pos="200"/>
      </w:tabs>
      <w:jc w:val="center"/>
      <w:outlineLvl w:val="0"/>
    </w:pPr>
    <w:rPr>
      <w:rFonts w:ascii="宋体" w:hAnsi="宋体"/>
      <w:b/>
      <w:sz w:val="36"/>
    </w:rPr>
  </w:style>
  <w:style w:type="paragraph" w:styleId="8">
    <w:name w:val="heading 2"/>
    <w:basedOn w:val="1"/>
    <w:next w:val="1"/>
    <w:link w:val="76"/>
    <w:autoRedefine/>
    <w:qFormat/>
    <w:uiPriority w:val="0"/>
    <w:pPr>
      <w:keepNext/>
      <w:jc w:val="center"/>
      <w:outlineLvl w:val="1"/>
    </w:pPr>
    <w:rPr>
      <w:rFonts w:eastAsia="楷体_GB2312"/>
      <w:b/>
      <w:bCs/>
      <w:sz w:val="28"/>
      <w:szCs w:val="28"/>
    </w:rPr>
  </w:style>
  <w:style w:type="paragraph" w:styleId="9">
    <w:name w:val="heading 3"/>
    <w:basedOn w:val="1"/>
    <w:next w:val="1"/>
    <w:link w:val="77"/>
    <w:autoRedefine/>
    <w:qFormat/>
    <w:uiPriority w:val="9"/>
    <w:pPr>
      <w:keepNext/>
      <w:jc w:val="center"/>
      <w:outlineLvl w:val="2"/>
    </w:pPr>
    <w:rPr>
      <w:rFonts w:ascii="宋体" w:hAnsi="宋体"/>
      <w:sz w:val="28"/>
    </w:rPr>
  </w:style>
  <w:style w:type="paragraph" w:styleId="10">
    <w:name w:val="heading 4"/>
    <w:basedOn w:val="1"/>
    <w:next w:val="1"/>
    <w:link w:val="78"/>
    <w:autoRedefine/>
    <w:qFormat/>
    <w:uiPriority w:val="9"/>
    <w:pPr>
      <w:keepNext/>
      <w:outlineLvl w:val="3"/>
    </w:pPr>
    <w:rPr>
      <w:b/>
      <w:bCs/>
      <w:sz w:val="18"/>
    </w:rPr>
  </w:style>
  <w:style w:type="paragraph" w:styleId="11">
    <w:name w:val="heading 5"/>
    <w:basedOn w:val="1"/>
    <w:next w:val="1"/>
    <w:link w:val="79"/>
    <w:autoRedefine/>
    <w:qFormat/>
    <w:uiPriority w:val="9"/>
    <w:pPr>
      <w:keepNext/>
      <w:jc w:val="center"/>
      <w:outlineLvl w:val="4"/>
    </w:pPr>
    <w:rPr>
      <w:b/>
      <w:bCs/>
      <w:sz w:val="18"/>
    </w:rPr>
  </w:style>
  <w:style w:type="paragraph" w:styleId="12">
    <w:name w:val="heading 6"/>
    <w:basedOn w:val="1"/>
    <w:next w:val="1"/>
    <w:link w:val="80"/>
    <w:autoRedefine/>
    <w:qFormat/>
    <w:uiPriority w:val="9"/>
    <w:pPr>
      <w:keepNext/>
      <w:keepLines/>
      <w:widowControl/>
      <w:spacing w:before="120" w:line="252" w:lineRule="auto"/>
      <w:outlineLvl w:val="5"/>
    </w:pPr>
    <w:rPr>
      <w:rFonts w:ascii="Calibri Light" w:hAnsi="Calibri Light"/>
      <w:b/>
      <w:bCs/>
      <w:i/>
      <w:iCs/>
      <w:kern w:val="0"/>
      <w:sz w:val="20"/>
    </w:rPr>
  </w:style>
  <w:style w:type="paragraph" w:styleId="13">
    <w:name w:val="heading 7"/>
    <w:basedOn w:val="1"/>
    <w:next w:val="1"/>
    <w:link w:val="81"/>
    <w:autoRedefine/>
    <w:qFormat/>
    <w:uiPriority w:val="9"/>
    <w:pPr>
      <w:keepNext/>
      <w:keepLines/>
      <w:widowControl/>
      <w:spacing w:before="120" w:line="252" w:lineRule="auto"/>
      <w:outlineLvl w:val="6"/>
    </w:pPr>
    <w:rPr>
      <w:i/>
      <w:iCs/>
      <w:kern w:val="0"/>
      <w:sz w:val="20"/>
    </w:rPr>
  </w:style>
  <w:style w:type="paragraph" w:styleId="14">
    <w:name w:val="heading 8"/>
    <w:basedOn w:val="1"/>
    <w:next w:val="1"/>
    <w:link w:val="82"/>
    <w:autoRedefine/>
    <w:qFormat/>
    <w:uiPriority w:val="9"/>
    <w:pPr>
      <w:keepNext/>
      <w:keepLines/>
      <w:widowControl/>
      <w:spacing w:before="120" w:line="252" w:lineRule="auto"/>
      <w:outlineLvl w:val="7"/>
    </w:pPr>
    <w:rPr>
      <w:b/>
      <w:bCs/>
      <w:kern w:val="0"/>
      <w:sz w:val="20"/>
    </w:rPr>
  </w:style>
  <w:style w:type="paragraph" w:styleId="15">
    <w:name w:val="heading 9"/>
    <w:basedOn w:val="1"/>
    <w:next w:val="1"/>
    <w:link w:val="83"/>
    <w:autoRedefine/>
    <w:qFormat/>
    <w:uiPriority w:val="9"/>
    <w:pPr>
      <w:keepNext/>
      <w:keepLines/>
      <w:widowControl/>
      <w:spacing w:before="120" w:line="252" w:lineRule="auto"/>
      <w:outlineLvl w:val="8"/>
    </w:pPr>
    <w:rPr>
      <w:i/>
      <w:iCs/>
      <w:kern w:val="0"/>
      <w:sz w:val="20"/>
    </w:rPr>
  </w:style>
  <w:style w:type="character" w:default="1" w:styleId="56">
    <w:name w:val="Default Paragraph Font"/>
    <w:autoRedefine/>
    <w:semiHidden/>
    <w:unhideWhenUsed/>
    <w:qFormat/>
    <w:uiPriority w:val="1"/>
  </w:style>
  <w:style w:type="table" w:default="1" w:styleId="54">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link w:val="87"/>
    <w:autoRedefine/>
    <w:qFormat/>
    <w:uiPriority w:val="99"/>
    <w:rPr>
      <w:rFonts w:ascii="楷体_GB2312" w:hAnsi="Arial" w:eastAsia="楷体_GB2312"/>
      <w:sz w:val="28"/>
    </w:rPr>
  </w:style>
  <w:style w:type="paragraph" w:styleId="3">
    <w:name w:val="Body Text First Indent"/>
    <w:basedOn w:val="2"/>
    <w:next w:val="4"/>
    <w:link w:val="156"/>
    <w:autoRedefine/>
    <w:unhideWhenUsed/>
    <w:qFormat/>
    <w:uiPriority w:val="99"/>
    <w:pPr>
      <w:spacing w:after="120"/>
      <w:ind w:firstLine="420" w:firstLineChars="100"/>
    </w:pPr>
    <w:rPr>
      <w:rFonts w:ascii="Calibri" w:hAnsi="Calibri" w:eastAsia="宋体"/>
      <w:sz w:val="21"/>
    </w:rPr>
  </w:style>
  <w:style w:type="paragraph" w:styleId="4">
    <w:name w:val="Body Text First Indent 2"/>
    <w:basedOn w:val="5"/>
    <w:next w:val="3"/>
    <w:autoRedefine/>
    <w:unhideWhenUsed/>
    <w:qFormat/>
    <w:uiPriority w:val="99"/>
    <w:pPr>
      <w:widowControl w:val="0"/>
      <w:spacing w:after="120"/>
      <w:ind w:left="420" w:leftChars="200" w:firstLine="420" w:firstLineChars="200"/>
      <w:jc w:val="both"/>
    </w:pPr>
    <w:rPr>
      <w:rFonts w:ascii="Calibri" w:hAnsi="Calibri" w:eastAsia="宋体" w:cs="Times New Roman"/>
      <w:kern w:val="2"/>
      <w:sz w:val="21"/>
      <w:lang w:val="en-US" w:eastAsia="zh-CN" w:bidi="ar-SA"/>
    </w:rPr>
  </w:style>
  <w:style w:type="paragraph" w:styleId="5">
    <w:name w:val="Body Text Indent"/>
    <w:basedOn w:val="1"/>
    <w:next w:val="6"/>
    <w:link w:val="88"/>
    <w:autoRedefine/>
    <w:qFormat/>
    <w:uiPriority w:val="0"/>
    <w:pPr>
      <w:adjustRightInd w:val="0"/>
      <w:spacing w:line="312" w:lineRule="atLeast"/>
      <w:ind w:firstLine="574"/>
      <w:textAlignment w:val="baseline"/>
    </w:pPr>
    <w:rPr>
      <w:rFonts w:ascii="宋体"/>
      <w:kern w:val="0"/>
      <w:sz w:val="28"/>
    </w:rPr>
  </w:style>
  <w:style w:type="paragraph" w:styleId="6">
    <w:name w:val="envelope return"/>
    <w:basedOn w:val="1"/>
    <w:autoRedefine/>
    <w:unhideWhenUsed/>
    <w:qFormat/>
    <w:uiPriority w:val="99"/>
    <w:pPr>
      <w:snapToGrid w:val="0"/>
    </w:pPr>
    <w:rPr>
      <w:rFonts w:ascii="Arial" w:hAnsi="Arial"/>
    </w:rPr>
  </w:style>
  <w:style w:type="paragraph" w:styleId="16">
    <w:name w:val="toc 7"/>
    <w:basedOn w:val="1"/>
    <w:next w:val="1"/>
    <w:autoRedefine/>
    <w:semiHidden/>
    <w:qFormat/>
    <w:uiPriority w:val="0"/>
    <w:pPr>
      <w:ind w:left="1260"/>
      <w:jc w:val="left"/>
    </w:pPr>
    <w:rPr>
      <w:szCs w:val="21"/>
    </w:rPr>
  </w:style>
  <w:style w:type="paragraph" w:styleId="17">
    <w:name w:val="index 8"/>
    <w:basedOn w:val="1"/>
    <w:next w:val="1"/>
    <w:autoRedefine/>
    <w:semiHidden/>
    <w:qFormat/>
    <w:uiPriority w:val="0"/>
    <w:pPr>
      <w:ind w:left="1400" w:leftChars="1400"/>
    </w:pPr>
  </w:style>
  <w:style w:type="paragraph" w:styleId="18">
    <w:name w:val="Normal Indent"/>
    <w:basedOn w:val="1"/>
    <w:link w:val="84"/>
    <w:autoRedefine/>
    <w:qFormat/>
    <w:uiPriority w:val="0"/>
    <w:pPr>
      <w:ind w:firstLine="420"/>
    </w:pPr>
  </w:style>
  <w:style w:type="paragraph" w:styleId="19">
    <w:name w:val="caption"/>
    <w:basedOn w:val="1"/>
    <w:next w:val="1"/>
    <w:autoRedefine/>
    <w:qFormat/>
    <w:uiPriority w:val="35"/>
    <w:pPr>
      <w:widowControl/>
      <w:spacing w:after="160" w:line="252" w:lineRule="auto"/>
    </w:pPr>
    <w:rPr>
      <w:b/>
      <w:bCs/>
      <w:kern w:val="0"/>
      <w:sz w:val="18"/>
      <w:szCs w:val="18"/>
    </w:rPr>
  </w:style>
  <w:style w:type="paragraph" w:styleId="20">
    <w:name w:val="index 5"/>
    <w:basedOn w:val="1"/>
    <w:next w:val="1"/>
    <w:autoRedefine/>
    <w:semiHidden/>
    <w:qFormat/>
    <w:uiPriority w:val="0"/>
    <w:pPr>
      <w:ind w:left="800" w:leftChars="800"/>
    </w:pPr>
  </w:style>
  <w:style w:type="paragraph" w:styleId="21">
    <w:name w:val="Document Map"/>
    <w:basedOn w:val="1"/>
    <w:link w:val="85"/>
    <w:autoRedefine/>
    <w:semiHidden/>
    <w:qFormat/>
    <w:uiPriority w:val="0"/>
    <w:pPr>
      <w:shd w:val="clear" w:color="auto" w:fill="000080"/>
    </w:pPr>
  </w:style>
  <w:style w:type="paragraph" w:styleId="22">
    <w:name w:val="annotation text"/>
    <w:basedOn w:val="1"/>
    <w:link w:val="86"/>
    <w:autoRedefine/>
    <w:qFormat/>
    <w:uiPriority w:val="0"/>
    <w:pPr>
      <w:jc w:val="left"/>
    </w:pPr>
  </w:style>
  <w:style w:type="paragraph" w:styleId="23">
    <w:name w:val="index 6"/>
    <w:basedOn w:val="1"/>
    <w:next w:val="1"/>
    <w:autoRedefine/>
    <w:semiHidden/>
    <w:qFormat/>
    <w:uiPriority w:val="0"/>
    <w:pPr>
      <w:ind w:left="1000" w:leftChars="1000"/>
    </w:pPr>
  </w:style>
  <w:style w:type="paragraph" w:styleId="24">
    <w:name w:val="Block Text"/>
    <w:basedOn w:val="1"/>
    <w:autoRedefine/>
    <w:qFormat/>
    <w:uiPriority w:val="0"/>
    <w:pPr>
      <w:tabs>
        <w:tab w:val="left" w:pos="822"/>
        <w:tab w:val="left" w:pos="2205"/>
        <w:tab w:val="left" w:pos="9000"/>
      </w:tabs>
      <w:adjustRightInd w:val="0"/>
      <w:snapToGrid w:val="0"/>
      <w:spacing w:before="89"/>
      <w:ind w:left="1890" w:leftChars="229" w:right="11" w:hanging="1409" w:hangingChars="587"/>
    </w:pPr>
    <w:rPr>
      <w:sz w:val="24"/>
    </w:rPr>
  </w:style>
  <w:style w:type="paragraph" w:styleId="25">
    <w:name w:val="index 4"/>
    <w:basedOn w:val="1"/>
    <w:next w:val="1"/>
    <w:autoRedefine/>
    <w:semiHidden/>
    <w:qFormat/>
    <w:uiPriority w:val="0"/>
    <w:pPr>
      <w:ind w:left="600" w:leftChars="600"/>
    </w:pPr>
  </w:style>
  <w:style w:type="paragraph" w:styleId="26">
    <w:name w:val="toc 5"/>
    <w:basedOn w:val="1"/>
    <w:next w:val="1"/>
    <w:autoRedefine/>
    <w:semiHidden/>
    <w:qFormat/>
    <w:uiPriority w:val="0"/>
    <w:pPr>
      <w:ind w:left="840"/>
      <w:jc w:val="left"/>
    </w:pPr>
    <w:rPr>
      <w:szCs w:val="21"/>
    </w:rPr>
  </w:style>
  <w:style w:type="paragraph" w:styleId="27">
    <w:name w:val="toc 3"/>
    <w:basedOn w:val="1"/>
    <w:next w:val="1"/>
    <w:autoRedefine/>
    <w:semiHidden/>
    <w:qFormat/>
    <w:uiPriority w:val="0"/>
    <w:pPr>
      <w:ind w:left="420"/>
      <w:jc w:val="left"/>
    </w:pPr>
    <w:rPr>
      <w:i/>
      <w:iCs/>
      <w:szCs w:val="24"/>
    </w:rPr>
  </w:style>
  <w:style w:type="paragraph" w:styleId="28">
    <w:name w:val="Plain Text"/>
    <w:basedOn w:val="1"/>
    <w:link w:val="89"/>
    <w:autoRedefine/>
    <w:qFormat/>
    <w:uiPriority w:val="0"/>
    <w:rPr>
      <w:rFonts w:ascii="宋体" w:hAnsi="Courier New"/>
    </w:rPr>
  </w:style>
  <w:style w:type="paragraph" w:styleId="29">
    <w:name w:val="toc 8"/>
    <w:basedOn w:val="1"/>
    <w:next w:val="1"/>
    <w:autoRedefine/>
    <w:semiHidden/>
    <w:qFormat/>
    <w:uiPriority w:val="0"/>
    <w:pPr>
      <w:ind w:left="1470"/>
      <w:jc w:val="left"/>
    </w:pPr>
    <w:rPr>
      <w:szCs w:val="21"/>
    </w:rPr>
  </w:style>
  <w:style w:type="paragraph" w:styleId="30">
    <w:name w:val="index 3"/>
    <w:basedOn w:val="1"/>
    <w:next w:val="1"/>
    <w:autoRedefine/>
    <w:semiHidden/>
    <w:qFormat/>
    <w:uiPriority w:val="0"/>
    <w:pPr>
      <w:ind w:left="400" w:leftChars="400"/>
    </w:pPr>
  </w:style>
  <w:style w:type="paragraph" w:styleId="31">
    <w:name w:val="Date"/>
    <w:basedOn w:val="1"/>
    <w:next w:val="1"/>
    <w:link w:val="90"/>
    <w:autoRedefine/>
    <w:qFormat/>
    <w:uiPriority w:val="0"/>
    <w:pPr>
      <w:adjustRightInd w:val="0"/>
      <w:spacing w:line="312" w:lineRule="atLeast"/>
      <w:textAlignment w:val="baseline"/>
    </w:pPr>
    <w:rPr>
      <w:rFonts w:ascii="宋体"/>
      <w:kern w:val="0"/>
      <w:sz w:val="28"/>
    </w:rPr>
  </w:style>
  <w:style w:type="paragraph" w:styleId="32">
    <w:name w:val="Body Text Indent 2"/>
    <w:basedOn w:val="1"/>
    <w:link w:val="91"/>
    <w:autoRedefine/>
    <w:qFormat/>
    <w:uiPriority w:val="0"/>
    <w:pPr>
      <w:tabs>
        <w:tab w:val="left" w:pos="1785"/>
        <w:tab w:val="left" w:pos="1887"/>
        <w:tab w:val="left" w:pos="2112"/>
        <w:tab w:val="left" w:pos="9000"/>
      </w:tabs>
      <w:adjustRightInd w:val="0"/>
      <w:snapToGrid w:val="0"/>
      <w:ind w:left="1890" w:leftChars="229" w:hanging="1409" w:hangingChars="587"/>
    </w:pPr>
    <w:rPr>
      <w:sz w:val="24"/>
    </w:rPr>
  </w:style>
  <w:style w:type="paragraph" w:styleId="33">
    <w:name w:val="Balloon Text"/>
    <w:basedOn w:val="1"/>
    <w:link w:val="92"/>
    <w:autoRedefine/>
    <w:qFormat/>
    <w:uiPriority w:val="0"/>
    <w:rPr>
      <w:sz w:val="18"/>
      <w:szCs w:val="18"/>
    </w:rPr>
  </w:style>
  <w:style w:type="paragraph" w:styleId="34">
    <w:name w:val="footer"/>
    <w:basedOn w:val="1"/>
    <w:link w:val="93"/>
    <w:autoRedefine/>
    <w:qFormat/>
    <w:uiPriority w:val="0"/>
    <w:pPr>
      <w:tabs>
        <w:tab w:val="center" w:pos="4153"/>
        <w:tab w:val="right" w:pos="8306"/>
      </w:tabs>
      <w:snapToGrid w:val="0"/>
      <w:jc w:val="left"/>
    </w:pPr>
    <w:rPr>
      <w:sz w:val="18"/>
    </w:rPr>
  </w:style>
  <w:style w:type="paragraph" w:styleId="35">
    <w:name w:val="header"/>
    <w:basedOn w:val="1"/>
    <w:link w:val="94"/>
    <w:autoRedefine/>
    <w:qFormat/>
    <w:uiPriority w:val="99"/>
    <w:pPr>
      <w:pBdr>
        <w:bottom w:val="single" w:color="auto" w:sz="6" w:space="1"/>
      </w:pBdr>
      <w:tabs>
        <w:tab w:val="center" w:pos="4153"/>
        <w:tab w:val="right" w:pos="8306"/>
      </w:tabs>
      <w:snapToGrid w:val="0"/>
      <w:jc w:val="center"/>
    </w:pPr>
    <w:rPr>
      <w:sz w:val="18"/>
    </w:rPr>
  </w:style>
  <w:style w:type="paragraph" w:styleId="36">
    <w:name w:val="Signature"/>
    <w:basedOn w:val="1"/>
    <w:link w:val="95"/>
    <w:autoRedefine/>
    <w:qFormat/>
    <w:uiPriority w:val="0"/>
    <w:pPr>
      <w:adjustRightInd w:val="0"/>
      <w:spacing w:after="600" w:line="312" w:lineRule="atLeast"/>
      <w:jc w:val="center"/>
      <w:textAlignment w:val="baseline"/>
    </w:pPr>
    <w:rPr>
      <w:rFonts w:eastAsia="仿宋_GB2312"/>
      <w:kern w:val="0"/>
      <w:sz w:val="24"/>
    </w:rPr>
  </w:style>
  <w:style w:type="paragraph" w:styleId="37">
    <w:name w:val="toc 1"/>
    <w:basedOn w:val="1"/>
    <w:next w:val="1"/>
    <w:autoRedefine/>
    <w:qFormat/>
    <w:uiPriority w:val="39"/>
    <w:pPr>
      <w:tabs>
        <w:tab w:val="right" w:leader="dot" w:pos="9450"/>
      </w:tabs>
      <w:spacing w:before="100" w:beforeAutospacing="1" w:after="100" w:afterAutospacing="1" w:line="360" w:lineRule="exact"/>
      <w:ind w:left="210" w:leftChars="100"/>
    </w:pPr>
    <w:rPr>
      <w:b/>
      <w:bCs/>
      <w:caps/>
      <w:sz w:val="28"/>
      <w:szCs w:val="36"/>
    </w:rPr>
  </w:style>
  <w:style w:type="paragraph" w:styleId="38">
    <w:name w:val="toc 4"/>
    <w:basedOn w:val="1"/>
    <w:next w:val="1"/>
    <w:autoRedefine/>
    <w:semiHidden/>
    <w:qFormat/>
    <w:uiPriority w:val="0"/>
    <w:pPr>
      <w:ind w:left="630"/>
      <w:jc w:val="left"/>
    </w:pPr>
    <w:rPr>
      <w:szCs w:val="21"/>
    </w:rPr>
  </w:style>
  <w:style w:type="paragraph" w:styleId="39">
    <w:name w:val="index heading"/>
    <w:basedOn w:val="1"/>
    <w:next w:val="40"/>
    <w:autoRedefine/>
    <w:semiHidden/>
    <w:qFormat/>
    <w:uiPriority w:val="0"/>
  </w:style>
  <w:style w:type="paragraph" w:styleId="40">
    <w:name w:val="index 1"/>
    <w:basedOn w:val="1"/>
    <w:next w:val="1"/>
    <w:autoRedefine/>
    <w:semiHidden/>
    <w:qFormat/>
    <w:uiPriority w:val="0"/>
  </w:style>
  <w:style w:type="paragraph" w:styleId="41">
    <w:name w:val="Subtitle"/>
    <w:basedOn w:val="1"/>
    <w:next w:val="1"/>
    <w:link w:val="96"/>
    <w:autoRedefine/>
    <w:qFormat/>
    <w:uiPriority w:val="11"/>
    <w:pPr>
      <w:widowControl/>
      <w:spacing w:after="240" w:line="252" w:lineRule="auto"/>
      <w:jc w:val="center"/>
    </w:pPr>
    <w:rPr>
      <w:rFonts w:ascii="Calibri Light" w:hAnsi="Calibri Light"/>
      <w:kern w:val="0"/>
      <w:sz w:val="24"/>
      <w:szCs w:val="24"/>
    </w:rPr>
  </w:style>
  <w:style w:type="paragraph" w:styleId="42">
    <w:name w:val="toc 6"/>
    <w:basedOn w:val="1"/>
    <w:next w:val="1"/>
    <w:autoRedefine/>
    <w:semiHidden/>
    <w:qFormat/>
    <w:uiPriority w:val="0"/>
    <w:pPr>
      <w:ind w:left="1050"/>
      <w:jc w:val="left"/>
    </w:pPr>
    <w:rPr>
      <w:szCs w:val="21"/>
    </w:rPr>
  </w:style>
  <w:style w:type="paragraph" w:styleId="43">
    <w:name w:val="Body Text Indent 3"/>
    <w:basedOn w:val="1"/>
    <w:link w:val="97"/>
    <w:autoRedefine/>
    <w:qFormat/>
    <w:uiPriority w:val="0"/>
    <w:pPr>
      <w:ind w:firstLine="555"/>
    </w:pPr>
    <w:rPr>
      <w:b/>
      <w:bCs/>
      <w:sz w:val="28"/>
      <w:u w:val="single"/>
    </w:rPr>
  </w:style>
  <w:style w:type="paragraph" w:styleId="44">
    <w:name w:val="index 7"/>
    <w:basedOn w:val="1"/>
    <w:next w:val="1"/>
    <w:autoRedefine/>
    <w:semiHidden/>
    <w:qFormat/>
    <w:uiPriority w:val="0"/>
    <w:pPr>
      <w:ind w:left="1200" w:leftChars="1200"/>
    </w:pPr>
  </w:style>
  <w:style w:type="paragraph" w:styleId="45">
    <w:name w:val="index 9"/>
    <w:basedOn w:val="1"/>
    <w:next w:val="1"/>
    <w:autoRedefine/>
    <w:semiHidden/>
    <w:qFormat/>
    <w:uiPriority w:val="0"/>
    <w:pPr>
      <w:ind w:left="1600" w:leftChars="1600"/>
    </w:pPr>
  </w:style>
  <w:style w:type="paragraph" w:styleId="46">
    <w:name w:val="table of figures"/>
    <w:basedOn w:val="1"/>
    <w:next w:val="1"/>
    <w:autoRedefine/>
    <w:semiHidden/>
    <w:qFormat/>
    <w:uiPriority w:val="0"/>
    <w:pPr>
      <w:ind w:left="840" w:leftChars="200" w:hanging="420" w:hangingChars="200"/>
    </w:pPr>
  </w:style>
  <w:style w:type="paragraph" w:styleId="47">
    <w:name w:val="toc 2"/>
    <w:basedOn w:val="1"/>
    <w:next w:val="1"/>
    <w:autoRedefine/>
    <w:qFormat/>
    <w:uiPriority w:val="39"/>
    <w:pPr>
      <w:tabs>
        <w:tab w:val="right" w:leader="dot" w:pos="9450"/>
      </w:tabs>
      <w:spacing w:line="400" w:lineRule="exact"/>
      <w:ind w:left="250" w:leftChars="250"/>
      <w:jc w:val="left"/>
    </w:pPr>
    <w:rPr>
      <w:bCs/>
      <w:smallCaps/>
      <w:sz w:val="24"/>
      <w:szCs w:val="24"/>
    </w:rPr>
  </w:style>
  <w:style w:type="paragraph" w:styleId="48">
    <w:name w:val="toc 9"/>
    <w:basedOn w:val="1"/>
    <w:next w:val="1"/>
    <w:autoRedefine/>
    <w:semiHidden/>
    <w:qFormat/>
    <w:uiPriority w:val="0"/>
    <w:pPr>
      <w:ind w:left="1680"/>
      <w:jc w:val="left"/>
    </w:pPr>
    <w:rPr>
      <w:szCs w:val="21"/>
    </w:rPr>
  </w:style>
  <w:style w:type="paragraph" w:styleId="49">
    <w:name w:val="HTML Preformatted"/>
    <w:basedOn w:val="1"/>
    <w:link w:val="9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4"/>
    </w:rPr>
  </w:style>
  <w:style w:type="paragraph" w:styleId="50">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51">
    <w:name w:val="index 2"/>
    <w:basedOn w:val="1"/>
    <w:next w:val="1"/>
    <w:autoRedefine/>
    <w:semiHidden/>
    <w:qFormat/>
    <w:uiPriority w:val="0"/>
    <w:pPr>
      <w:ind w:left="200" w:leftChars="200"/>
    </w:pPr>
  </w:style>
  <w:style w:type="paragraph" w:styleId="52">
    <w:name w:val="Title"/>
    <w:basedOn w:val="1"/>
    <w:next w:val="1"/>
    <w:link w:val="99"/>
    <w:autoRedefine/>
    <w:qFormat/>
    <w:uiPriority w:val="10"/>
    <w:pPr>
      <w:widowControl/>
      <w:contextualSpacing/>
      <w:jc w:val="center"/>
    </w:pPr>
    <w:rPr>
      <w:rFonts w:ascii="Calibri Light" w:hAnsi="Calibri Light"/>
      <w:b/>
      <w:bCs/>
      <w:spacing w:val="-7"/>
      <w:kern w:val="0"/>
      <w:sz w:val="48"/>
      <w:szCs w:val="48"/>
    </w:rPr>
  </w:style>
  <w:style w:type="paragraph" w:styleId="53">
    <w:name w:val="annotation subject"/>
    <w:basedOn w:val="22"/>
    <w:next w:val="22"/>
    <w:link w:val="100"/>
    <w:autoRedefine/>
    <w:qFormat/>
    <w:uiPriority w:val="0"/>
    <w:rPr>
      <w:b/>
      <w:bCs/>
    </w:rPr>
  </w:style>
  <w:style w:type="table" w:styleId="55">
    <w:name w:val="Table Grid"/>
    <w:basedOn w:val="5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7">
    <w:name w:val="Strong"/>
    <w:autoRedefine/>
    <w:qFormat/>
    <w:uiPriority w:val="22"/>
    <w:rPr>
      <w:b/>
      <w:bCs/>
    </w:rPr>
  </w:style>
  <w:style w:type="character" w:styleId="58">
    <w:name w:val="page number"/>
    <w:autoRedefine/>
    <w:qFormat/>
    <w:uiPriority w:val="0"/>
  </w:style>
  <w:style w:type="character" w:styleId="59">
    <w:name w:val="FollowedHyperlink"/>
    <w:autoRedefine/>
    <w:qFormat/>
    <w:uiPriority w:val="0"/>
    <w:rPr>
      <w:color w:val="800080"/>
      <w:u w:val="single"/>
    </w:rPr>
  </w:style>
  <w:style w:type="character" w:styleId="60">
    <w:name w:val="Emphasis"/>
    <w:autoRedefine/>
    <w:qFormat/>
    <w:uiPriority w:val="20"/>
    <w:rPr>
      <w:i/>
      <w:iCs/>
    </w:rPr>
  </w:style>
  <w:style w:type="character" w:styleId="61">
    <w:name w:val="line number"/>
    <w:autoRedefine/>
    <w:qFormat/>
    <w:uiPriority w:val="0"/>
  </w:style>
  <w:style w:type="character" w:styleId="62">
    <w:name w:val="HTML Definition"/>
    <w:basedOn w:val="56"/>
    <w:autoRedefine/>
    <w:semiHidden/>
    <w:unhideWhenUsed/>
    <w:qFormat/>
    <w:uiPriority w:val="0"/>
  </w:style>
  <w:style w:type="character" w:styleId="63">
    <w:name w:val="HTML Typewriter"/>
    <w:basedOn w:val="56"/>
    <w:autoRedefine/>
    <w:semiHidden/>
    <w:unhideWhenUsed/>
    <w:qFormat/>
    <w:uiPriority w:val="0"/>
    <w:rPr>
      <w:rFonts w:hint="default" w:ascii="monospace" w:hAnsi="monospace" w:eastAsia="monospace" w:cs="monospace"/>
      <w:sz w:val="20"/>
    </w:rPr>
  </w:style>
  <w:style w:type="character" w:styleId="64">
    <w:name w:val="HTML Acronym"/>
    <w:basedOn w:val="56"/>
    <w:autoRedefine/>
    <w:semiHidden/>
    <w:unhideWhenUsed/>
    <w:qFormat/>
    <w:uiPriority w:val="0"/>
  </w:style>
  <w:style w:type="character" w:styleId="65">
    <w:name w:val="HTML Variable"/>
    <w:basedOn w:val="56"/>
    <w:autoRedefine/>
    <w:semiHidden/>
    <w:unhideWhenUsed/>
    <w:qFormat/>
    <w:uiPriority w:val="0"/>
  </w:style>
  <w:style w:type="character" w:styleId="66">
    <w:name w:val="Hyperlink"/>
    <w:autoRedefine/>
    <w:qFormat/>
    <w:uiPriority w:val="99"/>
    <w:rPr>
      <w:color w:val="0000FF"/>
      <w:u w:val="single"/>
    </w:rPr>
  </w:style>
  <w:style w:type="character" w:styleId="67">
    <w:name w:val="HTML Code"/>
    <w:basedOn w:val="56"/>
    <w:autoRedefine/>
    <w:semiHidden/>
    <w:unhideWhenUsed/>
    <w:qFormat/>
    <w:uiPriority w:val="0"/>
    <w:rPr>
      <w:rFonts w:hint="default" w:ascii="monospace" w:hAnsi="monospace" w:eastAsia="monospace" w:cs="monospace"/>
      <w:sz w:val="20"/>
      <w:bdr w:val="single" w:color="EBEBEB" w:sz="2" w:space="0"/>
    </w:rPr>
  </w:style>
  <w:style w:type="character" w:styleId="68">
    <w:name w:val="annotation reference"/>
    <w:autoRedefine/>
    <w:qFormat/>
    <w:uiPriority w:val="0"/>
    <w:rPr>
      <w:sz w:val="21"/>
      <w:szCs w:val="21"/>
    </w:rPr>
  </w:style>
  <w:style w:type="character" w:styleId="69">
    <w:name w:val="HTML Cite"/>
    <w:basedOn w:val="56"/>
    <w:autoRedefine/>
    <w:semiHidden/>
    <w:unhideWhenUsed/>
    <w:qFormat/>
    <w:uiPriority w:val="0"/>
  </w:style>
  <w:style w:type="character" w:styleId="70">
    <w:name w:val="HTML Keyboard"/>
    <w:basedOn w:val="56"/>
    <w:autoRedefine/>
    <w:semiHidden/>
    <w:unhideWhenUsed/>
    <w:qFormat/>
    <w:uiPriority w:val="0"/>
    <w:rPr>
      <w:rFonts w:hint="default" w:ascii="monospace" w:hAnsi="monospace" w:eastAsia="monospace" w:cs="monospace"/>
      <w:sz w:val="20"/>
    </w:rPr>
  </w:style>
  <w:style w:type="character" w:styleId="71">
    <w:name w:val="HTML Sample"/>
    <w:basedOn w:val="56"/>
    <w:autoRedefine/>
    <w:semiHidden/>
    <w:unhideWhenUsed/>
    <w:qFormat/>
    <w:uiPriority w:val="0"/>
    <w:rPr>
      <w:rFonts w:ascii="monospace" w:hAnsi="monospace" w:eastAsia="monospace" w:cs="monospace"/>
    </w:rPr>
  </w:style>
  <w:style w:type="paragraph" w:customStyle="1" w:styleId="72">
    <w:name w:val="段"/>
    <w:next w:val="1"/>
    <w:autoRedefine/>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73">
    <w:name w:val="表格内容"/>
    <w:basedOn w:val="1"/>
    <w:autoRedefine/>
    <w:qFormat/>
    <w:uiPriority w:val="0"/>
    <w:pPr>
      <w:widowControl/>
      <w:spacing w:line="240" w:lineRule="auto"/>
      <w:ind w:firstLine="0" w:firstLineChars="0"/>
      <w:jc w:val="center"/>
      <w:textAlignment w:val="center"/>
    </w:pPr>
    <w:rPr>
      <w:rFonts w:ascii="Times New Roman" w:hAnsi="Times New Roman" w:eastAsia="宋体" w:cs="Times New Roman"/>
      <w:color w:val="auto"/>
      <w:sz w:val="21"/>
      <w:szCs w:val="22"/>
    </w:rPr>
  </w:style>
  <w:style w:type="paragraph" w:customStyle="1" w:styleId="74">
    <w:name w:val="首行缩进"/>
    <w:basedOn w:val="1"/>
    <w:autoRedefine/>
    <w:qFormat/>
    <w:uiPriority w:val="0"/>
    <w:pPr>
      <w:ind w:firstLine="480" w:firstLineChars="200"/>
    </w:pPr>
    <w:rPr>
      <w:lang w:val="zh-CN"/>
    </w:rPr>
  </w:style>
  <w:style w:type="character" w:customStyle="1" w:styleId="75">
    <w:name w:val="标题 1 字符"/>
    <w:link w:val="7"/>
    <w:autoRedefine/>
    <w:qFormat/>
    <w:uiPriority w:val="0"/>
    <w:rPr>
      <w:rFonts w:ascii="宋体" w:hAnsi="宋体"/>
      <w:b/>
      <w:kern w:val="2"/>
      <w:sz w:val="36"/>
    </w:rPr>
  </w:style>
  <w:style w:type="character" w:customStyle="1" w:styleId="76">
    <w:name w:val="标题 2 字符"/>
    <w:link w:val="8"/>
    <w:autoRedefine/>
    <w:qFormat/>
    <w:locked/>
    <w:uiPriority w:val="0"/>
    <w:rPr>
      <w:rFonts w:eastAsia="楷体_GB2312"/>
      <w:b/>
      <w:bCs/>
      <w:kern w:val="2"/>
      <w:sz w:val="28"/>
      <w:szCs w:val="28"/>
    </w:rPr>
  </w:style>
  <w:style w:type="character" w:customStyle="1" w:styleId="77">
    <w:name w:val="标题 3 字符"/>
    <w:link w:val="9"/>
    <w:autoRedefine/>
    <w:qFormat/>
    <w:uiPriority w:val="9"/>
    <w:rPr>
      <w:rFonts w:ascii="宋体" w:hAnsi="宋体"/>
      <w:kern w:val="2"/>
      <w:sz w:val="28"/>
    </w:rPr>
  </w:style>
  <w:style w:type="character" w:customStyle="1" w:styleId="78">
    <w:name w:val="标题 4 字符"/>
    <w:link w:val="10"/>
    <w:autoRedefine/>
    <w:qFormat/>
    <w:uiPriority w:val="9"/>
    <w:rPr>
      <w:b/>
      <w:bCs/>
      <w:kern w:val="2"/>
      <w:sz w:val="18"/>
    </w:rPr>
  </w:style>
  <w:style w:type="character" w:customStyle="1" w:styleId="79">
    <w:name w:val="标题 5 字符"/>
    <w:link w:val="11"/>
    <w:autoRedefine/>
    <w:qFormat/>
    <w:uiPriority w:val="9"/>
    <w:rPr>
      <w:b/>
      <w:bCs/>
      <w:kern w:val="2"/>
      <w:sz w:val="18"/>
    </w:rPr>
  </w:style>
  <w:style w:type="character" w:customStyle="1" w:styleId="80">
    <w:name w:val="标题 6 字符"/>
    <w:link w:val="12"/>
    <w:autoRedefine/>
    <w:qFormat/>
    <w:uiPriority w:val="9"/>
    <w:rPr>
      <w:rFonts w:ascii="Calibri Light" w:hAnsi="Calibri Light"/>
      <w:b/>
      <w:bCs/>
      <w:i/>
      <w:iCs/>
    </w:rPr>
  </w:style>
  <w:style w:type="character" w:customStyle="1" w:styleId="81">
    <w:name w:val="标题 7 字符"/>
    <w:link w:val="13"/>
    <w:autoRedefine/>
    <w:qFormat/>
    <w:uiPriority w:val="9"/>
    <w:rPr>
      <w:i/>
      <w:iCs/>
    </w:rPr>
  </w:style>
  <w:style w:type="character" w:customStyle="1" w:styleId="82">
    <w:name w:val="标题 8 字符"/>
    <w:link w:val="14"/>
    <w:autoRedefine/>
    <w:qFormat/>
    <w:uiPriority w:val="9"/>
    <w:rPr>
      <w:b/>
      <w:bCs/>
    </w:rPr>
  </w:style>
  <w:style w:type="character" w:customStyle="1" w:styleId="83">
    <w:name w:val="标题 9 字符"/>
    <w:link w:val="15"/>
    <w:autoRedefine/>
    <w:qFormat/>
    <w:uiPriority w:val="9"/>
    <w:rPr>
      <w:i/>
      <w:iCs/>
    </w:rPr>
  </w:style>
  <w:style w:type="character" w:customStyle="1" w:styleId="84">
    <w:name w:val="正文缩进 字符"/>
    <w:link w:val="18"/>
    <w:autoRedefine/>
    <w:qFormat/>
    <w:uiPriority w:val="0"/>
    <w:rPr>
      <w:kern w:val="2"/>
      <w:sz w:val="21"/>
    </w:rPr>
  </w:style>
  <w:style w:type="character" w:customStyle="1" w:styleId="85">
    <w:name w:val="文档结构图 字符"/>
    <w:link w:val="21"/>
    <w:autoRedefine/>
    <w:semiHidden/>
    <w:qFormat/>
    <w:uiPriority w:val="0"/>
    <w:rPr>
      <w:kern w:val="2"/>
      <w:sz w:val="21"/>
      <w:shd w:val="clear" w:color="auto" w:fill="000080"/>
    </w:rPr>
  </w:style>
  <w:style w:type="character" w:customStyle="1" w:styleId="86">
    <w:name w:val="批注文字 字符"/>
    <w:link w:val="22"/>
    <w:autoRedefine/>
    <w:qFormat/>
    <w:uiPriority w:val="0"/>
    <w:rPr>
      <w:kern w:val="2"/>
      <w:sz w:val="21"/>
    </w:rPr>
  </w:style>
  <w:style w:type="character" w:customStyle="1" w:styleId="87">
    <w:name w:val="正文文本 字符1"/>
    <w:link w:val="2"/>
    <w:autoRedefine/>
    <w:qFormat/>
    <w:uiPriority w:val="0"/>
    <w:rPr>
      <w:rFonts w:ascii="楷体_GB2312" w:hAnsi="Arial" w:eastAsia="楷体_GB2312"/>
      <w:kern w:val="2"/>
      <w:sz w:val="28"/>
    </w:rPr>
  </w:style>
  <w:style w:type="character" w:customStyle="1" w:styleId="88">
    <w:name w:val="正文文本缩进 字符"/>
    <w:link w:val="5"/>
    <w:autoRedefine/>
    <w:qFormat/>
    <w:uiPriority w:val="0"/>
    <w:rPr>
      <w:rFonts w:ascii="宋体"/>
      <w:sz w:val="28"/>
    </w:rPr>
  </w:style>
  <w:style w:type="character" w:customStyle="1" w:styleId="89">
    <w:name w:val="纯文本 字符"/>
    <w:link w:val="28"/>
    <w:autoRedefine/>
    <w:qFormat/>
    <w:uiPriority w:val="0"/>
    <w:rPr>
      <w:rFonts w:ascii="宋体" w:hAnsi="Courier New"/>
      <w:kern w:val="2"/>
      <w:sz w:val="21"/>
    </w:rPr>
  </w:style>
  <w:style w:type="character" w:customStyle="1" w:styleId="90">
    <w:name w:val="日期 字符"/>
    <w:link w:val="31"/>
    <w:autoRedefine/>
    <w:qFormat/>
    <w:uiPriority w:val="0"/>
    <w:rPr>
      <w:rFonts w:ascii="宋体"/>
      <w:sz w:val="28"/>
    </w:rPr>
  </w:style>
  <w:style w:type="character" w:customStyle="1" w:styleId="91">
    <w:name w:val="正文文本缩进 2 字符"/>
    <w:link w:val="32"/>
    <w:autoRedefine/>
    <w:qFormat/>
    <w:uiPriority w:val="0"/>
    <w:rPr>
      <w:kern w:val="2"/>
      <w:sz w:val="24"/>
    </w:rPr>
  </w:style>
  <w:style w:type="character" w:customStyle="1" w:styleId="92">
    <w:name w:val="批注框文本 字符"/>
    <w:link w:val="33"/>
    <w:autoRedefine/>
    <w:qFormat/>
    <w:uiPriority w:val="0"/>
    <w:rPr>
      <w:kern w:val="2"/>
      <w:sz w:val="18"/>
      <w:szCs w:val="18"/>
    </w:rPr>
  </w:style>
  <w:style w:type="character" w:customStyle="1" w:styleId="93">
    <w:name w:val="页脚 字符"/>
    <w:link w:val="34"/>
    <w:autoRedefine/>
    <w:qFormat/>
    <w:uiPriority w:val="0"/>
    <w:rPr>
      <w:kern w:val="2"/>
      <w:sz w:val="18"/>
    </w:rPr>
  </w:style>
  <w:style w:type="character" w:customStyle="1" w:styleId="94">
    <w:name w:val="页眉 字符"/>
    <w:link w:val="35"/>
    <w:autoRedefine/>
    <w:qFormat/>
    <w:uiPriority w:val="99"/>
    <w:rPr>
      <w:kern w:val="2"/>
      <w:sz w:val="18"/>
    </w:rPr>
  </w:style>
  <w:style w:type="character" w:customStyle="1" w:styleId="95">
    <w:name w:val="签名 字符1"/>
    <w:link w:val="36"/>
    <w:autoRedefine/>
    <w:qFormat/>
    <w:locked/>
    <w:uiPriority w:val="0"/>
    <w:rPr>
      <w:rFonts w:eastAsia="仿宋_GB2312"/>
      <w:sz w:val="24"/>
    </w:rPr>
  </w:style>
  <w:style w:type="character" w:customStyle="1" w:styleId="96">
    <w:name w:val="副标题 字符"/>
    <w:link w:val="41"/>
    <w:autoRedefine/>
    <w:qFormat/>
    <w:uiPriority w:val="11"/>
    <w:rPr>
      <w:rFonts w:ascii="Calibri Light" w:hAnsi="Calibri Light"/>
      <w:sz w:val="24"/>
      <w:szCs w:val="24"/>
    </w:rPr>
  </w:style>
  <w:style w:type="character" w:customStyle="1" w:styleId="97">
    <w:name w:val="正文文本缩进 3 字符"/>
    <w:link w:val="43"/>
    <w:autoRedefine/>
    <w:qFormat/>
    <w:uiPriority w:val="0"/>
    <w:rPr>
      <w:b/>
      <w:bCs/>
      <w:kern w:val="2"/>
      <w:sz w:val="28"/>
      <w:u w:val="single"/>
    </w:rPr>
  </w:style>
  <w:style w:type="character" w:customStyle="1" w:styleId="98">
    <w:name w:val="HTML 预设格式 字符"/>
    <w:link w:val="49"/>
    <w:autoRedefine/>
    <w:qFormat/>
    <w:uiPriority w:val="0"/>
    <w:rPr>
      <w:rFonts w:ascii="Arial" w:hAnsi="Arial" w:cs="Arial"/>
      <w:sz w:val="24"/>
      <w:szCs w:val="24"/>
    </w:rPr>
  </w:style>
  <w:style w:type="character" w:customStyle="1" w:styleId="99">
    <w:name w:val="标题 字符"/>
    <w:link w:val="52"/>
    <w:autoRedefine/>
    <w:qFormat/>
    <w:uiPriority w:val="10"/>
    <w:rPr>
      <w:rFonts w:ascii="Calibri Light" w:hAnsi="Calibri Light"/>
      <w:b/>
      <w:bCs/>
      <w:spacing w:val="-7"/>
      <w:sz w:val="48"/>
      <w:szCs w:val="48"/>
    </w:rPr>
  </w:style>
  <w:style w:type="character" w:customStyle="1" w:styleId="100">
    <w:name w:val="批注主题 字符"/>
    <w:link w:val="53"/>
    <w:autoRedefine/>
    <w:qFormat/>
    <w:uiPriority w:val="0"/>
    <w:rPr>
      <w:b/>
      <w:bCs/>
      <w:kern w:val="2"/>
      <w:sz w:val="21"/>
    </w:rPr>
  </w:style>
  <w:style w:type="character" w:customStyle="1" w:styleId="101">
    <w:name w:val="引用 Char1"/>
    <w:autoRedefine/>
    <w:qFormat/>
    <w:uiPriority w:val="29"/>
    <w:rPr>
      <w:i/>
      <w:iCs/>
      <w:color w:val="404040"/>
      <w:kern w:val="2"/>
      <w:sz w:val="21"/>
    </w:rPr>
  </w:style>
  <w:style w:type="character" w:customStyle="1" w:styleId="102">
    <w:name w:val="副标题 Char1"/>
    <w:autoRedefine/>
    <w:qFormat/>
    <w:uiPriority w:val="11"/>
    <w:rPr>
      <w:rFonts w:ascii="Calibri Light" w:hAnsi="Calibri Light" w:cs="Times New Roman"/>
      <w:b/>
      <w:bCs/>
      <w:kern w:val="28"/>
      <w:sz w:val="32"/>
      <w:szCs w:val="32"/>
    </w:rPr>
  </w:style>
  <w:style w:type="character" w:customStyle="1" w:styleId="103">
    <w:name w:val="纯文本 Char1"/>
    <w:link w:val="104"/>
    <w:autoRedefine/>
    <w:qFormat/>
    <w:uiPriority w:val="0"/>
    <w:rPr>
      <w:rFonts w:ascii="宋体" w:hAnsi="Courier New"/>
    </w:rPr>
  </w:style>
  <w:style w:type="paragraph" w:customStyle="1" w:styleId="104">
    <w:name w:val="纯文本1"/>
    <w:basedOn w:val="1"/>
    <w:link w:val="103"/>
    <w:autoRedefine/>
    <w:qFormat/>
    <w:uiPriority w:val="0"/>
    <w:rPr>
      <w:rFonts w:ascii="宋体" w:hAnsi="Courier New"/>
      <w:kern w:val="0"/>
      <w:sz w:val="20"/>
    </w:rPr>
  </w:style>
  <w:style w:type="character" w:customStyle="1" w:styleId="105">
    <w:name w:val="标题 1 Char1"/>
    <w:autoRedefine/>
    <w:qFormat/>
    <w:uiPriority w:val="9"/>
    <w:rPr>
      <w:rFonts w:ascii="Calibri Light" w:hAnsi="Calibri Light"/>
      <w:b/>
      <w:bCs/>
      <w:caps/>
      <w:spacing w:val="4"/>
      <w:sz w:val="28"/>
      <w:szCs w:val="28"/>
    </w:rPr>
  </w:style>
  <w:style w:type="character" w:customStyle="1" w:styleId="106">
    <w:name w:val="明显引用 字符"/>
    <w:link w:val="107"/>
    <w:autoRedefine/>
    <w:qFormat/>
    <w:uiPriority w:val="30"/>
    <w:rPr>
      <w:rFonts w:ascii="Calibri Light" w:hAnsi="Calibri Light"/>
      <w:sz w:val="26"/>
      <w:szCs w:val="26"/>
    </w:rPr>
  </w:style>
  <w:style w:type="paragraph" w:styleId="107">
    <w:name w:val="Intense Quote"/>
    <w:basedOn w:val="1"/>
    <w:next w:val="1"/>
    <w:link w:val="106"/>
    <w:autoRedefine/>
    <w:qFormat/>
    <w:uiPriority w:val="30"/>
    <w:pPr>
      <w:widowControl/>
      <w:spacing w:before="100" w:beforeAutospacing="1" w:after="240" w:line="252" w:lineRule="auto"/>
      <w:ind w:left="936" w:right="936"/>
      <w:jc w:val="center"/>
    </w:pPr>
    <w:rPr>
      <w:rFonts w:ascii="Calibri Light" w:hAnsi="Calibri Light"/>
      <w:kern w:val="0"/>
      <w:sz w:val="26"/>
      <w:szCs w:val="26"/>
    </w:rPr>
  </w:style>
  <w:style w:type="character" w:customStyle="1" w:styleId="108">
    <w:name w:val="签名 Char1"/>
    <w:autoRedefine/>
    <w:semiHidden/>
    <w:qFormat/>
    <w:uiPriority w:val="0"/>
    <w:rPr>
      <w:sz w:val="24"/>
      <w:szCs w:val="24"/>
    </w:rPr>
  </w:style>
  <w:style w:type="character" w:customStyle="1" w:styleId="109">
    <w:name w:val="书籍标题1"/>
    <w:autoRedefine/>
    <w:qFormat/>
    <w:uiPriority w:val="33"/>
    <w:rPr>
      <w:b/>
      <w:bCs/>
      <w:smallCaps/>
      <w:color w:val="auto"/>
    </w:rPr>
  </w:style>
  <w:style w:type="character" w:customStyle="1" w:styleId="110">
    <w:name w:val="不明显强调1"/>
    <w:autoRedefine/>
    <w:qFormat/>
    <w:uiPriority w:val="19"/>
    <w:rPr>
      <w:i/>
      <w:iCs/>
      <w:color w:val="auto"/>
    </w:rPr>
  </w:style>
  <w:style w:type="character" w:customStyle="1" w:styleId="111">
    <w:name w:val="明显引用 Char1"/>
    <w:autoRedefine/>
    <w:qFormat/>
    <w:uiPriority w:val="30"/>
    <w:rPr>
      <w:i/>
      <w:iCs/>
      <w:color w:val="5B9BD5"/>
      <w:kern w:val="2"/>
      <w:sz w:val="21"/>
    </w:rPr>
  </w:style>
  <w:style w:type="character" w:customStyle="1" w:styleId="112">
    <w:name w:val="标题 Char1"/>
    <w:autoRedefine/>
    <w:qFormat/>
    <w:uiPriority w:val="10"/>
    <w:rPr>
      <w:rFonts w:ascii="Calibri Light" w:hAnsi="Calibri Light" w:cs="Times New Roman"/>
      <w:b/>
      <w:bCs/>
      <w:kern w:val="2"/>
      <w:sz w:val="32"/>
      <w:szCs w:val="32"/>
    </w:rPr>
  </w:style>
  <w:style w:type="character" w:customStyle="1" w:styleId="113">
    <w:name w:val="正文文本 Char2"/>
    <w:autoRedefine/>
    <w:semiHidden/>
    <w:qFormat/>
    <w:uiPriority w:val="0"/>
    <w:rPr>
      <w:sz w:val="24"/>
      <w:szCs w:val="24"/>
    </w:rPr>
  </w:style>
  <w:style w:type="character" w:customStyle="1" w:styleId="114">
    <w:name w:val="正文格式（小四） Char"/>
    <w:link w:val="115"/>
    <w:autoRedefine/>
    <w:qFormat/>
    <w:locked/>
    <w:uiPriority w:val="0"/>
    <w:rPr>
      <w:kern w:val="24"/>
      <w:sz w:val="24"/>
      <w:szCs w:val="24"/>
    </w:rPr>
  </w:style>
  <w:style w:type="paragraph" w:customStyle="1" w:styleId="115">
    <w:name w:val="正文格式（小四）"/>
    <w:basedOn w:val="1"/>
    <w:link w:val="114"/>
    <w:autoRedefine/>
    <w:qFormat/>
    <w:uiPriority w:val="0"/>
    <w:pPr>
      <w:widowControl/>
      <w:adjustRightInd w:val="0"/>
      <w:snapToGrid w:val="0"/>
      <w:spacing w:after="160" w:line="360" w:lineRule="auto"/>
      <w:ind w:firstLine="482" w:firstLineChars="200"/>
      <w:jc w:val="left"/>
      <w:textAlignment w:val="baseline"/>
    </w:pPr>
    <w:rPr>
      <w:kern w:val="24"/>
      <w:sz w:val="24"/>
      <w:szCs w:val="24"/>
    </w:rPr>
  </w:style>
  <w:style w:type="character" w:customStyle="1" w:styleId="116">
    <w:name w:val="批注文字 Char2"/>
    <w:autoRedefine/>
    <w:semiHidden/>
    <w:qFormat/>
    <w:uiPriority w:val="0"/>
    <w:rPr>
      <w:sz w:val="24"/>
      <w:szCs w:val="24"/>
    </w:rPr>
  </w:style>
  <w:style w:type="character" w:customStyle="1" w:styleId="117">
    <w:name w:val="Plain Text Char"/>
    <w:autoRedefine/>
    <w:qFormat/>
    <w:locked/>
    <w:uiPriority w:val="0"/>
    <w:rPr>
      <w:rFonts w:ascii="宋体" w:hAnsi="Courier New" w:eastAsia="楷体_GB2312"/>
      <w:kern w:val="2"/>
      <w:sz w:val="26"/>
    </w:rPr>
  </w:style>
  <w:style w:type="character" w:customStyle="1" w:styleId="118">
    <w:name w:val="批注主题 Char1"/>
    <w:autoRedefine/>
    <w:semiHidden/>
    <w:qFormat/>
    <w:uiPriority w:val="0"/>
    <w:rPr>
      <w:b/>
      <w:bCs/>
      <w:sz w:val="24"/>
      <w:szCs w:val="24"/>
    </w:rPr>
  </w:style>
  <w:style w:type="character" w:customStyle="1" w:styleId="119">
    <w:name w:val="方案正文 Char"/>
    <w:link w:val="120"/>
    <w:autoRedefine/>
    <w:qFormat/>
    <w:uiPriority w:val="0"/>
    <w:rPr>
      <w:spacing w:val="2"/>
      <w:kern w:val="2"/>
      <w:sz w:val="21"/>
      <w:szCs w:val="21"/>
    </w:rPr>
  </w:style>
  <w:style w:type="paragraph" w:customStyle="1" w:styleId="120">
    <w:name w:val="方案正文"/>
    <w:basedOn w:val="1"/>
    <w:link w:val="119"/>
    <w:autoRedefine/>
    <w:qFormat/>
    <w:uiPriority w:val="0"/>
    <w:pPr>
      <w:widowControl/>
      <w:tabs>
        <w:tab w:val="left" w:pos="0"/>
      </w:tabs>
      <w:spacing w:line="360" w:lineRule="auto"/>
      <w:jc w:val="left"/>
    </w:pPr>
    <w:rPr>
      <w:spacing w:val="2"/>
      <w:szCs w:val="21"/>
    </w:rPr>
  </w:style>
  <w:style w:type="character" w:customStyle="1" w:styleId="121">
    <w:name w:val="正文文本 字符"/>
    <w:autoRedefine/>
    <w:qFormat/>
    <w:uiPriority w:val="0"/>
    <w:rPr>
      <w:rFonts w:ascii="楷体_GB2312" w:hAnsi="Arial" w:eastAsia="楷体_GB2312"/>
      <w:kern w:val="2"/>
      <w:sz w:val="28"/>
    </w:rPr>
  </w:style>
  <w:style w:type="character" w:customStyle="1" w:styleId="122">
    <w:name w:val="明显强调1"/>
    <w:autoRedefine/>
    <w:qFormat/>
    <w:uiPriority w:val="21"/>
    <w:rPr>
      <w:b/>
      <w:bCs/>
      <w:i/>
      <w:iCs/>
      <w:color w:val="auto"/>
    </w:rPr>
  </w:style>
  <w:style w:type="character" w:customStyle="1" w:styleId="123">
    <w:name w:val="引用 字符"/>
    <w:link w:val="124"/>
    <w:autoRedefine/>
    <w:qFormat/>
    <w:uiPriority w:val="29"/>
    <w:rPr>
      <w:rFonts w:ascii="Calibri Light" w:hAnsi="Calibri Light"/>
      <w:i/>
      <w:iCs/>
      <w:sz w:val="24"/>
      <w:szCs w:val="24"/>
    </w:rPr>
  </w:style>
  <w:style w:type="paragraph" w:styleId="124">
    <w:name w:val="Quote"/>
    <w:basedOn w:val="1"/>
    <w:next w:val="1"/>
    <w:link w:val="123"/>
    <w:autoRedefine/>
    <w:qFormat/>
    <w:uiPriority w:val="29"/>
    <w:pPr>
      <w:widowControl/>
      <w:spacing w:before="200" w:after="160" w:line="264" w:lineRule="auto"/>
      <w:ind w:left="864" w:right="864"/>
      <w:jc w:val="center"/>
    </w:pPr>
    <w:rPr>
      <w:rFonts w:ascii="Calibri Light" w:hAnsi="Calibri Light"/>
      <w:i/>
      <w:iCs/>
      <w:kern w:val="0"/>
      <w:sz w:val="24"/>
      <w:szCs w:val="24"/>
    </w:rPr>
  </w:style>
  <w:style w:type="character" w:customStyle="1" w:styleId="125">
    <w:name w:val="页眉 Char1"/>
    <w:autoRedefine/>
    <w:semiHidden/>
    <w:qFormat/>
    <w:uiPriority w:val="99"/>
    <w:rPr>
      <w:sz w:val="18"/>
      <w:szCs w:val="18"/>
    </w:rPr>
  </w:style>
  <w:style w:type="character" w:customStyle="1" w:styleId="126">
    <w:name w:val="列表段落 字符"/>
    <w:link w:val="127"/>
    <w:autoRedefine/>
    <w:qFormat/>
    <w:locked/>
    <w:uiPriority w:val="34"/>
    <w:rPr>
      <w:kern w:val="2"/>
      <w:sz w:val="24"/>
      <w:szCs w:val="21"/>
    </w:rPr>
  </w:style>
  <w:style w:type="paragraph" w:styleId="127">
    <w:name w:val="List Paragraph"/>
    <w:basedOn w:val="1"/>
    <w:link w:val="126"/>
    <w:autoRedefine/>
    <w:qFormat/>
    <w:uiPriority w:val="34"/>
    <w:pPr>
      <w:spacing w:line="360" w:lineRule="auto"/>
      <w:ind w:firstLine="420" w:firstLineChars="200"/>
    </w:pPr>
    <w:rPr>
      <w:sz w:val="24"/>
      <w:szCs w:val="21"/>
    </w:rPr>
  </w:style>
  <w:style w:type="character" w:customStyle="1" w:styleId="128">
    <w:name w:val="不明显参考1"/>
    <w:autoRedefine/>
    <w:qFormat/>
    <w:uiPriority w:val="31"/>
    <w:rPr>
      <w:smallCaps/>
      <w:color w:val="auto"/>
      <w:u w:val="single" w:color="7F7F7F"/>
    </w:rPr>
  </w:style>
  <w:style w:type="character" w:customStyle="1" w:styleId="129">
    <w:name w:val="日期 Char1"/>
    <w:autoRedefine/>
    <w:semiHidden/>
    <w:qFormat/>
    <w:uiPriority w:val="0"/>
    <w:rPr>
      <w:sz w:val="24"/>
      <w:szCs w:val="24"/>
    </w:rPr>
  </w:style>
  <w:style w:type="character" w:customStyle="1" w:styleId="130">
    <w:name w:val="正文文本 Char1"/>
    <w:autoRedefine/>
    <w:qFormat/>
    <w:uiPriority w:val="0"/>
    <w:rPr>
      <w:rFonts w:ascii="楷体_GB2312" w:hAnsi="Arial" w:eastAsia="楷体_GB2312"/>
      <w:kern w:val="2"/>
      <w:sz w:val="28"/>
    </w:rPr>
  </w:style>
  <w:style w:type="character" w:customStyle="1" w:styleId="131">
    <w:name w:val="签名 字符"/>
    <w:autoRedefine/>
    <w:qFormat/>
    <w:locked/>
    <w:uiPriority w:val="0"/>
    <w:rPr>
      <w:rFonts w:eastAsia="仿宋_GB2312"/>
      <w:sz w:val="24"/>
    </w:rPr>
  </w:style>
  <w:style w:type="character" w:customStyle="1" w:styleId="132">
    <w:name w:val="批注文字 Char"/>
    <w:autoRedefine/>
    <w:qFormat/>
    <w:uiPriority w:val="0"/>
    <w:rPr>
      <w:kern w:val="2"/>
      <w:sz w:val="21"/>
    </w:rPr>
  </w:style>
  <w:style w:type="character" w:customStyle="1" w:styleId="133">
    <w:name w:val="批注框文本 Char1"/>
    <w:autoRedefine/>
    <w:semiHidden/>
    <w:qFormat/>
    <w:uiPriority w:val="0"/>
    <w:rPr>
      <w:sz w:val="18"/>
      <w:szCs w:val="18"/>
    </w:rPr>
  </w:style>
  <w:style w:type="character" w:customStyle="1" w:styleId="134">
    <w:name w:val="正文缩进 Char1"/>
    <w:link w:val="135"/>
    <w:autoRedefine/>
    <w:qFormat/>
    <w:uiPriority w:val="0"/>
    <w:rPr>
      <w:rFonts w:ascii="宋体"/>
      <w:sz w:val="24"/>
    </w:rPr>
  </w:style>
  <w:style w:type="paragraph" w:customStyle="1" w:styleId="135">
    <w:name w:val="正文缩进1"/>
    <w:basedOn w:val="1"/>
    <w:link w:val="134"/>
    <w:autoRedefine/>
    <w:qFormat/>
    <w:uiPriority w:val="0"/>
    <w:pPr>
      <w:autoSpaceDE w:val="0"/>
      <w:autoSpaceDN w:val="0"/>
      <w:adjustRightInd w:val="0"/>
      <w:ind w:firstLine="420"/>
      <w:jc w:val="left"/>
    </w:pPr>
    <w:rPr>
      <w:rFonts w:ascii="宋体"/>
      <w:kern w:val="0"/>
      <w:sz w:val="24"/>
    </w:rPr>
  </w:style>
  <w:style w:type="character" w:customStyle="1" w:styleId="136">
    <w:name w:val="HTML 预设格式 Char1"/>
    <w:autoRedefine/>
    <w:semiHidden/>
    <w:qFormat/>
    <w:uiPriority w:val="0"/>
    <w:rPr>
      <w:rFonts w:ascii="Courier New" w:hAnsi="Courier New" w:cs="Courier New"/>
    </w:rPr>
  </w:style>
  <w:style w:type="character" w:customStyle="1" w:styleId="137">
    <w:name w:val="明显参考1"/>
    <w:autoRedefine/>
    <w:qFormat/>
    <w:uiPriority w:val="32"/>
    <w:rPr>
      <w:b/>
      <w:bCs/>
      <w:smallCaps/>
      <w:color w:val="auto"/>
      <w:u w:val="single"/>
    </w:rPr>
  </w:style>
  <w:style w:type="paragraph" w:customStyle="1" w:styleId="138">
    <w:name w:val="Char Char"/>
    <w:basedOn w:val="1"/>
    <w:autoRedefine/>
    <w:qFormat/>
    <w:uiPriority w:val="0"/>
    <w:rPr>
      <w:szCs w:val="21"/>
    </w:rPr>
  </w:style>
  <w:style w:type="paragraph" w:customStyle="1" w:styleId="139">
    <w:name w:val="Default"/>
    <w:autoRedefine/>
    <w:qFormat/>
    <w:uiPriority w:val="0"/>
    <w:pPr>
      <w:widowControl w:val="0"/>
      <w:autoSpaceDE w:val="0"/>
      <w:autoSpaceDN w:val="0"/>
      <w:adjustRightInd w:val="0"/>
    </w:pPr>
    <w:rPr>
      <w:rFonts w:ascii="Calibri" w:hAnsi="Calibri" w:eastAsia="宋体" w:cs="Times New Roman"/>
      <w:color w:val="000000"/>
      <w:sz w:val="24"/>
      <w:szCs w:val="24"/>
      <w:lang w:val="en-US" w:eastAsia="zh-CN" w:bidi="ar-SA"/>
    </w:rPr>
  </w:style>
  <w:style w:type="paragraph" w:customStyle="1" w:styleId="140">
    <w:name w:val="Char Char1 Char Char Char Char Char Char Char"/>
    <w:basedOn w:val="1"/>
    <w:autoRedefine/>
    <w:qFormat/>
    <w:uiPriority w:val="0"/>
    <w:rPr>
      <w:rFonts w:ascii="Tahoma" w:hAnsi="Tahoma"/>
      <w:sz w:val="24"/>
    </w:rPr>
  </w:style>
  <w:style w:type="paragraph" w:customStyle="1" w:styleId="141">
    <w:name w:val="索引 11"/>
    <w:basedOn w:val="1"/>
    <w:next w:val="1"/>
    <w:autoRedefine/>
    <w:qFormat/>
    <w:uiPriority w:val="0"/>
    <w:pPr>
      <w:spacing w:line="360" w:lineRule="auto"/>
    </w:pPr>
    <w:rPr>
      <w:rFonts w:ascii="仿宋_GB2312" w:eastAsia="仿宋_GB2312"/>
      <w:sz w:val="24"/>
    </w:rPr>
  </w:style>
  <w:style w:type="paragraph" w:styleId="142">
    <w:name w:val="No Spacing"/>
    <w:autoRedefine/>
    <w:qFormat/>
    <w:uiPriority w:val="1"/>
    <w:pPr>
      <w:jc w:val="both"/>
    </w:pPr>
    <w:rPr>
      <w:rFonts w:ascii="Calibri" w:hAnsi="Calibri" w:eastAsia="宋体" w:cs="Times New Roman"/>
      <w:sz w:val="22"/>
      <w:szCs w:val="22"/>
      <w:lang w:val="en-US" w:eastAsia="zh-CN" w:bidi="ar-SA"/>
    </w:rPr>
  </w:style>
  <w:style w:type="paragraph" w:customStyle="1" w:styleId="143">
    <w:name w:val="Char Char Char"/>
    <w:basedOn w:val="1"/>
    <w:autoRedefine/>
    <w:qFormat/>
    <w:uiPriority w:val="0"/>
    <w:pPr>
      <w:tabs>
        <w:tab w:val="left" w:pos="375"/>
        <w:tab w:val="left" w:pos="1545"/>
      </w:tabs>
      <w:ind w:left="375" w:hanging="375"/>
    </w:pPr>
  </w:style>
  <w:style w:type="paragraph" w:customStyle="1" w:styleId="144">
    <w:name w:val="Char"/>
    <w:basedOn w:val="1"/>
    <w:autoRedefine/>
    <w:qFormat/>
    <w:uiPriority w:val="0"/>
    <w:pPr>
      <w:numPr>
        <w:ilvl w:val="0"/>
        <w:numId w:val="1"/>
      </w:numPr>
    </w:pPr>
    <w:rPr>
      <w:sz w:val="24"/>
      <w:szCs w:val="24"/>
    </w:rPr>
  </w:style>
  <w:style w:type="paragraph" w:customStyle="1" w:styleId="145">
    <w:name w:val="Char1 Char Char Char"/>
    <w:basedOn w:val="1"/>
    <w:autoRedefine/>
    <w:qFormat/>
    <w:uiPriority w:val="0"/>
    <w:rPr>
      <w:rFonts w:ascii="Tahoma" w:hAnsi="Tahoma"/>
      <w:sz w:val="24"/>
    </w:rPr>
  </w:style>
  <w:style w:type="paragraph" w:customStyle="1" w:styleId="146">
    <w:name w:val="Char Char Char Char"/>
    <w:basedOn w:val="21"/>
    <w:autoRedefine/>
    <w:qFormat/>
    <w:uiPriority w:val="0"/>
    <w:pPr>
      <w:adjustRightInd w:val="0"/>
      <w:snapToGrid w:val="0"/>
      <w:spacing w:line="360" w:lineRule="auto"/>
    </w:pPr>
    <w:rPr>
      <w:rFonts w:ascii="Tahoma" w:hAnsi="Tahoma"/>
      <w:sz w:val="24"/>
      <w:szCs w:val="24"/>
    </w:rPr>
  </w:style>
  <w:style w:type="paragraph" w:customStyle="1" w:styleId="147">
    <w:name w:val="Char Char Char1"/>
    <w:basedOn w:val="1"/>
    <w:autoRedefine/>
    <w:qFormat/>
    <w:uiPriority w:val="0"/>
    <w:pPr>
      <w:numPr>
        <w:ilvl w:val="0"/>
        <w:numId w:val="2"/>
      </w:numPr>
      <w:tabs>
        <w:tab w:val="left" w:pos="375"/>
        <w:tab w:val="left" w:pos="1545"/>
      </w:tabs>
    </w:pPr>
  </w:style>
  <w:style w:type="paragraph" w:customStyle="1" w:styleId="148">
    <w:name w:val="样式1"/>
    <w:basedOn w:val="1"/>
    <w:autoRedefine/>
    <w:qFormat/>
    <w:uiPriority w:val="0"/>
    <w:pPr>
      <w:numPr>
        <w:ilvl w:val="0"/>
        <w:numId w:val="3"/>
      </w:numPr>
      <w:adjustRightInd w:val="0"/>
      <w:textAlignment w:val="baseline"/>
    </w:pPr>
    <w:rPr>
      <w:rFonts w:ascii="宋体" w:hAnsi="宋体"/>
      <w:kern w:val="0"/>
      <w:szCs w:val="21"/>
    </w:rPr>
  </w:style>
  <w:style w:type="paragraph" w:customStyle="1" w:styleId="149">
    <w:name w:val="_Style 12"/>
    <w:basedOn w:val="21"/>
    <w:autoRedefine/>
    <w:qFormat/>
    <w:uiPriority w:val="0"/>
    <w:pPr>
      <w:widowControl/>
      <w:adjustRightInd w:val="0"/>
      <w:snapToGrid w:val="0"/>
      <w:spacing w:line="360" w:lineRule="auto"/>
      <w:jc w:val="left"/>
    </w:pPr>
    <w:rPr>
      <w:kern w:val="0"/>
      <w:sz w:val="24"/>
      <w:szCs w:val="24"/>
    </w:rPr>
  </w:style>
  <w:style w:type="paragraph" w:customStyle="1" w:styleId="150">
    <w:name w:val="Plain Text1"/>
    <w:basedOn w:val="1"/>
    <w:autoRedefine/>
    <w:qFormat/>
    <w:uiPriority w:val="0"/>
    <w:pPr>
      <w:adjustRightInd w:val="0"/>
      <w:textAlignment w:val="baseline"/>
    </w:pPr>
    <w:rPr>
      <w:rFonts w:ascii="宋体" w:hAnsi="Courier New" w:eastAsia="楷体_GB2312"/>
      <w:sz w:val="28"/>
    </w:rPr>
  </w:style>
  <w:style w:type="paragraph" w:customStyle="1" w:styleId="151">
    <w:name w:val="列出段落1"/>
    <w:autoRedefine/>
    <w:qFormat/>
    <w:uiPriority w:val="0"/>
    <w:pPr>
      <w:pBdr>
        <w:top w:val="none" w:color="FFFFFF" w:sz="0" w:space="31"/>
        <w:left w:val="none" w:color="FFFFFF" w:sz="0" w:space="31"/>
        <w:bottom w:val="none" w:color="FFFFFF" w:sz="0" w:space="31"/>
        <w:right w:val="none" w:color="FFFFFF" w:sz="0" w:space="31"/>
      </w:pBdr>
      <w:ind w:left="720"/>
    </w:pPr>
    <w:rPr>
      <w:rFonts w:ascii="Arial" w:hAnsi="Arial" w:eastAsia="宋体" w:cs="Arial"/>
      <w:color w:val="000000"/>
      <w:sz w:val="24"/>
      <w:szCs w:val="24"/>
      <w:u w:color="000000"/>
      <w:lang w:val="en-US" w:eastAsia="zh-CN" w:bidi="ar-SA"/>
    </w:rPr>
  </w:style>
  <w:style w:type="paragraph" w:customStyle="1" w:styleId="152">
    <w:name w:val="Char Char1 Char Char Char Char Char Char Char1"/>
    <w:basedOn w:val="1"/>
    <w:autoRedefine/>
    <w:qFormat/>
    <w:uiPriority w:val="0"/>
    <w:rPr>
      <w:rFonts w:ascii="Calibri Light" w:hAnsi="Calibri Light" w:cs="Berlin Sans FB Demi"/>
      <w:sz w:val="24"/>
    </w:rPr>
  </w:style>
  <w:style w:type="paragraph" w:customStyle="1" w:styleId="153">
    <w:name w:val="TOC 标题1"/>
    <w:basedOn w:val="7"/>
    <w:next w:val="1"/>
    <w:autoRedefine/>
    <w:qFormat/>
    <w:uiPriority w:val="39"/>
    <w:pPr>
      <w:keepLines/>
      <w:widowControl/>
      <w:tabs>
        <w:tab w:val="clear" w:pos="200"/>
      </w:tabs>
      <w:spacing w:before="320" w:after="40" w:line="252" w:lineRule="auto"/>
      <w:jc w:val="both"/>
      <w:outlineLvl w:val="9"/>
    </w:pPr>
    <w:rPr>
      <w:rFonts w:ascii="Calibri Light" w:hAnsi="Calibri Light"/>
      <w:bCs/>
      <w:caps/>
      <w:spacing w:val="4"/>
      <w:kern w:val="0"/>
      <w:sz w:val="28"/>
      <w:szCs w:val="28"/>
    </w:rPr>
  </w:style>
  <w:style w:type="table" w:customStyle="1" w:styleId="154">
    <w:name w:val="网格型1"/>
    <w:basedOn w:val="54"/>
    <w:autoRedefine/>
    <w:qFormat/>
    <w:uiPriority w:val="0"/>
    <w:pPr>
      <w:widowControl w:val="0"/>
      <w:jc w:val="both"/>
    </w:pPr>
    <w:rPr>
      <w:rFonts w:cs="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5">
    <w:name w:val="正文首行缩进 字符"/>
    <w:basedOn w:val="87"/>
    <w:autoRedefine/>
    <w:qFormat/>
    <w:uiPriority w:val="0"/>
    <w:rPr>
      <w:rFonts w:ascii="楷体_GB2312" w:hAnsi="Arial" w:eastAsia="楷体_GB2312"/>
      <w:kern w:val="2"/>
      <w:sz w:val="21"/>
    </w:rPr>
  </w:style>
  <w:style w:type="character" w:customStyle="1" w:styleId="156">
    <w:name w:val="正文文本首行缩进 字符"/>
    <w:link w:val="3"/>
    <w:autoRedefine/>
    <w:qFormat/>
    <w:uiPriority w:val="99"/>
    <w:rPr>
      <w:kern w:val="2"/>
      <w:sz w:val="21"/>
    </w:rPr>
  </w:style>
  <w:style w:type="paragraph" w:customStyle="1" w:styleId="157">
    <w:name w:val="纯文本2"/>
    <w:basedOn w:val="1"/>
    <w:autoRedefine/>
    <w:qFormat/>
    <w:uiPriority w:val="0"/>
    <w:pPr>
      <w:adjustRightInd w:val="0"/>
    </w:pPr>
    <w:rPr>
      <w:rFonts w:ascii="宋体" w:hAnsi="Courier New" w:eastAsia="楷体_GB2312"/>
      <w:sz w:val="28"/>
    </w:rPr>
  </w:style>
  <w:style w:type="character" w:customStyle="1" w:styleId="158">
    <w:name w:val="NormalCharacter"/>
    <w:autoRedefine/>
    <w:semiHidden/>
    <w:qFormat/>
    <w:uiPriority w:val="0"/>
    <w:rPr>
      <w:kern w:val="2"/>
      <w:sz w:val="21"/>
      <w:lang w:val="en-US" w:eastAsia="zh-CN" w:bidi="ar-SA"/>
    </w:rPr>
  </w:style>
  <w:style w:type="character" w:customStyle="1" w:styleId="159">
    <w:name w:val="Plain Text Char Char"/>
    <w:autoRedefine/>
    <w:qFormat/>
    <w:uiPriority w:val="0"/>
    <w:rPr>
      <w:rFonts w:ascii="宋体" w:hAnsi="Courier New" w:eastAsia="楷体_GB2312"/>
      <w:kern w:val="2"/>
      <w:sz w:val="28"/>
    </w:rPr>
  </w:style>
  <w:style w:type="character" w:customStyle="1" w:styleId="160">
    <w:name w:val="text1 Char"/>
    <w:link w:val="161"/>
    <w:autoRedefine/>
    <w:qFormat/>
    <w:uiPriority w:val="0"/>
    <w:rPr>
      <w:kern w:val="0"/>
      <w:sz w:val="24"/>
      <w:lang w:val="zh-CN"/>
    </w:rPr>
  </w:style>
  <w:style w:type="paragraph" w:customStyle="1" w:styleId="161">
    <w:name w:val="text1"/>
    <w:basedOn w:val="1"/>
    <w:link w:val="160"/>
    <w:autoRedefine/>
    <w:qFormat/>
    <w:uiPriority w:val="0"/>
    <w:pPr>
      <w:spacing w:line="360" w:lineRule="auto"/>
      <w:ind w:firstLine="200" w:firstLineChars="200"/>
    </w:pPr>
    <w:rPr>
      <w:kern w:val="0"/>
      <w:sz w:val="24"/>
      <w:lang w:val="zh-CN"/>
    </w:rPr>
  </w:style>
  <w:style w:type="paragraph" w:customStyle="1" w:styleId="162">
    <w:name w:val="Body text|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3">
    <w:name w:val="Other|1"/>
    <w:basedOn w:val="1"/>
    <w:autoRedefine/>
    <w:qFormat/>
    <w:uiPriority w:val="0"/>
    <w:pPr>
      <w:spacing w:after="80" w:line="401" w:lineRule="auto"/>
      <w:ind w:firstLine="240"/>
    </w:pPr>
    <w:rPr>
      <w:rFonts w:ascii="宋体" w:hAnsi="宋体" w:cs="宋体"/>
      <w:sz w:val="22"/>
      <w:szCs w:val="22"/>
      <w:lang w:val="zh-TW" w:eastAsia="zh-TW" w:bidi="zh-TW"/>
    </w:rPr>
  </w:style>
  <w:style w:type="paragraph" w:customStyle="1" w:styleId="164">
    <w:name w:val="Header or footer|2"/>
    <w:basedOn w:val="1"/>
    <w:autoRedefine/>
    <w:qFormat/>
    <w:uiPriority w:val="0"/>
    <w:rPr>
      <w:sz w:val="20"/>
      <w:lang w:val="zh-TW" w:eastAsia="zh-TW" w:bidi="zh-TW"/>
    </w:rPr>
  </w:style>
  <w:style w:type="paragraph" w:customStyle="1" w:styleId="165">
    <w:name w:val="Heading #3|1"/>
    <w:basedOn w:val="1"/>
    <w:autoRedefine/>
    <w:qFormat/>
    <w:uiPriority w:val="0"/>
    <w:pPr>
      <w:spacing w:line="432" w:lineRule="exact"/>
      <w:ind w:left="2180" w:firstLine="20"/>
      <w:outlineLvl w:val="2"/>
    </w:pPr>
    <w:rPr>
      <w:rFonts w:ascii="宋体" w:hAnsi="宋体" w:cs="宋体"/>
      <w:sz w:val="26"/>
      <w:szCs w:val="26"/>
      <w:lang w:val="zh-TW" w:eastAsia="zh-TW" w:bidi="zh-TW"/>
    </w:rPr>
  </w:style>
  <w:style w:type="paragraph" w:customStyle="1" w:styleId="166">
    <w:name w:val="Header or footer|1"/>
    <w:basedOn w:val="1"/>
    <w:autoRedefine/>
    <w:qFormat/>
    <w:uiPriority w:val="0"/>
    <w:pPr>
      <w:jc w:val="right"/>
    </w:pPr>
    <w:rPr>
      <w:rFonts w:ascii="宋体" w:hAnsi="宋体" w:cs="宋体"/>
      <w:sz w:val="26"/>
      <w:szCs w:val="26"/>
      <w:lang w:val="zh-TW" w:eastAsia="zh-TW" w:bidi="zh-TW"/>
    </w:rPr>
  </w:style>
  <w:style w:type="character" w:customStyle="1" w:styleId="167">
    <w:name w:val="hover"/>
    <w:basedOn w:val="56"/>
    <w:autoRedefine/>
    <w:qFormat/>
    <w:uiPriority w:val="0"/>
    <w:rPr>
      <w:color w:val="2590EB"/>
    </w:rPr>
  </w:style>
  <w:style w:type="character" w:customStyle="1" w:styleId="168">
    <w:name w:val="hover1"/>
    <w:basedOn w:val="56"/>
    <w:autoRedefine/>
    <w:qFormat/>
    <w:uiPriority w:val="0"/>
    <w:rPr>
      <w:color w:val="2590EB"/>
    </w:rPr>
  </w:style>
  <w:style w:type="character" w:customStyle="1" w:styleId="169">
    <w:name w:val="hover2"/>
    <w:basedOn w:val="56"/>
    <w:autoRedefine/>
    <w:qFormat/>
    <w:uiPriority w:val="0"/>
  </w:style>
  <w:style w:type="character" w:customStyle="1" w:styleId="170">
    <w:name w:val="hover3"/>
    <w:basedOn w:val="56"/>
    <w:autoRedefine/>
    <w:qFormat/>
    <w:uiPriority w:val="0"/>
    <w:rPr>
      <w:color w:val="2590EB"/>
      <w:shd w:val="clear" w:color="auto" w:fill="E9F4FD"/>
    </w:rPr>
  </w:style>
  <w:style w:type="paragraph" w:customStyle="1" w:styleId="171">
    <w:name w:val="标题 3.1"/>
    <w:basedOn w:val="9"/>
    <w:autoRedefine/>
    <w:qFormat/>
    <w:uiPriority w:val="0"/>
    <w:pPr>
      <w:keepLines/>
      <w:tabs>
        <w:tab w:val="left" w:pos="1440"/>
        <w:tab w:val="left" w:pos="1620"/>
      </w:tabs>
      <w:spacing w:before="260" w:after="260" w:line="600" w:lineRule="exact"/>
      <w:jc w:val="both"/>
    </w:pPr>
    <w:rPr>
      <w:b/>
      <w:color w:val="FF0000"/>
      <w:sz w:val="32"/>
    </w:rPr>
  </w:style>
  <w:style w:type="paragraph" w:customStyle="1" w:styleId="172">
    <w:name w:val="Char Char1 Char Char Char Char Char Char Char2"/>
    <w:basedOn w:val="1"/>
    <w:autoRedefine/>
    <w:qFormat/>
    <w:uiPriority w:val="0"/>
    <w:rPr>
      <w:rFonts w:ascii="Tahoma" w:hAnsi="Tahoma"/>
      <w:sz w:val="24"/>
    </w:rPr>
  </w:style>
  <w:style w:type="paragraph" w:customStyle="1" w:styleId="173">
    <w:name w:val="普通(网站)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174">
    <w:name w:val="普通正文"/>
    <w:basedOn w:val="1"/>
    <w:autoRedefine/>
    <w:qFormat/>
    <w:uiPriority w:val="0"/>
    <w:pPr>
      <w:spacing w:before="120" w:after="120" w:line="360" w:lineRule="auto"/>
      <w:ind w:firstLine="480"/>
      <w:jc w:val="left"/>
    </w:pPr>
    <w:rPr>
      <w:rFonts w:ascii="Arial" w:hAnsi="Arial"/>
      <w:sz w:val="24"/>
      <w:szCs w:val="24"/>
    </w:rPr>
  </w:style>
  <w:style w:type="character" w:customStyle="1" w:styleId="175">
    <w:name w:val="默认段落字体1"/>
    <w:autoRedefine/>
    <w:unhideWhenUsed/>
    <w:qFormat/>
    <w:uiPriority w:val="1"/>
    <w:rPr>
      <w:rFonts w:ascii="Calibri" w:hAnsi="Calibri" w:eastAsia="宋体" w:cs="Times New Roman"/>
      <w:kern w:val="2"/>
      <w:sz w:val="21"/>
      <w:lang w:val="en-US" w:eastAsia="zh-CN" w:bidi="ar-SA"/>
    </w:rPr>
  </w:style>
  <w:style w:type="paragraph" w:customStyle="1" w:styleId="176">
    <w:name w:val="Normal_0_2"/>
    <w:autoRedefine/>
    <w:qFormat/>
    <w:uiPriority w:val="0"/>
    <w:rPr>
      <w:rFonts w:ascii="Times New Roman" w:hAnsi="Times New Roman" w:eastAsia="Times New Roman" w:cs="Times New Roman"/>
      <w:sz w:val="24"/>
      <w:szCs w:val="24"/>
      <w:lang w:val="en-US" w:eastAsia="zh-CN" w:bidi="ar-SA"/>
    </w:rPr>
  </w:style>
  <w:style w:type="paragraph" w:customStyle="1" w:styleId="177">
    <w:name w:val=" Char Char1 Char Char Char Char Char Char Char"/>
    <w:basedOn w:val="1"/>
    <w:autoRedefine/>
    <w:qFormat/>
    <w:uiPriority w:val="0"/>
    <w:rPr>
      <w:rFonts w:ascii="Tahoma" w:hAnsi="Tahoma"/>
      <w:sz w:val="24"/>
    </w:rPr>
  </w:style>
  <w:style w:type="character" w:customStyle="1" w:styleId="178">
    <w:name w:val="font01"/>
    <w:basedOn w:val="56"/>
    <w:autoRedefine/>
    <w:qFormat/>
    <w:uiPriority w:val="0"/>
    <w:rPr>
      <w:rFonts w:hint="eastAsia" w:ascii="宋体" w:hAnsi="宋体" w:eastAsia="宋体" w:cs="宋体"/>
      <w:color w:val="000000"/>
      <w:sz w:val="22"/>
      <w:szCs w:val="22"/>
      <w:u w:val="none"/>
    </w:rPr>
  </w:style>
  <w:style w:type="character" w:customStyle="1" w:styleId="179">
    <w:name w:val="font11"/>
    <w:basedOn w:val="56"/>
    <w:autoRedefine/>
    <w:qFormat/>
    <w:uiPriority w:val="0"/>
    <w:rPr>
      <w:rFonts w:hint="default" w:ascii="Times New Roman" w:hAnsi="Times New Roman" w:cs="Times New Roman"/>
      <w:color w:val="000000"/>
      <w:sz w:val="22"/>
      <w:szCs w:val="22"/>
      <w:u w:val="none"/>
    </w:rPr>
  </w:style>
  <w:style w:type="character" w:customStyle="1" w:styleId="180">
    <w:name w:val="font41"/>
    <w:basedOn w:val="56"/>
    <w:autoRedefine/>
    <w:qFormat/>
    <w:uiPriority w:val="0"/>
    <w:rPr>
      <w:rFonts w:hint="eastAsia" w:ascii="宋体" w:hAnsi="宋体" w:eastAsia="宋体" w:cs="宋体"/>
      <w:color w:val="000000"/>
      <w:sz w:val="22"/>
      <w:szCs w:val="22"/>
      <w:u w:val="none"/>
    </w:rPr>
  </w:style>
  <w:style w:type="character" w:customStyle="1" w:styleId="181">
    <w:name w:val="font51"/>
    <w:basedOn w:val="56"/>
    <w:qFormat/>
    <w:uiPriority w:val="0"/>
    <w:rPr>
      <w:rFonts w:hint="eastAsia" w:ascii="宋体" w:hAnsi="宋体" w:eastAsia="宋体" w:cs="宋体"/>
      <w:color w:val="000000"/>
      <w:sz w:val="22"/>
      <w:szCs w:val="22"/>
      <w:u w:val="none"/>
    </w:rPr>
  </w:style>
  <w:style w:type="character" w:customStyle="1" w:styleId="182">
    <w:name w:val="infodetail1"/>
    <w:qFormat/>
    <w:uiPriority w:val="0"/>
    <w:rPr>
      <w:rFonts w:ascii="ˎ̥" w:hAnsi="ˎ̥"/>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SZF</Company>
  <Pages>59</Pages>
  <Words>6060</Words>
  <Characters>6804</Characters>
  <Lines>255</Lines>
  <Paragraphs>72</Paragraphs>
  <TotalTime>34</TotalTime>
  <ScaleCrop>false</ScaleCrop>
  <LinksUpToDate>false</LinksUpToDate>
  <CharactersWithSpaces>6882</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2022-09-15T08:01:00Z</dcterms:created>
  <dc:creator>user</dc:creator>
  <cp:lastModifiedBy>大大大温柔v*</cp:lastModifiedBy>
  <cp:lastPrinted>2024-04-07T01:45:00Z</cp:lastPrinted>
  <dcterms:modified xsi:type="dcterms:W3CDTF">2024-12-04T04:11:09Z</dcterms:modified>
  <dc:title>招  标  文  件</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2876F94D2BC743F9883297C9D89CAA29_13</vt:lpwstr>
  </property>
</Properties>
</file>