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auto"/>
          <w:spacing w:val="60"/>
          <w:sz w:val="100"/>
          <w:szCs w:val="100"/>
          <w:highlight w:val="none"/>
        </w:rPr>
      </w:pPr>
      <w:r/>
      <w:bookmarkStart w:id="26" w:name="_GoBack"/>
      <w:r/>
      <w:r/>
    </w:p>
    <w:p>
      <w:pPr>
        <w:jc w:val="center"/>
        <w:rPr>
          <w:rFonts w:hint="eastAsia" w:ascii="宋体" w:hAnsi="宋体" w:cs="宋体"/>
          <w:b/>
          <w:bCs/>
          <w:color w:val="auto"/>
          <w:spacing w:val="60"/>
          <w:sz w:val="100"/>
          <w:szCs w:val="100"/>
          <w:highlight w:val="none"/>
        </w:rPr>
      </w:pPr>
      <w:r>
        <w:rPr>
          <w:rFonts w:hint="eastAsia" w:ascii="宋体" w:hAnsi="宋体" w:cs="宋体"/>
          <w:b/>
          <w:bCs/>
          <w:color w:val="auto"/>
          <w:spacing w:val="60"/>
          <w:sz w:val="100"/>
          <w:szCs w:val="100"/>
          <w:highlight w:val="none"/>
        </w:rPr>
        <w:t xml:space="preserve">政府采购招标</w:t>
      </w:r>
      <w:r/>
    </w:p>
    <w:p>
      <w:pPr>
        <w:jc w:val="center"/>
        <w:rPr>
          <w:rFonts w:hint="eastAsia" w:ascii="宋体" w:hAnsi="宋体" w:cs="宋体"/>
          <w:b/>
          <w:color w:val="auto"/>
          <w:sz w:val="72"/>
          <w:szCs w:val="72"/>
          <w:highlight w:val="none"/>
        </w:rPr>
      </w:pPr>
      <w:r>
        <w:rPr>
          <w:rFonts w:hint="eastAsia" w:ascii="宋体" w:hAnsi="宋体" w:cs="宋体"/>
          <w:b/>
          <w:bCs/>
          <w:color w:val="auto"/>
          <w:sz w:val="100"/>
          <w:szCs w:val="100"/>
          <w:highlight w:val="none"/>
        </w:rPr>
        <w:t xml:space="preserve">文 件</w:t>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both"/>
        <w:spacing w:line="480" w:lineRule="auto"/>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ind w:left="480"/>
        <w:spacing w:line="360" w:lineRule="auto"/>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招标编号：</w:t>
      </w:r>
      <w:r>
        <w:rPr>
          <w:rFonts w:hint="eastAsia" w:ascii="宋体" w:hAnsi="宋体" w:cs="宋体"/>
          <w:b/>
          <w:color w:val="auto"/>
          <w:sz w:val="30"/>
          <w:szCs w:val="30"/>
          <w:highlight w:val="none"/>
          <w:lang w:eastAsia="zh-CN"/>
        </w:rPr>
        <w:t xml:space="preserve">JSZC-320585-SZTZ-G2025-0007</w:t>
      </w:r>
      <w:r>
        <w:rPr>
          <w:rFonts w:hint="eastAsia" w:ascii="宋体" w:hAnsi="宋体" w:eastAsia="宋体" w:cs="宋体"/>
          <w:b/>
          <w:color w:val="auto"/>
          <w:sz w:val="30"/>
          <w:szCs w:val="30"/>
          <w:highlight w:val="none"/>
        </w:rPr>
        <w:t xml:space="preserve">  </w:t>
      </w:r>
      <w:r/>
    </w:p>
    <w:p>
      <w:pPr>
        <w:ind w:left="480" w:firstLine="0"/>
        <w:keepLines w:val="0"/>
        <w:keepNext w:val="0"/>
        <w:pageBreakBefore w:val="0"/>
        <w:spacing w:line="360" w:lineRule="auto"/>
        <w:widowControl/>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招标项目名称：</w:t>
      </w:r>
      <w:r>
        <w:rPr>
          <w:rFonts w:hint="eastAsia" w:ascii="宋体" w:hAnsi="宋体" w:cs="宋体"/>
          <w:b/>
          <w:color w:val="auto"/>
          <w:sz w:val="30"/>
          <w:szCs w:val="30"/>
          <w:highlight w:val="none"/>
          <w:lang w:eastAsia="zh-CN"/>
        </w:rPr>
        <w:t xml:space="preserve">2025交通设施设备更新维护</w:t>
      </w:r>
      <w:r/>
    </w:p>
    <w:p>
      <w:pPr>
        <w:ind w:left="480"/>
        <w:spacing w:line="360" w:lineRule="auto"/>
        <w:rPr>
          <w:rFonts w:hint="eastAsia" w:ascii="宋体" w:hAnsi="宋体" w:eastAsia="宋体" w:cs="宋体"/>
          <w:b/>
          <w:color w:val="auto"/>
          <w:sz w:val="30"/>
          <w:szCs w:val="30"/>
          <w:highlight w:val="none"/>
          <w:lang w:val="en-US" w:eastAsia="zh-CN"/>
        </w:rPr>
      </w:pPr>
      <w:r>
        <w:rPr>
          <w:rFonts w:hint="eastAsia" w:ascii="宋体" w:hAnsi="宋体" w:eastAsia="宋体" w:cs="宋体"/>
          <w:b/>
          <w:color w:val="auto"/>
          <w:sz w:val="30"/>
          <w:szCs w:val="30"/>
          <w:highlight w:val="none"/>
        </w:rPr>
        <w:t xml:space="preserve">采购类型：</w:t>
      </w:r>
      <w:r>
        <w:rPr>
          <w:rFonts w:hint="eastAsia" w:ascii="宋体" w:hAnsi="宋体" w:cs="宋体"/>
          <w:b/>
          <w:color w:val="auto"/>
          <w:sz w:val="30"/>
          <w:szCs w:val="30"/>
          <w:highlight w:val="none"/>
          <w:lang w:val="en-US" w:eastAsia="zh-CN"/>
        </w:rPr>
        <w:t xml:space="preserve">货物类</w:t>
      </w:r>
      <w:r>
        <w:rPr>
          <w:rFonts w:hint="eastAsia" w:ascii="宋体" w:hAnsi="宋体" w:eastAsia="宋体" w:cs="宋体"/>
          <w:b/>
          <w:color w:val="auto"/>
          <w:sz w:val="30"/>
          <w:szCs w:val="30"/>
          <w:highlight w:val="none"/>
          <w:lang w:val="en-US" w:eastAsia="zh-CN"/>
        </w:rPr>
        <w:t xml:space="preserve"> </w:t>
      </w:r>
      <w:r/>
    </w:p>
    <w:p>
      <w:pPr>
        <w:ind w:left="480"/>
        <w:spacing w:line="360" w:lineRule="auto"/>
        <w:rPr>
          <w:rFonts w:hint="eastAsia" w:ascii="宋体" w:hAnsi="宋体" w:eastAsia="宋体" w:cs="宋体"/>
          <w:color w:val="auto"/>
          <w:sz w:val="30"/>
          <w:highlight w:val="none"/>
        </w:rPr>
      </w:pPr>
      <w:r>
        <w:rPr>
          <w:rFonts w:hint="eastAsia" w:ascii="宋体" w:hAnsi="宋体" w:eastAsia="宋体" w:cs="宋体"/>
          <w:b/>
          <w:bCs/>
          <w:color w:val="auto"/>
          <w:sz w:val="30"/>
          <w:highlight w:val="none"/>
        </w:rPr>
        <w:t xml:space="preserve">标的所属行业：</w:t>
      </w:r>
      <w:r>
        <w:rPr>
          <w:rFonts w:hint="eastAsia" w:ascii="宋体" w:hAnsi="宋体" w:cs="宋体"/>
          <w:b/>
          <w:bCs/>
          <w:color w:val="auto"/>
          <w:sz w:val="30"/>
          <w:highlight w:val="none"/>
          <w:lang w:eastAsia="zh-CN"/>
        </w:rPr>
        <w:t xml:space="preserve">（二）工业</w:t>
      </w:r>
      <w:r>
        <w:rPr>
          <w:rFonts w:hint="eastAsia" w:ascii="宋体" w:hAnsi="宋体" w:cs="宋体"/>
          <w:b/>
          <w:color w:val="auto"/>
          <w:sz w:val="30"/>
          <w:szCs w:val="30"/>
          <w:highlight w:val="none"/>
        </w:rPr>
        <w:t xml:space="preserve">(本项目专门面向中小企业采购)</w:t>
      </w:r>
      <w:r>
        <w:rPr>
          <w:rFonts w:hint="eastAsia" w:ascii="宋体" w:hAnsi="宋体" w:eastAsia="宋体" w:cs="宋体"/>
          <w:color w:val="auto"/>
          <w:sz w:val="30"/>
          <w:highlight w:val="none"/>
        </w:rPr>
        <w:t xml:space="preserve">  </w:t>
      </w:r>
      <w:r/>
    </w:p>
    <w:p>
      <w:pPr>
        <w:ind w:left="480"/>
        <w:spacing w:line="360" w:lineRule="auto"/>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 xml:space="preserve">招标单位：</w:t>
      </w:r>
      <w:r>
        <w:rPr>
          <w:rFonts w:hint="eastAsia" w:ascii="宋体" w:hAnsi="宋体" w:cs="宋体"/>
          <w:b/>
          <w:color w:val="auto"/>
          <w:sz w:val="30"/>
          <w:szCs w:val="30"/>
          <w:highlight w:val="none"/>
          <w:lang w:eastAsia="zh-CN"/>
        </w:rPr>
        <w:t xml:space="preserve">太仓市公安局</w:t>
      </w:r>
      <w:r/>
    </w:p>
    <w:p>
      <w:pPr>
        <w:ind w:left="480" w:right="-159"/>
        <w:spacing w:line="480" w:lineRule="auto"/>
        <w:rPr>
          <w:rFonts w:hint="eastAsia" w:ascii="宋体" w:hAnsi="宋体" w:cs="宋体"/>
          <w:color w:val="auto"/>
          <w:sz w:val="30"/>
          <w:highlight w:val="none"/>
        </w:rPr>
      </w:pPr>
      <w:r>
        <w:rPr>
          <w:rFonts w:hint="eastAsia" w:ascii="宋体" w:hAnsi="宋体" w:eastAsia="宋体" w:cs="宋体"/>
          <w:b/>
          <w:color w:val="auto"/>
          <w:sz w:val="30"/>
          <w:szCs w:val="30"/>
          <w:highlight w:val="none"/>
        </w:rPr>
        <w:t xml:space="preserve">招标代理单位：</w:t>
      </w:r>
      <w:r>
        <w:rPr>
          <w:rFonts w:hint="eastAsia" w:ascii="宋体" w:hAnsi="宋体" w:cs="宋体"/>
          <w:b/>
          <w:color w:val="auto"/>
          <w:sz w:val="30"/>
          <w:szCs w:val="30"/>
          <w:highlight w:val="none"/>
          <w:lang w:eastAsia="zh-CN"/>
        </w:rPr>
        <w:t xml:space="preserve">苏州泰至鑫项目管理有限公司</w:t>
      </w:r>
      <w:r>
        <w:rPr>
          <w:rFonts w:hint="eastAsia" w:ascii="宋体" w:hAnsi="宋体" w:cs="宋体"/>
          <w:color w:val="auto"/>
          <w:sz w:val="30"/>
          <w:highlight w:val="none"/>
        </w:rPr>
        <w:t xml:space="preserve"> </w:t>
      </w:r>
      <w:r/>
    </w:p>
    <w:p>
      <w:pPr>
        <w:ind w:left="480" w:right="-159"/>
        <w:spacing w:line="480" w:lineRule="auto"/>
        <w:rPr>
          <w:rFonts w:hint="eastAsia" w:ascii="Times New Roman" w:hAnsi="Times New Roman" w:eastAsia="宋体" w:cs="宋体"/>
          <w:b/>
          <w:color w:val="auto"/>
          <w:sz w:val="30"/>
          <w:szCs w:val="30"/>
          <w:highlight w:val="none"/>
        </w:rPr>
      </w:pPr>
      <w:r>
        <w:rPr>
          <w:rFonts w:hint="eastAsia" w:ascii="Times New Roman" w:hAnsi="Times New Roman" w:eastAsia="宋体" w:cs="宋体"/>
          <w:b/>
          <w:color w:val="auto"/>
          <w:sz w:val="30"/>
          <w:szCs w:val="30"/>
          <w:highlight w:val="none"/>
        </w:rPr>
        <w:t xml:space="preserve"> </w:t>
      </w:r>
      <w:r/>
    </w:p>
    <w:p>
      <w:pPr>
        <w:ind w:firstLine="600"/>
        <w:rPr>
          <w:rFonts w:hint="eastAsia" w:ascii="宋体" w:hAnsi="宋体" w:cs="宋体"/>
          <w:color w:val="auto"/>
          <w:sz w:val="30"/>
          <w:highlight w:val="none"/>
        </w:rPr>
      </w:pPr>
      <w:r>
        <w:rPr>
          <w:rFonts w:hint="eastAsia" w:ascii="宋体" w:hAnsi="宋体" w:cs="宋体"/>
          <w:color w:val="auto"/>
          <w:sz w:val="30"/>
          <w:highlight w:val="none"/>
        </w:rPr>
        <w:t xml:space="preserve">           </w:t>
      </w:r>
      <w:r/>
    </w:p>
    <w:p>
      <w:pPr>
        <w:jc w:val="center"/>
        <w:spacing w:line="300" w:lineRule="auto"/>
        <w:rPr>
          <w:rFonts w:hint="eastAsia" w:ascii="宋体" w:hAnsi="宋体" w:cs="宋体"/>
          <w:b/>
          <w:bCs/>
          <w:color w:val="auto"/>
          <w:sz w:val="44"/>
          <w:szCs w:val="44"/>
          <w:highlight w:val="none"/>
        </w:rPr>
      </w:pPr>
      <w:r>
        <w:rPr>
          <w:rFonts w:hint="eastAsia" w:cs="宋体"/>
          <w:b/>
          <w:color w:val="auto"/>
          <w:sz w:val="30"/>
          <w:szCs w:val="30"/>
          <w:highlight w:val="none"/>
        </w:rPr>
        <w:t xml:space="preserve">二〇二</w:t>
      </w:r>
      <w:r>
        <w:rPr>
          <w:rFonts w:hint="eastAsia" w:cs="宋体"/>
          <w:b/>
          <w:color w:val="auto"/>
          <w:sz w:val="30"/>
          <w:szCs w:val="30"/>
          <w:highlight w:val="none"/>
          <w:lang w:val="en-US" w:eastAsia="zh-CN"/>
        </w:rPr>
        <w:t xml:space="preserve">五</w:t>
      </w:r>
      <w:r>
        <w:rPr>
          <w:rFonts w:hint="eastAsia" w:cs="宋体"/>
          <w:b/>
          <w:color w:val="auto"/>
          <w:sz w:val="30"/>
          <w:szCs w:val="30"/>
          <w:highlight w:val="none"/>
        </w:rPr>
        <w:t xml:space="preserve">年</w:t>
      </w:r>
      <w:r>
        <w:rPr>
          <w:rFonts w:hint="eastAsia" w:cs="宋体"/>
          <w:b/>
          <w:color w:val="auto"/>
          <w:sz w:val="30"/>
          <w:szCs w:val="30"/>
          <w:highlight w:val="none"/>
          <w:lang w:val="en-US" w:eastAsia="zh-CN"/>
        </w:rPr>
        <w:t xml:space="preserve">五</w:t>
      </w:r>
      <w:r>
        <w:rPr>
          <w:rFonts w:hint="eastAsia" w:cs="宋体"/>
          <w:b/>
          <w:color w:val="auto"/>
          <w:sz w:val="30"/>
          <w:szCs w:val="30"/>
          <w:highlight w:val="none"/>
        </w:rPr>
        <w:t xml:space="preserve">月</w:t>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r>
      <w:r>
        <w:rPr>
          <w:rFonts w:hint="eastAsia" w:ascii="宋体" w:hAnsi="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目     录</w:t>
      </w:r>
      <w:r/>
    </w:p>
    <w:p>
      <w:pPr>
        <w:jc w:val="center"/>
        <w:rPr>
          <w:rFonts w:hint="eastAsia" w:ascii="宋体" w:hAnsi="宋体" w:cs="宋体"/>
          <w:b/>
          <w:bCs/>
          <w:color w:val="auto"/>
          <w:spacing w:val="20"/>
          <w:sz w:val="30"/>
          <w:highlight w:val="none"/>
        </w:rPr>
      </w:pPr>
      <w:r>
        <w:rPr>
          <w:rFonts w:hint="eastAsia" w:ascii="宋体" w:hAnsi="宋体" w:cs="宋体"/>
          <w:b/>
          <w:bCs/>
          <w:color w:val="auto"/>
          <w:spacing w:val="20"/>
          <w:sz w:val="30"/>
          <w:highlight w:val="none"/>
        </w:rPr>
      </w:r>
      <w:r/>
    </w:p>
    <w:p>
      <w:pPr>
        <w:pStyle w:val="962"/>
        <w:tabs>
          <w:tab w:val="right" w:pos="8640" w:leader="dot"/>
        </w:tabs>
        <w:rPr>
          <w:color w:val="auto"/>
          <w:sz w:val="30"/>
          <w:szCs w:val="30"/>
          <w:highlight w:val="none"/>
        </w:rPr>
      </w:pP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TOC \o "1-1" \h \u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fldChar w:fldCharType="begin"/>
      </w:r>
      <w:r>
        <w:rPr>
          <w:rFonts w:hint="eastAsia" w:ascii="宋体" w:hAnsi="宋体" w:eastAsia="宋体" w:cs="宋体"/>
          <w:color w:val="auto"/>
          <w:sz w:val="30"/>
          <w:szCs w:val="30"/>
          <w:highlight w:val="none"/>
        </w:rPr>
        <w:instrText xml:space="preserve"> HYPERLINK \l _Toc26428 </w:instrText>
      </w:r>
      <w:r>
        <w:rPr>
          <w:rFonts w:hint="eastAsia" w:ascii="宋体" w:hAnsi="宋体" w:eastAsia="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前 附 表</w:t>
      </w:r>
      <w:r>
        <w:rPr>
          <w:rFonts w:hint="eastAsia" w:ascii="宋体" w:hAnsi="宋体" w:eastAsia="宋体" w:cs="宋体"/>
          <w:color w:val="auto"/>
          <w:sz w:val="30"/>
          <w:szCs w:val="30"/>
          <w:highlight w:val="none"/>
        </w:rPr>
        <w:fldChar w:fldCharType="end"/>
      </w:r>
      <w:r/>
    </w:p>
    <w:p>
      <w:pPr>
        <w:pStyle w:val="962"/>
        <w:tabs>
          <w:tab w:val="right" w:pos="8640" w:leader="dot"/>
        </w:tabs>
        <w:rPr>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_Toc17445 </w:instrText>
      </w:r>
      <w:r>
        <w:rPr>
          <w:rFonts w:hint="eastAsia" w:ascii="宋体" w:hAnsi="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第一章 招标公告</w:t>
      </w:r>
      <w:r>
        <w:rPr>
          <w:rFonts w:hint="eastAsia" w:ascii="宋体" w:hAnsi="宋体" w:cs="宋体"/>
          <w:color w:val="auto"/>
          <w:sz w:val="30"/>
          <w:szCs w:val="30"/>
          <w:highlight w:val="none"/>
        </w:rPr>
        <w:fldChar w:fldCharType="end"/>
      </w:r>
      <w:r/>
    </w:p>
    <w:p>
      <w:pPr>
        <w:pStyle w:val="962"/>
        <w:tabs>
          <w:tab w:val="right" w:pos="8640" w:leader="dot"/>
        </w:tabs>
        <w:rPr>
          <w:color w:val="auto"/>
          <w:sz w:val="30"/>
          <w:szCs w:val="30"/>
          <w:highlight w:val="none"/>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_Toc15584 </w:instrText>
      </w:r>
      <w:r>
        <w:rPr>
          <w:rFonts w:hint="eastAsia" w:ascii="宋体" w:hAnsi="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第二章 投标人须知</w:t>
      </w:r>
      <w:r>
        <w:rPr>
          <w:rFonts w:hint="eastAsia" w:ascii="宋体" w:hAnsi="宋体" w:cs="宋体"/>
          <w:color w:val="auto"/>
          <w:sz w:val="30"/>
          <w:szCs w:val="30"/>
          <w:highlight w:val="none"/>
        </w:rPr>
        <w:fldChar w:fldCharType="end"/>
      </w:r>
      <w:r/>
    </w:p>
    <w:p>
      <w:pPr>
        <w:pStyle w:val="962"/>
        <w:tabs>
          <w:tab w:val="right" w:pos="8640" w:leader="dot"/>
        </w:tabs>
        <w:rPr>
          <w:rFonts w:hint="eastAsia" w:eastAsia="楷体_GB2312"/>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_Toc28477 </w:instrText>
      </w:r>
      <w:r>
        <w:rPr>
          <w:rFonts w:hint="eastAsia" w:ascii="宋体" w:hAnsi="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第三章 招标书</w:t>
      </w:r>
      <w:r>
        <w:rPr>
          <w:rFonts w:hint="eastAsia" w:ascii="宋体" w:hAnsi="宋体" w:cs="宋体"/>
          <w:color w:val="auto"/>
          <w:sz w:val="30"/>
          <w:szCs w:val="30"/>
          <w:highlight w:val="none"/>
        </w:rPr>
        <w:fldChar w:fldCharType="end"/>
      </w:r>
      <w:r/>
    </w:p>
    <w:p>
      <w:pPr>
        <w:pStyle w:val="962"/>
        <w:tabs>
          <w:tab w:val="right" w:pos="8640" w:leader="dot"/>
        </w:tabs>
        <w:rPr>
          <w:rFonts w:hint="eastAsia" w:eastAsia="楷体_GB2312"/>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_Toc25002 </w:instrText>
      </w:r>
      <w:r>
        <w:rPr>
          <w:rFonts w:hint="eastAsia" w:ascii="宋体" w:hAnsi="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第四章 投标文件格式</w:t>
      </w:r>
      <w:r>
        <w:rPr>
          <w:rFonts w:hint="eastAsia" w:ascii="宋体" w:hAnsi="宋体" w:cs="宋体"/>
          <w:color w:val="auto"/>
          <w:sz w:val="30"/>
          <w:szCs w:val="30"/>
          <w:highlight w:val="none"/>
        </w:rPr>
        <w:fldChar w:fldCharType="end"/>
      </w:r>
      <w:r/>
    </w:p>
    <w:p>
      <w:pPr>
        <w:pStyle w:val="962"/>
        <w:tabs>
          <w:tab w:val="right" w:pos="8640" w:leader="dot"/>
        </w:tabs>
        <w:rPr>
          <w:rFonts w:hint="eastAsia" w:eastAsia="楷体_GB2312"/>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_Toc19345 </w:instrText>
      </w:r>
      <w:r>
        <w:rPr>
          <w:rFonts w:hint="eastAsia" w:ascii="宋体" w:hAnsi="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第五章 评标办法及评分标准</w:t>
      </w:r>
      <w:r>
        <w:rPr>
          <w:rFonts w:hint="eastAsia" w:ascii="宋体" w:hAnsi="宋体" w:cs="宋体"/>
          <w:color w:val="auto"/>
          <w:sz w:val="30"/>
          <w:szCs w:val="30"/>
          <w:highlight w:val="none"/>
        </w:rPr>
        <w:fldChar w:fldCharType="end"/>
      </w:r>
      <w:r/>
    </w:p>
    <w:p>
      <w:pPr>
        <w:pStyle w:val="962"/>
        <w:tabs>
          <w:tab w:val="right" w:pos="8640" w:leader="dot"/>
        </w:tabs>
        <w:rPr>
          <w:rFonts w:hint="eastAsia" w:eastAsia="楷体_GB2312"/>
          <w:color w:val="auto"/>
          <w:sz w:val="30"/>
          <w:szCs w:val="30"/>
          <w:highlight w:val="none"/>
          <w:lang w:val="en-US" w:eastAsia="zh-CN"/>
        </w:rPr>
      </w:pPr>
      <w:r>
        <w:rPr>
          <w:rFonts w:hint="eastAsia" w:ascii="宋体" w:hAnsi="宋体" w:cs="宋体"/>
          <w:color w:val="auto"/>
          <w:sz w:val="30"/>
          <w:szCs w:val="30"/>
          <w:highlight w:val="none"/>
        </w:rPr>
        <w:fldChar w:fldCharType="begin"/>
      </w:r>
      <w:r>
        <w:rPr>
          <w:rFonts w:hint="eastAsia" w:ascii="宋体" w:hAnsi="宋体" w:cs="宋体"/>
          <w:color w:val="auto"/>
          <w:sz w:val="30"/>
          <w:szCs w:val="30"/>
          <w:highlight w:val="none"/>
        </w:rPr>
        <w:instrText xml:space="preserve"> HYPERLINK \l _Toc31315 </w:instrText>
      </w:r>
      <w:r>
        <w:rPr>
          <w:rFonts w:hint="eastAsia" w:ascii="宋体" w:hAnsi="宋体" w:cs="宋体"/>
          <w:color w:val="auto"/>
          <w:sz w:val="30"/>
          <w:szCs w:val="30"/>
          <w:highlight w:val="none"/>
        </w:rPr>
        <w:fldChar w:fldCharType="separate"/>
      </w:r>
      <w:r>
        <w:rPr>
          <w:rFonts w:hint="eastAsia" w:ascii="宋体" w:hAnsi="宋体" w:eastAsia="宋体" w:cs="宋体"/>
          <w:color w:val="auto"/>
          <w:sz w:val="30"/>
          <w:szCs w:val="30"/>
          <w:highlight w:val="none"/>
        </w:rPr>
        <w:t xml:space="preserve">第六章 合同格式</w:t>
      </w:r>
      <w:r>
        <w:rPr>
          <w:rFonts w:hint="eastAsia" w:ascii="宋体" w:hAnsi="宋体" w:cs="宋体"/>
          <w:color w:val="auto"/>
          <w:sz w:val="30"/>
          <w:szCs w:val="30"/>
          <w:highlight w:val="none"/>
        </w:rPr>
        <w:fldChar w:fldCharType="end"/>
      </w:r>
      <w:r/>
    </w:p>
    <w:p>
      <w:pPr>
        <w:pStyle w:val="962"/>
        <w:tabs>
          <w:tab w:val="right" w:pos="8640" w:leader="dot"/>
        </w:tabs>
        <w:rPr>
          <w:color w:val="auto"/>
          <w:highlight w:val="none"/>
        </w:rPr>
      </w:pPr>
      <w:r>
        <w:rPr>
          <w:rFonts w:hint="eastAsia" w:ascii="宋体" w:hAnsi="宋体" w:cs="宋体"/>
          <w:color w:val="auto"/>
          <w:sz w:val="30"/>
          <w:szCs w:val="30"/>
          <w:highlight w:val="none"/>
        </w:rPr>
        <w:fldChar w:fldCharType="end"/>
      </w:r>
      <w:r/>
    </w:p>
    <w:p>
      <w:pPr>
        <w:rPr>
          <w:color w:val="auto"/>
          <w:highlight w:val="none"/>
        </w:rPr>
      </w:pPr>
      <w:r>
        <w:rPr>
          <w:color w:val="auto"/>
          <w:highlight w:val="none"/>
        </w:rPr>
      </w:r>
      <w:r/>
    </w:p>
    <w:p>
      <w:pPr>
        <w:tabs>
          <w:tab w:val="left" w:pos="3675" w:leader="none"/>
        </w:tabs>
        <w:rPr>
          <w:color w:val="auto"/>
          <w:highlight w:val="none"/>
        </w:rPr>
      </w:pPr>
      <w:r>
        <w:rPr>
          <w:color w:val="auto"/>
          <w:highlight w:val="none"/>
        </w:rPr>
        <w:tab/>
      </w:r>
      <w:r/>
    </w:p>
    <w:p>
      <w:pPr>
        <w:tabs>
          <w:tab w:val="left" w:pos="3675" w:leader="none"/>
        </w:tabs>
        <w:rPr>
          <w:rFonts w:hint="eastAsia"/>
          <w:color w:val="auto"/>
          <w:highlight w:val="none"/>
        </w:rPr>
        <w:sectPr>
          <w:headerReference w:type="default" r:id="rId9"/>
          <w:headerReference w:type="first" r:id="rId10"/>
          <w:footerReference w:type="default" r:id="rId11"/>
          <w:footerReference w:type="even" r:id="rId12"/>
          <w:footnotePr/>
          <w:endnotePr/>
          <w:type w:val="nextPage"/>
          <w:pgSz w:w="11906" w:h="16838" w:orient="portrait"/>
          <w:pgMar w:top="1440" w:right="1469" w:bottom="1440" w:left="1417" w:header="851" w:footer="992" w:gutter="0"/>
          <w:cols w:num="1" w:sep="0" w:space="720" w:equalWidth="1"/>
          <w:docGrid w:linePitch="360"/>
          <w:titlePg/>
        </w:sectPr>
      </w:pPr>
      <w:r>
        <w:rPr>
          <w:color w:val="auto"/>
          <w:highlight w:val="none"/>
        </w:rPr>
        <w:tab/>
      </w:r>
      <w:r/>
    </w:p>
    <w:p>
      <w:pPr>
        <w:pStyle w:val="937"/>
        <w:numPr>
          <w:ilvl w:val="0"/>
          <w:numId w:val="0"/>
        </w:numPr>
        <w:jc w:val="center"/>
        <w:spacing w:before="0" w:after="0" w:line="480" w:lineRule="auto"/>
        <w:rPr>
          <w:rFonts w:hint="eastAsia" w:ascii="宋体" w:hAnsi="宋体" w:eastAsia="宋体" w:cs="宋体"/>
          <w:color w:val="auto"/>
          <w:sz w:val="32"/>
          <w:szCs w:val="32"/>
          <w:highlight w:val="none"/>
        </w:rPr>
      </w:pPr>
      <w:r/>
      <w:bookmarkStart w:id="0" w:name="_Toc26428"/>
      <w:r>
        <w:rPr>
          <w:rFonts w:hint="eastAsia" w:ascii="宋体" w:hAnsi="宋体" w:eastAsia="宋体" w:cs="宋体"/>
          <w:color w:val="auto"/>
          <w:sz w:val="32"/>
          <w:szCs w:val="32"/>
          <w:highlight w:val="none"/>
        </w:rPr>
        <w:t xml:space="preserve">前 附 表</w:t>
      </w:r>
      <w:bookmarkEnd w:id="0"/>
      <w:r/>
      <w:r/>
    </w:p>
    <w:p>
      <w:pPr>
        <w:ind w:right="-159" w:firstLine="42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（下列附表说明是对招标文件的具体补充和修正，如有矛盾之处以本附表为准）</w:t>
      </w:r>
      <w:r/>
    </w:p>
    <w:tbl>
      <w:tblPr>
        <w:tblStyle w:val="947"/>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jc w:val="center"/>
          <w:tblHead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620" w:type="dxa"/>
            <w:vAlign w:val="top"/>
            <w:textDirection w:val="lrTb"/>
            <w:noWrap w:val="false"/>
          </w:tcPr>
          <w:p>
            <w:pPr>
              <w:jc w:val="center"/>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tabs>
                <w:tab w:val="left" w:pos="360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w:t>
            </w:r>
            <w:r>
              <w:rPr>
                <w:rFonts w:hint="eastAsia" w:ascii="宋体" w:hAnsi="宋体" w:cs="宋体"/>
                <w:color w:val="auto"/>
                <w:sz w:val="21"/>
                <w:szCs w:val="21"/>
                <w:highlight w:val="none"/>
              </w:rPr>
              <w:t xml:space="preserve">单位</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tabs>
                <w:tab w:val="left" w:pos="3600" w:leader="none"/>
              </w:tabs>
              <w:rPr>
                <w:rFonts w:hint="eastAsia" w:ascii="宋体" w:hAnsi="宋体" w:eastAsia="宋体" w:cs="宋体"/>
                <w:color w:val="auto"/>
                <w:sz w:val="21"/>
                <w:szCs w:val="21"/>
                <w:highlight w:val="none"/>
                <w:lang w:val="zh-CN" w:eastAsia="zh-CN"/>
              </w:rPr>
            </w:pPr>
            <w:r>
              <w:rPr>
                <w:rFonts w:hint="eastAsia" w:ascii="宋体" w:hAnsi="宋体" w:cs="宋体"/>
                <w:color w:val="auto"/>
                <w:sz w:val="21"/>
                <w:szCs w:val="21"/>
                <w:highlight w:val="none"/>
                <w:lang w:eastAsia="zh-CN"/>
              </w:rPr>
              <w:t xml:space="preserve">太仓市公安局</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JSZC-320585-SZTZ-G2025-0007</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招标项目名称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965"/>
              <w:ind w:firstLine="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2025交通设施设备更新维护</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bidi="zh-CN"/>
              </w:rPr>
              <w:t xml:space="preserve">标的所属行业</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965"/>
              <w:ind w:firstLine="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zh-CN" w:eastAsia="zh-CN" w:bidi="zh-CN"/>
              </w:rPr>
              <w:t xml:space="preserve">（二）工业</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六十天（日历日） </w:t>
            </w:r>
            <w:r/>
          </w:p>
        </w:tc>
      </w:tr>
      <w:tr>
        <w:trPr>
          <w:jc w:val="center"/>
          <w:trHeight w:val="115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highlight w:val="none"/>
              </w:rPr>
            </w:pPr>
            <w:r>
              <w:rPr>
                <w:rFonts w:hint="eastAsia" w:ascii="宋体" w:hAnsi="宋体" w:cs="宋体"/>
                <w:color w:val="auto"/>
                <w:sz w:val="21"/>
                <w:szCs w:val="21"/>
                <w:highlight w:val="none"/>
                <w:lang w:val="zh-CN"/>
              </w:rPr>
              <w:t xml:space="preserve">招标代理机构</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苏州泰至鑫项目管理有限公司</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地址：太仓市娄东街道上海东路333号高展商务大厦10楼1003室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zh-CN"/>
              </w:rPr>
              <w:t xml:space="preserve">邮编：</w:t>
            </w:r>
            <w:r>
              <w:rPr>
                <w:rFonts w:hint="eastAsia" w:ascii="宋体" w:hAnsi="宋体" w:cs="宋体"/>
                <w:color w:val="auto"/>
                <w:sz w:val="21"/>
                <w:szCs w:val="21"/>
                <w:highlight w:val="none"/>
              </w:rPr>
              <w:t xml:space="preserve">215400</w:t>
            </w:r>
            <w:r/>
          </w:p>
          <w:p>
            <w:pPr>
              <w:jc w:val="both"/>
              <w:spacing w:line="360" w:lineRule="auto"/>
              <w:widowControl w:val="off"/>
              <w:rPr>
                <w:rFonts w:hint="eastAsia" w:ascii="宋体" w:hAnsi="宋体" w:cs="宋体"/>
                <w:color w:val="auto"/>
                <w:sz w:val="21"/>
                <w:highlight w:val="none"/>
              </w:rPr>
            </w:pPr>
            <w:r>
              <w:rPr>
                <w:rFonts w:hint="eastAsia" w:ascii="宋体" w:hAnsi="宋体" w:cs="宋体"/>
                <w:bCs/>
                <w:color w:val="auto"/>
                <w:sz w:val="21"/>
                <w:szCs w:val="21"/>
                <w:highlight w:val="none"/>
                <w:lang w:val="zh-CN"/>
              </w:rPr>
              <w:t xml:space="preserve">联系人：顾孙英</w:t>
            </w:r>
            <w:r>
              <w:rPr>
                <w:rFonts w:hint="eastAsia" w:ascii="宋体" w:hAnsi="宋体" w:cs="宋体"/>
                <w:bCs/>
                <w:color w:val="auto"/>
                <w:sz w:val="21"/>
                <w:szCs w:val="21"/>
                <w:highlight w:val="none"/>
              </w:rPr>
              <w:t xml:space="preserve">   </w:t>
            </w:r>
            <w:r>
              <w:rPr>
                <w:rFonts w:hint="eastAsia" w:ascii="宋体" w:hAnsi="宋体" w:cs="宋体"/>
                <w:bCs/>
                <w:color w:val="auto"/>
                <w:sz w:val="21"/>
                <w:szCs w:val="21"/>
                <w:highlight w:val="none"/>
                <w:lang w:val="zh-CN"/>
              </w:rPr>
              <w:t xml:space="preserve">联系电话： 13145086180  </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招标文件获取</w:t>
            </w:r>
            <w:r/>
          </w:p>
        </w:tc>
        <w:tc>
          <w:tcPr>
            <w:tcBorders>
              <w:top w:val="single" w:color="auto" w:sz="6" w:space="0"/>
              <w:left w:val="single" w:color="auto" w:sz="6" w:space="0"/>
              <w:bottom w:val="single" w:color="auto" w:sz="6" w:space="0"/>
              <w:right w:val="single" w:color="auto" w:sz="6" w:space="0"/>
            </w:tcBorders>
            <w:tcW w:w="6612" w:type="dxa"/>
            <w:vAlign w:val="top"/>
            <w:textDirection w:val="lrTb"/>
            <w:noWrap w:val="false"/>
          </w:tcPr>
          <w:p>
            <w:pPr>
              <w:jc w:val="left"/>
              <w:keepLines w:val="0"/>
              <w:keepNext w:val="0"/>
              <w:pageBreakBefore w:val="0"/>
              <w:spacing w:beforeAutospacing="0" w:afterAutospacing="0" w:line="360" w:lineRule="auto"/>
              <w:widowControl/>
              <w:rPr>
                <w:rFonts w:hint="eastAsia" w:ascii="宋体" w:hAnsi="宋体" w:eastAsia="宋体" w:cs="宋体"/>
                <w:color w:val="auto"/>
                <w:sz w:val="21"/>
                <w:szCs w:val="21"/>
                <w:highlight w:val="none"/>
              </w:rPr>
              <w:pBdr>
                <w:left w:val="none" w:color="auto" w:sz="0" w:space="0"/>
              </w:pBdr>
              <w:suppressLineNumbers w:val="0"/>
            </w:pPr>
            <w:r>
              <w:rPr>
                <w:rFonts w:hint="eastAsia" w:ascii="宋体" w:hAnsi="宋体" w:eastAsia="宋体" w:cs="宋体"/>
                <w:color w:val="auto"/>
                <w:sz w:val="21"/>
                <w:szCs w:val="21"/>
                <w:highlight w:val="none"/>
                <w:lang w:val="en-US" w:eastAsia="zh-CN" w:bidi="ar"/>
              </w:rPr>
              <w:t xml:space="preserve">时间：</w:t>
            </w:r>
            <w:r>
              <w:rPr>
                <w:rFonts w:hint="eastAsia" w:ascii="宋体" w:hAnsi="宋体" w:cs="宋体"/>
                <w:color w:val="auto"/>
                <w:sz w:val="21"/>
                <w:szCs w:val="21"/>
                <w:highlight w:val="none"/>
                <w:lang w:val="en-US" w:eastAsia="zh-CN" w:bidi="ar"/>
              </w:rPr>
              <w:t xml:space="preserve">自招标文件公告发布之日起5个工作日</w:t>
            </w:r>
            <w:r>
              <w:rPr>
                <w:rFonts w:hint="eastAsia" w:ascii="宋体" w:hAnsi="宋体" w:eastAsia="宋体" w:cs="宋体"/>
                <w:color w:val="auto"/>
                <w:sz w:val="21"/>
                <w:szCs w:val="21"/>
                <w:highlight w:val="none"/>
                <w:lang w:val="en-US" w:eastAsia="zh-CN" w:bidi="ar"/>
              </w:rPr>
              <w:t xml:space="preserve"> </w:t>
            </w:r>
            <w:r/>
          </w:p>
          <w:p>
            <w:pPr>
              <w:ind w:right="0"/>
              <w:jc w:val="both"/>
              <w:keepLines w:val="0"/>
              <w:keepNext w:val="0"/>
              <w:pageBreakBefore w:val="0"/>
              <w:spacing w:before="0" w:beforeAutospacing="0" w:after="0" w:afterAutospacing="0" w:line="360" w:lineRule="auto"/>
              <w:shd w:val="clear" w:color="auto" w:fill="ffffff"/>
              <w:widowControl/>
              <w:rPr>
                <w:rFonts w:hint="eastAsia" w:ascii="宋体" w:hAnsi="宋体" w:cs="宋体"/>
                <w:color w:val="auto"/>
                <w:sz w:val="21"/>
                <w:szCs w:val="21"/>
                <w:highlight w:val="none"/>
                <w:lang w:val="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1"/>
                <w:szCs w:val="21"/>
                <w:highlight w:val="none"/>
              </w:rPr>
              <w:t xml:space="preserve">地点：进入苏州市政府采购网，点击底部苏采云图标，登录苏采云政府采购一体化平台，对参与项目进行报名，并下载电子招标文件</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下载电子招标文件日期视同为依法获取采购文件日期。</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答疑方式</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投标人对招标文件如有疑问，请将疑问按相关流程提出。</w:t>
            </w:r>
            <w:r>
              <w:rPr>
                <w:rFonts w:hint="eastAsia" w:ascii="宋体" w:hAnsi="宋体" w:cs="宋体"/>
                <w:color w:val="auto"/>
                <w:sz w:val="21"/>
                <w:szCs w:val="21"/>
                <w:highlight w:val="none"/>
              </w:rPr>
              <w:t xml:space="preserve">联系人:</w:t>
            </w:r>
            <w:r>
              <w:rPr>
                <w:rFonts w:hint="eastAsia" w:ascii="宋体" w:hAnsi="宋体" w:cs="宋体"/>
                <w:bCs/>
                <w:color w:val="auto"/>
                <w:sz w:val="21"/>
                <w:szCs w:val="21"/>
                <w:highlight w:val="none"/>
                <w:lang w:val="zh-CN"/>
              </w:rPr>
              <w:t xml:space="preserve">顾孙英</w:t>
            </w:r>
            <w:r>
              <w:rPr>
                <w:rFonts w:hint="eastAsia" w:ascii="宋体" w:hAnsi="宋体" w:cs="宋体"/>
                <w:color w:val="auto"/>
                <w:sz w:val="21"/>
                <w:szCs w:val="21"/>
                <w:highlight w:val="none"/>
              </w:rPr>
              <w:t xml:space="preserve">，联系电话</w:t>
            </w:r>
            <w:r>
              <w:rPr>
                <w:rFonts w:hint="eastAsia" w:ascii="宋体" w:hAnsi="宋体" w:cs="宋体"/>
                <w:color w:val="auto"/>
                <w:sz w:val="21"/>
                <w:szCs w:val="21"/>
                <w:highlight w:val="none"/>
                <w:lang w:eastAsia="zh-CN"/>
              </w:rPr>
              <w:t xml:space="preserve"> 13145086180  </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投标文件上传截止时间</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ind w:right="0"/>
              <w:jc w:val="both"/>
              <w:keepLines w:val="0"/>
              <w:keepNext w:val="0"/>
              <w:pageBreakBefore w:val="0"/>
              <w:spacing w:before="0" w:beforeAutospacing="0" w:after="0" w:afterAutospacing="0" w:line="360" w:lineRule="auto"/>
              <w:shd w:val="clear" w:color="auto" w:fill="ffffff"/>
              <w:widowControl/>
              <w:rPr>
                <w:rFonts w:hint="eastAsia" w:ascii="宋体" w:hAnsi="宋体" w:cs="宋体"/>
                <w:b/>
                <w:color w:val="auto"/>
                <w:sz w:val="21"/>
                <w:szCs w:val="21"/>
                <w:highlight w:val="none"/>
                <w:lang w:val="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加密的电子投标文件上传截止时间：</w:t>
            </w:r>
            <w:r>
              <w:rPr>
                <w:rFonts w:hint="eastAsia" w:ascii="宋体" w:hAnsi="宋体" w:cs="宋体"/>
                <w:b/>
                <w:bCs/>
                <w:i w:val="0"/>
                <w:iCs w:val="0"/>
                <w:caps w:val="0"/>
                <w:color w:val="auto"/>
                <w:spacing w:val="0"/>
                <w:sz w:val="21"/>
                <w:szCs w:val="21"/>
                <w:highlight w:val="none"/>
                <w:u w:val="single"/>
                <w:shd w:val="clear" w:color="auto" w:fill="ffffff"/>
                <w:lang w:val="en-US" w:eastAsia="zh-CN" w:bidi="ar"/>
              </w:rPr>
              <w:t xml:space="preserve">2025年06月19日09点30分</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（北京时间），投标人登录苏采云政府采购一体化平台，进入“参与详情”页面，上传电子投标文件。</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开标时间</w:t>
            </w:r>
            <w:r/>
          </w:p>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时间：2025年06月19日09点30分（北京时间）</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地点：网上不见面开标大厅</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中标单位数量</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本项目确定</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家</w:t>
            </w:r>
            <w:r>
              <w:rPr>
                <w:rFonts w:hint="eastAsia" w:ascii="宋体" w:hAnsi="宋体"/>
                <w:bCs/>
                <w:color w:val="auto"/>
                <w:sz w:val="21"/>
                <w:szCs w:val="21"/>
                <w:highlight w:val="none"/>
              </w:rPr>
              <w:t xml:space="preserve">中标单位。</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中标服务费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1031"/>
              <w:jc w:val="both"/>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中标服务费应由中标单位在领取中标通知书时一次性付清，该费用综合含在投标报价中。具体收费以采购预算金额为基数依据，100万元以下部分收取1.5%；100万元（含）~500万元部分收取1.1%；500万元（含）~ 1000万元部分收取0.8%，按差额定率累进法分段确认收费比例，如按上述方法计算的金额低于人民币3500元的，则中标服务费按人民币3500元计取。</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注意事项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法定代表人为同一人的不同单位，不得参加同一分包项目投标或未划分分包的同一投标项目投标，违反上述规定的投标作无效投标处理。</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出现下列情形之一的，为废标：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（一）符合专业条件的投标人或者对招标文件作实质响应的投标人不足三家的；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（二）出现影响采购公正的违法、违规行为的；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（三）投标人的报价均超过了采购预算，招标人不能支付的； </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（四）因重大变故，采购任务取消的。 </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导致无效标</w:t>
            </w:r>
            <w:r/>
          </w:p>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投标文件属下列情况之一的，在资格性、符合性检查时按照无效投标处理：</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一</w:t>
            </w:r>
            <w:r>
              <w:rPr>
                <w:rFonts w:hint="eastAsia" w:ascii="宋体" w:hAnsi="宋体" w:cs="宋体"/>
                <w:color w:val="auto"/>
                <w:sz w:val="21"/>
                <w:szCs w:val="21"/>
                <w:highlight w:val="none"/>
                <w:lang w:val="zh-CN"/>
              </w:rPr>
              <w:t xml:space="preserve">）投标文件未按招标文件要求签署、盖章或电子签章的；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二</w:t>
            </w:r>
            <w:r>
              <w:rPr>
                <w:rFonts w:hint="eastAsia" w:ascii="宋体" w:hAnsi="宋体" w:cs="宋体"/>
                <w:color w:val="auto"/>
                <w:sz w:val="21"/>
                <w:szCs w:val="21"/>
                <w:highlight w:val="none"/>
                <w:lang w:val="zh-CN"/>
              </w:rPr>
              <w:t xml:space="preserve">）不具备招标文件中规定的资格要求的；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三</w:t>
            </w:r>
            <w:r>
              <w:rPr>
                <w:rFonts w:hint="eastAsia" w:ascii="宋体" w:hAnsi="宋体" w:cs="宋体"/>
                <w:color w:val="auto"/>
                <w:sz w:val="21"/>
                <w:szCs w:val="21"/>
                <w:highlight w:val="none"/>
                <w:lang w:val="zh-CN"/>
              </w:rPr>
              <w:t xml:space="preserve">）报价超过招标文件中规定的预算金额或者最高限价的；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（四）投标文件含有招标人不能接受的附加条件的；</w:t>
            </w:r>
            <w:r/>
          </w:p>
          <w:p>
            <w:pPr>
              <w:pStyle w:val="1029"/>
              <w:ind w:firstLine="0"/>
              <w:spacing w:line="360" w:lineRule="auto"/>
              <w:rPr>
                <w:color w:val="auto"/>
                <w:highlight w:val="none"/>
              </w:rPr>
            </w:pPr>
            <w:r>
              <w:rPr>
                <w:rFonts w:hint="eastAsia" w:hAnsi="宋体" w:cs="宋体"/>
                <w:color w:val="auto"/>
                <w:szCs w:val="21"/>
                <w:highlight w:val="none"/>
                <w:lang w:val="zh-CN"/>
              </w:rPr>
              <w:t xml:space="preserve">（</w:t>
            </w:r>
            <w:r>
              <w:rPr>
                <w:rFonts w:hint="eastAsia" w:hAnsi="宋体" w:cs="宋体"/>
                <w:color w:val="auto"/>
                <w:szCs w:val="21"/>
                <w:highlight w:val="none"/>
              </w:rPr>
              <w:t xml:space="preserve">五</w:t>
            </w:r>
            <w:r>
              <w:rPr>
                <w:rFonts w:hint="eastAsia" w:hAnsi="宋体" w:cs="宋体"/>
                <w:color w:val="auto"/>
                <w:szCs w:val="21"/>
                <w:highlight w:val="none"/>
                <w:lang w:val="zh-CN"/>
              </w:rPr>
              <w:t xml:space="preserve">）</w:t>
            </w:r>
            <w:r>
              <w:rPr>
                <w:rFonts w:hint="eastAsia" w:hAnsi="宋体" w:cs="宋体"/>
                <w:color w:val="auto"/>
                <w:szCs w:val="21"/>
                <w:highlight w:val="none"/>
              </w:rPr>
              <w:t xml:space="preserve">不同投标人的投标文件使用同一台电脑编制的；</w:t>
            </w:r>
            <w:r/>
          </w:p>
          <w:p>
            <w:pPr>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lang w:val="zh-CN"/>
              </w:rPr>
              <w:t xml:space="preserve">）其它在招标文件中已明确为无效标的；</w:t>
            </w:r>
            <w:r/>
          </w:p>
          <w:p>
            <w:pP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七</w:t>
            </w:r>
            <w:r>
              <w:rPr>
                <w:rFonts w:hint="eastAsia" w:ascii="宋体" w:hAnsi="宋体" w:cs="宋体"/>
                <w:color w:val="auto"/>
                <w:sz w:val="21"/>
                <w:szCs w:val="21"/>
                <w:highlight w:val="none"/>
                <w:lang w:val="zh-CN"/>
              </w:rPr>
              <w:t xml:space="preserve">）法律、法规和招标文件规定的其他无效情形。</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w:t>
            </w:r>
            <w:r>
              <w:rPr>
                <w:rFonts w:hint="eastAsia" w:ascii="宋体" w:hAnsi="宋体" w:cs="宋体"/>
                <w:color w:val="auto"/>
                <w:sz w:val="21"/>
                <w:szCs w:val="21"/>
                <w:highlight w:val="none"/>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rPr>
            </w:pPr>
            <w:r>
              <w:rPr>
                <w:rFonts w:hint="eastAsia"/>
                <w:color w:val="auto"/>
                <w:sz w:val="21"/>
                <w:szCs w:val="21"/>
                <w:highlight w:val="none"/>
              </w:rPr>
              <w:t xml:space="preserve">中标单位应于合同签订前向采购单位指定账户交纳中标合同金额5%的履约保证金。</w:t>
            </w:r>
            <w:r>
              <w:rPr>
                <w:rFonts w:hint="eastAsia"/>
                <w:color w:val="auto"/>
                <w:sz w:val="21"/>
                <w:szCs w:val="21"/>
                <w:highlight w:val="none"/>
                <w:lang w:val="en-US" w:eastAsia="zh-CN"/>
              </w:rPr>
              <w:t xml:space="preserve">项目全部结束后予以无息退还。</w:t>
            </w:r>
            <w:r/>
          </w:p>
        </w:tc>
      </w:tr>
    </w:tbl>
    <w:p>
      <w:pPr>
        <w:pStyle w:val="937"/>
        <w:numPr>
          <w:ilvl w:val="0"/>
          <w:numId w:val="0"/>
        </w:numPr>
        <w:jc w:val="center"/>
        <w:spacing w:before="0" w:after="0" w:line="480" w:lineRule="auto"/>
        <w:rPr>
          <w:rFonts w:hint="eastAsia" w:ascii="宋体" w:hAnsi="宋体" w:eastAsia="宋体" w:cs="宋体"/>
          <w:color w:val="auto"/>
          <w:sz w:val="32"/>
          <w:szCs w:val="32"/>
          <w:highlight w:val="none"/>
        </w:rPr>
      </w:pPr>
      <w:r>
        <w:rPr>
          <w:rFonts w:hint="eastAsia" w:ascii="宋体" w:hAnsi="宋体" w:cs="宋体"/>
          <w:b w:val="0"/>
          <w:bCs/>
          <w:color w:val="auto"/>
          <w:spacing w:val="-14"/>
          <w:sz w:val="30"/>
          <w:highlight w:val="none"/>
        </w:rPr>
        <w:br w:type="page" w:clear="all"/>
      </w:r>
      <w:bookmarkStart w:id="1" w:name="_Toc17445"/>
      <w:r>
        <w:rPr>
          <w:rFonts w:hint="eastAsia" w:ascii="宋体" w:hAnsi="宋体" w:eastAsia="宋体" w:cs="宋体"/>
          <w:color w:val="auto"/>
          <w:sz w:val="32"/>
          <w:szCs w:val="32"/>
          <w:highlight w:val="none"/>
        </w:rPr>
        <w:t xml:space="preserve">第一章 招标公告</w:t>
      </w:r>
      <w:bookmarkEnd w:id="1"/>
      <w:r/>
      <w:r/>
    </w:p>
    <w:p>
      <w:pPr>
        <w:ind w:firstLine="420"/>
        <w:keepLines w:val="0"/>
        <w:keepNext w:val="0"/>
        <w:pageBreakBefore w:val="0"/>
        <w:spacing w:line="360" w:lineRule="auto"/>
        <w:widowControl w:val="off"/>
        <w:rPr>
          <w:rFonts w:hint="eastAsia" w:ascii="仿宋" w:hAnsi="仿宋" w:eastAsia="仿宋" w:cs="仿宋"/>
          <w:color w:val="auto"/>
          <w:sz w:val="21"/>
          <w:szCs w:val="21"/>
          <w:highlight w:val="none"/>
        </w:rPr>
        <w:pBdr>
          <w:top w:val="single" w:color="auto" w:sz="4" w:space="0"/>
          <w:left w:val="single" w:color="auto" w:sz="4" w:space="0"/>
          <w:bottom w:val="single" w:color="auto" w:sz="4" w:space="0"/>
          <w:right w:val="single" w:color="auto" w:sz="4" w:space="0"/>
        </w:pBdr>
      </w:pPr>
      <w:r>
        <w:rPr>
          <w:rFonts w:hint="eastAsia" w:ascii="仿宋" w:hAnsi="仿宋" w:eastAsia="仿宋" w:cs="仿宋"/>
          <w:color w:val="auto"/>
          <w:sz w:val="21"/>
          <w:szCs w:val="21"/>
          <w:highlight w:val="none"/>
        </w:rPr>
        <w:t xml:space="preserve">项目概况</w:t>
      </w:r>
      <w:r/>
    </w:p>
    <w:p>
      <w:pPr>
        <w:ind w:firstLine="420"/>
        <w:keepLines w:val="0"/>
        <w:keepNext w:val="0"/>
        <w:pageBreakBefore w:val="0"/>
        <w:spacing w:line="360" w:lineRule="auto"/>
        <w:widowControl w:val="off"/>
        <w:rPr>
          <w:rFonts w:hint="eastAsia" w:ascii="仿宋" w:hAnsi="仿宋" w:eastAsia="仿宋" w:cs="仿宋"/>
          <w:color w:val="auto"/>
          <w:sz w:val="21"/>
          <w:szCs w:val="21"/>
          <w:highlight w:val="none"/>
          <w:lang w:eastAsia="zh-CN"/>
        </w:rPr>
        <w:pBdr>
          <w:top w:val="single" w:color="auto" w:sz="4" w:space="0"/>
          <w:left w:val="single" w:color="auto" w:sz="4" w:space="0"/>
          <w:bottom w:val="single" w:color="auto" w:sz="4" w:space="0"/>
          <w:right w:val="single" w:color="auto" w:sz="4" w:space="0"/>
        </w:pBdr>
      </w:pPr>
      <w:r>
        <w:rPr>
          <w:rFonts w:hint="eastAsia" w:ascii="仿宋" w:hAnsi="仿宋" w:eastAsia="仿宋" w:cs="仿宋"/>
          <w:color w:val="auto"/>
          <w:sz w:val="21"/>
          <w:szCs w:val="21"/>
          <w:highlight w:val="none"/>
          <w:lang w:eastAsia="zh-CN"/>
        </w:rPr>
        <w:t xml:space="preserve">2025交通设施设备更新维护</w:t>
      </w: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eastAsia="zh-CN"/>
        </w:rPr>
        <w:t xml:space="preserve">JSZC-320585-SZTZ-G2025-0007</w:t>
      </w:r>
      <w:r>
        <w:rPr>
          <w:rFonts w:hint="eastAsia" w:ascii="仿宋" w:hAnsi="仿宋" w:eastAsia="仿宋" w:cs="仿宋"/>
          <w:color w:val="auto"/>
          <w:sz w:val="21"/>
          <w:szCs w:val="21"/>
          <w:highlight w:val="none"/>
        </w:rPr>
        <w:t xml:space="preserve"> 招标项目</w:t>
      </w:r>
      <w:r>
        <w:rPr>
          <w:rFonts w:hint="eastAsia" w:ascii="仿宋" w:hAnsi="仿宋" w:eastAsia="仿宋" w:cs="仿宋"/>
          <w:i w:val="0"/>
          <w:iCs w:val="0"/>
          <w:caps w:val="0"/>
          <w:color w:val="auto"/>
          <w:spacing w:val="0"/>
          <w:sz w:val="21"/>
          <w:szCs w:val="21"/>
          <w:highlight w:val="none"/>
          <w:shd w:val="clear" w:color="auto" w:fill="ffffff"/>
        </w:rPr>
        <w:t xml:space="preserve">的潜在投标人应在苏采云政府采购一体化平台 获取招标文件，</w:t>
      </w:r>
      <w:r>
        <w:rPr>
          <w:rFonts w:hint="eastAsia" w:ascii="仿宋" w:hAnsi="仿宋" w:eastAsia="仿宋" w:cs="仿宋"/>
          <w:color w:val="auto"/>
          <w:sz w:val="21"/>
          <w:szCs w:val="21"/>
          <w:highlight w:val="none"/>
        </w:rPr>
        <w:t xml:space="preserve">并于</w:t>
      </w:r>
      <w:r>
        <w:rPr>
          <w:rFonts w:hint="eastAsia" w:ascii="仿宋" w:hAnsi="仿宋" w:eastAsia="仿宋" w:cs="仿宋"/>
          <w:color w:val="auto"/>
          <w:sz w:val="21"/>
          <w:szCs w:val="21"/>
          <w:highlight w:val="none"/>
          <w:lang w:eastAsia="zh-CN"/>
        </w:rPr>
        <w:t xml:space="preserve">2025年06月19日09点30分</w:t>
      </w:r>
      <w:r>
        <w:rPr>
          <w:rFonts w:hint="eastAsia" w:ascii="仿宋" w:hAnsi="仿宋" w:eastAsia="仿宋" w:cs="仿宋"/>
          <w:color w:val="auto"/>
          <w:sz w:val="21"/>
          <w:szCs w:val="21"/>
          <w:highlight w:val="none"/>
        </w:rPr>
        <w:t xml:space="preserve">（北京时间）前递交投标文件。</w:t>
      </w:r>
      <w:r/>
    </w:p>
    <w:p>
      <w:pPr>
        <w:ind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b w:val="0"/>
          <w:bCs w:val="0"/>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一、项目基本情况：</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b w:val="0"/>
          <w:bCs w:val="0"/>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1、项目编号：JSZC-320585-SZTZ-G2025-0007</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b w:val="0"/>
          <w:bCs w:val="0"/>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2、项目名称：2025交通设施设备更新维护</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3、预算金额：</w:t>
      </w:r>
      <w:r>
        <w:rPr>
          <w:rFonts w:hint="eastAsia" w:ascii="仿宋" w:hAnsi="仿宋" w:eastAsia="仿宋" w:cs="仿宋"/>
          <w:b w:val="0"/>
          <w:bCs w:val="0"/>
          <w:color w:val="auto"/>
          <w:sz w:val="21"/>
          <w:szCs w:val="21"/>
          <w:highlight w:val="none"/>
          <w:lang w:val="en-US" w:eastAsia="zh-CN"/>
        </w:rPr>
        <w:t xml:space="preserve">117.000000万元</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b w:val="0"/>
          <w:bCs w:val="0"/>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4、最高限价：</w:t>
      </w:r>
      <w:r>
        <w:rPr>
          <w:rFonts w:hint="eastAsia" w:ascii="仿宋" w:hAnsi="仿宋" w:eastAsia="仿宋" w:cs="仿宋"/>
          <w:b w:val="0"/>
          <w:bCs w:val="0"/>
          <w:color w:val="auto"/>
          <w:sz w:val="21"/>
          <w:szCs w:val="21"/>
          <w:highlight w:val="none"/>
          <w:lang w:val="en-US" w:eastAsia="zh-CN"/>
        </w:rPr>
        <w:t xml:space="preserve">117.000000万元</w:t>
      </w:r>
      <w:r/>
    </w:p>
    <w:p>
      <w:pPr>
        <w:ind w:firstLine="420"/>
        <w:spacing w:line="360" w:lineRule="auto"/>
        <w:rPr>
          <w:rFonts w:hint="eastAsia" w:ascii="仿宋" w:hAnsi="仿宋" w:eastAsia="仿宋" w:cs="仿宋"/>
          <w:b w:val="0"/>
          <w:bCs w:val="0"/>
          <w:i w:val="0"/>
          <w:iCs w:val="0"/>
          <w:caps w:val="0"/>
          <w:color w:val="auto"/>
          <w:spacing w:val="0"/>
          <w:sz w:val="21"/>
          <w:szCs w:val="21"/>
          <w:highlight w:val="none"/>
        </w:rPr>
      </w:pP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5、采购需求：</w:t>
      </w:r>
      <w:r>
        <w:rPr>
          <w:rFonts w:hint="eastAsia" w:ascii="仿宋" w:hAnsi="仿宋" w:eastAsia="仿宋" w:cs="仿宋"/>
          <w:color w:val="auto"/>
          <w:sz w:val="21"/>
          <w:szCs w:val="21"/>
          <w:highlight w:val="none"/>
        </w:rPr>
        <w:t xml:space="preserve">根据太仓市公安局交警大队实际交通管理需求，按照标准规范，进行交通标志标线、隔离护栏等交通设施建设，保证道路交通安全，提升道路交通畅通。</w:t>
      </w:r>
      <w:r>
        <w:rPr>
          <w:rFonts w:hint="eastAsia" w:ascii="仿宋" w:hAnsi="仿宋" w:eastAsia="仿宋" w:cs="仿宋"/>
          <w:b w:val="0"/>
          <w:bCs w:val="0"/>
          <w:i w:val="0"/>
          <w:iCs w:val="0"/>
          <w:caps w:val="0"/>
          <w:color w:val="auto"/>
          <w:spacing w:val="0"/>
          <w:sz w:val="21"/>
          <w:szCs w:val="21"/>
          <w:highlight w:val="none"/>
          <w:u w:val="none"/>
          <w:shd w:val="clear" w:color="auto" w:fill="ffffff"/>
          <w:lang w:val="en-US" w:eastAsia="zh-CN" w:bidi="ar"/>
        </w:rPr>
        <w:t xml:space="preserve">具体</w:t>
      </w: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内容详见第三部分项目需求。</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b w:val="0"/>
          <w:bCs w:val="0"/>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6、合同履行期限：</w:t>
      </w:r>
      <w:r>
        <w:rPr>
          <w:rFonts w:hint="eastAsia" w:ascii="仿宋" w:hAnsi="仿宋" w:eastAsia="仿宋" w:cs="仿宋"/>
          <w:b w:val="0"/>
          <w:bCs w:val="0"/>
          <w:color w:val="auto"/>
          <w:sz w:val="21"/>
          <w:szCs w:val="21"/>
          <w:highlight w:val="none"/>
          <w:lang w:val="zh-CN"/>
        </w:rPr>
        <w:t xml:space="preserve">一年或项目累计结算金额达到预算金额止（以先到项为准）。</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b w:val="0"/>
          <w:bCs w:val="0"/>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7</w:t>
      </w:r>
      <w:r>
        <w:rPr>
          <w:rFonts w:hint="eastAsia" w:ascii="仿宋" w:hAnsi="仿宋" w:eastAsia="仿宋" w:cs="仿宋"/>
          <w:b w:val="0"/>
          <w:bCs w:val="0"/>
          <w:color w:val="auto"/>
          <w:sz w:val="21"/>
          <w:szCs w:val="21"/>
          <w:highlight w:val="none"/>
        </w:rPr>
        <w:t xml:space="preserve">本项目（是/否）接受联合体投标：不接受联合体</w:t>
      </w:r>
      <w:r>
        <w:rPr>
          <w:rFonts w:hint="eastAsia" w:ascii="仿宋" w:hAnsi="仿宋" w:eastAsia="仿宋" w:cs="仿宋"/>
          <w:b w:val="0"/>
          <w:bCs w:val="0"/>
          <w:i w:val="0"/>
          <w:iCs w:val="0"/>
          <w:caps w:val="0"/>
          <w:color w:val="auto"/>
          <w:spacing w:val="0"/>
          <w:sz w:val="21"/>
          <w:szCs w:val="21"/>
          <w:highlight w:val="none"/>
          <w:shd w:val="clear" w:color="auto" w:fill="ffffff"/>
          <w:lang w:val="en-US" w:eastAsia="zh-CN" w:bidi="ar"/>
        </w:rPr>
        <w:t xml:space="preserve">。</w:t>
      </w:r>
      <w:r/>
    </w:p>
    <w:p>
      <w:pPr>
        <w:pStyle w:val="938"/>
        <w:numPr>
          <w:ilvl w:val="1"/>
          <w:numId w:val="0"/>
        </w:numPr>
        <w:ind w:firstLine="422"/>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Style w:val="973"/>
          <w:rFonts w:hint="eastAsia" w:ascii="仿宋" w:hAnsi="仿宋" w:eastAsia="仿宋" w:cs="仿宋"/>
          <w:b/>
          <w:bCs/>
          <w:color w:val="auto"/>
          <w:sz w:val="21"/>
          <w:szCs w:val="21"/>
          <w:highlight w:val="none"/>
        </w:rPr>
        <w:t xml:space="preserve">二、申请人的资格要求</w:t>
      </w:r>
      <w:r/>
    </w:p>
    <w:p>
      <w:pPr>
        <w:pStyle w:val="96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rPr>
        <w:t xml:space="preserve">（一）满足《中华人民共和国政府采购法》第二十二条规定；</w:t>
      </w:r>
      <w:r/>
    </w:p>
    <w:p>
      <w:pPr>
        <w:pStyle w:val="96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1.具有独立承担民事责任的能力（必须提供法人或者其他组织的营业执照等证明文件，自然人的身份证明）；</w:t>
      </w:r>
      <w:r/>
    </w:p>
    <w:p>
      <w:pPr>
        <w:pStyle w:val="96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2.具有良好的商业信誉和健全的财务会计制度提供参加本次政府采购活动前的财务状况报告或者银行出具的资信证明</w:t>
      </w:r>
      <w:r/>
    </w:p>
    <w:p>
      <w:pPr>
        <w:pStyle w:val="96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3.具有依法缴纳税收和社会保障资金的良好记录提供参加本次政府采购活动前半年任意一个月份依法缴纳税收和社会保障资金的证明材料</w:t>
      </w:r>
      <w:r/>
    </w:p>
    <w:p>
      <w:pPr>
        <w:pStyle w:val="96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4.具有履行合同所必需的设备和专业技术能力提供履行合同所必需的设备和专业技术能力的证明材料或书面声明</w:t>
      </w:r>
      <w:r/>
    </w:p>
    <w:p>
      <w:pPr>
        <w:pStyle w:val="96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5.参加政府采购活动前三年内，在经营活动中没有重大违法记录提供参加本次政府采购活动前3年内在经营活动中没有重大违法记录的书面声明</w:t>
      </w:r>
      <w:r/>
    </w:p>
    <w:p>
      <w:pPr>
        <w:pStyle w:val="96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rPr>
        <w:t xml:space="preserve">（二）落实政府采购政策需满足的资格要求：无</w:t>
      </w:r>
      <w:r/>
    </w:p>
    <w:p>
      <w:pPr>
        <w:pStyle w:val="968"/>
        <w:ind w:firstLine="420"/>
        <w:keepLines w:val="0"/>
        <w:keepNext w:val="0"/>
        <w:pageBreakBefore w:val="0"/>
        <w:spacing w:before="0" w:beforeAutospacing="0" w:after="0" w:afterAutospacing="0" w:line="288" w:lineRule="auto"/>
        <w:widowControl/>
        <w:rPr>
          <w:rFonts w:hint="eastAsia" w:ascii="仿宋" w:hAnsi="仿宋" w:eastAsia="仿宋" w:cs="仿宋"/>
          <w:b/>
          <w:bCs/>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rPr>
        <w:t xml:space="preserve">（三）</w:t>
      </w:r>
      <w:r>
        <w:rPr>
          <w:rFonts w:hint="eastAsia" w:ascii="仿宋" w:hAnsi="仿宋" w:eastAsia="仿宋" w:cs="仿宋"/>
          <w:b/>
          <w:bCs/>
          <w:color w:val="auto"/>
          <w:sz w:val="21"/>
          <w:szCs w:val="21"/>
          <w:highlight w:val="none"/>
        </w:rPr>
        <w:t xml:space="preserve">本项目的特定资格要求：</w:t>
      </w:r>
      <w:r/>
    </w:p>
    <w:p>
      <w:pPr>
        <w:ind w:firstLine="422"/>
        <w:spacing w:line="360" w:lineRule="auto"/>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lang w:val="en-US" w:eastAsia="zh-CN"/>
        </w:rPr>
        <w:t xml:space="preserve">1、</w:t>
      </w:r>
      <w:r>
        <w:rPr>
          <w:rFonts w:hint="eastAsia" w:ascii="仿宋" w:hAnsi="仿宋" w:eastAsia="仿宋" w:cs="仿宋"/>
          <w:b/>
          <w:bCs/>
          <w:color w:val="auto"/>
          <w:sz w:val="21"/>
          <w:szCs w:val="21"/>
          <w:highlight w:val="none"/>
        </w:rPr>
        <w:t xml:space="preserve">具有有效期内行政主管部门颁发的公路交通工程专业承包公路安全设施分项资质及安全生产许可证</w:t>
      </w:r>
      <w:r>
        <w:rPr>
          <w:rFonts w:hint="eastAsia" w:ascii="仿宋" w:hAnsi="仿宋" w:eastAsia="仿宋" w:cs="仿宋"/>
          <w:b/>
          <w:bCs/>
          <w:color w:val="auto"/>
          <w:sz w:val="21"/>
          <w:szCs w:val="21"/>
          <w:highlight w:val="none"/>
          <w:lang w:eastAsia="zh-CN"/>
        </w:rPr>
        <w:t xml:space="preserve">。</w:t>
      </w:r>
      <w:r/>
    </w:p>
    <w:p>
      <w:pPr>
        <w:pStyle w:val="968"/>
        <w:ind w:firstLine="422"/>
        <w:keepLines w:val="0"/>
        <w:keepNext w:val="0"/>
        <w:pageBreakBefore w:val="0"/>
        <w:spacing w:before="0" w:beforeAutospacing="0" w:after="0" w:afterAutospacing="0" w:line="360" w:lineRule="auto"/>
        <w:widowControl/>
        <w:rPr>
          <w:rFonts w:hint="eastAsia" w:ascii="仿宋" w:hAnsi="仿宋" w:eastAsia="仿宋" w:cs="仿宋"/>
          <w:b/>
          <w:bCs/>
          <w:color w:val="auto"/>
          <w:sz w:val="21"/>
          <w:szCs w:val="21"/>
          <w:highlight w:val="none"/>
        </w:rPr>
        <w:pBdr>
          <w:left w:val="none" w:color="auto" w:sz="0" w:space="0"/>
        </w:pBdr>
        <w:suppressLineNumbers w:val="0"/>
      </w:pPr>
      <w:r>
        <w:rPr>
          <w:rFonts w:hint="eastAsia" w:ascii="仿宋" w:hAnsi="仿宋" w:eastAsia="仿宋" w:cs="仿宋"/>
          <w:b/>
          <w:bCs/>
          <w:color w:val="auto"/>
          <w:sz w:val="21"/>
          <w:szCs w:val="21"/>
          <w:highlight w:val="none"/>
          <w:lang w:val="en-US" w:eastAsia="zh-CN"/>
        </w:rPr>
        <w:t xml:space="preserve">2、</w:t>
      </w:r>
      <w:r>
        <w:rPr>
          <w:rFonts w:hint="eastAsia" w:ascii="仿宋" w:hAnsi="仿宋" w:eastAsia="仿宋" w:cs="仿宋"/>
          <w:b/>
          <w:bCs/>
          <w:color w:val="auto"/>
          <w:sz w:val="21"/>
          <w:szCs w:val="21"/>
          <w:highlight w:val="none"/>
        </w:rPr>
        <w:t xml:space="preserve">本项目属于专门面向中小企业采购的项目</w:t>
      </w:r>
      <w:r>
        <w:rPr>
          <w:rFonts w:hint="eastAsia" w:ascii="仿宋" w:hAnsi="仿宋" w:eastAsia="仿宋" w:cs="仿宋"/>
          <w:b/>
          <w:bCs/>
          <w:color w:val="auto"/>
          <w:sz w:val="21"/>
          <w:szCs w:val="21"/>
          <w:highlight w:val="none"/>
          <w:lang w:eastAsia="zh-CN"/>
        </w:rPr>
        <w:t xml:space="preserve">，</w:t>
      </w:r>
      <w:r>
        <w:rPr>
          <w:rFonts w:hint="eastAsia" w:ascii="仿宋" w:hAnsi="仿宋" w:eastAsia="仿宋" w:cs="仿宋"/>
          <w:b/>
          <w:bCs/>
          <w:color w:val="auto"/>
          <w:sz w:val="21"/>
          <w:szCs w:val="21"/>
          <w:highlight w:val="none"/>
        </w:rPr>
        <w:t xml:space="preserve">投标人应为中小微企业，必须提供《中小企业声明函》</w:t>
      </w:r>
      <w:r>
        <w:rPr>
          <w:rFonts w:hint="eastAsia" w:ascii="仿宋" w:hAnsi="仿宋" w:eastAsia="仿宋" w:cs="仿宋"/>
          <w:b/>
          <w:bCs/>
          <w:color w:val="auto"/>
          <w:sz w:val="21"/>
          <w:szCs w:val="21"/>
          <w:highlight w:val="none"/>
          <w:lang w:val="en-US" w:eastAsia="zh-CN"/>
        </w:rPr>
        <w:t xml:space="preserve">。</w:t>
      </w:r>
      <w:r>
        <w:rPr>
          <w:rFonts w:hint="eastAsia" w:ascii="仿宋" w:hAnsi="仿宋" w:eastAsia="仿宋" w:cs="仿宋"/>
          <w:b/>
          <w:bCs/>
          <w:color w:val="auto"/>
          <w:sz w:val="21"/>
          <w:szCs w:val="21"/>
          <w:highlight w:val="none"/>
        </w:rPr>
        <w:t xml:space="preserve">提供《残疾人福利性单位声明函》或出具由省级以上监狱管理局、戒毒管理局（含新疆生产建设兵团）出具的属于监狱企业的证明文件的视同小微企业。</w:t>
      </w:r>
      <w:r/>
    </w:p>
    <w:p>
      <w:pPr>
        <w:pStyle w:val="938"/>
        <w:numPr>
          <w:ilvl w:val="1"/>
          <w:numId w:val="0"/>
        </w:numPr>
        <w:ind w:firstLine="422"/>
        <w:keepLines w:val="0"/>
        <w:keepNext w:val="0"/>
        <w:pageBreakBefore w:val="0"/>
        <w:spacing w:before="0" w:beforeAutospacing="0" w:after="0" w:afterAutospacing="0" w:line="360" w:lineRule="auto"/>
        <w:widowControl/>
        <w:rPr>
          <w:rStyle w:val="973"/>
          <w:rFonts w:hint="default" w:ascii="仿宋" w:hAnsi="仿宋" w:eastAsia="仿宋" w:cs="仿宋"/>
          <w:b/>
          <w:bCs/>
          <w:color w:val="auto"/>
          <w:sz w:val="21"/>
          <w:szCs w:val="21"/>
          <w:highlight w:val="none"/>
          <w:lang w:val="en-US" w:eastAsia="zh-CN"/>
        </w:rPr>
        <w:suppressLineNumbers w:val="0"/>
      </w:pPr>
      <w:r>
        <w:rPr>
          <w:rStyle w:val="973"/>
          <w:rFonts w:hint="eastAsia" w:ascii="仿宋" w:hAnsi="仿宋" w:eastAsia="仿宋" w:cs="仿宋"/>
          <w:b/>
          <w:bCs/>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未被“信用中国”网站（www.creditchina.gov.cn）或中国政府采购网（https://www.ccgp.gov.cn/search/cr/）列入失信被执行人、重大税收违法案件当事人名单、政府采购严重违法失信行为记录名单。</w:t>
      </w:r>
      <w:r/>
    </w:p>
    <w:p>
      <w:pPr>
        <w:pStyle w:val="938"/>
        <w:numPr>
          <w:ilvl w:val="1"/>
          <w:numId w:val="0"/>
        </w:numPr>
        <w:ind w:firstLine="422"/>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Style w:val="973"/>
          <w:rFonts w:hint="eastAsia" w:ascii="仿宋" w:hAnsi="仿宋" w:eastAsia="仿宋" w:cs="仿宋"/>
          <w:b/>
          <w:bCs/>
          <w:color w:val="auto"/>
          <w:sz w:val="21"/>
          <w:szCs w:val="21"/>
          <w:highlight w:val="none"/>
        </w:rPr>
        <w:t xml:space="preserve">三、获取招标文件</w:t>
      </w:r>
      <w:r/>
    </w:p>
    <w:p>
      <w:pPr>
        <w:ind w:firstLine="420"/>
        <w:jc w:val="left"/>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lang w:val="en-US" w:eastAsia="zh-CN" w:bidi="ar"/>
        </w:rPr>
        <w:t xml:space="preserve">时间：自招标文件公告发布之日起5个工作日 </w:t>
      </w:r>
      <w:r/>
    </w:p>
    <w:p>
      <w:pPr>
        <w:pStyle w:val="96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地点：进入苏州市政府采购网，点击底部苏采云图标，登录苏采云政府采购一体化平台，对参与项目进行报名，并下载电子招标文件 </w:t>
      </w:r>
      <w:r/>
    </w:p>
    <w:p>
      <w:pPr>
        <w:pStyle w:val="96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方式：系统内获取 </w:t>
      </w:r>
      <w:r/>
    </w:p>
    <w:p>
      <w:pPr>
        <w:pStyle w:val="96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rPr>
        <w:t xml:space="preserve">售价：0.00元 </w:t>
      </w:r>
      <w:r/>
    </w:p>
    <w:p>
      <w:pPr>
        <w:pStyle w:val="938"/>
        <w:numPr>
          <w:ilvl w:val="1"/>
          <w:numId w:val="0"/>
        </w:numPr>
        <w:ind w:firstLine="422"/>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Style w:val="973"/>
          <w:rFonts w:hint="eastAsia" w:ascii="仿宋" w:hAnsi="仿宋" w:eastAsia="仿宋" w:cs="仿宋"/>
          <w:b/>
          <w:bCs/>
          <w:color w:val="auto"/>
          <w:sz w:val="21"/>
          <w:szCs w:val="21"/>
          <w:highlight w:val="none"/>
        </w:rPr>
        <w:t xml:space="preserve">四、提交投标文件截止时间、开标时间和地点</w:t>
      </w:r>
      <w:r/>
    </w:p>
    <w:p>
      <w:pPr>
        <w:pStyle w:val="96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lang w:eastAsia="zh-CN"/>
        </w:rPr>
        <w:t xml:space="preserve">2025年06月19日09点30分</w:t>
      </w:r>
      <w:r>
        <w:rPr>
          <w:rFonts w:hint="eastAsia" w:ascii="仿宋" w:hAnsi="仿宋" w:eastAsia="仿宋" w:cs="仿宋"/>
          <w:color w:val="auto"/>
          <w:sz w:val="21"/>
          <w:szCs w:val="21"/>
          <w:highlight w:val="none"/>
        </w:rPr>
        <w:t xml:space="preserve"> （北京时间）</w:t>
      </w:r>
      <w:r/>
    </w:p>
    <w:p>
      <w:pPr>
        <w:pStyle w:val="96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rPr>
        <w:t xml:space="preserve">地点：苏采云政府采购一体化平台 </w:t>
      </w:r>
      <w:r/>
    </w:p>
    <w:p>
      <w:pPr>
        <w:pStyle w:val="938"/>
        <w:numPr>
          <w:ilvl w:val="1"/>
          <w:numId w:val="0"/>
        </w:numPr>
        <w:ind w:firstLine="422"/>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Style w:val="973"/>
          <w:rFonts w:hint="eastAsia" w:ascii="仿宋" w:hAnsi="仿宋" w:eastAsia="仿宋" w:cs="仿宋"/>
          <w:b/>
          <w:bCs/>
          <w:color w:val="auto"/>
          <w:sz w:val="21"/>
          <w:szCs w:val="21"/>
          <w:highlight w:val="none"/>
        </w:rPr>
        <w:t xml:space="preserve">五、公告期限</w:t>
      </w:r>
      <w:r/>
    </w:p>
    <w:p>
      <w:pPr>
        <w:pStyle w:val="96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rPr>
        <w:t xml:space="preserve">自本公告发布之日起5个工作日。</w:t>
      </w:r>
      <w:r/>
    </w:p>
    <w:p>
      <w:pPr>
        <w:pStyle w:val="938"/>
        <w:numPr>
          <w:ilvl w:val="1"/>
          <w:numId w:val="0"/>
        </w:numPr>
        <w:ind w:firstLine="422"/>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suppressLineNumbers w:val="0"/>
      </w:pPr>
      <w:r>
        <w:rPr>
          <w:rStyle w:val="973"/>
          <w:rFonts w:hint="eastAsia" w:ascii="仿宋" w:hAnsi="仿宋" w:eastAsia="仿宋" w:cs="仿宋"/>
          <w:b/>
          <w:bCs/>
          <w:color w:val="auto"/>
          <w:sz w:val="21"/>
          <w:szCs w:val="21"/>
          <w:highlight w:val="none"/>
        </w:rPr>
        <w:t xml:space="preserve">六、其他补充事宜</w:t>
      </w:r>
      <w:r/>
    </w:p>
    <w:p>
      <w:pPr>
        <w:ind w:left="0" w:right="0" w:firstLine="422"/>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Style w:val="973"/>
          <w:rFonts w:hint="eastAsia" w:ascii="仿宋" w:hAnsi="仿宋" w:eastAsia="仿宋" w:cs="仿宋"/>
          <w:color w:val="auto"/>
          <w:sz w:val="21"/>
          <w:szCs w:val="21"/>
          <w:highlight w:val="none"/>
          <w:lang w:val="en-US" w:eastAsia="zh-CN" w:bidi="ar"/>
        </w:rPr>
        <w:t xml:space="preserve">1、拒绝下述供应商参加本次采购活动：</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（1）供应商单位负责人为同一人或者存在直接控股、管理关系的不同供应商，不得参加同一合同项下的政府采购活动。</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（2）凡为采购项目提供整体设计、规范编制或者项目管理、监理、检测等服务的供应商，不得再参加本项目的采购活动。</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（3）法人的分支机构不得参加投标（除银行、保险、石油石化、电力、电信等行业特殊情况外）</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2、本项目需要使用CA数字证书制作、上传电子投标文件完成电子投标，请供应商在参加投标活动前办理好CA数字证书申领及电子签章等操作。</w:t>
      </w:r>
      <w:r/>
    </w:p>
    <w:p>
      <w:pPr>
        <w:ind w:left="0" w:right="0" w:firstLine="422"/>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Style w:val="973"/>
          <w:rFonts w:hint="eastAsia" w:ascii="仿宋" w:hAnsi="仿宋" w:eastAsia="仿宋" w:cs="仿宋"/>
          <w:color w:val="auto"/>
          <w:sz w:val="21"/>
          <w:szCs w:val="21"/>
          <w:highlight w:val="none"/>
          <w:lang w:val="en-US" w:eastAsia="zh-CN" w:bidi="ar"/>
        </w:rPr>
        <w:t xml:space="preserve">3、本项目采用不见面开标，投标人开标时无需到开标现场进行解密，采取网上开标大厅解密电子投标文件，投标人远程解密要求如下：</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1）投标人使用CA数字证书进行远程解密，解密的CA数字证书与生成加密电子投标文件时的CA数字证书需为同一个CA数字证书，否则无法解密，造成的后果由投标人自行负责。</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2）投标人登录苏采云系统，点击开标大厅，选择开标项目，完成不见面开标流程。</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3）投标截止时间后根据系统提示解密电子投标文件。</w:t>
      </w:r>
      <w:r>
        <w:rPr>
          <w:rStyle w:val="973"/>
          <w:rFonts w:hint="eastAsia" w:ascii="仿宋" w:hAnsi="仿宋" w:eastAsia="仿宋" w:cs="仿宋"/>
          <w:color w:val="auto"/>
          <w:sz w:val="21"/>
          <w:szCs w:val="21"/>
          <w:highlight w:val="none"/>
          <w:lang w:val="en-US" w:eastAsia="zh-CN" w:bidi="ar"/>
        </w:rPr>
        <w:t xml:space="preserve">解密时间为15分钟，</w:t>
      </w:r>
      <w:r>
        <w:rPr>
          <w:rFonts w:hint="eastAsia" w:ascii="仿宋" w:hAnsi="仿宋" w:eastAsia="仿宋" w:cs="仿宋"/>
          <w:color w:val="auto"/>
          <w:sz w:val="21"/>
          <w:szCs w:val="21"/>
          <w:highlight w:val="none"/>
          <w:lang w:val="en-US" w:eastAsia="zh-CN" w:bidi="ar"/>
        </w:rPr>
        <w:t xml:space="preserve">未在规定时间内完成解密，其投标文件将被拒绝，不参与后续投标流程。</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4）在开标、评标过程中投标单位代表须在网上不见面开标系统中保持在线状态，以应对可能发生的澄清、说明等回复，由于投标单位代表不在线所造成的一切后果由投标人自行承担。</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4、</w:t>
      </w:r>
      <w:r>
        <w:rPr>
          <w:rStyle w:val="973"/>
          <w:rFonts w:hint="eastAsia" w:ascii="仿宋" w:hAnsi="仿宋" w:eastAsia="仿宋" w:cs="仿宋"/>
          <w:color w:val="auto"/>
          <w:sz w:val="21"/>
          <w:szCs w:val="21"/>
          <w:highlight w:val="none"/>
          <w:lang w:val="en-US" w:eastAsia="zh-CN" w:bidi="ar"/>
        </w:rPr>
        <w:t xml:space="preserve">有关苏采云系统驱动安装，</w:t>
      </w:r>
      <w:r>
        <w:rPr>
          <w:rFonts w:hint="eastAsia" w:ascii="仿宋" w:hAnsi="仿宋" w:eastAsia="仿宋" w:cs="仿宋"/>
          <w:color w:val="auto"/>
          <w:sz w:val="21"/>
          <w:szCs w:val="21"/>
          <w:highlight w:val="none"/>
          <w:lang w:val="en-US" w:eastAsia="zh-CN" w:bidi="ar"/>
        </w:rPr>
        <w:t xml:space="preserve">登录苏州政府采购网，点击页面底部苏采云图标，进入苏采云政府采购一体化平台，点击“驱动下载”，下载</w:t>
      </w:r>
      <w:r>
        <w:rPr>
          <w:rStyle w:val="973"/>
          <w:rFonts w:hint="eastAsia" w:ascii="仿宋" w:hAnsi="仿宋" w:eastAsia="仿宋" w:cs="仿宋"/>
          <w:color w:val="auto"/>
          <w:sz w:val="21"/>
          <w:szCs w:val="21"/>
          <w:highlight w:val="none"/>
          <w:lang w:val="en-US" w:eastAsia="zh-CN" w:bidi="ar"/>
        </w:rPr>
        <w:t xml:space="preserve">“政务CA、方正签章控件驱动安装包及安装说明”</w:t>
      </w:r>
      <w:r>
        <w:rPr>
          <w:rFonts w:hint="eastAsia" w:ascii="仿宋" w:hAnsi="仿宋" w:eastAsia="仿宋" w:cs="仿宋"/>
          <w:color w:val="auto"/>
          <w:sz w:val="21"/>
          <w:szCs w:val="21"/>
          <w:highlight w:val="none"/>
          <w:lang w:val="en-US" w:eastAsia="zh-CN" w:bidi="ar"/>
        </w:rPr>
        <w:t xml:space="preserve">文件，按要求安装驱动。</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5、</w:t>
      </w:r>
      <w:r>
        <w:rPr>
          <w:rStyle w:val="973"/>
          <w:rFonts w:hint="eastAsia" w:ascii="仿宋" w:hAnsi="仿宋" w:eastAsia="仿宋" w:cs="仿宋"/>
          <w:color w:val="auto"/>
          <w:sz w:val="21"/>
          <w:szCs w:val="21"/>
          <w:highlight w:val="none"/>
          <w:lang w:val="en-US" w:eastAsia="zh-CN" w:bidi="ar"/>
        </w:rPr>
        <w:t xml:space="preserve">有关供应商注册、报名、下载电子招标文件、制作上传电子投标文件</w:t>
      </w:r>
      <w:r>
        <w:rPr>
          <w:rFonts w:hint="eastAsia" w:ascii="仿宋" w:hAnsi="仿宋" w:eastAsia="仿宋" w:cs="仿宋"/>
          <w:color w:val="auto"/>
          <w:sz w:val="21"/>
          <w:szCs w:val="21"/>
          <w:highlight w:val="none"/>
          <w:lang w:val="en-US" w:eastAsia="zh-CN" w:bidi="ar"/>
        </w:rPr>
        <w:t xml:space="preserve">、不见面开标及其他注意事项登录苏州政府采购网，在“下载中心”栏目下载“</w:t>
      </w:r>
      <w:r>
        <w:rPr>
          <w:rStyle w:val="973"/>
          <w:rFonts w:hint="eastAsia" w:ascii="仿宋" w:hAnsi="仿宋" w:eastAsia="仿宋" w:cs="仿宋"/>
          <w:color w:val="auto"/>
          <w:sz w:val="21"/>
          <w:szCs w:val="21"/>
          <w:highlight w:val="none"/>
          <w:lang w:val="en-US" w:eastAsia="zh-CN" w:bidi="ar"/>
        </w:rPr>
        <w:t xml:space="preserve">苏采云系统供应商操作手册”</w:t>
      </w:r>
      <w:r>
        <w:rPr>
          <w:rFonts w:hint="eastAsia" w:ascii="仿宋" w:hAnsi="仿宋" w:eastAsia="仿宋" w:cs="仿宋"/>
          <w:color w:val="auto"/>
          <w:sz w:val="21"/>
          <w:szCs w:val="21"/>
          <w:highlight w:val="none"/>
          <w:lang w:val="en-US" w:eastAsia="zh-CN" w:bidi="ar"/>
        </w:rPr>
        <w:t xml:space="preserve">查阅。</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6、</w:t>
      </w:r>
      <w:r>
        <w:rPr>
          <w:rStyle w:val="973"/>
          <w:rFonts w:hint="eastAsia" w:ascii="仿宋" w:hAnsi="仿宋" w:eastAsia="仿宋" w:cs="仿宋"/>
          <w:color w:val="auto"/>
          <w:sz w:val="21"/>
          <w:szCs w:val="21"/>
          <w:highlight w:val="none"/>
          <w:lang w:val="en-US" w:eastAsia="zh-CN" w:bidi="ar"/>
        </w:rPr>
        <w:t xml:space="preserve">有关办理CA数字申领及电子签章事项</w:t>
      </w:r>
      <w:r>
        <w:rPr>
          <w:rFonts w:hint="eastAsia" w:ascii="仿宋" w:hAnsi="仿宋" w:eastAsia="仿宋" w:cs="仿宋"/>
          <w:color w:val="auto"/>
          <w:sz w:val="21"/>
          <w:szCs w:val="21"/>
          <w:highlight w:val="none"/>
          <w:lang w:val="en-US" w:eastAsia="zh-CN" w:bidi="ar"/>
        </w:rPr>
        <w:t xml:space="preserve">，登录苏州政府采购网，点击页面底部苏采云图标，进入苏采云政府采购一体化平台，下载</w:t>
      </w:r>
      <w:r>
        <w:rPr>
          <w:rStyle w:val="973"/>
          <w:rFonts w:hint="eastAsia" w:ascii="仿宋" w:hAnsi="仿宋" w:eastAsia="仿宋" w:cs="仿宋"/>
          <w:color w:val="auto"/>
          <w:sz w:val="21"/>
          <w:szCs w:val="21"/>
          <w:highlight w:val="none"/>
          <w:lang w:val="en-US" w:eastAsia="zh-CN" w:bidi="ar"/>
        </w:rPr>
        <w:t xml:space="preserve">“新CA办理指南”</w:t>
      </w:r>
      <w:r>
        <w:rPr>
          <w:rFonts w:hint="eastAsia" w:ascii="仿宋" w:hAnsi="仿宋" w:eastAsia="仿宋" w:cs="仿宋"/>
          <w:color w:val="auto"/>
          <w:sz w:val="21"/>
          <w:szCs w:val="21"/>
          <w:highlight w:val="none"/>
          <w:lang w:val="en-US" w:eastAsia="zh-CN" w:bidi="ar"/>
        </w:rPr>
        <w:t xml:space="preserve">文件查阅。</w:t>
      </w:r>
      <w:r/>
    </w:p>
    <w:p>
      <w:pPr>
        <w:ind w:left="0" w:right="0" w:firstLine="422"/>
        <w:jc w:val="left"/>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Style w:val="973"/>
          <w:rFonts w:hint="eastAsia" w:ascii="仿宋" w:hAnsi="仿宋" w:eastAsia="仿宋" w:cs="仿宋"/>
          <w:color w:val="auto"/>
          <w:sz w:val="21"/>
          <w:szCs w:val="21"/>
          <w:highlight w:val="none"/>
          <w:lang w:val="en-US" w:eastAsia="zh-CN" w:bidi="ar"/>
        </w:rPr>
        <w:t xml:space="preserve">7、本次招标投标保证金</w:t>
      </w:r>
      <w:r/>
    </w:p>
    <w:p>
      <w:pPr>
        <w:ind w:left="0" w:right="0" w:firstLine="420"/>
        <w:jc w:val="left"/>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本项目无须缴纳投标保证金</w:t>
      </w:r>
      <w:r>
        <w:rPr>
          <w:rStyle w:val="973"/>
          <w:rFonts w:hint="eastAsia" w:ascii="仿宋" w:hAnsi="仿宋" w:eastAsia="仿宋" w:cs="仿宋"/>
          <w:color w:val="auto"/>
          <w:sz w:val="21"/>
          <w:szCs w:val="21"/>
          <w:highlight w:val="none"/>
          <w:lang w:val="en-US" w:eastAsia="zh-CN" w:bidi="ar"/>
        </w:rPr>
        <w:t xml:space="preserve">。</w:t>
      </w:r>
      <w:r/>
    </w:p>
    <w:p>
      <w:pPr>
        <w:ind w:left="0" w:right="0" w:firstLine="420"/>
        <w:jc w:val="left"/>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8、</w:t>
      </w:r>
      <w:r>
        <w:rPr>
          <w:rStyle w:val="973"/>
          <w:rFonts w:hint="eastAsia" w:ascii="仿宋" w:hAnsi="仿宋" w:eastAsia="仿宋" w:cs="仿宋"/>
          <w:color w:val="auto"/>
          <w:sz w:val="21"/>
          <w:szCs w:val="21"/>
          <w:highlight w:val="none"/>
          <w:lang w:val="en-US" w:eastAsia="zh-CN" w:bidi="ar"/>
        </w:rPr>
        <w:t xml:space="preserve">中标服务费：</w:t>
      </w:r>
      <w:r>
        <w:rPr>
          <w:rFonts w:hint="eastAsia" w:ascii="仿宋" w:hAnsi="仿宋" w:eastAsia="仿宋" w:cs="仿宋"/>
          <w:color w:val="auto"/>
          <w:sz w:val="21"/>
          <w:szCs w:val="21"/>
          <w:highlight w:val="none"/>
        </w:rPr>
        <w:t xml:space="preserve">中标服务费应由中标单位在领取中标通知书时一次性付清，该费用综合含在投标报价中。具体收费以采购预算金额为基数依据，100万元以下部分收取1.5%；100万元（含）~500万元部分收取1.1%；500万元（含）~ 1000万元部分收取0.8%，按差额定率累进法分段确认收费比例，如按上述方法计算的金额低于人民币3500元的，则中标服务费按人民币3500元计取。</w:t>
      </w:r>
      <w:r/>
    </w:p>
    <w:p>
      <w:pPr>
        <w:numPr>
          <w:ilvl w:val="0"/>
          <w:numId w:val="0"/>
        </w:numPr>
        <w:ind w:right="0" w:firstLine="422"/>
        <w:jc w:val="both"/>
        <w:keepLines w:val="0"/>
        <w:keepNext w:val="0"/>
        <w:pageBreakBefore w:val="0"/>
        <w:spacing w:before="0" w:beforeAutospacing="0" w:after="0" w:afterAutospacing="0" w:line="288" w:lineRule="auto"/>
        <w:shd w:val="clear" w:color="auto" w:fill="ffffff"/>
        <w:widowControl/>
        <w:rPr>
          <w:rFonts w:hint="default"/>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color w:val="auto"/>
          <w:spacing w:val="0"/>
          <w:sz w:val="21"/>
          <w:szCs w:val="21"/>
          <w:highlight w:val="none"/>
          <w:shd w:val="clear" w:color="auto" w:fill="ffffff"/>
          <w:lang w:val="en-US" w:eastAsia="zh-CN" w:bidi="ar"/>
        </w:rPr>
        <w:t xml:space="preserve">9、政府采购履约资金扶持政策  </w:t>
      </w:r>
      <w:r/>
    </w:p>
    <w:p>
      <w:pPr>
        <w:numPr>
          <w:ilvl w:val="0"/>
          <w:numId w:val="0"/>
        </w:numPr>
        <w:ind w:right="0" w:firstLine="422"/>
        <w:jc w:val="both"/>
        <w:keepLines w:val="0"/>
        <w:keepNext w:val="0"/>
        <w:pageBreakBefore w:val="0"/>
        <w:spacing w:before="0" w:beforeAutospacing="0" w:after="0" w:afterAutospacing="0" w:line="288" w:lineRule="auto"/>
        <w:shd w:val="clear" w:color="auto" w:fill="ffffff"/>
        <w:widowControl/>
        <w:rPr>
          <w:rFonts w:hint="default"/>
          <w:color w:val="auto"/>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color w:val="auto"/>
          <w:spacing w:val="0"/>
          <w:sz w:val="21"/>
          <w:szCs w:val="21"/>
          <w:highlight w:val="none"/>
          <w:shd w:val="clear" w:color="auto" w:fill="ffffff"/>
          <w:lang w:val="en-US" w:eastAsia="zh-CN" w:bidi="ar"/>
        </w:rPr>
        <w:t xml:space="preserve">中标供应商可凭政府采购合同办理融资贷款，详情请见江苏政府采购网“政采贷”专栏。</w:t>
      </w:r>
      <w:r/>
    </w:p>
    <w:p>
      <w:pPr>
        <w:ind w:right="0" w:firstLine="422"/>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b/>
          <w:bCs/>
          <w:i w:val="0"/>
          <w:iCs w:val="0"/>
          <w:caps w:val="0"/>
          <w:color w:val="auto"/>
          <w:spacing w:val="0"/>
          <w:sz w:val="21"/>
          <w:szCs w:val="21"/>
          <w:highlight w:val="none"/>
          <w:shd w:val="clear" w:color="auto" w:fill="ffffff"/>
          <w:lang w:val="en-US" w:eastAsia="zh-CN" w:bidi="ar"/>
        </w:rPr>
        <w:t xml:space="preserve">七、对本次招标提出询问，请按以下方式联系</w:t>
      </w: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1、采购人信息</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名称：太仓市公安局</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地址：太仓市上海东路58号　　　　　　　　　　　　</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联系人：田鹤</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联系电话： 0512-53528454　　　　　　　　　　　</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2、采购代理机构信息</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名称：苏州泰至鑫项目管理有限公司</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地址：太仓市娄东街道上海东路333号高展商务大厦10楼1003室</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联系人：顾孙英</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联系电话：13145086180</w:t>
      </w:r>
      <w:r/>
    </w:p>
    <w:p>
      <w:pPr>
        <w:ind w:left="0" w:right="0" w:firstLine="420"/>
        <w:jc w:val="both"/>
        <w:keepLines w:val="0"/>
        <w:keepNext w:val="0"/>
        <w:pageBreakBefore w:val="0"/>
        <w:spacing w:before="0" w:beforeAutospacing="0" w:after="0" w:afterAutospacing="0" w:line="288" w:lineRule="auto"/>
        <w:shd w:val="clear" w:color="auto" w:fill="ffffff"/>
        <w:widowControl/>
        <w:rPr>
          <w:rFonts w:hint="eastAsia" w:ascii="仿宋" w:hAnsi="仿宋" w:eastAsia="仿宋" w:cs="仿宋"/>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仿宋" w:hAnsi="仿宋" w:eastAsia="仿宋" w:cs="仿宋"/>
          <w:i w:val="0"/>
          <w:iCs w:val="0"/>
          <w:caps w:val="0"/>
          <w:color w:val="auto"/>
          <w:spacing w:val="0"/>
          <w:sz w:val="21"/>
          <w:szCs w:val="21"/>
          <w:highlight w:val="none"/>
          <w:shd w:val="clear" w:color="auto" w:fill="ffffff"/>
          <w:lang w:val="en-US" w:eastAsia="zh-CN" w:bidi="ar"/>
        </w:rPr>
        <w:t xml:space="preserve">项目联系方式</w:t>
      </w:r>
      <w:r/>
    </w:p>
    <w:p>
      <w:pPr>
        <w:pStyle w:val="968"/>
        <w:ind w:firstLine="420"/>
        <w:keepLines w:val="0"/>
        <w:keepNext w:val="0"/>
        <w:pageBreakBefore w:val="0"/>
        <w:spacing w:before="0" w:beforeAutospacing="0" w:after="0" w:afterAutospacing="0" w:line="288" w:lineRule="auto"/>
        <w:widowControl/>
        <w:rPr>
          <w:rFonts w:hint="eastAsia" w:ascii="仿宋" w:hAnsi="仿宋" w:eastAsia="仿宋" w:cs="仿宋"/>
          <w:color w:val="auto"/>
          <w:sz w:val="21"/>
          <w:szCs w:val="21"/>
          <w:highlight w:val="none"/>
        </w:rPr>
        <w:pBdr>
          <w:left w:val="none" w:color="auto" w:sz="0" w:space="0"/>
        </w:pBdr>
        <w:suppressLineNumbers w:val="0"/>
      </w:pPr>
      <w:r>
        <w:rPr>
          <w:rFonts w:hint="eastAsia" w:ascii="仿宋" w:hAnsi="仿宋" w:eastAsia="仿宋" w:cs="仿宋"/>
          <w:color w:val="auto"/>
          <w:sz w:val="21"/>
          <w:szCs w:val="21"/>
          <w:highlight w:val="none"/>
        </w:rPr>
        <w:t xml:space="preserve">3.项目联系方式</w:t>
      </w:r>
      <w:r/>
    </w:p>
    <w:p>
      <w:pPr>
        <w:ind w:left="0" w:right="0" w:firstLine="420"/>
        <w:jc w:val="both"/>
        <w:keepLines w:val="0"/>
        <w:keepNext w:val="0"/>
        <w:pageBreakBefore w:val="0"/>
        <w:spacing w:beforeAutospacing="0" w:afterAutospacing="0" w:line="288" w:lineRule="auto"/>
        <w:widowControl/>
        <w:rPr>
          <w:rFonts w:hint="eastAsia" w:ascii="仿宋" w:hAnsi="仿宋" w:eastAsia="仿宋" w:cs="仿宋"/>
          <w:color w:val="auto"/>
          <w:sz w:val="21"/>
          <w:szCs w:val="21"/>
          <w:highlight w:val="none"/>
        </w:rPr>
        <w:suppressLineNumbers w:val="0"/>
      </w:pPr>
      <w:r>
        <w:rPr>
          <w:rFonts w:hint="eastAsia" w:ascii="仿宋" w:hAnsi="仿宋" w:eastAsia="仿宋" w:cs="仿宋"/>
          <w:color w:val="auto"/>
          <w:sz w:val="21"/>
          <w:szCs w:val="21"/>
          <w:highlight w:val="none"/>
          <w:lang w:val="en-US" w:eastAsia="zh-CN" w:bidi="ar"/>
        </w:rPr>
        <w:t xml:space="preserve">顾孙英 联系电话：13145086180</w:t>
      </w:r>
      <w:r/>
    </w:p>
    <w:p>
      <w:pPr>
        <w:ind w:left="0" w:right="0" w:firstLine="422"/>
        <w:jc w:val="both"/>
        <w:keepLines w:val="0"/>
        <w:keepNext w:val="0"/>
        <w:pageBreakBefore w:val="0"/>
        <w:spacing w:beforeAutospacing="0" w:afterAutospacing="0" w:line="288" w:lineRule="auto"/>
        <w:widowControl/>
        <w:rPr>
          <w:rFonts w:hint="eastAsia" w:ascii="仿宋" w:hAnsi="仿宋" w:eastAsia="仿宋" w:cs="仿宋"/>
          <w:i w:val="0"/>
          <w:iCs w:val="0"/>
          <w:caps w:val="0"/>
          <w:color w:val="auto"/>
          <w:spacing w:val="0"/>
          <w:sz w:val="21"/>
          <w:szCs w:val="21"/>
          <w:highlight w:val="none"/>
        </w:rPr>
        <w:suppressLineNumbers w:val="0"/>
      </w:pPr>
      <w:r>
        <w:rPr>
          <w:rStyle w:val="973"/>
          <w:rFonts w:hint="eastAsia" w:ascii="仿宋" w:hAnsi="仿宋" w:eastAsia="仿宋" w:cs="仿宋"/>
          <w:color w:val="auto"/>
          <w:sz w:val="21"/>
          <w:szCs w:val="21"/>
          <w:highlight w:val="none"/>
          <w:lang w:val="en-US" w:eastAsia="zh-CN" w:bidi="ar"/>
        </w:rPr>
        <w:t xml:space="preserve">有关电子投标制作技术疑问，请咨询苏采云软件公司客服：18261002950、0512-69820854、0519-86722802，政府采购监督电话：0512-53512539，</w:t>
      </w:r>
      <w:r>
        <w:rPr>
          <w:rFonts w:hint="eastAsia" w:ascii="仿宋" w:hAnsi="仿宋" w:eastAsia="仿宋" w:cs="仿宋"/>
          <w:b/>
          <w:bCs/>
          <w:i w:val="0"/>
          <w:iCs w:val="0"/>
          <w:caps w:val="0"/>
          <w:color w:val="auto"/>
          <w:spacing w:val="0"/>
          <w:sz w:val="21"/>
          <w:szCs w:val="21"/>
          <w:highlight w:val="none"/>
          <w:shd w:val="clear" w:color="auto" w:fill="ffffff"/>
          <w:lang w:val="en-US" w:eastAsia="zh-CN" w:bidi="ar"/>
        </w:rPr>
        <w:t xml:space="preserve">政府采购监督电话：0512-53512539</w:t>
      </w:r>
      <w:r/>
    </w:p>
    <w:p>
      <w:pPr>
        <w:ind w:left="0" w:right="0" w:firstLine="420"/>
        <w:jc w:val="righ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 </w:t>
      </w:r>
      <w:r/>
    </w:p>
    <w:p>
      <w:pPr>
        <w:ind w:left="0" w:right="0" w:firstLine="420"/>
        <w:jc w:val="right"/>
        <w:keepLines w:val="0"/>
        <w:keepNext w:val="0"/>
        <w:pageBreakBefore w:val="0"/>
        <w:spacing w:before="0" w:beforeAutospacing="0" w:after="0" w:afterAutospacing="0" w:line="360" w:lineRule="auto"/>
        <w:shd w:val="clear" w:color="auto" w:fill="ffffff"/>
        <w:widowControl/>
        <w:rPr>
          <w:rStyle w:val="981"/>
          <w:rFonts w:hint="eastAsia" w:ascii="宋体" w:hAnsi="宋体" w:eastAsia="宋体" w:cs="宋体"/>
          <w:color w:val="auto"/>
          <w:sz w:val="32"/>
          <w:szCs w:val="32"/>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 </w:t>
      </w:r>
      <w:bookmarkStart w:id="2" w:name="_Toc15584"/>
      <w:r/>
      <w:r/>
    </w:p>
    <w:p>
      <w:pPr>
        <w:jc w:val="center"/>
        <w:widowControl w:val="off"/>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widowControl w:val="off"/>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val="off"/>
        <w:rPr>
          <w:rStyle w:val="981"/>
          <w:rFonts w:hint="eastAsia" w:ascii="宋体" w:hAnsi="宋体" w:eastAsia="宋体" w:cs="宋体"/>
          <w:color w:val="auto"/>
          <w:sz w:val="32"/>
          <w:szCs w:val="32"/>
          <w:highlight w:val="none"/>
        </w:rPr>
      </w:pPr>
      <w:r>
        <w:rPr>
          <w:rStyle w:val="981"/>
          <w:rFonts w:hint="eastAsia" w:ascii="宋体" w:hAnsi="宋体" w:eastAsia="宋体" w:cs="宋体"/>
          <w:color w:val="auto"/>
          <w:sz w:val="32"/>
          <w:szCs w:val="32"/>
          <w:highlight w:val="none"/>
        </w:rPr>
        <w:t xml:space="preserve">第二章 投标人须知</w:t>
      </w:r>
      <w:bookmarkEnd w:id="2"/>
      <w:r/>
      <w:r/>
    </w:p>
    <w:p>
      <w:pPr>
        <w:jc w:val="both"/>
        <w:widowControl w:val="off"/>
        <w:rPr>
          <w:rFonts w:hint="eastAsia" w:ascii="宋体" w:hAnsi="宋体" w:cs="宋体"/>
          <w:b/>
          <w:bCs/>
          <w:color w:val="auto"/>
          <w:highlight w:val="none"/>
        </w:rPr>
      </w:pPr>
      <w:r>
        <w:rPr>
          <w:rFonts w:hint="eastAsia" w:ascii="宋体" w:hAnsi="宋体" w:cs="宋体"/>
          <w:b/>
          <w:bCs/>
          <w:color w:val="auto"/>
          <w:highlight w:val="none"/>
        </w:rPr>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一、说明和释义</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 说明</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1.1本招标文件仅适用于苏州泰至鑫项目管理有限公司组织的招标活动。</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1.2本次招标活动及因本次招标产生的合同受中国法律制约和保护。</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1.3本招标文件的解释权属于苏州泰至鑫项目管理有限公司。</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2、词语释义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2.1招标单位：指依法进行采购的国家机关、事业单位、团体组织。招标代理机构：具体组织实施招标活动的法人。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2.2投标人：经认定有资格响应招标，参加投标竞争的法人或其他组织和自然人。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2.3响应：投标人根据招标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或招标代理机构发布的招标文件，编制投标文件并按规定投标的行为。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2.5甲方：合同中明确规定的实际购买</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的法人或其他组织和自然人（招标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2.6乙方：合同中规定的向招标人提供</w:t>
      </w:r>
      <w:r>
        <w:rPr>
          <w:rFonts w:hint="eastAsia" w:ascii="宋体" w:hAnsi="宋体" w:cs="宋体"/>
          <w:color w:val="auto"/>
          <w:sz w:val="21"/>
          <w:szCs w:val="21"/>
          <w:highlight w:val="none"/>
        </w:rPr>
        <w:t xml:space="preserve">服务</w:t>
      </w:r>
      <w:r>
        <w:rPr>
          <w:rFonts w:hint="eastAsia" w:ascii="宋体" w:hAnsi="宋体" w:cs="宋体"/>
          <w:color w:val="auto"/>
          <w:sz w:val="21"/>
          <w:szCs w:val="21"/>
          <w:highlight w:val="none"/>
          <w:lang w:val="zh-CN"/>
        </w:rPr>
        <w:t xml:space="preserve">的法人或其他组织和自然人（中标</w:t>
      </w:r>
      <w:r>
        <w:rPr>
          <w:rFonts w:hint="eastAsia" w:ascii="宋体" w:hAnsi="宋体" w:cs="宋体"/>
          <w:color w:val="auto"/>
          <w:sz w:val="21"/>
          <w:szCs w:val="21"/>
          <w:highlight w:val="none"/>
        </w:rPr>
        <w:t xml:space="preserve">单位</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w:t>
      </w:r>
      <w:r>
        <w:rPr>
          <w:rFonts w:hint="eastAsia" w:ascii="宋体" w:hAnsi="宋体" w:cs="宋体"/>
          <w:color w:val="auto"/>
          <w:sz w:val="21"/>
          <w:szCs w:val="21"/>
          <w:highlight w:val="none"/>
        </w:rPr>
        <w:t xml:space="preserve">服务：系指本次招标文件规定乙方应承担的项目。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2.9天：日历日。</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2.10</w:t>
      </w:r>
      <w:r>
        <w:rPr>
          <w:rFonts w:hint="eastAsia" w:ascii="宋体" w:hAnsi="宋体" w:cs="宋体"/>
          <w:color w:val="auto"/>
          <w:sz w:val="21"/>
          <w:szCs w:val="21"/>
          <w:highlight w:val="none"/>
          <w:lang w:eastAsia="zh-CN"/>
        </w:rPr>
        <w:t xml:space="preserve">安装地点</w:t>
      </w:r>
      <w:r>
        <w:rPr>
          <w:rFonts w:hint="eastAsia" w:ascii="宋体" w:hAnsi="宋体" w:cs="宋体"/>
          <w:color w:val="auto"/>
          <w:sz w:val="21"/>
          <w:szCs w:val="21"/>
          <w:highlight w:val="none"/>
        </w:rPr>
        <w:t xml:space="preserve">：合同中明确约定的项目所在地。</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2.11 合同价款：根据合同规定，乙方在正确地履行合同义务后甲方应支付乙方的价款。</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2.12不可抗力：不能预见、不能避免并且不能克服的客观情况。</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2.1</w:t>
      </w: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书面形式：指书面文字、合同书、信件和传真等可以有形地表现所载内容的形式。</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 现场勘察：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2.16</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招标人向投标人提供的有关现场的资料和数据，是招标人现有的能使投标人利用的资料。招标人对投标人由此而做出的推论、理解和结论概不负责。</w:t>
      </w:r>
      <w:r/>
    </w:p>
    <w:p>
      <w:pPr>
        <w:spacing w:line="360" w:lineRule="auto"/>
        <w:rPr>
          <w:rFonts w:hint="eastAsia" w:ascii="宋体" w:hAnsi="宋体" w:cs="宋体"/>
          <w:b/>
          <w:bCs/>
          <w:color w:val="auto"/>
          <w:sz w:val="21"/>
          <w:szCs w:val="21"/>
          <w:highlight w:val="none"/>
          <w:lang w:val="zh-CN"/>
        </w:rPr>
      </w:pPr>
      <w:r/>
      <w:bookmarkStart w:id="3" w:name="_Toc142194258"/>
      <w:r>
        <w:rPr>
          <w:rFonts w:hint="eastAsia" w:ascii="宋体" w:hAnsi="宋体" w:cs="宋体"/>
          <w:b/>
          <w:bCs/>
          <w:color w:val="auto"/>
          <w:sz w:val="21"/>
          <w:szCs w:val="21"/>
          <w:highlight w:val="none"/>
          <w:lang w:val="zh-CN"/>
        </w:rPr>
        <w:t xml:space="preserve">二、投标人</w:t>
      </w:r>
      <w:bookmarkEnd w:id="3"/>
      <w:r/>
      <w:r/>
    </w:p>
    <w:p>
      <w:pPr>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3.  合格投标人的一般条件及特定条件</w:t>
      </w:r>
      <w:r/>
    </w:p>
    <w:p>
      <w:pPr>
        <w:ind w:firstLine="411"/>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3.1符合《中华人民共和国政府采购法》第二十二条第一款之规定；</w:t>
      </w:r>
      <w:r/>
    </w:p>
    <w:p>
      <w:pPr>
        <w:ind w:firstLine="411"/>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3.2满足本文件实质性条款的规定</w:t>
      </w:r>
      <w:r>
        <w:rPr>
          <w:rFonts w:hint="eastAsia" w:ascii="宋体" w:hAnsi="宋体" w:cs="宋体"/>
          <w:color w:val="auto"/>
          <w:sz w:val="21"/>
          <w:szCs w:val="21"/>
          <w:highlight w:val="none"/>
        </w:rPr>
        <w:t xml:space="preserve">。</w:t>
      </w:r>
      <w:r/>
    </w:p>
    <w:p>
      <w:pPr>
        <w:ind w:firstLine="411"/>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w:t>
      </w:r>
      <w:r>
        <w:rPr>
          <w:rFonts w:hint="eastAsia" w:ascii="宋体" w:hAnsi="宋体" w:cs="宋体"/>
          <w:color w:val="auto"/>
          <w:sz w:val="21"/>
          <w:szCs w:val="21"/>
          <w:highlight w:val="none"/>
        </w:rPr>
        <w:t xml:space="preserve">3招标公告特定条件规定。</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 </w:t>
      </w:r>
      <w:r>
        <w:rPr>
          <w:rFonts w:hint="eastAsia" w:ascii="宋体" w:hAnsi="宋体" w:cs="宋体"/>
          <w:b/>
          <w:bCs/>
          <w:color w:val="auto"/>
          <w:sz w:val="21"/>
          <w:szCs w:val="21"/>
          <w:highlight w:val="none"/>
          <w:lang w:val="zh-CN"/>
        </w:rPr>
        <w:t xml:space="preserve">投标人代表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4.1指全权代表投标人参加投标活动并签署投标文件的人，如果投标人代表不是法定代表人，须持有《法人</w:t>
      </w:r>
      <w:r>
        <w:rPr>
          <w:rFonts w:hint="eastAsia" w:ascii="宋体" w:hAnsi="宋体" w:cs="宋体"/>
          <w:color w:val="auto"/>
          <w:sz w:val="21"/>
          <w:szCs w:val="21"/>
          <w:highlight w:val="none"/>
        </w:rPr>
        <w:t xml:space="preserve">代表</w:t>
      </w:r>
      <w:r>
        <w:rPr>
          <w:rFonts w:hint="eastAsia" w:ascii="宋体" w:hAnsi="宋体" w:cs="宋体"/>
          <w:color w:val="auto"/>
          <w:sz w:val="21"/>
          <w:szCs w:val="21"/>
          <w:highlight w:val="none"/>
          <w:lang w:val="zh-CN"/>
        </w:rPr>
        <w:t xml:space="preserve">授权委托书》（详见统一格式）。</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 投标费用 </w:t>
      </w:r>
      <w:r/>
    </w:p>
    <w:p>
      <w:pPr>
        <w:ind w:left="4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5.1无论投标过程中的做法和结果如何，投标人自行承担所有与参加投标活动有关的全部费用。5.2 本次招标项目不收取标书费，请投标人在投标时充分考虑这一因素。</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 联合投标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本次招标接受联合投标。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三、招标文件的说明</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 招标文件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7.1</w:t>
      </w:r>
      <w:r>
        <w:rPr>
          <w:rFonts w:hint="eastAsia" w:ascii="宋体" w:hAnsi="宋体" w:cs="宋体"/>
          <w:color w:val="auto"/>
          <w:sz w:val="21"/>
          <w:szCs w:val="21"/>
          <w:highlight w:val="none"/>
          <w:lang w:val="zh-CN"/>
        </w:rPr>
        <w:t xml:space="preserve">招标文件由招标文件目录所列内容组成。投标人获得招标文件后，应详细阅读招标文件的全部内容，如有残缺等问题应在购买招标文件</w:t>
      </w:r>
      <w:r>
        <w:rPr>
          <w:rFonts w:hint="eastAsia" w:ascii="宋体" w:hAnsi="宋体" w:cs="宋体"/>
          <w:color w:val="auto"/>
          <w:sz w:val="21"/>
          <w:szCs w:val="21"/>
          <w:highlight w:val="none"/>
          <w:u w:val="single"/>
          <w:lang w:val="zh-CN"/>
        </w:rPr>
        <w:t xml:space="preserve"> 3</w:t>
      </w:r>
      <w:r>
        <w:rPr>
          <w:rFonts w:hint="eastAsia" w:ascii="宋体" w:hAnsi="宋体" w:cs="宋体"/>
          <w:color w:val="auto"/>
          <w:sz w:val="21"/>
          <w:szCs w:val="21"/>
          <w:highlight w:val="none"/>
          <w:lang w:val="zh-CN"/>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rPr>
          <w:rFonts w:hint="eastAsia" w:ascii="宋体" w:hAnsi="宋体" w:cs="宋体"/>
          <w:color w:val="auto"/>
          <w:sz w:val="21"/>
          <w:szCs w:val="21"/>
          <w:highlight w:val="none"/>
          <w:lang w:val="zh-CN"/>
        </w:rPr>
        <w:t xml:space="preserve">.2招标文件及其更正文件不是直接从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代理机构或指定媒体获得的，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代理机构对招标文件及其补遗的真实性、完整性不承担任何责任。</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8. 招标文件的澄清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8.1投标人在</w:t>
      </w:r>
      <w:r>
        <w:rPr>
          <w:rFonts w:hint="eastAsia" w:ascii="宋体" w:hAnsi="宋体" w:cs="宋体"/>
          <w:color w:val="auto"/>
          <w:sz w:val="21"/>
          <w:szCs w:val="21"/>
          <w:highlight w:val="none"/>
        </w:rPr>
        <w:t xml:space="preserve">获取</w:t>
      </w:r>
      <w:r>
        <w:rPr>
          <w:rFonts w:hint="eastAsia" w:ascii="宋体" w:hAnsi="宋体" w:cs="宋体"/>
          <w:color w:val="auto"/>
          <w:sz w:val="21"/>
          <w:szCs w:val="21"/>
          <w:highlight w:val="none"/>
          <w:lang w:val="zh-CN"/>
        </w:rPr>
        <w:t xml:space="preserve">招标文件后，若有问题需要澄清，应在网上系统上向</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代理机构提出，</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代理机构将在系统上予以解答。</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8.2如有必要，问题答复将以“变更公告”形式由</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代理机构按照本须知第</w:t>
      </w:r>
      <w:r>
        <w:rPr>
          <w:rFonts w:hint="eastAsia" w:ascii="宋体" w:hAnsi="宋体" w:cs="宋体"/>
          <w:color w:val="auto"/>
          <w:sz w:val="21"/>
          <w:szCs w:val="21"/>
          <w:highlight w:val="none"/>
        </w:rPr>
        <w:t xml:space="preserve">9</w:t>
      </w:r>
      <w:r>
        <w:rPr>
          <w:rFonts w:hint="eastAsia" w:ascii="宋体" w:hAnsi="宋体" w:cs="宋体"/>
          <w:color w:val="auto"/>
          <w:sz w:val="21"/>
          <w:szCs w:val="21"/>
          <w:highlight w:val="none"/>
          <w:lang w:val="zh-CN"/>
        </w:rPr>
        <w:t xml:space="preserve">条的规定发出。</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9. 招标文件的修改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9.2为使投标人有足够的时间按招标文件的修改要求考虑修正投标文件，或出于其他原因，</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代理机构有权推迟投标截止日期和开标日期，并将此变更以补充通知的形式在网上发布公告。</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9.3招标文件的更正（含澄清、修改等）内容与原招标文件在同一内容上表述不一致时，以发出日期最接近开标时间的公告为准。</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9.5招标文件若有最新的答疑文件，投标供应商必须下载并使用该文件制作新的电子投标文件，否则将无法完成电子投标文件的上传及投标。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w:t>
      </w:r>
      <w:r>
        <w:rPr>
          <w:rFonts w:hint="eastAsia" w:ascii="宋体" w:hAnsi="宋体" w:cs="宋体"/>
          <w:b/>
          <w:bCs/>
          <w:color w:val="auto"/>
          <w:sz w:val="21"/>
          <w:szCs w:val="21"/>
          <w:highlight w:val="none"/>
        </w:rPr>
        <w:t xml:space="preserve">0</w:t>
      </w:r>
      <w:r>
        <w:rPr>
          <w:rFonts w:hint="eastAsia" w:ascii="宋体" w:hAnsi="宋体" w:cs="宋体"/>
          <w:b/>
          <w:bCs/>
          <w:color w:val="auto"/>
          <w:sz w:val="21"/>
          <w:szCs w:val="21"/>
          <w:highlight w:val="none"/>
          <w:lang w:val="zh-CN"/>
        </w:rPr>
        <w:t xml:space="preserve">.质疑</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10.3上述应知其权益受到损害之日是指：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10.3.1对招标文件提出质疑的，为获取招标文件或者招标文件公告期限届满之日起计算；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10.3.2对采购过程提出质疑的，自采购程序环节结束之日起计算；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10.3.3对中标结果提出质疑的，自中标结果公告期限届满之日起计算。</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 供应商提出质疑应当提交质疑函和必要的证明材料。质疑函应当包括下列内容：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10.4.1 供应商的姓名或者名称、地址、邮编、联系人及联系电话；</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10.4.2 质疑项目的名称、编号；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10.4.3 具体、明确的质疑事项和与质疑事项相关的请求；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10.4.4 事实依据；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10.4.5 必要的法律依据；</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10.4.6 提出质疑的日期。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10.5质疑函的格式和内容应当符合财政部《政府采购供应商质疑函范本》 要求，质疑函范本在财政部官网上提供下载。</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 提交质疑函同时应当附如下证明材料：</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10.6.1对招标文件提出质疑的供应商提供参加本项目的“交易文件下载确认单”；</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10.6.2质疑供应商的营业执照或独立法人证书复印件复印件加盖单位公章；</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10.6.3质疑供应商法定代表人身份证复印件加盖单位公章；</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10.8 供应商如对本项目提出质疑须在法定质疑期内一次性提出针对同一采购程序环节的质疑。</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10.9 接受质疑函联系方式见</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公告联系事项。</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四、投标文件说明</w:t>
      </w:r>
      <w:r/>
    </w:p>
    <w:p>
      <w:pPr>
        <w:ind w:left="459" w:hanging="459"/>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11、提示与要求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11.2无论是否递交投标文件，投标人都应将招标文件及以后的所有通知、文件等视为保密文件。</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12、投标文件计量单位和使用文字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12.1投标文件中所使用的计量单位，除招标文件中有特殊要求外，均应使用中华人民共和国法定计量单位。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 投标文件的组成和顺序</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13.1报价部分：</w:t>
      </w:r>
      <w:r/>
    </w:p>
    <w:p>
      <w:pPr>
        <w:ind w:firstLine="420"/>
        <w:spacing w:line="360" w:lineRule="auto"/>
        <w:rPr>
          <w:rFonts w:hint="eastAsia" w:ascii="宋体" w:hAnsi="宋体" w:cs="宋体"/>
          <w:b/>
          <w:bCs/>
          <w:color w:val="auto"/>
          <w:sz w:val="21"/>
          <w:szCs w:val="21"/>
          <w:highlight w:val="none"/>
        </w:rPr>
      </w:pPr>
      <w:r>
        <w:rPr>
          <w:rFonts w:hint="eastAsia" w:ascii="宋体" w:hAnsi="宋体" w:eastAsia="宋体" w:cs="宋体"/>
          <w:b w:val="0"/>
          <w:bCs w:val="0"/>
          <w:color w:val="auto"/>
          <w:sz w:val="21"/>
          <w:szCs w:val="21"/>
          <w:highlight w:val="none"/>
        </w:rPr>
        <w:t xml:space="preserve">13.1.1 开标一览表（</w:t>
      </w:r>
      <w:r>
        <w:rPr>
          <w:rFonts w:hint="eastAsia" w:ascii="宋体" w:hAnsi="宋体" w:cs="宋体"/>
          <w:b w:val="0"/>
          <w:bCs w:val="0"/>
          <w:color w:val="auto"/>
          <w:sz w:val="21"/>
          <w:szCs w:val="21"/>
          <w:highlight w:val="none"/>
          <w:lang w:val="en-US" w:eastAsia="zh-CN"/>
        </w:rPr>
        <w:t xml:space="preserve">系统内直接填写</w:t>
      </w:r>
      <w:r>
        <w:rPr>
          <w:rFonts w:hint="eastAsia" w:ascii="宋体" w:hAnsi="宋体" w:eastAsia="宋体" w:cs="宋体"/>
          <w:b w:val="0"/>
          <w:bCs w:val="0"/>
          <w:color w:val="auto"/>
          <w:sz w:val="21"/>
          <w:szCs w:val="21"/>
          <w:highlight w:val="none"/>
        </w:rPr>
        <w:t xml:space="preserve">）；</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 </w:t>
      </w:r>
      <w:r>
        <w:rPr>
          <w:rFonts w:hint="eastAsia" w:ascii="宋体" w:hAnsi="宋体" w:cs="宋体"/>
          <w:b/>
          <w:bCs/>
          <w:color w:val="auto"/>
          <w:sz w:val="21"/>
          <w:szCs w:val="21"/>
          <w:highlight w:val="none"/>
          <w:lang w:val="en-US" w:eastAsia="zh-CN"/>
        </w:rPr>
        <w:t xml:space="preserve">资格性、符合性、技术、商务部分</w:t>
      </w:r>
      <w:r>
        <w:rPr>
          <w:rFonts w:hint="eastAsia" w:ascii="宋体" w:hAnsi="宋体" w:cs="宋体"/>
          <w:b/>
          <w:bCs/>
          <w:color w:val="auto"/>
          <w:sz w:val="21"/>
          <w:szCs w:val="21"/>
          <w:highlight w:val="none"/>
        </w:rPr>
        <w:t xml:space="preserve">：</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13.2.1</w:t>
      </w:r>
      <w:r>
        <w:rPr>
          <w:rFonts w:hint="eastAsia" w:ascii="宋体" w:hAnsi="宋体" w:cs="宋体"/>
          <w:b/>
          <w:bCs/>
          <w:color w:val="auto"/>
          <w:sz w:val="21"/>
          <w:szCs w:val="21"/>
          <w:highlight w:val="none"/>
          <w:lang w:eastAsia="zh-CN"/>
        </w:rPr>
        <w:t xml:space="preserve">资格证明文件部分</w:t>
      </w:r>
      <w:r>
        <w:rPr>
          <w:rFonts w:hint="eastAsia" w:ascii="宋体" w:hAnsi="宋体" w:cs="宋体"/>
          <w:b/>
          <w:bCs/>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bidi="ar-SA"/>
        </w:rPr>
        <w:t xml:space="preserve">具有独立承担民事责任的能力：提供</w:t>
      </w:r>
      <w:r>
        <w:rPr>
          <w:rFonts w:hint="eastAsia" w:ascii="宋体" w:hAnsi="宋体" w:eastAsia="宋体" w:cs="宋体"/>
          <w:color w:val="auto"/>
          <w:sz w:val="21"/>
          <w:szCs w:val="21"/>
          <w:highlight w:val="none"/>
        </w:rPr>
        <w:t xml:space="preserve">投标单位营业执照</w:t>
      </w:r>
      <w:r>
        <w:rPr>
          <w:rFonts w:hint="eastAsia" w:ascii="宋体" w:hAnsi="宋体" w:eastAsia="宋体" w:cs="宋体"/>
          <w:color w:val="auto"/>
          <w:sz w:val="21"/>
          <w:szCs w:val="21"/>
          <w:highlight w:val="none"/>
          <w:lang w:val="en-US" w:eastAsia="zh-CN"/>
        </w:rPr>
        <w:t xml:space="preserve">及法定代表人身份证扫描件或</w:t>
      </w:r>
      <w:r>
        <w:rPr>
          <w:rFonts w:hint="eastAsia" w:ascii="宋体" w:hAnsi="宋体" w:eastAsia="宋体" w:cs="宋体"/>
          <w:color w:val="auto"/>
          <w:sz w:val="21"/>
          <w:szCs w:val="21"/>
          <w:highlight w:val="none"/>
          <w:lang w:val="en-US" w:eastAsia="zh-CN" w:bidi="ar-SA"/>
        </w:rPr>
        <w:t xml:space="preserve">自然人的身份证明、</w:t>
      </w:r>
      <w:r>
        <w:rPr>
          <w:rFonts w:hint="eastAsia" w:ascii="宋体" w:hAnsi="宋体" w:eastAsia="宋体" w:cs="宋体"/>
          <w:color w:val="auto"/>
          <w:sz w:val="21"/>
          <w:szCs w:val="21"/>
          <w:highlight w:val="none"/>
        </w:rPr>
        <w:t xml:space="preserve">授权委托书（如有</w:t>
      </w:r>
      <w:r>
        <w:rPr>
          <w:rFonts w:hint="eastAsia" w:ascii="宋体" w:hAnsi="宋体" w:eastAsia="宋体" w:cs="宋体"/>
          <w:color w:val="auto"/>
          <w:sz w:val="21"/>
          <w:szCs w:val="21"/>
          <w:highlight w:val="none"/>
          <w:lang w:val="en-US" w:eastAsia="zh-CN"/>
        </w:rPr>
        <w:t xml:space="preserve">授权</w:t>
      </w:r>
      <w:r>
        <w:rPr>
          <w:rFonts w:hint="eastAsia" w:ascii="宋体" w:hAnsi="宋体" w:eastAsia="宋体" w:cs="宋体"/>
          <w:color w:val="auto"/>
          <w:sz w:val="21"/>
          <w:szCs w:val="21"/>
          <w:highlight w:val="none"/>
        </w:rPr>
        <w:t xml:space="preserve">）、被授权人身份证（如有</w:t>
      </w:r>
      <w:r>
        <w:rPr>
          <w:rFonts w:hint="eastAsia" w:ascii="宋体" w:hAnsi="宋体" w:eastAsia="宋体" w:cs="宋体"/>
          <w:color w:val="auto"/>
          <w:sz w:val="21"/>
          <w:szCs w:val="21"/>
          <w:highlight w:val="none"/>
          <w:lang w:val="en-US" w:eastAsia="zh-CN"/>
        </w:rPr>
        <w:t xml:space="preserve">授权</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ar-SA"/>
        </w:rPr>
        <w:t xml:space="preserve">关于资格文件的声明函、投标人基本情况表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（详见投标文件格式</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bidi="ar-SA"/>
        </w:rPr>
        <w:t xml:space="preserve">具有良好的商业信誉和健全的财务会计制度</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ar-SA"/>
        </w:rPr>
        <w:t xml:space="preserve">提供参加本次政府采购活动前的财务状况报告或者银行出具的资信证明</w:t>
      </w:r>
      <w:r/>
    </w:p>
    <w:p>
      <w:pPr>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bidi="ar-SA"/>
        </w:rPr>
        <w:t xml:space="preserve">具有履行合同所必需的设备和专业技术能力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bidi="ar-SA"/>
        </w:rPr>
        <w:t xml:space="preserve">提供履行合同所必需的设备和专业技术能力的证明材料或书面声明</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bidi="ar-SA"/>
        </w:rPr>
        <w:t xml:space="preserve">具有依法缴纳税收和社会保障资金的良好记录：提供参加本次政府采购活动前半年任意一个月份依法缴纳税收和社会保障资金的证明材料</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参加政府采购活动前三年内，在经营活动中没有重大违法记录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提供参加本次政府采购活动前3年内在经营活动中没有重大违法记录的书面声明（详见投标文件格式）；</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13.2.1.</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投标人证明其符合招标文件规定的投标人特定资格条件的证书、证明和文件材料；（如有）</w:t>
      </w:r>
      <w:r/>
    </w:p>
    <w:p>
      <w:pPr>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rPr>
        <w:t xml:space="preserve">13.2.2</w:t>
      </w:r>
      <w:r>
        <w:rPr>
          <w:rFonts w:hint="eastAsia" w:ascii="宋体" w:hAnsi="宋体" w:cs="宋体"/>
          <w:b/>
          <w:bCs/>
          <w:color w:val="auto"/>
          <w:sz w:val="21"/>
          <w:szCs w:val="21"/>
          <w:highlight w:val="none"/>
          <w:lang w:val="en-US" w:eastAsia="zh-CN"/>
        </w:rPr>
        <w:t xml:space="preserve"> 符合性审查文件部分</w:t>
      </w:r>
      <w:r/>
    </w:p>
    <w:p>
      <w:pPr>
        <w:ind w:firstLine="420"/>
        <w:spacing w:line="360" w:lineRule="auto"/>
        <w:rPr>
          <w:rFonts w:hint="eastAsia" w:ascii="宋体" w:hAnsi="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13.</w:t>
      </w:r>
      <w:r>
        <w:rPr>
          <w:rFonts w:hint="eastAsia" w:ascii="宋体" w:hAnsi="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投标</w:t>
      </w:r>
      <w:r>
        <w:rPr>
          <w:rFonts w:hint="eastAsia" w:ascii="宋体" w:hAnsi="宋体" w:eastAsia="宋体" w:cs="宋体"/>
          <w:b w:val="0"/>
          <w:bCs w:val="0"/>
          <w:color w:val="auto"/>
          <w:sz w:val="21"/>
          <w:szCs w:val="21"/>
          <w:highlight w:val="none"/>
        </w:rPr>
        <w:t xml:space="preserve">报价明细表</w:t>
      </w:r>
      <w:r>
        <w:rPr>
          <w:rFonts w:hint="eastAsia" w:ascii="宋体" w:hAnsi="宋体" w:cs="宋体"/>
          <w:color w:val="auto"/>
          <w:sz w:val="21"/>
          <w:szCs w:val="21"/>
          <w:highlight w:val="none"/>
        </w:rPr>
        <w:t xml:space="preserve">（详见投标文件格式）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13.2.2.</w:t>
      </w:r>
      <w:r>
        <w:rPr>
          <w:rFonts w:hint="eastAsia" w:ascii="宋体" w:hAnsi="宋体" w:cs="宋体"/>
          <w:color w:val="auto"/>
          <w:sz w:val="21"/>
          <w:szCs w:val="21"/>
          <w:highlight w:val="none"/>
          <w:lang w:val="en-US" w:eastAsia="zh-CN"/>
        </w:rPr>
        <w:t xml:space="preserve">2技术条款</w:t>
      </w:r>
      <w:r>
        <w:rPr>
          <w:rFonts w:hint="eastAsia" w:ascii="宋体" w:hAnsi="宋体" w:cs="宋体"/>
          <w:color w:val="auto"/>
          <w:sz w:val="21"/>
          <w:szCs w:val="21"/>
          <w:highlight w:val="none"/>
        </w:rPr>
        <w:t xml:space="preserve">偏离表（详见投标文件格式）；</w:t>
      </w:r>
      <w:r/>
    </w:p>
    <w:p>
      <w:pPr>
        <w:ind w:firstLine="420"/>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rPr>
        <w:t xml:space="preserve">13.2.2.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商务</w:t>
      </w:r>
      <w:r>
        <w:rPr>
          <w:rFonts w:hint="eastAsia" w:ascii="宋体" w:hAnsi="宋体" w:cs="宋体"/>
          <w:color w:val="auto"/>
          <w:sz w:val="21"/>
          <w:szCs w:val="21"/>
          <w:highlight w:val="none"/>
          <w:lang w:val="en-US" w:eastAsia="zh-CN"/>
        </w:rPr>
        <w:t xml:space="preserve">条款</w:t>
      </w:r>
      <w:r>
        <w:rPr>
          <w:rFonts w:hint="eastAsia" w:ascii="宋体" w:hAnsi="宋体" w:cs="宋体"/>
          <w:color w:val="auto"/>
          <w:sz w:val="21"/>
          <w:szCs w:val="21"/>
          <w:highlight w:val="none"/>
        </w:rPr>
        <w:t xml:space="preserve">偏离表（详见投标文件格式）；</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13.2.</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技术</w:t>
      </w:r>
      <w:r>
        <w:rPr>
          <w:rFonts w:hint="eastAsia" w:ascii="宋体" w:hAnsi="宋体" w:cs="宋体"/>
          <w:b/>
          <w:bCs/>
          <w:color w:val="auto"/>
          <w:sz w:val="21"/>
          <w:szCs w:val="21"/>
          <w:highlight w:val="none"/>
          <w:lang w:eastAsia="zh-CN"/>
        </w:rPr>
        <w:t xml:space="preserve">及商务部分（</w:t>
      </w:r>
      <w:r>
        <w:rPr>
          <w:rFonts w:hint="eastAsia" w:ascii="宋体" w:hAnsi="宋体" w:cs="宋体"/>
          <w:b/>
          <w:bCs/>
          <w:color w:val="auto"/>
          <w:sz w:val="21"/>
          <w:szCs w:val="21"/>
          <w:highlight w:val="none"/>
        </w:rPr>
        <w:t xml:space="preserve">投标人视各自的情况</w:t>
      </w:r>
      <w:r>
        <w:rPr>
          <w:rFonts w:hint="eastAsia" w:ascii="宋体" w:hAnsi="宋体" w:cs="宋体"/>
          <w:b/>
          <w:bCs/>
          <w:color w:val="auto"/>
          <w:sz w:val="21"/>
          <w:szCs w:val="21"/>
          <w:highlight w:val="none"/>
          <w:lang w:val="en-US" w:eastAsia="zh-CN"/>
        </w:rPr>
        <w:t xml:space="preserve">按评审要求</w:t>
      </w:r>
      <w:r>
        <w:rPr>
          <w:rFonts w:hint="eastAsia" w:ascii="宋体" w:hAnsi="宋体" w:cs="宋体"/>
          <w:b/>
          <w:bCs/>
          <w:color w:val="auto"/>
          <w:sz w:val="21"/>
          <w:szCs w:val="21"/>
          <w:highlight w:val="none"/>
        </w:rPr>
        <w:t xml:space="preserve">自行编制</w:t>
      </w:r>
      <w:r>
        <w:rPr>
          <w:rFonts w:hint="eastAsia" w:ascii="宋体" w:hAnsi="宋体" w:cs="宋体"/>
          <w:b/>
          <w:bCs/>
          <w:color w:val="auto"/>
          <w:sz w:val="21"/>
          <w:szCs w:val="21"/>
          <w:highlight w:val="none"/>
          <w:lang w:eastAsia="zh-CN"/>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w:t>
      </w:r>
      <w:r>
        <w:rPr>
          <w:rFonts w:hint="eastAsia"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rPr>
        <w:t xml:space="preserve">.</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相关业绩一览表</w:t>
      </w:r>
      <w:r>
        <w:rPr>
          <w:rFonts w:hint="eastAsia" w:ascii="宋体" w:hAnsi="宋体" w:cs="宋体"/>
          <w:color w:val="auto"/>
          <w:sz w:val="21"/>
          <w:szCs w:val="21"/>
          <w:highlight w:val="none"/>
        </w:rPr>
        <w:t xml:space="preserve">（详见投标文件格式</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rPr>
        <w:t xml:space="preserve">13</w:t>
      </w:r>
      <w:r>
        <w:rPr>
          <w:rFonts w:hint="eastAsia" w:ascii="宋体" w:hAnsi="宋体" w:eastAsia="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相关证书一览表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投入本项目技术（服务）人员一览表及相关证明材料（详见投标文件格式</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项目的技术及服务方案</w:t>
      </w:r>
      <w:r>
        <w:rPr>
          <w:rFonts w:hint="eastAsia" w:ascii="宋体" w:hAnsi="宋体" w:eastAsia="宋体" w:cs="宋体"/>
          <w:color w:val="auto"/>
          <w:sz w:val="21"/>
          <w:szCs w:val="21"/>
          <w:highlight w:val="none"/>
          <w:lang w:eastAsia="zh-CN"/>
        </w:rPr>
        <w:t xml:space="preserve">等</w:t>
      </w:r>
      <w:r>
        <w:rPr>
          <w:rFonts w:hint="eastAsia" w:ascii="宋体" w:hAnsi="宋体" w:eastAsia="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rPr>
        <w:t xml:space="preserve">13.2.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招标文件及评分标准中要求提供的其他相</w:t>
      </w:r>
      <w:r>
        <w:rPr>
          <w:rFonts w:hint="eastAsia" w:ascii="宋体" w:hAnsi="宋体" w:cs="宋体"/>
          <w:color w:val="auto"/>
          <w:sz w:val="21"/>
          <w:szCs w:val="21"/>
          <w:highlight w:val="none"/>
        </w:rPr>
        <w:t xml:space="preserve">关材料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13.2.</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其他需投标人对本次投标的详细说明（投标人视各自的情况自行编制）</w:t>
      </w:r>
      <w:r/>
    </w:p>
    <w:p>
      <w:pPr>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13.2.4 价格折扣文件</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本项目为专门面向中小微企业采购的项目，小微企业不享受价格扣除优惠</w:t>
      </w:r>
      <w:r>
        <w:rPr>
          <w:rFonts w:hint="eastAsia" w:ascii="宋体" w:hAnsi="宋体" w:cs="宋体"/>
          <w:b/>
          <w:bCs/>
          <w:color w:val="auto"/>
          <w:sz w:val="21"/>
          <w:szCs w:val="21"/>
          <w:highlight w:val="none"/>
          <w:lang w:eastAsia="zh-CN"/>
        </w:rPr>
        <w:t xml:space="preserve">）</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13.</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4.1 </w:t>
      </w:r>
      <w:r>
        <w:rPr>
          <w:rFonts w:hint="eastAsia" w:ascii="宋体" w:hAnsi="宋体" w:cs="宋体"/>
          <w:color w:val="auto"/>
          <w:sz w:val="21"/>
          <w:szCs w:val="21"/>
          <w:highlight w:val="none"/>
        </w:rPr>
        <w:t xml:space="preserve">中小企业声明函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如有</w:t>
      </w:r>
      <w:r>
        <w:rPr>
          <w:rFonts w:hint="eastAsia" w:ascii="宋体" w:hAnsi="宋体" w:cs="宋体"/>
          <w:color w:val="auto"/>
          <w:sz w:val="21"/>
          <w:szCs w:val="21"/>
          <w:highlight w:val="none"/>
          <w:lang w:eastAsia="zh-CN"/>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4.2 </w:t>
      </w:r>
      <w:r>
        <w:rPr>
          <w:rFonts w:hint="eastAsia" w:ascii="宋体" w:hAnsi="宋体" w:cs="宋体"/>
          <w:color w:val="auto"/>
          <w:sz w:val="21"/>
          <w:szCs w:val="21"/>
          <w:highlight w:val="none"/>
        </w:rPr>
        <w:t xml:space="preserve">残疾人福利性单位声明函（如有）；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4.3 属于</w:t>
      </w:r>
      <w:r>
        <w:rPr>
          <w:rFonts w:hint="eastAsia" w:ascii="宋体" w:hAnsi="宋体" w:cs="宋体"/>
          <w:color w:val="auto"/>
          <w:sz w:val="21"/>
          <w:szCs w:val="21"/>
          <w:highlight w:val="none"/>
          <w:lang w:val="zh-CN"/>
        </w:rPr>
        <w:t xml:space="preserve">监狱企业的证明文件</w:t>
      </w:r>
      <w:r>
        <w:rPr>
          <w:rFonts w:hint="eastAsia" w:ascii="宋体" w:hAnsi="宋体" w:cs="宋体"/>
          <w:color w:val="auto"/>
          <w:sz w:val="21"/>
          <w:szCs w:val="21"/>
          <w:highlight w:val="none"/>
        </w:rPr>
        <w:t xml:space="preserve">（如有）；</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auto"/>
          <w:sz w:val="21"/>
          <w:szCs w:val="21"/>
          <w:highlight w:val="none"/>
          <w:lang w:val="zh-CN"/>
        </w:rPr>
        <w:t xml:space="preserve">。</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13.3投标文件由13.1、13.2款规定的内容共同组成。</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14、投标文件编制要求</w:t>
      </w:r>
      <w:r/>
    </w:p>
    <w:p>
      <w:pPr>
        <w:ind w:firstLine="373"/>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14.1电子投标文件编制要求：</w:t>
      </w:r>
      <w:r>
        <w:rPr>
          <w:rFonts w:hint="eastAsia" w:ascii="宋体" w:hAnsi="宋体" w:eastAsia="宋体" w:cs="宋体"/>
          <w:color w:val="auto"/>
          <w:sz w:val="21"/>
          <w:szCs w:val="21"/>
          <w:highlight w:val="none"/>
        </w:rPr>
        <w:t xml:space="preserve">投标人应使用</w:t>
      </w:r>
      <w:r>
        <w:rPr>
          <w:rFonts w:hint="eastAsia" w:ascii="宋体" w:hAnsi="宋体" w:eastAsia="宋体" w:cs="宋体"/>
          <w:b/>
          <w:color w:val="auto"/>
          <w:sz w:val="21"/>
          <w:szCs w:val="21"/>
          <w:highlight w:val="none"/>
        </w:rPr>
        <w:t xml:space="preserve">招标文件要求的投标文件制作软件制作电子投标文件</w:t>
      </w:r>
      <w:r>
        <w:rPr>
          <w:rFonts w:hint="eastAsia" w:ascii="宋体" w:hAnsi="宋体" w:eastAsia="宋体" w:cs="宋体"/>
          <w:color w:val="auto"/>
          <w:sz w:val="21"/>
          <w:szCs w:val="21"/>
          <w:highlight w:val="none"/>
        </w:rPr>
        <w:t xml:space="preserve">，电子投标文件按招标文件规定的格式制作，如果未按要求制作上传，可能导致投标无效。</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15、投标报价（编制）要求的说明</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rPr>
        <w:t xml:space="preserve">15.1除非合同中另有规定，</w:t>
      </w:r>
      <w:r>
        <w:rPr>
          <w:rFonts w:hint="eastAsia" w:ascii="宋体" w:hAnsi="宋体" w:eastAsia="宋体" w:cs="宋体"/>
          <w:bCs/>
          <w:color w:val="auto"/>
          <w:sz w:val="21"/>
          <w:szCs w:val="21"/>
          <w:highlight w:val="none"/>
        </w:rPr>
        <w:t xml:space="preserve">投标总报价</w:t>
      </w:r>
      <w:r>
        <w:rPr>
          <w:rFonts w:hint="eastAsia" w:ascii="宋体" w:hAnsi="宋体" w:cs="宋体"/>
          <w:bCs/>
          <w:color w:val="auto"/>
          <w:sz w:val="21"/>
          <w:szCs w:val="21"/>
          <w:highlight w:val="none"/>
          <w:lang w:val="en-US" w:eastAsia="zh-CN"/>
        </w:rPr>
        <w:t xml:space="preserve">应</w:t>
      </w:r>
      <w:r>
        <w:rPr>
          <w:rFonts w:hint="eastAsia" w:ascii="宋体" w:hAnsi="宋体" w:cs="宋体"/>
          <w:color w:val="auto"/>
          <w:sz w:val="21"/>
          <w:szCs w:val="21"/>
          <w:highlight w:val="none"/>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和政策性文件规定及合同包含的所有风险、责任、施工审图费等各项应有费用</w:t>
      </w:r>
      <w:r>
        <w:rPr>
          <w:rFonts w:hint="eastAsia" w:ascii="宋体" w:hAnsi="宋体" w:cs="宋体"/>
          <w:color w:val="auto"/>
          <w:sz w:val="21"/>
          <w:szCs w:val="21"/>
          <w:highlight w:val="none"/>
          <w:lang w:bidi="ar"/>
        </w:rPr>
        <w:t xml:space="preserve">，中标人的投标报价包含了采购人现有场地条件下，进行中标设备的安装调试达到可使用状态，并验收合格前的所有费用</w:t>
      </w:r>
      <w:r>
        <w:rPr>
          <w:rFonts w:hint="eastAsia" w:ascii="宋体" w:hAnsi="宋体" w:eastAsia="宋体" w:cs="宋体"/>
          <w:bCs/>
          <w:color w:val="auto"/>
          <w:sz w:val="21"/>
          <w:szCs w:val="21"/>
          <w:highlight w:val="none"/>
        </w:rPr>
        <w:t xml:space="preserve">。</w:t>
      </w:r>
      <w:r>
        <w:rPr>
          <w:rFonts w:hint="eastAsia" w:ascii="宋体" w:hAnsi="宋体" w:eastAsia="宋体" w:cs="宋体"/>
          <w:b/>
          <w:color w:val="auto"/>
          <w:sz w:val="21"/>
          <w:szCs w:val="21"/>
          <w:highlight w:val="none"/>
        </w:rPr>
        <w:t xml:space="preserve">此外，工资标准不得低于本市最新公布的最低标准。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val="zh-CN"/>
        </w:rPr>
        <w:t xml:space="preserve">一项投标内容只允许一个报价，招标代理机构不接受任何有选择性的投标报价。</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投标文件报价采用人民币表示，除非合同的特殊条款另有规定。</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15.</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lang w:val="zh-CN"/>
        </w:rPr>
        <w:t xml:space="preserve">最低的投标报价或最高的折扣比例是中标的重要条件，但不是中标的唯一条件。</w:t>
      </w:r>
      <w:r/>
    </w:p>
    <w:p>
      <w:pPr>
        <w:jc w:val="both"/>
        <w:spacing w:line="360" w:lineRule="auto"/>
        <w:widowControl w:val="off"/>
        <w:tabs>
          <w:tab w:val="left" w:pos="502" w:leader="none"/>
        </w:tabs>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rPr>
        <w:t xml:space="preserve">16、</w:t>
      </w:r>
      <w:r>
        <w:rPr>
          <w:rFonts w:hint="eastAsia" w:ascii="宋体" w:hAnsi="宋体" w:cs="宋体"/>
          <w:b/>
          <w:bCs/>
          <w:color w:val="auto"/>
          <w:sz w:val="21"/>
          <w:szCs w:val="21"/>
          <w:highlight w:val="none"/>
          <w:lang w:val="zh-CN"/>
        </w:rPr>
        <w:t xml:space="preserve">投标保证金</w:t>
      </w:r>
      <w:r/>
    </w:p>
    <w:p>
      <w:pPr>
        <w:ind w:firstLine="420"/>
        <w:spacing w:line="360" w:lineRule="auto"/>
        <w:tabs>
          <w:tab w:val="left" w:pos="540" w:leader="none"/>
        </w:tabs>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16.1</w:t>
      </w:r>
      <w:r>
        <w:rPr>
          <w:rFonts w:hint="eastAsia" w:cs="宋体"/>
          <w:color w:val="auto"/>
          <w:sz w:val="21"/>
          <w:szCs w:val="21"/>
          <w:highlight w:val="none"/>
          <w:lang w:val="zh-CN"/>
        </w:rPr>
        <w:t xml:space="preserve">根据《关于做好政府采购支持企业发展有关事项的通知（苏财购〔2020〕</w:t>
      </w:r>
      <w:r>
        <w:rPr>
          <w:rFonts w:hint="eastAsia" w:cs="宋体"/>
          <w:color w:val="auto"/>
          <w:sz w:val="21"/>
          <w:szCs w:val="21"/>
          <w:highlight w:val="none"/>
        </w:rPr>
        <w:t xml:space="preserve">52</w:t>
      </w:r>
      <w:r>
        <w:rPr>
          <w:rFonts w:hint="eastAsia" w:cs="宋体"/>
          <w:color w:val="auto"/>
          <w:sz w:val="21"/>
          <w:szCs w:val="21"/>
          <w:highlight w:val="none"/>
          <w:lang w:val="zh-CN"/>
        </w:rPr>
        <w:t xml:space="preserve">号）》文件规定取消政府采购投标保证金。</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17. 投标文件的有效期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17.1自开标日起</w:t>
      </w:r>
      <w:r>
        <w:rPr>
          <w:rFonts w:hint="eastAsia" w:ascii="宋体" w:hAnsi="宋体" w:cs="宋体"/>
          <w:b/>
          <w:bCs/>
          <w:color w:val="auto"/>
          <w:sz w:val="21"/>
          <w:szCs w:val="21"/>
          <w:highlight w:val="none"/>
        </w:rPr>
        <w:t xml:space="preserve">60天</w:t>
      </w:r>
      <w:r>
        <w:rPr>
          <w:rFonts w:hint="eastAsia" w:ascii="宋体" w:hAnsi="宋体" w:cs="宋体"/>
          <w:color w:val="auto"/>
          <w:sz w:val="21"/>
          <w:szCs w:val="21"/>
          <w:highlight w:val="none"/>
        </w:rPr>
        <w:t xml:space="preserve">内，投标人所提交的投标文件应保持有效。有效期短于这个规定期限的投标文件，</w:t>
      </w:r>
      <w:r>
        <w:rPr>
          <w:rFonts w:hint="eastAsia" w:ascii="宋体" w:hAnsi="宋体" w:cs="宋体"/>
          <w:b/>
          <w:bCs/>
          <w:color w:val="auto"/>
          <w:sz w:val="21"/>
          <w:szCs w:val="21"/>
          <w:highlight w:val="none"/>
        </w:rPr>
        <w:t xml:space="preserve">将被认定为未实质性响应招标文件要求。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17.2</w:t>
      </w:r>
      <w:r>
        <w:rPr>
          <w:rFonts w:hint="eastAsia" w:ascii="宋体" w:hAnsi="宋体" w:cs="宋体"/>
          <w:color w:val="auto"/>
          <w:sz w:val="21"/>
          <w:szCs w:val="21"/>
          <w:highlight w:val="none"/>
          <w:lang w:val="zh-CN"/>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五、投标文件的提交、撤回和修改</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18、投标文件的上传、提交</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18.1</w:t>
      </w:r>
      <w:r>
        <w:rPr>
          <w:rFonts w:hint="eastAsia" w:ascii="宋体" w:hAnsi="宋体" w:cs="宋体"/>
          <w:b/>
          <w:color w:val="auto"/>
          <w:sz w:val="21"/>
          <w:szCs w:val="21"/>
          <w:highlight w:val="none"/>
          <w:lang w:val="zh-CN"/>
        </w:rPr>
        <w:t xml:space="preserve">投标人应将制作好的加密电子投标文件按要求在投标截止时间前上传到交易系统平台中</w:t>
      </w:r>
      <w:r>
        <w:rPr>
          <w:rFonts w:hint="eastAsia" w:ascii="宋体" w:hAnsi="宋体" w:cs="宋体"/>
          <w:color w:val="auto"/>
          <w:sz w:val="21"/>
          <w:szCs w:val="21"/>
          <w:highlight w:val="none"/>
          <w:lang w:val="zh-CN"/>
        </w:rPr>
        <w:t xml:space="preserve">。</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19、投标截止时间</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19.1</w:t>
      </w:r>
      <w:r>
        <w:rPr>
          <w:rFonts w:hint="eastAsia" w:ascii="宋体" w:hAnsi="宋体" w:cs="宋体"/>
          <w:b/>
          <w:bCs/>
          <w:color w:val="auto"/>
          <w:sz w:val="21"/>
          <w:szCs w:val="21"/>
          <w:highlight w:val="none"/>
          <w:lang w:val="zh-CN"/>
        </w:rPr>
        <w:t xml:space="preserve">电子投标文件必须按招标公告中规定的网上投标截止时间前提交，否则投标无效</w:t>
      </w: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19.2</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代理机构推迟投标截止时间时，应以更正公告的形式，通知所有投标人。在这种情况下，</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代理机构和投标人的权利和义务将受到新的截止期的约束。</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19.3在投标截止时间止采购代理机构收到的电子投标文件</w:t>
      </w:r>
      <w:r>
        <w:rPr>
          <w:rFonts w:hint="eastAsia" w:ascii="宋体" w:hAnsi="宋体" w:cs="宋体"/>
          <w:b/>
          <w:bCs/>
          <w:color w:val="auto"/>
          <w:sz w:val="21"/>
          <w:szCs w:val="21"/>
          <w:highlight w:val="none"/>
          <w:lang w:val="zh-CN"/>
        </w:rPr>
        <w:t xml:space="preserve">少于三份</w:t>
      </w:r>
      <w:r>
        <w:rPr>
          <w:rFonts w:hint="eastAsia" w:ascii="宋体" w:hAnsi="宋体" w:cs="宋体"/>
          <w:color w:val="auto"/>
          <w:sz w:val="21"/>
          <w:szCs w:val="21"/>
          <w:highlight w:val="none"/>
          <w:lang w:val="zh-CN"/>
        </w:rPr>
        <w:t xml:space="preserve">的，</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代理机构有权宣布本次招标失败。</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20、投标文件的修改和撤回</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20.1投标人在提交投标文件截止时间前，可对其投标文件进行撤回或修改。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w:t>
      </w:r>
      <w:r>
        <w:rPr>
          <w:rFonts w:hint="eastAsia" w:ascii="宋体" w:hAnsi="宋体" w:cs="宋体"/>
          <w:color w:val="auto"/>
          <w:sz w:val="21"/>
          <w:szCs w:val="21"/>
          <w:highlight w:val="none"/>
        </w:rPr>
        <w:t xml:space="preserve">0</w:t>
      </w:r>
      <w:r>
        <w:rPr>
          <w:rFonts w:hint="eastAsia" w:ascii="宋体" w:hAnsi="宋体" w:cs="宋体"/>
          <w:color w:val="auto"/>
          <w:sz w:val="21"/>
          <w:szCs w:val="21"/>
          <w:highlight w:val="none"/>
          <w:lang w:val="zh-CN"/>
        </w:rPr>
        <w:t xml:space="preserve">.2开标后投标人不得撤回投标。</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六、开标和评标</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21、开标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21.1招标代理机构按本须知规定的时间、地点主持不见面开标活动。开标仪式由招标代理机构主持，招标人、投标人代表及有关方面代表可参加。</w:t>
      </w:r>
      <w:r/>
    </w:p>
    <w:p>
      <w:pPr>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21.2</w:t>
      </w:r>
      <w:r>
        <w:rPr>
          <w:rFonts w:hint="eastAsia" w:ascii="宋体" w:hAnsi="宋体" w:eastAsia="宋体" w:cs="宋体"/>
          <w:b/>
          <w:color w:val="auto"/>
          <w:sz w:val="21"/>
          <w:szCs w:val="21"/>
          <w:highlight w:val="none"/>
        </w:rPr>
        <w:t xml:space="preserve">参加开标的投标法定代表人或授权代理人须在项目开标前登录苏采云不见面开标系统，进入网上不见面开标大厅，做好相关准备工作。</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21.4招标代理机构在开标仪式上，将公布投标人的名称、投标价格，并将作唱标记录。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21.5投标人代表对开标过程和开标记录有疑义，以及认为招标人、招标代理机构相关工作人员有需要回避的情形的，</w:t>
      </w:r>
      <w:r>
        <w:rPr>
          <w:rFonts w:hint="eastAsia" w:ascii="宋体" w:hAnsi="宋体" w:cs="宋体"/>
          <w:b/>
          <w:bCs/>
          <w:color w:val="auto"/>
          <w:sz w:val="21"/>
          <w:szCs w:val="21"/>
          <w:highlight w:val="none"/>
        </w:rPr>
        <w:t xml:space="preserve">应通过不见面开标大厅</w:t>
      </w:r>
      <w:r>
        <w:rPr>
          <w:rFonts w:hint="eastAsia" w:ascii="宋体" w:hAnsi="宋体" w:cs="宋体"/>
          <w:color w:val="auto"/>
          <w:sz w:val="21"/>
          <w:szCs w:val="21"/>
          <w:highlight w:val="none"/>
        </w:rPr>
        <w:t xml:space="preserve">提出询问或者回避申请。招标人、招标代理机构对投标人代表提出的询问或者回避申请应当及时处理。</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22、评标委员会或评标小组</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22.1评标委员会或评标小组（以下简称评委会）成员由招标人依法负责组建；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22.2评委会组负责具体的评标事务，并独立履行以下职责；</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22.2.1审查投标文件是否符合招标文件的要求，并</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出评价；</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22.2.2可以要求投标供应商对投标文件有关事项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出解释或澄清；</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22.2.3推荐中标候选人名单，或者受</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招标代理机构委托按照事先确定的办法直接确定中标人；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22.2.4向招标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或者有关部门报告非法干预评标工作的行为。</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22.3评委会成员应当履行下列义务：</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22.3.1遵纪守法，客观、公正、廉洁地履行职责；</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22.3.2按照招标文件规定的评标办法和评标标准进行评标，对评审意见承担个人责任；</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22.3.3对评标过程和结果，以及投标人的商业秘密保密；</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22.3.4参与评标报告的起草；</w:t>
      </w:r>
      <w:r/>
    </w:p>
    <w:p>
      <w:pPr>
        <w:ind w:firstLine="359"/>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22.3.5配合招标</w:t>
      </w:r>
      <w:r>
        <w:rPr>
          <w:rFonts w:hint="eastAsia" w:ascii="宋体" w:hAnsi="宋体" w:cs="宋体"/>
          <w:color w:val="auto"/>
          <w:sz w:val="21"/>
          <w:szCs w:val="21"/>
          <w:highlight w:val="none"/>
        </w:rPr>
        <w:t xml:space="preserve">代理机构</w:t>
      </w:r>
      <w:r>
        <w:rPr>
          <w:rFonts w:hint="eastAsia" w:ascii="宋体" w:hAnsi="宋体" w:cs="宋体"/>
          <w:color w:val="auto"/>
          <w:sz w:val="21"/>
          <w:szCs w:val="21"/>
          <w:highlight w:val="none"/>
          <w:lang w:val="zh-CN"/>
        </w:rPr>
        <w:t xml:space="preserve">答复投标人提出的质疑；</w:t>
      </w:r>
      <w:r/>
    </w:p>
    <w:p>
      <w:pPr>
        <w:ind w:firstLine="3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22.3.6配合</w:t>
      </w:r>
      <w:r>
        <w:rPr>
          <w:rFonts w:hint="eastAsia" w:ascii="宋体" w:hAnsi="宋体" w:cs="宋体"/>
          <w:color w:val="auto"/>
          <w:sz w:val="21"/>
          <w:szCs w:val="21"/>
          <w:highlight w:val="none"/>
        </w:rPr>
        <w:t xml:space="preserve">相</w:t>
      </w:r>
      <w:r>
        <w:rPr>
          <w:rFonts w:hint="eastAsia" w:ascii="宋体" w:hAnsi="宋体" w:cs="宋体"/>
          <w:color w:val="auto"/>
          <w:sz w:val="21"/>
          <w:szCs w:val="21"/>
          <w:highlight w:val="none"/>
          <w:lang w:val="zh-CN"/>
        </w:rPr>
        <w:t xml:space="preserve">关部门的投诉处理工作。</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23、评标内容的保密</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auto"/>
          <w:sz w:val="21"/>
          <w:szCs w:val="21"/>
          <w:highlight w:val="none"/>
        </w:rPr>
        <w:t xml:space="preserve">投标</w:t>
      </w:r>
      <w:r>
        <w:rPr>
          <w:rFonts w:hint="eastAsia" w:ascii="宋体" w:hAnsi="宋体" w:cs="宋体"/>
          <w:color w:val="auto"/>
          <w:sz w:val="21"/>
          <w:szCs w:val="21"/>
          <w:highlight w:val="none"/>
          <w:lang w:val="zh-CN"/>
        </w:rPr>
        <w:t xml:space="preserve">资格。</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23.3在评标期间，招标代理机构将通过指定联络人与投标人进行联系。</w:t>
      </w:r>
      <w:r/>
    </w:p>
    <w:p>
      <w:pPr>
        <w:jc w:val="both"/>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24、对投标文件初审</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24.1投标文件初审分为资格性检查和符合性检查。</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 关于信用记录查询：</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根据政府采购法及相关法规</w:t>
      </w:r>
      <w:r>
        <w:rPr>
          <w:rFonts w:hint="eastAsia" w:ascii="宋体" w:hAnsi="宋体" w:cs="宋体"/>
          <w:color w:val="auto"/>
          <w:sz w:val="21"/>
          <w:szCs w:val="21"/>
          <w:highlight w:val="none"/>
          <w:lang w:val="en-US" w:eastAsia="zh-CN"/>
        </w:rPr>
        <w:t xml:space="preserve">及</w:t>
      </w:r>
      <w:r>
        <w:rPr>
          <w:rFonts w:ascii="宋体" w:hAnsi="宋体" w:eastAsia="宋体" w:cs="宋体"/>
          <w:color w:val="auto"/>
          <w:sz w:val="21"/>
          <w:szCs w:val="21"/>
          <w:highlight w:val="none"/>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auto"/>
          <w:sz w:val="21"/>
          <w:szCs w:val="21"/>
          <w:highlight w:val="none"/>
          <w:lang w:val="zh-CN"/>
        </w:rPr>
        <w:t xml:space="preserve">文件的规定，将对供应商进行信用查询，凡经招标人或者采购代理机确认不符合政府采购相关法律法规规定的，将拒绝其参与政府采购活动。</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24.1.2.1查询时间：投标文件递交截止时间。</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24.1.2.2查询渠道：通过“信用中国”网站、中国政府采购网等渠道查询相关主体信用记录。</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24.1.2.3查询证据留存方式：对存在失信信息的供应商，招标人或者采购代理机构应填写《苏州市级政府采购供应商失信信息确认函》，由失信供应商应签名确认。同时，采购代理机构工作人员应根据失信信息，登陆到来源网站页面进行复核并打印，作为证据留存。</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24.1.2.4信用记录使用规则：评审小组在对供应商进行资格性审查时，应根据查询结果对供应商的不良信用记录逐项甄别确认。</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24.1.3符合性检查。依据招标文件的规定，从投标文件的有效性、完整性和对招标文件的响应程度进行审查，以确定是否对招标文件的实质性要求作出响应。</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24.2.1不同投标人的投标文件由同一单位或者个人编制；</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24.2.2不同投标人委托同一单位或者个人办理投标事宜；</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24.2.3不同投标人的投标文件载明的项目管理成员或者联系人员为同一人；</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24.2.4不同投标人的投标文件异常一致或者投标报价呈规律性差异；</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24.2.5不同投标人的投标文件相互混装；</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24.6评委会将对确定为实质性响应的投标进行审核，看其是否有计算上或累加上的算术错误，修正错误的原则如下：</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24.6.1投标文件中开标一览表（报价表）内容与投标文件中相应内容不一致的，以开标一览表（报价表）为准；；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24.6.2大写金额和小写金额不一致的，以大写金额为准；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24.6.3单价金额小数点或者百分比有明显错位的，以开标一览表的总价为准，并修改单价；</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24.6.4总价金额与按单价汇总金额不一致的，以单价金额计算结果为准。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同时出现两种以上不一致的，按照前款规定的顺序修正。修正后的报价按照本须知24.6条规定经投标人确认后产生约束力，投标人不确认的，其投标无效。</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24.7</w:t>
      </w:r>
      <w:r>
        <w:rPr>
          <w:rFonts w:hint="eastAsia" w:ascii="宋体" w:hAnsi="宋体" w:cs="宋体"/>
          <w:b/>
          <w:bCs/>
          <w:color w:val="auto"/>
          <w:sz w:val="21"/>
          <w:szCs w:val="21"/>
          <w:highlight w:val="none"/>
          <w:lang w:val="zh-CN"/>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hint="eastAsia" w:ascii="宋体" w:hAnsi="宋体" w:cs="宋体"/>
          <w:color w:val="auto"/>
          <w:sz w:val="21"/>
          <w:szCs w:val="21"/>
          <w:highlight w:val="none"/>
          <w:lang w:val="zh-CN"/>
        </w:rPr>
        <w:t xml:space="preserve">。</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24.8对不同文字文本投标文件的解释发生异议的，以中文文本为准；</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24.9评标委员会对投标文件的判定，只依据投标内容本身，不依靠开标后的任何外来证明。</w:t>
      </w:r>
      <w:r/>
    </w:p>
    <w:p>
      <w:pPr>
        <w:ind w:firstLine="420"/>
        <w:jc w:val="both"/>
        <w:spacing w:line="360" w:lineRule="auto"/>
        <w:tabs>
          <w:tab w:val="left" w:pos="0" w:leader="none"/>
        </w:tabs>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24.10评标委员会将拒绝被确定为非实质性响应的投标，投标人不能通过修正或撤销不符之处而使其投标成为实质性响应的投标。</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25、投标的澄清</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26、无效投标和废标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26.1无效投标的具体情形有：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zh-CN"/>
        </w:rPr>
        <w:t xml:space="preserve">投标文件未按招标文件要求签署、盖章或电子签章的；</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不具备招标文件中规定的资格要求的；</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报价超过招标文件中规定的预算金额或者最高限价的；</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26.1.4</w:t>
      </w:r>
      <w:r>
        <w:rPr>
          <w:rFonts w:hint="eastAsia" w:ascii="宋体" w:hAnsi="宋体" w:eastAsia="宋体" w:cs="宋体"/>
          <w:color w:val="auto"/>
          <w:sz w:val="21"/>
          <w:szCs w:val="21"/>
          <w:highlight w:val="none"/>
        </w:rPr>
        <w:t xml:space="preserve">不同投标人的投标文件使用同一台电脑编制的；</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26.1.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CN"/>
        </w:rPr>
        <w:t xml:space="preserve">投标文件含有招标人不能接受的附加条件的；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26.1.</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val="zh-CN"/>
        </w:rPr>
        <w:t xml:space="preserve">法律、法规和招标文件规定的其他无效情形。</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 在招标采购中，出现下列情形之一的，应予废标：</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26.2.1符合专业条件的供应商或者对招标文件作实质响应的供应商不足三家的；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26.2.2出现影响采购公正的违法、违规行为的；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26.2.3投标人的报价均超过了采购预算，招标人不能支付的；</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26.2.4因重大变故，采购任务取消的。</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26.3 废标后，招标人应当将废标理由通知所有投标人。</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27、投标文件的评价和比较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auto"/>
          <w:sz w:val="21"/>
          <w:szCs w:val="21"/>
          <w:highlight w:val="none"/>
        </w:rPr>
        <w:t xml:space="preserve">价格、服务技术方案、公司评价、对招标文件的响应程度，以及相应的商务标和技术标比重或者分值等</w:t>
      </w:r>
      <w:r>
        <w:rPr>
          <w:rFonts w:hint="eastAsia" w:ascii="宋体" w:hAnsi="宋体" w:cs="宋体"/>
          <w:color w:val="auto"/>
          <w:sz w:val="21"/>
          <w:szCs w:val="21"/>
          <w:highlight w:val="none"/>
          <w:lang w:val="zh-CN"/>
        </w:rPr>
        <w:t xml:space="preserve">。</w:t>
      </w:r>
      <w:r/>
    </w:p>
    <w:p>
      <w:pPr>
        <w:ind w:firstLine="359"/>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27.3 最低的投标报价或最高的折扣比例是中标的重要条件，但不是唯一条件。</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七、授予合同</w:t>
      </w:r>
      <w:r/>
    </w:p>
    <w:p>
      <w:pPr>
        <w:spacing w:line="360" w:lineRule="auto"/>
        <w:rPr>
          <w:rFonts w:hint="eastAsia" w:ascii="宋体" w:hAnsi="宋体" w:cs="宋体"/>
          <w:color w:val="auto"/>
          <w:sz w:val="21"/>
          <w:szCs w:val="21"/>
          <w:highlight w:val="none"/>
          <w:lang w:val="zh-CN"/>
        </w:rPr>
      </w:pPr>
      <w:r>
        <w:rPr>
          <w:rFonts w:hint="eastAsia" w:ascii="宋体" w:hAnsi="宋体" w:cs="宋体"/>
          <w:b/>
          <w:bCs/>
          <w:color w:val="auto"/>
          <w:sz w:val="21"/>
          <w:szCs w:val="21"/>
          <w:highlight w:val="none"/>
          <w:lang w:val="zh-CN"/>
        </w:rPr>
        <w:t xml:space="preserve">28、中标人的确认</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人授权直接确定中标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auto"/>
          <w:sz w:val="21"/>
          <w:szCs w:val="21"/>
          <w:highlight w:val="none"/>
        </w:rPr>
        <w:t xml:space="preserve">作</w:t>
      </w:r>
      <w:r>
        <w:rPr>
          <w:rFonts w:hint="eastAsia" w:ascii="宋体" w:hAnsi="宋体" w:cs="宋体"/>
          <w:color w:val="auto"/>
          <w:sz w:val="21"/>
          <w:szCs w:val="21"/>
          <w:highlight w:val="none"/>
          <w:lang w:val="zh-CN"/>
        </w:rPr>
        <w:t xml:space="preserve">出答复。在此期限后向招标代理机构提出质疑或质疑未经投标人法定代表人或参加投标的代理人签署和盖公章（原件），招标代理机构有权对该质疑不予答复。</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29、合同授予标准</w:t>
      </w:r>
      <w:r/>
    </w:p>
    <w:p>
      <w:pPr>
        <w:ind w:firstLine="502"/>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29.3</w:t>
      </w:r>
      <w:r>
        <w:rPr>
          <w:rFonts w:hint="eastAsia" w:ascii="宋体" w:hAnsi="宋体" w:cs="宋体"/>
          <w:color w:val="auto"/>
          <w:sz w:val="21"/>
          <w:szCs w:val="21"/>
          <w:highlight w:val="none"/>
          <w:lang w:val="zh-CN"/>
        </w:rPr>
        <w:t xml:space="preserve">政府采购合同履行中，</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人需追加与合同标的物相同的货物、工程或者服务的，在不改变合同其他条款的前提下，可以与中标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签订补充合同，但所有补充合同的采购金额不得超过原合同采购金额的百分之十。</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30、中标通知书</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30.1</w:t>
      </w:r>
      <w:r>
        <w:rPr>
          <w:rFonts w:hint="eastAsia" w:ascii="宋体" w:hAnsi="宋体" w:cs="宋体"/>
          <w:color w:val="auto"/>
          <w:sz w:val="21"/>
          <w:szCs w:val="21"/>
          <w:highlight w:val="none"/>
        </w:rPr>
        <w:t xml:space="preserve">发出中标公告的同时招标</w:t>
      </w:r>
      <w:r>
        <w:rPr>
          <w:rFonts w:hint="eastAsia" w:ascii="宋体" w:hAnsi="宋体" w:cs="宋体"/>
          <w:color w:val="auto"/>
          <w:sz w:val="21"/>
          <w:szCs w:val="21"/>
          <w:highlight w:val="none"/>
          <w:lang w:val="zh-CN"/>
        </w:rPr>
        <w:t xml:space="preserve">代理机构应当向中标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发出中标通知书，中标通知书对</w:t>
      </w:r>
      <w:r>
        <w:rPr>
          <w:rFonts w:hint="eastAsia" w:ascii="宋体" w:hAnsi="宋体" w:cs="宋体"/>
          <w:color w:val="auto"/>
          <w:sz w:val="21"/>
          <w:szCs w:val="21"/>
          <w:highlight w:val="none"/>
        </w:rPr>
        <w:t xml:space="preserve">招标人</w:t>
      </w:r>
      <w:r>
        <w:rPr>
          <w:rFonts w:hint="eastAsia" w:ascii="宋体" w:hAnsi="宋体" w:cs="宋体"/>
          <w:color w:val="auto"/>
          <w:sz w:val="21"/>
          <w:szCs w:val="21"/>
          <w:highlight w:val="none"/>
          <w:lang w:val="zh-CN"/>
        </w:rPr>
        <w:t xml:space="preserve">和中标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具有同等法律效力。中标通知书发出后，</w:t>
      </w:r>
      <w:r>
        <w:rPr>
          <w:rFonts w:hint="eastAsia" w:ascii="宋体" w:hAnsi="宋体" w:cs="宋体"/>
          <w:color w:val="auto"/>
          <w:sz w:val="21"/>
          <w:szCs w:val="21"/>
          <w:highlight w:val="none"/>
        </w:rPr>
        <w:t xml:space="preserve">招标</w:t>
      </w:r>
      <w:r>
        <w:rPr>
          <w:rFonts w:hint="eastAsia" w:ascii="宋体" w:hAnsi="宋体" w:cs="宋体"/>
          <w:color w:val="auto"/>
          <w:sz w:val="21"/>
          <w:szCs w:val="21"/>
          <w:highlight w:val="none"/>
          <w:lang w:val="zh-CN"/>
        </w:rPr>
        <w:t xml:space="preserve">人改变中标结果，或者中标</w:t>
      </w:r>
      <w:r>
        <w:rPr>
          <w:rFonts w:hint="eastAsia" w:ascii="宋体" w:hAnsi="宋体" w:cs="宋体"/>
          <w:color w:val="auto"/>
          <w:sz w:val="21"/>
          <w:szCs w:val="21"/>
          <w:highlight w:val="none"/>
        </w:rPr>
        <w:t xml:space="preserve">人</w:t>
      </w:r>
      <w:r>
        <w:rPr>
          <w:rFonts w:hint="eastAsia" w:ascii="宋体" w:hAnsi="宋体" w:cs="宋体"/>
          <w:color w:val="auto"/>
          <w:sz w:val="21"/>
          <w:szCs w:val="21"/>
          <w:highlight w:val="none"/>
          <w:lang w:val="zh-CN"/>
        </w:rPr>
        <w:t xml:space="preserve">放弃中标，应当承担相应的法律责任。</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30.2中标通知书将成为合同的组成部分。</w:t>
      </w:r>
      <w:r/>
    </w:p>
    <w:p>
      <w:pPr>
        <w:ind w:firstLine="502"/>
        <w:spacing w:line="360" w:lineRule="auto"/>
        <w:rPr>
          <w:rFonts w:hint="eastAsia" w:ascii="宋体" w:hAnsi="宋体" w:cs="宋体"/>
          <w:b/>
          <w:bCs/>
          <w:color w:val="auto"/>
          <w:sz w:val="21"/>
          <w:szCs w:val="21"/>
          <w:highlight w:val="none"/>
        </w:rPr>
      </w:pPr>
      <w:r>
        <w:rPr>
          <w:rFonts w:hint="eastAsia" w:ascii="宋体" w:hAnsi="宋体" w:cs="宋体"/>
          <w:color w:val="auto"/>
          <w:sz w:val="21"/>
          <w:szCs w:val="21"/>
          <w:highlight w:val="none"/>
          <w:lang w:val="zh-CN"/>
        </w:rPr>
        <w:t xml:space="preserve">30.3招标代理机构对未中标人不承担解释未中标原因的义务。</w:t>
      </w:r>
      <w:r/>
    </w:p>
    <w:p>
      <w:pP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31、合同的签订</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31.2签订合同及合同条款应以招标文件和中标供应商的投标文件及其澄清文件为依据。</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32、履约保证金（</w:t>
      </w:r>
      <w:r>
        <w:rPr>
          <w:rFonts w:hint="eastAsia" w:ascii="宋体" w:hAnsi="宋体" w:cs="宋体"/>
          <w:b/>
          <w:bCs/>
          <w:color w:val="auto"/>
          <w:sz w:val="21"/>
          <w:szCs w:val="21"/>
          <w:highlight w:val="none"/>
        </w:rPr>
        <w:t xml:space="preserve">如有）</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32.1中标供应商按合同约定要求提交履约保证金。</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32.2履约保证金用以约束供应商在合同履行中的行为，弥补合同执行中由于自身行为可能给招标人带来的各种损失。</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32.3履约保证金（无息）将在中标供应商合同履行完毕且质保期满后，招标人在合同约定时间内退返中标供应商。</w:t>
      </w:r>
      <w:r/>
    </w:p>
    <w:p>
      <w:pPr>
        <w:spacing w:line="360" w:lineRule="auto"/>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t xml:space="preserve">八、其他事项</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33、中标服务费</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33.1中标人应按前附表中的约定交纳中标服务费。</w:t>
      </w:r>
      <w:r/>
    </w:p>
    <w:p>
      <w:pPr>
        <w:ind w:firstLine="439"/>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33.2中标人如果未按规定缴纳中标服务费，代理机构保留诉讼的权利。</w:t>
      </w:r>
      <w:r/>
    </w:p>
    <w:p>
      <w:pPr>
        <w:jc w:val="both"/>
        <w:spacing w:line="360" w:lineRule="auto"/>
        <w:widowControl w:val="off"/>
        <w:rPr>
          <w:rFonts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34、监督</w:t>
      </w:r>
      <w:r>
        <w:rPr>
          <w:rFonts w:hint="eastAsia" w:ascii="宋体" w:hAnsi="宋体" w:cs="宋体"/>
          <w:b/>
          <w:bCs/>
          <w:color w:val="auto"/>
          <w:sz w:val="21"/>
          <w:szCs w:val="21"/>
          <w:highlight w:val="none"/>
        </w:rPr>
        <w:t xml:space="preserve">和公证</w:t>
      </w:r>
      <w:r/>
    </w:p>
    <w:p>
      <w:pPr>
        <w:ind w:firstLine="439"/>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34.1</w:t>
      </w:r>
      <w:r>
        <w:rPr>
          <w:rFonts w:hint="eastAsia" w:ascii="宋体" w:hAnsi="宋体" w:cs="宋体"/>
          <w:color w:val="auto"/>
          <w:sz w:val="21"/>
          <w:szCs w:val="21"/>
          <w:highlight w:val="none"/>
        </w:rPr>
        <w:t xml:space="preserve">政府</w:t>
      </w:r>
      <w:r>
        <w:rPr>
          <w:rFonts w:hint="eastAsia" w:ascii="宋体" w:hAnsi="宋体" w:cs="宋体"/>
          <w:color w:val="auto"/>
          <w:sz w:val="21"/>
          <w:szCs w:val="21"/>
          <w:highlight w:val="none"/>
          <w:lang w:val="zh-CN"/>
        </w:rPr>
        <w:t xml:space="preserve">有关监督部门将对招投标全过程进行监督。</w:t>
      </w:r>
      <w:r/>
    </w:p>
    <w:p>
      <w:pPr>
        <w:ind w:firstLine="439"/>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34.2招标</w:t>
      </w:r>
      <w:r>
        <w:rPr>
          <w:rFonts w:hint="eastAsia" w:ascii="宋体" w:hAnsi="宋体" w:cs="宋体"/>
          <w:color w:val="auto"/>
          <w:sz w:val="21"/>
          <w:szCs w:val="21"/>
          <w:highlight w:val="none"/>
          <w:lang w:val="zh-CN"/>
        </w:rPr>
        <w:t xml:space="preserve">代理机构的招标过程将通过公证机关进行公证。</w:t>
      </w:r>
      <w:r/>
    </w:p>
    <w:p>
      <w:pPr>
        <w:jc w:val="both"/>
        <w:spacing w:line="360" w:lineRule="auto"/>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35、未尽事宜</w:t>
      </w:r>
      <w:r/>
    </w:p>
    <w:p>
      <w:pPr>
        <w:ind w:firstLine="420"/>
        <w:jc w:val="both"/>
        <w:spacing w:line="360" w:lineRule="auto"/>
        <w:widowControl w:val="off"/>
        <w:rPr>
          <w:rFonts w:hint="eastAsia" w:ascii="宋体" w:hAnsi="宋体" w:cs="宋体"/>
          <w:color w:val="auto"/>
          <w:sz w:val="44"/>
          <w:szCs w:val="44"/>
          <w:highlight w:val="none"/>
        </w:rPr>
      </w:pPr>
      <w:r>
        <w:rPr>
          <w:rFonts w:hint="eastAsia" w:ascii="宋体" w:hAnsi="宋体" w:cs="宋体"/>
          <w:color w:val="auto"/>
          <w:sz w:val="21"/>
          <w:szCs w:val="21"/>
          <w:highlight w:val="none"/>
          <w:lang w:val="zh-CN"/>
        </w:rPr>
        <w:t xml:space="preserve">按《中华人民共和国政府采购法》及其他有关政府采购的法律法规的规定执行。</w:t>
      </w:r>
      <w:r/>
    </w:p>
    <w:p>
      <w:pPr>
        <w:pStyle w:val="980"/>
        <w:ind w:left="0" w:firstLine="0"/>
        <w:jc w:val="both"/>
        <w:rPr>
          <w:rStyle w:val="981"/>
          <w:rFonts w:hint="eastAsia" w:ascii="宋体" w:hAnsi="宋体" w:eastAsia="宋体" w:cs="宋体"/>
          <w:color w:val="auto"/>
          <w:sz w:val="32"/>
          <w:szCs w:val="32"/>
          <w:highlight w:val="none"/>
        </w:rPr>
      </w:pPr>
      <w:r/>
      <w:bookmarkStart w:id="4" w:name="_Toc28477"/>
      <w:r/>
      <w:r/>
    </w:p>
    <w:p>
      <w:pPr>
        <w:pStyle w:val="980"/>
        <w:ind w:left="0" w:firstLine="0"/>
        <w:jc w:val="center"/>
        <w:rPr>
          <w:rFonts w:hint="default"/>
          <w:color w:val="auto"/>
          <w:highlight w:val="none"/>
          <w:lang w:val="en-US" w:eastAsia="zh-CN"/>
        </w:rPr>
      </w:pPr>
      <w:r>
        <w:rPr>
          <w:rStyle w:val="981"/>
          <w:rFonts w:hint="eastAsia" w:ascii="宋体" w:hAnsi="宋体" w:eastAsia="宋体" w:cs="宋体"/>
          <w:color w:val="auto"/>
          <w:sz w:val="32"/>
          <w:szCs w:val="32"/>
          <w:highlight w:val="none"/>
        </w:rPr>
        <w:t xml:space="preserve">第三章 </w:t>
      </w:r>
      <w:bookmarkEnd w:id="4"/>
      <w:r>
        <w:rPr>
          <w:rStyle w:val="981"/>
          <w:rFonts w:hint="eastAsia" w:ascii="宋体" w:hAnsi="宋体" w:eastAsia="宋体" w:cs="宋体"/>
          <w:color w:val="auto"/>
          <w:sz w:val="32"/>
          <w:szCs w:val="32"/>
          <w:highlight w:val="none"/>
          <w:lang w:val="en-US" w:eastAsia="zh-CN"/>
        </w:rPr>
        <w:t xml:space="preserve">项目需求</w:t>
      </w:r>
      <w:r/>
    </w:p>
    <w:p>
      <w:pPr>
        <w:ind w:right="0" w:firstLine="420"/>
        <w:keepLines w:val="0"/>
        <w:keepNext w:val="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太仓市公安局</w:t>
      </w:r>
      <w:r>
        <w:rPr>
          <w:rFonts w:hint="eastAsia" w:ascii="宋体" w:hAnsi="宋体" w:cs="宋体"/>
          <w:color w:val="auto"/>
          <w:sz w:val="21"/>
          <w:szCs w:val="21"/>
          <w:highlight w:val="none"/>
        </w:rPr>
        <w:t xml:space="preserve">之委托，</w:t>
      </w:r>
      <w:r>
        <w:rPr>
          <w:rFonts w:hint="eastAsia" w:ascii="宋体" w:hAnsi="宋体" w:cs="宋体"/>
          <w:color w:val="auto"/>
          <w:sz w:val="21"/>
          <w:szCs w:val="21"/>
          <w:highlight w:val="none"/>
          <w:lang w:eastAsia="zh-CN"/>
        </w:rPr>
        <w:t xml:space="preserve">苏州泰至鑫项目管理有限公司</w:t>
      </w:r>
      <w:r>
        <w:rPr>
          <w:rFonts w:hint="eastAsia" w:ascii="宋体" w:hAnsi="宋体" w:cs="宋体"/>
          <w:color w:val="auto"/>
          <w:sz w:val="21"/>
          <w:szCs w:val="21"/>
          <w:highlight w:val="none"/>
        </w:rPr>
        <w:t xml:space="preserve">作为招标代理机构，对其拟采购的</w:t>
      </w:r>
      <w:r>
        <w:rPr>
          <w:rFonts w:hint="eastAsia" w:ascii="宋体" w:hAnsi="宋体" w:cs="宋体"/>
          <w:color w:val="auto"/>
          <w:sz w:val="21"/>
          <w:szCs w:val="21"/>
          <w:highlight w:val="none"/>
          <w:lang w:eastAsia="zh-CN"/>
        </w:rPr>
        <w:t xml:space="preserve">2025交通设施设备更新维护</w:t>
      </w:r>
      <w:r>
        <w:rPr>
          <w:rFonts w:hint="eastAsia" w:ascii="宋体" w:hAnsi="宋体" w:cs="宋体"/>
          <w:color w:val="auto"/>
          <w:sz w:val="21"/>
          <w:szCs w:val="21"/>
          <w:highlight w:val="none"/>
        </w:rPr>
        <w:t xml:space="preserve">进行国内公开招标。欢迎符合资格条件的供应商前来报名参加投标。</w:t>
      </w:r>
      <w:r/>
    </w:p>
    <w:p>
      <w:pPr>
        <w:pStyle w:val="951"/>
        <w:ind w:firstLine="420"/>
        <w:rPr>
          <w:rFonts w:hint="default" w:eastAsia="宋体"/>
          <w:color w:val="auto"/>
          <w:highlight w:val="none"/>
          <w:lang w:val="en-US" w:eastAsia="zh-CN"/>
        </w:rPr>
      </w:pPr>
      <w:r>
        <w:rPr>
          <w:rFonts w:hint="eastAsia" w:ascii="宋体" w:hAnsi="宋体" w:cs="宋体"/>
          <w:color w:val="auto"/>
          <w:sz w:val="21"/>
          <w:szCs w:val="21"/>
          <w:highlight w:val="none"/>
          <w:lang w:val="en-US" w:eastAsia="zh-CN"/>
        </w:rPr>
        <w:t xml:space="preserve">一、项目概况</w:t>
      </w:r>
      <w:r/>
    </w:p>
    <w:p>
      <w:pPr>
        <w:numPr>
          <w:ilvl w:val="0"/>
          <w:numId w:val="0"/>
        </w:numPr>
        <w:ind w:right="0" w:firstLine="422"/>
        <w:keepLines w:val="0"/>
        <w:keepNext w:val="0"/>
        <w:pageBreakBefore w:val="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color w:val="auto"/>
          <w:sz w:val="21"/>
          <w:szCs w:val="21"/>
          <w:highlight w:val="none"/>
          <w:lang w:val="en-US" w:eastAsia="zh-CN"/>
        </w:rPr>
        <w:t xml:space="preserve">1、</w:t>
      </w:r>
      <w:r>
        <w:rPr>
          <w:rFonts w:hint="eastAsia" w:ascii="宋体" w:hAnsi="宋体" w:eastAsia="宋体" w:cs="宋体"/>
          <w:b/>
          <w:color w:val="auto"/>
          <w:sz w:val="21"/>
          <w:szCs w:val="21"/>
          <w:highlight w:val="none"/>
          <w:lang w:val="zh-CN"/>
        </w:rPr>
        <w:t xml:space="preserve">招标编号：</w:t>
      </w:r>
      <w:r>
        <w:rPr>
          <w:rFonts w:hint="eastAsia" w:ascii="宋体" w:hAnsi="宋体" w:cs="宋体"/>
          <w:b w:val="0"/>
          <w:bCs w:val="0"/>
          <w:color w:val="auto"/>
          <w:sz w:val="21"/>
          <w:szCs w:val="21"/>
          <w:highlight w:val="none"/>
          <w:lang w:val="zh-CN"/>
        </w:rPr>
        <w:t xml:space="preserve">JSZC-320585-SZTZ-G2025-0007</w:t>
      </w:r>
      <w:r/>
    </w:p>
    <w:p>
      <w:pPr>
        <w:numPr>
          <w:ilvl w:val="0"/>
          <w:numId w:val="0"/>
        </w:numPr>
        <w:ind w:right="0" w:firstLine="422"/>
        <w:keepLines w:val="0"/>
        <w:keepNext w:val="0"/>
        <w:pageBreakBefore w:val="0"/>
        <w:spacing w:line="360" w:lineRule="auto"/>
        <w:widowControl/>
        <w:tabs>
          <w:tab w:val="left" w:pos="3600" w:leader="none"/>
        </w:tabs>
        <w:rPr>
          <w:rFonts w:hint="eastAsia" w:ascii="宋体" w:hAnsi="宋体" w:eastAsia="宋体" w:cs="宋体"/>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2、</w:t>
      </w:r>
      <w:r>
        <w:rPr>
          <w:rFonts w:hint="eastAsia" w:ascii="宋体" w:hAnsi="宋体" w:eastAsia="宋体" w:cs="宋体"/>
          <w:b/>
          <w:color w:val="auto"/>
          <w:sz w:val="21"/>
          <w:szCs w:val="21"/>
          <w:highlight w:val="none"/>
          <w:lang w:val="zh-CN"/>
        </w:rPr>
        <w:t xml:space="preserve">项目名称：</w:t>
      </w:r>
      <w:r>
        <w:rPr>
          <w:rFonts w:hint="eastAsia" w:ascii="宋体" w:hAnsi="宋体" w:cs="宋体"/>
          <w:color w:val="auto"/>
          <w:sz w:val="21"/>
          <w:szCs w:val="21"/>
          <w:highlight w:val="none"/>
          <w:lang w:eastAsia="zh-CN"/>
        </w:rPr>
        <w:t xml:space="preserve">2025交通设施设备更新维护</w:t>
      </w:r>
      <w:r/>
    </w:p>
    <w:p>
      <w:pPr>
        <w:numPr>
          <w:ilvl w:val="0"/>
          <w:numId w:val="0"/>
        </w:numPr>
        <w:ind w:right="0" w:firstLine="422"/>
        <w:keepLines w:val="0"/>
        <w:keepNext w:val="0"/>
        <w:pageBreakBefore w:val="0"/>
        <w:spacing w:line="360" w:lineRule="auto"/>
        <w:widowControl/>
        <w:tabs>
          <w:tab w:val="left" w:pos="3600" w:leader="none"/>
        </w:tabs>
        <w:rPr>
          <w:rFonts w:hint="eastAsia" w:ascii="宋体" w:hAnsi="宋体" w:eastAsia="宋体" w:cs="宋体"/>
          <w:b w:val="0"/>
          <w:bCs w:val="0"/>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lang w:val="zh-CN"/>
        </w:rPr>
        <w:t xml:space="preserve">合同履行期限：</w:t>
      </w:r>
      <w:r>
        <w:rPr>
          <w:rFonts w:hint="eastAsia" w:ascii="宋体" w:hAnsi="宋体" w:cs="宋体"/>
          <w:b w:val="0"/>
          <w:bCs w:val="0"/>
          <w:color w:val="auto"/>
          <w:sz w:val="21"/>
          <w:szCs w:val="21"/>
          <w:highlight w:val="none"/>
          <w:lang w:val="zh-CN"/>
        </w:rPr>
        <w:t xml:space="preserve">一年或项目累计结算金额达到预算金额止（以先到项为准）。</w:t>
      </w:r>
      <w:r/>
    </w:p>
    <w:p>
      <w:pPr>
        <w:numPr>
          <w:ilvl w:val="0"/>
          <w:numId w:val="0"/>
        </w:numPr>
        <w:ind w:right="0" w:firstLine="422"/>
        <w:keepLines w:val="0"/>
        <w:keepNext w:val="0"/>
        <w:pageBreakBefore w:val="0"/>
        <w:spacing w:line="360" w:lineRule="auto"/>
        <w:widowControl/>
        <w:tabs>
          <w:tab w:val="left" w:pos="36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4、预算金额：</w:t>
      </w:r>
      <w:r>
        <w:rPr>
          <w:rFonts w:hint="eastAsia" w:ascii="宋体" w:hAnsi="宋体" w:cs="宋体"/>
          <w:color w:val="auto"/>
          <w:sz w:val="21"/>
          <w:szCs w:val="21"/>
          <w:highlight w:val="none"/>
          <w:lang w:val="en-US" w:eastAsia="zh-CN"/>
        </w:rPr>
        <w:t xml:space="preserve">壹佰壹拾柒万元整（¥1170000.00）</w:t>
      </w:r>
      <w:r/>
    </w:p>
    <w:p>
      <w:pPr>
        <w:numPr>
          <w:ilvl w:val="0"/>
          <w:numId w:val="0"/>
        </w:numPr>
        <w:ind w:right="0" w:firstLine="422"/>
        <w:keepLines w:val="0"/>
        <w:keepNext w:val="0"/>
        <w:pageBreakBefore w:val="0"/>
        <w:spacing w:line="360" w:lineRule="auto"/>
        <w:widowControl/>
        <w:tabs>
          <w:tab w:val="left" w:pos="3600" w:leader="none"/>
        </w:tabs>
        <w:rPr>
          <w:rFonts w:hint="eastAsia" w:ascii="宋体" w:hAnsi="宋体" w:eastAsia="宋体" w:cs="宋体"/>
          <w:color w:val="auto"/>
          <w:sz w:val="21"/>
          <w:szCs w:val="21"/>
          <w:highlight w:val="none"/>
        </w:rPr>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5、最高限价：</w:t>
      </w:r>
      <w:r>
        <w:rPr>
          <w:rFonts w:hint="eastAsia" w:ascii="宋体" w:hAnsi="宋体" w:cs="宋体"/>
          <w:color w:val="auto"/>
          <w:sz w:val="21"/>
          <w:szCs w:val="21"/>
          <w:highlight w:val="none"/>
          <w:lang w:val="en-US" w:eastAsia="zh-CN"/>
        </w:rPr>
        <w:t xml:space="preserve">壹佰壹拾柒万元整（¥1170000.00）</w:t>
      </w:r>
      <w:r/>
    </w:p>
    <w:p>
      <w:pPr>
        <w:numPr>
          <w:ilvl w:val="0"/>
          <w:numId w:val="0"/>
        </w:numPr>
        <w:ind w:right="0" w:firstLine="422"/>
        <w:keepLines w:val="0"/>
        <w:keepNext w:val="0"/>
        <w:pageBreakBefore w:val="0"/>
        <w:spacing w:line="360" w:lineRule="auto"/>
        <w:widowControl/>
        <w:tabs>
          <w:tab w:val="left" w:pos="3600" w:leader="none"/>
        </w:tabs>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6、</w:t>
      </w:r>
      <w:r>
        <w:rPr>
          <w:rFonts w:hint="eastAsia" w:ascii="宋体" w:hAnsi="宋体" w:cs="宋体"/>
          <w:b/>
          <w:bCs/>
          <w:color w:val="auto"/>
          <w:sz w:val="21"/>
          <w:szCs w:val="21"/>
          <w:highlight w:val="none"/>
          <w:lang w:eastAsia="zh-CN"/>
        </w:rPr>
        <w:t xml:space="preserve">安装地点</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eastAsia="zh-CN"/>
        </w:rPr>
        <w:t xml:space="preserve">采购方指定</w:t>
      </w:r>
      <w:r/>
    </w:p>
    <w:p>
      <w:pPr>
        <w:numPr>
          <w:ilvl w:val="0"/>
          <w:numId w:val="0"/>
        </w:numPr>
        <w:ind w:right="0" w:firstLine="422"/>
        <w:keepLines w:val="0"/>
        <w:keepNext w:val="0"/>
        <w:pageBreakBefore w:val="0"/>
        <w:spacing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lang w:val="zh-CN"/>
        </w:rPr>
        <w:t xml:space="preserve">采购需求：</w:t>
      </w:r>
      <w:r/>
    </w:p>
    <w:p>
      <w:pPr>
        <w:ind w:firstLine="422"/>
        <w:keepLines w:val="0"/>
        <w:keepNext w:val="0"/>
        <w:pageBreakBefore w:val="0"/>
        <w:spacing w:line="360" w:lineRule="auto"/>
        <w:widowControl/>
        <w:rPr>
          <w:rFonts w:ascii="宋体" w:hAnsi="宋体"/>
          <w:b/>
          <w:bCs/>
          <w:color w:val="auto"/>
          <w:sz w:val="21"/>
          <w:szCs w:val="21"/>
          <w:highlight w:val="none"/>
        </w:rPr>
      </w:pPr>
      <w:r>
        <w:rPr>
          <w:rFonts w:hint="eastAsia" w:ascii="宋体" w:hAnsi="宋体"/>
          <w:b/>
          <w:bCs/>
          <w:color w:val="auto"/>
          <w:sz w:val="21"/>
          <w:szCs w:val="21"/>
          <w:highlight w:val="none"/>
        </w:rPr>
        <w:t xml:space="preserve">（一）内容清单及单价限价：（提醒：考虑购买保险费用）</w:t>
      </w:r>
      <w:r/>
    </w:p>
    <w:tbl>
      <w:tblPr>
        <w:tblStyle w:val="947"/>
        <w:tblW w:w="0" w:type="auto"/>
        <w:tblInd w:w="66" w:type="dxa"/>
        <w:tblLayout w:type="fixed"/>
        <w:tblCellMar>
          <w:left w:w="108" w:type="dxa"/>
          <w:top w:w="0" w:type="dxa"/>
          <w:right w:w="108" w:type="dxa"/>
          <w:bottom w:w="0" w:type="dxa"/>
        </w:tblCellMar>
        <w:tblLook w:val="04A0" w:firstRow="1" w:lastRow="0" w:firstColumn="1" w:lastColumn="0" w:noHBand="0" w:noVBand="1"/>
      </w:tblPr>
      <w:tblGrid>
        <w:gridCol w:w="666"/>
        <w:gridCol w:w="1607"/>
        <w:gridCol w:w="2485"/>
        <w:gridCol w:w="647"/>
        <w:gridCol w:w="956"/>
        <w:gridCol w:w="1256"/>
        <w:gridCol w:w="1824"/>
      </w:tblGrid>
      <w:tr>
        <w:trPr>
          <w:trHeight w:val="270"/>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60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标的物名称</w:t>
            </w:r>
            <w:r/>
          </w:p>
        </w:tc>
        <w:tc>
          <w:tcPr>
            <w:tcBorders>
              <w:top w:val="single" w:color="auto" w:sz="4" w:space="0"/>
              <w:left w:val="none" w:color="000000" w:sz="4" w:space="0"/>
              <w:bottom w:val="single" w:color="auto" w:sz="4" w:space="0"/>
              <w:right w:val="single" w:color="auto" w:sz="4" w:space="0"/>
            </w:tcBorders>
            <w:tcW w:w="248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规格</w:t>
            </w:r>
            <w:r/>
          </w:p>
        </w:tc>
        <w:tc>
          <w:tcPr>
            <w:tcBorders>
              <w:top w:val="single" w:color="auto"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最高限价（元）</w:t>
            </w:r>
            <w:r/>
          </w:p>
        </w:tc>
        <w:tc>
          <w:tcPr>
            <w:tcBorders>
              <w:top w:val="single" w:color="auto" w:sz="4" w:space="0"/>
              <w:left w:val="none" w:color="000000" w:sz="4" w:space="0"/>
              <w:bottom w:val="single" w:color="auto" w:sz="4" w:space="0"/>
              <w:right w:val="single" w:color="auto" w:sz="4" w:space="0"/>
            </w:tcBorders>
            <w:tcW w:w="1824"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trHeight w:val="45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交通标志板面（金属板及反光膜安装）</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2500×4000(mm)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6500</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75"/>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交通标志悬臂</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热镀锌钢管、喷塑φ140×8000×3根（mm）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8500</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75"/>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交通标志悬臂</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热镀锌钢管、喷塑φ140×5000×2根（mm）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5610</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75"/>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交通标志立柱</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热镀锌钢管、喷塑φ325×8500mm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15000</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基础</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1200×1200×2000（mm）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3600</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包含预埋件</w:t>
            </w:r>
            <w:r/>
          </w:p>
        </w:tc>
      </w:tr>
      <w:tr>
        <w:trPr>
          <w:trHeight w:val="675"/>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禁令、指示、警告交通标志以及其它定制标志等</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含底板及膜等（详见技术要求）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650</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立杆</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φ140×3500（mm）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1000</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立杆基础</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600×600×600（mm）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234</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包含预埋件</w:t>
            </w:r>
            <w:r/>
          </w:p>
        </w:tc>
      </w:tr>
      <w:tr>
        <w:trPr>
          <w:trHeight w:val="45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减速驳</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1000×300×40（mm）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防撞桶、水马</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825×φ580（mm）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只</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234</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防撞护栏</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900</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防撞护栏（包含所有配件）</w:t>
            </w:r>
            <w:r/>
          </w:p>
        </w:tc>
      </w:tr>
      <w:tr>
        <w:trPr>
          <w:trHeight w:val="27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护拦</w:t>
            </w:r>
            <w:r>
              <w:rPr>
                <w:rFonts w:hint="eastAsia" w:ascii="宋体" w:hAnsi="宋体" w:cs="宋体"/>
                <w:color w:val="auto"/>
                <w:sz w:val="21"/>
                <w:szCs w:val="21"/>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650</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过渡及降坡段按8折计价，普通护栏（包含所有配件）</w:t>
            </w:r>
            <w:r/>
          </w:p>
        </w:tc>
      </w:tr>
      <w:tr>
        <w:trPr>
          <w:trHeight w:val="45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护拦</w:t>
            </w:r>
            <w:r>
              <w:rPr>
                <w:rFonts w:hint="eastAsia" w:ascii="宋体" w:hAnsi="宋体" w:cs="宋体"/>
                <w:color w:val="auto"/>
                <w:sz w:val="21"/>
                <w:szCs w:val="21"/>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340</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过渡及降坡段按8折计价，原有白色普通护栏（包含所有配件）</w:t>
            </w:r>
            <w:r/>
          </w:p>
        </w:tc>
      </w:tr>
      <w:tr>
        <w:trPr>
          <w:trHeight w:val="45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交通标志反光膜</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380</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包含材料及安装</w:t>
            </w:r>
            <w:r/>
          </w:p>
        </w:tc>
      </w:tr>
      <w:tr>
        <w:trPr>
          <w:trHeight w:val="27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金属警示桩</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φ160mm×800（mm）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75"/>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反光锥桶</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70cm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只</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68</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优质橡胶，国标高强反光膜</w:t>
            </w:r>
            <w:r/>
          </w:p>
        </w:tc>
      </w:tr>
      <w:tr>
        <w:trPr>
          <w:trHeight w:val="27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塑料警示桩</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Φ80*H750（mm）</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只</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54</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被动发光道钉</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只</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60</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地面反光贴</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90</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主动发光标志</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定制（详见技术要求）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2000</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维护人工</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1人工日</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维护等不牵涉到材料时</w:t>
            </w:r>
            <w:r/>
          </w:p>
        </w:tc>
      </w:tr>
      <w:tr>
        <w:trPr>
          <w:trHeight w:val="45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热熔型反光标线</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见技术要求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50</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常温型反光标线（含路缘石黄黑等色喷涂）</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见技术要求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震荡标线</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见技术要求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120</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热熔标线清除(水除线）</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见技术要求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100</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热熔型喷涂图案</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见技术要求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个</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120</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热熔型喷涂文字</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见技术要求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个</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90</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0"/>
        </w:trPr>
        <w:tc>
          <w:tcPr>
            <w:tcBorders>
              <w:top w:val="none" w:color="000000"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w:t>
            </w:r>
            <w:r/>
          </w:p>
        </w:tc>
        <w:tc>
          <w:tcPr>
            <w:tcBorders>
              <w:top w:val="none" w:color="000000" w:sz="4" w:space="0"/>
              <w:left w:val="none" w:color="000000"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彩色路面</w:t>
            </w:r>
            <w:r>
              <w:rPr>
                <w:rFonts w:hint="eastAsia" w:ascii="宋体" w:hAnsi="宋体" w:cs="宋体"/>
                <w:b/>
                <w:color w:val="auto"/>
                <w:sz w:val="21"/>
                <w:szCs w:val="21"/>
                <w:highlight w:val="none"/>
              </w:rPr>
              <w:t xml:space="preserve">（</w:t>
            </w:r>
            <w:r>
              <w:rPr>
                <w:rFonts w:hint="eastAsia" w:ascii="宋体" w:hAnsi="宋体" w:cs="宋体"/>
                <w:color w:val="auto"/>
                <w:sz w:val="21"/>
                <w:szCs w:val="21"/>
                <w:highlight w:val="none"/>
              </w:rPr>
              <w:t xml:space="preserve">右转危险区标线</w:t>
            </w:r>
            <w:r>
              <w:rPr>
                <w:rFonts w:hint="eastAsia" w:ascii="宋体" w:hAnsi="宋体" w:cs="宋体"/>
                <w:b/>
                <w:color w:val="auto"/>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见技术要求</w:t>
            </w:r>
            <w:r/>
          </w:p>
        </w:tc>
        <w:tc>
          <w:tcPr>
            <w:tcBorders>
              <w:top w:val="none" w:color="000000" w:sz="4" w:space="0"/>
              <w:left w:val="none" w:color="000000"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150</w:t>
            </w:r>
            <w:r/>
          </w:p>
        </w:tc>
        <w:tc>
          <w:tcPr>
            <w:tcBorders>
              <w:top w:val="none" w:color="000000" w:sz="4" w:space="0"/>
              <w:left w:val="none" w:color="000000"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29</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热熔型彩色陶瓷防滑路面</w:t>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见技术要求</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平方米</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180</w:t>
            </w: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trHeight w:val="90"/>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带反光珠分道标、分道标</w:t>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both"/>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底座不小于180*140</w:t>
            </w:r>
            <w:r>
              <w:rPr>
                <w:rFonts w:hint="eastAsia" w:ascii="宋体" w:hAnsi="宋体" w:cs="宋体"/>
                <w:color w:val="auto"/>
                <w:sz w:val="21"/>
                <w:szCs w:val="21"/>
                <w:highlight w:val="none"/>
              </w:rPr>
              <w:t xml:space="preserve">（mm）</w:t>
            </w:r>
            <w:r/>
          </w:p>
          <w:p>
            <w:pPr>
              <w:jc w:val="both"/>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高度不小于280</w:t>
            </w:r>
            <w:r>
              <w:rPr>
                <w:rFonts w:hint="eastAsia" w:ascii="宋体" w:hAnsi="宋体" w:cs="宋体"/>
                <w:color w:val="auto"/>
                <w:sz w:val="21"/>
                <w:szCs w:val="21"/>
                <w:highlight w:val="none"/>
              </w:rPr>
              <w:t xml:space="preserve">（mm）</w:t>
            </w:r>
            <w:r/>
          </w:p>
          <w:p>
            <w:pPr>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60</w:t>
            </w: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mc:AlternateContent>
                <mc:Choice Requires="wpg">
                  <w:drawing>
                    <wp:inline xmlns:wp="http://schemas.openxmlformats.org/drawingml/2006/wordprocessingDrawing" distT="0" distB="0" distL="0" distR="0">
                      <wp:extent cx="848995" cy="667385"/>
                      <wp:effectExtent l="0" t="0" r="8255" b="18415"/>
                      <wp:docPr id="3" name="图片 140" descr="99f2016ab2917a8e4cd95e91fe1de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0" descr="99f2016ab2917a8e4cd95e91fe1de02"/>
                              <pic:cNvPicPr>
                                <a:picLocks noChangeAspect="1"/>
                              </pic:cNvPicPr>
                              <pic:nvPr/>
                            </pic:nvPicPr>
                            <pic:blipFill>
                              <a:blip r:embed="rId17"/>
                              <a:srcRect l="0" t="22138" r="0" b="33628"/>
                              <a:stretch/>
                            </pic:blipFill>
                            <pic:spPr bwMode="auto">
                              <a:xfrm>
                                <a:off x="0" y="0"/>
                                <a:ext cx="848995" cy="667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6.8pt;height:52.5pt;mso-wrap-distance-left:0.0pt;mso-wrap-distance-top:0.0pt;mso-wrap-distance-right:0.0pt;mso-wrap-distance-bottom:0.0pt;" stroked="false">
                      <v:path textboxrect="0,0,0,0"/>
                      <v:imagedata r:id="rId17" o:title=""/>
                    </v:shape>
                  </w:pict>
                </mc:Fallback>
              </mc:AlternateContent>
            </w:r>
            <w:r/>
          </w:p>
          <w:p>
            <w:pPr>
              <w:jc w:val="both"/>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mc:AlternateContent>
                <mc:Choice Requires="wpg">
                  <w:drawing>
                    <wp:inline xmlns:wp="http://schemas.openxmlformats.org/drawingml/2006/wordprocessingDrawing" distT="0" distB="0" distL="0" distR="0">
                      <wp:extent cx="838835" cy="816610"/>
                      <wp:effectExtent l="0" t="0" r="18415" b="2540"/>
                      <wp:docPr id="4" name="图片 141" descr="8ca4349dea450bdbcca65e04bdeae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descr="8ca4349dea450bdbcca65e04bdeaef1"/>
                              <pic:cNvPicPr>
                                <a:picLocks noChangeAspect="1"/>
                              </pic:cNvPicPr>
                              <pic:nvPr/>
                            </pic:nvPicPr>
                            <pic:blipFill>
                              <a:blip r:embed="rId18"/>
                              <a:srcRect l="0" t="26982" r="0" b="25836"/>
                              <a:stretch/>
                            </pic:blipFill>
                            <pic:spPr bwMode="auto">
                              <a:xfrm>
                                <a:off x="0" y="0"/>
                                <a:ext cx="838835" cy="8166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6.0pt;height:64.3pt;mso-wrap-distance-left:0.0pt;mso-wrap-distance-top:0.0pt;mso-wrap-distance-right:0.0pt;mso-wrap-distance-bottom:0.0pt;" stroked="false">
                      <v:path textboxrect="0,0,0,0"/>
                      <v:imagedata r:id="rId18" o:title=""/>
                    </v:shape>
                  </w:pict>
                </mc:Fallback>
              </mc:AlternateContent>
            </w:r>
            <w:r/>
          </w:p>
        </w:tc>
      </w:tr>
      <w:tr>
        <w:trPr>
          <w:trHeight w:val="138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spacing w:line="360" w:lineRule="auto"/>
              <w:rPr>
                <w:rFonts w:hint="default"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31</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jc w:val="both"/>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电杆防撞桶</w:t>
            </w:r>
            <w:r/>
          </w:p>
        </w:tc>
        <w:tc>
          <w:tcPr>
            <w:tcBorders>
              <w:top w:val="single" w:color="auto" w:sz="4" w:space="0"/>
              <w:left w:val="single" w:color="auto" w:sz="4" w:space="0"/>
              <w:bottom w:val="single" w:color="auto" w:sz="4" w:space="0"/>
              <w:right w:val="single" w:color="auto" w:sz="4" w:space="0"/>
            </w:tcBorders>
            <w:tcW w:w="2485" w:type="dxa"/>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高度不小于1000（</w:t>
            </w:r>
            <w:r>
              <w:rPr>
                <w:rFonts w:hint="eastAsia" w:ascii="宋体" w:hAnsi="宋体" w:cs="宋体"/>
                <w:color w:val="auto"/>
                <w:sz w:val="21"/>
                <w:szCs w:val="21"/>
                <w:highlight w:val="none"/>
              </w:rPr>
              <w:t xml:space="preserve">mm</w:t>
            </w:r>
            <w:r>
              <w:rPr>
                <w:rFonts w:hint="eastAsia" w:ascii="宋体" w:hAnsi="宋体" w:cs="宋体"/>
                <w:color w:val="auto"/>
                <w:sz w:val="21"/>
                <w:szCs w:val="21"/>
                <w:highlight w:val="none"/>
                <w:lang w:val="en-US" w:eastAsia="zh-CN"/>
              </w:rPr>
              <w:t xml:space="preserve">）</w:t>
            </w:r>
            <w:r/>
          </w:p>
          <w:p>
            <w:pPr>
              <w:pStyle w:val="952"/>
              <w:ind w:left="0" w:firstLine="0"/>
              <w:jc w:val="both"/>
              <w:rPr>
                <w:rFonts w:hint="default"/>
                <w:color w:val="auto"/>
                <w:highlight w:val="none"/>
                <w:lang w:val="en-US" w:eastAsia="zh-CN"/>
              </w:rPr>
            </w:pPr>
            <w:r>
              <w:rPr>
                <w:rFonts w:hint="eastAsia" w:ascii="宋体" w:hAnsi="宋体" w:cs="宋体"/>
                <w:color w:val="auto"/>
                <w:sz w:val="21"/>
                <w:szCs w:val="21"/>
                <w:highlight w:val="none"/>
                <w:lang w:val="en-US" w:eastAsia="zh-CN"/>
              </w:rPr>
              <w:t xml:space="preserve">宽度不小于600（</w:t>
            </w:r>
            <w:r>
              <w:rPr>
                <w:rFonts w:hint="eastAsia" w:ascii="宋体" w:hAnsi="宋体" w:cs="宋体"/>
                <w:color w:val="auto"/>
                <w:sz w:val="21"/>
                <w:szCs w:val="21"/>
                <w:highlight w:val="none"/>
              </w:rPr>
              <w:t xml:space="preserve">mm</w:t>
            </w:r>
            <w:r>
              <w:rPr>
                <w:rFonts w:hint="eastAsia" w:ascii="宋体" w:hAnsi="宋体" w:cs="宋体"/>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647" w:type="dxa"/>
            <w:vAlign w:val="center"/>
            <w:textDirection w:val="lrTb"/>
            <w:noWrap w:val="false"/>
          </w:tcPr>
          <w:p>
            <w:pPr>
              <w:jc w:val="both"/>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956" w:type="dxa"/>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56" w:type="dxa"/>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280</w:t>
            </w:r>
            <w:r/>
          </w:p>
        </w:tc>
        <w:tc>
          <w:tcPr>
            <w:tcBorders>
              <w:top w:val="single" w:color="auto" w:sz="4" w:space="0"/>
              <w:left w:val="single" w:color="auto" w:sz="4" w:space="0"/>
              <w:bottom w:val="single" w:color="auto" w:sz="4" w:space="0"/>
              <w:right w:val="single" w:color="auto" w:sz="4" w:space="0"/>
            </w:tcBorders>
            <w:tcW w:w="1824" w:type="dxa"/>
            <w:vAlign w:val="center"/>
            <w:textDirection w:val="lrTb"/>
            <w:noWrap w:val="false"/>
          </w:tcPr>
          <w:p>
            <w:pPr>
              <w:jc w:val="both"/>
              <w:spacing w:line="360" w:lineRule="auto"/>
              <w:rPr>
                <w:rFonts w:hint="eastAsia" w:ascii="宋体" w:hAnsi="宋体" w:cs="宋体"/>
                <w:b/>
                <w:color w:val="auto"/>
                <w:sz w:val="21"/>
                <w:szCs w:val="21"/>
                <w:highlight w:val="none"/>
              </w:rPr>
            </w:pPr>
            <w:r>
              <w:rPr>
                <w:rFonts w:hint="eastAsia" w:ascii="宋体" w:hAnsi="宋体" w:eastAsia="宋体" w:cs="宋体"/>
                <w:color w:val="auto"/>
                <w:sz w:val="21"/>
                <w:szCs w:val="21"/>
                <w:highlight w:val="none"/>
                <w:lang w:val="en-US" w:eastAsia="zh-CN"/>
              </w:rPr>
              <mc:AlternateContent>
                <mc:Choice Requires="wpg">
                  <w:drawing>
                    <wp:inline xmlns:wp="http://schemas.openxmlformats.org/drawingml/2006/wordprocessingDrawing" distT="0" distB="0" distL="0" distR="0">
                      <wp:extent cx="1020445" cy="1014095"/>
                      <wp:effectExtent l="0" t="0" r="8255" b="14604"/>
                      <wp:docPr id="5" name="图片 135" descr="d682301a71b40e7d5db2a19bd89e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5" descr="d682301a71b40e7d5db2a19bd89e680"/>
                              <pic:cNvPicPr>
                                <a:picLocks noChangeAspect="1"/>
                              </pic:cNvPicPr>
                              <pic:nvPr/>
                            </pic:nvPicPr>
                            <pic:blipFill>
                              <a:blip r:embed="rId19"/>
                              <a:srcRect l="0" t="26154" r="0" b="25671"/>
                              <a:stretch/>
                            </pic:blipFill>
                            <pic:spPr bwMode="auto">
                              <a:xfrm>
                                <a:off x="0" y="0"/>
                                <a:ext cx="1020445" cy="1014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0.3pt;height:79.8pt;mso-wrap-distance-left:0.0pt;mso-wrap-distance-top:0.0pt;mso-wrap-distance-right:0.0pt;mso-wrap-distance-bottom:0.0pt;" stroked="false">
                      <v:path textboxrect="0,0,0,0"/>
                      <v:imagedata r:id="rId19" o:title=""/>
                    </v:shape>
                  </w:pict>
                </mc:Fallback>
              </mc:AlternateContent>
            </w:r>
            <w:r/>
          </w:p>
        </w:tc>
      </w:tr>
    </w:tbl>
    <w:p>
      <w:pPr>
        <w:ind w:firstLine="422"/>
        <w:spacing w:line="360" w:lineRule="auto"/>
        <w:rPr>
          <w:rFonts w:ascii="宋体" w:hAnsi="宋体"/>
          <w:b/>
          <w:bCs/>
          <w:color w:val="auto"/>
          <w:sz w:val="21"/>
          <w:szCs w:val="21"/>
          <w:highlight w:val="none"/>
        </w:rPr>
      </w:pPr>
      <w:r>
        <w:rPr>
          <w:rFonts w:hint="eastAsia" w:ascii="宋体" w:hAnsi="宋体" w:cs="宋体"/>
          <w:b/>
          <w:color w:val="auto"/>
          <w:sz w:val="21"/>
          <w:szCs w:val="21"/>
          <w:highlight w:val="none"/>
        </w:rPr>
        <w:t xml:space="preserve">投标人按单项的单价限价报投标</w:t>
      </w:r>
      <w:r>
        <w:rPr>
          <w:rFonts w:hint="eastAsia" w:ascii="宋体" w:hAnsi="宋体" w:cs="宋体"/>
          <w:b/>
          <w:color w:val="auto"/>
          <w:sz w:val="21"/>
          <w:szCs w:val="21"/>
          <w:highlight w:val="none"/>
          <w:lang w:val="en-US" w:eastAsia="zh-CN"/>
        </w:rPr>
        <w:t xml:space="preserve">优惠率</w:t>
      </w:r>
      <w:r>
        <w:rPr>
          <w:rFonts w:hint="eastAsia" w:ascii="宋体" w:hAnsi="宋体" w:cs="宋体"/>
          <w:b/>
          <w:color w:val="auto"/>
          <w:sz w:val="21"/>
          <w:szCs w:val="21"/>
          <w:highlight w:val="none"/>
        </w:rPr>
        <w:t xml:space="preserve">，实际结算单价按照单价</w:t>
      </w:r>
      <w:r>
        <w:rPr>
          <w:rFonts w:hint="eastAsia" w:ascii="宋体" w:hAnsi="宋体" w:cs="宋体"/>
          <w:b/>
          <w:color w:val="auto"/>
          <w:sz w:val="21"/>
          <w:szCs w:val="21"/>
          <w:highlight w:val="none"/>
          <w:lang w:val="en-US" w:eastAsia="zh-CN"/>
        </w:rPr>
        <w:t xml:space="preserve">最高</w:t>
      </w:r>
      <w:r>
        <w:rPr>
          <w:rFonts w:hint="eastAsia" w:ascii="宋体" w:hAnsi="宋体" w:cs="宋体"/>
          <w:b/>
          <w:color w:val="auto"/>
          <w:sz w:val="21"/>
          <w:szCs w:val="21"/>
          <w:highlight w:val="none"/>
        </w:rPr>
        <w:t xml:space="preserve">限价</w:t>
      </w:r>
      <w:r>
        <w:rPr>
          <w:rFonts w:hint="eastAsia" w:ascii="宋体" w:hAnsi="宋体" w:cs="宋体"/>
          <w:b/>
          <w:color w:val="auto"/>
          <w:sz w:val="21"/>
          <w:szCs w:val="21"/>
          <w:highlight w:val="none"/>
          <w:lang w:val="en-US" w:eastAsia="zh-CN"/>
        </w:rPr>
        <w:t xml:space="preserve">*（1-中标优惠率）</w:t>
      </w:r>
      <w:r>
        <w:rPr>
          <w:rFonts w:hint="eastAsia" w:ascii="宋体" w:hAnsi="宋体" w:cs="宋体"/>
          <w:b/>
          <w:color w:val="auto"/>
          <w:sz w:val="21"/>
          <w:szCs w:val="21"/>
          <w:highlight w:val="none"/>
        </w:rPr>
        <w:t xml:space="preserve">后进行结算，实际工程量按照甲方要求并根据审计结果确定。本项目采购预算</w:t>
      </w:r>
      <w:r>
        <w:rPr>
          <w:rFonts w:hint="eastAsia" w:ascii="宋体" w:hAnsi="宋体" w:cs="宋体"/>
          <w:b/>
          <w:color w:val="auto"/>
          <w:sz w:val="21"/>
          <w:szCs w:val="21"/>
          <w:highlight w:val="none"/>
          <w:lang w:val="en-US" w:eastAsia="zh-CN"/>
        </w:rPr>
        <w:t xml:space="preserve">壹佰壹拾柒万元整（¥1170000.00）</w:t>
      </w:r>
      <w:r>
        <w:rPr>
          <w:rFonts w:hint="eastAsia" w:ascii="宋体" w:hAnsi="宋体" w:cs="宋体"/>
          <w:b/>
          <w:color w:val="auto"/>
          <w:sz w:val="21"/>
          <w:szCs w:val="21"/>
          <w:highlight w:val="none"/>
        </w:rPr>
        <w:t xml:space="preserve">，累计结算金额达到</w:t>
      </w:r>
      <w:r>
        <w:rPr>
          <w:rFonts w:hint="eastAsia" w:ascii="宋体" w:hAnsi="宋体" w:cs="宋体"/>
          <w:b/>
          <w:color w:val="auto"/>
          <w:sz w:val="21"/>
          <w:szCs w:val="21"/>
          <w:highlight w:val="none"/>
          <w:lang w:val="en-US" w:eastAsia="zh-CN"/>
        </w:rPr>
        <w:t xml:space="preserve">壹佰壹拾柒万元整（¥1170000.00）</w:t>
      </w:r>
      <w:r>
        <w:rPr>
          <w:rFonts w:hint="eastAsia" w:ascii="宋体" w:hAnsi="宋体" w:cs="宋体"/>
          <w:b/>
          <w:color w:val="auto"/>
          <w:sz w:val="21"/>
          <w:szCs w:val="21"/>
          <w:highlight w:val="none"/>
        </w:rPr>
        <w:t xml:space="preserve">项目终止。</w:t>
      </w:r>
      <w:r>
        <w:rPr>
          <w:rFonts w:hint="eastAsia" w:ascii="宋体" w:hAnsi="宋体"/>
          <w:b/>
          <w:bCs/>
          <w:color w:val="auto"/>
          <w:sz w:val="21"/>
          <w:szCs w:val="21"/>
          <w:highlight w:val="none"/>
        </w:rPr>
        <w:t xml:space="preserve">中标人项目合同期内必须购买所建设、所维护设施造成的意外险和施工造成的意外险，且累计赔偿限额不低于人民币750万元（每次事故赔偿限额不低于人民币500万元，每次意外人身伤亡赔偿限额不低于人民币250万元，每次意外每人赔偿限额不低于人民币100万元，每次意外财产损失赔偿限额不低于人民币250万元）。费用包含在合同价中。</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报价要求：</w:t>
      </w:r>
      <w:r>
        <w:rPr>
          <w:rFonts w:hint="eastAsia" w:ascii="宋体" w:hAnsi="宋体" w:cs="宋体"/>
          <w:color w:val="auto"/>
          <w:sz w:val="21"/>
          <w:szCs w:val="21"/>
          <w:highlight w:val="none"/>
        </w:rPr>
        <w:t xml:space="preserve">报价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和政策性文件规定及合同包含的所有风险、责任、施工审图费等各项应有费用</w:t>
      </w:r>
      <w:r>
        <w:rPr>
          <w:rFonts w:hint="eastAsia" w:ascii="宋体" w:hAnsi="宋体" w:cs="宋体"/>
          <w:color w:val="auto"/>
          <w:sz w:val="21"/>
          <w:szCs w:val="21"/>
          <w:highlight w:val="none"/>
          <w:lang w:bidi="ar"/>
        </w:rPr>
        <w:t xml:space="preserve">，中标人的投标报价包含了采购人现有场地条件下，进行中标设备的安装调试达到可使用状态，并验收合格前的所有费用。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.请投标人按照招标文件要求报统一的</w:t>
      </w:r>
      <w:r>
        <w:rPr>
          <w:rFonts w:hint="eastAsia" w:ascii="宋体" w:hAnsi="宋体" w:cs="宋体"/>
          <w:color w:val="auto"/>
          <w:sz w:val="21"/>
          <w:szCs w:val="21"/>
          <w:highlight w:val="none"/>
          <w:lang w:val="en-US" w:eastAsia="zh-CN"/>
        </w:rPr>
        <w:t xml:space="preserve">优惠率</w:t>
      </w:r>
      <w:r>
        <w:rPr>
          <w:rFonts w:hint="eastAsia" w:ascii="宋体" w:hAnsi="宋体" w:cs="宋体"/>
          <w:color w:val="auto"/>
          <w:sz w:val="21"/>
          <w:szCs w:val="21"/>
          <w:highlight w:val="none"/>
        </w:rPr>
        <w:t xml:space="preserve">。</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最终成交单价</w:t>
      </w:r>
      <w:r>
        <w:rPr>
          <w:rFonts w:hint="eastAsia" w:ascii="宋体" w:hAnsi="宋体" w:cs="宋体"/>
          <w:color w:val="auto"/>
          <w:sz w:val="21"/>
          <w:szCs w:val="21"/>
          <w:highlight w:val="none"/>
        </w:rPr>
        <w:t xml:space="preserve">计算公式为</w:t>
      </w:r>
      <w:r>
        <w:rPr>
          <w:rFonts w:hint="eastAsia" w:ascii="宋体" w:hAnsi="宋体" w:cs="宋体"/>
          <w:color w:val="auto"/>
          <w:sz w:val="21"/>
          <w:szCs w:val="21"/>
          <w:highlight w:val="none"/>
          <w:lang w:val="en-US" w:eastAsia="zh-CN"/>
        </w:rPr>
        <w:t xml:space="preserve">单价最高限价*（</w:t>
      </w: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优惠率）</w:t>
      </w:r>
      <w:r>
        <w:rPr>
          <w:rFonts w:hint="eastAsia" w:ascii="宋体" w:hAnsi="宋体" w:cs="宋体"/>
          <w:color w:val="auto"/>
          <w:sz w:val="21"/>
          <w:szCs w:val="21"/>
          <w:highlight w:val="none"/>
          <w:lang w:eastAsia="zh-CN"/>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.填写统一</w:t>
      </w:r>
      <w:r>
        <w:rPr>
          <w:rFonts w:hint="eastAsia" w:ascii="宋体" w:hAnsi="宋体" w:cs="宋体"/>
          <w:color w:val="auto"/>
          <w:sz w:val="21"/>
          <w:szCs w:val="21"/>
          <w:highlight w:val="none"/>
          <w:lang w:val="en-US" w:eastAsia="zh-CN"/>
        </w:rPr>
        <w:t xml:space="preserve">优惠率后</w:t>
      </w:r>
      <w:r>
        <w:rPr>
          <w:rFonts w:hint="eastAsia" w:ascii="宋体" w:hAnsi="宋体" w:cs="宋体"/>
          <w:color w:val="auto"/>
          <w:sz w:val="21"/>
          <w:szCs w:val="21"/>
          <w:highlight w:val="none"/>
        </w:rPr>
        <w:t xml:space="preserve">的分项单价不得超过分项最高限价，否则为无效报价。</w:t>
      </w:r>
      <w:r/>
    </w:p>
    <w:p>
      <w:pPr>
        <w:ind w:firstLine="42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由于此项工程在建设时，只能按照每个时间段的实际需求确定各种设备的数量，无法提前确定各项设备的工程量，故按照单价报价，在以后实际施工中，采购数量以交警大队实际需求为准。实际建设中，若使用设备未在上述列表内，按照市场价及审计结果为准。</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（二）设备要求：</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1、指路标志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1)、标志板面2500×4000(mm)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A、铝合金板材、厚3mm；</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B、反光膜为Ⅲ类及以上等级，且使用寿命至少为10年。</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2)、悬臂采用热镀锌钢管、喷塑，φ140×8000×3根，φ140×5000×2根</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A、采用热镀锌钢管、喷塑工艺；</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B、钢管壁厚度3mm，外经140mm，长8000mm、5000mm。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3)、立柱采用热镀锌钢管、喷塑φ325×8500</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A、采用热镀锌钢管、喷塑工艺；</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B、钢管壁厚度8mm，外经325mm，高8500mm。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4)、基础采用预埋件加混凝土结构</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A、钢筋(按设计图)规定制作；</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B、混凝土(按标准)施工；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C、基础外边尺寸为1200×1200×2000mm。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D、预埋件见图。</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2、禁令、警告、指示交通标志</w:t>
      </w:r>
      <w:r>
        <w:rPr>
          <w:rFonts w:hint="eastAsia" w:ascii="宋体" w:hAnsi="宋体" w:cs="宋体"/>
          <w:color w:val="auto"/>
          <w:sz w:val="21"/>
          <w:szCs w:val="21"/>
          <w:highlight w:val="none"/>
        </w:rPr>
        <w:t xml:space="preserve">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1)、禁令、指示交通标志，φ600、φ800、φ1000(mm)；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2)、警告交通标志， 1100×1100、900×900、700×700(mm)；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3)、立杆，φ140×3500(mm)；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4)、立杆基础，600×600×600(mm)；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5)、铝合金板材、厚不低于3mm；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6)、反光膜为Ⅲ类及以上等级，且使用寿命至少为10年。</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3、交通辅助设施</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1)、减速驳：采用优质橡胶材料，耐压抗磨，黄色黑色相间，人字形或者菱形，每块1000×300×40mm，每米报价；</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2)、防撞桶、水马。防撞桶：黄色或者红色，外加反光膜，尺寸为 800×600(mm)圆形防撞桶，优质PE材料；水马：三孔水马，黄色或者红色，尺寸为1360*750*150*325(mm)，侧面加反光条，全新料；每只报价；</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防撞护栏</w:t>
      </w:r>
      <w:r>
        <w:rPr>
          <w:rFonts w:hint="eastAsia" w:ascii="宋体" w:hAnsi="宋体" w:cs="宋体"/>
          <w:color w:val="auto"/>
          <w:sz w:val="21"/>
          <w:szCs w:val="21"/>
          <w:highlight w:val="none"/>
        </w:rPr>
        <w:t xml:space="preserve">：每米报价，详见附件；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4)、护栏</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：每米报价，详见附件；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5)、护栏</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：每米报价，详见附件；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6)、反光锥桶：红白反光，橡胶材质不低于1.5kg，尺寸不小于700*300*330(mm)；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7)、被动发光道钉：道路专用黄色双面塑料道钉反光道钉，100*100*20(mm)；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8)、地面反光贴：工程级道路专用地面标线贴，黄色、白色，平方米报价；</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9)、主动发光标志：</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发光类型：全透型内部照明标志</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9.1</w:t>
      </w:r>
      <w:r>
        <w:rPr>
          <w:rFonts w:hint="eastAsia" w:ascii="宋体" w:hAnsi="宋体" w:eastAsia="宋体" w:cs="宋体"/>
          <w:b/>
          <w:color w:val="auto"/>
          <w:sz w:val="21"/>
          <w:szCs w:val="21"/>
          <w:highlight w:val="none"/>
          <w:lang w:eastAsia="zh-CN"/>
        </w:rPr>
        <w:t xml:space="preserve">组成结构：标志牌、控制机箱</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9.1.1</w:t>
      </w:r>
      <w:r>
        <w:rPr>
          <w:rFonts w:hint="eastAsia" w:ascii="宋体" w:hAnsi="宋体" w:eastAsia="宋体" w:cs="宋体"/>
          <w:b/>
          <w:color w:val="auto"/>
          <w:sz w:val="21"/>
          <w:szCs w:val="21"/>
          <w:highlight w:val="none"/>
          <w:lang w:eastAsia="zh-CN"/>
        </w:rPr>
        <w:t xml:space="preserve"> 标志牌：反光膜、透光面板、铝制机箱、滑动铝槽。</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9.1.2</w:t>
      </w:r>
      <w:r>
        <w:rPr>
          <w:rFonts w:hint="eastAsia" w:ascii="宋体" w:hAnsi="宋体" w:eastAsia="宋体" w:cs="宋体"/>
          <w:b/>
          <w:color w:val="auto"/>
          <w:sz w:val="21"/>
          <w:szCs w:val="21"/>
          <w:highlight w:val="none"/>
          <w:lang w:eastAsia="zh-CN"/>
        </w:rPr>
        <w:t xml:space="preserve">控制机箱：防雷器、漏电开关、开关电源、光感控制模块、接电端子等。</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9.2</w:t>
      </w:r>
      <w:r>
        <w:rPr>
          <w:rFonts w:hint="eastAsia" w:ascii="宋体" w:hAnsi="宋体" w:eastAsia="宋体" w:cs="宋体"/>
          <w:b/>
          <w:color w:val="auto"/>
          <w:sz w:val="21"/>
          <w:szCs w:val="21"/>
          <w:highlight w:val="none"/>
          <w:lang w:eastAsia="zh-CN"/>
        </w:rPr>
        <w:t xml:space="preserve">主要技术指标</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9.2.1</w:t>
      </w:r>
      <w:r>
        <w:rPr>
          <w:rFonts w:hint="eastAsia" w:ascii="宋体" w:hAnsi="宋体" w:eastAsia="宋体" w:cs="宋体"/>
          <w:b/>
          <w:color w:val="auto"/>
          <w:sz w:val="21"/>
          <w:szCs w:val="21"/>
          <w:highlight w:val="none"/>
          <w:lang w:eastAsia="zh-CN"/>
        </w:rPr>
        <w:t xml:space="preserve"> 反光膜：标志表面文字图形采用IV类微棱镜反光膜，发光部分反光膜透光率达到20%以上；</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9.2.2</w:t>
      </w:r>
      <w:r>
        <w:rPr>
          <w:rFonts w:hint="eastAsia" w:ascii="宋体" w:hAnsi="宋体" w:eastAsia="宋体" w:cs="宋体"/>
          <w:b/>
          <w:color w:val="auto"/>
          <w:sz w:val="21"/>
          <w:szCs w:val="21"/>
          <w:highlight w:val="none"/>
          <w:lang w:eastAsia="zh-CN"/>
        </w:rPr>
        <w:t xml:space="preserve">透光材料：采用聚碳酸酯（PC）材料，透光面板（不含反光膜）的透光率应不低于 90%；</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9.2.3</w:t>
      </w:r>
      <w:r>
        <w:rPr>
          <w:rFonts w:hint="eastAsia" w:ascii="宋体" w:hAnsi="宋体" w:eastAsia="宋体" w:cs="宋体"/>
          <w:b/>
          <w:color w:val="auto"/>
          <w:sz w:val="21"/>
          <w:szCs w:val="21"/>
          <w:highlight w:val="none"/>
          <w:lang w:eastAsia="zh-CN"/>
        </w:rPr>
        <w:t xml:space="preserve">光源：标志的内部照明光源应采用高效节能、显色性好、长寿命的光源，宜采用色温不低于10000K冷白LED光源；光源灯具宜采用密封结构，防护等级不低于IP67；采用发光效能高的光源(如 LED 光源)，发光效能不低于 100lm/w。</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9.2.4</w:t>
      </w:r>
      <w:r>
        <w:rPr>
          <w:rFonts w:hint="eastAsia" w:ascii="宋体" w:hAnsi="宋体" w:eastAsia="宋体" w:cs="宋体"/>
          <w:b/>
          <w:color w:val="auto"/>
          <w:sz w:val="21"/>
          <w:szCs w:val="21"/>
          <w:highlight w:val="none"/>
          <w:lang w:eastAsia="zh-CN"/>
        </w:rPr>
        <w:t xml:space="preserve"> 亮度指标：亮度指标：白色≥300cd/m2，黄色≥150cd/m2，红色≥45cd/m2，绿色≥45cd/m2，蓝色≥30cd/m2，棕色≥22cd/m2。</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zh-CN"/>
        </w:rPr>
        <w:t xml:space="preserve">9.2.5</w:t>
      </w:r>
      <w:r>
        <w:rPr>
          <w:rFonts w:hint="eastAsia" w:ascii="宋体" w:hAnsi="宋体" w:eastAsia="宋体" w:cs="宋体"/>
          <w:b/>
          <w:color w:val="auto"/>
          <w:sz w:val="21"/>
          <w:szCs w:val="21"/>
          <w:highlight w:val="none"/>
          <w:lang w:eastAsia="zh-CN"/>
        </w:rPr>
        <w:t xml:space="preserve"> 环境适用等级：标志版面环境温度适用等级：B 级-40℃～+50℃。</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2.6 箱体结构：标志牌箱体采用铝合金型材封装制作，标志整体厚度≤75mm（不含支撑件）</w:t>
      </w:r>
      <w:r/>
    </w:p>
    <w:p>
      <w:pPr>
        <w:ind w:firstLine="422"/>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 xml:space="preserve">2.7 亮度调节：在1%~100%光通量范围内可调光，支持自动调光、手动调光。</w:t>
      </w:r>
      <w:r/>
    </w:p>
    <w:p>
      <w:pPr>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4、交通标线：</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1)热熔标线的新建</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2)冷喷标线的新建</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3)原有标线的清除</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4)文字、图案等特殊标线的施划</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5)彩色路面（右转危险区标线）</w:t>
      </w:r>
      <w:r/>
    </w:p>
    <w:p>
      <w:pPr>
        <w:ind w:firstLine="420"/>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rPr>
        <w:t xml:space="preserve">附图：（参考式样图，图片仅供参考，不做实质要求）</w:t>
      </w:r>
      <w:r/>
    </w:p>
    <w:p>
      <w:pPr>
        <w:ind w:firstLine="420"/>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3148965" cy="2086610"/>
                <wp:effectExtent l="0" t="22225" r="31750" b="5715"/>
                <wp:docPr id="6" name="组合 15"/>
                <wp:cNvGraphicFramePr/>
                <a:graphic xmlns:a="http://schemas.openxmlformats.org/drawingml/2006/main">
                  <a:graphicData uri="http://schemas.microsoft.com/office/word/2010/wordprocessingGroup">
                    <wpg:wgp>
                      <wpg:cNvGrpSpPr/>
                      <wpg:grpSpPr bwMode="auto">
                        <a:xfrm>
                          <a:off x="0" y="0"/>
                          <a:ext cx="3148965" cy="2086610"/>
                          <a:chOff x="-242" y="5223"/>
                          <a:chExt cx="4959" cy="3286"/>
                        </a:xfrm>
                      </wpg:grpSpPr>
                      <wps:wsp>
                        <wps:cNvPr id="0" name=""/>
                        <wps:cNvSpPr/>
                        <wps:spPr bwMode="auto">
                          <a:xfrm flipH="1">
                            <a:off x="473" y="5223"/>
                            <a:ext cx="52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g:grpSp>
                        <wpg:cNvGrpSpPr/>
                        <wpg:grpSpPr bwMode="auto">
                          <a:xfrm>
                            <a:off x="-242" y="5233"/>
                            <a:ext cx="4959" cy="3276"/>
                            <a:chOff x="-244" y="5125"/>
                            <a:chExt cx="4959" cy="3602"/>
                          </a:xfrm>
                        </wpg:grpSpPr>
                        <wps:wsp>
                          <wps:cNvPr id="1" name=""/>
                          <wps:cNvSpPr/>
                          <wps:spPr bwMode="auto">
                            <a:xfrm>
                              <a:off x="1040" y="5125"/>
                              <a:ext cx="3675" cy="1872"/>
                            </a:xfrm>
                            <a:prstGeom prst="rect">
                              <a:avLst/>
                            </a:prstGeom>
                            <a:solidFill>
                              <a:srgbClr val="0000FF"/>
                            </a:solidFill>
                            <a:ln w="57150" cap="flat" cmpd="dbl">
                              <a:solidFill>
                                <a:srgbClr val="FFFFFF"/>
                              </a:solidFill>
                              <a:prstDash val="solid"/>
                              <a:miter/>
                              <a:headEnd type="none" w="med" len="med"/>
                              <a:tailEnd type="none" w="med" len="med"/>
                            </a:ln>
                          </wps:spPr>
                          <wps:bodyPr rot="0">
                            <a:prstTxWarp prst="textNoShape">
                              <a:avLst/>
                            </a:prstTxWarp>
                            <a:noAutofit/>
                          </wps:bodyPr>
                        </wps:wsp>
                        <wps:wsp>
                          <wps:cNvPr id="2" name=""/>
                          <wps:cNvSpPr/>
                          <wps:spPr bwMode="auto">
                            <a:xfrm>
                              <a:off x="998" y="7011"/>
                              <a:ext cx="0" cy="1716"/>
                            </a:xfrm>
                            <a:prstGeom prst="line">
                              <a:avLst/>
                            </a:prstGeom>
                            <a:grpFill/>
                            <a:ln w="9525" cap="flat" cmpd="sng">
                              <a:solidFill>
                                <a:srgbClr val="000000"/>
                              </a:solidFill>
                              <a:prstDash val="solid"/>
                              <a:headEnd type="none" w="med" len="med"/>
                              <a:tailEnd type="none" w="med" len="med"/>
                            </a:ln>
                          </wps:spPr>
                          <wps:bodyPr rot="0">
                            <a:prstTxWarp prst="textNoShape">
                              <a:avLst/>
                            </a:prstTxWarp>
                            <a:noAutofit/>
                          </wps:bodyPr>
                        </wps:wsp>
                        <wps:wsp>
                          <wps:cNvPr id="3" name=""/>
                          <wps:cNvSpPr/>
                          <wps:spPr bwMode="auto">
                            <a:xfrm>
                              <a:off x="4712" y="6793"/>
                              <a:ext cx="0" cy="1716"/>
                            </a:xfrm>
                            <a:prstGeom prst="line">
                              <a:avLst/>
                            </a:prstGeom>
                            <a:grpFill/>
                            <a:ln w="9525" cap="flat" cmpd="sng">
                              <a:solidFill>
                                <a:srgbClr val="000000"/>
                              </a:solidFill>
                              <a:prstDash val="solid"/>
                              <a:headEnd type="none" w="med" len="med"/>
                              <a:tailEnd type="none" w="med" len="med"/>
                            </a:ln>
                          </wps:spPr>
                          <wps:bodyPr rot="0">
                            <a:prstTxWarp prst="textNoShape">
                              <a:avLst/>
                            </a:prstTxWarp>
                            <a:noAutofit/>
                          </wps:bodyPr>
                        </wps:wsp>
                        <wps:wsp>
                          <wps:cNvPr id="4" name=""/>
                          <wps:cNvSpPr/>
                          <wps:spPr bwMode="auto">
                            <a:xfrm>
                              <a:off x="1040" y="7885"/>
                              <a:ext cx="3591" cy="0"/>
                            </a:xfrm>
                            <a:prstGeom prst="line">
                              <a:avLst/>
                            </a:prstGeom>
                            <a:grpFill/>
                            <a:ln w="9525" cap="flat" cmpd="sng">
                              <a:solidFill>
                                <a:srgbClr val="000000"/>
                              </a:solidFill>
                              <a:prstDash val="solid"/>
                              <a:headEnd type="triangle" w="med" len="med"/>
                              <a:tailEnd type="triangle" w="med" len="med"/>
                            </a:ln>
                          </wps:spPr>
                          <wps:bodyPr rot="0">
                            <a:prstTxWarp prst="textNoShape">
                              <a:avLst/>
                            </a:prstTxWarp>
                            <a:noAutofit/>
                          </wps:bodyPr>
                        </wps:wsp>
                        <wps:wsp>
                          <wps:cNvPr id="5" name=""/>
                          <wps:cNvSpPr txBox="1"/>
                          <wps:spPr bwMode="auto">
                            <a:xfrm>
                              <a:off x="2363" y="7573"/>
                              <a:ext cx="840" cy="802"/>
                            </a:xfrm>
                            <a:prstGeom prst="rect">
                              <a:avLst/>
                            </a:prstGeom>
                            <a:noFill/>
                            <a:ln>
                              <a:noFill/>
                            </a:ln>
                          </wps:spPr>
                          <wps:txbx>
                            <w:txbxContent>
                              <w:p>
                                <w:pPr>
                                  <w:pStyle w:val="968"/>
                                  <w:jc w:val="center"/>
                                </w:pPr>
                                <w:r>
                                  <w:rPr>
                                    <w:rFonts w:hint="eastAsia"/>
                                    <w:color w:val="000000"/>
                                  </w:rPr>
                                  <w:t xml:space="preserve">4000</w:t>
                                </w:r>
                                <w:r/>
                              </w:p>
                            </w:txbxContent>
                          </wps:txbx>
                          <wps:bodyPr upright="1">
                            <a:spAutoFit/>
                          </wps:bodyPr>
                        </wps:wsp>
                        <wps:wsp>
                          <wps:cNvPr id="6" name=""/>
                          <wps:cNvSpPr/>
                          <wps:spPr bwMode="auto">
                            <a:xfrm flipH="1">
                              <a:off x="473" y="7011"/>
                              <a:ext cx="525" cy="0"/>
                            </a:xfrm>
                            <a:prstGeom prst="line">
                              <a:avLst/>
                            </a:prstGeom>
                            <a:grpFill/>
                            <a:ln w="9525" cap="flat" cmpd="sng">
                              <a:solidFill>
                                <a:srgbClr val="000000"/>
                              </a:solidFill>
                              <a:prstDash val="solid"/>
                              <a:headEnd type="none" w="med" len="med"/>
                              <a:tailEnd type="none" w="med" len="med"/>
                            </a:ln>
                          </wps:spPr>
                          <wps:bodyPr rot="0">
                            <a:prstTxWarp prst="textNoShape">
                              <a:avLst/>
                            </a:prstTxWarp>
                            <a:noAutofit/>
                          </wps:bodyPr>
                        </wps:wsp>
                        <wps:wsp>
                          <wps:cNvPr id="7" name=""/>
                          <wps:cNvSpPr/>
                          <wps:spPr bwMode="auto">
                            <a:xfrm flipH="1" flipV="1">
                              <a:off x="788" y="5139"/>
                              <a:ext cx="0" cy="1872"/>
                            </a:xfrm>
                            <a:prstGeom prst="line">
                              <a:avLst/>
                            </a:prstGeom>
                            <a:grpFill/>
                            <a:ln w="9525" cap="flat" cmpd="sng">
                              <a:solidFill>
                                <a:srgbClr val="000000"/>
                              </a:solidFill>
                              <a:prstDash val="solid"/>
                              <a:headEnd type="triangle" w="med" len="med"/>
                              <a:tailEnd type="triangle" w="med" len="med"/>
                            </a:ln>
                          </wps:spPr>
                          <wps:bodyPr rot="0">
                            <a:prstTxWarp prst="textNoShape">
                              <a:avLst/>
                            </a:prstTxWarp>
                            <a:noAutofit/>
                          </wps:bodyPr>
                        </wps:wsp>
                        <wps:wsp>
                          <wps:cNvPr id="8" name=""/>
                          <wps:cNvSpPr txBox="1"/>
                          <wps:spPr bwMode="auto">
                            <a:xfrm rot="-5400000">
                              <a:off x="-42" y="6498"/>
                              <a:ext cx="960" cy="1364"/>
                            </a:xfrm>
                            <a:prstGeom prst="rect">
                              <a:avLst/>
                            </a:prstGeom>
                            <a:noFill/>
                            <a:ln>
                              <a:noFill/>
                            </a:ln>
                          </wps:spPr>
                          <wps:txbx>
                            <w:txbxContent>
                              <w:p>
                                <w:pPr>
                                  <w:pStyle w:val="968"/>
                                  <w:jc w:val="center"/>
                                </w:pPr>
                                <w:r>
                                  <w:rPr>
                                    <w:rFonts w:hint="eastAsia"/>
                                    <w:color w:val="000000"/>
                                  </w:rPr>
                                  <w:t xml:space="preserve">2500</w:t>
                                </w:r>
                                <w:r/>
                              </w:p>
                            </w:txbxContent>
                          </wps:txbx>
                          <wps:bodyPr upright="1">
                            <a:spAutoFit/>
                          </wps:bodyPr>
                        </wps:wsp>
                      </wpg:grpSp>
                    </wpg:wgp>
                  </a:graphicData>
                </a:graphic>
              </wp:inline>
            </w:drawing>
          </mc:Choice>
          <mc:Fallback>
            <w:pict>
              <v:group id="group 5" o:spid="_x0000_s0000" style="width:247.9pt;height:164.3pt;mso-wrap-distance-left:0.0pt;mso-wrap-distance-top:0.0pt;mso-wrap-distance-right:0.0pt;mso-wrap-distance-bottom:0.0pt;" coordorigin="-2,52" coordsize="49,32">
                <v:line id="shape 6" o:spid="_x0000_s6" style="position:absolute;left:0;text-align:left;flip:x;visibility:visible;" from="0.0pt,0.0pt" to="0.0pt,0.0pt" filled="f" strokecolor="#000000" strokeweight="0.75pt">
                  <v:stroke dashstyle="solid"/>
                </v:line>
                <v:group id="group 7" o:spid="_x0000_s0000" style="position:absolute;left:-2;top:52;width:49;height:32;" coordorigin="-2,51" coordsize="49,36">
                  <v:shape id="shape 8" o:spid="_x0000_s8" o:spt="1" type="#_x0000_t1" style="position:absolute;left:10;top:51;width:36;height:18;visibility:visible;" fillcolor="#0000FF" strokecolor="#FFFFFF" strokeweight="4.50pt">
                    <v:stroke dashstyle="solid"/>
                  </v:shape>
                  <v:line id="shape 9" o:spid="_x0000_s9" style="position:absolute;left:0;text-align:left;visibility:visible;" from="10.4pt,51.2pt" to="47.1pt,70.0pt" fillcolor="#000000" strokecolor="#000000" strokeweight="0.75pt">
                    <v:fill opacity="0f"/>
                    <v:stroke dashstyle="solid"/>
                  </v:line>
                  <v:line id="shape 10" o:spid="_x0000_s10" style="position:absolute;left:0;text-align:left;visibility:visible;" from="10.4pt,51.2pt" to="47.1pt,70.0pt" fillcolor="#000000" strokecolor="#000000" strokeweight="0.75pt">
                    <v:fill opacity="0f"/>
                    <v:stroke dashstyle="solid"/>
                  </v:line>
                  <v:line id="shape 11" o:spid="_x0000_s11" style="position:absolute;left:0;text-align:left;visibility:visible;" from="10.4pt,51.2pt" to="47.1pt,70.0pt" fillcolor="#000000" strokecolor="#000000" strokeweight="0.75pt">
                    <v:fill opacity="0f"/>
                    <v:stroke dashstyle="solid"/>
                  </v:line>
                  <v:shape id="shape 12" o:spid="_x0000_s12" o:spt="202" type="#_x0000_t202" style="position:absolute;left:23;top:75;width:8;height:8;visibility:visible;" filled="f" stroked="f">
                    <v:textbox inset="0,0,0,0">
                      <w:txbxContent>
                        <w:p>
                          <w:pPr>
                            <w:pStyle w:val="968"/>
                            <w:jc w:val="center"/>
                          </w:pPr>
                          <w:r>
                            <w:rPr>
                              <w:rFonts w:hint="eastAsia"/>
                              <w:color w:val="000000"/>
                            </w:rPr>
                            <w:t xml:space="preserve">4000</w:t>
                          </w:r>
                          <w:r/>
                        </w:p>
                      </w:txbxContent>
                    </v:textbox>
                  </v:shape>
                  <v:line id="shape 13" o:spid="_x0000_s13" style="position:absolute;left:0;text-align:left;flip:x;visibility:visible;" from="23.6pt,75.7pt" to="32.0pt,83.8pt" fillcolor="#000000" strokecolor="#000000" strokeweight="0.75pt">
                    <v:fill opacity="0f"/>
                    <v:stroke dashstyle="solid"/>
                  </v:line>
                  <v:line id="shape 14" o:spid="_x0000_s14" style="position:absolute;left:0;text-align:left;flip:xy;visibility:visible;" from="23.6pt,75.7pt" to="32.0pt,83.8pt" fillcolor="#000000" strokecolor="#000000" strokeweight="0.75pt">
                    <v:fill opacity="0f"/>
                    <v:stroke dashstyle="solid"/>
                  </v:line>
                  <v:shape id="shape 15" o:spid="_x0000_s15" o:spt="202" type="#_x0000_t202" style="position:absolute;left:0;top:64;width:9;height:13;rotation:-90;visibility:visible;" filled="f" stroked="f">
                    <v:textbox inset="0,0,0,0">
                      <w:txbxContent>
                        <w:p>
                          <w:pPr>
                            <w:pStyle w:val="968"/>
                            <w:jc w:val="center"/>
                          </w:pPr>
                          <w:r>
                            <w:rPr>
                              <w:rFonts w:hint="eastAsia"/>
                              <w:color w:val="000000"/>
                            </w:rPr>
                            <w:t xml:space="preserve">2500</w:t>
                          </w:r>
                          <w:r/>
                        </w:p>
                      </w:txbxContent>
                    </v:textbox>
                  </v:shape>
                </v:group>
              </v:group>
            </w:pict>
          </mc:Fallback>
        </mc:AlternateContent>
      </w:r>
      <w:r/>
    </w:p>
    <w:p>
      <w:pPr>
        <w:ind w:firstLine="420"/>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3141345" cy="4215130"/>
                <wp:effectExtent l="4445" t="5080" r="0" b="8890"/>
                <wp:docPr id="7" name="组合 67"/>
                <wp:cNvGraphicFramePr/>
                <a:graphic xmlns:a="http://schemas.openxmlformats.org/drawingml/2006/main">
                  <a:graphicData uri="http://schemas.microsoft.com/office/word/2010/wordprocessingGroup">
                    <wpg:wgp>
                      <wpg:cNvGrpSpPr/>
                      <wpg:grpSpPr bwMode="auto">
                        <a:xfrm>
                          <a:off x="0" y="0"/>
                          <a:ext cx="3141345" cy="4215130"/>
                          <a:chOff x="3077" y="4983"/>
                          <a:chExt cx="7434" cy="8359"/>
                        </a:xfrm>
                      </wpg:grpSpPr>
                      <wpg:grpSp>
                        <wpg:cNvGrpSpPr/>
                        <wpg:grpSpPr bwMode="auto">
                          <a:xfrm rot="5400000">
                            <a:off x="8819" y="4827"/>
                            <a:ext cx="156" cy="468"/>
                            <a:chOff x="5460" y="3780"/>
                            <a:chExt cx="222" cy="468"/>
                          </a:xfrm>
                        </wpg:grpSpPr>
                        <wps:wsp>
                          <wps:cNvPr id="0" name=""/>
                          <wps:cNvSpPr/>
                          <wps:spPr bwMode="auto">
                            <a:xfrm>
                              <a:off x="5460"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s:wsp>
                          <wps:cNvPr id="1" name=""/>
                          <wps:cNvSpPr/>
                          <wps:spPr bwMode="auto">
                            <a:xfrm>
                              <a:off x="5577"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g:grpSp>
                      <wps:wsp>
                        <wps:cNvPr id="2" name=""/>
                        <wps:cNvSpPr/>
                        <wps:spPr bwMode="auto">
                          <a:xfrm>
                            <a:off x="9083" y="4983"/>
                            <a:ext cx="136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3" name=""/>
                        <wps:cNvSpPr/>
                        <wps:spPr bwMode="auto">
                          <a:xfrm>
                            <a:off x="9083" y="12782"/>
                            <a:ext cx="136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4" name=""/>
                        <wps:cNvSpPr/>
                        <wps:spPr bwMode="auto">
                          <a:xfrm flipV="1">
                            <a:off x="10028" y="4983"/>
                            <a:ext cx="0" cy="7800"/>
                          </a:xfrm>
                          <a:prstGeom prst="line">
                            <a:avLst/>
                          </a:prstGeom>
                          <a:ln w="9525" cap="flat" cmpd="sng">
                            <a:solidFill>
                              <a:srgbClr val="000000"/>
                            </a:solidFill>
                            <a:prstDash val="solid"/>
                            <a:headEnd type="triangle" w="med" len="med"/>
                            <a:tailEnd type="triangle" w="med" len="med"/>
                          </a:ln>
                        </wps:spPr>
                        <wps:bodyPr rot="0">
                          <a:prstTxWarp prst="textNoShape">
                            <a:avLst/>
                          </a:prstTxWarp>
                          <a:noAutofit/>
                        </wps:bodyPr>
                      </wps:wsp>
                      <wps:wsp>
                        <wps:cNvPr id="5" name=""/>
                        <wps:cNvSpPr txBox="1"/>
                        <wps:spPr bwMode="auto">
                          <a:xfrm rot="-5400000">
                            <a:off x="8921" y="8861"/>
                            <a:ext cx="1099" cy="2049"/>
                          </a:xfrm>
                          <a:prstGeom prst="rect">
                            <a:avLst/>
                          </a:prstGeom>
                          <a:noFill/>
                          <a:ln>
                            <a:noFill/>
                          </a:ln>
                        </wps:spPr>
                        <wps:txbx>
                          <w:txbxContent>
                            <w:p>
                              <w:pPr>
                                <w:pStyle w:val="968"/>
                                <w:jc w:val="center"/>
                              </w:pPr>
                              <w:r>
                                <w:rPr>
                                  <w:rFonts w:hint="eastAsia"/>
                                  <w:color w:val="000000"/>
                                </w:rPr>
                                <w:t xml:space="preserve">8500</w:t>
                              </w:r>
                              <w:r/>
                            </w:p>
                          </w:txbxContent>
                        </wps:txbx>
                        <wps:bodyPr upright="1">
                          <a:spAutoFit/>
                        </wps:bodyPr>
                      </wps:wsp>
                      <wps:wsp>
                        <wps:cNvPr id="6" name=""/>
                        <wps:cNvSpPr/>
                        <wps:spPr bwMode="auto">
                          <a:xfrm>
                            <a:off x="3077" y="6778"/>
                            <a:ext cx="0" cy="1561"/>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7" name=""/>
                        <wps:cNvSpPr/>
                        <wps:spPr bwMode="auto">
                          <a:xfrm>
                            <a:off x="3119" y="7573"/>
                            <a:ext cx="5481" cy="0"/>
                          </a:xfrm>
                          <a:prstGeom prst="line">
                            <a:avLst/>
                          </a:prstGeom>
                          <a:ln w="9525" cap="flat" cmpd="sng">
                            <a:solidFill>
                              <a:srgbClr val="000000"/>
                            </a:solidFill>
                            <a:prstDash val="solid"/>
                            <a:headEnd type="triangle" w="med" len="med"/>
                            <a:tailEnd type="triangle" w="med" len="med"/>
                          </a:ln>
                        </wps:spPr>
                        <wps:bodyPr rot="0">
                          <a:prstTxWarp prst="textNoShape">
                            <a:avLst/>
                          </a:prstTxWarp>
                          <a:noAutofit/>
                        </wps:bodyPr>
                      </wps:wsp>
                      <wps:wsp>
                        <wps:cNvPr id="8" name=""/>
                        <wps:cNvSpPr txBox="1"/>
                        <wps:spPr bwMode="auto">
                          <a:xfrm>
                            <a:off x="4441" y="7289"/>
                            <a:ext cx="841" cy="1320"/>
                          </a:xfrm>
                          <a:prstGeom prst="rect">
                            <a:avLst/>
                          </a:prstGeom>
                          <a:noFill/>
                          <a:ln>
                            <a:noFill/>
                          </a:ln>
                        </wps:spPr>
                        <wps:txbx>
                          <w:txbxContent>
                            <w:p>
                              <w:pPr>
                                <w:pStyle w:val="968"/>
                                <w:jc w:val="center"/>
                              </w:pPr>
                              <w:r>
                                <w:rPr>
                                  <w:rFonts w:hint="eastAsia"/>
                                  <w:color w:val="000000"/>
                                </w:rPr>
                                <w:t xml:space="preserve">8000</w:t>
                              </w:r>
                              <w:r/>
                            </w:p>
                          </w:txbxContent>
                        </wps:txbx>
                        <wps:bodyPr upright="1">
                          <a:spAutoFit/>
                        </wps:bodyPr>
                      </wps:wsp>
                      <wpg:grpSp>
                        <wpg:cNvGrpSpPr/>
                        <wpg:grpSpPr bwMode="auto">
                          <a:xfrm>
                            <a:off x="3119" y="5077"/>
                            <a:ext cx="6405" cy="8265"/>
                            <a:chOff x="3098" y="5142"/>
                            <a:chExt cx="6405" cy="8265"/>
                          </a:xfrm>
                        </wpg:grpSpPr>
                        <wpg:grpSp>
                          <wpg:cNvGrpSpPr/>
                          <wpg:grpSpPr bwMode="auto">
                            <a:xfrm>
                              <a:off x="8348" y="12782"/>
                              <a:ext cx="1155" cy="624"/>
                              <a:chOff x="6732" y="10332"/>
                              <a:chExt cx="4410" cy="2184"/>
                            </a:xfrm>
                          </wpg:grpSpPr>
                          <wps:wsp>
                            <wps:cNvPr id="9" name=""/>
                            <wps:cNvSpPr/>
                            <wps:spPr bwMode="auto">
                              <a:xfrm>
                                <a:off x="6732" y="10332"/>
                                <a:ext cx="4410" cy="2184"/>
                              </a:xfrm>
                              <a:prstGeom prst="ellipse">
                                <a:avLst/>
                              </a:prstGeom>
                              <a:gradFill>
                                <a:gsLst>
                                  <a:gs pos="0">
                                    <a:srgbClr val="FFFFFF"/>
                                  </a:gs>
                                  <a:gs pos="100000">
                                    <a:srgbClr val="767676"/>
                                  </a:gs>
                                </a:gsLst>
                                <a:path path="shape"/>
                              </a:gradFill>
                              <a:ln w="9525" cap="flat" cmpd="sng">
                                <a:solidFill>
                                  <a:srgbClr val="000000"/>
                                </a:solidFill>
                                <a:prstDash val="solid"/>
                                <a:headEnd type="none" w="med" len="med"/>
                                <a:tailEnd type="none" w="med" len="med"/>
                              </a:ln>
                            </wps:spPr>
                            <wps:bodyPr rot="0">
                              <a:prstTxWarp prst="textNoShape">
                                <a:avLst/>
                              </a:prstTxWarp>
                              <a:noAutofit/>
                            </wps:bodyPr>
                          </wps:wsp>
                          <wpg:grpSp>
                            <wpg:cNvGrpSpPr/>
                            <wpg:grpSpPr bwMode="auto">
                              <a:xfrm rot="5400000">
                                <a:off x="8964" y="12177"/>
                                <a:ext cx="156" cy="210"/>
                                <a:chOff x="5460" y="3780"/>
                                <a:chExt cx="222" cy="468"/>
                              </a:xfrm>
                            </wpg:grpSpPr>
                            <wps:wsp>
                              <wps:cNvPr id="10" name=""/>
                              <wps:cNvSpPr/>
                              <wps:spPr bwMode="auto">
                                <a:xfrm>
                                  <a:off x="5460"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s:wsp>
                              <wps:cNvPr id="11" name=""/>
                              <wps:cNvSpPr/>
                              <wps:spPr bwMode="auto">
                                <a:xfrm>
                                  <a:off x="5577"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g:grpSp>
                          <wpg:grpSp>
                            <wpg:cNvGrpSpPr/>
                            <wpg:grpSpPr bwMode="auto">
                              <a:xfrm rot="5400000">
                                <a:off x="10119" y="11709"/>
                                <a:ext cx="156" cy="210"/>
                                <a:chOff x="5460" y="3780"/>
                                <a:chExt cx="222" cy="468"/>
                              </a:xfrm>
                            </wpg:grpSpPr>
                            <wps:wsp>
                              <wps:cNvPr id="12" name=""/>
                              <wps:cNvSpPr/>
                              <wps:spPr bwMode="auto">
                                <a:xfrm>
                                  <a:off x="5460"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s:wsp>
                              <wps:cNvPr id="13" name=""/>
                              <wps:cNvSpPr/>
                              <wps:spPr bwMode="auto">
                                <a:xfrm>
                                  <a:off x="5577"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g:grpSp>
                          <wpg:grpSp>
                            <wpg:cNvGrpSpPr/>
                            <wpg:grpSpPr bwMode="auto">
                              <a:xfrm rot="5400000">
                                <a:off x="7494" y="11709"/>
                                <a:ext cx="156" cy="210"/>
                                <a:chOff x="5460" y="3780"/>
                                <a:chExt cx="222" cy="468"/>
                              </a:xfrm>
                            </wpg:grpSpPr>
                            <wps:wsp>
                              <wps:cNvPr id="14" name=""/>
                              <wps:cNvSpPr/>
                              <wps:spPr bwMode="auto">
                                <a:xfrm>
                                  <a:off x="5460"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s:wsp>
                              <wps:cNvPr id="15" name=""/>
                              <wps:cNvSpPr/>
                              <wps:spPr bwMode="auto">
                                <a:xfrm>
                                  <a:off x="5577"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g:grpSp>
                          <wpg:grpSp>
                            <wpg:cNvGrpSpPr/>
                            <wpg:grpSpPr bwMode="auto">
                              <a:xfrm rot="5400000">
                                <a:off x="10223" y="10929"/>
                                <a:ext cx="156" cy="210"/>
                                <a:chOff x="5460" y="3780"/>
                                <a:chExt cx="222" cy="468"/>
                              </a:xfrm>
                            </wpg:grpSpPr>
                            <wps:wsp>
                              <wps:cNvPr id="16" name=""/>
                              <wps:cNvSpPr/>
                              <wps:spPr bwMode="auto">
                                <a:xfrm>
                                  <a:off x="5460"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s:wsp>
                              <wps:cNvPr id="17" name=""/>
                              <wps:cNvSpPr/>
                              <wps:spPr bwMode="auto">
                                <a:xfrm>
                                  <a:off x="5577"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g:grpSp>
                          <wpg:grpSp>
                            <wpg:cNvGrpSpPr/>
                            <wpg:grpSpPr bwMode="auto">
                              <a:xfrm rot="5400000">
                                <a:off x="7494" y="10773"/>
                                <a:ext cx="156" cy="210"/>
                                <a:chOff x="5460" y="3780"/>
                                <a:chExt cx="222" cy="468"/>
                              </a:xfrm>
                            </wpg:grpSpPr>
                            <wps:wsp>
                              <wps:cNvPr id="18" name=""/>
                              <wps:cNvSpPr/>
                              <wps:spPr bwMode="auto">
                                <a:xfrm>
                                  <a:off x="5460"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s:wsp>
                              <wps:cNvPr id="19" name=""/>
                              <wps:cNvSpPr/>
                              <wps:spPr bwMode="auto">
                                <a:xfrm>
                                  <a:off x="5577"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g:grpSp>
                          <wpg:grpSp>
                            <wpg:cNvGrpSpPr/>
                            <wpg:grpSpPr bwMode="auto">
                              <a:xfrm rot="5400000">
                                <a:off x="8859" y="10461"/>
                                <a:ext cx="156" cy="210"/>
                                <a:chOff x="5460" y="3780"/>
                                <a:chExt cx="222" cy="468"/>
                              </a:xfrm>
                            </wpg:grpSpPr>
                            <wps:wsp>
                              <wps:cNvPr id="20" name=""/>
                              <wps:cNvSpPr/>
                              <wps:spPr bwMode="auto">
                                <a:xfrm>
                                  <a:off x="5460"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s:wsp>
                              <wps:cNvPr id="21" name=""/>
                              <wps:cNvSpPr/>
                              <wps:spPr bwMode="auto">
                                <a:xfrm>
                                  <a:off x="5577" y="3780"/>
                                  <a:ext cx="105" cy="468"/>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g:grpSp>
                        </wpg:grpSp>
                        <wpg:grpSp>
                          <wpg:cNvGrpSpPr/>
                          <wpg:grpSpPr bwMode="auto">
                            <a:xfrm>
                              <a:off x="3098" y="5363"/>
                              <a:ext cx="5577" cy="300"/>
                              <a:chOff x="3476" y="1820"/>
                              <a:chExt cx="5577" cy="300"/>
                            </a:xfrm>
                          </wpg:grpSpPr>
                          <wps:wsp>
                            <wps:cNvPr id="22" name=""/>
                            <wps:cNvSpPr/>
                            <wps:spPr bwMode="auto">
                              <a:xfrm>
                                <a:off x="3476" y="1908"/>
                                <a:ext cx="5565" cy="156"/>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g:grpSp>
                            <wpg:cNvGrpSpPr/>
                            <wpg:grpSpPr bwMode="auto">
                              <a:xfrm>
                                <a:off x="8937" y="1820"/>
                                <a:ext cx="117" cy="300"/>
                                <a:chOff x="5460" y="3780"/>
                                <a:chExt cx="222" cy="468"/>
                              </a:xfrm>
                            </wpg:grpSpPr>
                            <wps:wsp>
                              <wps:cNvPr id="23" name=""/>
                              <wps:cNvSpPr/>
                              <wps:spPr bwMode="auto">
                                <a:xfrm>
                                  <a:off x="5460" y="3780"/>
                                  <a:ext cx="105" cy="468"/>
                                </a:xfrm>
                                <a:prstGeom prst="rect">
                                  <a:avLst/>
                                </a:prstGeom>
                                <a:solidFill>
                                  <a:srgbClr val="FFFFFF"/>
                                </a:solidFill>
                                <a:ln w="9525" cap="flat" cmpd="sng">
                                  <a:solidFill>
                                    <a:srgbClr val="000000"/>
                                  </a:solidFill>
                                  <a:prstDash val="solid"/>
                                  <a:miter/>
                                  <a:headEnd type="none" w="med" len="med"/>
                                  <a:tailEnd type="none" w="med" len="med"/>
                                </a:ln>
                              </wps:spPr>
                              <wps:bodyPr rot="0">
                                <a:prstTxWarp prst="textNoShape">
                                  <a:avLst/>
                                </a:prstTxWarp>
                                <a:noAutofit/>
                              </wps:bodyPr>
                            </wps:wsp>
                            <wps:wsp>
                              <wps:cNvPr id="24" name=""/>
                              <wps:cNvSpPr/>
                              <wps:spPr bwMode="auto">
                                <a:xfrm>
                                  <a:off x="5577" y="3780"/>
                                  <a:ext cx="105" cy="468"/>
                                </a:xfrm>
                                <a:prstGeom prst="rect">
                                  <a:avLst/>
                                </a:prstGeom>
                                <a:solidFill>
                                  <a:srgbClr val="FFFFFF"/>
                                </a:solidFill>
                                <a:ln w="9525" cap="flat" cmpd="sng">
                                  <a:solidFill>
                                    <a:srgbClr val="000000"/>
                                  </a:solidFill>
                                  <a:prstDash val="solid"/>
                                  <a:miter/>
                                  <a:headEnd type="none" w="med" len="med"/>
                                  <a:tailEnd type="none" w="med" len="med"/>
                                </a:ln>
                              </wps:spPr>
                              <wps:bodyPr rot="0">
                                <a:prstTxWarp prst="textNoShape">
                                  <a:avLst/>
                                </a:prstTxWarp>
                                <a:noAutofit/>
                              </wps:bodyPr>
                            </wps:wsp>
                          </wpg:grpSp>
                        </wpg:grpSp>
                        <wpg:grpSp>
                          <wpg:cNvGrpSpPr/>
                          <wpg:grpSpPr bwMode="auto">
                            <a:xfrm>
                              <a:off x="3098" y="5919"/>
                              <a:ext cx="5577" cy="300"/>
                              <a:chOff x="3476" y="1820"/>
                              <a:chExt cx="5577" cy="300"/>
                            </a:xfrm>
                          </wpg:grpSpPr>
                          <wps:wsp>
                            <wps:cNvPr id="25" name=""/>
                            <wps:cNvSpPr/>
                            <wps:spPr bwMode="auto">
                              <a:xfrm>
                                <a:off x="3476" y="1908"/>
                                <a:ext cx="5565" cy="156"/>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g:grpSp>
                            <wpg:cNvGrpSpPr/>
                            <wpg:grpSpPr bwMode="auto">
                              <a:xfrm>
                                <a:off x="8937" y="1820"/>
                                <a:ext cx="117" cy="300"/>
                                <a:chOff x="5460" y="3780"/>
                                <a:chExt cx="222" cy="468"/>
                              </a:xfrm>
                            </wpg:grpSpPr>
                            <wps:wsp>
                              <wps:cNvPr id="26" name=""/>
                              <wps:cNvSpPr/>
                              <wps:spPr bwMode="auto">
                                <a:xfrm>
                                  <a:off x="5460" y="3780"/>
                                  <a:ext cx="105" cy="468"/>
                                </a:xfrm>
                                <a:prstGeom prst="rect">
                                  <a:avLst/>
                                </a:prstGeom>
                                <a:solidFill>
                                  <a:srgbClr val="FFFFFF"/>
                                </a:solidFill>
                                <a:ln w="9525" cap="flat" cmpd="sng">
                                  <a:solidFill>
                                    <a:srgbClr val="000000"/>
                                  </a:solidFill>
                                  <a:prstDash val="solid"/>
                                  <a:miter/>
                                  <a:headEnd type="none" w="med" len="med"/>
                                  <a:tailEnd type="none" w="med" len="med"/>
                                </a:ln>
                              </wps:spPr>
                              <wps:bodyPr rot="0">
                                <a:prstTxWarp prst="textNoShape">
                                  <a:avLst/>
                                </a:prstTxWarp>
                                <a:noAutofit/>
                              </wps:bodyPr>
                            </wps:wsp>
                            <wps:wsp>
                              <wps:cNvPr id="27" name=""/>
                              <wps:cNvSpPr/>
                              <wps:spPr bwMode="auto">
                                <a:xfrm>
                                  <a:off x="5577" y="3780"/>
                                  <a:ext cx="105" cy="468"/>
                                </a:xfrm>
                                <a:prstGeom prst="rect">
                                  <a:avLst/>
                                </a:prstGeom>
                                <a:solidFill>
                                  <a:srgbClr val="FFFFFF"/>
                                </a:solidFill>
                                <a:ln w="9525" cap="flat" cmpd="sng">
                                  <a:solidFill>
                                    <a:srgbClr val="000000"/>
                                  </a:solidFill>
                                  <a:prstDash val="solid"/>
                                  <a:miter/>
                                  <a:headEnd type="none" w="med" len="med"/>
                                  <a:tailEnd type="none" w="med" len="med"/>
                                </a:ln>
                              </wps:spPr>
                              <wps:bodyPr rot="0">
                                <a:prstTxWarp prst="textNoShape">
                                  <a:avLst/>
                                </a:prstTxWarp>
                                <a:noAutofit/>
                              </wps:bodyPr>
                            </wps:wsp>
                          </wpg:grpSp>
                        </wpg:grpSp>
                        <wpg:grpSp>
                          <wpg:cNvGrpSpPr/>
                          <wpg:grpSpPr bwMode="auto">
                            <a:xfrm>
                              <a:off x="3098" y="6543"/>
                              <a:ext cx="5577" cy="300"/>
                              <a:chOff x="3476" y="1820"/>
                              <a:chExt cx="5577" cy="300"/>
                            </a:xfrm>
                          </wpg:grpSpPr>
                          <wps:wsp>
                            <wps:cNvPr id="28" name=""/>
                            <wps:cNvSpPr/>
                            <wps:spPr bwMode="auto">
                              <a:xfrm>
                                <a:off x="3476" y="1908"/>
                                <a:ext cx="5565" cy="156"/>
                              </a:xfrm>
                              <a:prstGeom prst="rect">
                                <a:avLst/>
                              </a:prstGeom>
                              <a:gradFill>
                                <a:gsLst>
                                  <a:gs pos="0">
                                    <a:srgbClr val="000000"/>
                                  </a:gs>
                                  <a:gs pos="50000">
                                    <a:srgbClr val="FFFFFF"/>
                                  </a:gs>
                                  <a:gs pos="100000">
                                    <a:srgbClr val="000000"/>
                                  </a:gs>
                                </a:gsLst>
                                <a:lin ang="5400000" scaled="1"/>
                              </a:gradFill>
                              <a:ln w="9525" cap="flat" cmpd="sng">
                                <a:solidFill>
                                  <a:srgbClr val="000000"/>
                                </a:solidFill>
                                <a:prstDash val="solid"/>
                                <a:miter/>
                                <a:headEnd type="none" w="med" len="med"/>
                                <a:tailEnd type="none" w="med" len="med"/>
                              </a:ln>
                            </wps:spPr>
                            <wps:bodyPr rot="0">
                              <a:prstTxWarp prst="textNoShape">
                                <a:avLst/>
                              </a:prstTxWarp>
                              <a:noAutofit/>
                            </wps:bodyPr>
                          </wps:wsp>
                          <wpg:grpSp>
                            <wpg:cNvGrpSpPr/>
                            <wpg:grpSpPr bwMode="auto">
                              <a:xfrm>
                                <a:off x="8937" y="1820"/>
                                <a:ext cx="117" cy="300"/>
                                <a:chOff x="5460" y="3780"/>
                                <a:chExt cx="222" cy="468"/>
                              </a:xfrm>
                            </wpg:grpSpPr>
                            <wps:wsp>
                              <wps:cNvPr id="29" name=""/>
                              <wps:cNvSpPr/>
                              <wps:spPr bwMode="auto">
                                <a:xfrm>
                                  <a:off x="5460" y="3780"/>
                                  <a:ext cx="105" cy="468"/>
                                </a:xfrm>
                                <a:prstGeom prst="rect">
                                  <a:avLst/>
                                </a:prstGeom>
                                <a:solidFill>
                                  <a:srgbClr val="FFFFFF"/>
                                </a:solidFill>
                                <a:ln w="9525" cap="flat" cmpd="sng">
                                  <a:solidFill>
                                    <a:srgbClr val="000000"/>
                                  </a:solidFill>
                                  <a:prstDash val="solid"/>
                                  <a:miter/>
                                  <a:headEnd type="none" w="med" len="med"/>
                                  <a:tailEnd type="none" w="med" len="med"/>
                                </a:ln>
                              </wps:spPr>
                              <wps:bodyPr rot="0">
                                <a:prstTxWarp prst="textNoShape">
                                  <a:avLst/>
                                </a:prstTxWarp>
                                <a:noAutofit/>
                              </wps:bodyPr>
                            </wps:wsp>
                            <wps:wsp>
                              <wps:cNvPr id="30" name=""/>
                              <wps:cNvSpPr/>
                              <wps:spPr bwMode="auto">
                                <a:xfrm>
                                  <a:off x="5577" y="3780"/>
                                  <a:ext cx="105" cy="468"/>
                                </a:xfrm>
                                <a:prstGeom prst="rect">
                                  <a:avLst/>
                                </a:prstGeom>
                                <a:solidFill>
                                  <a:srgbClr val="FFFFFF"/>
                                </a:solidFill>
                                <a:ln w="9525" cap="flat" cmpd="sng">
                                  <a:solidFill>
                                    <a:srgbClr val="000000"/>
                                  </a:solidFill>
                                  <a:prstDash val="solid"/>
                                  <a:miter/>
                                  <a:headEnd type="none" w="med" len="med"/>
                                  <a:tailEnd type="none" w="med" len="med"/>
                                </a:ln>
                              </wps:spPr>
                              <wps:bodyPr rot="0">
                                <a:prstTxWarp prst="textNoShape">
                                  <a:avLst/>
                                </a:prstTxWarp>
                                <a:noAutofit/>
                              </wps:bodyPr>
                            </wps:wsp>
                          </wpg:grpSp>
                        </wpg:grpSp>
                        <wps:wsp>
                          <wps:cNvPr id="31" name=""/>
                          <wps:cNvSpPr/>
                          <wps:spPr bwMode="auto">
                            <a:xfrm>
                              <a:off x="8681" y="5142"/>
                              <a:ext cx="420" cy="8109"/>
                            </a:xfrm>
                            <a:prstGeom prst="rect">
                              <a:avLst/>
                            </a:prstGeom>
                            <a:gradFill>
                              <a:gsLst>
                                <a:gs pos="0">
                                  <a:srgbClr val="000000"/>
                                </a:gs>
                                <a:gs pos="50000">
                                  <a:srgbClr val="FFFFFF"/>
                                </a:gs>
                                <a:gs pos="100000">
                                  <a:srgbClr val="000000"/>
                                </a:gs>
                              </a:gsLst>
                              <a:lin ang="0" scaled="1"/>
                            </a:gradFill>
                            <a:ln w="9525" cap="flat" cmpd="sng">
                              <a:solidFill>
                                <a:srgbClr val="000000"/>
                              </a:solidFill>
                              <a:prstDash val="solid"/>
                              <a:miter/>
                              <a:headEnd type="none" w="med" len="med"/>
                              <a:tailEnd type="none" w="med" len="med"/>
                            </a:ln>
                          </wps:spPr>
                          <wps:bodyPr rot="0">
                            <a:prstTxWarp prst="textNoShape">
                              <a:avLst/>
                            </a:prstTxWarp>
                            <a:noAutofit/>
                          </wps:bodyPr>
                        </wps:wsp>
                        <wps:wsp>
                          <wps:cNvPr id="32" name=""/>
                          <wps:cNvSpPr/>
                          <wps:spPr bwMode="auto">
                            <a:xfrm>
                              <a:off x="9101" y="12738"/>
                              <a:ext cx="390" cy="390"/>
                            </a:xfrm>
                            <a:custGeom>
                              <a:avLst/>
                              <a:gdLst/>
                              <a:ahLst/>
                              <a:cxnLst>
                                <a:cxn ang="0">
                                  <a:pos x="0" y="0"/>
                                </a:cxn>
                                <a:cxn ang="0">
                                  <a:pos x="390" y="375"/>
                                </a:cxn>
                                <a:cxn ang="0">
                                  <a:pos x="0" y="390"/>
                                </a:cxn>
                                <a:cxn ang="0">
                                  <a:pos x="0" y="0"/>
                                </a:cxn>
                              </a:cxnLst>
                              <a:rect l="0" t="0" r="r" b="b"/>
                              <a:pathLst>
                                <a:path w="390" h="390" fill="norm" stroke="1" extrusionOk="0">
                                  <a:moveTo>
                                    <a:pt x="0" y="0"/>
                                  </a:moveTo>
                                  <a:lnTo>
                                    <a:pt x="390" y="375"/>
                                  </a:lnTo>
                                  <a:lnTo>
                                    <a:pt x="0" y="390"/>
                                  </a:lnTo>
                                  <a:lnTo>
                                    <a:pt x="0" y="0"/>
                                  </a:lnTo>
                                  <a:close/>
                                </a:path>
                              </a:pathLst>
                            </a:custGeom>
                            <a:gradFill>
                              <a:gsLst>
                                <a:gs pos="0">
                                  <a:srgbClr val="FFFFFF"/>
                                </a:gs>
                                <a:gs pos="100000">
                                  <a:srgbClr val="767676"/>
                                </a:gs>
                              </a:gsLst>
                              <a:lin ang="5400000" scaled="1"/>
                            </a:gradFill>
                            <a:ln w="9525" cap="flat" cmpd="sng">
                              <a:solidFill>
                                <a:srgbClr val="000000"/>
                              </a:solidFill>
                              <a:prstDash val="solid"/>
                              <a:headEnd type="none" w="med" len="med"/>
                              <a:tailEnd type="none" w="med" len="med"/>
                            </a:ln>
                          </wps:spPr>
                          <wps:bodyPr rot="0">
                            <a:prstTxWarp prst="textNoShape">
                              <a:avLst/>
                            </a:prstTxWarp>
                            <a:noAutofit/>
                          </wps:bodyPr>
                        </wps:wsp>
                        <wps:wsp>
                          <wps:cNvPr id="33" name=""/>
                          <wps:cNvSpPr/>
                          <wps:spPr bwMode="auto">
                            <a:xfrm>
                              <a:off x="8336" y="12753"/>
                              <a:ext cx="360" cy="375"/>
                            </a:xfrm>
                            <a:custGeom>
                              <a:avLst/>
                              <a:gdLst/>
                              <a:ahLst/>
                              <a:cxnLst>
                                <a:cxn ang="0">
                                  <a:pos x="360" y="0"/>
                                </a:cxn>
                                <a:cxn ang="0">
                                  <a:pos x="0" y="375"/>
                                </a:cxn>
                                <a:cxn ang="0">
                                  <a:pos x="360" y="360"/>
                                </a:cxn>
                                <a:cxn ang="0">
                                  <a:pos x="360" y="0"/>
                                </a:cxn>
                              </a:cxnLst>
                              <a:rect l="0" t="0" r="r" b="b"/>
                              <a:pathLst>
                                <a:path w="360" h="375" fill="norm" stroke="1" extrusionOk="0">
                                  <a:moveTo>
                                    <a:pt x="360" y="0"/>
                                  </a:moveTo>
                                  <a:lnTo>
                                    <a:pt x="0" y="375"/>
                                  </a:lnTo>
                                  <a:lnTo>
                                    <a:pt x="360" y="360"/>
                                  </a:lnTo>
                                  <a:lnTo>
                                    <a:pt x="360" y="0"/>
                                  </a:lnTo>
                                  <a:close/>
                                </a:path>
                              </a:pathLst>
                            </a:custGeom>
                            <a:gradFill>
                              <a:gsLst>
                                <a:gs pos="0">
                                  <a:srgbClr val="FFFFFF"/>
                                </a:gs>
                                <a:gs pos="100000">
                                  <a:srgbClr val="767676"/>
                                </a:gs>
                              </a:gsLst>
                              <a:lin ang="5400000" scaled="1"/>
                            </a:gradFill>
                            <a:ln w="9525" cap="flat" cmpd="sng">
                              <a:solidFill>
                                <a:srgbClr val="000000"/>
                              </a:solidFill>
                              <a:prstDash val="solid"/>
                              <a:headEnd type="none" w="med" len="med"/>
                              <a:tailEnd type="none" w="med" len="med"/>
                            </a:ln>
                          </wps:spPr>
                          <wps:bodyPr rot="0">
                            <a:prstTxWarp prst="textNoShape">
                              <a:avLst/>
                            </a:prstTxWarp>
                            <a:noAutofit/>
                          </wps:bodyPr>
                        </wps:wsp>
                        <wps:wsp>
                          <wps:cNvPr id="34" name=""/>
                          <wps:cNvSpPr/>
                          <wps:spPr bwMode="auto">
                            <a:xfrm>
                              <a:off x="8966" y="12753"/>
                              <a:ext cx="300" cy="540"/>
                            </a:xfrm>
                            <a:custGeom>
                              <a:avLst/>
                              <a:gdLst/>
                              <a:ahLst/>
                              <a:cxnLst>
                                <a:cxn ang="0">
                                  <a:pos x="0" y="0"/>
                                </a:cxn>
                                <a:cxn ang="0">
                                  <a:pos x="300" y="540"/>
                                </a:cxn>
                                <a:cxn ang="0">
                                  <a:pos x="15" y="480"/>
                                </a:cxn>
                                <a:cxn ang="0">
                                  <a:pos x="0" y="0"/>
                                </a:cxn>
                              </a:cxnLst>
                              <a:rect l="0" t="0" r="r" b="b"/>
                              <a:pathLst>
                                <a:path w="300" h="540" fill="norm" stroke="1" extrusionOk="0">
                                  <a:moveTo>
                                    <a:pt x="0" y="0"/>
                                  </a:moveTo>
                                  <a:lnTo>
                                    <a:pt x="300" y="540"/>
                                  </a:lnTo>
                                  <a:lnTo>
                                    <a:pt x="15" y="480"/>
                                  </a:lnTo>
                                  <a:lnTo>
                                    <a:pt x="0" y="0"/>
                                  </a:lnTo>
                                  <a:close/>
                                </a:path>
                              </a:pathLst>
                            </a:custGeom>
                            <a:gradFill>
                              <a:gsLst>
                                <a:gs pos="0">
                                  <a:srgbClr val="FFFFFF"/>
                                </a:gs>
                                <a:gs pos="100000">
                                  <a:srgbClr val="767676"/>
                                </a:gs>
                              </a:gsLst>
                              <a:lin ang="5400000" scaled="1"/>
                            </a:gradFill>
                            <a:ln w="9525" cap="flat" cmpd="sng">
                              <a:solidFill>
                                <a:srgbClr val="000000"/>
                              </a:solidFill>
                              <a:prstDash val="solid"/>
                              <a:headEnd type="none" w="med" len="med"/>
                              <a:tailEnd type="none" w="med" len="med"/>
                            </a:ln>
                          </wps:spPr>
                          <wps:bodyPr rot="0">
                            <a:prstTxWarp prst="textNoShape">
                              <a:avLst/>
                            </a:prstTxWarp>
                            <a:noAutofit/>
                          </wps:bodyPr>
                        </wps:wsp>
                        <wps:wsp>
                          <wps:cNvPr id="35" name=""/>
                          <wps:cNvSpPr/>
                          <wps:spPr bwMode="auto">
                            <a:xfrm>
                              <a:off x="8606" y="12782"/>
                              <a:ext cx="162" cy="585"/>
                            </a:xfrm>
                            <a:custGeom>
                              <a:avLst/>
                              <a:gdLst/>
                              <a:ahLst/>
                              <a:cxnLst>
                                <a:cxn ang="0">
                                  <a:pos x="162" y="0"/>
                                </a:cxn>
                                <a:cxn ang="0">
                                  <a:pos x="0" y="585"/>
                                </a:cxn>
                                <a:cxn ang="0">
                                  <a:pos x="156" y="502"/>
                                </a:cxn>
                                <a:cxn ang="0">
                                  <a:pos x="162" y="0"/>
                                </a:cxn>
                              </a:cxnLst>
                              <a:rect l="0" t="0" r="r" b="b"/>
                              <a:pathLst>
                                <a:path w="162" h="585" fill="norm" stroke="1" extrusionOk="0">
                                  <a:moveTo>
                                    <a:pt x="162" y="0"/>
                                  </a:moveTo>
                                  <a:lnTo>
                                    <a:pt x="0" y="585"/>
                                  </a:lnTo>
                                  <a:lnTo>
                                    <a:pt x="156" y="502"/>
                                  </a:lnTo>
                                  <a:lnTo>
                                    <a:pt x="162" y="0"/>
                                  </a:lnTo>
                                  <a:close/>
                                </a:path>
                              </a:pathLst>
                            </a:custGeom>
                            <a:gradFill>
                              <a:gsLst>
                                <a:gs pos="0">
                                  <a:srgbClr val="FFFFFF"/>
                                </a:gs>
                                <a:gs pos="100000">
                                  <a:srgbClr val="767676"/>
                                </a:gs>
                              </a:gsLst>
                              <a:lin ang="5400000" scaled="1"/>
                            </a:gradFill>
                            <a:ln w="9525" cap="flat" cmpd="sng">
                              <a:solidFill>
                                <a:srgbClr val="000000"/>
                              </a:solidFill>
                              <a:prstDash val="solid"/>
                              <a:headEnd type="none" w="med" len="med"/>
                              <a:tailEnd type="none" w="med" len="med"/>
                            </a:ln>
                          </wps:spPr>
                          <wps:bodyPr rot="0">
                            <a:prstTxWarp prst="textNoShape">
                              <a:avLst/>
                            </a:prstTxWarp>
                            <a:noAutofit/>
                          </wps:bodyPr>
                        </wps:wsp>
                      </wpg:grpSp>
                    </wpg:wgp>
                  </a:graphicData>
                </a:graphic>
              </wp:inline>
            </w:drawing>
          </mc:Choice>
          <mc:Fallback>
            <w:pict>
              <v:group id="group 16" o:spid="_x0000_s0000" style="width:247.3pt;height:331.9pt;mso-wrap-distance-left:0.0pt;mso-wrap-distance-top:0.0pt;mso-wrap-distance-right:0.0pt;mso-wrap-distance-bottom:0.0pt;" coordorigin="30,49" coordsize="74,83">
                <v:group id="group 17" o:spid="_x0000_s0000" style="position:absolute;left:88;top:48;width:1;height:4;rotation:90;" coordorigin="54,37" coordsize="2,4">
                  <v:shape id="shape 18" o:spid="_x0000_s18" o:spt="1" type="#_x0000_t1" style="position:absolute;left:54;top:37;width:1;height:4;visibility:visible;" fillcolor="#000000" strokecolor="#000000" strokeweight="0.75pt">
                    <v:stroke dashstyle="solid"/>
                  </v:shape>
                  <v:shape id="shape 19" o:spid="_x0000_s19" o:spt="1" type="#_x0000_t1" style="position:absolute;left:55;top:37;width:1;height:4;visibility:visible;" fillcolor="#000000" strokecolor="#000000" strokeweight="0.75pt">
                    <v:stroke dashstyle="solid"/>
                  </v:shape>
                </v:group>
                <v:line id="shape 20" o:spid="_x0000_s20" style="position:absolute;left:0;text-align:left;visibility:visible;" from="55.8pt,37.8pt" to="56.8pt,42.5pt" filled="f" strokecolor="#000000" strokeweight="0.75pt">
                  <v:stroke dashstyle="solid"/>
                </v:line>
                <v:line id="shape 21" o:spid="_x0000_s21" style="position:absolute;left:0;text-align:left;visibility:visible;" from="55.8pt,37.8pt" to="56.8pt,42.5pt" filled="f" strokecolor="#000000" strokeweight="0.75pt">
                  <v:stroke dashstyle="solid"/>
                </v:line>
                <v:line id="shape 22" o:spid="_x0000_s22" style="position:absolute;left:0;text-align:left;flip:y;visibility:visible;" from="55.8pt,37.8pt" to="56.8pt,42.5pt" filled="f" strokecolor="#000000" strokeweight="0.75pt">
                  <v:stroke dashstyle="solid"/>
                </v:line>
                <v:shape id="shape 23" o:spid="_x0000_s23" o:spt="202" type="#_x0000_t202" style="position:absolute;left:89;top:88;width:10;height:20;rotation:-90;visibility:visible;" filled="f" stroked="f">
                  <v:textbox inset="0,0,0,0">
                    <w:txbxContent>
                      <w:p>
                        <w:pPr>
                          <w:pStyle w:val="968"/>
                          <w:jc w:val="center"/>
                        </w:pPr>
                        <w:r>
                          <w:rPr>
                            <w:rFonts w:hint="eastAsia"/>
                            <w:color w:val="000000"/>
                          </w:rPr>
                          <w:t xml:space="preserve">8500</w:t>
                        </w:r>
                        <w:r/>
                      </w:p>
                    </w:txbxContent>
                  </v:textbox>
                </v:shape>
                <v:line id="shape 24" o:spid="_x0000_s24" style="position:absolute;left:0;text-align:left;visibility:visible;" from="89.2pt,88.6pt" to="100.2pt,109.1pt" filled="f" strokecolor="#000000" strokeweight="0.75pt">
                  <v:stroke dashstyle="solid"/>
                </v:line>
                <v:line id="shape 25" o:spid="_x0000_s25" style="position:absolute;left:0;text-align:left;visibility:visible;" from="89.2pt,88.6pt" to="100.2pt,109.1pt" filled="f" strokecolor="#000000" strokeweight="0.75pt">
                  <v:stroke dashstyle="solid"/>
                </v:line>
                <v:shape id="shape 26" o:spid="_x0000_s26" o:spt="202" type="#_x0000_t202" style="position:absolute;left:44;top:72;width:8;height:13;visibility:visible;" filled="f" stroked="f">
                  <v:textbox inset="0,0,0,0">
                    <w:txbxContent>
                      <w:p>
                        <w:pPr>
                          <w:pStyle w:val="968"/>
                          <w:jc w:val="center"/>
                        </w:pPr>
                        <w:r>
                          <w:rPr>
                            <w:rFonts w:hint="eastAsia"/>
                            <w:color w:val="000000"/>
                          </w:rPr>
                          <w:t xml:space="preserve">8000</w:t>
                        </w:r>
                        <w:r/>
                      </w:p>
                    </w:txbxContent>
                  </v:textbox>
                </v:shape>
                <v:group id="group 27" o:spid="_x0000_s0000" style="position:absolute;left:31;top:50;width:64;height:82;" coordorigin="30,51" coordsize="64,82">
                  <v:group id="group 28" o:spid="_x0000_s0000" style="position:absolute;left:83;top:127;width:11;height:6;" coordorigin="67,103" coordsize="44,21">
                    <v:shape id="shape 29" o:spid="_x0000_s29" o:spt="3" type="#_x0000_t3" style="position:absolute;left:67;top:103;width:44;height:21;visibility:visible;" fillcolor="#FFFFFF" strokecolor="#000000" strokeweight="0.75pt">
                      <v:stroke dashstyle="solid"/>
                    </v:shape>
                    <v:group id="group 30" o:spid="_x0000_s0000" style="position:absolute;left:89;top:121;width:1;height:2;rotation:90;" coordorigin="54,37" coordsize="2,4">
                      <v:shape id="shape 31" o:spid="_x0000_s31" o:spt="1" type="#_x0000_t1" style="position:absolute;left:54;top:37;width:1;height:4;visibility:visible;" fillcolor="#000000" strokecolor="#000000" strokeweight="0.75pt">
                        <v:stroke dashstyle="solid"/>
                      </v:shape>
                      <v:shape id="shape 32" o:spid="_x0000_s32" o:spt="1" type="#_x0000_t1" style="position:absolute;left:55;top:37;width:1;height:4;visibility:visible;" fillcolor="#000000" strokecolor="#000000" strokeweight="0.75pt">
                        <v:stroke dashstyle="solid"/>
                      </v:shape>
                    </v:group>
                    <v:group id="group 33" o:spid="_x0000_s0000" style="position:absolute;left:101;top:117;width:1;height:2;rotation:90;" coordorigin="54,37" coordsize="2,4">
                      <v:shape id="shape 34" o:spid="_x0000_s34" o:spt="1" type="#_x0000_t1" style="position:absolute;left:54;top:37;width:1;height:4;visibility:visible;" fillcolor="#000000" strokecolor="#000000" strokeweight="0.75pt">
                        <v:stroke dashstyle="solid"/>
                      </v:shape>
                      <v:shape id="shape 35" o:spid="_x0000_s35" o:spt="1" type="#_x0000_t1" style="position:absolute;left:55;top:37;width:1;height:4;visibility:visible;" fillcolor="#000000" strokecolor="#000000" strokeweight="0.75pt">
                        <v:stroke dashstyle="solid"/>
                      </v:shape>
                    </v:group>
                    <v:group id="group 36" o:spid="_x0000_s0000" style="position:absolute;left:74;top:117;width:1;height:2;rotation:90;" coordorigin="54,37" coordsize="2,4">
                      <v:shape id="shape 37" o:spid="_x0000_s37" o:spt="1" type="#_x0000_t1" style="position:absolute;left:54;top:37;width:1;height:4;visibility:visible;" fillcolor="#000000" strokecolor="#000000" strokeweight="0.75pt">
                        <v:stroke dashstyle="solid"/>
                      </v:shape>
                      <v:shape id="shape 38" o:spid="_x0000_s38" o:spt="1" type="#_x0000_t1" style="position:absolute;left:55;top:37;width:1;height:4;visibility:visible;" fillcolor="#000000" strokecolor="#000000" strokeweight="0.75pt">
                        <v:stroke dashstyle="solid"/>
                      </v:shape>
                    </v:group>
                    <v:group id="group 39" o:spid="_x0000_s0000" style="position:absolute;left:102;top:109;width:1;height:2;rotation:90;" coordorigin="54,37" coordsize="2,4">
                      <v:shape id="shape 40" o:spid="_x0000_s40" o:spt="1" type="#_x0000_t1" style="position:absolute;left:54;top:37;width:1;height:4;visibility:visible;" fillcolor="#000000" strokecolor="#000000" strokeweight="0.75pt">
                        <v:stroke dashstyle="solid"/>
                      </v:shape>
                      <v:shape id="shape 41" o:spid="_x0000_s41" o:spt="1" type="#_x0000_t1" style="position:absolute;left:55;top:37;width:1;height:4;visibility:visible;" fillcolor="#000000" strokecolor="#000000" strokeweight="0.75pt">
                        <v:stroke dashstyle="solid"/>
                      </v:shape>
                    </v:group>
                    <v:group id="group 42" o:spid="_x0000_s0000" style="position:absolute;left:74;top:107;width:1;height:2;rotation:90;" coordorigin="54,37" coordsize="2,4">
                      <v:shape id="shape 43" o:spid="_x0000_s43" o:spt="1" type="#_x0000_t1" style="position:absolute;left:54;top:37;width:1;height:4;visibility:visible;" fillcolor="#000000" strokecolor="#000000" strokeweight="0.75pt">
                        <v:stroke dashstyle="solid"/>
                      </v:shape>
                      <v:shape id="shape 44" o:spid="_x0000_s44" o:spt="1" type="#_x0000_t1" style="position:absolute;left:55;top:37;width:1;height:4;visibility:visible;" fillcolor="#000000" strokecolor="#000000" strokeweight="0.75pt">
                        <v:stroke dashstyle="solid"/>
                      </v:shape>
                    </v:group>
                    <v:group id="group 45" o:spid="_x0000_s0000" style="position:absolute;left:88;top:104;width:1;height:2;rotation:90;" coordorigin="54,37" coordsize="2,4">
                      <v:shape id="shape 46" o:spid="_x0000_s46" o:spt="1" type="#_x0000_t1" style="position:absolute;left:54;top:37;width:1;height:4;visibility:visible;" fillcolor="#000000" strokecolor="#000000" strokeweight="0.75pt">
                        <v:stroke dashstyle="solid"/>
                      </v:shape>
                      <v:shape id="shape 47" o:spid="_x0000_s47" o:spt="1" type="#_x0000_t1" style="position:absolute;left:55;top:37;width:1;height:4;visibility:visible;" fillcolor="#000000" strokecolor="#000000" strokeweight="0.75pt">
                        <v:stroke dashstyle="solid"/>
                      </v:shape>
                    </v:group>
                  </v:group>
                  <v:group id="group 48" o:spid="_x0000_s0000" style="position:absolute;left:30;top:53;width:55;height:3;" coordorigin="34,18" coordsize="55,3">
                    <v:shape id="shape 49" o:spid="_x0000_s49" o:spt="1" type="#_x0000_t1" style="position:absolute;left:34;top:19;width:55;height:1;visibility:visible;" fillcolor="#000000" strokecolor="#000000" strokeweight="0.75pt">
                      <v:stroke dashstyle="solid"/>
                    </v:shape>
                    <v:group id="group 50" o:spid="_x0000_s0000" style="position:absolute;left:89;top:18;width:1;height:3;" coordorigin="54,37" coordsize="2,4">
                      <v:shape id="shape 51" o:spid="_x0000_s51" o:spt="1" type="#_x0000_t1" style="position:absolute;left:54;top:37;width:1;height:4;visibility:visible;" fillcolor="#FFFFFF" strokecolor="#000000" strokeweight="0.75pt">
                        <v:stroke dashstyle="solid"/>
                      </v:shape>
                      <v:shape id="shape 52" o:spid="_x0000_s52" o:spt="1" type="#_x0000_t1" style="position:absolute;left:55;top:37;width:1;height:4;visibility:visible;" fillcolor="#FFFFFF" strokecolor="#000000" strokeweight="0.75pt">
                        <v:stroke dashstyle="solid"/>
                      </v:shape>
                    </v:group>
                  </v:group>
                  <v:group id="group 53" o:spid="_x0000_s0000" style="position:absolute;left:30;top:59;width:55;height:3;" coordorigin="34,18" coordsize="55,3">
                    <v:shape id="shape 54" o:spid="_x0000_s54" o:spt="1" type="#_x0000_t1" style="position:absolute;left:34;top:19;width:55;height:1;visibility:visible;" fillcolor="#000000" strokecolor="#000000" strokeweight="0.75pt">
                      <v:stroke dashstyle="solid"/>
                    </v:shape>
                    <v:group id="group 55" o:spid="_x0000_s0000" style="position:absolute;left:89;top:18;width:1;height:3;" coordorigin="54,37" coordsize="2,4">
                      <v:shape id="shape 56" o:spid="_x0000_s56" o:spt="1" type="#_x0000_t1" style="position:absolute;left:54;top:37;width:1;height:4;visibility:visible;" fillcolor="#FFFFFF" strokecolor="#000000" strokeweight="0.75pt">
                        <v:stroke dashstyle="solid"/>
                      </v:shape>
                      <v:shape id="shape 57" o:spid="_x0000_s57" o:spt="1" type="#_x0000_t1" style="position:absolute;left:55;top:37;width:1;height:4;visibility:visible;" fillcolor="#FFFFFF" strokecolor="#000000" strokeweight="0.75pt">
                        <v:stroke dashstyle="solid"/>
                      </v:shape>
                    </v:group>
                  </v:group>
                  <v:group id="group 58" o:spid="_x0000_s0000" style="position:absolute;left:30;top:65;width:55;height:3;" coordorigin="34,18" coordsize="55,3">
                    <v:shape id="shape 59" o:spid="_x0000_s59" o:spt="1" type="#_x0000_t1" style="position:absolute;left:34;top:19;width:55;height:1;visibility:visible;" fillcolor="#000000" strokecolor="#000000" strokeweight="0.75pt">
                      <v:stroke dashstyle="solid"/>
                    </v:shape>
                    <v:group id="group 60" o:spid="_x0000_s0000" style="position:absolute;left:89;top:18;width:1;height:3;" coordorigin="54,37" coordsize="2,4">
                      <v:shape id="shape 61" o:spid="_x0000_s61" o:spt="1" type="#_x0000_t1" style="position:absolute;left:54;top:37;width:1;height:4;visibility:visible;" fillcolor="#FFFFFF" strokecolor="#000000" strokeweight="0.75pt">
                        <v:stroke dashstyle="solid"/>
                      </v:shape>
                      <v:shape id="shape 62" o:spid="_x0000_s62" o:spt="1" type="#_x0000_t1" style="position:absolute;left:55;top:37;width:1;height:4;visibility:visible;" fillcolor="#FFFFFF" strokecolor="#000000" strokeweight="0.75pt">
                        <v:stroke dashstyle="solid"/>
                      </v:shape>
                    </v:group>
                  </v:group>
                  <v:shape id="shape 63" o:spid="_x0000_s63" o:spt="1" type="#_x0000_t1" style="position:absolute;left:86;top:51;width:4;height:81;visibility:visible;" fillcolor="#000000" strokecolor="#000000" strokeweight="0.75pt">
                    <v:stroke dashstyle="solid"/>
                  </v:shape>
                  <v:shape id="shape 64" o:spid="_x0000_s64" style="position:absolute;left:91;top:127;width:3;height:3;visibility:visible;" path="m0,0l100000,96153l0,100000l0,0xe" coordsize="100000,100000" fillcolor="#FFFFFF" strokecolor="#000000" strokeweight="0.75pt">
                    <v:path textboxrect="0,0,100000,100000"/>
                    <v:stroke dashstyle="solid"/>
                  </v:shape>
                  <v:shape id="shape 65" o:spid="_x0000_s65" style="position:absolute;left:83;top:127;width:3;height:3;visibility:visible;" path="m100000,0l0,100000l100000,96000l100000,0xe" coordsize="100000,100000" fillcolor="#FFFFFF" strokecolor="#000000" strokeweight="0.75pt">
                    <v:path textboxrect="0,0,100000,100000"/>
                    <v:stroke dashstyle="solid"/>
                  </v:shape>
                  <v:shape id="shape 66" o:spid="_x0000_s66" style="position:absolute;left:89;top:127;width:3;height:5;visibility:visible;" path="m0,0l100000,100000l5000,88889l0,0xe" coordsize="100000,100000" fillcolor="#FFFFFF" strokecolor="#000000" strokeweight="0.75pt">
                    <v:path textboxrect="0,0,100000,100000"/>
                    <v:stroke dashstyle="solid"/>
                  </v:shape>
                  <v:shape id="shape 67" o:spid="_x0000_s67" style="position:absolute;left:86;top:127;width:1;height:5;visibility:visible;" path="m100000,0l0,99998l96296,85810l100000,0xe" coordsize="100000,100000" fillcolor="#FFFFFF" strokecolor="#000000" strokeweight="0.75pt">
                    <v:path textboxrect="0,0,100000,100000"/>
                    <v:stroke dashstyle="solid"/>
                  </v:shape>
                </v:group>
              </v:group>
            </w:pict>
          </mc:Fallback>
        </mc:AlternateContent>
      </w:r>
      <w:r/>
    </w:p>
    <w:p>
      <w:pPr>
        <w:ind w:firstLine="420"/>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2680335" cy="3364230"/>
                <wp:effectExtent l="0" t="4445" r="5715" b="0"/>
                <wp:docPr id="8" name="组合 78"/>
                <wp:cNvGraphicFramePr/>
                <a:graphic xmlns:a="http://schemas.openxmlformats.org/drawingml/2006/main">
                  <a:graphicData uri="http://schemas.microsoft.com/office/word/2010/wordprocessingGroup">
                    <wpg:wgp>
                      <wpg:cNvGrpSpPr/>
                      <wpg:grpSpPr bwMode="auto">
                        <a:xfrm>
                          <a:off x="0" y="0"/>
                          <a:ext cx="2680335" cy="3364230"/>
                          <a:chOff x="5933" y="10537"/>
                          <a:chExt cx="4221" cy="5298"/>
                        </a:xfrm>
                      </wpg:grpSpPr>
                      <wpg:grpSp>
                        <wpg:cNvGrpSpPr/>
                        <wpg:grpSpPr bwMode="auto">
                          <a:xfrm>
                            <a:off x="5933" y="10537"/>
                            <a:ext cx="4221" cy="5298"/>
                            <a:chOff x="5933" y="10537"/>
                            <a:chExt cx="4221" cy="5298"/>
                          </a:xfrm>
                        </wpg:grpSpPr>
                        <wps:wsp>
                          <wps:cNvPr id="0" name=""/>
                          <wps:cNvSpPr/>
                          <wps:spPr bwMode="auto">
                            <a:xfrm>
                              <a:off x="7844" y="10537"/>
                              <a:ext cx="2310" cy="3276"/>
                            </a:xfrm>
                            <a:prstGeom prst="cube">
                              <a:avLst>
                                <a:gd name="adj" fmla="val 22296"/>
                              </a:avLst>
                            </a:prstGeom>
                            <a:blipFill>
                              <a:blip r:embed="rId20"/>
                              <a:stretch/>
                            </a:blipFill>
                            <a:ln w="9525" cap="flat" cmpd="sng">
                              <a:solidFill>
                                <a:srgbClr val="000000"/>
                              </a:solidFill>
                              <a:prstDash val="solid"/>
                              <a:miter/>
                              <a:headEnd type="none" w="med" len="med"/>
                              <a:tailEnd type="none" w="med" len="med"/>
                            </a:ln>
                          </wps:spPr>
                          <wps:bodyPr rot="0">
                            <a:prstTxWarp prst="textNoShape">
                              <a:avLst/>
                            </a:prstTxWarp>
                            <a:noAutofit/>
                          </wps:bodyPr>
                        </wps:wsp>
                        <wps:wsp>
                          <wps:cNvPr id="1" name=""/>
                          <wps:cNvSpPr/>
                          <wps:spPr bwMode="auto">
                            <a:xfrm>
                              <a:off x="7823" y="13851"/>
                              <a:ext cx="0" cy="780"/>
                            </a:xfrm>
                            <a:prstGeom prst="line">
                              <a:avLst/>
                            </a:prstGeom>
                            <a:grpFill/>
                            <a:ln w="9525" cap="flat" cmpd="sng">
                              <a:solidFill>
                                <a:srgbClr val="000000"/>
                              </a:solidFill>
                              <a:prstDash val="solid"/>
                              <a:headEnd type="none" w="med" len="med"/>
                              <a:tailEnd type="none" w="med" len="med"/>
                            </a:ln>
                          </wps:spPr>
                          <wps:bodyPr rot="0">
                            <a:prstTxWarp prst="textNoShape">
                              <a:avLst/>
                            </a:prstTxWarp>
                            <a:noAutofit/>
                          </wps:bodyPr>
                        </wps:wsp>
                        <wps:wsp>
                          <wps:cNvPr id="2" name=""/>
                          <wps:cNvSpPr/>
                          <wps:spPr bwMode="auto">
                            <a:xfrm>
                              <a:off x="9503" y="13851"/>
                              <a:ext cx="0" cy="624"/>
                            </a:xfrm>
                            <a:prstGeom prst="line">
                              <a:avLst/>
                            </a:prstGeom>
                            <a:grpFill/>
                            <a:ln w="9525" cap="flat" cmpd="sng">
                              <a:solidFill>
                                <a:srgbClr val="000000"/>
                              </a:solidFill>
                              <a:prstDash val="solid"/>
                              <a:headEnd type="none" w="med" len="med"/>
                              <a:tailEnd type="none" w="med" len="med"/>
                            </a:ln>
                          </wps:spPr>
                          <wps:bodyPr rot="0">
                            <a:prstTxWarp prst="textNoShape">
                              <a:avLst/>
                            </a:prstTxWarp>
                            <a:noAutofit/>
                          </wps:bodyPr>
                        </wps:wsp>
                        <wps:wsp>
                          <wps:cNvPr id="3" name=""/>
                          <wps:cNvSpPr/>
                          <wps:spPr bwMode="auto">
                            <a:xfrm>
                              <a:off x="6038" y="11082"/>
                              <a:ext cx="1785" cy="0"/>
                            </a:xfrm>
                            <a:prstGeom prst="line">
                              <a:avLst/>
                            </a:prstGeom>
                            <a:grpFill/>
                            <a:ln w="9525" cap="flat" cmpd="sng">
                              <a:solidFill>
                                <a:srgbClr val="000000"/>
                              </a:solidFill>
                              <a:prstDash val="solid"/>
                              <a:headEnd type="none" w="med" len="med"/>
                              <a:tailEnd type="none" w="med" len="med"/>
                            </a:ln>
                          </wps:spPr>
                          <wps:bodyPr rot="0">
                            <a:prstTxWarp prst="textNoShape">
                              <a:avLst/>
                            </a:prstTxWarp>
                            <a:noAutofit/>
                          </wps:bodyPr>
                        </wps:wsp>
                        <wps:wsp>
                          <wps:cNvPr id="4" name=""/>
                          <wps:cNvSpPr/>
                          <wps:spPr bwMode="auto">
                            <a:xfrm>
                              <a:off x="5933" y="13851"/>
                              <a:ext cx="1785" cy="0"/>
                            </a:xfrm>
                            <a:prstGeom prst="line">
                              <a:avLst/>
                            </a:prstGeom>
                            <a:grpFill/>
                            <a:ln w="9525" cap="flat" cmpd="sng">
                              <a:solidFill>
                                <a:srgbClr val="000000"/>
                              </a:solidFill>
                              <a:prstDash val="solid"/>
                              <a:headEnd type="none" w="med" len="med"/>
                              <a:tailEnd type="none" w="med" len="med"/>
                            </a:ln>
                          </wps:spPr>
                          <wps:bodyPr rot="0">
                            <a:prstTxWarp prst="textNoShape">
                              <a:avLst/>
                            </a:prstTxWarp>
                            <a:noAutofit/>
                          </wps:bodyPr>
                        </wps:wsp>
                        <wps:wsp>
                          <wps:cNvPr id="5" name=""/>
                          <wps:cNvSpPr/>
                          <wps:spPr bwMode="auto">
                            <a:xfrm flipH="1" flipV="1">
                              <a:off x="7277" y="11005"/>
                              <a:ext cx="0" cy="2808"/>
                            </a:xfrm>
                            <a:prstGeom prst="line">
                              <a:avLst/>
                            </a:prstGeom>
                            <a:grpFill/>
                            <a:ln w="9525" cap="flat" cmpd="sng">
                              <a:solidFill>
                                <a:srgbClr val="000000"/>
                              </a:solidFill>
                              <a:prstDash val="solid"/>
                              <a:headEnd type="triangle" w="med" len="med"/>
                              <a:tailEnd type="triangle" w="med" len="med"/>
                            </a:ln>
                          </wps:spPr>
                          <wps:bodyPr rot="0">
                            <a:prstTxWarp prst="textNoShape">
                              <a:avLst/>
                            </a:prstTxWarp>
                            <a:noAutofit/>
                          </wps:bodyPr>
                        </wps:wsp>
                        <wps:wsp>
                          <wps:cNvPr id="6" name=""/>
                          <wps:cNvSpPr/>
                          <wps:spPr bwMode="auto">
                            <a:xfrm flipH="1" flipV="1">
                              <a:off x="7928" y="14007"/>
                              <a:ext cx="1470" cy="0"/>
                            </a:xfrm>
                            <a:prstGeom prst="line">
                              <a:avLst/>
                            </a:prstGeom>
                            <a:grpFill/>
                            <a:ln w="9525" cap="flat" cmpd="sng">
                              <a:solidFill>
                                <a:srgbClr val="000000"/>
                              </a:solidFill>
                              <a:prstDash val="solid"/>
                              <a:headEnd type="triangle" w="med" len="med"/>
                              <a:tailEnd type="triangle" w="med" len="med"/>
                            </a:ln>
                          </wps:spPr>
                          <wps:bodyPr rot="0">
                            <a:prstTxWarp prst="textNoShape">
                              <a:avLst/>
                            </a:prstTxWarp>
                            <a:noAutofit/>
                          </wps:bodyPr>
                        </wps:wsp>
                        <wps:wsp>
                          <wps:cNvPr id="7" name=""/>
                          <wps:cNvSpPr txBox="1"/>
                          <wps:spPr bwMode="auto">
                            <a:xfrm>
                              <a:off x="8348" y="14163"/>
                              <a:ext cx="480" cy="1671"/>
                            </a:xfrm>
                            <a:prstGeom prst="rect">
                              <a:avLst/>
                            </a:prstGeom>
                            <a:noFill/>
                            <a:ln>
                              <a:noFill/>
                            </a:ln>
                          </wps:spPr>
                          <wps:txbx>
                            <w:txbxContent>
                              <w:p>
                                <w:pPr>
                                  <w:pStyle w:val="968"/>
                                  <w:jc w:val="center"/>
                                </w:pPr>
                                <w:r>
                                  <w:rPr>
                                    <w:rFonts w:hint="eastAsia"/>
                                    <w:color w:val="000000"/>
                                  </w:rPr>
                                  <w:t xml:space="preserve">1200</w:t>
                                </w:r>
                                <w:r/>
                              </w:p>
                            </w:txbxContent>
                          </wps:txbx>
                          <wps:bodyPr upright="1">
                            <a:spAutoFit/>
                          </wps:bodyPr>
                        </wps:wsp>
                      </wpg:grpSp>
                      <wps:wsp>
                        <wps:cNvPr id="8" name=""/>
                        <wps:cNvSpPr txBox="1"/>
                        <wps:spPr bwMode="auto">
                          <a:xfrm rot="-5400000">
                            <a:off x="6490" y="12737"/>
                            <a:ext cx="873" cy="1364"/>
                          </a:xfrm>
                          <a:prstGeom prst="rect">
                            <a:avLst/>
                          </a:prstGeom>
                          <a:noFill/>
                          <a:ln>
                            <a:noFill/>
                          </a:ln>
                        </wps:spPr>
                        <wps:txbx>
                          <w:txbxContent>
                            <w:p>
                              <w:pPr>
                                <w:pStyle w:val="968"/>
                                <w:jc w:val="center"/>
                              </w:pPr>
                              <w:r>
                                <w:rPr>
                                  <w:rFonts w:hint="eastAsia"/>
                                  <w:color w:val="000000"/>
                                </w:rPr>
                                <w:t xml:space="preserve">2000</w:t>
                              </w:r>
                              <w:r/>
                            </w:p>
                          </w:txbxContent>
                        </wps:txbx>
                        <wps:bodyPr upright="1">
                          <a:spAutoFit/>
                        </wps:bodyPr>
                      </wps:wsp>
                    </wpg:wgp>
                  </a:graphicData>
                </a:graphic>
              </wp:inline>
            </w:drawing>
          </mc:Choice>
          <mc:Fallback>
            <w:pict>
              <v:group id="group 68" o:spid="_x0000_s0000" style="width:211.0pt;height:264.9pt;mso-wrap-distance-left:0.0pt;mso-wrap-distance-top:0.0pt;mso-wrap-distance-right:0.0pt;mso-wrap-distance-bottom:0.0pt;" coordorigin="59,105" coordsize="42,52">
                <v:group id="group 69" o:spid="_x0000_s0000" style="position:absolute;left:59;top:105;width:42;height:52;" coordorigin="59,105" coordsize="42,52">
                  <v:shape id="shape 70" o:spid="_x0000_s70" o:spt="16" type="#_x0000_t16" style="position:absolute;left:78;top:105;width:23;height:32;visibility:visible;" strokecolor="#000000" strokeweight="0.75pt">
                    <v:fill r:id="rId20" o:title="" type="frame"/>
                    <v:stroke dashstyle="solid"/>
                  </v:shape>
                  <v:line id="shape 71" o:spid="_x0000_s71" style="position:absolute;left:0;text-align:left;visibility:visible;" from="78.4pt,105.4pt" to="101.5pt,138.1pt" fillcolor="#000000" strokecolor="#000000" strokeweight="0.75pt">
                    <v:fill opacity="0f"/>
                    <v:stroke dashstyle="solid"/>
                  </v:line>
                  <v:line id="shape 72" o:spid="_x0000_s72" style="position:absolute;left:0;text-align:left;visibility:visible;" from="78.4pt,105.4pt" to="101.5pt,138.1pt" fillcolor="#000000" strokecolor="#000000" strokeweight="0.75pt">
                    <v:fill opacity="0f"/>
                    <v:stroke dashstyle="solid"/>
                  </v:line>
                  <v:line id="shape 73" o:spid="_x0000_s73" style="position:absolute;left:0;text-align:left;visibility:visible;" from="78.4pt,105.4pt" to="101.5pt,138.1pt" fillcolor="#000000" strokecolor="#000000" strokeweight="0.75pt">
                    <v:fill opacity="0f"/>
                    <v:stroke dashstyle="solid"/>
                  </v:line>
                  <v:line id="shape 74" o:spid="_x0000_s74" style="position:absolute;left:0;text-align:left;visibility:visible;" from="78.4pt,105.4pt" to="101.5pt,138.1pt" fillcolor="#000000" strokecolor="#000000" strokeweight="0.75pt">
                    <v:fill opacity="0f"/>
                    <v:stroke dashstyle="solid"/>
                  </v:line>
                  <v:line id="shape 75" o:spid="_x0000_s75" style="position:absolute;left:0;text-align:left;flip:xy;visibility:visible;" from="78.4pt,105.4pt" to="101.5pt,138.1pt" fillcolor="#000000" strokecolor="#000000" strokeweight="0.75pt">
                    <v:fill opacity="0f"/>
                    <v:stroke dashstyle="solid"/>
                  </v:line>
                  <v:line id="shape 76" o:spid="_x0000_s76" style="position:absolute;left:0;text-align:left;flip:xy;visibility:visible;" from="78.4pt,105.4pt" to="101.5pt,138.1pt" fillcolor="#000000" strokecolor="#000000" strokeweight="0.75pt">
                    <v:fill opacity="0f"/>
                    <v:stroke dashstyle="solid"/>
                  </v:line>
                  <v:shape id="shape 77" o:spid="_x0000_s77" o:spt="202" type="#_x0000_t202" style="position:absolute;left:83;top:141;width:4;height:16;visibility:visible;" filled="f" stroked="f">
                    <v:textbox inset="0,0,0,0">
                      <w:txbxContent>
                        <w:p>
                          <w:pPr>
                            <w:pStyle w:val="968"/>
                            <w:jc w:val="center"/>
                          </w:pPr>
                          <w:r>
                            <w:rPr>
                              <w:rFonts w:hint="eastAsia"/>
                              <w:color w:val="000000"/>
                            </w:rPr>
                            <w:t xml:space="preserve">1200</w:t>
                          </w:r>
                          <w:r/>
                        </w:p>
                      </w:txbxContent>
                    </v:textbox>
                  </v:shape>
                </v:group>
                <v:shape id="shape 78" o:spid="_x0000_s78" o:spt="202" type="#_x0000_t202" style="position:absolute;left:64;top:127;width:8;height:13;rotation:-90;visibility:visible;" filled="f" stroked="f">
                  <v:textbox inset="0,0,0,0">
                    <w:txbxContent>
                      <w:p>
                        <w:pPr>
                          <w:pStyle w:val="968"/>
                          <w:jc w:val="center"/>
                        </w:pPr>
                        <w:r>
                          <w:rPr>
                            <w:rFonts w:hint="eastAsia"/>
                            <w:color w:val="000000"/>
                          </w:rPr>
                          <w:t xml:space="preserve">2000</w:t>
                        </w:r>
                        <w:r/>
                      </w:p>
                    </w:txbxContent>
                  </v:textbox>
                </v:shape>
              </v:group>
            </w:pict>
          </mc:Fallback>
        </mc:AlternateContent>
      </w:r>
      <w:r/>
    </w:p>
    <w:p>
      <w:pPr>
        <w:ind w:firstLine="420"/>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4641215" cy="3002280"/>
                <wp:effectExtent l="0" t="0" r="6985" b="7620"/>
                <wp:docPr id="9" name="图片 2" descr="扫描0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2" descr="扫描0011"/>
                        <pic:cNvPicPr>
                          <a:picLocks noChangeAspect="1"/>
                        </pic:cNvPicPr>
                        <pic:nvPr/>
                      </pic:nvPicPr>
                      <pic:blipFill>
                        <a:blip r:embed="rId21">
                          <a:lum bright="-6000"/>
                        </a:blip>
                        <a:srcRect l="0" t="1553" r="0" b="10611"/>
                        <a:stretch/>
                      </pic:blipFill>
                      <pic:spPr bwMode="auto">
                        <a:xfrm>
                          <a:off x="0" y="0"/>
                          <a:ext cx="4641215" cy="300228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365.4pt;height:236.4pt;mso-wrap-distance-left:0.0pt;mso-wrap-distance-top:0.0pt;mso-wrap-distance-right:0.0pt;mso-wrap-distance-bottom:0.0pt;" stroked="f">
                <v:path textboxrect="0,0,0,0"/>
                <v:imagedata r:id="rId21" o:title=""/>
              </v:shape>
            </w:pict>
          </mc:Fallback>
        </mc:AlternateContent>
      </w:r>
      <w:r/>
    </w:p>
    <w:p>
      <w:pPr>
        <w:ind w:firstLine="420"/>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1440180" cy="2882900"/>
                <wp:effectExtent l="0" t="0" r="7620" b="12700"/>
                <wp:docPr id="10" name="组合 81"/>
                <wp:cNvGraphicFramePr/>
                <a:graphic xmlns:a="http://schemas.openxmlformats.org/drawingml/2006/main">
                  <a:graphicData uri="http://schemas.microsoft.com/office/word/2010/wordprocessingGroup">
                    <wpg:wgp>
                      <wpg:cNvGrpSpPr/>
                      <wpg:grpSpPr bwMode="auto">
                        <a:xfrm>
                          <a:off x="0" y="0"/>
                          <a:ext cx="1440180" cy="2882899"/>
                          <a:chOff x="4002" y="1752"/>
                          <a:chExt cx="2268" cy="4072"/>
                        </a:xfrm>
                      </wpg:grpSpPr>
                      <pic:pic xmlns:pic="http://schemas.openxmlformats.org/drawingml/2006/picture">
                        <pic:nvPicPr>
                          <pic:cNvPr id="79" name="图片 78"/>
                          <pic:cNvPicPr>
                            <a:picLocks noChangeAspect="1"/>
                          </pic:cNvPicPr>
                          <pic:nvPr/>
                        </pic:nvPicPr>
                        <pic:blipFill>
                          <a:blip r:embed="rId22"/>
                          <a:stretch/>
                        </pic:blipFill>
                        <pic:spPr bwMode="auto">
                          <a:xfrm>
                            <a:off x="4002" y="3783"/>
                            <a:ext cx="2268" cy="2041"/>
                          </a:xfrm>
                          <a:prstGeom prst="rect">
                            <a:avLst/>
                          </a:prstGeom>
                          <a:noFill/>
                          <a:ln>
                            <a:noFill/>
                          </a:ln>
                        </pic:spPr>
                      </pic:pic>
                      <pic:pic xmlns:pic="http://schemas.openxmlformats.org/drawingml/2006/picture">
                        <pic:nvPicPr>
                          <pic:cNvPr id="80" name="图片 79"/>
                          <pic:cNvPicPr>
                            <a:picLocks noChangeAspect="1"/>
                          </pic:cNvPicPr>
                          <pic:nvPr/>
                        </pic:nvPicPr>
                        <pic:blipFill>
                          <a:blip r:embed="rId23"/>
                          <a:stretch/>
                        </pic:blipFill>
                        <pic:spPr bwMode="auto">
                          <a:xfrm>
                            <a:off x="4002" y="1752"/>
                            <a:ext cx="2268" cy="2041"/>
                          </a:xfrm>
                          <a:prstGeom prst="rect">
                            <a:avLst/>
                          </a:prstGeom>
                          <a:noFill/>
                          <a:ln>
                            <a:noFill/>
                          </a:ln>
                        </pic:spPr>
                      </pic:pic>
                    </wpg:wgp>
                  </a:graphicData>
                </a:graphic>
              </wp:inline>
            </w:drawing>
          </mc:Choice>
          <mc:Fallback>
            <w:pict>
              <v:group id="group 80" o:spid="_x0000_s0000" style="width:113.4pt;height:227.0pt;mso-wrap-distance-left:0.0pt;mso-wrap-distance-top:0.0pt;mso-wrap-distance-right:0.0pt;mso-wrap-distance-bottom:0.0pt;" coordorigin="40,17" coordsize="22,4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left:40;top:37;width:22;height:20;" stroked="f">
                  <v:path textboxrect="0,0,0,0"/>
                  <v:imagedata r:id="rId22"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left:40;top:17;width:22;height:20;" stroked="f">
                  <v:path textboxrect="0,0,0,0"/>
                  <v:imagedata r:id="rId23" o:title=""/>
                </v:shape>
              </v:group>
            </w:pict>
          </mc:Fallback>
        </mc:AlternateContent>
      </w: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1666875" cy="1466215"/>
                <wp:effectExtent l="0" t="0" r="9525" b="635"/>
                <wp:docPr id="1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3"/>
                        <pic:cNvPicPr>
                          <a:picLocks noChangeAspect="1"/>
                        </pic:cNvPicPr>
                        <pic:nvPr/>
                      </pic:nvPicPr>
                      <pic:blipFill>
                        <a:blip r:embed="rId24"/>
                        <a:stretch/>
                      </pic:blipFill>
                      <pic:spPr bwMode="auto">
                        <a:xfrm>
                          <a:off x="0" y="0"/>
                          <a:ext cx="1666875" cy="14662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131.2pt;height:115.4pt;mso-wrap-distance-left:0.0pt;mso-wrap-distance-top:0.0pt;mso-wrap-distance-right:0.0pt;mso-wrap-distance-bottom:0.0pt;" stroked="f">
                <v:path textboxrect="0,0,0,0"/>
                <v:imagedata r:id="rId24" o:title=""/>
              </v:shape>
            </w:pict>
          </mc:Fallback>
        </mc:AlternateContent>
      </w: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1666875" cy="1351915"/>
                <wp:effectExtent l="0" t="0" r="9525" b="635"/>
                <wp:docPr id="1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4"/>
                        <pic:cNvPicPr>
                          <a:picLocks noChangeAspect="1"/>
                        </pic:cNvPicPr>
                        <pic:nvPr/>
                      </pic:nvPicPr>
                      <pic:blipFill>
                        <a:blip r:embed="rId25"/>
                        <a:stretch/>
                      </pic:blipFill>
                      <pic:spPr bwMode="auto">
                        <a:xfrm>
                          <a:off x="0" y="0"/>
                          <a:ext cx="1666875" cy="1351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131.2pt;height:106.4pt;mso-wrap-distance-left:0.0pt;mso-wrap-distance-top:0.0pt;mso-wrap-distance-right:0.0pt;mso-wrap-distance-bottom:0.0pt;" stroked="f">
                <v:path textboxrect="0,0,0,0"/>
                <v:imagedata r:id="rId25" o:title=""/>
              </v:shape>
            </w:pict>
          </mc:Fallback>
        </mc:AlternateContent>
      </w:r>
      <w:r/>
    </w:p>
    <w:p>
      <w:pPr>
        <w:ind w:firstLine="420"/>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suppressLineNumbers/>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1002665" cy="3268980"/>
                <wp:effectExtent l="5080" t="4445" r="0" b="22225"/>
                <wp:docPr id="13" name="组合 88"/>
                <wp:cNvGraphicFramePr/>
                <a:graphic xmlns:a="http://schemas.openxmlformats.org/drawingml/2006/main">
                  <a:graphicData uri="http://schemas.microsoft.com/office/word/2010/wordprocessingGroup">
                    <wpg:wgp>
                      <wpg:cNvGrpSpPr/>
                      <wpg:grpSpPr bwMode="auto">
                        <a:xfrm>
                          <a:off x="0" y="0"/>
                          <a:ext cx="1002665" cy="3268980"/>
                          <a:chOff x="6710" y="10225"/>
                          <a:chExt cx="1578" cy="5148"/>
                        </a:xfrm>
                      </wpg:grpSpPr>
                      <wps:wsp>
                        <wps:cNvPr id="0" name=""/>
                        <wps:cNvSpPr/>
                        <wps:spPr bwMode="auto">
                          <a:xfrm>
                            <a:off x="6710" y="10225"/>
                            <a:ext cx="315" cy="5148"/>
                          </a:xfrm>
                          <a:prstGeom prst="rect">
                            <a:avLst/>
                          </a:prstGeom>
                          <a:gradFill>
                            <a:gsLst>
                              <a:gs pos="0">
                                <a:srgbClr val="000000"/>
                              </a:gs>
                              <a:gs pos="50000">
                                <a:srgbClr val="FFFFFF"/>
                              </a:gs>
                              <a:gs pos="100000">
                                <a:srgbClr val="000000"/>
                              </a:gs>
                            </a:gsLst>
                            <a:lin ang="0" scaled="1"/>
                          </a:gradFill>
                          <a:ln w="9525" cap="flat" cmpd="sng">
                            <a:solidFill>
                              <a:srgbClr val="000000"/>
                            </a:solidFill>
                            <a:prstDash val="solid"/>
                            <a:miter/>
                            <a:headEnd type="none" w="med" len="med"/>
                            <a:tailEnd type="none" w="med" len="med"/>
                          </a:ln>
                        </wps:spPr>
                        <wps:bodyPr rot="0">
                          <a:prstTxWarp prst="textNoShape">
                            <a:avLst/>
                          </a:prstTxWarp>
                          <a:noAutofit/>
                        </wps:bodyPr>
                      </wps:wsp>
                      <wps:wsp>
                        <wps:cNvPr id="1" name=""/>
                        <wps:cNvSpPr/>
                        <wps:spPr bwMode="auto">
                          <a:xfrm flipH="1">
                            <a:off x="7088" y="10225"/>
                            <a:ext cx="52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s:wsp>
                        <wps:cNvPr id="2" name=""/>
                        <wps:cNvSpPr/>
                        <wps:spPr bwMode="auto">
                          <a:xfrm flipH="1" flipV="1">
                            <a:off x="7466" y="10225"/>
                            <a:ext cx="0" cy="5148"/>
                          </a:xfrm>
                          <a:prstGeom prst="line">
                            <a:avLst/>
                          </a:prstGeom>
                          <a:ln w="9525" cap="flat" cmpd="sng">
                            <a:solidFill>
                              <a:srgbClr val="000000"/>
                            </a:solidFill>
                            <a:prstDash val="solid"/>
                            <a:headEnd type="triangle" w="med" len="med"/>
                            <a:tailEnd type="triangle" w="med" len="med"/>
                          </a:ln>
                        </wps:spPr>
                        <wps:bodyPr rot="0">
                          <a:prstTxWarp prst="textNoShape">
                            <a:avLst/>
                          </a:prstTxWarp>
                          <a:noAutofit/>
                        </wps:bodyPr>
                      </wps:wsp>
                      <wps:wsp>
                        <wps:cNvPr id="3" name=""/>
                        <wps:cNvSpPr txBox="1"/>
                        <wps:spPr bwMode="auto">
                          <a:xfrm rot="-5400000">
                            <a:off x="7147" y="12840"/>
                            <a:ext cx="873" cy="1364"/>
                          </a:xfrm>
                          <a:prstGeom prst="rect">
                            <a:avLst/>
                          </a:prstGeom>
                          <a:noFill/>
                          <a:ln>
                            <a:noFill/>
                          </a:ln>
                        </wps:spPr>
                        <wps:txbx>
                          <w:txbxContent>
                            <w:p>
                              <w:pPr>
                                <w:pStyle w:val="968"/>
                                <w:jc w:val="center"/>
                              </w:pPr>
                              <w:r>
                                <w:rPr>
                                  <w:rFonts w:hint="eastAsia"/>
                                  <w:color w:val="000000"/>
                                </w:rPr>
                                <w:t xml:space="preserve">3500</w:t>
                              </w:r>
                              <w:r/>
                            </w:p>
                          </w:txbxContent>
                        </wps:txbx>
                        <wps:bodyPr upright="1">
                          <a:spAutoFit/>
                        </wps:bodyPr>
                      </wps:wsp>
                      <wps:wsp>
                        <wps:cNvPr id="4" name=""/>
                        <wps:cNvSpPr/>
                        <wps:spPr bwMode="auto">
                          <a:xfrm flipH="1">
                            <a:off x="7088" y="15373"/>
                            <a:ext cx="52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wpg:wgp>
                  </a:graphicData>
                </a:graphic>
              </wp:inline>
            </w:drawing>
          </mc:Choice>
          <mc:Fallback>
            <w:pict>
              <v:group id="group 85" o:spid="_x0000_s0000" style="width:79.0pt;height:257.4pt;mso-wrap-distance-left:0.0pt;mso-wrap-distance-top:0.0pt;mso-wrap-distance-right:0.0pt;mso-wrap-distance-bottom:0.0pt;" coordorigin="67,102" coordsize="15,51">
                <v:shape id="shape 86" o:spid="_x0000_s86" o:spt="1" type="#_x0000_t1" style="position:absolute;left:67;top:102;width:3;height:51;visibility:visible;" fillcolor="#000000" strokecolor="#000000" strokeweight="0.75pt">
                  <v:stroke dashstyle="solid"/>
                </v:shape>
                <v:line id="shape 87" o:spid="_x0000_s87" style="position:absolute;left:0;text-align:left;flip:x;visibility:visible;" from="67.1pt,102.2pt" to="70.2pt,153.7pt" filled="f" strokecolor="#000000" strokeweight="0.75pt">
                  <v:stroke dashstyle="solid"/>
                </v:line>
                <v:line id="shape 88" o:spid="_x0000_s88" style="position:absolute;left:0;text-align:left;flip:xy;visibility:visible;" from="67.1pt,102.2pt" to="70.2pt,153.7pt" filled="f" strokecolor="#000000" strokeweight="0.75pt">
                  <v:stroke dashstyle="solid"/>
                </v:line>
                <v:shape id="shape 89" o:spid="_x0000_s89" o:spt="202" type="#_x0000_t202" style="position:absolute;left:71;top:128;width:8;height:13;rotation:-90;visibility:visible;" filled="f" stroked="f">
                  <v:textbox inset="0,0,0,0">
                    <w:txbxContent>
                      <w:p>
                        <w:pPr>
                          <w:pStyle w:val="968"/>
                          <w:jc w:val="center"/>
                        </w:pPr>
                        <w:r>
                          <w:rPr>
                            <w:rFonts w:hint="eastAsia"/>
                            <w:color w:val="000000"/>
                          </w:rPr>
                          <w:t xml:space="preserve">3500</w:t>
                        </w:r>
                        <w:r/>
                      </w:p>
                    </w:txbxContent>
                  </v:textbox>
                </v:shape>
                <v:line id="shape 90" o:spid="_x0000_s90" style="position:absolute;left:0;text-align:left;flip:x;visibility:visible;" from="71.5pt,128.4pt" to="80.2pt,142.0pt" filled="f" strokecolor="#000000" strokeweight="0.75pt">
                  <v:stroke dashstyle="solid"/>
                </v:line>
              </v:group>
            </w:pict>
          </mc:Fallback>
        </mc:AlternateConten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2353310" cy="2877820"/>
                <wp:effectExtent l="0" t="4445" r="8890" b="0"/>
                <wp:docPr id="14" name="组合 102"/>
                <wp:cNvGraphicFramePr/>
                <a:graphic xmlns:a="http://schemas.openxmlformats.org/drawingml/2006/main">
                  <a:graphicData uri="http://schemas.microsoft.com/office/word/2010/wordprocessingGroup">
                    <wpg:wgp>
                      <wpg:cNvGrpSpPr/>
                      <wpg:grpSpPr bwMode="auto">
                        <a:xfrm>
                          <a:off x="0" y="0"/>
                          <a:ext cx="2353310" cy="2877820"/>
                          <a:chOff x="5933" y="10537"/>
                          <a:chExt cx="4221" cy="5180"/>
                        </a:xfrm>
                      </wpg:grpSpPr>
                      <wpg:grpSp>
                        <wpg:cNvGrpSpPr/>
                        <wpg:grpSpPr bwMode="auto">
                          <a:xfrm>
                            <a:off x="5933" y="10537"/>
                            <a:ext cx="4221" cy="5180"/>
                            <a:chOff x="5933" y="10537"/>
                            <a:chExt cx="4221" cy="5180"/>
                          </a:xfrm>
                        </wpg:grpSpPr>
                        <wps:wsp>
                          <wps:cNvPr id="0" name=""/>
                          <wps:cNvSpPr/>
                          <wps:spPr bwMode="auto">
                            <a:xfrm>
                              <a:off x="7844" y="10537"/>
                              <a:ext cx="2310" cy="3276"/>
                            </a:xfrm>
                            <a:prstGeom prst="cube">
                              <a:avLst>
                                <a:gd name="adj" fmla="val 22296"/>
                              </a:avLst>
                            </a:prstGeom>
                            <a:blipFill>
                              <a:blip r:embed="rId20"/>
                              <a:stretch/>
                            </a:blipFill>
                            <a:ln w="9525" cap="flat" cmpd="sng">
                              <a:solidFill>
                                <a:srgbClr val="000000"/>
                              </a:solidFill>
                              <a:prstDash val="solid"/>
                              <a:miter/>
                              <a:headEnd type="none" w="med" len="med"/>
                              <a:tailEnd type="none" w="med" len="med"/>
                            </a:ln>
                          </wps:spPr>
                          <wps:bodyPr rot="0">
                            <a:prstTxWarp prst="textNoShape">
                              <a:avLst/>
                            </a:prstTxWarp>
                            <a:noAutofit/>
                          </wps:bodyPr>
                        </wps:wsp>
                        <wps:wsp>
                          <wps:cNvPr id="1" name=""/>
                          <wps:cNvSpPr/>
                          <wps:spPr bwMode="auto">
                            <a:xfrm>
                              <a:off x="7823" y="13851"/>
                              <a:ext cx="0" cy="780"/>
                            </a:xfrm>
                            <a:prstGeom prst="line">
                              <a:avLst/>
                            </a:prstGeom>
                            <a:grpFill/>
                            <a:ln w="9525" cap="flat" cmpd="sng">
                              <a:solidFill>
                                <a:srgbClr val="000000"/>
                              </a:solidFill>
                              <a:prstDash val="solid"/>
                              <a:headEnd type="none" w="med" len="med"/>
                              <a:tailEnd type="none" w="med" len="med"/>
                            </a:ln>
                          </wps:spPr>
                          <wps:bodyPr rot="0">
                            <a:prstTxWarp prst="textNoShape">
                              <a:avLst/>
                            </a:prstTxWarp>
                            <a:noAutofit/>
                          </wps:bodyPr>
                        </wps:wsp>
                        <wps:wsp>
                          <wps:cNvPr id="2" name=""/>
                          <wps:cNvSpPr/>
                          <wps:spPr bwMode="auto">
                            <a:xfrm>
                              <a:off x="9503" y="13851"/>
                              <a:ext cx="0" cy="624"/>
                            </a:xfrm>
                            <a:prstGeom prst="line">
                              <a:avLst/>
                            </a:prstGeom>
                            <a:grpFill/>
                            <a:ln w="9525" cap="flat" cmpd="sng">
                              <a:solidFill>
                                <a:srgbClr val="000000"/>
                              </a:solidFill>
                              <a:prstDash val="solid"/>
                              <a:headEnd type="none" w="med" len="med"/>
                              <a:tailEnd type="none" w="med" len="med"/>
                            </a:ln>
                          </wps:spPr>
                          <wps:bodyPr rot="0">
                            <a:prstTxWarp prst="textNoShape">
                              <a:avLst/>
                            </a:prstTxWarp>
                            <a:noAutofit/>
                          </wps:bodyPr>
                        </wps:wsp>
                        <wps:wsp>
                          <wps:cNvPr id="3" name=""/>
                          <wps:cNvSpPr/>
                          <wps:spPr bwMode="auto">
                            <a:xfrm>
                              <a:off x="6038" y="11082"/>
                              <a:ext cx="1785" cy="0"/>
                            </a:xfrm>
                            <a:prstGeom prst="line">
                              <a:avLst/>
                            </a:prstGeom>
                            <a:grpFill/>
                            <a:ln w="9525" cap="flat" cmpd="sng">
                              <a:solidFill>
                                <a:srgbClr val="000000"/>
                              </a:solidFill>
                              <a:prstDash val="solid"/>
                              <a:headEnd type="none" w="med" len="med"/>
                              <a:tailEnd type="none" w="med" len="med"/>
                            </a:ln>
                          </wps:spPr>
                          <wps:bodyPr rot="0">
                            <a:prstTxWarp prst="textNoShape">
                              <a:avLst/>
                            </a:prstTxWarp>
                            <a:noAutofit/>
                          </wps:bodyPr>
                        </wps:wsp>
                        <wps:wsp>
                          <wps:cNvPr id="4" name=""/>
                          <wps:cNvSpPr/>
                          <wps:spPr bwMode="auto">
                            <a:xfrm>
                              <a:off x="5933" y="13851"/>
                              <a:ext cx="1785" cy="0"/>
                            </a:xfrm>
                            <a:prstGeom prst="line">
                              <a:avLst/>
                            </a:prstGeom>
                            <a:grpFill/>
                            <a:ln w="9525" cap="flat" cmpd="sng">
                              <a:solidFill>
                                <a:srgbClr val="000000"/>
                              </a:solidFill>
                              <a:prstDash val="solid"/>
                              <a:headEnd type="none" w="med" len="med"/>
                              <a:tailEnd type="none" w="med" len="med"/>
                            </a:ln>
                          </wps:spPr>
                          <wps:bodyPr rot="0">
                            <a:prstTxWarp prst="textNoShape">
                              <a:avLst/>
                            </a:prstTxWarp>
                            <a:noAutofit/>
                          </wps:bodyPr>
                        </wps:wsp>
                        <wps:wsp>
                          <wps:cNvPr id="5" name=""/>
                          <wps:cNvSpPr/>
                          <wps:spPr bwMode="auto">
                            <a:xfrm flipH="1" flipV="1">
                              <a:off x="7277" y="11005"/>
                              <a:ext cx="0" cy="2808"/>
                            </a:xfrm>
                            <a:prstGeom prst="line">
                              <a:avLst/>
                            </a:prstGeom>
                            <a:grpFill/>
                            <a:ln w="9525" cap="flat" cmpd="sng">
                              <a:solidFill>
                                <a:srgbClr val="000000"/>
                              </a:solidFill>
                              <a:prstDash val="solid"/>
                              <a:headEnd type="triangle" w="med" len="med"/>
                              <a:tailEnd type="triangle" w="med" len="med"/>
                            </a:ln>
                          </wps:spPr>
                          <wps:bodyPr rot="0">
                            <a:prstTxWarp prst="textNoShape">
                              <a:avLst/>
                            </a:prstTxWarp>
                            <a:noAutofit/>
                          </wps:bodyPr>
                        </wps:wsp>
                        <wps:wsp>
                          <wps:cNvPr id="6" name=""/>
                          <wps:cNvSpPr/>
                          <wps:spPr bwMode="auto">
                            <a:xfrm flipH="1" flipV="1">
                              <a:off x="7928" y="14007"/>
                              <a:ext cx="1470" cy="0"/>
                            </a:xfrm>
                            <a:prstGeom prst="line">
                              <a:avLst/>
                            </a:prstGeom>
                            <a:grpFill/>
                            <a:ln w="9525" cap="flat" cmpd="sng">
                              <a:solidFill>
                                <a:srgbClr val="000000"/>
                              </a:solidFill>
                              <a:prstDash val="solid"/>
                              <a:headEnd type="triangle" w="med" len="med"/>
                              <a:tailEnd type="triangle" w="med" len="med"/>
                            </a:ln>
                          </wps:spPr>
                          <wps:bodyPr rot="0">
                            <a:prstTxWarp prst="textNoShape">
                              <a:avLst/>
                            </a:prstTxWarp>
                            <a:noAutofit/>
                          </wps:bodyPr>
                        </wps:wsp>
                        <wps:wsp>
                          <wps:cNvPr id="7" name=""/>
                          <wps:cNvSpPr txBox="1"/>
                          <wps:spPr bwMode="auto">
                            <a:xfrm>
                              <a:off x="8348" y="14163"/>
                              <a:ext cx="481" cy="1554"/>
                            </a:xfrm>
                            <a:prstGeom prst="rect">
                              <a:avLst/>
                            </a:prstGeom>
                            <a:noFill/>
                            <a:ln>
                              <a:noFill/>
                            </a:ln>
                          </wps:spPr>
                          <wps:txbx>
                            <w:txbxContent>
                              <w:p>
                                <w:pPr>
                                  <w:pStyle w:val="968"/>
                                  <w:jc w:val="center"/>
                                </w:pPr>
                                <w:r>
                                  <w:rPr>
                                    <w:rFonts w:hint="eastAsia"/>
                                    <w:color w:val="000000"/>
                                  </w:rPr>
                                  <w:t xml:space="preserve">600</w:t>
                                </w:r>
                                <w:r/>
                              </w:p>
                            </w:txbxContent>
                          </wps:txbx>
                          <wps:bodyPr upright="1">
                            <a:spAutoFit/>
                          </wps:bodyPr>
                        </wps:wsp>
                      </wpg:grpSp>
                      <wps:wsp>
                        <wps:cNvPr id="8" name=""/>
                        <wps:cNvSpPr txBox="1"/>
                        <wps:spPr bwMode="auto">
                          <a:xfrm rot="-5400000">
                            <a:off x="6406" y="12816"/>
                            <a:ext cx="998" cy="1206"/>
                          </a:xfrm>
                          <a:prstGeom prst="rect">
                            <a:avLst/>
                          </a:prstGeom>
                          <a:noFill/>
                          <a:ln>
                            <a:noFill/>
                          </a:ln>
                        </wps:spPr>
                        <wps:txbx>
                          <w:txbxContent>
                            <w:p>
                              <w:pPr>
                                <w:pStyle w:val="968"/>
                                <w:jc w:val="center"/>
                              </w:pPr>
                              <w:r>
                                <w:rPr>
                                  <w:rFonts w:hint="eastAsia"/>
                                  <w:color w:val="000000"/>
                                </w:rPr>
                                <w:t xml:space="preserve">600</w:t>
                              </w:r>
                              <w:r/>
                            </w:p>
                          </w:txbxContent>
                        </wps:txbx>
                        <wps:bodyPr upright="1">
                          <a:spAutoFit/>
                        </wps:bodyPr>
                      </wps:wsp>
                    </wpg:wgp>
                  </a:graphicData>
                </a:graphic>
              </wp:inline>
            </w:drawing>
          </mc:Choice>
          <mc:Fallback>
            <w:pict>
              <v:group id="group 91" o:spid="_x0000_s0000" style="width:185.3pt;height:226.6pt;mso-wrap-distance-left:0.0pt;mso-wrap-distance-top:0.0pt;mso-wrap-distance-right:0.0pt;mso-wrap-distance-bottom:0.0pt;" coordorigin="59,105" coordsize="42,51">
                <v:group id="group 92" o:spid="_x0000_s0000" style="position:absolute;left:59;top:105;width:42;height:51;" coordorigin="59,105" coordsize="42,51">
                  <v:shape id="shape 93" o:spid="_x0000_s93" o:spt="16" type="#_x0000_t16" style="position:absolute;left:78;top:105;width:23;height:32;visibility:visible;" strokecolor="#000000" strokeweight="0.75pt">
                    <v:fill r:id="rId20" o:title="" type="frame"/>
                    <v:stroke dashstyle="solid"/>
                  </v:shape>
                  <v:line id="shape 94" o:spid="_x0000_s94" style="position:absolute;left:0;text-align:left;visibility:visible;" from="78.4pt,105.4pt" to="101.5pt,138.1pt" fillcolor="#000000" strokecolor="#000000" strokeweight="0.75pt">
                    <v:fill opacity="0f"/>
                    <v:stroke dashstyle="solid"/>
                  </v:line>
                  <v:line id="shape 95" o:spid="_x0000_s95" style="position:absolute;left:0;text-align:left;visibility:visible;" from="78.4pt,105.4pt" to="101.5pt,138.1pt" fillcolor="#000000" strokecolor="#000000" strokeweight="0.75pt">
                    <v:fill opacity="0f"/>
                    <v:stroke dashstyle="solid"/>
                  </v:line>
                  <v:line id="shape 96" o:spid="_x0000_s96" style="position:absolute;left:0;text-align:left;visibility:visible;" from="78.4pt,105.4pt" to="101.5pt,138.1pt" fillcolor="#000000" strokecolor="#000000" strokeweight="0.75pt">
                    <v:fill opacity="0f"/>
                    <v:stroke dashstyle="solid"/>
                  </v:line>
                  <v:line id="shape 97" o:spid="_x0000_s97" style="position:absolute;left:0;text-align:left;visibility:visible;" from="78.4pt,105.4pt" to="101.5pt,138.1pt" fillcolor="#000000" strokecolor="#000000" strokeweight="0.75pt">
                    <v:fill opacity="0f"/>
                    <v:stroke dashstyle="solid"/>
                  </v:line>
                  <v:line id="shape 98" o:spid="_x0000_s98" style="position:absolute;left:0;text-align:left;flip:xy;visibility:visible;" from="78.4pt,105.4pt" to="101.5pt,138.1pt" fillcolor="#000000" strokecolor="#000000" strokeweight="0.75pt">
                    <v:fill opacity="0f"/>
                    <v:stroke dashstyle="solid"/>
                  </v:line>
                  <v:line id="shape 99" o:spid="_x0000_s99" style="position:absolute;left:0;text-align:left;flip:xy;visibility:visible;" from="78.4pt,105.4pt" to="101.5pt,138.1pt" fillcolor="#000000" strokecolor="#000000" strokeweight="0.75pt">
                    <v:fill opacity="0f"/>
                    <v:stroke dashstyle="solid"/>
                  </v:line>
                  <v:shape id="shape 100" o:spid="_x0000_s100" o:spt="202" type="#_x0000_t202" style="position:absolute;left:83;top:141;width:4;height:15;visibility:visible;" filled="f" stroked="f">
                    <v:textbox inset="0,0,0,0">
                      <w:txbxContent>
                        <w:p>
                          <w:pPr>
                            <w:pStyle w:val="968"/>
                            <w:jc w:val="center"/>
                          </w:pPr>
                          <w:r>
                            <w:rPr>
                              <w:rFonts w:hint="eastAsia"/>
                              <w:color w:val="000000"/>
                            </w:rPr>
                            <w:t xml:space="preserve">600</w:t>
                          </w:r>
                          <w:r/>
                        </w:p>
                      </w:txbxContent>
                    </v:textbox>
                  </v:shape>
                </v:group>
                <v:shape id="shape 101" o:spid="_x0000_s101" o:spt="202" type="#_x0000_t202" style="position:absolute;left:64;top:128;width:9;height:12;rotation:-90;visibility:visible;" filled="f" stroked="f">
                  <v:textbox inset="0,0,0,0">
                    <w:txbxContent>
                      <w:p>
                        <w:pPr>
                          <w:pStyle w:val="968"/>
                          <w:jc w:val="center"/>
                        </w:pPr>
                        <w:r>
                          <w:rPr>
                            <w:rFonts w:hint="eastAsia"/>
                            <w:color w:val="000000"/>
                          </w:rPr>
                          <w:t xml:space="preserve">600</w:t>
                        </w:r>
                        <w:r/>
                      </w:p>
                    </w:txbxContent>
                  </v:textbox>
                </v:shape>
              </v:group>
            </w:pict>
          </mc:Fallback>
        </mc:AlternateContent>
      </w:r>
      <w:r/>
    </w:p>
    <w:p>
      <w:pPr>
        <w:pStyle w:val="968"/>
        <w:ind w:firstLine="420"/>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w:r>
      <w:r/>
    </w:p>
    <w:p>
      <w:pPr>
        <w:pStyle w:val="968"/>
        <w:ind w:firstLine="422"/>
        <w:spacing w:before="0" w:beforeAutospacing="0" w:after="0" w:afterAutospacing="0" w:line="360" w:lineRule="auto"/>
        <w:rPr>
          <w:rFonts w:hint="eastAsia"/>
          <w:b/>
          <w:bCs/>
          <w:color w:val="auto"/>
          <w:sz w:val="21"/>
          <w:szCs w:val="21"/>
          <w:highlight w:val="none"/>
        </w:rPr>
      </w:pPr>
      <w:r>
        <w:rPr>
          <w:rFonts w:hint="eastAsia"/>
          <w:b/>
          <w:bCs/>
          <w:color w:val="auto"/>
          <w:sz w:val="21"/>
          <w:szCs w:val="21"/>
          <w:highlight w:val="none"/>
          <w:lang w:val="en-US" w:eastAsia="zh-CN"/>
        </w:rPr>
        <w:t xml:space="preserve">防撞护栏</w:t>
      </w:r>
      <w:r>
        <w:rPr>
          <w:rFonts w:hint="eastAsia"/>
          <w:b/>
          <w:bCs/>
          <w:color w:val="auto"/>
          <w:sz w:val="21"/>
          <w:szCs w:val="21"/>
          <w:highlight w:val="none"/>
        </w:rPr>
        <w:t xml:space="preserve">：公路防撞护栏式样参考图</w:t>
      </w:r>
      <w:r/>
    </w:p>
    <w:p>
      <w:pPr>
        <w:pStyle w:val="968"/>
        <w:ind w:firstLine="420"/>
        <w:jc w:val="center"/>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mc:AlternateContent>
          <mc:Choice Requires="wpg">
            <w:drawing>
              <wp:inline xmlns:wp="http://schemas.openxmlformats.org/drawingml/2006/wordprocessingDrawing" distT="0" distB="0" distL="0" distR="0">
                <wp:extent cx="5143500" cy="2973070"/>
                <wp:effectExtent l="0" t="0" r="0" b="17780"/>
                <wp:docPr id="15" name="图片 5" descr="微信图片_20200220164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5" descr="微信图片_202002201642081"/>
                        <pic:cNvPicPr>
                          <a:picLocks noChangeAspect="1"/>
                        </pic:cNvPicPr>
                        <pic:nvPr/>
                      </pic:nvPicPr>
                      <pic:blipFill>
                        <a:blip r:embed="rId26"/>
                        <a:srcRect l="10442" t="29942" r="29099" b="23397"/>
                        <a:stretch/>
                      </pic:blipFill>
                      <pic:spPr bwMode="auto">
                        <a:xfrm>
                          <a:off x="0" y="0"/>
                          <a:ext cx="5143500" cy="2973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405.0pt;height:234.1pt;mso-wrap-distance-left:0.0pt;mso-wrap-distance-top:0.0pt;mso-wrap-distance-right:0.0pt;mso-wrap-distance-bottom:0.0pt;" stroked="f">
                <v:path textboxrect="0,0,0,0"/>
                <v:imagedata r:id="rId26" o:title=""/>
              </v:shape>
            </w:pict>
          </mc:Fallback>
        </mc:AlternateContent>
      </w:r>
      <w:r/>
    </w:p>
    <w:p>
      <w:pPr>
        <w:ind w:firstLine="4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4755515" cy="3571875"/>
                <wp:effectExtent l="0" t="0" r="6985" b="9525"/>
                <wp:docPr id="1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6"/>
                        <pic:cNvPicPr>
                          <a:picLocks noChangeAspect="1"/>
                        </pic:cNvPicPr>
                        <pic:nvPr/>
                      </pic:nvPicPr>
                      <pic:blipFill>
                        <a:blip r:embed="rId27"/>
                        <a:stretch/>
                      </pic:blipFill>
                      <pic:spPr bwMode="auto">
                        <a:xfrm>
                          <a:off x="0" y="0"/>
                          <a:ext cx="4755515" cy="3571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374.4pt;height:281.2pt;mso-wrap-distance-left:0.0pt;mso-wrap-distance-top:0.0pt;mso-wrap-distance-right:0.0pt;mso-wrap-distance-bottom:0.0pt;" stroked="f">
                <v:path textboxrect="0,0,0,0"/>
                <v:imagedata r:id="rId27" o:title=""/>
              </v:shape>
            </w:pict>
          </mc:Fallback>
        </mc:AlternateContent>
      </w:r>
      <w:r/>
    </w:p>
    <w:p>
      <w:pPr>
        <w:ind w:firstLine="4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5083810" cy="3695065"/>
                <wp:effectExtent l="0" t="0" r="2540" b="635"/>
                <wp:docPr id="1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7"/>
                        <pic:cNvPicPr>
                          <a:picLocks noChangeAspect="1"/>
                        </pic:cNvPicPr>
                        <pic:nvPr/>
                      </pic:nvPicPr>
                      <pic:blipFill>
                        <a:blip r:embed="rId28"/>
                        <a:stretch/>
                      </pic:blipFill>
                      <pic:spPr bwMode="auto">
                        <a:xfrm>
                          <a:off x="0" y="0"/>
                          <a:ext cx="5083810" cy="3695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400.3pt;height:290.9pt;mso-wrap-distance-left:0.0pt;mso-wrap-distance-top:0.0pt;mso-wrap-distance-right:0.0pt;mso-wrap-distance-bottom:0.0pt;" stroked="f">
                <v:path textboxrect="0,0,0,0"/>
                <v:imagedata r:id="rId28" o:title=""/>
              </v:shape>
            </w:pict>
          </mc:Fallback>
        </mc:AlternateContent>
      </w:r>
      <w:r/>
    </w:p>
    <w:p>
      <w:pPr>
        <w:ind w:firstLine="4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5769610" cy="4069080"/>
                <wp:effectExtent l="0" t="0" r="2540" b="7620"/>
                <wp:docPr id="1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8"/>
                        <pic:cNvPicPr>
                          <a:picLocks noChangeAspect="1"/>
                        </pic:cNvPicPr>
                        <pic:nvPr/>
                      </pic:nvPicPr>
                      <pic:blipFill>
                        <a:blip r:embed="rId29"/>
                        <a:stretch/>
                      </pic:blipFill>
                      <pic:spPr bwMode="auto">
                        <a:xfrm>
                          <a:off x="0" y="0"/>
                          <a:ext cx="5769610" cy="4069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454.3pt;height:320.4pt;mso-wrap-distance-left:0.0pt;mso-wrap-distance-top:0.0pt;mso-wrap-distance-right:0.0pt;mso-wrap-distance-bottom:0.0pt;" stroked="f">
                <v:path textboxrect="0,0,0,0"/>
                <v:imagedata r:id="rId29" o:title=""/>
              </v:shape>
            </w:pict>
          </mc:Fallback>
        </mc:AlternateContent>
      </w: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6131560" cy="4601210"/>
                <wp:effectExtent l="0" t="0" r="2540" b="8890"/>
                <wp:docPr id="1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
                        <pic:cNvPicPr>
                          <a:picLocks noChangeAspect="1"/>
                        </pic:cNvPicPr>
                        <pic:nvPr/>
                      </pic:nvPicPr>
                      <pic:blipFill>
                        <a:blip r:embed="rId30"/>
                        <a:stretch/>
                      </pic:blipFill>
                      <pic:spPr bwMode="auto">
                        <a:xfrm>
                          <a:off x="0" y="0"/>
                          <a:ext cx="6131560" cy="4601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482.8pt;height:362.3pt;mso-wrap-distance-left:0.0pt;mso-wrap-distance-top:0.0pt;mso-wrap-distance-right:0.0pt;mso-wrap-distance-bottom:0.0pt;" stroked="f">
                <v:path textboxrect="0,0,0,0"/>
                <v:imagedata r:id="rId30" o:title=""/>
              </v:shape>
            </w:pict>
          </mc:Fallback>
        </mc:AlternateContent>
      </w: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6121400" cy="4117340"/>
                <wp:effectExtent l="0" t="0" r="12700" b="16510"/>
                <wp:docPr id="2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
                        <pic:cNvPicPr>
                          <a:picLocks noChangeAspect="1"/>
                        </pic:cNvPicPr>
                        <pic:nvPr/>
                      </pic:nvPicPr>
                      <pic:blipFill>
                        <a:blip r:embed="rId31"/>
                        <a:stretch/>
                      </pic:blipFill>
                      <pic:spPr bwMode="auto">
                        <a:xfrm>
                          <a:off x="0" y="0"/>
                          <a:ext cx="6121400" cy="4117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482.0pt;height:324.2pt;mso-wrap-distance-left:0.0pt;mso-wrap-distance-top:0.0pt;mso-wrap-distance-right:0.0pt;mso-wrap-distance-bottom:0.0pt;" stroked="f">
                <v:path textboxrect="0,0,0,0"/>
                <v:imagedata r:id="rId31" o:title=""/>
              </v:shape>
            </w:pict>
          </mc:Fallback>
        </mc:AlternateConten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5939790" cy="4391025"/>
                <wp:effectExtent l="0" t="0" r="3810" b="9525"/>
                <wp:docPr id="2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1"/>
                        <pic:cNvPicPr>
                          <a:picLocks noChangeAspect="1"/>
                        </pic:cNvPicPr>
                        <pic:nvPr/>
                      </pic:nvPicPr>
                      <pic:blipFill>
                        <a:blip r:embed="rId32"/>
                        <a:stretch/>
                      </pic:blipFill>
                      <pic:spPr bwMode="auto">
                        <a:xfrm>
                          <a:off x="0" y="0"/>
                          <a:ext cx="5939790" cy="4391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467.7pt;height:345.8pt;mso-wrap-distance-left:0.0pt;mso-wrap-distance-top:0.0pt;mso-wrap-distance-right:0.0pt;mso-wrap-distance-bottom:0.0pt;" stroked="f">
                <v:path textboxrect="0,0,0,0"/>
                <v:imagedata r:id="rId32" o:title=""/>
              </v:shape>
            </w:pict>
          </mc:Fallback>
        </mc:AlternateConten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5458460" cy="4885690"/>
                <wp:effectExtent l="0" t="0" r="8890" b="10160"/>
                <wp:docPr id="2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2"/>
                        <pic:cNvPicPr>
                          <a:picLocks noChangeAspect="1"/>
                        </pic:cNvPicPr>
                        <pic:nvPr/>
                      </pic:nvPicPr>
                      <pic:blipFill>
                        <a:blip r:embed="rId33"/>
                        <a:srcRect l="10922" t="0" r="0" b="-364"/>
                        <a:stretch/>
                      </pic:blipFill>
                      <pic:spPr bwMode="auto">
                        <a:xfrm>
                          <a:off x="0" y="0"/>
                          <a:ext cx="5458460" cy="4885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429.8pt;height:384.7pt;mso-wrap-distance-left:0.0pt;mso-wrap-distance-top:0.0pt;mso-wrap-distance-right:0.0pt;mso-wrap-distance-bottom:0.0pt;" stroked="f">
                <v:path textboxrect="0,0,0,0"/>
                <v:imagedata r:id="rId33" o:title=""/>
              </v:shape>
            </w:pict>
          </mc:Fallback>
        </mc:AlternateConten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6245225" cy="4315460"/>
                <wp:effectExtent l="0" t="0" r="3175" b="8890"/>
                <wp:docPr id="2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3"/>
                        <pic:cNvPicPr>
                          <a:picLocks noChangeAspect="1"/>
                        </pic:cNvPicPr>
                        <pic:nvPr/>
                      </pic:nvPicPr>
                      <pic:blipFill>
                        <a:blip r:embed="rId34"/>
                        <a:stretch/>
                      </pic:blipFill>
                      <pic:spPr bwMode="auto">
                        <a:xfrm>
                          <a:off x="0" y="0"/>
                          <a:ext cx="6245225" cy="4315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491.8pt;height:339.8pt;mso-wrap-distance-left:0.0pt;mso-wrap-distance-top:0.0pt;mso-wrap-distance-right:0.0pt;mso-wrap-distance-bottom:0.0pt;" stroked="f">
                <v:path textboxrect="0,0,0,0"/>
                <v:imagedata r:id="rId34" o:title=""/>
              </v:shape>
            </w:pict>
          </mc:Fallback>
        </mc:AlternateContent>
      </w: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5992495" cy="4457700"/>
                <wp:effectExtent l="0" t="0" r="8255" b="0"/>
                <wp:docPr id="2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4"/>
                        <pic:cNvPicPr>
                          <a:picLocks noChangeAspect="1"/>
                        </pic:cNvPicPr>
                        <pic:nvPr/>
                      </pic:nvPicPr>
                      <pic:blipFill>
                        <a:blip r:embed="rId35"/>
                        <a:stretch/>
                      </pic:blipFill>
                      <pic:spPr bwMode="auto">
                        <a:xfrm>
                          <a:off x="0" y="0"/>
                          <a:ext cx="5992495" cy="445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471.8pt;height:351.0pt;mso-wrap-distance-left:0.0pt;mso-wrap-distance-top:0.0pt;mso-wrap-distance-right:0.0pt;mso-wrap-distance-bottom:0.0pt;" stroked="f">
                <v:path textboxrect="0,0,0,0"/>
                <v:imagedata r:id="rId35" o:title=""/>
              </v:shape>
            </w:pict>
          </mc:Fallback>
        </mc:AlternateConten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6132195" cy="3610610"/>
                <wp:effectExtent l="0" t="0" r="1905" b="8890"/>
                <wp:docPr id="2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5"/>
                        <pic:cNvPicPr>
                          <a:picLocks noChangeAspect="1"/>
                        </pic:cNvPicPr>
                        <pic:nvPr/>
                      </pic:nvPicPr>
                      <pic:blipFill>
                        <a:blip r:embed="rId36"/>
                        <a:stretch/>
                      </pic:blipFill>
                      <pic:spPr bwMode="auto">
                        <a:xfrm>
                          <a:off x="0" y="0"/>
                          <a:ext cx="6132195" cy="3610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482.8pt;height:284.3pt;mso-wrap-distance-left:0.0pt;mso-wrap-distance-top:0.0pt;mso-wrap-distance-right:0.0pt;mso-wrap-distance-bottom:0.0pt;" stroked="f">
                <v:path textboxrect="0,0,0,0"/>
                <v:imagedata r:id="rId36" o:title=""/>
              </v:shape>
            </w:pict>
          </mc:Fallback>
        </mc:AlternateContent>
      </w:r>
      <w:r/>
    </w:p>
    <w:p>
      <w:pPr>
        <w:ind w:firstLine="4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6133465" cy="4211955"/>
                <wp:effectExtent l="0" t="0" r="635" b="17145"/>
                <wp:docPr id="2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6"/>
                        <pic:cNvPicPr>
                          <a:picLocks noChangeAspect="1"/>
                        </pic:cNvPicPr>
                        <pic:nvPr/>
                      </pic:nvPicPr>
                      <pic:blipFill>
                        <a:blip r:embed="rId37"/>
                        <a:stretch/>
                      </pic:blipFill>
                      <pic:spPr bwMode="auto">
                        <a:xfrm>
                          <a:off x="0" y="0"/>
                          <a:ext cx="6133465" cy="4211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482.9pt;height:331.6pt;mso-wrap-distance-left:0.0pt;mso-wrap-distance-top:0.0pt;mso-wrap-distance-right:0.0pt;mso-wrap-distance-bottom:0.0pt;" stroked="f">
                <v:path textboxrect="0,0,0,0"/>
                <v:imagedata r:id="rId37" o:title=""/>
              </v:shape>
            </w:pict>
          </mc:Fallback>
        </mc:AlternateContent>
      </w:r>
      <w:r/>
    </w:p>
    <w:p>
      <w:pPr>
        <w:ind w:firstLine="4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6122670" cy="4676140"/>
                <wp:effectExtent l="0" t="0" r="11430" b="10160"/>
                <wp:docPr id="2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7"/>
                        <pic:cNvPicPr>
                          <a:picLocks noChangeAspect="1"/>
                        </pic:cNvPicPr>
                        <pic:nvPr/>
                      </pic:nvPicPr>
                      <pic:blipFill>
                        <a:blip r:embed="rId38"/>
                        <a:stretch/>
                      </pic:blipFill>
                      <pic:spPr bwMode="auto">
                        <a:xfrm>
                          <a:off x="0" y="0"/>
                          <a:ext cx="6122670" cy="4676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482.1pt;height:368.2pt;mso-wrap-distance-left:0.0pt;mso-wrap-distance-top:0.0pt;mso-wrap-distance-right:0.0pt;mso-wrap-distance-bottom:0.0pt;" stroked="f">
                <v:path textboxrect="0,0,0,0"/>
                <v:imagedata r:id="rId38" o:title=""/>
              </v:shape>
            </w:pict>
          </mc:Fallback>
        </mc:AlternateContent>
      </w:r>
      <w:r/>
    </w:p>
    <w:p>
      <w:pPr>
        <w:ind w:firstLine="4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inline xmlns:wp="http://schemas.openxmlformats.org/drawingml/2006/wordprocessingDrawing" distT="0" distB="0" distL="0" distR="0">
                <wp:extent cx="6132830" cy="4104640"/>
                <wp:effectExtent l="0" t="0" r="1270" b="10160"/>
                <wp:docPr id="2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8"/>
                        <pic:cNvPicPr>
                          <a:picLocks noChangeAspect="1"/>
                        </pic:cNvPicPr>
                        <pic:nvPr/>
                      </pic:nvPicPr>
                      <pic:blipFill>
                        <a:blip r:embed="rId39"/>
                        <a:stretch/>
                      </pic:blipFill>
                      <pic:spPr bwMode="auto">
                        <a:xfrm>
                          <a:off x="0" y="0"/>
                          <a:ext cx="6132830" cy="41046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482.9pt;height:323.2pt;mso-wrap-distance-left:0.0pt;mso-wrap-distance-top:0.0pt;mso-wrap-distance-right:0.0pt;mso-wrap-distance-bottom:0.0pt;" stroked="f">
                <v:path textboxrect="0,0,0,0"/>
                <v:imagedata r:id="rId39" o:title=""/>
              </v:shape>
            </w:pict>
          </mc:Fallback>
        </mc:AlternateContent>
      </w:r>
      <w:r/>
    </w:p>
    <w:p>
      <w:pPr>
        <w:pStyle w:val="968"/>
        <w:ind w:firstLine="422"/>
        <w:spacing w:before="0" w:beforeAutospacing="0" w:after="0" w:afterAutospacing="0" w:line="360" w:lineRule="auto"/>
        <w:rPr>
          <w:rFonts w:hint="eastAsia"/>
          <w:color w:val="auto"/>
          <w:sz w:val="21"/>
          <w:szCs w:val="21"/>
          <w:highlight w:val="none"/>
        </w:rPr>
      </w:pPr>
      <w:r>
        <w:rPr>
          <w:rFonts w:hint="eastAsia"/>
          <w:b/>
          <w:bCs/>
          <w:color w:val="auto"/>
          <w:sz w:val="21"/>
          <w:szCs w:val="21"/>
          <w:highlight w:val="none"/>
        </w:rPr>
        <w:t xml:space="preserve">护栏</w:t>
      </w:r>
      <w:r>
        <w:rPr>
          <w:rFonts w:hint="eastAsia"/>
          <w:b/>
          <w:bCs/>
          <w:color w:val="auto"/>
          <w:sz w:val="21"/>
          <w:szCs w:val="21"/>
          <w:highlight w:val="none"/>
          <w:lang w:val="en-US" w:eastAsia="zh-CN"/>
        </w:rPr>
        <w:t xml:space="preserve">1</w:t>
      </w:r>
      <w:r>
        <w:rPr>
          <w:rFonts w:hint="eastAsia"/>
          <w:b/>
          <w:bCs/>
          <w:color w:val="auto"/>
          <w:sz w:val="21"/>
          <w:szCs w:val="21"/>
          <w:highlight w:val="none"/>
        </w:rPr>
        <w:t xml:space="preserve">：护栏式样参考图</w:t>
      </w:r>
      <w:r/>
    </w:p>
    <w:p>
      <w:pPr>
        <w:pStyle w:val="968"/>
        <w:ind w:firstLine="420"/>
        <w:jc w:val="center"/>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mc:AlternateContent>
          <mc:Choice Requires="wpg">
            <w:drawing>
              <wp:inline xmlns:wp="http://schemas.openxmlformats.org/drawingml/2006/wordprocessingDrawing" distT="0" distB="0" distL="0" distR="0">
                <wp:extent cx="4361180" cy="2630170"/>
                <wp:effectExtent l="0" t="0" r="1270" b="17780"/>
                <wp:docPr id="29" name="图片 19" descr="护栏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9" descr="护栏1150"/>
                        <pic:cNvPicPr>
                          <a:picLocks noChangeAspect="1"/>
                        </pic:cNvPicPr>
                        <pic:nvPr/>
                      </pic:nvPicPr>
                      <pic:blipFill>
                        <a:blip r:embed="rId40"/>
                        <a:srcRect l="0" t="12431" r="0" b="12430"/>
                        <a:stretch/>
                      </pic:blipFill>
                      <pic:spPr bwMode="auto">
                        <a:xfrm>
                          <a:off x="0" y="0"/>
                          <a:ext cx="4361180" cy="2630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343.4pt;height:207.1pt;mso-wrap-distance-left:0.0pt;mso-wrap-distance-top:0.0pt;mso-wrap-distance-right:0.0pt;mso-wrap-distance-bottom:0.0pt;" stroked="f">
                <v:path textboxrect="0,0,0,0"/>
                <v:imagedata r:id="rId40" o:title=""/>
              </v:shape>
            </w:pict>
          </mc:Fallback>
        </mc:AlternateContent>
      </w:r>
      <w:r/>
    </w:p>
    <w:p>
      <w:pPr>
        <w:pStyle w:val="968"/>
        <w:ind w:firstLine="422"/>
        <w:jc w:val="center"/>
        <w:spacing w:before="0" w:beforeAutospacing="0" w:after="0" w:afterAutospacing="0" w:line="360" w:lineRule="auto"/>
        <w:rPr>
          <w:rFonts w:hint="eastAsia"/>
          <w:b/>
          <w:bCs/>
          <w:color w:val="auto"/>
          <w:sz w:val="21"/>
          <w:szCs w:val="21"/>
          <w:highlight w:val="none"/>
        </w:rPr>
      </w:pPr>
      <w:r>
        <w:rPr>
          <w:rFonts w:hint="eastAsia"/>
          <w:b/>
          <w:color w:val="auto"/>
          <w:sz w:val="21"/>
          <w:szCs w:val="21"/>
          <w:highlight w:val="none"/>
        </w:rPr>
        <mc:AlternateContent>
          <mc:Choice Requires="wpg">
            <w:drawing>
              <wp:inline xmlns:wp="http://schemas.openxmlformats.org/drawingml/2006/wordprocessingDrawing" distT="0" distB="0" distL="0" distR="0">
                <wp:extent cx="4480560" cy="3352165"/>
                <wp:effectExtent l="0" t="0" r="15240" b="635"/>
                <wp:docPr id="30" name="图片 20" descr="实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20" descr="实物"/>
                        <pic:cNvPicPr>
                          <a:picLocks noChangeAspect="1"/>
                        </pic:cNvPicPr>
                        <pic:nvPr/>
                      </pic:nvPicPr>
                      <pic:blipFill>
                        <a:blip r:embed="rId41"/>
                        <a:stretch/>
                      </pic:blipFill>
                      <pic:spPr bwMode="auto">
                        <a:xfrm>
                          <a:off x="0" y="0"/>
                          <a:ext cx="4480560" cy="3352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352.8pt;height:263.9pt;mso-wrap-distance-left:0.0pt;mso-wrap-distance-top:0.0pt;mso-wrap-distance-right:0.0pt;mso-wrap-distance-bottom:0.0pt;" stroked="f">
                <v:path textboxrect="0,0,0,0"/>
                <v:imagedata r:id="rId41" o:title=""/>
              </v:shape>
            </w:pict>
          </mc:Fallback>
        </mc:AlternateContent>
      </w:r>
      <w:r/>
    </w:p>
    <w:p>
      <w:pPr>
        <w:pStyle w:val="968"/>
        <w:ind w:firstLine="420"/>
        <w:jc w:val="center"/>
        <w:spacing w:before="0" w:beforeAutospacing="0" w:after="0" w:afterAutospacing="0" w:line="360" w:lineRule="auto"/>
        <w:rPr>
          <w:rFonts w:hint="eastAsia"/>
          <w:color w:val="auto"/>
          <w:sz w:val="21"/>
          <w:szCs w:val="21"/>
          <w:highlight w:val="none"/>
        </w:rPr>
      </w:pPr>
      <w:r>
        <w:rPr>
          <w:rFonts w:hint="eastAsia"/>
          <w:color w:val="auto"/>
          <w:sz w:val="21"/>
          <w:szCs w:val="21"/>
          <w:highlight w:val="none"/>
        </w:rPr>
        <mc:AlternateContent>
          <mc:Choice Requires="wpg">
            <w:drawing>
              <wp:inline xmlns:wp="http://schemas.openxmlformats.org/drawingml/2006/wordprocessingDrawing" distT="0" distB="0" distL="0" distR="0">
                <wp:extent cx="3573780" cy="2480945"/>
                <wp:effectExtent l="0" t="0" r="7620" b="14604"/>
                <wp:docPr id="31" name="图片 21" descr="微信图片_2018092011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21" descr="微信图片_20180920111322"/>
                        <pic:cNvPicPr>
                          <a:picLocks noChangeAspect="1"/>
                        </pic:cNvPicPr>
                        <pic:nvPr/>
                      </pic:nvPicPr>
                      <pic:blipFill>
                        <a:blip r:embed="rId42"/>
                        <a:srcRect l="426" t="6805" r="-465" b="6311"/>
                        <a:stretch/>
                      </pic:blipFill>
                      <pic:spPr bwMode="auto">
                        <a:xfrm>
                          <a:off x="0" y="0"/>
                          <a:ext cx="3573780" cy="2480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281.4pt;height:195.3pt;mso-wrap-distance-left:0.0pt;mso-wrap-distance-top:0.0pt;mso-wrap-distance-right:0.0pt;mso-wrap-distance-bottom:0.0pt;" stroked="f">
                <v:path textboxrect="0,0,0,0"/>
                <v:imagedata r:id="rId42" o:title=""/>
              </v:shape>
            </w:pict>
          </mc:Fallback>
        </mc:AlternateContent>
      </w:r>
      <w:r/>
    </w:p>
    <w:p>
      <w:pPr>
        <w:pStyle w:val="952"/>
        <w:ind w:right="0" w:firstLine="502"/>
        <w:jc w:val="both"/>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护栏</w:t>
      </w: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w:t>
      </w:r>
      <w:r>
        <w:rPr>
          <w:rFonts w:hint="eastAsia"/>
          <w:b/>
          <w:bCs/>
          <w:color w:val="auto"/>
          <w:sz w:val="21"/>
          <w:szCs w:val="21"/>
          <w:highlight w:val="none"/>
        </w:rPr>
        <w:t xml:space="preserve">护栏式样参考图</w:t>
      </w:r>
      <w:r/>
    </w:p>
    <w:p>
      <w:pPr>
        <w:pStyle w:val="952"/>
        <w:ind w:right="0" w:firstLine="5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4009390" cy="2371725"/>
                <wp:effectExtent l="0" t="0" r="10160" b="9525"/>
                <wp:docPr id="3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22"/>
                        <pic:cNvPicPr>
                          <a:picLocks noChangeAspect="1"/>
                        </pic:cNvPicPr>
                        <pic:nvPr/>
                      </pic:nvPicPr>
                      <pic:blipFill>
                        <a:blip r:embed="rId43"/>
                        <a:stretch/>
                      </pic:blipFill>
                      <pic:spPr bwMode="auto">
                        <a:xfrm>
                          <a:off x="0" y="0"/>
                          <a:ext cx="4009389" cy="2371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315.7pt;height:186.8pt;mso-wrap-distance-left:0.0pt;mso-wrap-distance-top:0.0pt;mso-wrap-distance-right:0.0pt;mso-wrap-distance-bottom:0.0pt;" stroked="f">
                <v:path textboxrect="0,0,0,0"/>
                <v:imagedata r:id="rId43" o:title=""/>
              </v:shape>
            </w:pict>
          </mc:Fallback>
        </mc:AlternateContent>
      </w:r>
      <w:r/>
    </w:p>
    <w:p>
      <w:pPr>
        <w:pStyle w:val="952"/>
        <w:ind w:left="418" w:right="0" w:firstLine="0"/>
        <w:jc w:val="both"/>
        <w:spacing w:line="360" w:lineRule="auto"/>
        <w:rPr>
          <w:rFonts w:hint="eastAsia" w:ascii="宋体" w:hAnsi="宋体" w:eastAsia="宋体" w:cs="宋体"/>
          <w:b/>
          <w:bCs/>
          <w:color w:val="auto"/>
          <w:spacing w:val="0"/>
          <w:sz w:val="21"/>
          <w:szCs w:val="21"/>
          <w:highlight w:val="none"/>
          <w:lang w:val="en-US" w:eastAsia="zh-CN" w:bidi="ar-SA"/>
        </w:rPr>
      </w:pPr>
      <w:r>
        <w:rPr>
          <w:rFonts w:hint="eastAsia" w:ascii="宋体" w:hAnsi="宋体" w:cs="宋体"/>
          <w:color w:val="auto"/>
          <w:szCs w:val="21"/>
          <w:highlight w:val="none"/>
        </w:rPr>
        <mc:AlternateContent>
          <mc:Choice Requires="wpg">
            <w:drawing>
              <wp:inline xmlns:wp="http://schemas.openxmlformats.org/drawingml/2006/wordprocessingDrawing" distT="0" distB="0" distL="0" distR="0">
                <wp:extent cx="5735320" cy="2554605"/>
                <wp:effectExtent l="0" t="0" r="17780" b="17145"/>
                <wp:docPr id="3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23"/>
                        <pic:cNvPicPr>
                          <a:picLocks noChangeAspect="1"/>
                        </pic:cNvPicPr>
                        <pic:nvPr/>
                      </pic:nvPicPr>
                      <pic:blipFill>
                        <a:blip r:embed="rId44"/>
                        <a:srcRect l="4292" t="0" r="0" b="0"/>
                        <a:stretch/>
                      </pic:blipFill>
                      <pic:spPr bwMode="auto">
                        <a:xfrm>
                          <a:off x="0" y="0"/>
                          <a:ext cx="5735320" cy="2554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451.6pt;height:201.1pt;mso-wrap-distance-left:0.0pt;mso-wrap-distance-top:0.0pt;mso-wrap-distance-right:0.0pt;mso-wrap-distance-bottom:0.0pt;" stroked="f">
                <v:path textboxrect="0,0,0,0"/>
                <v:imagedata r:id="rId44" o:title=""/>
              </v:shape>
            </w:pict>
          </mc:Fallback>
        </mc:AlternateContent>
      </w:r>
      <w:r>
        <w:rPr>
          <w:rFonts w:hint="eastAsia" w:ascii="宋体" w:hAnsi="宋体" w:eastAsia="宋体" w:cs="宋体"/>
          <w:b/>
          <w:bCs/>
          <w:color w:val="auto"/>
          <w:spacing w:val="0"/>
          <w:sz w:val="21"/>
          <w:szCs w:val="21"/>
          <w:highlight w:val="none"/>
          <w:lang w:val="en-US" w:eastAsia="zh-CN" w:bidi="ar-SA"/>
        </w:rPr>
        <w:t xml:space="preserve">（三）交通标志技术要求：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符合《道路交通标志和标线》(标志符合GB5768.2-2022，标线符合GB5768.3-2009)、《城市道路交通标志和标线设置规范》(GB51038-2015)等国家标准和行业规范，并满足交警部门的相关要求。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1.交通标志设计要求：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（1）版面设计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标志的版面设计应符合GB5768、GB51038的有关规定，特别是指路标志的版面应着重确定以下内容：</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标志的排版，包括图案和文字的字体、高度、宽度、间隔、行距等；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标志的外边框和衬底边尺寸。</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（2）结构设计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标志以及杆件的结构设计应包括下列内容：</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标志板、支撑件、连接件、反光材料的选择；</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标志板、支撑件、连接件的各种断面尺寸的确定及强度、稳定性验算；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基础尺寸的确定及强度、稳定性验算。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立杆、悬臂、基础、法兰盘、地脚螺栓、螺母、垫片和加强筋等部件的尺寸、强度等性能指标应根据标志尺寸大小、安装方式及悬臂长度确定，应由有相关资质单位进行设计；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若采用立杆、悬臂、等结构形式，悬臂、立杆的尺寸、强度等性能指标，应由有相关资质单位进行设计。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2.材料要求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（1）反光材料</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反光材料应采用符合《道路交通反光膜》(GB／T 18833-2012)要求的Ⅲ类及以上等级反光膜，且使用寿命为十年以上；</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（2）标志板</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交通标志板采用铝合金板、挤压成型的铝合金型材、薄钢板等制造，所用材料应符合现行《道路交通标志板及支撑件》（GB／T23827）规定、厚度应拫据计算确定。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（3）支撑结构</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交通标志立柱、横梁等可采用钢管、H 型钢、槽钢及钢筋混凝土等材料制作，钢管顶端应设置柱帽。钢构件应进行防腐处理；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交通标志应设置钢筋混凝土基础。</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（4）杆件必须采用热镀锌处理，以上杆件结构图只作为参考，投标方应当根据不同规格委托有资质单位进行设计，保证杆件以及基础安全，如有质量问题或者施工带来的问题责任，由施工方承担。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3.标志的施工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根据甲方提出的安装需求，施工单位需要经过实地查看，对建设方案进行初步设计，提供有资质单位设计的建设方案，方案待甲方确认后方可施工。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施工过程中涉及到的开挖、设施占用、补偿、修复等工作手续、费用等由中标单位负责。施工垃圾应当按照规定进行收集，按照规定处理，禁止施工材料随意堆放、丢弃。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（1）前期准备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施工单位应熟悉施工图，并参加由建设单位组织的设计技术交流，新建、更新的设施应当将设计方案交建设方审核，不得擅自建设；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根据交通标志施工图(或任务书)安排好工程进度，并拟定施工大纲；</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了解施工现场的地上、地下管线的情况；</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应进度要求配备好施工队伍、施工机具和工程材料。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（2）现场定位</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交通标志的定位应按施工图的要求并应符合(GB5768、GB51038)等标准中对各种标志设置条件及地点的规定，特别情况下应会同公安交通管理部门现场定位。</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（3）施工安全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施工单位应当确保施工安全，按规定做好安全防护设施，</w:t>
      </w:r>
      <w:r>
        <w:rPr>
          <w:rFonts w:hint="eastAsia" w:ascii="宋体" w:hAnsi="宋体" w:cs="宋体"/>
          <w:color w:val="auto"/>
          <w:sz w:val="21"/>
          <w:szCs w:val="21"/>
          <w:highlight w:val="none"/>
          <w:lang w:val="en-US" w:eastAsia="zh-CN"/>
        </w:rPr>
        <w:t xml:space="preserve">派专人</w:t>
      </w:r>
      <w:r>
        <w:rPr>
          <w:rFonts w:hint="eastAsia" w:ascii="宋体" w:hAnsi="宋体" w:cs="宋体"/>
          <w:color w:val="auto"/>
          <w:sz w:val="21"/>
          <w:szCs w:val="21"/>
          <w:highlight w:val="none"/>
        </w:rPr>
        <w:t xml:space="preserve">负责施工期间的安全。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（4）施工方应当注意施工安全，负责购买相关保险，承担新增、维修及更换施工期间所有的一切安全责任（含对第三方造成的伤害）。</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4.基础埋设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（1）标志立柱的基础应按施工图规定的尺寸于指定地点进行开挖。小型基础、孔壁稳定可不立模板。在浇注混凝土前基础要进行修正，基底要压实；</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（2）在预埋基础时，应用水平尺或其他专用仪器校准至水平。混凝土应震捣密实，同柱连接的螺栓或螺帽应拧上。设在人行道上基础的顶面标高应与人行道标高一致，基础周围的填土应夯实，表面应平整；</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（3）基础法兰的边线应与侧石线(或车行道边线)平行，标志安装后的侧向净距应符合规定。双柱式立柱基础法兰的中心间距一般为其所承载的标志板面宽度的1／2；</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5.安装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（1）基础需经养护达到设计强度后，方可安装标志立柱；</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（2）立柱通过法兰盘与基础连接。在拧紧螺栓前应调整好方向和垂直度；</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（3）立柱安装好后，即可通过抱箍或不锈钢万能夹把标志固定在立柱上；</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（4）双柱式路侧标志的两根立柱均应垂直并互相平行，其顶端在同一高度上，连接件应对称布设；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（5）标志板安装后应进行板面平整度调整和安装角度的调整。</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（6）标志施工完毕后，必须按设计要求验收，移交竣工资料。</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（四）护栏技术要求</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防撞护栏</w:t>
      </w:r>
      <w:r>
        <w:rPr>
          <w:rFonts w:hint="eastAsia" w:ascii="宋体" w:hAnsi="宋体" w:cs="宋体"/>
          <w:b/>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（1）符合《公路交通安全设施设计规范》要求防护等级，</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（2）钢护栏立柱放样</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立柱应根据施工图纸进行放样，并以路口、电线杆、山间小道等为控制点，进行测距定位，可利用调整段调节间距，并利用分配方法处理间距零头数。</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为准确放样和保证护栏的线形，隔段进行桩号复核和闭合。</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立柱放样后，应调查每根立柱位置的地表状态，如遇地下通讯管线、泄水等，或涵洞顶部埋置深度不足时，应调整某些立柱的位置，改变立柱固定方式。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（3）钢护栏立柱安装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根据设计图纸进行立柱钻孔，并检查使之与道路线形相协调。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如路肩基本情况允许，采用打入法设置立桩，施工时应精确定位，立柱打入土中应至设计深度，当打入过深时，不得只将立柱部拔出加以矫正，而须将其全部拔出，待基础压实后重新打入。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立柱打入困难时，可采用钻孔法或开挖法安装立柱。采用钻孔法安装，立柱定位后应与路基相同的材料回填，并分层夯填密实；采用开挖法埋设立柱，回填土应采用良好的材料并分层夯实（每层厚不超过15cm），回填土的压实度不应小于相邻原状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设置于构造物中的护栏立柱，施工一般在结构物施工时已做好砼基础。采用预留孔基础时，应先清除孔内杂物，吸干孔内积水，将化好的沥青在孔底涂一遍，然后放入立柱，控制好标高。即可在立柱周围注砂。在灌砂时一定要保持立柱的正确位置和垂直度。把砂振实后，即可用沥青封口，防止雨水漏入孔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立柱安装就位后，其水平方向和竖直方向形成平顺的线形。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渐变段的端部护栏施工时，应按设计规定的坐标严格控制其立柱位置，注意抛物线形。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（4）波形梁安装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波形梁安装时，通过拼接螺栓相互拼接，并由连接螺栓固定于立柱或横梁上。波形梁拼接方向是安装的关键，施工时保证搭接方向应与行车方向一致。拼接如下图：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400050</wp:posOffset>
                </wp:positionH>
                <wp:positionV relativeFrom="paragraph">
                  <wp:posOffset>299720</wp:posOffset>
                </wp:positionV>
                <wp:extent cx="4937760" cy="189230"/>
                <wp:effectExtent l="0" t="0" r="15240" b="1270"/>
                <wp:wrapSquare wrapText="bothSides"/>
                <wp:docPr id="34" name="组合 116"/>
                <wp:cNvGraphicFramePr/>
                <a:graphic xmlns:a="http://schemas.openxmlformats.org/drawingml/2006/main">
                  <a:graphicData uri="http://schemas.microsoft.com/office/word/2010/wordprocessingGroup">
                    <wpg:wgp>
                      <wpg:cNvGrpSpPr/>
                      <wpg:grpSpPr bwMode="auto">
                        <a:xfrm>
                          <a:off x="0" y="0"/>
                          <a:ext cx="4937760" cy="189230"/>
                          <a:chOff x="0" y="0"/>
                          <a:chExt cx="7776" cy="298"/>
                        </a:xfrm>
                      </wpg:grpSpPr>
                      <wps:wsp>
                        <wps:cNvPr id="0" name=""/>
                        <wps:cNvSpPr/>
                        <wps:spPr bwMode="auto">
                          <a:xfrm>
                            <a:off x="0" y="65"/>
                            <a:ext cx="2092" cy="0"/>
                          </a:xfrm>
                          <a:prstGeom prst="line">
                            <a:avLst/>
                          </a:prstGeom>
                          <a:ln w="22225" cap="flat" cmpd="sng">
                            <a:solidFill>
                              <a:srgbClr val="000000"/>
                            </a:solidFill>
                            <a:prstDash val="solid"/>
                            <a:headEnd type="none" w="med" len="med"/>
                            <a:tailEnd type="none" w="med" len="med"/>
                          </a:ln>
                          <a:effectLst/>
                        </wps:spPr>
                        <wps:bodyPr rot="0">
                          <a:prstTxWarp prst="textNoShape">
                            <a:avLst/>
                          </a:prstTxWarp>
                          <a:noAutofit/>
                        </wps:bodyPr>
                      </wps:wsp>
                      <wpg:grpSp>
                        <wpg:cNvGrpSpPr/>
                        <wpg:grpSpPr bwMode="auto">
                          <a:xfrm>
                            <a:off x="1896" y="0"/>
                            <a:ext cx="2092" cy="198"/>
                            <a:chOff x="0" y="0"/>
                            <a:chExt cx="2092" cy="198"/>
                          </a:xfrm>
                        </wpg:grpSpPr>
                        <wps:wsp>
                          <wps:cNvPr id="1" name=""/>
                          <wps:cNvSpPr/>
                          <wps:spPr bwMode="auto">
                            <a:xfrm>
                              <a:off x="0" y="120"/>
                              <a:ext cx="2092" cy="0"/>
                            </a:xfrm>
                            <a:prstGeom prst="line">
                              <a:avLst/>
                            </a:prstGeom>
                            <a:grpFill/>
                            <a:ln w="22225" cap="flat" cmpd="sng">
                              <a:solidFill>
                                <a:srgbClr val="000000"/>
                              </a:solidFill>
                              <a:prstDash val="solid"/>
                              <a:headEnd type="none" w="med" len="med"/>
                              <a:tailEnd type="none" w="med" len="med"/>
                            </a:ln>
                            <a:effectLst/>
                          </wps:spPr>
                          <wps:bodyPr rot="0">
                            <a:prstTxWarp prst="textNoShape">
                              <a:avLst/>
                            </a:prstTxWarp>
                            <a:noAutofit/>
                          </wps:bodyPr>
                        </wps:wsp>
                        <wps:wsp>
                          <wps:cNvPr id="2" name=""/>
                          <wps:cNvSpPr/>
                          <wps:spPr bwMode="auto">
                            <a:xfrm>
                              <a:off x="46" y="0"/>
                              <a:ext cx="0" cy="198"/>
                            </a:xfrm>
                            <a:prstGeom prst="line">
                              <a:avLst/>
                            </a:prstGeom>
                            <a:grpFill/>
                            <a:ln w="12700" cap="flat" cmpd="sng">
                              <a:solidFill>
                                <a:srgbClr val="000000"/>
                              </a:solidFill>
                              <a:prstDash val="solid"/>
                              <a:headEnd type="none" w="med" len="med"/>
                              <a:tailEnd type="none" w="med" len="med"/>
                            </a:ln>
                            <a:effectLst/>
                          </wps:spPr>
                          <wps:bodyPr rot="0">
                            <a:prstTxWarp prst="textNoShape">
                              <a:avLst/>
                            </a:prstTxWarp>
                            <a:noAutofit/>
                          </wps:bodyPr>
                        </wps:wsp>
                        <wps:wsp>
                          <wps:cNvPr id="3" name=""/>
                          <wps:cNvSpPr/>
                          <wps:spPr bwMode="auto">
                            <a:xfrm>
                              <a:off x="159" y="0"/>
                              <a:ext cx="0" cy="198"/>
                            </a:xfrm>
                            <a:prstGeom prst="line">
                              <a:avLst/>
                            </a:prstGeom>
                            <a:grpFill/>
                            <a:ln w="12700" cap="flat" cmpd="sng">
                              <a:solidFill>
                                <a:srgbClr val="000000"/>
                              </a:solidFill>
                              <a:prstDash val="solid"/>
                              <a:headEnd type="none" w="med" len="med"/>
                              <a:tailEnd type="none" w="med" len="med"/>
                            </a:ln>
                            <a:effectLst/>
                          </wps:spPr>
                          <wps:bodyPr rot="0">
                            <a:prstTxWarp prst="textNoShape">
                              <a:avLst/>
                            </a:prstTxWarp>
                            <a:noAutofit/>
                          </wps:bodyPr>
                        </wps:wsp>
                      </wpg:grpSp>
                      <wpg:grpSp>
                        <wpg:cNvGrpSpPr/>
                        <wpg:grpSpPr bwMode="auto">
                          <a:xfrm>
                            <a:off x="3786" y="52"/>
                            <a:ext cx="2092" cy="198"/>
                            <a:chOff x="0" y="0"/>
                            <a:chExt cx="2092" cy="198"/>
                          </a:xfrm>
                        </wpg:grpSpPr>
                        <wps:wsp>
                          <wps:cNvPr id="4" name=""/>
                          <wps:cNvSpPr/>
                          <wps:spPr bwMode="auto">
                            <a:xfrm>
                              <a:off x="0" y="120"/>
                              <a:ext cx="2092" cy="0"/>
                            </a:xfrm>
                            <a:prstGeom prst="line">
                              <a:avLst/>
                            </a:prstGeom>
                            <a:grpFill/>
                            <a:ln w="22225" cap="flat" cmpd="sng">
                              <a:solidFill>
                                <a:srgbClr val="000000"/>
                              </a:solidFill>
                              <a:prstDash val="solid"/>
                              <a:headEnd type="none" w="med" len="med"/>
                              <a:tailEnd type="none" w="med" len="med"/>
                            </a:ln>
                            <a:effectLst/>
                          </wps:spPr>
                          <wps:bodyPr rot="0">
                            <a:prstTxWarp prst="textNoShape">
                              <a:avLst/>
                            </a:prstTxWarp>
                            <a:noAutofit/>
                          </wps:bodyPr>
                        </wps:wsp>
                        <wps:wsp>
                          <wps:cNvPr id="5" name=""/>
                          <wps:cNvSpPr/>
                          <wps:spPr bwMode="auto">
                            <a:xfrm>
                              <a:off x="46" y="0"/>
                              <a:ext cx="0" cy="198"/>
                            </a:xfrm>
                            <a:prstGeom prst="line">
                              <a:avLst/>
                            </a:prstGeom>
                            <a:grpFill/>
                            <a:ln w="12700" cap="flat" cmpd="sng">
                              <a:solidFill>
                                <a:srgbClr val="000000"/>
                              </a:solidFill>
                              <a:prstDash val="solid"/>
                              <a:headEnd type="none" w="med" len="med"/>
                              <a:tailEnd type="none" w="med" len="med"/>
                            </a:ln>
                            <a:effectLst/>
                          </wps:spPr>
                          <wps:bodyPr rot="0">
                            <a:prstTxWarp prst="textNoShape">
                              <a:avLst/>
                            </a:prstTxWarp>
                            <a:noAutofit/>
                          </wps:bodyPr>
                        </wps:wsp>
                        <wps:wsp>
                          <wps:cNvPr id="6" name=""/>
                          <wps:cNvSpPr/>
                          <wps:spPr bwMode="auto">
                            <a:xfrm>
                              <a:off x="159" y="0"/>
                              <a:ext cx="0" cy="198"/>
                            </a:xfrm>
                            <a:prstGeom prst="line">
                              <a:avLst/>
                            </a:prstGeom>
                            <a:grpFill/>
                            <a:ln w="12700" cap="flat" cmpd="sng">
                              <a:solidFill>
                                <a:srgbClr val="000000"/>
                              </a:solidFill>
                              <a:prstDash val="solid"/>
                              <a:headEnd type="none" w="med" len="med"/>
                              <a:tailEnd type="none" w="med" len="med"/>
                            </a:ln>
                            <a:effectLst/>
                          </wps:spPr>
                          <wps:bodyPr rot="0">
                            <a:prstTxWarp prst="textNoShape">
                              <a:avLst/>
                            </a:prstTxWarp>
                            <a:noAutofit/>
                          </wps:bodyPr>
                        </wps:wsp>
                      </wpg:grpSp>
                      <wpg:grpSp>
                        <wpg:cNvGrpSpPr/>
                        <wpg:grpSpPr bwMode="auto">
                          <a:xfrm>
                            <a:off x="5684" y="100"/>
                            <a:ext cx="2092" cy="198"/>
                            <a:chOff x="0" y="0"/>
                            <a:chExt cx="2092" cy="198"/>
                          </a:xfrm>
                        </wpg:grpSpPr>
                        <wps:wsp>
                          <wps:cNvPr id="7" name=""/>
                          <wps:cNvSpPr/>
                          <wps:spPr bwMode="auto">
                            <a:xfrm>
                              <a:off x="0" y="120"/>
                              <a:ext cx="2092" cy="0"/>
                            </a:xfrm>
                            <a:prstGeom prst="line">
                              <a:avLst/>
                            </a:prstGeom>
                            <a:grpFill/>
                            <a:ln w="22225" cap="flat" cmpd="sng">
                              <a:solidFill>
                                <a:srgbClr val="000000"/>
                              </a:solidFill>
                              <a:prstDash val="solid"/>
                              <a:headEnd type="none" w="med" len="med"/>
                              <a:tailEnd type="none" w="med" len="med"/>
                            </a:ln>
                            <a:effectLst/>
                          </wps:spPr>
                          <wps:bodyPr rot="0">
                            <a:prstTxWarp prst="textNoShape">
                              <a:avLst/>
                            </a:prstTxWarp>
                            <a:noAutofit/>
                          </wps:bodyPr>
                        </wps:wsp>
                        <wps:wsp>
                          <wps:cNvPr id="8" name=""/>
                          <wps:cNvSpPr/>
                          <wps:spPr bwMode="auto">
                            <a:xfrm>
                              <a:off x="46" y="0"/>
                              <a:ext cx="0" cy="198"/>
                            </a:xfrm>
                            <a:prstGeom prst="line">
                              <a:avLst/>
                            </a:prstGeom>
                            <a:grpFill/>
                            <a:ln w="12700" cap="flat" cmpd="sng">
                              <a:solidFill>
                                <a:srgbClr val="000000"/>
                              </a:solidFill>
                              <a:prstDash val="solid"/>
                              <a:headEnd type="none" w="med" len="med"/>
                              <a:tailEnd type="none" w="med" len="med"/>
                            </a:ln>
                            <a:effectLst/>
                          </wps:spPr>
                          <wps:bodyPr rot="0">
                            <a:prstTxWarp prst="textNoShape">
                              <a:avLst/>
                            </a:prstTxWarp>
                            <a:noAutofit/>
                          </wps:bodyPr>
                        </wps:wsp>
                        <wps:wsp>
                          <wps:cNvPr id="9" name=""/>
                          <wps:cNvSpPr/>
                          <wps:spPr bwMode="auto">
                            <a:xfrm>
                              <a:off x="159" y="0"/>
                              <a:ext cx="0" cy="198"/>
                            </a:xfrm>
                            <a:prstGeom prst="line">
                              <a:avLst/>
                            </a:prstGeom>
                            <a:grpFill/>
                            <a:ln w="12700" cap="flat" cmpd="sng">
                              <a:solidFill>
                                <a:srgbClr val="000000"/>
                              </a:solidFill>
                              <a:prstDash val="solid"/>
                              <a:headEnd type="none" w="med" len="med"/>
                              <a:tailEnd type="none" w="med" len="med"/>
                            </a:ln>
                            <a:effectLst/>
                          </wps:spPr>
                          <wps:bodyPr rot="0">
                            <a:prstTxWarp prst="textNoShape">
                              <a:avLst/>
                            </a:prstTxWarp>
                            <a:noAutofit/>
                          </wps:bodyPr>
                        </wps:wsp>
                      </wpg:grpSp>
                    </wpg:wgp>
                  </a:graphicData>
                </a:graphic>
              </wp:anchor>
            </w:drawing>
          </mc:Choice>
          <mc:Fallback>
            <w:pict>
              <v:group id="group 121" o:spid="_x0000_s0000" style="position:absolute;z-index:251662336;o:allowoverlap:true;o:allowincell:true;mso-position-horizontal-relative:text;margin-left:31.5pt;mso-position-horizontal:absolute;mso-position-vertical-relative:text;margin-top:23.6pt;mso-position-vertical:absolute;width:388.8pt;height:14.9pt;mso-wrap-distance-left:9.0pt;mso-wrap-distance-top:0.0pt;mso-wrap-distance-right:9.0pt;mso-wrap-distance-bottom:0.0pt;" coordorigin="0,0" coordsize="77,2">
                <v:line id="shape 122" o:spid="_x0000_s122" style="position:absolute;left:0;text-align:left;z-index:251662336;visibility:visible;" from="31.5pt,23.6pt" to="420.3pt,38.5pt" filled="f" strokecolor="#000000" strokeweight="1.75pt">
                  <v:stroke dashstyle="solid"/>
                  <w10:wrap type="square"/>
                </v:line>
                <v:group id="group 123" o:spid="_x0000_s0000" style="position:absolute;left:18;top:0;width:20;height:1;" coordorigin="0,0" coordsize="20,1">
                  <v:line id="shape 124" o:spid="_x0000_s124" style="position:absolute;left:0;text-align:left;z-index:251662336;visibility:visible;" from="31.5pt,23.6pt" to="420.3pt,38.5pt" fillcolor="#000000" strokecolor="#000000" strokeweight="1.75pt">
                    <v:fill opacity="0f"/>
                    <v:stroke dashstyle="solid"/>
                  </v:line>
                  <v:line id="shape 125" o:spid="_x0000_s125" style="position:absolute;left:0;text-align:left;z-index:251662336;visibility:visible;" from="31.5pt,23.6pt" to="420.3pt,38.5pt" fillcolor="#000000" strokecolor="#000000" strokeweight="1.00pt">
                    <v:fill opacity="0f"/>
                    <v:stroke dashstyle="solid"/>
                  </v:line>
                  <v:line id="shape 126" o:spid="_x0000_s126" style="position:absolute;left:0;text-align:left;z-index:251662336;visibility:visible;" from="31.5pt,23.6pt" to="420.3pt,38.5pt" fillcolor="#000000" strokecolor="#000000" strokeweight="1.00pt">
                    <v:fill opacity="0f"/>
                    <v:stroke dashstyle="solid"/>
                  </v:line>
                </v:group>
                <v:group id="group 127" o:spid="_x0000_s0000" style="position:absolute;left:37;top:0;width:20;height:1;" coordorigin="0,0" coordsize="20,1">
                  <v:line id="shape 128" o:spid="_x0000_s128" style="position:absolute;left:0;text-align:left;z-index:251662336;visibility:visible;" from="31.5pt,23.6pt" to="420.3pt,38.5pt" fillcolor="#000000" strokecolor="#000000" strokeweight="1.75pt">
                    <v:fill opacity="0f"/>
                    <v:stroke dashstyle="solid"/>
                  </v:line>
                  <v:line id="shape 129" o:spid="_x0000_s129" style="position:absolute;left:0;text-align:left;z-index:251662336;visibility:visible;" from="31.5pt,23.6pt" to="420.3pt,38.5pt" fillcolor="#000000" strokecolor="#000000" strokeweight="1.00pt">
                    <v:fill opacity="0f"/>
                    <v:stroke dashstyle="solid"/>
                  </v:line>
                  <v:line id="shape 130" o:spid="_x0000_s130" style="position:absolute;left:0;text-align:left;z-index:251662336;visibility:visible;" from="31.5pt,23.6pt" to="420.3pt,38.5pt" fillcolor="#000000" strokecolor="#000000" strokeweight="1.00pt">
                    <v:fill opacity="0f"/>
                    <v:stroke dashstyle="solid"/>
                  </v:line>
                </v:group>
                <v:group id="group 131" o:spid="_x0000_s0000" style="position:absolute;left:56;top:1;width:20;height:1;" coordorigin="0,0" coordsize="20,1">
                  <v:line id="shape 132" o:spid="_x0000_s132" style="position:absolute;left:0;text-align:left;z-index:251662336;visibility:visible;" from="31.5pt,23.6pt" to="420.3pt,38.5pt" fillcolor="#000000" strokecolor="#000000" strokeweight="1.75pt">
                    <v:fill opacity="0f"/>
                    <v:stroke dashstyle="solid"/>
                  </v:line>
                  <v:line id="shape 133" o:spid="_x0000_s133" style="position:absolute;left:0;text-align:left;z-index:251662336;visibility:visible;" from="31.5pt,23.6pt" to="420.3pt,38.5pt" fillcolor="#000000" strokecolor="#000000" strokeweight="1.00pt">
                    <v:fill opacity="0f"/>
                    <v:stroke dashstyle="solid"/>
                  </v:line>
                  <v:line id="shape 134" o:spid="_x0000_s134" style="position:absolute;left:0;text-align:left;z-index:251662336;visibility:visible;" from="31.5pt,23.6pt" to="420.3pt,38.5pt" fillcolor="#000000" strokecolor="#000000" strokeweight="1.00pt">
                    <v:fill opacity="0f"/>
                    <v:stroke dashstyle="solid"/>
                  </v:line>
                </v:group>
              </v:group>
            </w:pict>
          </mc:Fallback>
        </mc:AlternateConten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0"/>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波形梁拼接方向示意图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波形梁在安装过程中应不断进行调整，因此连接螺栓及拼接螺栓不宜过早拧紧，以便在安装过程中利用波形梁的长圆孔及时进行调整，使其形成平顺的线形，避免局部凹凸。</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安装时波形梁顶面应与道路竖曲线相协调。并检查护栏的线形，当确定线形比较直顺和流畅时，方可最后拧紧螺栓。</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（5）防阻块安装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防阻块能防止立柱阻拌车轮，避免护栏局部受力和碰撞时车辆减速，因此，应保证使其准确就位，在安装调整之前，即可安装防阻块，防阻块通过连接螺栓固定于立柱之间，最后把波形梁装上并进行统一调整。</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（6）波形梁钢护栏起、终端头安装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路侧护栏开口处应安装端头梁并进行锚固。端头锚固主要包括钢丝绳锚固件及混凝土基础。在端部基础混凝土设计强度达到50%以后，方可拧紧螺栓或固定缆索。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（7）注意事项</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施工准备应充分，施工路段桩号位置找准确。放样应精确，误差在规定范围内。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立柱施工应严格认真，其垂直度、间距、螺栓孔位置及其它尺寸均应符合要求，不符合要求需立即返工，同时，应严格按规范JTJ074-94规定进行返工。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波形梁板、立柱等构件的包装和标志应符合GB6725的规定。购货时护栏不得散装，且应保证在吊装、运输、堆放过程中不致使产品变形、损坏（伤）。运输过程中应固定可靠，防止因颠簸碰撞损坏涂层或使构件变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购货时注意波形梁高强拼接螺栓连接处的包装和标志应符合GB/T1231的有关规定。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护栏施工时操作应谨慎，不得破坏路面下埋设的电缆、管道等设施。</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护栏</w:t>
      </w:r>
      <w:r>
        <w:rPr>
          <w:rFonts w:hint="eastAsia" w:ascii="宋体" w:hAnsi="宋体" w:cs="宋体"/>
          <w:b/>
          <w:color w:val="auto"/>
          <w:sz w:val="21"/>
          <w:szCs w:val="21"/>
          <w:highlight w:val="none"/>
          <w:lang w:val="en-US" w:eastAsia="zh-CN"/>
        </w:rPr>
        <w:t xml:space="preserve">1</w:t>
      </w:r>
      <w:r>
        <w:rPr>
          <w:rFonts w:hint="eastAsia" w:ascii="宋体" w:hAnsi="宋体" w:cs="宋体"/>
          <w:b/>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隔离栏杆（高1.15米）及施工。以每米报价。路端防撞柱及施工，栏杆的始末端各一个，价格折算到栏杆单价里。反光轮廓标及安装，每个立柱安装一个，价格折算到栏杆单价里。铸铁底座采用磨具一次性浇筑而成，标有公安字样，整体重量在25kg左右，价格折算到栏杆单价里。</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（1）采用400*300*150的铸铁底座；</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（2）采用80*80*2.0mm热镀锌钢管为立柱；</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（3）采用60*40*3.0mm、63*40*3.0mm热镀锌钢管为上横杆及下横杆；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（4）采用直径18mm圆钢为主体竖杆；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（5）所有钢型材表面做静电喷涂处理；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（6）立柱面两侧安装反光轮廓标；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（7）钢板、镀锌钢板等主要技术性能必须符合GB13013-1991、GB1499-98的相关规定。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（8）防撞板上设置直径800mm交通指示标志，φ140×2500mm热镀锌钢管立柱。</w:t>
      </w:r>
      <w:r/>
    </w:p>
    <w:p>
      <w:pPr>
        <w:ind w:firstLine="420"/>
        <w:spacing w:line="360" w:lineRule="auto"/>
        <w:rPr>
          <w:rFonts w:hint="eastAsia" w:ascii="宋体" w:hAnsi="宋体" w:cs="宋体"/>
          <w:color w:val="auto"/>
          <w:sz w:val="21"/>
          <w:szCs w:val="21"/>
          <w:highlight w:val="none"/>
          <w:lang w:bidi="ar"/>
        </w:rPr>
      </w:pPr>
      <w:r>
        <w:rPr>
          <w:rFonts w:hint="eastAsia" w:ascii="宋体" w:hAnsi="宋体" w:cs="宋体"/>
          <w:color w:val="auto"/>
          <w:sz w:val="21"/>
          <w:szCs w:val="21"/>
          <w:highlight w:val="none"/>
        </w:rPr>
        <w:t xml:space="preserve">（9）隔离护栏材质：管材均为钢管（钢板），护栏整体颜色为RAL 7042交通灰A，具体施工颜色</w:t>
      </w:r>
      <w:r>
        <w:rPr>
          <w:rFonts w:hint="eastAsia" w:ascii="宋体" w:hAnsi="宋体" w:cs="宋体"/>
          <w:color w:val="auto"/>
          <w:sz w:val="21"/>
          <w:szCs w:val="21"/>
          <w:highlight w:val="none"/>
          <w:lang w:bidi="ar"/>
        </w:rPr>
        <w:t xml:space="preserve">需向采购单位申请同意后再投入生产。</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（10）隔离护栏生产及安装工艺：</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a柱帽采用钢制一体柱帽，美观牢固；立柱侧面安装直角黄色反光标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b钢材部件焊接表面波纹均匀，焊接处无夹渣、气孔、脱焊、虚焊、焊穿等现象，钢管表面进行除油、除锈、酸化、清水冲洗、烘干、磷化、喷涂等处理工序；</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c每格护栏焊接成形。不得出现型材弯曲、扭曲、宽窄不一致等现象，保持护栏整体一致性，均匀性；</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d每格护栏焊接后经酸洗、防锈处理，再进行整体热镀锌、打磨及静电喷涂处理。热镀锌厚度不低于60μm，静电喷涂处理，喷涂厚度不低于60μm。护栏构件喷塑层均匀，无疤斑、滴流等表面缺陷；没有剥落、气泡、裂纹、擦伤等缺陷；喷塑层均匀无明显连接痕迹，无熔渣、色泽不一等缺陷；表面光滑、平整，无凹陷、杂质和其他表面缺陷；型材端部清洁、无毛刺。</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e精度要求：护栏构件高度的允许偏差为±10mm；护栏竖杆间距的允许偏差为±5mm；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f隔离护栏立柱自带钢板与基础柱墩进行活接安装，方便以后栏杆受损，拆卸安装。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g所有螺丝螺帽等连接件及其他配件均做镀锌处理，并涂刷防锈漆。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h护栏底座采用铸铁，规格400*300*150(单位：mm)，喷涂油漆，颜色为黑色。</w:t>
      </w:r>
      <w:r/>
    </w:p>
    <w:p>
      <w:pPr>
        <w:ind w:firstLine="420"/>
        <w:spacing w:line="360" w:lineRule="auto"/>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（11）护栏表面应具有耐玷污功能。</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（五）材料要求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1.路面标线所用的材料应符合《路面标线涂料》（JT/T280—20</w:t>
      </w:r>
      <w:r>
        <w:rPr>
          <w:rFonts w:hint="eastAsia" w:ascii="宋体" w:hAnsi="宋体" w:cs="宋体"/>
          <w:color w:val="auto"/>
          <w:sz w:val="21"/>
          <w:szCs w:val="21"/>
          <w:highlight w:val="none"/>
          <w:lang w:val="en-US" w:eastAsia="zh-CN"/>
        </w:rPr>
        <w:t xml:space="preserve">22</w:t>
      </w:r>
      <w:r>
        <w:rPr>
          <w:rFonts w:hint="eastAsia" w:ascii="宋体" w:hAnsi="宋体" w:cs="宋体"/>
          <w:color w:val="auto"/>
          <w:sz w:val="21"/>
          <w:szCs w:val="21"/>
          <w:highlight w:val="none"/>
        </w:rPr>
        <w:t xml:space="preserve">）的规定。无论采用哪一种标线材料，应能满足在沥青混凝土、水泥混凝土路面上耐久使用的要求，且均应有合适的施工机械与之配套。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2.各类涂料的技术要求符合《路面标线涂料》（JT/T280—20</w:t>
      </w:r>
      <w:r>
        <w:rPr>
          <w:rFonts w:hint="eastAsia" w:ascii="宋体" w:hAnsi="宋体" w:cs="宋体"/>
          <w:color w:val="auto"/>
          <w:sz w:val="21"/>
          <w:szCs w:val="21"/>
          <w:highlight w:val="none"/>
          <w:lang w:val="en-US" w:eastAsia="zh-CN"/>
        </w:rPr>
        <w:t xml:space="preserve">22</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3.热熔型涂料用下涂剂（底油）品质应符合下表要求：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下涂剂（底油）品质要求               </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537"/>
        <w:gridCol w:w="2015"/>
        <w:gridCol w:w="1800"/>
        <w:gridCol w:w="2603"/>
      </w:tblGrid>
      <w:tr>
        <w:trPr>
          <w:jc w:val="center"/>
        </w:trPr>
        <w:tc>
          <w:tcPr>
            <w:tcW w:w="2537"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颜色</w:t>
            </w:r>
            <w:r/>
          </w:p>
        </w:tc>
        <w:tc>
          <w:tcPr>
            <w:tcW w:w="201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固体含量（%）</w:t>
            </w:r>
            <w:r/>
          </w:p>
        </w:tc>
        <w:tc>
          <w:tcPr>
            <w:tcW w:w="1800"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涂面量（g/m2）</w:t>
            </w:r>
            <w:r/>
          </w:p>
        </w:tc>
        <w:tc>
          <w:tcPr>
            <w:tcW w:w="260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干燥时间（min）</w:t>
            </w:r>
            <w:r/>
          </w:p>
        </w:tc>
      </w:tr>
      <w:tr>
        <w:trPr>
          <w:jc w:val="center"/>
        </w:trPr>
        <w:tc>
          <w:tcPr>
            <w:tcW w:w="2537" w:type="dxa"/>
            <w:vAlign w:val="center"/>
            <w:textDirection w:val="lrTb"/>
            <w:noWrap w:val="false"/>
          </w:tcPr>
          <w:p>
            <w:pPr>
              <w:ind w:firstLine="0"/>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无色透明或琥珀液体</w:t>
            </w:r>
            <w:r/>
          </w:p>
        </w:tc>
        <w:tc>
          <w:tcPr>
            <w:tcW w:w="2015"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30±5</w:t>
            </w:r>
            <w:r/>
          </w:p>
        </w:tc>
        <w:tc>
          <w:tcPr>
            <w:tcW w:w="1800"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150-200</w:t>
            </w:r>
            <w:r/>
          </w:p>
        </w:tc>
        <w:tc>
          <w:tcPr>
            <w:tcW w:w="2603" w:type="dxa"/>
            <w:vAlign w:val="center"/>
            <w:textDirection w:val="lrTb"/>
            <w:noWrap w:val="false"/>
          </w:tcPr>
          <w:p>
            <w:pPr>
              <w:ind w:firstLine="0"/>
              <w:jc w:val="center"/>
              <w:keepLines w:val="0"/>
              <w:keepNext w:val="0"/>
              <w:pageBreakBefore w:val="0"/>
              <w:spacing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r>
    </w:tbl>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4.玻璃珠的品质要求应符合《路面标线用玻璃珠》（</w:t>
      </w:r>
      <w:r>
        <w:rPr>
          <w:rFonts w:hint="eastAsia" w:ascii="宋体" w:hAnsi="宋体" w:cs="宋体"/>
          <w:color w:val="auto"/>
          <w:sz w:val="21"/>
          <w:szCs w:val="21"/>
          <w:highlight w:val="none"/>
          <w:lang w:val="en-US" w:eastAsia="zh-CN"/>
        </w:rPr>
        <w:t xml:space="preserve">GB</w:t>
      </w:r>
      <w:r>
        <w:rPr>
          <w:rFonts w:hint="eastAsia" w:ascii="宋体" w:hAnsi="宋体" w:cs="宋体"/>
          <w:color w:val="auto"/>
          <w:sz w:val="21"/>
          <w:szCs w:val="21"/>
          <w:highlight w:val="none"/>
        </w:rPr>
        <w:t xml:space="preserve">/T</w:t>
      </w:r>
      <w:r>
        <w:rPr>
          <w:rFonts w:hint="eastAsia" w:ascii="宋体" w:hAnsi="宋体" w:cs="宋体"/>
          <w:color w:val="auto"/>
          <w:sz w:val="21"/>
          <w:szCs w:val="21"/>
          <w:highlight w:val="none"/>
          <w:lang w:val="en-US" w:eastAsia="zh-CN"/>
        </w:rPr>
        <w:t xml:space="preserve">24722</w:t>
      </w:r>
      <w:r>
        <w:rPr>
          <w:rFonts w:hint="eastAsia" w:ascii="宋体" w:hAnsi="宋体" w:cs="宋体"/>
          <w:color w:val="auto"/>
          <w:sz w:val="21"/>
          <w:szCs w:val="21"/>
          <w:highlight w:val="none"/>
        </w:rPr>
        <w:t xml:space="preserve">—20</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5.路面标线涂料的色度性能，其色品坐标和反射比（或亮度因数）应符合《路面标线涂料》（JT/T280—</w:t>
      </w:r>
      <w:r>
        <w:rPr>
          <w:rFonts w:hint="eastAsia" w:ascii="宋体" w:hAnsi="宋体" w:cs="宋体"/>
          <w:color w:val="auto"/>
          <w:sz w:val="21"/>
          <w:szCs w:val="21"/>
          <w:highlight w:val="none"/>
          <w:lang w:val="en-US" w:eastAsia="zh-CN"/>
        </w:rPr>
        <w:t xml:space="preserve">2022</w:t>
      </w:r>
      <w:r>
        <w:rPr>
          <w:rFonts w:hint="eastAsia" w:ascii="宋体" w:hAnsi="宋体" w:cs="宋体"/>
          <w:color w:val="auto"/>
          <w:sz w:val="21"/>
          <w:szCs w:val="21"/>
          <w:highlight w:val="none"/>
        </w:rPr>
        <w:t xml:space="preserve">）中规定的范围。</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6.材料的检验、包装、运输和储存</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（1）材料由生产厂的检验部门按《路面标线涂料》（JT/T280—</w:t>
      </w:r>
      <w:r>
        <w:rPr>
          <w:rFonts w:hint="eastAsia" w:ascii="宋体" w:hAnsi="宋体" w:cs="宋体"/>
          <w:color w:val="auto"/>
          <w:sz w:val="21"/>
          <w:szCs w:val="21"/>
          <w:highlight w:val="none"/>
          <w:lang w:val="en-US" w:eastAsia="zh-CN"/>
        </w:rPr>
        <w:t xml:space="preserve">2022</w:t>
      </w:r>
      <w:r>
        <w:rPr>
          <w:rFonts w:hint="eastAsia" w:ascii="宋体" w:hAnsi="宋体" w:cs="宋体"/>
          <w:color w:val="auto"/>
          <w:sz w:val="21"/>
          <w:szCs w:val="21"/>
          <w:highlight w:val="none"/>
        </w:rPr>
        <w:t xml:space="preserve">）的规定（玻璃应按《路面标线用玻璃珠》（</w:t>
      </w:r>
      <w:r>
        <w:rPr>
          <w:rFonts w:hint="eastAsia" w:ascii="宋体" w:hAnsi="宋体" w:cs="宋体"/>
          <w:color w:val="auto"/>
          <w:sz w:val="21"/>
          <w:szCs w:val="21"/>
          <w:highlight w:val="none"/>
          <w:lang w:val="en-US" w:eastAsia="zh-CN"/>
        </w:rPr>
        <w:t xml:space="preserve">GB</w:t>
      </w:r>
      <w:r>
        <w:rPr>
          <w:rFonts w:hint="eastAsia" w:ascii="宋体" w:hAnsi="宋体" w:cs="宋体"/>
          <w:color w:val="auto"/>
          <w:sz w:val="21"/>
          <w:szCs w:val="21"/>
          <w:highlight w:val="none"/>
        </w:rPr>
        <w:t xml:space="preserve">/T</w:t>
      </w:r>
      <w:r>
        <w:rPr>
          <w:rFonts w:hint="eastAsia" w:ascii="宋体" w:hAnsi="宋体" w:cs="宋体"/>
          <w:color w:val="auto"/>
          <w:sz w:val="21"/>
          <w:szCs w:val="21"/>
          <w:highlight w:val="none"/>
          <w:lang w:val="en-US" w:eastAsia="zh-CN"/>
        </w:rPr>
        <w:t xml:space="preserve">24722</w:t>
      </w:r>
      <w:r>
        <w:rPr>
          <w:rFonts w:hint="eastAsia" w:ascii="宋体" w:hAnsi="宋体" w:cs="宋体"/>
          <w:color w:val="auto"/>
          <w:sz w:val="21"/>
          <w:szCs w:val="21"/>
          <w:highlight w:val="none"/>
        </w:rPr>
        <w:t xml:space="preserve">—20</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rPr>
        <w:t xml:space="preserve">）进行检验，并保证所有出厂产品都应符合规定的技术指标。产品应有合格证，另附有使用说明及注意事项。</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中标后,中标单位应向采购单位提供拟使用来自供应厂商合格的每种材料的样品和使用说明。产品按《涂料产品的取样》(GB3186—1982)的规定进行取样，样品应分两份，一份密封储存备查，另一份作为检验试验之用。样品经试验同意后，作为以后来料比较的依据。</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材料同意使用后，在交货前应对每批预定材料取样，并进行试验。在生产中，必要时采购单位可以在生产过程中取样并进行检验，以保证其符合规定的产品标准。所有试样应明确标出生产厂商的批量编号和生产日期。每次产品装运时应附上与最初提供的样品一致的证明书。</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（4）产品的包装涂料可用内衬密封塑料袋外加编织袋的双层包装袋包装，袋口应严密封闭。</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（5）产品在存放时应保持通风、干燥，防止日光直接照射，并应隔绝火源，夏季温度过高时应设法降温。</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（6）产品在运输时应防止雨淋、日晒，采用集装箱运输，并符合运输部门的有关规定。</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（7）产品应标明贮存期，超过贮存期应接《路面标线涂料》（JT/T280—20</w:t>
      </w:r>
      <w:r>
        <w:rPr>
          <w:rFonts w:hint="eastAsia" w:ascii="宋体" w:hAnsi="宋体" w:cs="宋体"/>
          <w:color w:val="auto"/>
          <w:sz w:val="21"/>
          <w:szCs w:val="21"/>
          <w:highlight w:val="none"/>
          <w:lang w:val="en-US" w:eastAsia="zh-CN"/>
        </w:rPr>
        <w:t xml:space="preserve">22</w:t>
      </w:r>
      <w:r>
        <w:rPr>
          <w:rFonts w:hint="eastAsia" w:ascii="宋体" w:hAnsi="宋体" w:cs="宋体"/>
          <w:color w:val="auto"/>
          <w:sz w:val="21"/>
          <w:szCs w:val="21"/>
          <w:highlight w:val="none"/>
        </w:rPr>
        <w:t xml:space="preserve">）规定的项目进行检验，不合格的不得使用。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玻璃珠的包装、标志、运输及贮存应符合《路面标线用玻璃珠》（</w:t>
      </w:r>
      <w:r>
        <w:rPr>
          <w:rFonts w:hint="eastAsia" w:ascii="宋体" w:hAnsi="宋体" w:cs="宋体"/>
          <w:color w:val="auto"/>
          <w:sz w:val="21"/>
          <w:szCs w:val="21"/>
          <w:highlight w:val="none"/>
          <w:lang w:val="en-US" w:eastAsia="zh-CN"/>
        </w:rPr>
        <w:t xml:space="preserve">GB</w:t>
      </w:r>
      <w:r>
        <w:rPr>
          <w:rFonts w:hint="eastAsia" w:ascii="宋体" w:hAnsi="宋体" w:cs="宋体"/>
          <w:color w:val="auto"/>
          <w:sz w:val="21"/>
          <w:szCs w:val="21"/>
          <w:highlight w:val="none"/>
        </w:rPr>
        <w:t xml:space="preserve">/T</w:t>
      </w:r>
      <w:r>
        <w:rPr>
          <w:rFonts w:hint="eastAsia" w:ascii="宋体" w:hAnsi="宋体" w:cs="宋体"/>
          <w:color w:val="auto"/>
          <w:sz w:val="21"/>
          <w:szCs w:val="21"/>
          <w:highlight w:val="none"/>
          <w:lang w:val="en-US" w:eastAsia="zh-CN"/>
        </w:rPr>
        <w:t xml:space="preserve">24722</w:t>
      </w:r>
      <w:r>
        <w:rPr>
          <w:rFonts w:hint="eastAsia" w:ascii="宋体" w:hAnsi="宋体" w:cs="宋体"/>
          <w:color w:val="auto"/>
          <w:sz w:val="21"/>
          <w:szCs w:val="21"/>
          <w:highlight w:val="none"/>
        </w:rPr>
        <w:t xml:space="preserve">—20</w:t>
      </w:r>
      <w:r>
        <w:rPr>
          <w:rFonts w:hint="eastAsia" w:ascii="宋体" w:hAnsi="宋体" w:cs="宋体"/>
          <w:color w:val="auto"/>
          <w:sz w:val="21"/>
          <w:szCs w:val="21"/>
          <w:highlight w:val="none"/>
          <w:lang w:val="en-US" w:eastAsia="zh-CN"/>
        </w:rPr>
        <w:t xml:space="preserve">20</w:t>
      </w:r>
      <w:r>
        <w:rPr>
          <w:rFonts w:hint="eastAsia" w:ascii="宋体" w:hAnsi="宋体" w:cs="宋体"/>
          <w:color w:val="auto"/>
          <w:sz w:val="21"/>
          <w:szCs w:val="21"/>
          <w:highlight w:val="none"/>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7.涂料试验</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（1）采购单位可提前指示中标单位按《路面标线涂料》（JT/T280—</w:t>
      </w:r>
      <w:r>
        <w:rPr>
          <w:rFonts w:hint="eastAsia" w:ascii="宋体" w:hAnsi="宋体" w:cs="宋体"/>
          <w:color w:val="auto"/>
          <w:sz w:val="21"/>
          <w:szCs w:val="21"/>
          <w:highlight w:val="none"/>
          <w:lang w:val="en-US" w:eastAsia="zh-CN"/>
        </w:rPr>
        <w:t xml:space="preserve">2022</w:t>
      </w:r>
      <w:r>
        <w:rPr>
          <w:rFonts w:hint="eastAsia" w:ascii="宋体" w:hAnsi="宋体" w:cs="宋体"/>
          <w:color w:val="auto"/>
          <w:sz w:val="21"/>
          <w:szCs w:val="21"/>
          <w:highlight w:val="none"/>
        </w:rPr>
        <w:t xml:space="preserve">）规定的试验方法，并按照《路面标线涂料》（JT/T280—</w:t>
      </w:r>
      <w:r>
        <w:rPr>
          <w:rFonts w:hint="eastAsia" w:ascii="宋体" w:hAnsi="宋体" w:cs="宋体"/>
          <w:color w:val="auto"/>
          <w:sz w:val="21"/>
          <w:szCs w:val="21"/>
          <w:highlight w:val="none"/>
          <w:lang w:val="en-US" w:eastAsia="zh-CN"/>
        </w:rPr>
        <w:t xml:space="preserve">2022</w:t>
      </w:r>
      <w:r>
        <w:rPr>
          <w:rFonts w:hint="eastAsia" w:ascii="宋体" w:hAnsi="宋体" w:cs="宋体"/>
          <w:color w:val="auto"/>
          <w:sz w:val="21"/>
          <w:szCs w:val="21"/>
          <w:highlight w:val="none"/>
        </w:rPr>
        <w:t xml:space="preserve">）的质量要求进行试验，以确定材料是否合格。并在采购单位指定的地段进行实地试验，以便汲取经验。</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（2）热熔涂料敷于路面上使用24个月（缺陷责任期、保修期）后应无明显退色和剥落。</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（3）为了使施工中质量有所控制，应用湿膜厚度梳子校核道路路面的湿膜厚度，或用采购单位同意的其他方法进行校核。</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a.在湿膜涂层或放在金属试件上后，立即将梳子仔细垂直放入湿膜内。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b.将梳子量规在湿膜内稳固地保持5-10s，然后垂直地将其取出。</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c.定出湿膜厚度梳子量规尖头覆盖着的材料。为了准确测量湿膜厚度，湿漆必须触及量规中刻有规定厚度的尖头，而不触及刻有下一较高厚度的尖头。</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（六）路面标线施工要求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根据甲方提出的施工需求，施工单位需要经过实地查看，对建设方案进行初步设计，提供有资质单位设计的建设方案，方案待甲方确认后方可施工。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施工过程中涉及到的开挖、设施占用、补偿、修复等工作手续、费用等由中标单位负责。</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1.设置标线的路面表面应清洁干燥，无松散颗粒、灰尘、沥青、油污或其他有害物质。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2.在水泥路面或旧的沥青路面施加标线需要预涂底油时，应先喷涂热熔底油下涂剂，按试验决定的间隔时间喷涂热熔涂料，以提高其粘结力。</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3.为了确保标线涂料和路面材料完全相适应，底油的类型和用量应经采购单位批准。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4.标线的颜色为白色、黄色、蓝色等，应符合《路面标线涂料》（JT／T280－</w:t>
      </w:r>
      <w:r>
        <w:rPr>
          <w:rFonts w:hint="eastAsia" w:ascii="宋体" w:hAnsi="宋体" w:cs="宋体"/>
          <w:color w:val="auto"/>
          <w:sz w:val="21"/>
          <w:szCs w:val="21"/>
          <w:highlight w:val="none"/>
          <w:lang w:val="en-US" w:eastAsia="zh-CN"/>
        </w:rPr>
        <w:t xml:space="preserve">2022</w:t>
      </w:r>
      <w:r>
        <w:rPr>
          <w:rFonts w:hint="eastAsia" w:ascii="宋体" w:hAnsi="宋体" w:cs="宋体"/>
          <w:color w:val="auto"/>
          <w:sz w:val="21"/>
          <w:szCs w:val="21"/>
          <w:highlight w:val="none"/>
        </w:rPr>
        <w:t xml:space="preserve">）的要求，并按采购单位同意的方法施工。喷涂机具应使用自行式机械。</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5.标线宽度、虚线长及间隔、点线长及间隔、双标线的间隔，应按《道路交通标志和标线》（GB 5768.3一2009）规定办理。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6.特殊标线的图案、标记，如箭头及字母等的尺寸应按图纸要求和《道路交通标志和标线》（GB 5768.3一2009）规定办理。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7.所有标线应具有顺直、平顺、光洁、均匀及精美外观；湿膜厚度符合图纸要求，否则，应由中标单位予以更正并经采购单位同意，费用由中标单位自负。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8.有缺陷的、施工不当、尺寸不正确或位置错误的标线均应清除，路面应修补，材料应更换，并经采购单位同意，其费用由中标单位自理。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9.涂料在容器内加热时，温度应控制在涂料生产商的使用说明规定值内，不得超过最高限制温度。烃树脂类材料，保持在熔融状态的时间不大于6h；树胶树脂类材料，保持在熔融状态的时间不大于4h。</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10.涂料喷涂于路面时的温度，应符合涂料生产商提供的使用说明的要求，否则会影响喷涂使用寿命。</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11.喷涂施工应在白天进行，雨天、尘埃大、风大、温度低于10℃时应暂时停止施工。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12.玻璃珠的撒布应经试验并获采购单位的批准方可实施。撒布玻璃珠应在涂料喷涂后立即进行，以0.3kg/m2的用量加压撒布在所有标线上。</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13.喷涂标线时，应有交通安全措施，设置适当警告标志，阻止车辆及行人在作业区内通行，防止将涂料带出或形成车辙，直至标线充分干燥。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振荡标线是在路面上一次成型长方形排骨式突起的高亮度道路标线，是一种即使在雨天也能取得超群的高视认性，在汽车压线的瞬间引起轻快的振动以提醒司机注意安全、防止越线的新型产品。具体施工工艺为：</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（1）路面处理：先除去路面泥土、土埃等杂物，如果含有水分应用喷枪进行干燥；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（2）底漆撒布：使用专门设备按热熔型标线涂料的规定用量均匀撒布；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（3）振荡标线的涂敷：往热熔中投入专门材料在充分搅拌的条件下使之完全溶解；在确认底漆完全干燥后，使用专用划线机在170-210℃之间进行涂敷施工；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（4）玻璃微珠的撒布：使用与划线机一体的撒布器在涂敷施工后随即撒布玻璃微珠；</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（5）确认涂料充分冷却、固化后，即可开放车辆的通行。</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（6）振荡标线的规格以设计图纸为准，设计图纸未明确的，振荡标线突起部分的高度为4-7mm，宽度为50mm，每两个突起部分设置间距在300-500mm，振荡标线的基础标线在1.5-2mm。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15.全天候（雨夜）反光标线、长效Ⅱ型Ⅰ级反光道路预成标线带等应严格按产品使用说明施工，以保证使用效果；绿色减速带、彩色防滑路面等特殊交通标线应委托专业队伍施工。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16.热熔型喷涂汉字施工（包括车型图案等），制作所需汉字模板，大小为80*80（cm）（图案不小于120*80cm）。</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（七）交通标线清除施工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1.要求使用水除线，具有一定的施工工艺说明。</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2.清除后应当使用与道路颜色一致的沥青等材料进行覆盖。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3.清除后的标线不得留有明显痕迹，不得影响驾驶员观看。</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4.施工垃圾应当按照规定进行收集，按照规定处理，禁止施工材料随意堆放、丢弃。</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（八）其他材料及施工要求</w:t>
      </w:r>
      <w:r/>
    </w:p>
    <w:p>
      <w:pPr>
        <w:pStyle w:val="952"/>
        <w:ind w:right="0" w:firstLine="420"/>
        <w:spacing w:line="360" w:lineRule="auto"/>
        <w:rPr>
          <w:rFonts w:hint="eastAsia" w:ascii="宋体" w:hAnsi="宋体" w:cs="宋体"/>
          <w:color w:val="auto"/>
          <w:spacing w:val="0"/>
          <w:szCs w:val="21"/>
          <w:highlight w:val="none"/>
        </w:rPr>
      </w:pPr>
      <w:r>
        <w:rPr>
          <w:rFonts w:hint="eastAsia" w:ascii="宋体" w:hAnsi="宋体" w:cs="宋体"/>
          <w:color w:val="auto"/>
          <w:spacing w:val="0"/>
          <w:szCs w:val="21"/>
          <w:highlight w:val="none"/>
        </w:rPr>
        <w:t xml:space="preserve">1.彩色路面（右转危险区标线），颜色分为红色、蓝色等，施工前清除沥青路面砂石、尘土等附着物，将底胶、固化剂按比例计量后均匀搅拌，及时刮涂到路面，然后将陶粒散布在底胶上，增加反光微珠，提高反光效果；整体厚度不得小于3mm。</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2.热熔型彩色陶瓷防滑路面，颜色分为红色、黄色、绿色、蓝色等，是将陶瓷颗粒和特殊热塑性树脂混合的粉末涂料放入热熔釜中以 190~210℃加热熔化后，涂装在路面自然冷却硬化的新型速干型防滑材料。具有振动作用，在路面上形成至少厚度4mm的突起面层，使车辆通过瞬间产生轻快振动，提醒司机减速行驶。具有防滑性，通过加入颗粒等特殊工艺，使硬质骨材表面形成突起，提高减速时的防滑效果。具有彩色化，丰富的色彩，使道路更美观，标识更醒目，行程更安全。</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（九）质量检验</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1.检查项目</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路面标线检查项目</w:t>
      </w:r>
      <w:r/>
    </w:p>
    <w:tbl>
      <w:tblPr>
        <w:tblStyle w:val="947"/>
        <w:tblW w:w="0" w:type="auto"/>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9"/>
        <w:gridCol w:w="873"/>
        <w:gridCol w:w="1632"/>
        <w:gridCol w:w="2127"/>
        <w:gridCol w:w="2767"/>
        <w:gridCol w:w="1004"/>
      </w:tblGrid>
      <w:tr>
        <w:trPr/>
        <w:tc>
          <w:tcPr>
            <w:tcW w:w="65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项次</w:t>
            </w:r>
            <w:r/>
          </w:p>
        </w:tc>
        <w:tc>
          <w:tcPr>
            <w:gridSpan w:val="2"/>
            <w:tcW w:w="250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检查项目</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规定值或允许偏差</w:t>
            </w:r>
            <w:r/>
          </w:p>
        </w:tc>
        <w:tc>
          <w:tcPr>
            <w:tcW w:w="276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检查方法和频率</w:t>
            </w:r>
            <w:r/>
          </w:p>
        </w:tc>
        <w:tc>
          <w:tcPr>
            <w:tcW w:w="1004"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权值</w:t>
            </w:r>
            <w:r/>
          </w:p>
        </w:tc>
      </w:tr>
      <w:tr>
        <w:trPr>
          <w:cantSplit/>
        </w:trPr>
        <w:tc>
          <w:tcPr>
            <w:tcW w:w="659"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873"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标线</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线段</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长度</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（mm）</w:t>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6000</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±50</w:t>
            </w:r>
            <w:r/>
          </w:p>
        </w:tc>
        <w:tc>
          <w:tcPr>
            <w:tcW w:w="2767" w:type="dxa"/>
            <w:vAlign w:val="center"/>
            <w:vMerge w:val="restart"/>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钢卷尺：抽检10%</w:t>
            </w:r>
            <w:r/>
          </w:p>
        </w:tc>
        <w:tc>
          <w:tcPr>
            <w:tcW w:w="1004"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cantSplit/>
        </w:trPr>
        <w:tc>
          <w:tcPr>
            <w:tcW w:w="65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73"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w:t>
            </w:r>
            <w:r/>
          </w:p>
        </w:tc>
        <w:tc>
          <w:tcPr>
            <w:tcW w:w="2767" w:type="dxa"/>
            <w:vAlign w:val="center"/>
            <w:vMerge w:val="continue"/>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04"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trPr>
        <w:tc>
          <w:tcPr>
            <w:tcW w:w="65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73"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W w:w="2767" w:type="dxa"/>
            <w:vAlign w:val="center"/>
            <w:vMerge w:val="continue"/>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04"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trPr>
        <w:tc>
          <w:tcPr>
            <w:tcW w:w="65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73"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1000-2000</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tcW w:w="2767" w:type="dxa"/>
            <w:vAlign w:val="center"/>
            <w:vMerge w:val="continue"/>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04"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trPr>
        <w:tc>
          <w:tcPr>
            <w:tcW w:w="659"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873"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标线</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宽度</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（mm）</w:t>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400-450</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+15,0</w:t>
            </w:r>
            <w:r/>
          </w:p>
        </w:tc>
        <w:tc>
          <w:tcPr>
            <w:tcW w:w="2767" w:type="dxa"/>
            <w:vAlign w:val="center"/>
            <w:vMerge w:val="restart"/>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钢卷尺：抽检10%</w:t>
            </w:r>
            <w:r/>
          </w:p>
        </w:tc>
        <w:tc>
          <w:tcPr>
            <w:tcW w:w="1004"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cantSplit/>
        </w:trPr>
        <w:tc>
          <w:tcPr>
            <w:tcW w:w="65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73"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150-200</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+8,0</w:t>
            </w:r>
            <w:r/>
          </w:p>
        </w:tc>
        <w:tc>
          <w:tcPr>
            <w:tcW w:w="2767" w:type="dxa"/>
            <w:vAlign w:val="center"/>
            <w:vMerge w:val="continue"/>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04"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trPr>
        <w:tc>
          <w:tcPr>
            <w:tcW w:w="65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73"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100</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+5,0</w:t>
            </w:r>
            <w:r/>
          </w:p>
        </w:tc>
        <w:tc>
          <w:tcPr>
            <w:tcW w:w="2767" w:type="dxa"/>
            <w:vAlign w:val="center"/>
            <w:vMerge w:val="continue"/>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04"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trPr>
        <w:tc>
          <w:tcPr>
            <w:tcW w:w="659"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873"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标线</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厚度</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（mm）</w:t>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常温型（0.12-0.2）</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-0.03,+0.10</w:t>
            </w:r>
            <w:r/>
          </w:p>
        </w:tc>
        <w:tc>
          <w:tcPr>
            <w:tcW w:w="2767" w:type="dxa"/>
            <w:vAlign w:val="center"/>
            <w:vMerge w:val="restart"/>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无论采用何钟形式级配沥青砼，标线厚度从路面顶面起计</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涂膜厚度计：干膜用水平尺、塞尺或用卡尺，抽栓10%</w:t>
            </w:r>
            <w:r/>
          </w:p>
        </w:tc>
        <w:tc>
          <w:tcPr>
            <w:tcW w:w="1004"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r>
      <w:tr>
        <w:trPr>
          <w:cantSplit/>
        </w:trPr>
        <w:tc>
          <w:tcPr>
            <w:tcW w:w="65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73"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加热型（0.20-0.4）</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-0.05,+0.15</w:t>
            </w:r>
            <w:r/>
          </w:p>
        </w:tc>
        <w:tc>
          <w:tcPr>
            <w:tcW w:w="2767" w:type="dxa"/>
            <w:vAlign w:val="center"/>
            <w:vMerge w:val="continue"/>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04"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trPr>
        <w:tc>
          <w:tcPr>
            <w:tcW w:w="65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73"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热熔型（1.4-4.5）</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不小于1.8</w:t>
            </w:r>
            <w:r/>
          </w:p>
        </w:tc>
        <w:tc>
          <w:tcPr>
            <w:tcW w:w="2767" w:type="dxa"/>
            <w:vAlign w:val="center"/>
            <w:vMerge w:val="continue"/>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04"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c>
          <w:tcPr>
            <w:tcW w:w="65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gridSpan w:val="2"/>
            <w:tcW w:w="250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标线横线偏位（mm）</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W w:w="276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钢卷尺：抽检10%</w:t>
            </w:r>
            <w:r/>
          </w:p>
        </w:tc>
        <w:tc>
          <w:tcPr>
            <w:tcW w:w="1004"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cantSplit/>
        </w:trPr>
        <w:tc>
          <w:tcPr>
            <w:tcW w:w="659"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873"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标线</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纵向</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间距</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（mm）</w:t>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9000</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±45</w:t>
            </w:r>
            <w:r/>
          </w:p>
        </w:tc>
        <w:tc>
          <w:tcPr>
            <w:tcW w:w="2767" w:type="dxa"/>
            <w:vAlign w:val="center"/>
            <w:vMerge w:val="restart"/>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钢卷尺：抽检10%</w:t>
            </w:r>
            <w:r/>
          </w:p>
        </w:tc>
        <w:tc>
          <w:tcPr>
            <w:tcW w:w="1004" w:type="dxa"/>
            <w:vAlign w:val="center"/>
            <w:vMerge w:val="restart"/>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cantSplit/>
        </w:trPr>
        <w:tc>
          <w:tcPr>
            <w:tcW w:w="65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73"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6000</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W w:w="2767" w:type="dxa"/>
            <w:vAlign w:val="center"/>
            <w:vMerge w:val="continue"/>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04"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trPr>
        <w:tc>
          <w:tcPr>
            <w:tcW w:w="65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73"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4000</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tcW w:w="2767" w:type="dxa"/>
            <w:vAlign w:val="center"/>
            <w:vMerge w:val="continue"/>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04"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trPr>
        <w:tc>
          <w:tcPr>
            <w:tcW w:w="659"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73"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63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3000</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W w:w="2767" w:type="dxa"/>
            <w:vAlign w:val="center"/>
            <w:vMerge w:val="continue"/>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04" w:type="dxa"/>
            <w:vAlign w:val="center"/>
            <w:vMerge w:val="continue"/>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c>
          <w:tcPr>
            <w:tcW w:w="65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gridSpan w:val="2"/>
            <w:tcW w:w="250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标线剥落面积</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检查总面积的0-43%</w:t>
            </w:r>
            <w:r/>
          </w:p>
        </w:tc>
        <w:tc>
          <w:tcPr>
            <w:tcW w:w="276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4倍放大镜：目测检查</w:t>
            </w:r>
            <w:r/>
          </w:p>
        </w:tc>
        <w:tc>
          <w:tcPr>
            <w:tcW w:w="1004"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r>
      <w:tr>
        <w:trPr/>
        <w:tc>
          <w:tcPr>
            <w:tcW w:w="65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gridSpan w:val="2"/>
            <w:tcW w:w="250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反光标线逆反射系数</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cd·1x-1·m-2）</w:t>
            </w:r>
            <w:r/>
          </w:p>
        </w:tc>
        <w:tc>
          <w:tcPr>
            <w:tcW w:w="212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白色标线≥150</w:t>
            </w:r>
            <w:r/>
          </w:p>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黄色标线≥100</w:t>
            </w:r>
            <w:r/>
          </w:p>
        </w:tc>
        <w:tc>
          <w:tcPr>
            <w:tcW w:w="2767"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反光标线逆反射系数测量仪：抽检10%</w:t>
            </w:r>
            <w:r/>
          </w:p>
        </w:tc>
        <w:tc>
          <w:tcPr>
            <w:tcW w:w="1004"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r>
    </w:tbl>
    <w:p>
      <w:pPr>
        <w:ind w:firstLine="422"/>
        <w:spacing w:line="360" w:lineRule="auto"/>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rPr>
        <w:t xml:space="preserve">（十）施工</w:t>
      </w:r>
      <w:r>
        <w:rPr>
          <w:rFonts w:hint="eastAsia" w:ascii="宋体" w:hAnsi="宋体" w:cs="宋体"/>
          <w:b/>
          <w:color w:val="auto"/>
          <w:sz w:val="21"/>
          <w:szCs w:val="21"/>
          <w:highlight w:val="none"/>
          <w:lang w:val="en-US" w:eastAsia="zh-CN"/>
        </w:rPr>
        <w:t xml:space="preserve">现场管理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现场安全：</w:t>
      </w:r>
      <w:r>
        <w:rPr>
          <w:rFonts w:hint="eastAsia" w:ascii="宋体" w:hAnsi="宋体" w:cs="宋体"/>
          <w:color w:val="auto"/>
          <w:sz w:val="21"/>
          <w:szCs w:val="21"/>
          <w:highlight w:val="none"/>
        </w:rPr>
        <w:t xml:space="preserve">施工方应当注意施工安全，施工人员穿着醒目工作服，按要求设置好交通安全防护设施，防止施工人员或者过往车辆、行人发生意外事故，施工过程中发生的安全事故责任，由施工方承担。施工过程中必须待到标线完全凝固才可放开交通通行，不得引起标线材料喷溅到其它车辆、行人等情况。</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施工垃圾处理：</w:t>
      </w:r>
      <w:r>
        <w:rPr>
          <w:rFonts w:hint="eastAsia" w:ascii="宋体" w:hAnsi="宋体" w:cs="宋体"/>
          <w:color w:val="auto"/>
          <w:sz w:val="21"/>
          <w:szCs w:val="21"/>
          <w:highlight w:val="none"/>
        </w:rPr>
        <w:t xml:space="preserve">施工垃圾应当按照规定进行收集，按照规定处理，禁止施工材料随意堆放、丢弃。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3.施工进度要求：根据建设方要求，接到施工任务后，一天内响应，并将施工计划报建设方，未按照施工进度完成的应当书面报情况说明，无合理理由的根据合同内容进行相应处罚。</w:t>
      </w:r>
      <w:r/>
    </w:p>
    <w:p>
      <w:pPr>
        <w:ind w:firstLine="42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资料归档：</w:t>
      </w:r>
      <w:r>
        <w:rPr>
          <w:rFonts w:hint="eastAsia" w:ascii="宋体" w:hAnsi="宋体" w:cs="宋体"/>
          <w:color w:val="auto"/>
          <w:sz w:val="21"/>
          <w:szCs w:val="21"/>
          <w:highlight w:val="none"/>
        </w:rPr>
        <w:t xml:space="preserve">施工方必须根据采购单位、监理单位要求进行资料整理，所有标线施划时必须拍摄并保存同一角度前后对比照片，并记录签证单。</w:t>
      </w:r>
      <w:r/>
    </w:p>
    <w:p>
      <w:pPr>
        <w:ind w:firstLine="422"/>
        <w:spacing w:line="360" w:lineRule="auto"/>
        <w:rPr>
          <w:rFonts w:hint="default" w:ascii="宋体" w:hAnsi="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（十一）人员与设备要求</w:t>
      </w:r>
      <w:r/>
    </w:p>
    <w:p>
      <w:pPr>
        <w:pStyle w:val="968"/>
        <w:ind w:firstLine="420"/>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eastAsia="宋体" w:cs="宋体"/>
          <w:b w:val="0"/>
          <w:bCs w:val="0"/>
          <w:color w:val="auto"/>
          <w:sz w:val="21"/>
          <w:szCs w:val="21"/>
          <w:highlight w:val="none"/>
          <w:lang w:val="en-US" w:eastAsia="zh-CN"/>
        </w:rPr>
        <w:t xml:space="preserve">1、人员要求：</w:t>
      </w:r>
      <w:r>
        <w:rPr>
          <w:rFonts w:hint="eastAsia" w:ascii="宋体" w:hAnsi="宋体" w:eastAsia="宋体" w:cs="宋体"/>
          <w:b/>
          <w:bCs/>
          <w:color w:val="auto"/>
          <w:sz w:val="21"/>
          <w:szCs w:val="21"/>
          <w:highlight w:val="none"/>
          <w:lang w:val="en-US" w:eastAsia="zh-CN"/>
        </w:rPr>
        <w:t xml:space="preserve">响应单位拟投入本项目的人员不应少于</w:t>
      </w:r>
      <w:r>
        <w:rPr>
          <w:rFonts w:hint="eastAsia"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en-US" w:eastAsia="zh-CN"/>
        </w:rPr>
        <w:t xml:space="preserve">人，其中：</w:t>
      </w:r>
      <w:r/>
    </w:p>
    <w:p>
      <w:pPr>
        <w:ind w:right="0" w:firstLine="420"/>
        <w:keepLines w:val="0"/>
        <w:keepNext w:val="0"/>
        <w:pageBreakBefore w:val="0"/>
        <w:spacing w:line="360" w:lineRule="auto"/>
        <w:widowControl/>
        <w:rPr>
          <w:rFonts w:hint="eastAsia" w:ascii="宋体" w:hAnsi="宋体" w:eastAsia="宋体" w:cs="宋体"/>
          <w:b w:val="0"/>
          <w:bCs w:val="0"/>
          <w:i w:val="0"/>
          <w:iCs w:val="0"/>
          <w:caps w:val="0"/>
          <w:color w:val="auto"/>
          <w:spacing w:val="0"/>
          <w:sz w:val="21"/>
          <w:szCs w:val="21"/>
          <w:highlight w:val="none"/>
          <w:shd w:val="clear" w:color="auto" w:fill="ffffff"/>
          <w:lang w:eastAsia="zh-CN"/>
        </w:rPr>
      </w:pP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项目负责人1人，</w:t>
      </w:r>
      <w:r>
        <w:rPr>
          <w:rFonts w:hint="eastAsia" w:ascii="宋体" w:hAnsi="宋体" w:cs="宋体"/>
          <w:b w:val="0"/>
          <w:bCs w:val="0"/>
          <w:color w:val="auto"/>
          <w:sz w:val="21"/>
          <w:szCs w:val="21"/>
          <w:highlight w:val="none"/>
          <w:lang w:val="en-US" w:eastAsia="zh-CN"/>
        </w:rPr>
        <w:t xml:space="preserve">技术负责人1人。</w:t>
      </w:r>
      <w:r>
        <w:rPr>
          <w:rFonts w:hint="eastAsia" w:ascii="宋体" w:hAnsi="宋体" w:eastAsia="宋体" w:cs="宋体"/>
          <w:b w:val="0"/>
          <w:bCs w:val="0"/>
          <w:color w:val="auto"/>
          <w:sz w:val="21"/>
          <w:szCs w:val="21"/>
          <w:highlight w:val="none"/>
          <w:lang w:eastAsia="zh-CN"/>
        </w:rPr>
        <w:t xml:space="preserve">负责本项目的整体管理及项目</w:t>
      </w:r>
      <w:r>
        <w:rPr>
          <w:rFonts w:hint="eastAsia" w:ascii="宋体" w:hAnsi="宋体" w:eastAsia="宋体" w:cs="宋体"/>
          <w:b w:val="0"/>
          <w:bCs w:val="0"/>
          <w:i w:val="0"/>
          <w:iCs w:val="0"/>
          <w:caps w:val="0"/>
          <w:color w:val="auto"/>
          <w:spacing w:val="0"/>
          <w:sz w:val="21"/>
          <w:szCs w:val="21"/>
          <w:highlight w:val="none"/>
          <w:shd w:val="clear" w:color="auto" w:fill="ffffff"/>
        </w:rPr>
        <w:t xml:space="preserve">质量控制、进度控制、成本控制和安全控制</w:t>
      </w:r>
      <w:r>
        <w:rPr>
          <w:rFonts w:hint="eastAsia" w:ascii="宋体" w:hAnsi="宋体" w:eastAsia="宋体" w:cs="宋体"/>
          <w:b w:val="0"/>
          <w:bCs w:val="0"/>
          <w:i w:val="0"/>
          <w:iCs w:val="0"/>
          <w:caps w:val="0"/>
          <w:color w:val="auto"/>
          <w:spacing w:val="0"/>
          <w:sz w:val="21"/>
          <w:szCs w:val="21"/>
          <w:highlight w:val="none"/>
          <w:shd w:val="clear" w:color="auto" w:fill="ffffff"/>
          <w:lang w:eastAsia="zh-CN"/>
        </w:rPr>
        <w:t xml:space="preserve">工作，</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人员</w:t>
      </w:r>
      <w:r>
        <w:rPr>
          <w:rFonts w:hint="eastAsia" w:ascii="宋体" w:hAnsi="宋体" w:eastAsia="宋体" w:cs="宋体"/>
          <w:b w:val="0"/>
          <w:bCs w:val="0"/>
          <w:i w:val="0"/>
          <w:iCs w:val="0"/>
          <w:caps w:val="0"/>
          <w:color w:val="auto"/>
          <w:spacing w:val="0"/>
          <w:sz w:val="21"/>
          <w:szCs w:val="21"/>
          <w:highlight w:val="none"/>
          <w:shd w:val="clear" w:color="auto" w:fill="ffffff"/>
          <w:lang w:eastAsia="zh-CN"/>
        </w:rPr>
        <w:t xml:space="preserve">应具备较强的</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交通类</w:t>
      </w:r>
      <w:r>
        <w:rPr>
          <w:rFonts w:hint="eastAsia" w:ascii="宋体" w:hAnsi="宋体" w:eastAsia="宋体" w:cs="宋体"/>
          <w:b w:val="0"/>
          <w:bCs w:val="0"/>
          <w:i w:val="0"/>
          <w:iCs w:val="0"/>
          <w:caps w:val="0"/>
          <w:color w:val="auto"/>
          <w:spacing w:val="0"/>
          <w:sz w:val="21"/>
          <w:szCs w:val="21"/>
          <w:highlight w:val="none"/>
          <w:shd w:val="clear" w:color="auto" w:fill="ffffff"/>
          <w:lang w:eastAsia="zh-CN"/>
        </w:rPr>
        <w:t xml:space="preserve">专业知识，熟悉本项目相关</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rPr>
        <w:t xml:space="preserve">的</w:t>
      </w:r>
      <w:r>
        <w:rPr>
          <w:rFonts w:hint="eastAsia" w:ascii="宋体" w:hAnsi="宋体" w:eastAsia="宋体" w:cs="宋体"/>
          <w:b w:val="0"/>
          <w:bCs w:val="0"/>
          <w:i w:val="0"/>
          <w:iCs w:val="0"/>
          <w:caps w:val="0"/>
          <w:color w:val="auto"/>
          <w:spacing w:val="0"/>
          <w:sz w:val="21"/>
          <w:szCs w:val="21"/>
          <w:highlight w:val="none"/>
          <w:shd w:val="clear" w:color="auto" w:fill="ffffff"/>
          <w:lang w:eastAsia="zh-CN"/>
        </w:rPr>
        <w:t xml:space="preserve">法规、规范及标准。</w:t>
      </w:r>
      <w:r/>
    </w:p>
    <w:p>
      <w:pPr>
        <w:ind w:firstLine="420"/>
        <w:spacing w:line="360" w:lineRule="auto"/>
        <w:rPr>
          <w:rFonts w:hint="default" w:ascii="宋体" w:hAnsi="宋体" w:eastAsia="宋体" w:cs="宋体"/>
          <w:b/>
          <w:bCs/>
          <w:color w:val="auto"/>
          <w:sz w:val="21"/>
          <w:szCs w:val="21"/>
          <w:highlight w:val="none"/>
        </w:rPr>
      </w:pPr>
      <w:r>
        <w:rPr>
          <w:rFonts w:hint="eastAsia"/>
          <w:color w:val="auto"/>
          <w:sz w:val="21"/>
          <w:szCs w:val="21"/>
          <w:highlight w:val="none"/>
        </w:rPr>
        <w:t xml:space="preserve">（2）</w:t>
      </w:r>
      <w:r>
        <w:rPr>
          <w:rFonts w:hint="eastAsia"/>
          <w:b/>
          <w:bCs/>
          <w:color w:val="auto"/>
          <w:sz w:val="21"/>
          <w:szCs w:val="21"/>
          <w:highlight w:val="none"/>
        </w:rPr>
        <w:t xml:space="preserve">项目组成员：不少于</w:t>
      </w:r>
      <w:r>
        <w:rPr>
          <w:rFonts w:hint="eastAsia"/>
          <w:b/>
          <w:bCs/>
          <w:color w:val="auto"/>
          <w:sz w:val="21"/>
          <w:szCs w:val="21"/>
          <w:highlight w:val="none"/>
          <w:lang w:val="en-US" w:eastAsia="zh-CN"/>
        </w:rPr>
        <w:t xml:space="preserve">4</w:t>
      </w:r>
      <w:r>
        <w:rPr>
          <w:rFonts w:hint="eastAsia"/>
          <w:b/>
          <w:bCs/>
          <w:color w:val="auto"/>
          <w:sz w:val="21"/>
          <w:szCs w:val="21"/>
          <w:highlight w:val="none"/>
        </w:rPr>
        <w:t xml:space="preserve">人，</w:t>
      </w:r>
      <w:r>
        <w:rPr>
          <w:rFonts w:hint="eastAsia"/>
          <w:b/>
          <w:bCs/>
          <w:color w:val="auto"/>
          <w:sz w:val="21"/>
          <w:szCs w:val="21"/>
          <w:highlight w:val="none"/>
          <w:lang w:val="en-US" w:eastAsia="zh-CN"/>
        </w:rPr>
        <w:t xml:space="preserve">其中</w:t>
      </w:r>
      <w:r>
        <w:rPr>
          <w:rFonts w:hint="eastAsia"/>
          <w:b/>
          <w:bCs/>
          <w:color w:val="auto"/>
          <w:sz w:val="21"/>
          <w:szCs w:val="21"/>
          <w:highlight w:val="none"/>
        </w:rPr>
        <w:t xml:space="preserve">安全员1名</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持安全员证书</w:t>
      </w:r>
      <w:r>
        <w:rPr>
          <w:rFonts w:hint="eastAsia"/>
          <w:b/>
          <w:bCs/>
          <w:color w:val="auto"/>
          <w:sz w:val="21"/>
          <w:szCs w:val="21"/>
          <w:highlight w:val="none"/>
          <w:lang w:eastAsia="zh-CN"/>
        </w:rPr>
        <w:t xml:space="preserve">）</w:t>
      </w:r>
      <w:r>
        <w:rPr>
          <w:rFonts w:hint="eastAsia"/>
          <w:b/>
          <w:bCs/>
          <w:color w:val="auto"/>
          <w:sz w:val="21"/>
          <w:szCs w:val="21"/>
          <w:highlight w:val="none"/>
        </w:rPr>
        <w:t xml:space="preserve">，</w:t>
      </w:r>
      <w:r>
        <w:rPr>
          <w:rFonts w:hint="eastAsia"/>
          <w:b/>
          <w:bCs/>
          <w:color w:val="auto"/>
          <w:sz w:val="21"/>
          <w:szCs w:val="21"/>
          <w:highlight w:val="none"/>
          <w:lang w:val="en-US" w:eastAsia="zh-CN"/>
        </w:rPr>
        <w:t xml:space="preserve">负责现场安全管理</w:t>
      </w:r>
      <w:r>
        <w:rPr>
          <w:rFonts w:hint="eastAsia"/>
          <w:b/>
          <w:bCs/>
          <w:color w:val="auto"/>
          <w:sz w:val="21"/>
          <w:szCs w:val="21"/>
          <w:highlight w:val="none"/>
        </w:rPr>
        <w:t xml:space="preserve">；其他作业人员不少于</w:t>
      </w:r>
      <w:r>
        <w:rPr>
          <w:rFonts w:hint="eastAsia"/>
          <w:b/>
          <w:bCs/>
          <w:color w:val="auto"/>
          <w:sz w:val="21"/>
          <w:szCs w:val="21"/>
          <w:highlight w:val="none"/>
          <w:lang w:val="en-US" w:eastAsia="zh-CN"/>
        </w:rPr>
        <w:t xml:space="preserve">3</w:t>
      </w:r>
      <w:r>
        <w:rPr>
          <w:rFonts w:hint="eastAsia"/>
          <w:b/>
          <w:bCs/>
          <w:color w:val="auto"/>
          <w:sz w:val="21"/>
          <w:szCs w:val="21"/>
          <w:highlight w:val="none"/>
        </w:rPr>
        <w:t xml:space="preserve">人</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其中至少1人具有</w:t>
      </w:r>
      <w:r>
        <w:rPr>
          <w:rFonts w:hint="eastAsia" w:ascii="宋体" w:hAnsi="宋体" w:cs="宋体"/>
          <w:b/>
          <w:bCs/>
          <w:color w:val="auto"/>
          <w:sz w:val="21"/>
          <w:szCs w:val="21"/>
          <w:highlight w:val="none"/>
          <w:lang w:val="en-US" w:eastAsia="zh-CN"/>
        </w:rPr>
        <w:t xml:space="preserve">特种作业操作证（高处作业）、1人具有特种作业操作证（电工作业）、1人具有</w:t>
      </w:r>
      <w:r>
        <w:rPr>
          <w:rFonts w:hint="eastAsia" w:ascii="宋体" w:hAnsi="宋体" w:eastAsia="宋体" w:cs="宋体"/>
          <w:b/>
          <w:bCs/>
          <w:color w:val="auto"/>
          <w:sz w:val="21"/>
          <w:szCs w:val="21"/>
          <w:highlight w:val="none"/>
        </w:rPr>
        <w:t xml:space="preserve">特种作业操作证（</w:t>
      </w:r>
      <w:r>
        <w:rPr>
          <w:rFonts w:hint="eastAsia" w:ascii="宋体" w:hAnsi="宋体" w:eastAsia="宋体" w:cs="宋体"/>
          <w:b/>
          <w:bCs/>
          <w:color w:val="auto"/>
          <w:sz w:val="21"/>
          <w:szCs w:val="21"/>
          <w:highlight w:val="none"/>
          <w:lang w:eastAsia="zh-CN"/>
        </w:rPr>
        <w:t xml:space="preserve">焊工</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以上人员一人有多证的可重复计算。本项人员要求为实质性条款，投标文件内提供相关人员证书扫描件及响应单位为以上人员缴纳的社保证明材料，否则为无效标。</w:t>
      </w:r>
      <w:r>
        <w:rPr>
          <w:b/>
          <w:bCs/>
        </w:rPr>
      </w:r>
      <w:r/>
    </w:p>
    <w:p>
      <w:pPr>
        <w:ind w:right="0" w:firstLine="420"/>
        <w:keepLines w:val="0"/>
        <w:keepNext w:val="0"/>
        <w:pageBreakBefore w:val="0"/>
        <w:spacing w:line="360" w:lineRule="auto"/>
        <w:widowControl/>
        <w:rPr>
          <w:color w:val="auto"/>
          <w:sz w:val="21"/>
          <w:szCs w:val="21"/>
          <w:highlight w:val="none"/>
        </w:rPr>
      </w:pPr>
      <w:r>
        <w:rPr>
          <w:rFonts w:hint="eastAsia"/>
          <w:color w:val="auto"/>
          <w:sz w:val="21"/>
          <w:szCs w:val="21"/>
          <w:highlight w:val="none"/>
        </w:rPr>
        <w:t xml:space="preserve">人员需随时待命，有相关工作经验，</w:t>
      </w:r>
      <w:r>
        <w:rPr>
          <w:rFonts w:hint="eastAsia"/>
          <w:color w:val="auto"/>
          <w:sz w:val="21"/>
          <w:szCs w:val="21"/>
          <w:highlight w:val="none"/>
          <w:lang w:val="en-US" w:eastAsia="zh-CN"/>
        </w:rPr>
        <w:t xml:space="preserve">能熟练操作各类专业设备，</w:t>
      </w:r>
      <w:r>
        <w:rPr>
          <w:rFonts w:hint="eastAsia"/>
          <w:color w:val="auto"/>
          <w:sz w:val="21"/>
          <w:szCs w:val="21"/>
          <w:highlight w:val="none"/>
        </w:rPr>
        <w:t xml:space="preserve">有一定的文化水平，业务能力强，并经过专业培训，持证上岗。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2、设备要求：投标单位针对本项目提供的设备至少包括</w:t>
      </w:r>
      <w:r>
        <w:rPr>
          <w:rFonts w:hint="eastAsia" w:ascii="宋体" w:hAnsi="宋体" w:cs="宋体"/>
          <w:b/>
          <w:bCs/>
          <w:color w:val="auto"/>
          <w:sz w:val="21"/>
          <w:szCs w:val="21"/>
          <w:highlight w:val="none"/>
        </w:rPr>
        <w:t xml:space="preserve">工程车1辆、热熔标线机1台</w:t>
      </w:r>
      <w:r>
        <w:rPr>
          <w:rFonts w:hint="eastAsia" w:ascii="宋体" w:hAnsi="宋体" w:cs="宋体"/>
          <w:color w:val="auto"/>
          <w:sz w:val="21"/>
          <w:szCs w:val="21"/>
          <w:highlight w:val="none"/>
        </w:rPr>
        <w:t xml:space="preserve">，其他设备由投标人按需配置。</w:t>
      </w:r>
      <w:r/>
    </w:p>
    <w:p>
      <w:pPr>
        <w:ind w:firstLine="420"/>
        <w:spacing w:line="360" w:lineRule="auto"/>
        <w:rPr>
          <w:rFonts w:hint="eastAsia" w:ascii="宋体" w:hAnsi="宋体" w:cs="宋体"/>
          <w:color w:val="auto"/>
          <w:sz w:val="21"/>
          <w:szCs w:val="21"/>
          <w:highlight w:val="none"/>
        </w:rPr>
      </w:pP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遇有紧急情况</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如</w:t>
      </w:r>
      <w:r>
        <w:rPr>
          <w:rFonts w:hint="eastAsia" w:ascii="宋体" w:hAnsi="宋体" w:cs="宋体"/>
          <w:color w:val="auto"/>
          <w:sz w:val="21"/>
          <w:szCs w:val="21"/>
          <w:highlight w:val="none"/>
        </w:rPr>
        <w:t xml:space="preserve">遇有台风、暴雨、冰雪等恶劣天气</w:t>
      </w:r>
      <w:r>
        <w:rPr>
          <w:rFonts w:hint="eastAsia" w:ascii="宋体" w:hAnsi="宋体" w:cs="宋体"/>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投标单位应编制</w:t>
      </w:r>
      <w:r>
        <w:rPr>
          <w:rFonts w:hint="eastAsia" w:ascii="宋体" w:hAnsi="宋体" w:cs="宋体"/>
          <w:color w:val="auto"/>
          <w:sz w:val="21"/>
          <w:szCs w:val="21"/>
          <w:highlight w:val="none"/>
        </w:rPr>
        <w:t xml:space="preserve">应急事件处置方案</w:t>
      </w:r>
      <w:r>
        <w:rPr>
          <w:rFonts w:hint="eastAsia" w:ascii="宋体" w:hAnsi="宋体" w:cs="宋体"/>
          <w:color w:val="auto"/>
          <w:sz w:val="21"/>
          <w:szCs w:val="21"/>
          <w:highlight w:val="none"/>
          <w:lang w:val="en-US" w:eastAsia="zh-CN"/>
        </w:rPr>
        <w:t xml:space="preserve">并</w:t>
      </w:r>
      <w:r>
        <w:rPr>
          <w:rFonts w:hint="eastAsia" w:ascii="宋体" w:hAnsi="宋体" w:eastAsia="宋体" w:cs="宋体"/>
          <w:b w:val="0"/>
          <w:bCs w:val="0"/>
          <w:color w:val="auto"/>
          <w:sz w:val="21"/>
          <w:szCs w:val="21"/>
          <w:highlight w:val="none"/>
        </w:rPr>
        <w:t xml:space="preserve">跟据交警大队要求，</w:t>
      </w:r>
      <w:r>
        <w:rPr>
          <w:rFonts w:hint="eastAsia" w:ascii="宋体" w:hAnsi="宋体" w:cs="宋体"/>
          <w:b w:val="0"/>
          <w:bCs w:val="0"/>
          <w:color w:val="auto"/>
          <w:sz w:val="21"/>
          <w:szCs w:val="21"/>
          <w:highlight w:val="none"/>
          <w:lang w:val="en-US" w:eastAsia="zh-CN"/>
        </w:rPr>
        <w:t xml:space="preserve">增加应急抢修人员。</w:t>
      </w:r>
      <w:r>
        <w:rPr>
          <w:rFonts w:hint="eastAsia" w:ascii="宋体" w:hAnsi="宋体" w:eastAsia="宋体" w:cs="宋体"/>
          <w:b w:val="0"/>
          <w:bCs w:val="0"/>
          <w:color w:val="auto"/>
          <w:sz w:val="21"/>
          <w:szCs w:val="21"/>
          <w:highlight w:val="none"/>
        </w:rPr>
        <w:t xml:space="preserve">确保故障及时排除。</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三</w:t>
      </w:r>
      <w:r>
        <w:rPr>
          <w:rFonts w:hint="eastAsia" w:ascii="宋体" w:hAnsi="宋体" w:cs="宋体"/>
          <w:b/>
          <w:color w:val="auto"/>
          <w:sz w:val="21"/>
          <w:szCs w:val="21"/>
          <w:highlight w:val="none"/>
        </w:rPr>
        <w:t xml:space="preserve">、供货条款：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1、所有投标设备的制造须符合国家标准和规范要求。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2、提供安装、调试及验收方案，使用维修的全套技术、文件和图纸，该文件对安装方法、材料、工艺均须作出具体规定（均为中文）。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包含：</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A、装箱单；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B、产品出厂合格证；</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C、使用维护说明书；</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D、部件安装图；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E、安装说明书；</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F、基础施工图（含配筋图）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3、交货安装调试过程中如发现不符合本次采购文件所定产品，供方应无条件退换。</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四</w:t>
      </w:r>
      <w:r>
        <w:rPr>
          <w:rFonts w:hint="eastAsia" w:ascii="宋体" w:hAnsi="宋体" w:cs="宋体"/>
          <w:b/>
          <w:color w:val="auto"/>
          <w:sz w:val="21"/>
          <w:szCs w:val="21"/>
          <w:highlight w:val="none"/>
        </w:rPr>
        <w:t xml:space="preserve">、验收：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1、中标供应商应按照本招标文件的有关规定提供合格产品，并负责安装、调试；投标单位应在投标文件中提供一份验收大纲，在采购方确认后作为验收的依据；</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2、本项目由采购方会同监理及有关部门进行验收；设备到达工地，应通知采购方，由采购方会同监理人员根据有关清单进行验收；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项目的验收包括:数量、外观、质量、性能、随机备件备品、装箱单、随机资料及包装；所有设备和附（配）件应符合其规定的性能，无瑕疵和缺陷，质量为合格产品，同时有明确的生产制造厂商。安装到位，可以正常使用。中标供应商对质量问题负责包退、包换和包修，因此发生的费用由中标供应商自行负责。验收分为产品验收和安装调试合格验收两次，采购单位将组织专业人员对供方提供的产品进行检验或抽检，发现一例不合格产品，则该批次产品全部退货，对由此造成采购单位的工期耽误等损失，均由供方承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4、安装调试完成后，供方需提供质保书、保修证明等书面资料，并按国家制造和安装的标准要求检测验收。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5、验收标准：按本招标文件、供应商的投标文件、承诺及国家相关标准为准。如双方对验收结果有分歧，则以权威部门的检验结果为准，检验费用由有过失的一方支付。</w:t>
      </w:r>
      <w:r/>
    </w:p>
    <w:p>
      <w:pPr>
        <w:ind w:left="0" w:firstLine="428"/>
        <w:jc w:val="left"/>
        <w:keepLines w:val="0"/>
        <w:keepNext w:val="0"/>
        <w:pageBreakBefore w:val="0"/>
        <w:spacing w:line="360" w:lineRule="auto"/>
        <w:widowControl/>
        <w:rPr>
          <w:rFonts w:hint="default"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6、验收前</w:t>
      </w:r>
      <w:r>
        <w:rPr>
          <w:rFonts w:hint="eastAsia" w:ascii="宋体" w:hAnsi="宋体" w:eastAsia="宋体" w:cs="宋体"/>
          <w:color w:val="auto"/>
          <w:sz w:val="21"/>
          <w:szCs w:val="21"/>
          <w:highlight w:val="none"/>
          <w:lang w:val="zh-CN" w:eastAsia="zh-CN" w:bidi="ar-SA"/>
        </w:rPr>
        <w:t xml:space="preserve">采购人向供应商发出《采购履约验收通知单》（本章附件1），验收完成后形成《采购履约验收书》（本章附件2）。</w:t>
      </w:r>
      <w:r/>
    </w:p>
    <w:p>
      <w:pPr>
        <w:ind w:left="0" w:firstLine="428"/>
        <w:jc w:val="left"/>
        <w:keepLines w:val="0"/>
        <w:keepNext w:val="0"/>
        <w:pageBreakBefore w:val="0"/>
        <w:spacing w:line="360" w:lineRule="auto"/>
        <w:widowControl/>
        <w:rPr>
          <w:rFonts w:hint="eastAsia" w:ascii="宋体" w:hAnsi="宋体" w:eastAsia="宋体" w:cs="宋体"/>
          <w:color w:val="auto"/>
          <w:spacing w:val="2"/>
          <w:sz w:val="21"/>
          <w:szCs w:val="21"/>
          <w:highlight w:val="none"/>
          <w:lang w:val="en-US" w:eastAsia="zh-CN"/>
        </w:rPr>
      </w:pPr>
      <w:r>
        <w:rPr>
          <w:rFonts w:hint="eastAsia" w:ascii="宋体" w:hAnsi="宋体" w:eastAsia="宋体" w:cs="宋体"/>
          <w:color w:val="auto"/>
          <w:spacing w:val="2"/>
          <w:sz w:val="21"/>
          <w:szCs w:val="21"/>
          <w:highlight w:val="none"/>
          <w:lang w:val="en-US" w:eastAsia="en-US"/>
        </w:rPr>
        <w:t xml:space="preserve">附件 1</w:t>
      </w:r>
      <w:r>
        <w:rPr>
          <w:rFonts w:hint="eastAsia" w:ascii="宋体" w:hAnsi="宋体" w:eastAsia="宋体" w:cs="宋体"/>
          <w:color w:val="auto"/>
          <w:spacing w:val="2"/>
          <w:sz w:val="21"/>
          <w:szCs w:val="21"/>
          <w:highlight w:val="none"/>
          <w:lang w:val="en-US" w:eastAsia="zh-CN"/>
        </w:rPr>
        <w:t xml:space="preserve">：</w:t>
      </w:r>
      <w:r/>
    </w:p>
    <w:p>
      <w:pPr>
        <w:ind w:left="0" w:firstLine="490"/>
        <w:jc w:val="center"/>
        <w:keepLines w:val="0"/>
        <w:keepNext w:val="0"/>
        <w:pageBreakBefore w:val="0"/>
        <w:spacing w:line="360" w:lineRule="auto"/>
        <w:widowControl/>
        <w:rPr>
          <w:rFonts w:hint="eastAsia" w:ascii="宋体" w:hAnsi="宋体" w:eastAsia="宋体" w:cs="宋体"/>
          <w:b/>
          <w:bCs/>
          <w:color w:val="auto"/>
          <w:spacing w:val="2"/>
          <w:sz w:val="24"/>
          <w:szCs w:val="24"/>
          <w:highlight w:val="none"/>
          <w:lang w:eastAsia="en-US"/>
        </w:rPr>
      </w:pPr>
      <w:r>
        <w:rPr>
          <w:rFonts w:hint="eastAsia" w:ascii="宋体" w:hAnsi="宋体" w:eastAsia="宋体" w:cs="宋体"/>
          <w:b/>
          <w:bCs/>
          <w:color w:val="auto"/>
          <w:spacing w:val="2"/>
          <w:sz w:val="24"/>
          <w:szCs w:val="24"/>
          <w:highlight w:val="none"/>
          <w:lang w:eastAsia="en-US"/>
        </w:rPr>
        <w:t xml:space="preserve">政府采购履约验收通知单（参考样本）</w:t>
      </w:r>
      <w:r/>
    </w:p>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9"/>
          <w:sz w:val="21"/>
          <w:szCs w:val="21"/>
          <w:highlight w:val="none"/>
          <w:lang w:eastAsia="en-US"/>
        </w:rPr>
        <w:t xml:space="preserve">供应商：</w:t>
      </w:r>
      <w:r/>
    </w:p>
    <w:tbl>
      <w:tblPr>
        <w:tblStyle w:val="1058"/>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采购人</w:t>
            </w:r>
            <w:r/>
          </w:p>
        </w:tc>
        <w:tc>
          <w:tcPr>
            <w:gridSpan w:val="3"/>
            <w:tcW w:w="6708" w:type="dxa"/>
            <w:vAlign w:val="top"/>
            <w:textDirection w:val="lrTb"/>
            <w:noWrap w:val="false"/>
          </w:tcPr>
          <w:p>
            <w:pPr>
              <w:pStyle w:val="1059"/>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0"/>
        </w:trPr>
        <w:tc>
          <w:tcPr>
            <w:tcW w:w="2610" w:type="dxa"/>
            <w:vAlign w:val="top"/>
            <w:textDirection w:val="lrTb"/>
            <w:noWrap w:val="false"/>
          </w:tcPr>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项目名称</w:t>
            </w:r>
            <w:r/>
          </w:p>
        </w:tc>
        <w:tc>
          <w:tcPr>
            <w:gridSpan w:val="3"/>
            <w:tcW w:w="6708" w:type="dxa"/>
            <w:vAlign w:val="top"/>
            <w:textDirection w:val="lrTb"/>
            <w:noWrap w:val="false"/>
          </w:tcPr>
          <w:p>
            <w:pPr>
              <w:pStyle w:val="1059"/>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9"/>
        </w:trPr>
        <w:tc>
          <w:tcPr>
            <w:tcW w:w="2610" w:type="dxa"/>
            <w:vAlign w:val="top"/>
            <w:textDirection w:val="lrTb"/>
            <w:noWrap w:val="false"/>
          </w:tcPr>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合同名称</w:t>
            </w:r>
            <w:r/>
          </w:p>
        </w:tc>
        <w:tc>
          <w:tcPr>
            <w:gridSpan w:val="3"/>
            <w:tcW w:w="6708" w:type="dxa"/>
            <w:vAlign w:val="top"/>
            <w:textDirection w:val="lrTb"/>
            <w:noWrap w:val="false"/>
          </w:tcPr>
          <w:p>
            <w:pPr>
              <w:pStyle w:val="1059"/>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0"/>
        </w:trPr>
        <w:tc>
          <w:tcPr>
            <w:tcW w:w="2610" w:type="dxa"/>
            <w:vAlign w:val="top"/>
            <w:textDirection w:val="lrTb"/>
            <w:noWrap w:val="false"/>
          </w:tcPr>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合同编号</w:t>
            </w:r>
            <w:r/>
          </w:p>
        </w:tc>
        <w:tc>
          <w:tcPr>
            <w:tcW w:w="1961" w:type="dxa"/>
            <w:vAlign w:val="top"/>
            <w:textDirection w:val="lrTb"/>
            <w:noWrap w:val="false"/>
          </w:tcPr>
          <w:p>
            <w:pPr>
              <w:pStyle w:val="1059"/>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vAlign w:val="top"/>
            <w:textDirection w:val="lrTb"/>
            <w:noWrap w:val="false"/>
          </w:tcPr>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合同金额</w:t>
            </w:r>
            <w:r/>
          </w:p>
        </w:tc>
        <w:tc>
          <w:tcPr>
            <w:tcW w:w="2608" w:type="dxa"/>
            <w:vAlign w:val="top"/>
            <w:textDirection w:val="lrTb"/>
            <w:noWrap w:val="false"/>
          </w:tcPr>
          <w:p>
            <w:pPr>
              <w:pStyle w:val="1059"/>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59"/>
        </w:trPr>
        <w:tc>
          <w:tcPr>
            <w:tcW w:w="2610" w:type="dxa"/>
            <w:vAlign w:val="top"/>
            <w:textDirection w:val="lrTb"/>
            <w:noWrap w:val="false"/>
          </w:tcPr>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验收时间</w:t>
            </w:r>
            <w:r/>
          </w:p>
        </w:tc>
        <w:tc>
          <w:tcPr>
            <w:tcW w:w="1961" w:type="dxa"/>
            <w:vAlign w:val="top"/>
            <w:textDirection w:val="lrTb"/>
            <w:noWrap w:val="false"/>
          </w:tcPr>
          <w:p>
            <w:pPr>
              <w:pStyle w:val="1059"/>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vAlign w:val="top"/>
            <w:textDirection w:val="lrTb"/>
            <w:noWrap w:val="false"/>
          </w:tcPr>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验收地点</w:t>
            </w:r>
            <w:r/>
          </w:p>
        </w:tc>
        <w:tc>
          <w:tcPr>
            <w:tcW w:w="2608" w:type="dxa"/>
            <w:vAlign w:val="top"/>
            <w:textDirection w:val="lrTb"/>
            <w:noWrap w:val="false"/>
          </w:tcPr>
          <w:p>
            <w:pPr>
              <w:pStyle w:val="1059"/>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0"/>
        </w:trPr>
        <w:tc>
          <w:tcPr>
            <w:tcW w:w="2610" w:type="dxa"/>
            <w:vAlign w:val="top"/>
            <w:textDirection w:val="lrTb"/>
            <w:noWrap w:val="false"/>
          </w:tcPr>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
                <w:sz w:val="21"/>
                <w:szCs w:val="21"/>
                <w:highlight w:val="none"/>
                <w:lang w:eastAsia="en-US"/>
              </w:rPr>
              <w:t xml:space="preserve">联系人</w:t>
            </w:r>
            <w:r/>
          </w:p>
        </w:tc>
        <w:tc>
          <w:tcPr>
            <w:tcW w:w="1961" w:type="dxa"/>
            <w:vAlign w:val="top"/>
            <w:textDirection w:val="lrTb"/>
            <w:noWrap w:val="false"/>
          </w:tcPr>
          <w:p>
            <w:pPr>
              <w:pStyle w:val="1059"/>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39" w:type="dxa"/>
            <w:vAlign w:val="top"/>
            <w:textDirection w:val="lrTb"/>
            <w:noWrap w:val="false"/>
          </w:tcPr>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联系电话</w:t>
            </w:r>
            <w:r/>
          </w:p>
        </w:tc>
        <w:tc>
          <w:tcPr>
            <w:tcW w:w="2608" w:type="dxa"/>
            <w:vAlign w:val="top"/>
            <w:textDirection w:val="lrTb"/>
            <w:noWrap w:val="false"/>
          </w:tcPr>
          <w:p>
            <w:pPr>
              <w:pStyle w:val="1059"/>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0"/>
        </w:trPr>
        <w:tc>
          <w:tcPr>
            <w:gridSpan w:val="4"/>
            <w:tcW w:w="9318" w:type="dxa"/>
            <w:vAlign w:val="top"/>
            <w:textDirection w:val="lrTb"/>
            <w:noWrap w:val="false"/>
          </w:tcPr>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7"/>
                <w:sz w:val="21"/>
                <w:szCs w:val="21"/>
                <w:highlight w:val="none"/>
                <w:lang w:eastAsia="en-US"/>
              </w:rPr>
              <w:t xml:space="preserve">履约验收方案及工作要求</w:t>
            </w:r>
            <w:r/>
          </w:p>
        </w:tc>
      </w:tr>
      <w:tr>
        <w:trPr>
          <w:trHeight w:val="6898"/>
        </w:trPr>
        <w:tc>
          <w:tcPr>
            <w:gridSpan w:val="4"/>
            <w:tcW w:w="9318" w:type="dxa"/>
            <w:vAlign w:val="top"/>
            <w:textDirection w:val="lrTb"/>
            <w:noWrap w:val="false"/>
          </w:tcPr>
          <w:p>
            <w:pPr>
              <w:pStyle w:val="1059"/>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9"/>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9"/>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9"/>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9"/>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9"/>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9"/>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59"/>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单位公章</w:t>
            </w:r>
            <w:r/>
          </w:p>
          <w:p>
            <w:pPr>
              <w:pStyle w:val="1059"/>
              <w:ind w:lef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left="0"/>
              <w:jc w:val="left"/>
              <w:keepLines w:val="0"/>
              <w:keepNext w:val="0"/>
              <w:pageBreakBefore w:val="0"/>
              <w:spacing w:line="360"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年</w:t>
            </w:r>
            <w:r>
              <w:rPr>
                <w:rFonts w:hint="eastAsia" w:ascii="宋体" w:hAnsi="宋体" w:eastAsia="宋体" w:cs="宋体"/>
                <w:color w:val="auto"/>
                <w:spacing w:val="18"/>
                <w:sz w:val="21"/>
                <w:szCs w:val="21"/>
                <w:highlight w:val="none"/>
                <w:lang w:eastAsia="en-US"/>
              </w:rPr>
              <w:t xml:space="preserve">  </w:t>
            </w:r>
            <w:r>
              <w:rPr>
                <w:rFonts w:hint="eastAsia" w:ascii="宋体" w:hAnsi="宋体" w:eastAsia="宋体" w:cs="宋体"/>
                <w:color w:val="auto"/>
                <w:spacing w:val="-3"/>
                <w:sz w:val="21"/>
                <w:szCs w:val="21"/>
                <w:highlight w:val="none"/>
                <w:lang w:eastAsia="en-US"/>
              </w:rPr>
              <w:t xml:space="preserve">月</w:t>
            </w:r>
            <w:r>
              <w:rPr>
                <w:rFonts w:hint="eastAsia" w:ascii="宋体" w:hAnsi="宋体" w:eastAsia="宋体" w:cs="宋体"/>
                <w:color w:val="auto"/>
                <w:spacing w:val="12"/>
                <w:sz w:val="21"/>
                <w:szCs w:val="21"/>
                <w:highlight w:val="none"/>
                <w:lang w:eastAsia="en-US"/>
              </w:rPr>
              <w:t xml:space="preserve">   </w:t>
            </w:r>
            <w:r>
              <w:rPr>
                <w:rFonts w:hint="eastAsia" w:ascii="宋体" w:hAnsi="宋体" w:eastAsia="宋体" w:cs="宋体"/>
                <w:color w:val="auto"/>
                <w:spacing w:val="-3"/>
                <w:sz w:val="21"/>
                <w:szCs w:val="21"/>
                <w:highlight w:val="none"/>
                <w:lang w:eastAsia="en-US"/>
              </w:rPr>
              <w:t xml:space="preserve">日</w:t>
            </w:r>
            <w:r/>
          </w:p>
        </w:tc>
      </w:tr>
    </w:tbl>
    <w:p>
      <w:pPr>
        <w:jc w:val="both"/>
        <w:spacing w:before="75" w:line="184" w:lineRule="auto"/>
        <w:rPr>
          <w:rFonts w:hint="eastAsia" w:ascii="宋体" w:hAnsi="宋体" w:eastAsia="宋体" w:cs="宋体"/>
          <w:color w:val="auto"/>
          <w:spacing w:val="17"/>
          <w:sz w:val="21"/>
          <w:szCs w:val="21"/>
          <w:highlight w:val="none"/>
          <w:lang w:val="en-US" w:eastAsia="zh-CN"/>
        </w:rPr>
        <w:outlineLvl w:val="1"/>
      </w:pPr>
      <w:r>
        <w:rPr>
          <w:rFonts w:hint="eastAsia" w:ascii="宋体" w:hAnsi="宋体" w:eastAsia="宋体" w:cs="宋体"/>
          <w:color w:val="auto"/>
          <w:spacing w:val="17"/>
          <w:sz w:val="21"/>
          <w:szCs w:val="21"/>
          <w:highlight w:val="none"/>
          <w:lang w:val="en-US" w:eastAsia="zh-CN"/>
        </w:rPr>
      </w:r>
      <w:r/>
    </w:p>
    <w:p>
      <w:pPr>
        <w:ind w:firstLine="488"/>
        <w:jc w:val="both"/>
        <w:spacing w:before="75" w:line="184" w:lineRule="auto"/>
        <w:rPr>
          <w:rFonts w:hint="eastAsia" w:ascii="宋体" w:hAnsi="宋体" w:eastAsia="宋体" w:cs="宋体"/>
          <w:color w:val="auto"/>
          <w:spacing w:val="17"/>
          <w:sz w:val="21"/>
          <w:szCs w:val="21"/>
          <w:highlight w:val="none"/>
          <w:lang w:val="en-US" w:eastAsia="zh-CN"/>
        </w:rPr>
        <w:outlineLvl w:val="1"/>
      </w:pPr>
      <w:r>
        <w:rPr>
          <w:rFonts w:hint="eastAsia" w:ascii="宋体" w:hAnsi="宋体" w:eastAsia="宋体" w:cs="宋体"/>
          <w:color w:val="auto"/>
          <w:spacing w:val="17"/>
          <w:sz w:val="21"/>
          <w:szCs w:val="21"/>
          <w:highlight w:val="none"/>
          <w:lang w:val="en-US" w:eastAsia="zh-CN"/>
        </w:rPr>
        <w:t xml:space="preserve">附件2：</w:t>
      </w:r>
      <w:r/>
    </w:p>
    <w:p>
      <w:pPr>
        <w:jc w:val="center"/>
        <w:spacing w:before="107" w:line="184" w:lineRule="auto"/>
        <w:widowControl/>
        <w:rPr>
          <w:rFonts w:hint="eastAsia" w:ascii="宋体" w:hAnsi="宋体" w:eastAsia="宋体" w:cs="宋体"/>
          <w:color w:val="auto"/>
          <w:sz w:val="24"/>
          <w:szCs w:val="24"/>
          <w:highlight w:val="none"/>
          <w:lang w:eastAsia="en-US"/>
        </w:rPr>
      </w:pPr>
      <w:r>
        <w:rPr>
          <w:rFonts w:hint="eastAsia" w:ascii="宋体" w:hAnsi="宋体" w:eastAsia="宋体" w:cs="宋体"/>
          <w:b/>
          <w:bCs/>
          <w:color w:val="auto"/>
          <w:spacing w:val="17"/>
          <w:sz w:val="24"/>
          <w:szCs w:val="24"/>
          <w:highlight w:val="none"/>
          <w:lang w:eastAsia="en-US"/>
        </w:rPr>
        <w:t xml:space="preserve">采购履约验收书参考样本(货物类）</w:t>
      </w:r>
      <w:r/>
    </w:p>
    <w:tbl>
      <w:tblPr>
        <w:tblStyle w:val="1058"/>
        <w:tblW w:w="976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09"/>
        <w:gridCol w:w="682"/>
        <w:gridCol w:w="378"/>
        <w:gridCol w:w="1010"/>
        <w:gridCol w:w="1010"/>
        <w:gridCol w:w="81"/>
        <w:gridCol w:w="909"/>
        <w:gridCol w:w="930"/>
        <w:gridCol w:w="900"/>
        <w:gridCol w:w="1261"/>
        <w:gridCol w:w="1090"/>
      </w:tblGrid>
      <w:tr>
        <w:trPr>
          <w:jc w:val="center"/>
          <w:trHeight w:val="562"/>
        </w:trPr>
        <w:tc>
          <w:tcPr>
            <w:tcW w:w="1509" w:type="dxa"/>
            <w:vAlign w:val="center"/>
            <w:textDirection w:val="lrTb"/>
            <w:noWrap w:val="false"/>
          </w:tcPr>
          <w:p>
            <w:pPr>
              <w:ind w:left="0" w:right="0"/>
              <w:jc w:val="left"/>
              <w:keepLines w:val="0"/>
              <w:keepNext w:val="0"/>
              <w:pageBreakBefore w:val="0"/>
              <w:spacing w:line="20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采购人</w:t>
            </w:r>
            <w:r/>
          </w:p>
        </w:tc>
        <w:tc>
          <w:tcPr>
            <w:gridSpan w:val="3"/>
            <w:tcW w:w="2070" w:type="dxa"/>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c>
          <w:tcPr>
            <w:tcW w:w="1010" w:type="dxa"/>
            <w:vAlign w:val="center"/>
            <w:textDirection w:val="lrTb"/>
            <w:noWrap w:val="false"/>
          </w:tcPr>
          <w:p>
            <w:pPr>
              <w:ind w:left="0" w:right="0"/>
              <w:jc w:val="left"/>
              <w:keepLines w:val="0"/>
              <w:keepNext w:val="0"/>
              <w:pageBreakBefore w:val="0"/>
              <w:spacing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项目名称</w:t>
            </w:r>
            <w:r/>
          </w:p>
        </w:tc>
        <w:tc>
          <w:tcPr>
            <w:gridSpan w:val="3"/>
            <w:tcW w:w="1920" w:type="dxa"/>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c>
          <w:tcPr>
            <w:tcW w:w="900" w:type="dxa"/>
            <w:vAlign w:val="center"/>
            <w:textDirection w:val="lrTb"/>
            <w:noWrap w:val="false"/>
          </w:tcPr>
          <w:p>
            <w:pPr>
              <w:ind w:left="0" w:right="0"/>
              <w:jc w:val="left"/>
              <w:keepLines w:val="0"/>
              <w:keepNext w:val="0"/>
              <w:pageBreakBefore w:val="0"/>
              <w:spacing w:line="20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合同名称</w:t>
            </w:r>
            <w:r/>
          </w:p>
        </w:tc>
        <w:tc>
          <w:tcPr>
            <w:gridSpan w:val="2"/>
            <w:tcW w:w="2351" w:type="dxa"/>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jc w:val="center"/>
          <w:trHeight w:val="565"/>
        </w:trPr>
        <w:tc>
          <w:tcPr>
            <w:tcW w:w="1509" w:type="dxa"/>
            <w:vAlign w:val="center"/>
            <w:textDirection w:val="lrTb"/>
            <w:noWrap w:val="false"/>
          </w:tcPr>
          <w:p>
            <w:pPr>
              <w:ind w:left="0" w:right="0"/>
              <w:jc w:val="left"/>
              <w:keepLines w:val="0"/>
              <w:keepNext w:val="0"/>
              <w:pageBreakBefore w:val="0"/>
              <w:spacing w:line="20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供应商</w:t>
            </w:r>
            <w:r/>
          </w:p>
        </w:tc>
        <w:tc>
          <w:tcPr>
            <w:gridSpan w:val="3"/>
            <w:tcW w:w="2070" w:type="dxa"/>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c>
          <w:tcPr>
            <w:tcW w:w="1010" w:type="dxa"/>
            <w:vAlign w:val="center"/>
            <w:textDirection w:val="lrTb"/>
            <w:noWrap w:val="false"/>
          </w:tcPr>
          <w:p>
            <w:pPr>
              <w:ind w:left="0" w:right="0"/>
              <w:jc w:val="left"/>
              <w:keepLines w:val="0"/>
              <w:keepNext w:val="0"/>
              <w:pageBreakBefore w:val="0"/>
              <w:spacing w:line="20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项目及合同编号</w:t>
            </w:r>
            <w:r/>
          </w:p>
        </w:tc>
        <w:tc>
          <w:tcPr>
            <w:gridSpan w:val="3"/>
            <w:tcW w:w="1920" w:type="dxa"/>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c>
          <w:tcPr>
            <w:tcW w:w="900" w:type="dxa"/>
            <w:vAlign w:val="center"/>
            <w:textDirection w:val="lrTb"/>
            <w:noWrap w:val="false"/>
          </w:tcPr>
          <w:p>
            <w:pPr>
              <w:ind w:left="0" w:right="0"/>
              <w:jc w:val="left"/>
              <w:keepLines w:val="0"/>
              <w:keepNext w:val="0"/>
              <w:pageBreakBefore w:val="0"/>
              <w:spacing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合同金额</w:t>
            </w:r>
            <w:r/>
          </w:p>
        </w:tc>
        <w:tc>
          <w:tcPr>
            <w:gridSpan w:val="2"/>
            <w:tcW w:w="2351" w:type="dxa"/>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jc w:val="center"/>
          <w:trHeight w:val="565"/>
        </w:trPr>
        <w:tc>
          <w:tcPr>
            <w:tcW w:w="1509" w:type="dxa"/>
            <w:vAlign w:val="center"/>
            <w:textDirection w:val="lrTb"/>
            <w:noWrap w:val="false"/>
          </w:tcPr>
          <w:p>
            <w:pPr>
              <w:ind w:left="0" w:right="0"/>
              <w:jc w:val="left"/>
              <w:keepLines w:val="0"/>
              <w:keepNext w:val="0"/>
              <w:pageBreakBefore w:val="0"/>
              <w:spacing w:line="240"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position w:val="1"/>
                <w:sz w:val="21"/>
                <w:szCs w:val="21"/>
                <w:highlight w:val="none"/>
                <w:lang w:eastAsia="en-US"/>
              </w:rPr>
              <w:t xml:space="preserve">分期（段）验收</w:t>
            </w:r>
            <w:r/>
          </w:p>
        </w:tc>
        <w:tc>
          <w:tcPr>
            <w:gridSpan w:val="3"/>
            <w:tcW w:w="2070" w:type="dxa"/>
            <w:vAlign w:val="center"/>
            <w:textDirection w:val="lrTb"/>
            <w:noWrap w:val="false"/>
          </w:tcPr>
          <w:p>
            <w:pPr>
              <w:ind w:left="0" w:right="0"/>
              <w:jc w:val="left"/>
              <w:keepLines w:val="0"/>
              <w:keepNext w:val="0"/>
              <w:pageBreakBefore w:val="0"/>
              <w:spacing w:line="240"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6"/>
                <w:position w:val="1"/>
                <w:sz w:val="21"/>
                <w:szCs w:val="21"/>
                <w:highlight w:val="none"/>
                <w:lang w:eastAsia="en-US"/>
              </w:rPr>
              <w:t xml:space="preserve">是□</w:t>
            </w:r>
            <w:r>
              <w:rPr>
                <w:rFonts w:hint="eastAsia" w:ascii="宋体" w:hAnsi="宋体" w:eastAsia="宋体" w:cs="宋体"/>
                <w:color w:val="auto"/>
                <w:spacing w:val="4"/>
                <w:position w:val="1"/>
                <w:sz w:val="21"/>
                <w:szCs w:val="21"/>
                <w:highlight w:val="none"/>
                <w:lang w:eastAsia="en-US"/>
              </w:rPr>
              <w:t xml:space="preserve">   </w:t>
            </w:r>
            <w:r>
              <w:rPr>
                <w:rFonts w:hint="eastAsia" w:ascii="宋体" w:hAnsi="宋体" w:eastAsia="宋体" w:cs="宋体"/>
                <w:color w:val="auto"/>
                <w:spacing w:val="-6"/>
                <w:position w:val="1"/>
                <w:sz w:val="21"/>
                <w:szCs w:val="21"/>
                <w:highlight w:val="none"/>
                <w:lang w:eastAsia="en-US"/>
              </w:rPr>
              <w:t xml:space="preserve">否□</w:t>
            </w:r>
            <w:r/>
          </w:p>
        </w:tc>
        <w:tc>
          <w:tcPr>
            <w:tcW w:w="1010" w:type="dxa"/>
            <w:vAlign w:val="center"/>
            <w:textDirection w:val="lrTb"/>
            <w:noWrap w:val="false"/>
          </w:tcPr>
          <w:p>
            <w:pPr>
              <w:ind w:left="0" w:right="0"/>
              <w:jc w:val="left"/>
              <w:keepLines w:val="0"/>
              <w:keepNext w:val="0"/>
              <w:pageBreakBefore w:val="0"/>
              <w:spacing w:line="240"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position w:val="1"/>
                <w:sz w:val="21"/>
                <w:szCs w:val="21"/>
                <w:highlight w:val="none"/>
                <w:lang w:eastAsia="en-US"/>
              </w:rPr>
              <w:t xml:space="preserve">分期（段）情况</w:t>
            </w:r>
            <w:r/>
          </w:p>
        </w:tc>
        <w:tc>
          <w:tcPr>
            <w:gridSpan w:val="6"/>
            <w:tcW w:w="5171" w:type="dxa"/>
            <w:vAlign w:val="center"/>
            <w:textDirection w:val="lrTb"/>
            <w:noWrap w:val="false"/>
          </w:tcPr>
          <w:p>
            <w:pPr>
              <w:ind w:left="0" w:right="0"/>
              <w:jc w:val="left"/>
              <w:keepLines w:val="0"/>
              <w:keepNext w:val="0"/>
              <w:pageBreakBefore w:val="0"/>
              <w:spacing w:line="240"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
                <w:position w:val="1"/>
                <w:sz w:val="21"/>
                <w:szCs w:val="21"/>
                <w:highlight w:val="none"/>
                <w:lang w:eastAsia="en-US"/>
              </w:rPr>
              <w:t xml:space="preserve">共分   期（段</w:t>
            </w:r>
            <w:r>
              <w:rPr>
                <w:rFonts w:hint="eastAsia" w:ascii="宋体" w:hAnsi="宋体" w:eastAsia="宋体" w:cs="宋体"/>
                <w:color w:val="auto"/>
                <w:spacing w:val="6"/>
                <w:position w:val="1"/>
                <w:sz w:val="21"/>
                <w:szCs w:val="21"/>
                <w:highlight w:val="none"/>
                <w:lang w:eastAsia="en-US"/>
              </w:rPr>
              <w:t xml:space="preserve">），</w:t>
            </w:r>
            <w:r>
              <w:rPr>
                <w:rFonts w:hint="eastAsia" w:ascii="宋体" w:hAnsi="宋体" w:eastAsia="宋体" w:cs="宋体"/>
                <w:color w:val="auto"/>
                <w:spacing w:val="-1"/>
                <w:position w:val="1"/>
                <w:sz w:val="21"/>
                <w:szCs w:val="21"/>
                <w:highlight w:val="none"/>
                <w:lang w:eastAsia="en-US"/>
              </w:rPr>
              <w:t xml:space="preserve">此为第   期（段）验收</w:t>
            </w:r>
            <w:r/>
          </w:p>
        </w:tc>
      </w:tr>
      <w:tr>
        <w:trPr>
          <w:jc w:val="center"/>
          <w:trHeight w:val="1654"/>
        </w:trPr>
        <w:tc>
          <w:tcPr>
            <w:tcW w:w="1509" w:type="dxa"/>
            <w:vAlign w:val="center"/>
            <w:textDirection w:val="lrTb"/>
            <w:noWrap w:val="false"/>
          </w:tcPr>
          <w:p>
            <w:pPr>
              <w:ind w:left="0" w:right="0"/>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验收时间</w:t>
            </w:r>
            <w:r/>
          </w:p>
        </w:tc>
        <w:tc>
          <w:tcPr>
            <w:gridSpan w:val="3"/>
            <w:tcW w:w="2070" w:type="dxa"/>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c>
          <w:tcPr>
            <w:tcW w:w="1010" w:type="dxa"/>
            <w:vAlign w:val="center"/>
            <w:textDirection w:val="lrTb"/>
            <w:noWrap w:val="false"/>
          </w:tcPr>
          <w:p>
            <w:pPr>
              <w:ind w:left="0" w:right="0"/>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验收地点</w:t>
            </w:r>
            <w:r/>
          </w:p>
        </w:tc>
        <w:tc>
          <w:tcPr>
            <w:gridSpan w:val="3"/>
            <w:tcW w:w="1920" w:type="dxa"/>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c>
          <w:tcPr>
            <w:tcW w:w="900" w:type="dxa"/>
            <w:vAlign w:val="center"/>
            <w:textDirection w:val="lrTb"/>
            <w:noWrap w:val="false"/>
          </w:tcPr>
          <w:p>
            <w:pPr>
              <w:ind w:left="0" w:right="0"/>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65"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验收组织形式</w:t>
            </w:r>
            <w:r/>
          </w:p>
        </w:tc>
        <w:tc>
          <w:tcPr>
            <w:gridSpan w:val="2"/>
            <w:tcW w:w="2351" w:type="dxa"/>
            <w:vAlign w:val="center"/>
            <w:textDirection w:val="lrTb"/>
            <w:noWrap w:val="false"/>
          </w:tcPr>
          <w:p>
            <w:pPr>
              <w:ind w:left="0" w:right="0"/>
              <w:jc w:val="left"/>
              <w:keepLines w:val="0"/>
              <w:keepNext w:val="0"/>
              <w:pageBreakBefore w:val="0"/>
              <w:spacing w:line="238"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position w:val="1"/>
                <w:sz w:val="21"/>
                <w:szCs w:val="21"/>
                <w:highlight w:val="none"/>
                <w:lang w:eastAsia="en-US"/>
              </w:rPr>
              <w:t xml:space="preserve">□自行简易验收</w:t>
            </w:r>
            <w:r/>
          </w:p>
          <w:p>
            <w:pPr>
              <w:ind w:left="0" w:right="0"/>
              <w:jc w:val="left"/>
              <w:keepLines w:val="0"/>
              <w:keepNext w:val="0"/>
              <w:pageBreakBefore w:val="0"/>
              <w:spacing w:line="262"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39"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position w:val="1"/>
                <w:sz w:val="21"/>
                <w:szCs w:val="21"/>
                <w:highlight w:val="none"/>
                <w:lang w:eastAsia="en-US"/>
              </w:rPr>
              <w:t xml:space="preserve">□验收小组验收</w:t>
            </w:r>
            <w:r/>
          </w:p>
          <w:p>
            <w:pPr>
              <w:ind w:left="0" w:right="0"/>
              <w:jc w:val="left"/>
              <w:keepLines w:val="0"/>
              <w:keepNext w:val="0"/>
              <w:pageBreakBefore w:val="0"/>
              <w:spacing w:line="259"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38"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position w:val="1"/>
                <w:sz w:val="21"/>
                <w:szCs w:val="21"/>
                <w:highlight w:val="none"/>
                <w:lang w:eastAsia="en-US"/>
              </w:rPr>
              <w:t xml:space="preserve">□采购代理机构验收</w:t>
            </w:r>
            <w:r/>
          </w:p>
        </w:tc>
      </w:tr>
      <w:tr>
        <w:trPr>
          <w:jc w:val="center"/>
          <w:trHeight w:val="1119"/>
        </w:trPr>
        <w:tc>
          <w:tcPr>
            <w:tcBorders>
              <w:bottom w:val="none" w:color="000000" w:sz="4" w:space="0"/>
            </w:tcBorders>
            <w:tcW w:w="1509" w:type="dxa"/>
            <w:vAlign w:val="center"/>
            <w:vMerge w:val="restart"/>
            <w:textDirection w:val="lrTb"/>
            <w:noWrap w:val="false"/>
          </w:tcPr>
          <w:p>
            <w:pPr>
              <w:ind w:left="0" w:right="0"/>
              <w:jc w:val="left"/>
              <w:keepLines w:val="0"/>
              <w:keepNext w:val="0"/>
              <w:pageBreakBefore w:val="0"/>
              <w:spacing w:line="268"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68"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68"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68"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验收内容</w:t>
            </w:r>
            <w:r/>
          </w:p>
        </w:tc>
        <w:tc>
          <w:tcPr>
            <w:gridSpan w:val="2"/>
            <w:tcW w:w="1060" w:type="dxa"/>
            <w:vAlign w:val="center"/>
            <w:textDirection w:val="lrTb"/>
            <w:noWrap w:val="false"/>
          </w:tcPr>
          <w:p>
            <w:pPr>
              <w:ind w:left="0" w:right="0"/>
              <w:jc w:val="left"/>
              <w:keepLines w:val="0"/>
              <w:keepNext w:val="0"/>
              <w:pageBreakBefore w:val="0"/>
              <w:spacing w:line="257"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57"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09"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货物清单</w:t>
            </w:r>
            <w:r/>
          </w:p>
        </w:tc>
        <w:tc>
          <w:tcPr>
            <w:tcW w:w="1010" w:type="dxa"/>
            <w:vAlign w:val="center"/>
            <w:textDirection w:val="lrTb"/>
            <w:noWrap w:val="false"/>
          </w:tcPr>
          <w:p>
            <w:pPr>
              <w:ind w:left="0" w:right="0"/>
              <w:jc w:val="left"/>
              <w:keepLines w:val="0"/>
              <w:keepNext w:val="0"/>
              <w:pageBreakBefore w:val="0"/>
              <w:spacing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品牌、型号、规格、</w:t>
            </w:r>
            <w:r/>
          </w:p>
          <w:p>
            <w:pPr>
              <w:ind w:left="0" w:right="0"/>
              <w:jc w:val="left"/>
              <w:keepLines w:val="0"/>
              <w:keepNext w:val="0"/>
              <w:pageBreakBefore w:val="0"/>
              <w:spacing w:line="299"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0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数量及外观质量</w:t>
            </w:r>
            <w:r/>
          </w:p>
        </w:tc>
        <w:tc>
          <w:tcPr>
            <w:tcW w:w="1010" w:type="dxa"/>
            <w:vAlign w:val="center"/>
            <w:textDirection w:val="lrTb"/>
            <w:noWrap w:val="false"/>
          </w:tcPr>
          <w:p>
            <w:pPr>
              <w:ind w:left="0" w:right="0"/>
              <w:jc w:val="left"/>
              <w:keepLines w:val="0"/>
              <w:keepNext w:val="0"/>
              <w:pageBreakBefore w:val="0"/>
              <w:spacing w:line="257"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57"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技术、性能 指标</w:t>
            </w:r>
            <w:r/>
          </w:p>
        </w:tc>
        <w:tc>
          <w:tcPr>
            <w:gridSpan w:val="2"/>
            <w:tcW w:w="990" w:type="dxa"/>
            <w:vAlign w:val="center"/>
            <w:textDirection w:val="lrTb"/>
            <w:noWrap w:val="false"/>
          </w:tcPr>
          <w:p>
            <w:pPr>
              <w:ind w:left="0" w:right="0"/>
              <w:jc w:val="left"/>
              <w:keepLines w:val="0"/>
              <w:keepNext w:val="0"/>
              <w:pageBreakBefore w:val="0"/>
              <w:spacing w:line="205"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运行状况及</w:t>
            </w:r>
            <w:r/>
          </w:p>
          <w:p>
            <w:pPr>
              <w:ind w:left="0" w:right="0"/>
              <w:jc w:val="left"/>
              <w:keepLines w:val="0"/>
              <w:keepNext w:val="0"/>
              <w:pageBreakBefore w:val="0"/>
              <w:spacing w:line="299"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1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安装调试</w:t>
            </w:r>
            <w:r/>
          </w:p>
        </w:tc>
        <w:tc>
          <w:tcPr>
            <w:tcW w:w="930" w:type="dxa"/>
            <w:vAlign w:val="center"/>
            <w:textDirection w:val="lrTb"/>
            <w:noWrap w:val="false"/>
          </w:tcPr>
          <w:p>
            <w:pPr>
              <w:ind w:left="0" w:right="0"/>
              <w:jc w:val="left"/>
              <w:keepLines w:val="0"/>
              <w:keepNext w:val="0"/>
              <w:pageBreakBefore w:val="0"/>
              <w:spacing w:line="206"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质量证明文</w:t>
            </w:r>
            <w:r/>
          </w:p>
          <w:p>
            <w:pPr>
              <w:ind w:left="0" w:right="0"/>
              <w:jc w:val="left"/>
              <w:keepLines w:val="0"/>
              <w:keepNext w:val="0"/>
              <w:pageBreakBefore w:val="0"/>
              <w:spacing w:line="299"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0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件</w:t>
            </w:r>
            <w:r/>
          </w:p>
        </w:tc>
        <w:tc>
          <w:tcPr>
            <w:tcW w:w="900" w:type="dxa"/>
            <w:vAlign w:val="center"/>
            <w:textDirection w:val="lrTb"/>
            <w:noWrap w:val="false"/>
          </w:tcPr>
          <w:p>
            <w:pPr>
              <w:ind w:left="0" w:right="0"/>
              <w:jc w:val="left"/>
              <w:keepLines w:val="0"/>
              <w:keepNext w:val="0"/>
              <w:pageBreakBefore w:val="0"/>
              <w:spacing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售后服务</w:t>
            </w:r>
            <w:r/>
          </w:p>
          <w:p>
            <w:pPr>
              <w:ind w:left="0" w:right="0"/>
              <w:jc w:val="left"/>
              <w:keepLines w:val="0"/>
              <w:keepNext w:val="0"/>
              <w:pageBreakBefore w:val="0"/>
              <w:spacing w:line="30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06"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承诺</w:t>
            </w:r>
            <w:r/>
          </w:p>
        </w:tc>
        <w:tc>
          <w:tcPr>
            <w:tcW w:w="1261" w:type="dxa"/>
            <w:vAlign w:val="center"/>
            <w:textDirection w:val="lrTb"/>
            <w:noWrap w:val="false"/>
          </w:tcPr>
          <w:p>
            <w:pPr>
              <w:ind w:left="0" w:right="0"/>
              <w:jc w:val="left"/>
              <w:keepLines w:val="0"/>
              <w:keepNext w:val="0"/>
              <w:pageBreakBefore w:val="0"/>
              <w:spacing w:line="257"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57"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09"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安全标准</w:t>
            </w:r>
            <w:r/>
          </w:p>
        </w:tc>
        <w:tc>
          <w:tcPr>
            <w:tcW w:w="1090" w:type="dxa"/>
            <w:vAlign w:val="center"/>
            <w:textDirection w:val="lrTb"/>
            <w:noWrap w:val="false"/>
          </w:tcPr>
          <w:p>
            <w:pPr>
              <w:ind w:left="0" w:right="0"/>
              <w:jc w:val="left"/>
              <w:keepLines w:val="0"/>
              <w:keepNext w:val="0"/>
              <w:pageBreakBefore w:val="0"/>
              <w:spacing w:line="206"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合同履约</w:t>
            </w:r>
            <w:r/>
          </w:p>
          <w:p>
            <w:pPr>
              <w:ind w:left="0" w:right="0"/>
              <w:jc w:val="left"/>
              <w:keepLines w:val="0"/>
              <w:keepNext w:val="0"/>
              <w:pageBreakBefore w:val="0"/>
              <w:spacing w:line="30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时间、地点、方式</w:t>
            </w:r>
            <w:r/>
          </w:p>
        </w:tc>
      </w:tr>
      <w:tr>
        <w:trPr>
          <w:jc w:val="center"/>
          <w:trHeight w:val="1119"/>
        </w:trPr>
        <w:tc>
          <w:tcPr>
            <w:tcBorders>
              <w:top w:val="none" w:color="000000" w:sz="4" w:space="0"/>
            </w:tcBorders>
            <w:tcW w:w="1509" w:type="dxa"/>
            <w:vAlign w:val="center"/>
            <w:vMerge w:val="continue"/>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c>
          <w:tcPr>
            <w:gridSpan w:val="2"/>
            <w:tcW w:w="1060" w:type="dxa"/>
            <w:vAlign w:val="center"/>
            <w:textDirection w:val="lrTb"/>
            <w:noWrap w:val="false"/>
          </w:tcPr>
          <w:p>
            <w:pPr>
              <w:ind w:left="0" w:right="0" w:hanging="2"/>
              <w:jc w:val="left"/>
              <w:keepLines w:val="0"/>
              <w:keepNext w:val="0"/>
              <w:pageBreakBefore w:val="0"/>
              <w:spacing w:line="43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5"/>
                <w:sz w:val="21"/>
                <w:szCs w:val="21"/>
                <w:highlight w:val="none"/>
                <w:lang w:eastAsia="en-US"/>
              </w:rPr>
              <w:t xml:space="preserve">合</w:t>
            </w:r>
            <w:r>
              <w:rPr>
                <w:rFonts w:hint="eastAsia" w:ascii="宋体" w:hAnsi="宋体" w:eastAsia="宋体" w:cs="宋体"/>
                <w:color w:val="auto"/>
                <w:spacing w:val="3"/>
                <w:sz w:val="21"/>
                <w:szCs w:val="21"/>
                <w:highlight w:val="none"/>
                <w:lang w:eastAsia="en-US"/>
              </w:rPr>
              <w:t xml:space="preserve">  </w:t>
            </w:r>
            <w:r>
              <w:rPr>
                <w:rFonts w:hint="eastAsia" w:ascii="宋体" w:hAnsi="宋体" w:eastAsia="宋体" w:cs="宋体"/>
                <w:color w:val="auto"/>
                <w:spacing w:val="-5"/>
                <w:sz w:val="21"/>
                <w:szCs w:val="21"/>
                <w:highlight w:val="none"/>
                <w:lang w:eastAsia="en-US"/>
              </w:rPr>
              <w:t xml:space="preserve">格□</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pacing w:val="-3"/>
                <w:sz w:val="21"/>
                <w:szCs w:val="21"/>
                <w:highlight w:val="none"/>
                <w:lang w:eastAsia="en-US"/>
              </w:rPr>
              <w:t xml:space="preserve">不合格□</w:t>
            </w:r>
            <w:r/>
          </w:p>
        </w:tc>
        <w:tc>
          <w:tcPr>
            <w:tcW w:w="1010" w:type="dxa"/>
            <w:vAlign w:val="center"/>
            <w:textDirection w:val="lrTb"/>
            <w:noWrap w:val="false"/>
          </w:tcPr>
          <w:p>
            <w:pPr>
              <w:ind w:left="0" w:right="0" w:hanging="2"/>
              <w:jc w:val="left"/>
              <w:keepLines w:val="0"/>
              <w:keepNext w:val="0"/>
              <w:pageBreakBefore w:val="0"/>
              <w:spacing w:line="43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5"/>
                <w:sz w:val="21"/>
                <w:szCs w:val="21"/>
                <w:highlight w:val="none"/>
                <w:lang w:eastAsia="en-US"/>
              </w:rPr>
              <w:t xml:space="preserve">合</w:t>
            </w:r>
            <w:r>
              <w:rPr>
                <w:rFonts w:hint="eastAsia" w:ascii="宋体" w:hAnsi="宋体" w:eastAsia="宋体" w:cs="宋体"/>
                <w:color w:val="auto"/>
                <w:spacing w:val="3"/>
                <w:sz w:val="21"/>
                <w:szCs w:val="21"/>
                <w:highlight w:val="none"/>
                <w:lang w:eastAsia="en-US"/>
              </w:rPr>
              <w:t xml:space="preserve">  </w:t>
            </w:r>
            <w:r>
              <w:rPr>
                <w:rFonts w:hint="eastAsia" w:ascii="宋体" w:hAnsi="宋体" w:eastAsia="宋体" w:cs="宋体"/>
                <w:color w:val="auto"/>
                <w:spacing w:val="-5"/>
                <w:sz w:val="21"/>
                <w:szCs w:val="21"/>
                <w:highlight w:val="none"/>
                <w:lang w:eastAsia="en-US"/>
              </w:rPr>
              <w:t xml:space="preserve">格□</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pacing w:val="-3"/>
                <w:sz w:val="21"/>
                <w:szCs w:val="21"/>
                <w:highlight w:val="none"/>
                <w:lang w:eastAsia="en-US"/>
              </w:rPr>
              <w:t xml:space="preserve">不合格□</w:t>
            </w:r>
            <w:r/>
          </w:p>
        </w:tc>
        <w:tc>
          <w:tcPr>
            <w:tcW w:w="1010" w:type="dxa"/>
            <w:vAlign w:val="center"/>
            <w:textDirection w:val="lrTb"/>
            <w:noWrap w:val="false"/>
          </w:tcPr>
          <w:p>
            <w:pPr>
              <w:ind w:left="0" w:right="0" w:hanging="2"/>
              <w:jc w:val="left"/>
              <w:keepLines w:val="0"/>
              <w:keepNext w:val="0"/>
              <w:pageBreakBefore w:val="0"/>
              <w:spacing w:line="43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5"/>
                <w:sz w:val="21"/>
                <w:szCs w:val="21"/>
                <w:highlight w:val="none"/>
                <w:lang w:eastAsia="en-US"/>
              </w:rPr>
              <w:t xml:space="preserve">合</w:t>
            </w:r>
            <w:r>
              <w:rPr>
                <w:rFonts w:hint="eastAsia" w:ascii="宋体" w:hAnsi="宋体" w:eastAsia="宋体" w:cs="宋体"/>
                <w:color w:val="auto"/>
                <w:spacing w:val="3"/>
                <w:sz w:val="21"/>
                <w:szCs w:val="21"/>
                <w:highlight w:val="none"/>
                <w:lang w:eastAsia="en-US"/>
              </w:rPr>
              <w:t xml:space="preserve">  </w:t>
            </w:r>
            <w:r>
              <w:rPr>
                <w:rFonts w:hint="eastAsia" w:ascii="宋体" w:hAnsi="宋体" w:eastAsia="宋体" w:cs="宋体"/>
                <w:color w:val="auto"/>
                <w:spacing w:val="-5"/>
                <w:sz w:val="21"/>
                <w:szCs w:val="21"/>
                <w:highlight w:val="none"/>
                <w:lang w:eastAsia="en-US"/>
              </w:rPr>
              <w:t xml:space="preserve">格□</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pacing w:val="-3"/>
                <w:sz w:val="21"/>
                <w:szCs w:val="21"/>
                <w:highlight w:val="none"/>
                <w:lang w:eastAsia="en-US"/>
              </w:rPr>
              <w:t xml:space="preserve">不合格□</w:t>
            </w:r>
            <w:r/>
          </w:p>
        </w:tc>
        <w:tc>
          <w:tcPr>
            <w:gridSpan w:val="2"/>
            <w:tcW w:w="990" w:type="dxa"/>
            <w:vAlign w:val="center"/>
            <w:textDirection w:val="lrTb"/>
            <w:noWrap w:val="false"/>
          </w:tcPr>
          <w:p>
            <w:pPr>
              <w:ind w:left="0" w:right="0" w:hanging="2"/>
              <w:jc w:val="left"/>
              <w:keepLines w:val="0"/>
              <w:keepNext w:val="0"/>
              <w:pageBreakBefore w:val="0"/>
              <w:spacing w:line="43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5"/>
                <w:sz w:val="21"/>
                <w:szCs w:val="21"/>
                <w:highlight w:val="none"/>
                <w:lang w:eastAsia="en-US"/>
              </w:rPr>
              <w:t xml:space="preserve">合</w:t>
            </w:r>
            <w:r>
              <w:rPr>
                <w:rFonts w:hint="eastAsia" w:ascii="宋体" w:hAnsi="宋体" w:eastAsia="宋体" w:cs="宋体"/>
                <w:color w:val="auto"/>
                <w:spacing w:val="3"/>
                <w:sz w:val="21"/>
                <w:szCs w:val="21"/>
                <w:highlight w:val="none"/>
                <w:lang w:eastAsia="en-US"/>
              </w:rPr>
              <w:t xml:space="preserve">  </w:t>
            </w:r>
            <w:r>
              <w:rPr>
                <w:rFonts w:hint="eastAsia" w:ascii="宋体" w:hAnsi="宋体" w:eastAsia="宋体" w:cs="宋体"/>
                <w:color w:val="auto"/>
                <w:spacing w:val="-5"/>
                <w:sz w:val="21"/>
                <w:szCs w:val="21"/>
                <w:highlight w:val="none"/>
                <w:lang w:eastAsia="en-US"/>
              </w:rPr>
              <w:t xml:space="preserve">格□</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pacing w:val="-3"/>
                <w:sz w:val="21"/>
                <w:szCs w:val="21"/>
                <w:highlight w:val="none"/>
                <w:lang w:eastAsia="en-US"/>
              </w:rPr>
              <w:t xml:space="preserve">不合格□</w:t>
            </w:r>
            <w:r/>
          </w:p>
        </w:tc>
        <w:tc>
          <w:tcPr>
            <w:tcW w:w="930" w:type="dxa"/>
            <w:vAlign w:val="center"/>
            <w:textDirection w:val="lrTb"/>
            <w:noWrap w:val="false"/>
          </w:tcPr>
          <w:p>
            <w:pPr>
              <w:ind w:left="0" w:right="0" w:hanging="47"/>
              <w:jc w:val="left"/>
              <w:keepLines w:val="0"/>
              <w:keepNext w:val="0"/>
              <w:pageBreakBefore w:val="0"/>
              <w:spacing w:line="43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5"/>
                <w:sz w:val="21"/>
                <w:szCs w:val="21"/>
                <w:highlight w:val="none"/>
                <w:lang w:eastAsia="en-US"/>
              </w:rPr>
              <w:t xml:space="preserve">合</w:t>
            </w:r>
            <w:r>
              <w:rPr>
                <w:rFonts w:hint="eastAsia" w:ascii="宋体" w:hAnsi="宋体" w:eastAsia="宋体" w:cs="宋体"/>
                <w:color w:val="auto"/>
                <w:spacing w:val="3"/>
                <w:sz w:val="21"/>
                <w:szCs w:val="21"/>
                <w:highlight w:val="none"/>
                <w:lang w:eastAsia="en-US"/>
              </w:rPr>
              <w:t xml:space="preserve">  </w:t>
            </w:r>
            <w:r>
              <w:rPr>
                <w:rFonts w:hint="eastAsia" w:ascii="宋体" w:hAnsi="宋体" w:eastAsia="宋体" w:cs="宋体"/>
                <w:color w:val="auto"/>
                <w:spacing w:val="-5"/>
                <w:sz w:val="21"/>
                <w:szCs w:val="21"/>
                <w:highlight w:val="none"/>
                <w:lang w:eastAsia="en-US"/>
              </w:rPr>
              <w:t xml:space="preserve">格□</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pacing w:val="-3"/>
                <w:sz w:val="21"/>
                <w:szCs w:val="21"/>
                <w:highlight w:val="none"/>
                <w:lang w:eastAsia="en-US"/>
              </w:rPr>
              <w:t xml:space="preserve">不合格□</w:t>
            </w:r>
            <w:r/>
          </w:p>
        </w:tc>
        <w:tc>
          <w:tcPr>
            <w:tcW w:w="900" w:type="dxa"/>
            <w:vAlign w:val="center"/>
            <w:textDirection w:val="lrTb"/>
            <w:noWrap w:val="false"/>
          </w:tcPr>
          <w:p>
            <w:pPr>
              <w:ind w:left="0" w:right="0" w:hanging="2"/>
              <w:jc w:val="left"/>
              <w:keepLines w:val="0"/>
              <w:keepNext w:val="0"/>
              <w:pageBreakBefore w:val="0"/>
              <w:spacing w:line="43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5"/>
                <w:sz w:val="21"/>
                <w:szCs w:val="21"/>
                <w:highlight w:val="none"/>
                <w:lang w:eastAsia="en-US"/>
              </w:rPr>
              <w:t xml:space="preserve">合</w:t>
            </w:r>
            <w:r>
              <w:rPr>
                <w:rFonts w:hint="eastAsia" w:ascii="宋体" w:hAnsi="宋体" w:eastAsia="宋体" w:cs="宋体"/>
                <w:color w:val="auto"/>
                <w:spacing w:val="3"/>
                <w:sz w:val="21"/>
                <w:szCs w:val="21"/>
                <w:highlight w:val="none"/>
                <w:lang w:eastAsia="en-US"/>
              </w:rPr>
              <w:t xml:space="preserve">  </w:t>
            </w:r>
            <w:r>
              <w:rPr>
                <w:rFonts w:hint="eastAsia" w:ascii="宋体" w:hAnsi="宋体" w:eastAsia="宋体" w:cs="宋体"/>
                <w:color w:val="auto"/>
                <w:spacing w:val="-5"/>
                <w:sz w:val="21"/>
                <w:szCs w:val="21"/>
                <w:highlight w:val="none"/>
                <w:lang w:eastAsia="en-US"/>
              </w:rPr>
              <w:t xml:space="preserve">格□</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pacing w:val="-3"/>
                <w:sz w:val="21"/>
                <w:szCs w:val="21"/>
                <w:highlight w:val="none"/>
                <w:lang w:eastAsia="en-US"/>
              </w:rPr>
              <w:t xml:space="preserve">不合格□</w:t>
            </w:r>
            <w:r/>
          </w:p>
        </w:tc>
        <w:tc>
          <w:tcPr>
            <w:tcW w:w="1261" w:type="dxa"/>
            <w:vAlign w:val="center"/>
            <w:textDirection w:val="lrTb"/>
            <w:noWrap w:val="false"/>
          </w:tcPr>
          <w:p>
            <w:pPr>
              <w:ind w:left="0" w:right="0" w:hanging="2"/>
              <w:jc w:val="left"/>
              <w:keepLines w:val="0"/>
              <w:keepNext w:val="0"/>
              <w:pageBreakBefore w:val="0"/>
              <w:spacing w:line="43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5"/>
                <w:sz w:val="21"/>
                <w:szCs w:val="21"/>
                <w:highlight w:val="none"/>
                <w:lang w:eastAsia="en-US"/>
              </w:rPr>
              <w:t xml:space="preserve">合</w:t>
            </w:r>
            <w:r>
              <w:rPr>
                <w:rFonts w:hint="eastAsia" w:ascii="宋体" w:hAnsi="宋体" w:eastAsia="宋体" w:cs="宋体"/>
                <w:color w:val="auto"/>
                <w:spacing w:val="3"/>
                <w:sz w:val="21"/>
                <w:szCs w:val="21"/>
                <w:highlight w:val="none"/>
                <w:lang w:eastAsia="en-US"/>
              </w:rPr>
              <w:t xml:space="preserve">  </w:t>
            </w:r>
            <w:r>
              <w:rPr>
                <w:rFonts w:hint="eastAsia" w:ascii="宋体" w:hAnsi="宋体" w:eastAsia="宋体" w:cs="宋体"/>
                <w:color w:val="auto"/>
                <w:spacing w:val="-5"/>
                <w:sz w:val="21"/>
                <w:szCs w:val="21"/>
                <w:highlight w:val="none"/>
                <w:lang w:eastAsia="en-US"/>
              </w:rPr>
              <w:t xml:space="preserve">格□</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pacing w:val="-3"/>
                <w:sz w:val="21"/>
                <w:szCs w:val="21"/>
                <w:highlight w:val="none"/>
                <w:lang w:eastAsia="en-US"/>
              </w:rPr>
              <w:t xml:space="preserve">不合格□</w:t>
            </w:r>
            <w:r/>
          </w:p>
        </w:tc>
        <w:tc>
          <w:tcPr>
            <w:tcW w:w="1090" w:type="dxa"/>
            <w:vAlign w:val="center"/>
            <w:textDirection w:val="lrTb"/>
            <w:noWrap w:val="false"/>
          </w:tcPr>
          <w:p>
            <w:pPr>
              <w:ind w:left="0" w:right="0" w:hanging="2"/>
              <w:jc w:val="left"/>
              <w:keepLines w:val="0"/>
              <w:keepNext w:val="0"/>
              <w:pageBreakBefore w:val="0"/>
              <w:spacing w:line="431"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5"/>
                <w:sz w:val="21"/>
                <w:szCs w:val="21"/>
                <w:highlight w:val="none"/>
                <w:lang w:eastAsia="en-US"/>
              </w:rPr>
              <w:t xml:space="preserve">合</w:t>
            </w:r>
            <w:r>
              <w:rPr>
                <w:rFonts w:hint="eastAsia" w:ascii="宋体" w:hAnsi="宋体" w:eastAsia="宋体" w:cs="宋体"/>
                <w:color w:val="auto"/>
                <w:spacing w:val="3"/>
                <w:sz w:val="21"/>
                <w:szCs w:val="21"/>
                <w:highlight w:val="none"/>
                <w:lang w:eastAsia="en-US"/>
              </w:rPr>
              <w:t xml:space="preserve">  </w:t>
            </w:r>
            <w:r>
              <w:rPr>
                <w:rFonts w:hint="eastAsia" w:ascii="宋体" w:hAnsi="宋体" w:eastAsia="宋体" w:cs="宋体"/>
                <w:color w:val="auto"/>
                <w:spacing w:val="-5"/>
                <w:sz w:val="21"/>
                <w:szCs w:val="21"/>
                <w:highlight w:val="none"/>
                <w:lang w:eastAsia="en-US"/>
              </w:rPr>
              <w:t xml:space="preserve">格□</w:t>
            </w:r>
            <w:r>
              <w:rPr>
                <w:rFonts w:hint="eastAsia" w:ascii="宋体" w:hAnsi="宋体" w:eastAsia="宋体" w:cs="宋体"/>
                <w:color w:val="auto"/>
                <w:sz w:val="21"/>
                <w:szCs w:val="21"/>
                <w:highlight w:val="none"/>
                <w:lang w:eastAsia="en-US"/>
              </w:rPr>
              <w:t xml:space="preserve"> </w:t>
            </w:r>
            <w:r>
              <w:rPr>
                <w:rFonts w:hint="eastAsia" w:ascii="宋体" w:hAnsi="宋体" w:eastAsia="宋体" w:cs="宋体"/>
                <w:color w:val="auto"/>
                <w:spacing w:val="-3"/>
                <w:sz w:val="21"/>
                <w:szCs w:val="21"/>
                <w:highlight w:val="none"/>
                <w:lang w:eastAsia="en-US"/>
              </w:rPr>
              <w:t xml:space="preserve">不合格□</w:t>
            </w:r>
            <w:r/>
          </w:p>
        </w:tc>
      </w:tr>
      <w:tr>
        <w:trPr>
          <w:jc w:val="center"/>
          <w:trHeight w:val="944"/>
        </w:trPr>
        <w:tc>
          <w:tcPr>
            <w:tcW w:w="1509" w:type="dxa"/>
            <w:vAlign w:val="center"/>
            <w:textDirection w:val="lrTb"/>
            <w:noWrap w:val="false"/>
          </w:tcPr>
          <w:p>
            <w:pPr>
              <w:ind w:left="0" w:right="0"/>
              <w:jc w:val="left"/>
              <w:keepLines w:val="0"/>
              <w:keepNext w:val="0"/>
              <w:pageBreakBefore w:val="0"/>
              <w:spacing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
                <w:sz w:val="21"/>
                <w:szCs w:val="21"/>
                <w:highlight w:val="none"/>
                <w:lang w:eastAsia="en-US"/>
              </w:rPr>
              <w:t xml:space="preserve">专业检测机构情况</w:t>
            </w:r>
            <w:r/>
          </w:p>
          <w:p>
            <w:pPr>
              <w:ind w:left="0" w:right="0"/>
              <w:jc w:val="left"/>
              <w:keepLines w:val="0"/>
              <w:keepNext w:val="0"/>
              <w:pageBreakBefore w:val="0"/>
              <w:spacing w:line="20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5"/>
                <w:sz w:val="21"/>
                <w:szCs w:val="21"/>
                <w:highlight w:val="none"/>
                <w:lang w:eastAsia="en-US"/>
              </w:rPr>
              <w:t xml:space="preserve">说明</w:t>
            </w:r>
            <w:r/>
          </w:p>
        </w:tc>
        <w:tc>
          <w:tcPr>
            <w:gridSpan w:val="10"/>
            <w:tcW w:w="8251" w:type="dxa"/>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jc w:val="center"/>
          <w:trHeight w:val="844"/>
        </w:trPr>
        <w:tc>
          <w:tcPr>
            <w:tcW w:w="1509" w:type="dxa"/>
            <w:vAlign w:val="center"/>
            <w:textDirection w:val="lrTb"/>
            <w:noWrap w:val="false"/>
          </w:tcPr>
          <w:p>
            <w:pPr>
              <w:ind w:left="0" w:right="0"/>
              <w:jc w:val="left"/>
              <w:keepLines w:val="0"/>
              <w:keepNext w:val="0"/>
              <w:pageBreakBefore w:val="0"/>
              <w:spacing w:line="20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存在问题和</w:t>
            </w:r>
            <w:r/>
          </w:p>
          <w:p>
            <w:pPr>
              <w:ind w:left="0" w:right="0"/>
              <w:jc w:val="left"/>
              <w:keepLines w:val="0"/>
              <w:keepNext w:val="0"/>
              <w:pageBreakBefore w:val="0"/>
              <w:spacing w:line="20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4"/>
                <w:sz w:val="21"/>
                <w:szCs w:val="21"/>
                <w:highlight w:val="none"/>
                <w:lang w:eastAsia="en-US"/>
              </w:rPr>
              <w:t xml:space="preserve">改进意见</w:t>
            </w:r>
            <w:r/>
          </w:p>
        </w:tc>
        <w:tc>
          <w:tcPr>
            <w:gridSpan w:val="10"/>
            <w:tcW w:w="8251" w:type="dxa"/>
            <w:vAlign w:val="center"/>
            <w:textDirection w:val="lrTb"/>
            <w:noWrap w:val="false"/>
          </w:tcPr>
          <w:p>
            <w:pPr>
              <w:ind w:left="0" w:right="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jc w:val="center"/>
          <w:trHeight w:val="577"/>
        </w:trPr>
        <w:tc>
          <w:tcPr>
            <w:tcW w:w="1509" w:type="dxa"/>
            <w:vAlign w:val="center"/>
            <w:textDirection w:val="lrTb"/>
            <w:noWrap w:val="false"/>
          </w:tcPr>
          <w:p>
            <w:pPr>
              <w:ind w:left="0" w:right="0"/>
              <w:jc w:val="left"/>
              <w:keepLines w:val="0"/>
              <w:keepNext w:val="0"/>
              <w:pageBreakBefore w:val="0"/>
              <w:spacing w:line="249"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0" w:right="0"/>
              <w:jc w:val="left"/>
              <w:keepLines w:val="0"/>
              <w:keepNext w:val="0"/>
              <w:pageBreakBefore w:val="0"/>
              <w:spacing w:line="20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3"/>
                <w:sz w:val="21"/>
                <w:szCs w:val="21"/>
                <w:highlight w:val="none"/>
                <w:lang w:eastAsia="en-US"/>
              </w:rPr>
              <w:t xml:space="preserve">最终结论</w:t>
            </w:r>
            <w:r/>
          </w:p>
        </w:tc>
        <w:tc>
          <w:tcPr>
            <w:gridSpan w:val="10"/>
            <w:tcW w:w="8251" w:type="dxa"/>
            <w:vAlign w:val="center"/>
            <w:textDirection w:val="lrTb"/>
            <w:noWrap w:val="false"/>
          </w:tcPr>
          <w:p>
            <w:pPr>
              <w:ind w:left="0" w:right="0"/>
              <w:jc w:val="left"/>
              <w:keepLines w:val="0"/>
              <w:keepNext w:val="0"/>
              <w:pageBreakBefore w:val="0"/>
              <w:spacing w:line="240"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position w:val="1"/>
                <w:sz w:val="21"/>
                <w:szCs w:val="21"/>
                <w:highlight w:val="none"/>
                <w:lang w:eastAsia="en-US"/>
              </w:rPr>
              <w:t xml:space="preserve">合  格□</w:t>
            </w:r>
            <w:r>
              <w:rPr>
                <w:rFonts w:hint="eastAsia" w:ascii="宋体" w:hAnsi="宋体" w:eastAsia="宋体" w:cs="宋体"/>
                <w:color w:val="auto"/>
                <w:position w:val="1"/>
                <w:sz w:val="21"/>
                <w:szCs w:val="21"/>
                <w:highlight w:val="none"/>
                <w:lang w:eastAsia="en-US"/>
              </w:rPr>
              <w:t xml:space="preserve">                              </w:t>
            </w:r>
            <w:r>
              <w:rPr>
                <w:rFonts w:hint="eastAsia" w:ascii="宋体" w:hAnsi="宋体" w:eastAsia="宋体" w:cs="宋体"/>
                <w:color w:val="auto"/>
                <w:spacing w:val="-2"/>
                <w:position w:val="1"/>
                <w:sz w:val="21"/>
                <w:szCs w:val="21"/>
                <w:highlight w:val="none"/>
                <w:lang w:eastAsia="en-US"/>
              </w:rPr>
              <w:t xml:space="preserve">不合格□</w:t>
            </w:r>
            <w:r/>
          </w:p>
        </w:tc>
      </w:tr>
      <w:tr>
        <w:trPr>
          <w:jc w:val="center"/>
          <w:trHeight w:val="567"/>
        </w:trPr>
        <w:tc>
          <w:tcPr>
            <w:gridSpan w:val="2"/>
            <w:tcW w:w="2191"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189"/>
              <w:jc w:val="left"/>
              <w:spacing w:before="58"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
                <w:sz w:val="21"/>
                <w:szCs w:val="21"/>
                <w:highlight w:val="none"/>
                <w:lang w:eastAsia="en-US"/>
              </w:rPr>
              <w:t xml:space="preserve">验收小组成员签字</w:t>
            </w:r>
            <w:r/>
          </w:p>
        </w:tc>
        <w:tc>
          <w:tcPr>
            <w:gridSpan w:val="9"/>
            <w:tcW w:w="7569"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jc w:val="center"/>
          <w:trHeight w:val="559"/>
        </w:trPr>
        <w:tc>
          <w:tcPr>
            <w:gridSpan w:val="6"/>
            <w:tcW w:w="4670" w:type="dxa"/>
            <w:vAlign w:val="top"/>
            <w:textDirection w:val="lrTb"/>
            <w:noWrap w:val="false"/>
          </w:tcPr>
          <w:p>
            <w:pPr>
              <w:ind w:left="2814"/>
              <w:jc w:val="left"/>
              <w:spacing w:before="295" w:line="208"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
                <w:sz w:val="21"/>
                <w:szCs w:val="21"/>
                <w:highlight w:val="none"/>
                <w:lang w:eastAsia="en-US"/>
              </w:rPr>
              <w:t xml:space="preserve">采购代理机构意见</w:t>
            </w:r>
            <w:r/>
          </w:p>
        </w:tc>
        <w:tc>
          <w:tcPr>
            <w:gridSpan w:val="5"/>
            <w:tcW w:w="5090" w:type="dxa"/>
            <w:vAlign w:val="top"/>
            <w:textDirection w:val="lrTb"/>
            <w:noWrap w:val="false"/>
          </w:tcPr>
          <w:p>
            <w:pPr>
              <w:ind w:left="3109"/>
              <w:jc w:val="left"/>
              <w:spacing w:before="295" w:line="20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采购人意见</w:t>
            </w:r>
            <w:r/>
          </w:p>
        </w:tc>
      </w:tr>
      <w:tr>
        <w:trPr>
          <w:jc w:val="center"/>
          <w:trHeight w:val="1401"/>
        </w:trPr>
        <w:tc>
          <w:tcPr>
            <w:gridSpan w:val="6"/>
            <w:tcW w:w="4670" w:type="dxa"/>
            <w:vAlign w:val="top"/>
            <w:textDirection w:val="lrTb"/>
            <w:noWrap w:val="false"/>
          </w:tcPr>
          <w:p>
            <w:pPr>
              <w:jc w:val="left"/>
              <w:spacing w:before="59" w:line="238" w:lineRule="exact"/>
              <w:widowControl/>
              <w:rPr>
                <w:rFonts w:hint="eastAsia" w:ascii="宋体" w:hAnsi="宋体" w:eastAsia="宋体" w:cs="宋体"/>
                <w:color w:val="auto"/>
                <w:spacing w:val="1"/>
                <w:position w:val="1"/>
                <w:sz w:val="21"/>
                <w:szCs w:val="21"/>
                <w:highlight w:val="none"/>
                <w:lang w:eastAsia="en-US"/>
              </w:rPr>
            </w:pPr>
            <w:r>
              <w:rPr>
                <w:rFonts w:hint="eastAsia" w:ascii="宋体" w:hAnsi="宋体" w:eastAsia="宋体" w:cs="宋体"/>
                <w:color w:val="auto"/>
                <w:spacing w:val="1"/>
                <w:position w:val="1"/>
                <w:sz w:val="21"/>
                <w:szCs w:val="21"/>
                <w:highlight w:val="none"/>
                <w:lang w:eastAsia="en-US"/>
              </w:rPr>
              <w:t xml:space="preserve">经办人：        </w:t>
            </w:r>
            <w:r/>
          </w:p>
          <w:p>
            <w:pPr>
              <w:jc w:val="left"/>
              <w:spacing w:before="59" w:line="238" w:lineRule="exact"/>
              <w:widowControl/>
              <w:rPr>
                <w:rFonts w:hint="eastAsia" w:ascii="宋体" w:hAnsi="宋体" w:eastAsia="宋体" w:cs="宋体"/>
                <w:color w:val="auto"/>
                <w:position w:val="1"/>
                <w:sz w:val="21"/>
                <w:szCs w:val="21"/>
                <w:highlight w:val="none"/>
                <w:lang w:eastAsia="en-US"/>
              </w:rPr>
            </w:pPr>
            <w:r>
              <w:rPr>
                <w:rFonts w:hint="eastAsia" w:ascii="宋体" w:hAnsi="宋体" w:eastAsia="宋体" w:cs="宋体"/>
                <w:color w:val="auto"/>
                <w:spacing w:val="1"/>
                <w:position w:val="1"/>
                <w:sz w:val="21"/>
                <w:szCs w:val="21"/>
                <w:highlight w:val="none"/>
                <w:lang w:eastAsia="en-US"/>
              </w:rPr>
              <w:t xml:space="preserve">负责人</w:t>
            </w:r>
            <w:r>
              <w:rPr>
                <w:rFonts w:hint="eastAsia" w:ascii="宋体" w:hAnsi="宋体" w:eastAsia="宋体" w:cs="宋体"/>
                <w:color w:val="auto"/>
                <w:spacing w:val="-18"/>
                <w:position w:val="1"/>
                <w:sz w:val="21"/>
                <w:szCs w:val="21"/>
                <w:highlight w:val="none"/>
                <w:lang w:eastAsia="en-US"/>
              </w:rPr>
              <w:t xml:space="preserve">：</w:t>
            </w:r>
            <w:r>
              <w:rPr>
                <w:rFonts w:hint="eastAsia" w:ascii="宋体" w:hAnsi="宋体" w:eastAsia="宋体" w:cs="宋体"/>
                <w:color w:val="auto"/>
                <w:position w:val="1"/>
                <w:sz w:val="21"/>
                <w:szCs w:val="21"/>
                <w:highlight w:val="none"/>
                <w:lang w:eastAsia="en-US"/>
              </w:rPr>
              <w:t xml:space="preserve">        </w:t>
            </w:r>
            <w:r/>
          </w:p>
          <w:p>
            <w:pPr>
              <w:jc w:val="left"/>
              <w:spacing w:before="59" w:line="238" w:lineRule="exact"/>
              <w:widowControl/>
              <w:rPr>
                <w:rFonts w:hint="eastAsia" w:ascii="宋体" w:hAnsi="宋体" w:eastAsia="宋体" w:cs="宋体"/>
                <w:color w:val="auto"/>
                <w:position w:val="1"/>
                <w:sz w:val="21"/>
                <w:szCs w:val="21"/>
                <w:highlight w:val="none"/>
                <w:lang w:eastAsia="en-US"/>
              </w:rPr>
            </w:pPr>
            <w:r>
              <w:rPr>
                <w:rFonts w:hint="eastAsia" w:ascii="宋体" w:hAnsi="宋体" w:eastAsia="宋体" w:cs="宋体"/>
                <w:color w:val="auto"/>
                <w:position w:val="1"/>
                <w:sz w:val="21"/>
                <w:szCs w:val="21"/>
                <w:highlight w:val="none"/>
                <w:lang w:eastAsia="en-US"/>
              </w:rPr>
            </w:r>
            <w:r/>
          </w:p>
          <w:p>
            <w:pPr>
              <w:jc w:val="left"/>
              <w:spacing w:before="59" w:line="238"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8"/>
                <w:position w:val="1"/>
                <w:sz w:val="21"/>
                <w:szCs w:val="21"/>
                <w:highlight w:val="none"/>
                <w:lang w:eastAsia="en-US"/>
              </w:rPr>
              <w:t xml:space="preserve">（</w:t>
            </w:r>
            <w:r>
              <w:rPr>
                <w:rFonts w:hint="eastAsia" w:ascii="宋体" w:hAnsi="宋体" w:eastAsia="宋体" w:cs="宋体"/>
                <w:color w:val="auto"/>
                <w:spacing w:val="1"/>
                <w:position w:val="1"/>
                <w:sz w:val="21"/>
                <w:szCs w:val="21"/>
                <w:highlight w:val="none"/>
                <w:lang w:eastAsia="en-US"/>
              </w:rPr>
              <w:t xml:space="preserve">采购代理机构公章）</w:t>
            </w:r>
            <w:r/>
          </w:p>
        </w:tc>
        <w:tc>
          <w:tcPr>
            <w:gridSpan w:val="5"/>
            <w:tcW w:w="5090" w:type="dxa"/>
            <w:vAlign w:val="top"/>
            <w:textDirection w:val="lrTb"/>
            <w:noWrap w:val="false"/>
          </w:tcPr>
          <w:p>
            <w:pPr>
              <w:jc w:val="left"/>
              <w:spacing w:before="59" w:line="238" w:lineRule="exact"/>
              <w:widowControl/>
              <w:rPr>
                <w:rFonts w:hint="eastAsia" w:ascii="宋体" w:hAnsi="宋体" w:eastAsia="宋体" w:cs="宋体"/>
                <w:color w:val="auto"/>
                <w:spacing w:val="1"/>
                <w:position w:val="1"/>
                <w:sz w:val="21"/>
                <w:szCs w:val="21"/>
                <w:highlight w:val="none"/>
                <w:lang w:eastAsia="en-US"/>
              </w:rPr>
            </w:pPr>
            <w:r>
              <w:rPr>
                <w:rFonts w:hint="eastAsia" w:ascii="宋体" w:hAnsi="宋体" w:eastAsia="宋体" w:cs="宋体"/>
                <w:color w:val="auto"/>
                <w:spacing w:val="1"/>
                <w:position w:val="1"/>
                <w:sz w:val="21"/>
                <w:szCs w:val="21"/>
                <w:highlight w:val="none"/>
                <w:lang w:eastAsia="en-US"/>
              </w:rPr>
              <w:t xml:space="preserve">经办人：        </w:t>
            </w:r>
            <w:r/>
          </w:p>
          <w:p>
            <w:pPr>
              <w:jc w:val="left"/>
              <w:spacing w:before="59" w:line="238" w:lineRule="exact"/>
              <w:widowControl/>
              <w:rPr>
                <w:rFonts w:hint="eastAsia" w:ascii="宋体" w:hAnsi="宋体" w:eastAsia="宋体" w:cs="宋体"/>
                <w:color w:val="auto"/>
                <w:spacing w:val="8"/>
                <w:position w:val="1"/>
                <w:sz w:val="21"/>
                <w:szCs w:val="21"/>
                <w:highlight w:val="none"/>
                <w:lang w:eastAsia="en-US"/>
              </w:rPr>
            </w:pPr>
            <w:r>
              <w:rPr>
                <w:rFonts w:hint="eastAsia" w:ascii="宋体" w:hAnsi="宋体" w:eastAsia="宋体" w:cs="宋体"/>
                <w:color w:val="auto"/>
                <w:spacing w:val="1"/>
                <w:position w:val="1"/>
                <w:sz w:val="21"/>
                <w:szCs w:val="21"/>
                <w:highlight w:val="none"/>
                <w:lang w:eastAsia="en-US"/>
              </w:rPr>
              <w:t xml:space="preserve">负责人</w:t>
            </w:r>
            <w:r>
              <w:rPr>
                <w:rFonts w:hint="eastAsia" w:ascii="宋体" w:hAnsi="宋体" w:eastAsia="宋体" w:cs="宋体"/>
                <w:color w:val="auto"/>
                <w:spacing w:val="-17"/>
                <w:position w:val="1"/>
                <w:sz w:val="21"/>
                <w:szCs w:val="21"/>
                <w:highlight w:val="none"/>
                <w:lang w:eastAsia="en-US"/>
              </w:rPr>
              <w:t xml:space="preserve">：</w:t>
            </w:r>
            <w:r>
              <w:rPr>
                <w:rFonts w:hint="eastAsia" w:ascii="宋体" w:hAnsi="宋体" w:eastAsia="宋体" w:cs="宋体"/>
                <w:color w:val="auto"/>
                <w:spacing w:val="8"/>
                <w:position w:val="1"/>
                <w:sz w:val="21"/>
                <w:szCs w:val="21"/>
                <w:highlight w:val="none"/>
                <w:lang w:eastAsia="en-US"/>
              </w:rPr>
              <w:t xml:space="preserve">         </w:t>
            </w:r>
            <w:r/>
          </w:p>
          <w:p>
            <w:pPr>
              <w:jc w:val="left"/>
              <w:spacing w:before="59" w:line="238" w:lineRule="exact"/>
              <w:widowControl/>
              <w:rPr>
                <w:rFonts w:hint="eastAsia" w:ascii="宋体" w:hAnsi="宋体" w:eastAsia="宋体" w:cs="宋体"/>
                <w:color w:val="auto"/>
                <w:spacing w:val="8"/>
                <w:position w:val="1"/>
                <w:sz w:val="21"/>
                <w:szCs w:val="21"/>
                <w:highlight w:val="none"/>
                <w:lang w:eastAsia="en-US"/>
              </w:rPr>
            </w:pPr>
            <w:r>
              <w:rPr>
                <w:rFonts w:hint="eastAsia" w:ascii="宋体" w:hAnsi="宋体" w:eastAsia="宋体" w:cs="宋体"/>
                <w:color w:val="auto"/>
                <w:spacing w:val="8"/>
                <w:position w:val="1"/>
                <w:sz w:val="21"/>
                <w:szCs w:val="21"/>
                <w:highlight w:val="none"/>
                <w:lang w:eastAsia="en-US"/>
              </w:rPr>
            </w:r>
            <w:r/>
          </w:p>
          <w:p>
            <w:pPr>
              <w:jc w:val="left"/>
              <w:spacing w:before="59" w:line="238"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7"/>
                <w:position w:val="1"/>
                <w:sz w:val="21"/>
                <w:szCs w:val="21"/>
                <w:highlight w:val="none"/>
                <w:lang w:eastAsia="en-US"/>
              </w:rPr>
              <w:t xml:space="preserve">（</w:t>
            </w:r>
            <w:r>
              <w:rPr>
                <w:rFonts w:hint="eastAsia" w:ascii="宋体" w:hAnsi="宋体" w:eastAsia="宋体" w:cs="宋体"/>
                <w:color w:val="auto"/>
                <w:spacing w:val="1"/>
                <w:position w:val="1"/>
                <w:sz w:val="21"/>
                <w:szCs w:val="21"/>
                <w:highlight w:val="none"/>
                <w:lang w:eastAsia="en-US"/>
              </w:rPr>
              <w:t xml:space="preserve">采购人公章）</w:t>
            </w:r>
            <w:r/>
          </w:p>
        </w:tc>
      </w:tr>
      <w:tr>
        <w:trPr>
          <w:jc w:val="center"/>
          <w:trHeight w:val="1223"/>
        </w:trPr>
        <w:tc>
          <w:tcPr>
            <w:gridSpan w:val="11"/>
            <w:tcW w:w="9760" w:type="dxa"/>
            <w:vAlign w:val="top"/>
            <w:textDirection w:val="lrTb"/>
            <w:noWrap w:val="false"/>
          </w:tcPr>
          <w:p>
            <w:pPr>
              <w:ind w:left="113"/>
              <w:jc w:val="left"/>
              <w:spacing w:before="299" w:line="207" w:lineRule="auto"/>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供应商确认：</w:t>
            </w:r>
            <w:r/>
          </w:p>
          <w:p>
            <w:pPr>
              <w:jc w:val="left"/>
              <w:spacing w:line="27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left="118"/>
              <w:jc w:val="left"/>
              <w:spacing w:before="59" w:line="239" w:lineRule="exac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1"/>
                <w:position w:val="1"/>
                <w:sz w:val="21"/>
                <w:szCs w:val="21"/>
                <w:highlight w:val="none"/>
                <w:lang w:eastAsia="en-US"/>
              </w:rPr>
              <w:t xml:space="preserve">（单位公章或授权代表签字）</w:t>
            </w:r>
            <w:r/>
          </w:p>
        </w:tc>
      </w:tr>
    </w:tbl>
    <w:p>
      <w:pPr>
        <w:ind w:firstLine="420"/>
        <w:jc w:val="left"/>
        <w:spacing w:before="268" w:line="360" w:lineRule="auto"/>
        <w:widowControl/>
        <w:rPr>
          <w:rFonts w:ascii="宋体" w:hAnsi="宋体" w:eastAsia="宋体" w:cs="宋体"/>
          <w:color w:val="auto"/>
          <w:sz w:val="21"/>
          <w:szCs w:val="21"/>
          <w:highlight w:val="none"/>
          <w:lang w:eastAsia="en-US"/>
        </w:rPr>
      </w:pPr>
      <w:r>
        <w:rPr>
          <w:rFonts w:ascii="宋体" w:hAnsi="宋体" w:eastAsia="宋体" w:cs="宋体"/>
          <w:color w:val="auto"/>
          <w:position w:val="1"/>
          <w:sz w:val="21"/>
          <w:szCs w:val="21"/>
          <w:highlight w:val="none"/>
          <w:lang w:eastAsia="en-US"/>
        </w:rPr>
        <w:t xml:space="preserve">说明: 1.该表为货物类项目履约验收的参考样表，采购人或采购代理机构可以</w:t>
      </w:r>
      <w:r>
        <w:rPr>
          <w:rFonts w:ascii="宋体" w:hAnsi="宋体" w:eastAsia="宋体" w:cs="宋体"/>
          <w:color w:val="auto"/>
          <w:spacing w:val="-1"/>
          <w:position w:val="1"/>
          <w:sz w:val="21"/>
          <w:szCs w:val="21"/>
          <w:highlight w:val="none"/>
          <w:lang w:eastAsia="en-US"/>
        </w:rPr>
        <w:t xml:space="preserve">根据工作实际进行调整。</w:t>
      </w:r>
      <w:r/>
    </w:p>
    <w:p>
      <w:pPr>
        <w:ind w:firstLine="420"/>
        <w:jc w:val="left"/>
        <w:spacing w:before="58" w:line="360" w:lineRule="auto"/>
        <w:widowControl/>
        <w:rPr>
          <w:rFonts w:ascii="Arial" w:hAnsi="Arial" w:eastAsia="Arial" w:cs="Arial"/>
          <w:color w:val="auto"/>
          <w:sz w:val="21"/>
          <w:szCs w:val="21"/>
          <w:highlight w:val="none"/>
        </w:rPr>
        <w:sectPr>
          <w:footerReference w:type="default" r:id="rId13"/>
          <w:footnotePr/>
          <w:endnotePr/>
          <w:type w:val="nextPage"/>
          <w:pgSz w:w="12235" w:h="15818" w:orient="portrait"/>
          <w:pgMar w:top="807" w:right="1099" w:bottom="761" w:left="1039" w:header="0" w:footer="884" w:gutter="0"/>
          <w:cols w:num="1" w:sep="0" w:space="720" w:equalWidth="1"/>
          <w:docGrid w:linePitch="360"/>
        </w:sectPr>
        <w:outlineLvl w:val="0"/>
      </w:pPr>
      <w:r>
        <w:rPr>
          <w:rFonts w:ascii="宋体" w:hAnsi="宋体" w:eastAsia="宋体" w:cs="宋体"/>
          <w:color w:val="auto"/>
          <w:position w:val="1"/>
          <w:sz w:val="21"/>
          <w:szCs w:val="21"/>
          <w:highlight w:val="none"/>
          <w:lang w:eastAsia="en-US"/>
        </w:rPr>
        <w:t xml:space="preserve">2.未委托采购代理机构开展履约验收工作的，无需填写“</w:t>
      </w:r>
      <w:r>
        <w:rPr>
          <w:rFonts w:ascii="宋体" w:hAnsi="宋体" w:eastAsia="宋体" w:cs="宋体"/>
          <w:color w:val="auto"/>
          <w:spacing w:val="-1"/>
          <w:position w:val="1"/>
          <w:sz w:val="21"/>
          <w:szCs w:val="21"/>
          <w:highlight w:val="none"/>
          <w:lang w:eastAsia="en-US"/>
        </w:rPr>
        <w:t xml:space="preserve">采购代理机构意见</w:t>
      </w:r>
      <w:r>
        <w:rPr>
          <w:rFonts w:ascii="宋体" w:hAnsi="宋体" w:eastAsia="宋体" w:cs="宋体"/>
          <w:color w:val="auto"/>
          <w:spacing w:val="-66"/>
          <w:position w:val="1"/>
          <w:sz w:val="21"/>
          <w:szCs w:val="21"/>
          <w:highlight w:val="none"/>
          <w:lang w:eastAsia="en-US"/>
        </w:rPr>
        <w:t xml:space="preserve"> </w:t>
      </w:r>
      <w:r>
        <w:rPr>
          <w:rFonts w:ascii="宋体" w:hAnsi="宋体" w:eastAsia="宋体" w:cs="宋体"/>
          <w:color w:val="auto"/>
          <w:spacing w:val="-1"/>
          <w:position w:val="1"/>
          <w:sz w:val="21"/>
          <w:szCs w:val="21"/>
          <w:highlight w:val="none"/>
          <w:lang w:eastAsia="en-US"/>
        </w:rPr>
        <w:t xml:space="preserve">”</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五</w:t>
      </w:r>
      <w:r>
        <w:rPr>
          <w:rFonts w:hint="eastAsia" w:ascii="宋体" w:hAnsi="宋体" w:cs="宋体"/>
          <w:b/>
          <w:color w:val="auto"/>
          <w:sz w:val="21"/>
          <w:szCs w:val="21"/>
          <w:highlight w:val="none"/>
        </w:rPr>
        <w:t xml:space="preserve">、质保与售后服务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以上设备免费保修期：塑料、橡胶材质产品不</w:t>
      </w:r>
      <w:r>
        <w:rPr>
          <w:rFonts w:hint="eastAsia" w:ascii="宋体" w:hAnsi="宋体" w:cs="宋体"/>
          <w:color w:val="auto"/>
          <w:sz w:val="21"/>
          <w:szCs w:val="21"/>
          <w:highlight w:val="none"/>
        </w:rPr>
        <w:t xml:space="preserve">低于一年，标线产品不低于一年，杆件、基础免费保修不低于十年，其它不低于三年，对于建设方提出的交通设施维护需求，中标方应当2个小时内响应（2小时内到达现场），1个工作日内完成修复，需要配件重新制作的3个工作日内完成修复，确属困难的报建设方，经同意后可以延长修复时间。新建设施的根据甲方要求期限完成。在完成甲方要求的工程量以外，还需要对全市交通标志等设施进行巡检排查，发现问题整理后提出优化方案，报设施管理人员确认后进行设置。每月向甲方提供工程进度资料，待甲方进行确认，建立每次新建、维修及更换施工的台账提供给甲方。</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六</w:t>
      </w:r>
      <w:r>
        <w:rPr>
          <w:rFonts w:hint="eastAsia" w:ascii="宋体" w:hAnsi="宋体" w:cs="宋体"/>
          <w:b/>
          <w:color w:val="auto"/>
          <w:sz w:val="21"/>
          <w:szCs w:val="21"/>
          <w:highlight w:val="none"/>
        </w:rPr>
        <w:t xml:space="preserve">、运输包装要求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提供的全部设备和产品禁止裸装，必须有防水、防震、防碰撞、防刮、防刺的坚固外包装，必须按材料的编号进行装箱，并且所有的包装箱及零部件上必须标有与装箱单一致的中文标签编号（装箱单为中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2、随机带来的备件和检测安装维修工具应与设备分开包装，单独装箱。这些箱盒应适合于储存，储存年限应在包装上予以说明，包装箱标签应能快速辨认。</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3、设备产品到货后的开箱检验，供应方必须按需方要求参加设备产品的到货检验。若供方不参加到货开箱检验，因此而发生的一切后果由供方承担。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4、交通标志全部材料的运输及现场卸车费用由供应方承担。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5、因运输、粗糙装卸等原因造成油漆脱落，供方应负责派人修补。</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七</w:t>
      </w:r>
      <w:r>
        <w:rPr>
          <w:rFonts w:hint="eastAsia" w:ascii="宋体" w:hAnsi="宋体" w:cs="宋体"/>
          <w:b/>
          <w:color w:val="auto"/>
          <w:sz w:val="21"/>
          <w:szCs w:val="21"/>
          <w:highlight w:val="none"/>
        </w:rPr>
        <w:t xml:space="preserve">、采购方配合工作</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采购方负责及时提供安装调试所需的电源、通道、场地；负责办妥安装前有关手续并配合供方办理有关验收手续；负责提供供方所需的图纸和相关资料；负责供方与其他施工队伍的协调。</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八</w:t>
      </w:r>
      <w:r>
        <w:rPr>
          <w:rFonts w:hint="eastAsia" w:ascii="宋体" w:hAnsi="宋体" w:cs="宋体"/>
          <w:b/>
          <w:color w:val="auto"/>
          <w:sz w:val="21"/>
          <w:szCs w:val="21"/>
          <w:highlight w:val="none"/>
        </w:rPr>
        <w:t xml:space="preserve">、综合说明其他要求：</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1、按合同规定期限到货和安装、调试；</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投标人所投报品牌的产品应能够至少达到本项目要求的技术参数要求，投标人需明确所投产品的品牌、型号、规格和外形、尺寸、重量及一些必须说明的技术参数，以及使用的材料的清单，同时明确生产厂家、型号规格等，并提供详细的技术参数及性能说明书。</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3、投标人必须承诺招标文件中提出的全部技术规格与要求，如果以其中某些条款不响应时，应在文件中逐条列出，未列出的视同响应。</w:t>
      </w:r>
      <w:r/>
    </w:p>
    <w:p>
      <w:pPr>
        <w:pStyle w:val="1046"/>
        <w:ind w:firstLine="0"/>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    九</w:t>
      </w:r>
      <w:r>
        <w:rPr>
          <w:rFonts w:hint="eastAsia" w:ascii="宋体" w:hAnsi="宋体" w:cs="宋体"/>
          <w:b/>
          <w:color w:val="auto"/>
          <w:sz w:val="21"/>
          <w:szCs w:val="21"/>
          <w:highlight w:val="none"/>
        </w:rPr>
        <w:t xml:space="preserve">、付款方式：</w:t>
      </w:r>
      <w:r/>
    </w:p>
    <w:p>
      <w:pPr>
        <w:pStyle w:val="1046"/>
        <w:ind w:firstLine="42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1.中标通知书发出后，中标单位应于合同签订前向采购单位指定账户交纳中标合同金额5%的履约保证金。</w:t>
      </w:r>
      <w:r/>
    </w:p>
    <w:p>
      <w:pPr>
        <w:pStyle w:val="104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2.合同签订后三个月内支付合同金额50%首付款，随后根据工程进度可适时支付不超过合同总额的80%，余下款项待到工程竣工，验收合格经审计等规定程序后两个月内一次性付清，</w:t>
      </w:r>
      <w:r>
        <w:rPr>
          <w:rFonts w:hint="eastAsia" w:ascii="宋体" w:hAnsi="宋体"/>
          <w:color w:val="auto"/>
          <w:sz w:val="21"/>
          <w:szCs w:val="21"/>
          <w:highlight w:val="none"/>
        </w:rPr>
        <w:t xml:space="preserve">具体时间以财政资金下达情况为准。</w:t>
      </w:r>
      <w:r/>
    </w:p>
    <w:p>
      <w:pPr>
        <w:pStyle w:val="1053"/>
        <w:ind w:firstLine="420"/>
        <w:spacing w:line="360" w:lineRule="auto"/>
        <w:rPr>
          <w:rFonts w:hint="eastAsia" w:ascii="宋体" w:hAnsi="宋体" w:eastAsia="宋体" w:cs="宋体"/>
          <w:b/>
          <w:color w:val="auto"/>
          <w:sz w:val="21"/>
          <w:szCs w:val="21"/>
          <w:highlight w:val="none"/>
        </w:rPr>
        <w:outlineLvl w:val="1"/>
      </w:pPr>
      <w:r>
        <w:rPr>
          <w:rFonts w:hint="eastAsia" w:ascii="宋体" w:hAnsi="宋体" w:eastAsia="宋体" w:cs="宋体"/>
          <w:color w:val="auto"/>
          <w:sz w:val="21"/>
          <w:szCs w:val="21"/>
          <w:highlight w:val="none"/>
        </w:rPr>
        <w:t xml:space="preserve">3.结算方法：中标后实施的相关项目工程需签订有关合同，但所依据的单价等内容均以本次投标承诺的内容为依据，本次标书中没有指明的，由供需双方协商签订</w:t>
      </w:r>
      <w:r/>
    </w:p>
    <w:p>
      <w:pPr>
        <w:contextualSpacing/>
        <w:ind w:left="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contextualSpacing/>
        <w:ind w:left="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jc w:val="both"/>
        <w:spacing w:line="400" w:lineRule="exact"/>
        <w:rPr>
          <w:rStyle w:val="981"/>
          <w:rFonts w:hint="eastAsia" w:ascii="宋体" w:hAnsi="宋体" w:eastAsia="宋体" w:cs="宋体"/>
          <w:color w:val="auto"/>
          <w:sz w:val="32"/>
          <w:szCs w:val="32"/>
          <w:highlight w:val="none"/>
        </w:rPr>
      </w:pPr>
      <w:r/>
      <w:bookmarkStart w:id="5" w:name="_Toc25002"/>
      <w:r/>
      <w:r/>
    </w:p>
    <w:p>
      <w:pPr>
        <w:jc w:val="center"/>
        <w:spacing w:line="400" w:lineRule="exact"/>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both"/>
        <w:spacing w:line="400" w:lineRule="exact"/>
        <w:rPr>
          <w:rStyle w:val="981"/>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rPr>
          <w:rStyle w:val="981"/>
          <w:rFonts w:hint="eastAsia" w:ascii="宋体" w:hAnsi="宋体" w:eastAsia="宋体" w:cs="宋体"/>
          <w:color w:val="auto"/>
          <w:sz w:val="32"/>
          <w:szCs w:val="32"/>
          <w:highlight w:val="none"/>
        </w:rPr>
      </w:pPr>
      <w:r>
        <w:rPr>
          <w:highlight w:val="none"/>
        </w:rPr>
      </w:r>
      <w:r>
        <w:rPr>
          <w:highlight w:val="none"/>
        </w:rPr>
      </w:r>
    </w:p>
    <w:p>
      <w:pPr>
        <w:jc w:val="center"/>
        <w:spacing w:line="400" w:lineRule="exact"/>
        <w:rPr>
          <w:highlight w:val="none"/>
        </w:rPr>
      </w:pPr>
      <w:r>
        <w:rPr>
          <w:highlight w:val="none"/>
        </w:rPr>
      </w:r>
      <w:r>
        <w:rPr>
          <w:highlight w:val="none"/>
        </w:rPr>
      </w:r>
    </w:p>
    <w:p>
      <w:pPr>
        <w:jc w:val="center"/>
        <w:spacing w:line="400" w:lineRule="exact"/>
        <w:rPr>
          <w:highlight w:val="none"/>
        </w:rPr>
      </w:pPr>
      <w:r>
        <w:rPr>
          <w:highlight w:val="none"/>
        </w:rPr>
      </w:r>
      <w:r>
        <w:rPr>
          <w:highlight w:val="none"/>
        </w:rPr>
      </w:r>
    </w:p>
    <w:p>
      <w:pPr>
        <w:jc w:val="center"/>
        <w:spacing w:line="400" w:lineRule="exact"/>
        <w:rPr>
          <w:highlight w:val="none"/>
        </w:rPr>
      </w:pPr>
      <w:r>
        <w:rPr>
          <w:highlight w:val="none"/>
        </w:rPr>
      </w:r>
      <w:r>
        <w:rPr>
          <w:highlight w:val="none"/>
        </w:rPr>
      </w:r>
    </w:p>
    <w:p>
      <w:pPr>
        <w:jc w:val="center"/>
        <w:spacing w:line="400" w:lineRule="exact"/>
        <w:rPr>
          <w:highlight w:val="none"/>
        </w:rPr>
      </w:pPr>
      <w:r>
        <w:rPr>
          <w:highlight w:val="none"/>
        </w:rPr>
      </w:r>
      <w:r>
        <w:rPr>
          <w:highlight w:val="none"/>
        </w:rPr>
      </w:r>
    </w:p>
    <w:p>
      <w:pPr>
        <w:jc w:val="center"/>
        <w:spacing w:line="400" w:lineRule="exact"/>
        <w:rPr>
          <w:highlight w:val="none"/>
        </w:rPr>
      </w:pPr>
      <w:r>
        <w:rPr>
          <w:highlight w:val="none"/>
        </w:rPr>
      </w:r>
      <w:r>
        <w:rPr>
          <w:highlight w:val="none"/>
        </w:rPr>
      </w:r>
    </w:p>
    <w:p>
      <w:pPr>
        <w:jc w:val="center"/>
        <w:spacing w:line="400" w:lineRule="exact"/>
        <w:rPr>
          <w:highlight w:val="none"/>
        </w:rPr>
      </w:pPr>
      <w:r>
        <w:rPr>
          <w:rStyle w:val="981"/>
          <w:rFonts w:hint="eastAsia" w:ascii="宋体" w:hAnsi="宋体" w:eastAsia="宋体" w:cs="宋体"/>
          <w:color w:val="auto"/>
          <w:sz w:val="32"/>
          <w:szCs w:val="32"/>
          <w:highlight w:val="none"/>
        </w:rPr>
        <w:t xml:space="preserve">第四章 投标文件格式</w:t>
      </w:r>
      <w:bookmarkEnd w:id="5"/>
      <w:r/>
      <w:r/>
    </w:p>
    <w:p>
      <w:pPr>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hint="eastAsia" w:ascii="宋体" w:hAnsi="宋体" w:cs="宋体"/>
          <w:b/>
          <w:bCs/>
          <w:color w:val="auto"/>
          <w:highlight w:val="none"/>
        </w:rPr>
      </w:pPr>
      <w:r>
        <w:rPr>
          <w:rFonts w:hint="eastAsia" w:ascii="宋体" w:hAnsi="宋体" w:cs="宋体"/>
          <w:b/>
          <w:bCs/>
          <w:color w:val="auto"/>
          <w:highlight w:val="none"/>
        </w:rPr>
      </w:r>
      <w:r/>
    </w:p>
    <w:p>
      <w:pPr>
        <w:rPr>
          <w:b/>
          <w:color w:val="auto"/>
          <w:sz w:val="44"/>
          <w:szCs w:val="44"/>
          <w:highlight w:val="none"/>
        </w:rPr>
      </w:pPr>
      <w:r>
        <w:rPr>
          <w:b/>
          <w:color w:val="auto"/>
          <w:sz w:val="44"/>
          <w:szCs w:val="44"/>
          <w:highlight w:val="none"/>
        </w:rPr>
        <w:t xml:space="preserve">封面：</w:t>
      </w:r>
      <w:r/>
    </w:p>
    <w:p>
      <w:pPr>
        <w:jc w:val="center"/>
        <w:rPr>
          <w:b/>
          <w:color w:val="auto"/>
          <w:sz w:val="72"/>
          <w:szCs w:val="72"/>
          <w:highlight w:val="none"/>
        </w:rPr>
      </w:pPr>
      <w:r>
        <w:rPr>
          <w:rFonts w:hint="eastAsia"/>
          <w:b/>
          <w:color w:val="auto"/>
          <w:sz w:val="72"/>
          <w:szCs w:val="72"/>
          <w:highlight w:val="none"/>
        </w:rPr>
        <w:t xml:space="preserve">             </w:t>
      </w:r>
      <w:r/>
    </w:p>
    <w:p>
      <w:pPr>
        <w:jc w:val="center"/>
        <w:rPr>
          <w:b/>
          <w:color w:val="auto"/>
          <w:sz w:val="72"/>
          <w:szCs w:val="72"/>
          <w:highlight w:val="none"/>
        </w:rPr>
      </w:pPr>
      <w:r>
        <w:rPr>
          <w:b/>
          <w:color w:val="auto"/>
          <w:sz w:val="72"/>
          <w:szCs w:val="72"/>
          <w:highlight w:val="none"/>
        </w:rPr>
      </w:r>
      <w:r/>
    </w:p>
    <w:p>
      <w:pPr>
        <w:jc w:val="center"/>
        <w:rPr>
          <w:b/>
          <w:color w:val="auto"/>
          <w:sz w:val="72"/>
          <w:szCs w:val="72"/>
          <w:highlight w:val="none"/>
        </w:rPr>
      </w:pPr>
      <w:r>
        <w:rPr>
          <w:b/>
          <w:color w:val="auto"/>
          <w:sz w:val="72"/>
          <w:szCs w:val="72"/>
          <w:highlight w:val="none"/>
        </w:rPr>
        <w:t xml:space="preserve">投   标   文   件</w:t>
      </w:r>
      <w:r/>
    </w:p>
    <w:p>
      <w:pPr>
        <w:rPr>
          <w:b/>
          <w:color w:val="auto"/>
          <w:sz w:val="36"/>
          <w:szCs w:val="36"/>
          <w:highlight w:val="none"/>
        </w:rPr>
      </w:pPr>
      <w:r>
        <w:rPr>
          <w:b/>
          <w:color w:val="auto"/>
          <w:sz w:val="36"/>
          <w:szCs w:val="36"/>
          <w:highlight w:val="none"/>
        </w:rPr>
      </w:r>
      <w:r/>
    </w:p>
    <w:p>
      <w:pPr>
        <w:ind w:left="480" w:firstLine="542"/>
        <w:rPr>
          <w:rFonts w:hint="eastAsia"/>
          <w:b/>
          <w:color w:val="auto"/>
          <w:sz w:val="36"/>
          <w:szCs w:val="36"/>
          <w:highlight w:val="none"/>
        </w:rPr>
      </w:pPr>
      <w:r>
        <w:rPr>
          <w:rFonts w:hint="eastAsia"/>
          <w:b/>
          <w:color w:val="auto"/>
          <w:sz w:val="36"/>
          <w:szCs w:val="36"/>
          <w:highlight w:val="none"/>
        </w:rPr>
        <w:t xml:space="preserve">招标单位： </w:t>
      </w:r>
      <w:r/>
    </w:p>
    <w:p>
      <w:pPr>
        <w:ind w:left="480" w:firstLine="542"/>
        <w:rPr>
          <w:rFonts w:hint="eastAsia"/>
          <w:b/>
          <w:color w:val="auto"/>
          <w:sz w:val="36"/>
          <w:szCs w:val="36"/>
          <w:highlight w:val="none"/>
        </w:rPr>
      </w:pPr>
      <w:r>
        <w:rPr>
          <w:b/>
          <w:color w:val="auto"/>
          <w:sz w:val="36"/>
          <w:szCs w:val="36"/>
          <w:highlight w:val="none"/>
        </w:rPr>
        <w:t xml:space="preserve">项目名称：</w:t>
      </w:r>
      <w:r>
        <w:rPr>
          <w:rFonts w:hint="eastAsia"/>
          <w:b/>
          <w:color w:val="auto"/>
          <w:sz w:val="36"/>
          <w:szCs w:val="36"/>
          <w:highlight w:val="none"/>
        </w:rPr>
        <w:t xml:space="preserve"> </w:t>
      </w:r>
      <w:r/>
    </w:p>
    <w:p>
      <w:pPr>
        <w:ind w:left="480" w:firstLine="542"/>
        <w:rPr>
          <w:rFonts w:hint="eastAsia"/>
          <w:b/>
          <w:color w:val="auto"/>
          <w:sz w:val="36"/>
          <w:szCs w:val="36"/>
          <w:highlight w:val="none"/>
        </w:rPr>
      </w:pPr>
      <w:r>
        <w:rPr>
          <w:rFonts w:hint="eastAsia"/>
          <w:b/>
          <w:color w:val="auto"/>
          <w:sz w:val="36"/>
          <w:szCs w:val="36"/>
          <w:highlight w:val="none"/>
        </w:rPr>
        <w:t xml:space="preserve">项目编号： </w:t>
      </w:r>
      <w:r/>
    </w:p>
    <w:p>
      <w:pPr>
        <w:rPr>
          <w:color w:val="auto"/>
          <w:sz w:val="36"/>
          <w:szCs w:val="36"/>
          <w:highlight w:val="none"/>
        </w:rPr>
      </w:pPr>
      <w:r>
        <w:rPr>
          <w:color w:val="auto"/>
          <w:sz w:val="36"/>
          <w:szCs w:val="36"/>
          <w:highlight w:val="none"/>
        </w:rPr>
      </w:r>
      <w:r/>
    </w:p>
    <w:p>
      <w:pPr>
        <w:ind w:firstLine="723"/>
        <w:rPr>
          <w:rFonts w:hint="eastAsia" w:ascii="宋体" w:hAnsi="宋体"/>
          <w:color w:val="auto"/>
          <w:sz w:val="32"/>
          <w:highlight w:val="none"/>
          <w:u w:val="single"/>
        </w:rPr>
      </w:pPr>
      <w:r>
        <w:rPr>
          <w:b/>
          <w:color w:val="auto"/>
          <w:sz w:val="36"/>
          <w:szCs w:val="36"/>
          <w:highlight w:val="none"/>
        </w:rPr>
        <w:t xml:space="preserve">投 标 人</w:t>
      </w:r>
      <w:r>
        <w:rPr>
          <w:rFonts w:hint="eastAsia"/>
          <w:b/>
          <w:color w:val="auto"/>
          <w:sz w:val="36"/>
          <w:szCs w:val="36"/>
          <w:highlight w:val="none"/>
        </w:rPr>
        <w:t xml:space="preserve">(盖章)</w:t>
      </w:r>
      <w:r>
        <w:rPr>
          <w:b/>
          <w:color w:val="auto"/>
          <w:sz w:val="36"/>
          <w:szCs w:val="36"/>
          <w:highlight w:val="none"/>
        </w:rPr>
        <w:t xml:space="preserve">：</w:t>
      </w:r>
      <w:r>
        <w:rPr>
          <w:rFonts w:hint="eastAsia" w:ascii="宋体" w:hAnsi="宋体"/>
          <w:color w:val="auto"/>
          <w:sz w:val="32"/>
          <w:highlight w:val="none"/>
          <w:u w:val="single"/>
        </w:rPr>
        <w:t xml:space="preserve">                                      </w:t>
      </w:r>
      <w:r/>
    </w:p>
    <w:p>
      <w:pPr>
        <w:ind w:firstLine="723"/>
        <w:spacing w:line="720" w:lineRule="auto"/>
        <w:rPr>
          <w:rFonts w:hint="eastAsia" w:ascii="宋体" w:hAnsi="宋体"/>
          <w:color w:val="auto"/>
          <w:sz w:val="32"/>
          <w:highlight w:val="none"/>
          <w:u w:val="single"/>
        </w:rPr>
      </w:pPr>
      <w:r>
        <w:rPr>
          <w:rFonts w:hint="eastAsia"/>
          <w:b/>
          <w:color w:val="auto"/>
          <w:sz w:val="36"/>
          <w:szCs w:val="36"/>
          <w:highlight w:val="none"/>
        </w:rPr>
        <w:t xml:space="preserve">法定代表人或其委托代理人：</w:t>
      </w:r>
      <w:r>
        <w:rPr>
          <w:rFonts w:hint="eastAsia" w:ascii="宋体" w:hAnsi="宋体"/>
          <w:color w:val="auto"/>
          <w:sz w:val="32"/>
          <w:highlight w:val="none"/>
          <w:u w:val="single"/>
        </w:rPr>
        <w:t xml:space="preserve">            （签字或盖章）</w:t>
      </w:r>
      <w:r/>
    </w:p>
    <w:p>
      <w:pPr>
        <w:ind w:firstLine="2530"/>
        <w:rPr>
          <w:b/>
          <w:color w:val="auto"/>
          <w:sz w:val="36"/>
          <w:szCs w:val="36"/>
          <w:highlight w:val="none"/>
        </w:rPr>
      </w:pPr>
      <w:r>
        <w:rPr>
          <w:b/>
          <w:color w:val="auto"/>
          <w:sz w:val="36"/>
          <w:szCs w:val="36"/>
          <w:highlight w:val="none"/>
        </w:rPr>
      </w:r>
      <w:r/>
    </w:p>
    <w:p>
      <w:pPr>
        <w:ind w:firstLine="542"/>
        <w:jc w:val="center"/>
        <w:spacing w:line="440" w:lineRule="exact"/>
        <w:rPr>
          <w:rFonts w:hint="eastAsia"/>
          <w:b/>
          <w:color w:val="auto"/>
          <w:sz w:val="36"/>
          <w:szCs w:val="36"/>
          <w:highlight w:val="none"/>
        </w:rPr>
      </w:pPr>
      <w:r>
        <w:rPr>
          <w:b/>
          <w:color w:val="auto"/>
          <w:sz w:val="36"/>
          <w:szCs w:val="36"/>
          <w:highlight w:val="none"/>
        </w:rPr>
        <w:t xml:space="preserve">日期：</w:t>
      </w:r>
      <w:r>
        <w:rPr>
          <w:rFonts w:hint="eastAsia"/>
          <w:b/>
          <w:color w:val="auto"/>
          <w:sz w:val="36"/>
          <w:szCs w:val="36"/>
          <w:highlight w:val="none"/>
        </w:rPr>
        <w:t xml:space="preserve">  </w:t>
      </w:r>
      <w:r>
        <w:rPr>
          <w:b/>
          <w:color w:val="auto"/>
          <w:sz w:val="36"/>
          <w:szCs w:val="36"/>
          <w:highlight w:val="none"/>
        </w:rPr>
        <w:t xml:space="preserve">年</w:t>
      </w:r>
      <w:r>
        <w:rPr>
          <w:rFonts w:hint="eastAsia"/>
          <w:b/>
          <w:color w:val="auto"/>
          <w:sz w:val="36"/>
          <w:szCs w:val="36"/>
          <w:highlight w:val="none"/>
        </w:rPr>
        <w:t xml:space="preserve">  </w:t>
      </w:r>
      <w:r>
        <w:rPr>
          <w:b/>
          <w:color w:val="auto"/>
          <w:sz w:val="36"/>
          <w:szCs w:val="36"/>
          <w:highlight w:val="none"/>
        </w:rPr>
        <w:t xml:space="preserve">月</w:t>
      </w:r>
      <w:r>
        <w:rPr>
          <w:rFonts w:hint="eastAsia"/>
          <w:b/>
          <w:color w:val="auto"/>
          <w:sz w:val="36"/>
          <w:szCs w:val="36"/>
          <w:highlight w:val="none"/>
        </w:rPr>
        <w:t xml:space="preserve">  日</w:t>
      </w:r>
      <w:r/>
    </w:p>
    <w:p>
      <w:pPr>
        <w:pStyle w:val="939"/>
        <w:numPr>
          <w:ilvl w:val="0"/>
          <w:numId w:val="0"/>
        </w:numPr>
        <w:ind w:left="400"/>
        <w:jc w:val="both"/>
        <w:spacing w:before="0" w:after="0" w:line="420" w:lineRule="exact"/>
        <w:rPr>
          <w:rFonts w:hint="eastAsia"/>
          <w:b w:val="0"/>
          <w:color w:val="auto"/>
          <w:sz w:val="44"/>
          <w:szCs w:val="44"/>
          <w:highlight w:val="none"/>
        </w:rPr>
      </w:pPr>
      <w:r>
        <w:rPr>
          <w:color w:val="auto"/>
          <w:sz w:val="36"/>
          <w:szCs w:val="36"/>
          <w:highlight w:val="none"/>
        </w:rPr>
        <w:br w:type="page" w:clear="all"/>
      </w:r>
      <w:r/>
    </w:p>
    <w:p>
      <w:pPr>
        <w:jc w:val="center"/>
        <w:spacing w:line="360" w:lineRule="auto"/>
        <w:widowControl w:val="off"/>
        <w:rPr>
          <w:rFonts w:hint="eastAsia" w:ascii="宋体" w:hAnsi="宋体" w:cs="宋体"/>
          <w:b/>
          <w:bCs/>
          <w:color w:val="auto"/>
          <w:sz w:val="21"/>
          <w:szCs w:val="21"/>
          <w:highlight w:val="none"/>
          <w:lang w:val="zh-CN"/>
        </w:rPr>
      </w:pPr>
      <w:r>
        <w:rPr>
          <w:rFonts w:hint="eastAsia"/>
          <w:b/>
          <w:color w:val="auto"/>
          <w:sz w:val="44"/>
          <w:szCs w:val="44"/>
          <w:highlight w:val="none"/>
        </w:rPr>
        <w:t xml:space="preserve">报价部分</w:t>
      </w:r>
      <w:r/>
    </w:p>
    <w:p>
      <w:pPr>
        <w:jc w:val="both"/>
        <w:spacing w:line="40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40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ind w:firstLine="422"/>
        <w:jc w:val="both"/>
        <w:spacing w:line="400" w:lineRule="exact"/>
        <w:widowControl w:val="off"/>
        <w:rPr>
          <w:rFonts w:hint="eastAsia" w:ascii="宋体" w:hAnsi="宋体" w:cs="宋体"/>
          <w:color w:val="auto"/>
          <w:sz w:val="21"/>
          <w:szCs w:val="21"/>
          <w:highlight w:val="none"/>
        </w:rPr>
      </w:pPr>
      <w:r>
        <w:rPr>
          <w:rFonts w:hint="eastAsia" w:ascii="宋体" w:hAnsi="宋体" w:cs="宋体"/>
          <w:b/>
          <w:bCs/>
          <w:color w:val="auto"/>
          <w:sz w:val="21"/>
          <w:szCs w:val="21"/>
          <w:highlight w:val="none"/>
          <w:lang w:val="zh-CN"/>
        </w:rPr>
        <w:t xml:space="preserve">格式</w:t>
      </w:r>
      <w:r>
        <w:rPr>
          <w:rFonts w:hint="eastAsia" w:ascii="宋体" w:hAnsi="宋体" w:cs="宋体"/>
          <w:b/>
          <w:bCs/>
          <w:color w:val="auto"/>
          <w:sz w:val="21"/>
          <w:szCs w:val="21"/>
          <w:highlight w:val="none"/>
        </w:rPr>
        <w:t xml:space="preserve">1</w:t>
      </w:r>
      <w:r>
        <w:rPr>
          <w:rFonts w:hint="eastAsia" w:ascii="宋体" w:hAnsi="宋体" w:cs="宋体"/>
          <w:b/>
          <w:bCs/>
          <w:color w:val="auto"/>
          <w:sz w:val="21"/>
          <w:szCs w:val="21"/>
          <w:highlight w:val="none"/>
          <w:lang w:val="zh-CN"/>
        </w:rPr>
        <w:t xml:space="preserve">：开标一览表（</w:t>
      </w:r>
      <w:r>
        <w:rPr>
          <w:rFonts w:hint="eastAsia" w:ascii="宋体" w:hAnsi="宋体" w:cs="宋体"/>
          <w:b/>
          <w:bCs/>
          <w:color w:val="auto"/>
          <w:sz w:val="21"/>
          <w:szCs w:val="21"/>
          <w:highlight w:val="none"/>
          <w:lang w:val="en-US" w:eastAsia="zh-CN"/>
        </w:rPr>
        <w:t xml:space="preserve">系统内直接填写</w:t>
      </w:r>
      <w:r>
        <w:rPr>
          <w:rFonts w:hint="eastAsia" w:ascii="宋体" w:hAnsi="宋体" w:cs="宋体"/>
          <w:b/>
          <w:bCs/>
          <w:color w:val="auto"/>
          <w:sz w:val="21"/>
          <w:szCs w:val="21"/>
          <w:highlight w:val="none"/>
          <w:lang w:val="zh-CN"/>
        </w:rPr>
        <w:t xml:space="preserve">）</w:t>
      </w:r>
      <w:r/>
    </w:p>
    <w:p>
      <w:pPr>
        <w:pStyle w:val="998"/>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开标一览表</w:t>
      </w:r>
      <w:r/>
    </w:p>
    <w:p>
      <w:pPr>
        <w:jc w:val="center"/>
        <w:spacing w:line="300" w:lineRule="auto"/>
        <w:rPr>
          <w:rFonts w:hint="eastAsia" w:ascii="宋体" w:hAnsi="宋体" w:eastAsia="宋体" w:cs="宋体"/>
          <w:color w:val="auto"/>
          <w:spacing w:val="20"/>
          <w:sz w:val="21"/>
          <w:szCs w:val="21"/>
          <w:highlight w:val="none"/>
        </w:rPr>
      </w:pPr>
      <w:r>
        <w:rPr>
          <w:rFonts w:hint="eastAsia" w:ascii="宋体" w:hAnsi="宋体" w:eastAsia="宋体" w:cs="宋体"/>
          <w:color w:val="auto"/>
          <w:spacing w:val="20"/>
          <w:sz w:val="21"/>
          <w:szCs w:val="21"/>
          <w:highlight w:val="none"/>
        </w:rPr>
      </w:r>
      <w:r/>
    </w:p>
    <w:p>
      <w:pPr>
        <w:ind w:firstLine="420"/>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项目名称：          </w:t>
      </w:r>
      <w:r/>
    </w:p>
    <w:tbl>
      <w:tblPr>
        <w:tblStyle w:val="947"/>
        <w:tblW w:w="0" w:type="auto"/>
        <w:tblInd w:w="548" w:type="dxa"/>
        <w:tblLayout w:type="fixed"/>
        <w:tblCellMar>
          <w:left w:w="108" w:type="dxa"/>
          <w:top w:w="0" w:type="dxa"/>
          <w:right w:w="108" w:type="dxa"/>
          <w:bottom w:w="0" w:type="dxa"/>
        </w:tblCellMar>
        <w:tblLook w:val="04A0" w:firstRow="1" w:lastRow="0" w:firstColumn="1" w:lastColumn="0" w:noHBand="0" w:noVBand="1"/>
      </w:tblPr>
      <w:tblGrid>
        <w:gridCol w:w="1687"/>
        <w:gridCol w:w="7448"/>
      </w:tblGrid>
      <w:tr>
        <w:trPr>
          <w:trHeight w:val="960"/>
        </w:trPr>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投标</w:t>
            </w:r>
            <w:r>
              <w:rPr>
                <w:rFonts w:hint="eastAsia" w:ascii="宋体" w:hAnsi="宋体" w:cs="宋体"/>
                <w:color w:val="auto"/>
                <w:sz w:val="21"/>
                <w:szCs w:val="21"/>
                <w:highlight w:val="none"/>
                <w:lang w:val="en-US" w:eastAsia="zh-CN"/>
              </w:rPr>
              <w:t xml:space="preserve">优惠率</w:t>
            </w:r>
            <w:r/>
          </w:p>
        </w:tc>
        <w:tc>
          <w:tcPr>
            <w:tcBorders>
              <w:top w:val="single" w:color="auto" w:sz="4" w:space="0"/>
              <w:left w:val="none" w:color="000000" w:sz="4" w:space="0"/>
              <w:bottom w:val="single" w:color="auto" w:sz="4" w:space="0"/>
              <w:right w:val="single" w:color="auto" w:sz="4" w:space="0"/>
            </w:tcBorders>
            <w:tcW w:w="7448" w:type="dxa"/>
            <w:vAlign w:val="center"/>
            <w:textDirection w:val="lrTb"/>
            <w:noWrap w:val="false"/>
          </w:tcPr>
          <w:p>
            <w:pPr>
              <w:spacing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r/>
          </w:p>
        </w:tc>
      </w:tr>
    </w:tbl>
    <w:p>
      <w:pPr>
        <w:pStyle w:val="1029"/>
        <w:ind w:firstLine="38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029"/>
        <w:ind w:firstLine="384"/>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注：本项目结算单价=最高单价限价*</w:t>
      </w:r>
      <w:r>
        <w:rPr>
          <w:rFonts w:hint="eastAsia" w:hAnsi="宋体" w:cs="宋体"/>
          <w:color w:val="auto"/>
          <w:sz w:val="21"/>
          <w:szCs w:val="21"/>
          <w:highlight w:val="none"/>
          <w:lang w:eastAsia="zh-CN"/>
        </w:rPr>
        <w:t xml:space="preserve">（</w:t>
      </w:r>
      <w:r>
        <w:rPr>
          <w:rFonts w:hint="eastAsia" w:hAnsi="宋体" w:cs="宋体"/>
          <w:color w:val="auto"/>
          <w:sz w:val="21"/>
          <w:szCs w:val="21"/>
          <w:highlight w:val="none"/>
          <w:lang w:val="en-US" w:eastAsia="zh-CN"/>
        </w:rPr>
        <w:t xml:space="preserve">1-优惠率</w:t>
      </w:r>
      <w:r>
        <w:rPr>
          <w:rFonts w:hint="eastAsia"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按实结算。</w:t>
      </w:r>
      <w:r/>
    </w:p>
    <w:p>
      <w:pPr>
        <w:ind w:firstLine="39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39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投标单位（公章）：</w:t>
      </w:r>
      <w:r/>
    </w:p>
    <w:p>
      <w:pPr>
        <w:ind w:firstLine="392"/>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法定代表人或授权委托人：（签字或签章）</w:t>
      </w:r>
      <w:r/>
    </w:p>
    <w:p>
      <w:pPr>
        <w:ind w:firstLine="392"/>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日期：年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日</w:t>
      </w:r>
      <w:r/>
    </w:p>
    <w:p>
      <w:pPr>
        <w:pStyle w:val="1010"/>
        <w:ind w:left="0"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952"/>
        <w:ind w:left="0" w:firstLine="502"/>
        <w:jc w:val="both"/>
        <w:spacing w:line="360" w:lineRule="auto"/>
        <w:rPr>
          <w:rFonts w:hint="eastAsia" w:ascii="宋体" w:hAnsi="宋体" w:eastAsia="宋体" w:cs="宋体"/>
          <w:b/>
          <w:bCs/>
          <w:color w:val="auto"/>
          <w:sz w:val="21"/>
          <w:szCs w:val="21"/>
          <w:highlight w:val="none"/>
          <w:lang w:val="zh-CN" w:eastAsia="zh-CN"/>
        </w:rPr>
      </w:pPr>
      <w:r>
        <w:rPr>
          <w:rFonts w:hint="eastAsia" w:ascii="宋体" w:hAnsi="宋体" w:eastAsia="宋体" w:cs="宋体"/>
          <w:b/>
          <w:bCs/>
          <w:color w:val="auto"/>
          <w:sz w:val="21"/>
          <w:szCs w:val="21"/>
          <w:highlight w:val="none"/>
          <w:lang w:val="zh-CN" w:eastAsia="zh-CN"/>
        </w:rPr>
      </w:r>
      <w:r/>
    </w:p>
    <w:p>
      <w:pPr>
        <w:pStyle w:val="952"/>
        <w:ind w:left="0" w:firstLine="502"/>
        <w:jc w:val="both"/>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zh-CN" w:eastAsia="zh-CN"/>
        </w:rPr>
        <w:t xml:space="preserve">格式</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投标报价明细表</w:t>
      </w:r>
      <w:r/>
    </w:p>
    <w:p>
      <w:pPr>
        <w:pStyle w:val="952"/>
        <w:ind w:firstLine="422"/>
        <w:jc w:val="center"/>
        <w:spacing w:line="360" w:lineRule="auto"/>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投标</w:t>
      </w:r>
      <w:r>
        <w:rPr>
          <w:rFonts w:hint="eastAsia" w:ascii="宋体" w:hAnsi="宋体" w:eastAsia="宋体" w:cs="宋体"/>
          <w:b/>
          <w:bCs/>
          <w:color w:val="auto"/>
          <w:sz w:val="21"/>
          <w:szCs w:val="21"/>
          <w:highlight w:val="none"/>
        </w:rPr>
        <w:t xml:space="preserve">报价明细表</w:t>
      </w:r>
      <w:r/>
    </w:p>
    <w:p>
      <w:pPr>
        <w:ind w:firstLine="420"/>
        <w:keepLines w:val="0"/>
        <w:keepNext w:val="0"/>
        <w:pageBreakBefore w:val="0"/>
        <w:widowControl/>
        <w:rPr>
          <w:rFonts w:hint="eastAsia"/>
          <w:color w:val="auto"/>
          <w:highlight w:val="none"/>
        </w:rPr>
      </w:pPr>
      <w:r>
        <w:rPr>
          <w:rFonts w:hint="eastAsia" w:ascii="宋体" w:hAnsi="宋体"/>
          <w:color w:val="auto"/>
          <w:sz w:val="21"/>
          <w:szCs w:val="21"/>
          <w:highlight w:val="none"/>
        </w:rPr>
        <w:t xml:space="preserve">项目编号：</w:t>
      </w:r>
      <w:r>
        <w:rPr>
          <w:rFonts w:hint="eastAsia" w:ascii="宋体" w:hAnsi="宋体"/>
          <w:color w:val="auto"/>
          <w:sz w:val="21"/>
          <w:szCs w:val="21"/>
          <w:highlight w:val="none"/>
          <w:lang w:val="en-US" w:eastAsia="zh-CN"/>
        </w:rPr>
        <w:t xml:space="preserve">                                               </w:t>
      </w:r>
      <w:r>
        <w:rPr>
          <w:rFonts w:hint="eastAsia" w:ascii="宋体" w:hAnsi="宋体"/>
          <w:color w:val="auto"/>
          <w:sz w:val="21"/>
          <w:szCs w:val="21"/>
          <w:highlight w:val="none"/>
        </w:rPr>
        <w:t xml:space="preserve">项目名称：          </w:t>
      </w:r>
      <w:r>
        <w:rPr>
          <w:rFonts w:hint="eastAsia" w:cs="宋体"/>
          <w:b/>
          <w:color w:val="auto"/>
          <w:szCs w:val="21"/>
          <w:highlight w:val="none"/>
        </w:rPr>
        <w:t xml:space="preserve">                                     </w:t>
      </w:r>
      <w:r/>
    </w:p>
    <w:tbl>
      <w:tblPr>
        <w:tblStyle w:val="947"/>
        <w:tblW w:w="0" w:type="auto"/>
        <w:tblInd w:w="-17" w:type="dxa"/>
        <w:tblLayout w:type="fixed"/>
        <w:tblCellMar>
          <w:left w:w="108" w:type="dxa"/>
          <w:top w:w="0" w:type="dxa"/>
          <w:right w:w="108" w:type="dxa"/>
          <w:bottom w:w="0" w:type="dxa"/>
        </w:tblCellMar>
        <w:tblLook w:val="04A0" w:firstRow="1" w:lastRow="0" w:firstColumn="1" w:lastColumn="0" w:noHBand="0" w:noVBand="1"/>
      </w:tblPr>
      <w:tblGrid>
        <w:gridCol w:w="557"/>
        <w:gridCol w:w="1687"/>
        <w:gridCol w:w="1959"/>
        <w:gridCol w:w="535"/>
        <w:gridCol w:w="572"/>
        <w:gridCol w:w="1031"/>
        <w:gridCol w:w="764"/>
        <w:gridCol w:w="1069"/>
        <w:gridCol w:w="1554"/>
      </w:tblGrid>
      <w:tr>
        <w:trPr>
          <w:trHeight w:val="272"/>
        </w:trPr>
        <w:tc>
          <w:tcPr>
            <w:tcBorders>
              <w:top w:val="single" w:color="auto"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68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标的物名称</w:t>
            </w:r>
            <w:r/>
          </w:p>
        </w:tc>
        <w:tc>
          <w:tcPr>
            <w:tcBorders>
              <w:top w:val="single" w:color="auto" w:sz="4" w:space="0"/>
              <w:left w:val="none" w:color="000000" w:sz="4" w:space="0"/>
              <w:bottom w:val="single" w:color="auto" w:sz="4" w:space="0"/>
              <w:right w:val="single" w:color="auto" w:sz="4" w:space="0"/>
            </w:tcBorders>
            <w:tcW w:w="195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规格</w:t>
            </w:r>
            <w:r/>
          </w:p>
        </w:tc>
        <w:tc>
          <w:tcPr>
            <w:tcBorders>
              <w:top w:val="single" w:color="auto"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最高限价（元）</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优惠率</w:t>
            </w:r>
            <w:r>
              <w:rPr>
                <w:rFonts w:hint="eastAsia" w:ascii="宋体" w:hAnsi="宋体" w:cs="宋体"/>
                <w:color w:val="auto"/>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06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优惠</w:t>
            </w:r>
            <w:r>
              <w:rPr>
                <w:rFonts w:hint="eastAsia" w:ascii="宋体" w:hAnsi="宋体" w:cs="宋体"/>
                <w:color w:val="auto"/>
                <w:sz w:val="21"/>
                <w:szCs w:val="21"/>
                <w:highlight w:val="none"/>
              </w:rPr>
              <w:t xml:space="preserve">后单价（元）</w:t>
            </w:r>
            <w:r/>
          </w:p>
        </w:tc>
        <w:tc>
          <w:tcPr>
            <w:tcBorders>
              <w:top w:val="single" w:color="auto" w:sz="4" w:space="0"/>
              <w:left w:val="none" w:color="000000" w:sz="4" w:space="0"/>
              <w:bottom w:val="single" w:color="auto" w:sz="4" w:space="0"/>
              <w:right w:val="single" w:color="auto" w:sz="4" w:space="0"/>
            </w:tcBorders>
            <w:tcW w:w="1554"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trHeight w:val="45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交通标志板面（金属板及反光膜安装）</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w:t>
            </w:r>
            <w:r>
              <w:rPr>
                <w:rFonts w:hint="eastAsia" w:ascii="宋体" w:hAnsi="宋体" w:cs="宋体"/>
                <w:color w:val="auto"/>
                <w:sz w:val="21"/>
                <w:szCs w:val="21"/>
                <w:highlight w:val="none"/>
                <w:lang w:val="en-US" w:eastAsia="zh-CN"/>
              </w:rPr>
              <w:t xml:space="preserve">00</w:t>
            </w:r>
            <w:r>
              <w:rPr>
                <w:rFonts w:hint="eastAsia" w:ascii="宋体" w:hAnsi="宋体" w:cs="宋体"/>
                <w:color w:val="auto"/>
                <w:sz w:val="21"/>
                <w:szCs w:val="21"/>
                <w:highlight w:val="none"/>
              </w:rPr>
              <w:t xml:space="preserve">×4000(mm)</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6500</w:t>
            </w:r>
            <w:r/>
          </w:p>
        </w:tc>
        <w:tc>
          <w:tcPr>
            <w:tcBorders>
              <w:top w:val="none" w:color="000000" w:sz="4" w:space="0"/>
              <w:left w:val="none" w:color="000000" w:sz="4" w:space="0"/>
              <w:right w:val="single" w:color="auto" w:sz="4" w:space="0"/>
            </w:tcBorders>
            <w:tcW w:w="764" w:type="dxa"/>
            <w:vAlign w:val="center"/>
            <w:vMerge w:val="restart"/>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75"/>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交通标志悬臂</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热镀锌钢管、喷塑φ140×8000×3根（mm）</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8500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75"/>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交通标志悬臂</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热镀锌钢管、喷塑φ140×5000×2根（mm）</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5610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75"/>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交通标志立柱</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热镀锌钢管、喷塑φ325×8500mm</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15000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基础</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1200×1200×2000（mm）</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3600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包含预埋件</w:t>
            </w:r>
            <w:r/>
          </w:p>
        </w:tc>
      </w:tr>
      <w:tr>
        <w:trPr>
          <w:trHeight w:val="675"/>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禁令、指示、警告交通标志以及其它定制标志等</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含底板及膜等（详见技术要求）</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650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立杆</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φ140×3500（mm）</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1000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立杆基础</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600×600×600（mm）</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234</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包含预埋件</w:t>
            </w:r>
            <w:r/>
          </w:p>
        </w:tc>
      </w:tr>
      <w:tr>
        <w:trPr>
          <w:trHeight w:val="45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减速驳</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1000×300×40（mm）</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米</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108</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防撞桶、水马</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825×φ580（mm）</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只</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234</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防撞护栏</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见要求</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米</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900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防撞护栏（包含所有配件）</w:t>
            </w:r>
            <w:r/>
          </w:p>
        </w:tc>
      </w:tr>
      <w:tr>
        <w:trPr>
          <w:trHeight w:val="27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护拦</w:t>
            </w:r>
            <w:r>
              <w:rPr>
                <w:rFonts w:hint="eastAsia" w:ascii="宋体" w:hAnsi="宋体" w:cs="宋体"/>
                <w:color w:val="auto"/>
                <w:sz w:val="21"/>
                <w:szCs w:val="21"/>
                <w:highlight w:val="none"/>
                <w:lang w:val="en-US" w:eastAsia="zh-CN"/>
              </w:rPr>
              <w:t xml:space="preserve">1</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见要求</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米</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650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过渡及降坡段按8折计价，普通护栏（包含所有配件）</w:t>
            </w:r>
            <w:r/>
          </w:p>
        </w:tc>
      </w:tr>
      <w:tr>
        <w:trPr>
          <w:trHeight w:val="45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护拦</w:t>
            </w:r>
            <w:r>
              <w:rPr>
                <w:rFonts w:hint="eastAsia" w:ascii="宋体" w:hAnsi="宋体" w:cs="宋体"/>
                <w:color w:val="auto"/>
                <w:sz w:val="21"/>
                <w:szCs w:val="21"/>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见要求</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米</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340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过渡及降坡段按8折计价，原有白色普通护栏（包含所有配件）</w:t>
            </w:r>
            <w:r/>
          </w:p>
        </w:tc>
      </w:tr>
      <w:tr>
        <w:trPr>
          <w:trHeight w:val="45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交通标志反光膜</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见要求</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380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包含材料及安装</w:t>
            </w:r>
            <w:r/>
          </w:p>
        </w:tc>
      </w:tr>
      <w:tr>
        <w:trPr>
          <w:trHeight w:val="27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金属警示桩</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φ160mm×800（mm）</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75"/>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16</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反光锥桶</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70cm</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只</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68</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优质橡胶，国标高强反光膜</w:t>
            </w:r>
            <w:r/>
          </w:p>
        </w:tc>
      </w:tr>
      <w:tr>
        <w:trPr>
          <w:trHeight w:val="27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17</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塑料警示桩</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Φ80*H750（mm）</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只</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54</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被动发光道钉</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见要求</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只</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19</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地面反光贴</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见要求</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主动发光标志</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定制（详见技术要求）</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2000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27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21</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维护人工</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1人工日</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维护等不牵涉到材料时</w:t>
            </w:r>
            <w:r/>
          </w:p>
        </w:tc>
      </w:tr>
      <w:tr>
        <w:trPr>
          <w:trHeight w:val="45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22</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热熔型反光标线</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见技术要求</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23</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常温型反光标线（含路缘石黄黑等色喷涂）</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见技术要求</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24</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震荡标线</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见技术要求</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热熔标线清除(水除线）</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见技术要求</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100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26</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热熔型喷涂图案</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见技术要求</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个</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120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tc>
      </w:tr>
      <w:tr>
        <w:trPr>
          <w:trHeight w:val="45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27</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热熔型喷涂文字</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见技术要求</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个</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90</w:t>
            </w:r>
            <w:r/>
          </w:p>
        </w:tc>
        <w:tc>
          <w:tcPr>
            <w:tcBorders>
              <w:left w:val="none" w:color="000000"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0"/>
        </w:trPr>
        <w:tc>
          <w:tcPr>
            <w:tcBorders>
              <w:top w:val="none" w:color="000000"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28</w:t>
            </w:r>
            <w:r/>
          </w:p>
        </w:tc>
        <w:tc>
          <w:tcPr>
            <w:tcBorders>
              <w:top w:val="none" w:color="000000" w:sz="4" w:space="0"/>
              <w:left w:val="none" w:color="000000"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彩色路面</w:t>
            </w:r>
            <w:r>
              <w:rPr>
                <w:rFonts w:hint="eastAsia" w:ascii="宋体" w:hAnsi="宋体" w:cs="宋体"/>
                <w:b/>
                <w:color w:val="auto"/>
                <w:sz w:val="21"/>
                <w:szCs w:val="21"/>
                <w:highlight w:val="none"/>
              </w:rPr>
              <w:t xml:space="preserve">（</w:t>
            </w:r>
            <w:r>
              <w:rPr>
                <w:rFonts w:hint="eastAsia" w:ascii="宋体" w:hAnsi="宋体" w:cs="宋体"/>
                <w:color w:val="auto"/>
                <w:sz w:val="21"/>
                <w:szCs w:val="21"/>
                <w:highlight w:val="none"/>
              </w:rPr>
              <w:t xml:space="preserve">右转危险区标线</w:t>
            </w:r>
            <w:r>
              <w:rPr>
                <w:rFonts w:hint="eastAsia" w:ascii="宋体" w:hAnsi="宋体" w:cs="宋体"/>
                <w:b/>
                <w:color w:val="auto"/>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见技术要求</w:t>
            </w:r>
            <w:r/>
          </w:p>
        </w:tc>
        <w:tc>
          <w:tcPr>
            <w:tcBorders>
              <w:top w:val="none" w:color="000000" w:sz="4" w:space="0"/>
              <w:left w:val="none" w:color="000000"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平方米</w:t>
            </w:r>
            <w:r/>
          </w:p>
        </w:tc>
        <w:tc>
          <w:tcPr>
            <w:tcBorders>
              <w:top w:val="none" w:color="000000" w:sz="4" w:space="0"/>
              <w:left w:val="none" w:color="000000"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150</w:t>
            </w:r>
            <w:r/>
          </w:p>
        </w:tc>
        <w:tc>
          <w:tcPr>
            <w:tcBorders>
              <w:left w:val="none" w:color="000000" w:sz="4" w:space="0"/>
              <w:bottom w:val="single" w:color="auto"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0"/>
        </w:trPr>
        <w:tc>
          <w:tcPr>
            <w:tcBorders>
              <w:top w:val="single" w:color="auto"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29</w:t>
            </w:r>
            <w:r/>
          </w:p>
        </w:tc>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热熔型彩色陶瓷防滑路面</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见技术要求</w:t>
            </w:r>
            <w:r/>
          </w:p>
        </w:tc>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平方米</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180</w:t>
            </w:r>
            <w:r/>
          </w:p>
        </w:tc>
        <w:tc>
          <w:tcPr>
            <w:tcBorders>
              <w:top w:val="single" w:color="auto" w:sz="4" w:space="0"/>
              <w:left w:val="single" w:color="auto" w:sz="4" w:space="0"/>
              <w:bottom w:val="single" w:color="auto" w:sz="4" w:space="0"/>
              <w:right w:val="single" w:color="auto" w:sz="4" w:space="0"/>
            </w:tcBorders>
            <w:tcW w:w="764" w:type="dxa"/>
            <w:vAlign w:val="center"/>
            <w:vMerge w:val="continue"/>
            <w:textDirection w:val="lrTb"/>
            <w:noWrap w:val="false"/>
          </w:tcPr>
          <w:p>
            <w:pPr>
              <w:jc w:val="both"/>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r>
      <w:tr>
        <w:trPr>
          <w:trHeight w:val="2564"/>
        </w:trPr>
        <w:tc>
          <w:tcPr>
            <w:tcBorders>
              <w:top w:val="single" w:color="auto"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default"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30</w:t>
            </w:r>
            <w:r/>
          </w:p>
        </w:tc>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jc w:val="both"/>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带反光珠分道标、分道标</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val="false"/>
          </w:tcPr>
          <w:p>
            <w:pPr>
              <w:jc w:val="both"/>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底座不小于18*14CM</w:t>
            </w:r>
            <w:r/>
          </w:p>
          <w:p>
            <w:pPr>
              <w:jc w:val="both"/>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高度不小于28CM</w:t>
            </w:r>
            <w:r/>
          </w:p>
        </w:tc>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both"/>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60</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both"/>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mc:AlternateContent>
                <mc:Choice Requires="wpg">
                  <w:drawing>
                    <wp:inline xmlns:wp="http://schemas.openxmlformats.org/drawingml/2006/wordprocessingDrawing" distT="0" distB="0" distL="0" distR="0">
                      <wp:extent cx="848995" cy="667385"/>
                      <wp:effectExtent l="0" t="0" r="8255" b="18415"/>
                      <wp:docPr id="35" name="图片 137" descr="99f2016ab2917a8e4cd95e91fe1de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37" descr="99f2016ab2917a8e4cd95e91fe1de02"/>
                              <pic:cNvPicPr>
                                <a:picLocks noChangeAspect="1"/>
                              </pic:cNvPicPr>
                              <pic:nvPr/>
                            </pic:nvPicPr>
                            <pic:blipFill>
                              <a:blip r:embed="rId17"/>
                              <a:srcRect l="0" t="22138" r="0" b="33628"/>
                              <a:stretch/>
                            </pic:blipFill>
                            <pic:spPr bwMode="auto">
                              <a:xfrm>
                                <a:off x="0" y="0"/>
                                <a:ext cx="848995" cy="6673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66.8pt;height:52.5pt;mso-wrap-distance-left:0.0pt;mso-wrap-distance-top:0.0pt;mso-wrap-distance-right:0.0pt;mso-wrap-distance-bottom:0.0pt;" stroked="false">
                      <v:path textboxrect="0,0,0,0"/>
                      <v:imagedata r:id="rId17" o:title=""/>
                    </v:shape>
                  </w:pict>
                </mc:Fallback>
              </mc:AlternateContent>
            </w:r>
            <w:r/>
          </w:p>
          <w:p>
            <w:pPr>
              <w:jc w:val="both"/>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mc:AlternateContent>
                <mc:Choice Requires="wpg">
                  <w:drawing>
                    <wp:inline xmlns:wp="http://schemas.openxmlformats.org/drawingml/2006/wordprocessingDrawing" distT="0" distB="0" distL="0" distR="0">
                      <wp:extent cx="845185" cy="832485"/>
                      <wp:effectExtent l="0" t="0" r="0" b="0"/>
                      <wp:docPr id="36" name="图片 136" descr="8ca4349dea450bdbcca65e04bdeae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36" descr="8ca4349dea450bdbcca65e04bdeaef1"/>
                              <pic:cNvPicPr>
                                <a:picLocks noChangeAspect="1"/>
                              </pic:cNvPicPr>
                              <pic:nvPr/>
                            </pic:nvPicPr>
                            <pic:blipFill>
                              <a:blip r:embed="rId18"/>
                              <a:srcRect l="0" t="26203" r="0" b="26019"/>
                              <a:stretch/>
                            </pic:blipFill>
                            <pic:spPr bwMode="auto">
                              <a:xfrm>
                                <a:off x="0" y="0"/>
                                <a:ext cx="845185" cy="8324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66.5pt;height:65.5pt;mso-wrap-distance-left:0.0pt;mso-wrap-distance-top:0.0pt;mso-wrap-distance-right:0.0pt;mso-wrap-distance-bottom:0.0pt;" stroked="false">
                      <v:path textboxrect="0,0,0,0"/>
                      <v:imagedata r:id="rId18" o:title=""/>
                    </v:shape>
                  </w:pict>
                </mc:Fallback>
              </mc:AlternateContent>
            </w:r>
            <w:r/>
          </w:p>
        </w:tc>
      </w:tr>
      <w:tr>
        <w:trPr>
          <w:trHeight w:val="1832"/>
        </w:trPr>
        <w:tc>
          <w:tcPr>
            <w:tcBorders>
              <w:top w:val="single" w:color="auto" w:sz="4" w:space="0"/>
              <w:left w:val="single" w:color="auto" w:sz="4" w:space="0"/>
              <w:bottom w:val="single" w:color="auto" w:sz="4" w:space="0"/>
              <w:right w:val="single" w:color="auto" w:sz="4" w:space="0"/>
            </w:tcBorders>
            <w:tcW w:w="557" w:type="dxa"/>
            <w:vAlign w:val="center"/>
            <w:textDirection w:val="lrTb"/>
            <w:noWrap w:val="false"/>
          </w:tcPr>
          <w:p>
            <w:pPr>
              <w:jc w:val="center"/>
              <w:spacing w:line="360" w:lineRule="auto"/>
              <w:rPr>
                <w:rFonts w:hint="eastAsia" w:ascii="宋体" w:hAnsi="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31</w:t>
            </w:r>
            <w:r/>
          </w:p>
        </w:tc>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jc w:val="both"/>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电杆防撞桶</w:t>
            </w:r>
            <w:r/>
          </w:p>
        </w:tc>
        <w:tc>
          <w:tcPr>
            <w:tcBorders>
              <w:top w:val="single" w:color="auto" w:sz="4" w:space="0"/>
              <w:left w:val="single" w:color="auto" w:sz="4" w:space="0"/>
              <w:bottom w:val="single" w:color="auto" w:sz="4" w:space="0"/>
              <w:right w:val="single" w:color="auto" w:sz="4" w:space="0"/>
            </w:tcBorders>
            <w:tcW w:w="1959" w:type="dxa"/>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高度不小于1000（</w:t>
            </w:r>
            <w:r>
              <w:rPr>
                <w:rFonts w:hint="eastAsia" w:ascii="宋体" w:hAnsi="宋体" w:cs="宋体"/>
                <w:color w:val="auto"/>
                <w:sz w:val="21"/>
                <w:szCs w:val="21"/>
                <w:highlight w:val="none"/>
              </w:rPr>
              <w:t xml:space="preserve">mm</w:t>
            </w:r>
            <w:r>
              <w:rPr>
                <w:rFonts w:hint="eastAsia" w:ascii="宋体" w:hAnsi="宋体" w:cs="宋体"/>
                <w:color w:val="auto"/>
                <w:sz w:val="21"/>
                <w:szCs w:val="21"/>
                <w:highlight w:val="none"/>
                <w:lang w:val="en-US" w:eastAsia="zh-CN"/>
              </w:rPr>
              <w:t xml:space="preserve">）</w:t>
            </w:r>
            <w:r/>
          </w:p>
          <w:p>
            <w:pPr>
              <w:pStyle w:val="952"/>
              <w:ind w:left="0" w:right="-159" w:firstLine="0"/>
              <w:jc w:val="both"/>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宽度不小于600（</w:t>
            </w:r>
            <w:r>
              <w:rPr>
                <w:rFonts w:hint="eastAsia" w:ascii="宋体" w:hAnsi="宋体" w:cs="宋体"/>
                <w:color w:val="auto"/>
                <w:sz w:val="21"/>
                <w:szCs w:val="21"/>
                <w:highlight w:val="none"/>
              </w:rPr>
              <w:t xml:space="preserve">mm</w:t>
            </w:r>
            <w:r>
              <w:rPr>
                <w:rFonts w:hint="eastAsia" w:ascii="宋体" w:hAnsi="宋体" w:cs="宋体"/>
                <w:color w:val="auto"/>
                <w:sz w:val="21"/>
                <w:szCs w:val="21"/>
                <w:highlight w:val="none"/>
                <w:lang w:val="en-US" w:eastAsia="zh-CN"/>
              </w:rPr>
              <w:t xml:space="preserve">）</w:t>
            </w:r>
            <w:r/>
          </w:p>
        </w:tc>
        <w:tc>
          <w:tcPr>
            <w:tcBorders>
              <w:top w:val="single" w:color="auto" w:sz="4" w:space="0"/>
              <w:left w:val="single" w:color="auto" w:sz="4" w:space="0"/>
              <w:bottom w:val="single" w:color="auto" w:sz="4" w:space="0"/>
              <w:right w:val="single" w:color="auto" w:sz="4" w:space="0"/>
            </w:tcBorders>
            <w:tcW w:w="535" w:type="dxa"/>
            <w:vAlign w:val="center"/>
            <w:textDirection w:val="lrTb"/>
            <w:noWrap w:val="false"/>
          </w:tcPr>
          <w:p>
            <w:pPr>
              <w:jc w:val="both"/>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个</w:t>
            </w:r>
            <w:r/>
          </w:p>
        </w:tc>
        <w:tc>
          <w:tcPr>
            <w:tcBorders>
              <w:top w:val="single" w:color="auto" w:sz="4" w:space="0"/>
              <w:left w:val="single" w:color="auto" w:sz="4" w:space="0"/>
              <w:bottom w:val="single" w:color="auto" w:sz="4" w:space="0"/>
              <w:right w:val="single" w:color="auto" w:sz="4" w:space="0"/>
            </w:tcBorders>
            <w:tcW w:w="572" w:type="dxa"/>
            <w:vAlign w:val="center"/>
            <w:textDirection w:val="lrTb"/>
            <w:noWrap w:val="false"/>
          </w:tcPr>
          <w:p>
            <w:pPr>
              <w:jc w:val="center"/>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031" w:type="dxa"/>
            <w:vAlign w:val="center"/>
            <w:textDirection w:val="lrTb"/>
            <w:noWrap w:val="false"/>
          </w:tcPr>
          <w:p>
            <w:pPr>
              <w:jc w:val="center"/>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280</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both"/>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both"/>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val="false"/>
          </w:tcPr>
          <w:p>
            <w:pPr>
              <w:jc w:val="both"/>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color w:val="auto"/>
                <w:sz w:val="21"/>
                <w:szCs w:val="21"/>
                <w:highlight w:val="none"/>
                <w:lang w:val="en-US" w:eastAsia="zh-CN"/>
              </w:rPr>
              <mc:AlternateContent>
                <mc:Choice Requires="wpg">
                  <w:drawing>
                    <wp:inline xmlns:wp="http://schemas.openxmlformats.org/drawingml/2006/wordprocessingDrawing" distT="0" distB="0" distL="0" distR="0">
                      <wp:extent cx="1020445" cy="1014095"/>
                      <wp:effectExtent l="0" t="0" r="8255" b="14604"/>
                      <wp:docPr id="37" name="图片 138" descr="d682301a71b40e7d5db2a19bd89e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38" descr="d682301a71b40e7d5db2a19bd89e680"/>
                              <pic:cNvPicPr>
                                <a:picLocks noChangeAspect="1"/>
                              </pic:cNvPicPr>
                              <pic:nvPr/>
                            </pic:nvPicPr>
                            <pic:blipFill>
                              <a:blip r:embed="rId19"/>
                              <a:srcRect l="0" t="26154" r="0" b="25671"/>
                              <a:stretch/>
                            </pic:blipFill>
                            <pic:spPr bwMode="auto">
                              <a:xfrm>
                                <a:off x="0" y="0"/>
                                <a:ext cx="1020445" cy="10140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80.3pt;height:79.8pt;mso-wrap-distance-left:0.0pt;mso-wrap-distance-top:0.0pt;mso-wrap-distance-right:0.0pt;mso-wrap-distance-bottom:0.0pt;" stroked="false">
                      <v:path textboxrect="0,0,0,0"/>
                      <v:imagedata r:id="rId19" o:title=""/>
                    </v:shape>
                  </w:pict>
                </mc:Fallback>
              </mc:AlternateContent>
            </w:r>
            <w:r/>
          </w:p>
        </w:tc>
      </w:tr>
    </w:tbl>
    <w:p>
      <w:pPr>
        <w:pStyle w:val="1056"/>
        <w:ind w:right="0" w:firstLine="420"/>
        <w:keepLines w:val="0"/>
        <w:keepNext w:val="0"/>
        <w:pageBreakBefore w:val="0"/>
        <w:spacing w:line="360" w:lineRule="auto"/>
        <w:rPr>
          <w:rFonts w:hAnsi="宋体"/>
          <w:color w:val="auto"/>
          <w:sz w:val="21"/>
          <w:szCs w:val="21"/>
          <w:highlight w:val="none"/>
        </w:rPr>
      </w:pPr>
      <w:r>
        <w:rPr>
          <w:rFonts w:hint="eastAsia" w:hAnsi="宋体"/>
          <w:color w:val="auto"/>
          <w:sz w:val="21"/>
          <w:szCs w:val="21"/>
          <w:highlight w:val="none"/>
        </w:rPr>
        <w:t xml:space="preserve">注：</w:t>
      </w:r>
      <w:r>
        <w:rPr>
          <w:rFonts w:hint="eastAsia" w:hAnsi="宋体"/>
          <w:color w:val="auto"/>
          <w:sz w:val="21"/>
          <w:szCs w:val="21"/>
          <w:highlight w:val="none"/>
          <w:lang w:val="en-US" w:eastAsia="zh-CN"/>
        </w:rPr>
        <w:t xml:space="preserve">优惠率</w:t>
      </w:r>
      <w:r>
        <w:rPr>
          <w:rFonts w:hint="eastAsia" w:hAnsi="宋体"/>
          <w:color w:val="auto"/>
          <w:sz w:val="21"/>
          <w:szCs w:val="21"/>
          <w:highlight w:val="none"/>
        </w:rPr>
        <w:t xml:space="preserve">应与开标一览表一致。</w:t>
      </w:r>
      <w:r/>
    </w:p>
    <w:p>
      <w:pPr>
        <w:pStyle w:val="1056"/>
        <w:ind w:right="0" w:firstLine="420"/>
        <w:keepLines w:val="0"/>
        <w:keepNext w:val="0"/>
        <w:pageBreakBefore w:val="0"/>
        <w:spacing w:line="360" w:lineRule="auto"/>
        <w:rPr>
          <w:rFonts w:hint="default" w:ascii="宋体" w:hAnsi="宋体" w:cs="Times New Roman"/>
          <w:color w:val="auto"/>
          <w:sz w:val="21"/>
          <w:szCs w:val="21"/>
          <w:highlight w:val="none"/>
          <w:lang w:val="en-US" w:eastAsia="zh-CN"/>
        </w:rPr>
      </w:pPr>
      <w:r>
        <w:rPr>
          <w:rFonts w:hint="eastAsia" w:hAnsi="宋体" w:cs="Times New Roman"/>
          <w:color w:val="auto"/>
          <w:sz w:val="21"/>
          <w:szCs w:val="21"/>
          <w:highlight w:val="none"/>
          <w:lang w:val="en-US" w:eastAsia="zh-CN"/>
        </w:rPr>
        <w:t xml:space="preserve">中标</w:t>
      </w:r>
      <w:r>
        <w:rPr>
          <w:rFonts w:hint="eastAsia" w:ascii="宋体" w:hAnsi="宋体" w:cs="Times New Roman"/>
          <w:color w:val="auto"/>
          <w:sz w:val="21"/>
          <w:szCs w:val="21"/>
          <w:highlight w:val="none"/>
          <w:lang w:eastAsia="zh-CN"/>
        </w:rPr>
        <w:t xml:space="preserve">单价</w:t>
      </w:r>
      <w:r>
        <w:rPr>
          <w:rFonts w:hint="eastAsia" w:ascii="宋体" w:hAnsi="宋体" w:cs="Times New Roman"/>
          <w:color w:val="auto"/>
          <w:sz w:val="21"/>
          <w:szCs w:val="21"/>
          <w:highlight w:val="none"/>
          <w:lang w:val="en-US" w:eastAsia="zh-CN"/>
        </w:rPr>
        <w:t xml:space="preserve">=最高限价*</w:t>
      </w:r>
      <w:r>
        <w:rPr>
          <w:rFonts w:hint="eastAsia" w:hAnsi="宋体" w:cs="Times New Roman"/>
          <w:color w:val="auto"/>
          <w:sz w:val="21"/>
          <w:szCs w:val="21"/>
          <w:highlight w:val="none"/>
          <w:lang w:val="en-US" w:eastAsia="zh-CN"/>
        </w:rPr>
        <w:t xml:space="preserve">（1-优惠率）</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投标人（公章）：</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法定代表人或代理人：（签字或盖章）</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日期：</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年</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月</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日</w:t>
      </w:r>
      <w:r/>
    </w:p>
    <w:p>
      <w:pPr>
        <w:jc w:val="cente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r>
      <w:r/>
    </w:p>
    <w:p>
      <w:pPr>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2"/>
        <w:jc w:val="center"/>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cs="宋体"/>
          <w:b/>
          <w:bCs w:val="0"/>
          <w:color w:val="auto"/>
          <w:sz w:val="21"/>
          <w:szCs w:val="21"/>
          <w:highlight w:val="none"/>
          <w:lang w:val="zh-CN"/>
        </w:rPr>
        <w:t xml:space="preserve">（</w:t>
      </w:r>
      <w:r>
        <w:rPr>
          <w:rFonts w:hint="eastAsia" w:ascii="宋体" w:hAnsi="宋体" w:cs="宋体"/>
          <w:b/>
          <w:bCs w:val="0"/>
          <w:color w:val="auto"/>
          <w:sz w:val="21"/>
          <w:szCs w:val="21"/>
          <w:highlight w:val="none"/>
          <w:lang w:val="en-US" w:eastAsia="zh-CN"/>
        </w:rPr>
        <w:t xml:space="preserve">2</w:t>
      </w:r>
      <w:r>
        <w:rPr>
          <w:rFonts w:hint="eastAsia" w:ascii="宋体" w:hAnsi="宋体" w:cs="宋体"/>
          <w:b/>
          <w:bCs w:val="0"/>
          <w:color w:val="auto"/>
          <w:sz w:val="21"/>
          <w:szCs w:val="21"/>
          <w:highlight w:val="none"/>
          <w:lang w:val="zh-CN"/>
        </w:rPr>
        <w:t xml:space="preserve">）投标货物</w:t>
      </w:r>
      <w:r>
        <w:rPr>
          <w:rFonts w:hint="eastAsia" w:ascii="宋体" w:hAnsi="宋体" w:cs="宋体"/>
          <w:b/>
          <w:bCs w:val="0"/>
          <w:color w:val="auto"/>
          <w:sz w:val="21"/>
          <w:szCs w:val="21"/>
          <w:highlight w:val="none"/>
          <w:lang w:val="en-US" w:eastAsia="zh-CN"/>
        </w:rPr>
        <w:t xml:space="preserve">生产厂家、</w:t>
      </w:r>
      <w:r>
        <w:rPr>
          <w:rFonts w:hint="eastAsia" w:ascii="宋体" w:hAnsi="宋体" w:cs="宋体"/>
          <w:b/>
          <w:bCs w:val="0"/>
          <w:color w:val="auto"/>
          <w:sz w:val="21"/>
          <w:szCs w:val="21"/>
          <w:highlight w:val="none"/>
          <w:lang w:val="zh-CN"/>
        </w:rPr>
        <w:t xml:space="preserve">品牌规格、型号、材质、交货期等说明表</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ind w:firstLine="420"/>
        <w:keepLines w:val="0"/>
        <w:keepNext w:val="0"/>
        <w:pageBreakBefore w:val="0"/>
        <w:spacing w:line="360" w:lineRule="auto"/>
        <w:widowControl/>
        <w:rPr>
          <w:rFonts w:hint="eastAsia" w:ascii="宋体" w:hAnsi="宋体" w:eastAsia="宋体" w:cs="宋体"/>
          <w:b/>
          <w:color w:val="auto"/>
          <w:sz w:val="21"/>
          <w:szCs w:val="21"/>
          <w:highlight w:val="none"/>
          <w:lang w:val="zh-CN"/>
        </w:rPr>
      </w:pPr>
      <w:r>
        <w:rPr>
          <w:rFonts w:hint="eastAsia" w:ascii="宋体" w:hAnsi="宋体" w:eastAsia="宋体" w:cs="宋体"/>
          <w:color w:val="auto"/>
          <w:sz w:val="21"/>
          <w:szCs w:val="21"/>
          <w:highlight w:val="none"/>
          <w:lang w:val="zh-CN"/>
        </w:rPr>
        <w:t xml:space="preserve">项目名称：</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zh-CN"/>
        </w:rPr>
        <w:t xml:space="preserve">项目编号：</w:t>
      </w:r>
      <w:r/>
    </w:p>
    <w:tbl>
      <w:tblPr>
        <w:tblStyle w:val="947"/>
        <w:tblW w:w="960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1859"/>
        <w:gridCol w:w="3940"/>
        <w:gridCol w:w="928"/>
        <w:gridCol w:w="863"/>
        <w:gridCol w:w="1481"/>
      </w:tblGrid>
      <w:tr>
        <w:trPr/>
        <w:tc>
          <w:tcPr>
            <w:tcBorders>
              <w:top w:val="single" w:color="auto" w:sz="6" w:space="0"/>
              <w:left w:val="single" w:color="auto" w:sz="6" w:space="0"/>
              <w:bottom w:val="single" w:color="auto" w:sz="6" w:space="0"/>
              <w:right w:val="single" w:color="auto" w:sz="6" w:space="0"/>
            </w:tcBorders>
            <w:tcW w:w="534" w:type="dxa"/>
            <w:vAlign w:val="center"/>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859" w:type="dxa"/>
            <w:vAlign w:val="center"/>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标的物名称</w:t>
            </w:r>
            <w:r/>
          </w:p>
        </w:tc>
        <w:tc>
          <w:tcPr>
            <w:tcBorders>
              <w:top w:val="single" w:color="auto" w:sz="6" w:space="0"/>
              <w:left w:val="single" w:color="auto" w:sz="6" w:space="0"/>
              <w:bottom w:val="single" w:color="auto" w:sz="4" w:space="0"/>
              <w:right w:val="single" w:color="auto" w:sz="6" w:space="0"/>
            </w:tcBorders>
            <w:tcW w:w="3940" w:type="dxa"/>
            <w:vAlign w:val="center"/>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生产厂家、品牌、型号、规格、材质</w:t>
            </w:r>
            <w:r/>
          </w:p>
        </w:tc>
        <w:tc>
          <w:tcPr>
            <w:tcBorders>
              <w:top w:val="single" w:color="auto" w:sz="6" w:space="0"/>
              <w:left w:val="single" w:color="auto" w:sz="6" w:space="0"/>
              <w:bottom w:val="single" w:color="auto" w:sz="6" w:space="0"/>
              <w:right w:val="single" w:color="auto" w:sz="4" w:space="0"/>
            </w:tcBorders>
            <w:tcW w:w="928" w:type="dxa"/>
            <w:vAlign w:val="center"/>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单位</w:t>
            </w:r>
            <w:r/>
          </w:p>
        </w:tc>
        <w:tc>
          <w:tcPr>
            <w:tcBorders>
              <w:top w:val="single" w:color="auto" w:sz="6" w:space="0"/>
              <w:left w:val="single" w:color="auto" w:sz="4" w:space="0"/>
              <w:bottom w:val="single" w:color="auto" w:sz="6" w:space="0"/>
              <w:right w:val="single" w:color="auto" w:sz="6" w:space="0"/>
            </w:tcBorders>
            <w:tcW w:w="863" w:type="dxa"/>
            <w:vAlign w:val="center"/>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数量</w:t>
            </w:r>
            <w:r/>
          </w:p>
        </w:tc>
        <w:tc>
          <w:tcPr>
            <w:tcBorders>
              <w:top w:val="single" w:color="auto" w:sz="6" w:space="0"/>
              <w:left w:val="single" w:color="auto" w:sz="6" w:space="0"/>
              <w:bottom w:val="single" w:color="auto" w:sz="6" w:space="0"/>
              <w:right w:val="single" w:color="auto" w:sz="4" w:space="0"/>
            </w:tcBorders>
            <w:tcW w:w="1481" w:type="dxa"/>
            <w:vAlign w:val="center"/>
            <w:textDirection w:val="lrTb"/>
            <w:noWrap w:val="false"/>
          </w:tcPr>
          <w:p>
            <w:pPr>
              <w:pStyle w:val="1026"/>
              <w:jc w:val="center"/>
              <w:spacing w:line="360" w:lineRule="auto"/>
              <w:rPr>
                <w:rFonts w:hint="eastAsia" w:hAnsi="宋体" w:eastAsia="宋体" w:cs="宋体"/>
                <w:color w:val="auto"/>
                <w:sz w:val="21"/>
                <w:szCs w:val="21"/>
                <w:highlight w:val="none"/>
                <w:lang w:eastAsia="zh-CN"/>
              </w:rPr>
            </w:pPr>
            <w:r>
              <w:rPr>
                <w:rFonts w:hint="eastAsia" w:hAnsi="宋体" w:cs="宋体"/>
                <w:color w:val="auto"/>
                <w:sz w:val="21"/>
                <w:szCs w:val="21"/>
                <w:highlight w:val="none"/>
                <w:lang w:eastAsia="zh-CN"/>
              </w:rPr>
              <w:t xml:space="preserve">其他说明</w:t>
            </w:r>
            <w:r/>
          </w:p>
        </w:tc>
      </w:tr>
      <w:tr>
        <w:trPr/>
        <w:tc>
          <w:tcPr>
            <w:tcBorders>
              <w:top w:val="single" w:color="auto" w:sz="6" w:space="0"/>
              <w:left w:val="single" w:color="auto" w:sz="6" w:space="0"/>
              <w:bottom w:val="single" w:color="auto" w:sz="6" w:space="0"/>
              <w:right w:val="single" w:color="auto" w:sz="6" w:space="0"/>
            </w:tcBorders>
            <w:tcW w:w="534"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859"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3940"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8"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4" w:space="0"/>
              <w:right w:val="single" w:color="auto" w:sz="6" w:space="0"/>
            </w:tcBorders>
            <w:tcW w:w="863" w:type="dxa"/>
            <w:vAlign w:val="top"/>
            <w:vMerge w:val="restart"/>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bCs/>
                <w:color w:val="auto"/>
                <w:sz w:val="21"/>
                <w:szCs w:val="21"/>
                <w:highlight w:val="none"/>
              </w:rPr>
              <w:t xml:space="preserve">按实结算</w:t>
            </w:r>
            <w:r/>
          </w:p>
        </w:tc>
        <w:tc>
          <w:tcPr>
            <w:tcBorders>
              <w:top w:val="single" w:color="auto" w:sz="6" w:space="0"/>
              <w:left w:val="single" w:color="auto" w:sz="6" w:space="0"/>
              <w:bottom w:val="single" w:color="auto" w:sz="6" w:space="0"/>
              <w:right w:val="single" w:color="auto" w:sz="4" w:space="0"/>
            </w:tcBorders>
            <w:tcW w:w="1481"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534"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859"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3940"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8"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left w:val="single" w:color="auto" w:sz="4" w:space="0"/>
              <w:right w:val="single" w:color="auto" w:sz="6" w:space="0"/>
            </w:tcBorders>
            <w:tcW w:w="863" w:type="dxa"/>
            <w:vAlign w:val="top"/>
            <w:vMerge w:val="continue"/>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81"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534"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859"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3940"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8"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left w:val="single" w:color="auto" w:sz="4" w:space="0"/>
              <w:right w:val="single" w:color="auto" w:sz="6" w:space="0"/>
            </w:tcBorders>
            <w:tcW w:w="863" w:type="dxa"/>
            <w:vAlign w:val="top"/>
            <w:vMerge w:val="continue"/>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81"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534"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859"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3940"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8"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left w:val="single" w:color="auto" w:sz="4" w:space="0"/>
              <w:right w:val="single" w:color="auto" w:sz="6" w:space="0"/>
            </w:tcBorders>
            <w:tcW w:w="863" w:type="dxa"/>
            <w:vAlign w:val="top"/>
            <w:vMerge w:val="continue"/>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81"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534"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859"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3940"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8"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left w:val="single" w:color="auto" w:sz="4" w:space="0"/>
              <w:right w:val="single" w:color="auto" w:sz="6" w:space="0"/>
            </w:tcBorders>
            <w:tcW w:w="863" w:type="dxa"/>
            <w:vAlign w:val="top"/>
            <w:vMerge w:val="continue"/>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81"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534"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w:t>
            </w:r>
            <w:r/>
          </w:p>
        </w:tc>
        <w:tc>
          <w:tcPr>
            <w:tcBorders>
              <w:top w:val="single" w:color="auto" w:sz="6" w:space="0"/>
              <w:left w:val="single" w:color="auto" w:sz="6" w:space="0"/>
              <w:bottom w:val="single" w:color="auto" w:sz="6" w:space="0"/>
              <w:right w:val="single" w:color="auto" w:sz="6" w:space="0"/>
            </w:tcBorders>
            <w:tcW w:w="1859"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3940"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8"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left w:val="single" w:color="auto" w:sz="4" w:space="0"/>
              <w:right w:val="single" w:color="auto" w:sz="6" w:space="0"/>
            </w:tcBorders>
            <w:tcW w:w="863" w:type="dxa"/>
            <w:vAlign w:val="top"/>
            <w:vMerge w:val="continue"/>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81"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r>
      <w:tr>
        <w:trPr/>
        <w:tc>
          <w:tcPr>
            <w:tcBorders>
              <w:top w:val="single" w:color="auto" w:sz="6" w:space="0"/>
              <w:left w:val="single" w:color="auto" w:sz="6" w:space="0"/>
              <w:bottom w:val="single" w:color="auto" w:sz="6" w:space="0"/>
              <w:right w:val="single" w:color="auto" w:sz="6" w:space="0"/>
            </w:tcBorders>
            <w:tcW w:w="534"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w:t>
            </w:r>
            <w:r/>
          </w:p>
        </w:tc>
        <w:tc>
          <w:tcPr>
            <w:tcBorders>
              <w:top w:val="single" w:color="auto" w:sz="6" w:space="0"/>
              <w:left w:val="single" w:color="auto" w:sz="6" w:space="0"/>
              <w:bottom w:val="single" w:color="auto" w:sz="6" w:space="0"/>
              <w:right w:val="single" w:color="auto" w:sz="6" w:space="0"/>
            </w:tcBorders>
            <w:tcW w:w="1859" w:type="dxa"/>
            <w:vAlign w:val="center"/>
            <w:textDirection w:val="lrTb"/>
            <w:noWrap w:val="false"/>
          </w:tcPr>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3940"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8"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left w:val="single" w:color="auto" w:sz="4" w:space="0"/>
              <w:right w:val="single" w:color="auto" w:sz="6" w:space="0"/>
            </w:tcBorders>
            <w:tcW w:w="863" w:type="dxa"/>
            <w:vAlign w:val="top"/>
            <w:vMerge w:val="continue"/>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81" w:type="dxa"/>
            <w:vAlign w:val="top"/>
            <w:textDirection w:val="lrTb"/>
            <w:noWrap w:val="false"/>
          </w:tcPr>
          <w:p>
            <w:pPr>
              <w:pStyle w:val="1026"/>
              <w:jc w:val="center"/>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tc>
      </w:tr>
    </w:tbl>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注：1、本表格式仅供参考，投标人可根据自身情况自行增减；</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2、如采购文件有要求，投标人拟投入产品须满足招标文件要求；</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3、如采购文件有要求，投标人应按采购文件要求提供拟投入产品的相关证明材料。</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投标单位（单位盖章）：</w:t>
      </w:r>
      <w:r/>
    </w:p>
    <w:p>
      <w:pPr>
        <w:ind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                </w:t>
      </w:r>
      <w:r/>
    </w:p>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lang w:val="en-US" w:eastAsia="zh-CN"/>
        </w:rPr>
        <w:t xml:space="preserve">   </w:t>
      </w:r>
      <w:r>
        <w:rPr>
          <w:rFonts w:hint="eastAsia" w:ascii="宋体" w:hAnsi="宋体" w:cs="宋体"/>
          <w:color w:val="auto"/>
          <w:sz w:val="21"/>
          <w:szCs w:val="21"/>
          <w:highlight w:val="none"/>
          <w:lang w:val="en-US" w:eastAsia="zh-CN"/>
        </w:rPr>
        <w:t xml:space="preserve">日</w:t>
      </w:r>
      <w:r/>
    </w:p>
    <w:p>
      <w:pPr>
        <w:rPr>
          <w:rFonts w:hint="default"/>
          <w:color w:val="auto"/>
          <w:highlight w:val="none"/>
          <w:lang w:val="en-US" w:eastAsia="zh-CN"/>
        </w:rPr>
      </w:pPr>
      <w:r>
        <w:rPr>
          <w:rFonts w:hint="default"/>
          <w:color w:val="auto"/>
          <w:highlight w:val="none"/>
          <w:lang w:val="en-US" w:eastAsia="zh-CN"/>
        </w:rPr>
      </w:r>
      <w:r/>
    </w:p>
    <w:p>
      <w:pPr>
        <w:pStyle w:val="952"/>
        <w:rPr>
          <w:rFonts w:hint="default"/>
          <w:color w:val="auto"/>
          <w:highlight w:val="none"/>
          <w:lang w:val="en-US" w:eastAsia="zh-CN"/>
        </w:rPr>
      </w:pPr>
      <w:r>
        <w:rPr>
          <w:rFonts w:hint="default"/>
          <w:color w:val="auto"/>
          <w:highlight w:val="none"/>
          <w:lang w:val="en-US" w:eastAsia="zh-CN"/>
        </w:rPr>
      </w:r>
      <w:r/>
    </w:p>
    <w:p>
      <w:pPr>
        <w:pStyle w:val="953"/>
        <w:rPr>
          <w:rFonts w:hint="default"/>
          <w:color w:val="auto"/>
          <w:highlight w:val="none"/>
          <w:lang w:val="en-US" w:eastAsia="zh-CN"/>
        </w:rPr>
      </w:pPr>
      <w:r>
        <w:rPr>
          <w:rFonts w:hint="default"/>
          <w:color w:val="auto"/>
          <w:highlight w:val="none"/>
          <w:lang w:val="en-US" w:eastAsia="zh-CN"/>
        </w:rPr>
      </w:r>
      <w:r/>
    </w:p>
    <w:p>
      <w:pPr>
        <w:pStyle w:val="953"/>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ind w:firstLine="422"/>
        <w:jc w:val="center"/>
        <w:tabs>
          <w:tab w:val="left" w:pos="1001"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2"/>
        <w:jc w:val="center"/>
        <w:tabs>
          <w:tab w:val="left" w:pos="1001" w:leader="none"/>
        </w:tabs>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（二）投标报价合理性说明（如有）</w:t>
      </w:r>
      <w:r/>
    </w:p>
    <w:p>
      <w:pPr>
        <w:ind w:firstLine="422"/>
        <w:jc w:val="both"/>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p>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939"/>
        <w:numPr>
          <w:ilvl w:val="0"/>
          <w:numId w:val="0"/>
        </w:numPr>
        <w:ind w:left="403"/>
        <w:jc w:val="center"/>
        <w:spacing w:before="156" w:after="0" w:line="420" w:lineRule="exact"/>
        <w:rPr>
          <w:rFonts w:hint="eastAsia"/>
          <w:color w:val="auto"/>
          <w:sz w:val="44"/>
          <w:szCs w:val="44"/>
          <w:highlight w:val="none"/>
          <w:lang w:val="zh-CN"/>
        </w:rPr>
      </w:pPr>
      <w:r>
        <w:rPr>
          <w:rFonts w:hint="eastAsia"/>
          <w:color w:val="auto"/>
          <w:sz w:val="44"/>
          <w:szCs w:val="44"/>
          <w:highlight w:val="none"/>
          <w:lang w:val="zh-CN"/>
        </w:rPr>
      </w:r>
      <w:r/>
    </w:p>
    <w:p>
      <w:pPr>
        <w:jc w:val="both"/>
        <w:spacing w:line="360" w:lineRule="auto"/>
        <w:widowControl w:val="off"/>
        <w:rPr>
          <w:rFonts w:hint="eastAsia"/>
          <w:b/>
          <w:color w:val="auto"/>
          <w:sz w:val="44"/>
          <w:szCs w:val="44"/>
          <w:highlight w:val="none"/>
          <w:lang w:val="en-US" w:eastAsia="zh-CN"/>
        </w:rPr>
      </w:pPr>
      <w:r>
        <w:rPr>
          <w:rFonts w:hint="eastAsia"/>
          <w:b/>
          <w:color w:val="auto"/>
          <w:sz w:val="44"/>
          <w:szCs w:val="44"/>
          <w:highlight w:val="none"/>
          <w:lang w:val="en-US" w:eastAsia="zh-CN"/>
        </w:rPr>
      </w:r>
      <w:r/>
    </w:p>
    <w:p>
      <w:pPr>
        <w:jc w:val="center"/>
        <w:spacing w:line="360" w:lineRule="auto"/>
        <w:widowControl w:val="off"/>
        <w:rPr>
          <w:rFonts w:hint="default" w:eastAsia="宋体"/>
          <w:b/>
          <w:bCs/>
          <w:color w:val="auto"/>
          <w:sz w:val="44"/>
          <w:szCs w:val="44"/>
          <w:highlight w:val="none"/>
          <w:lang w:val="en-US" w:eastAsia="zh-CN"/>
        </w:rPr>
      </w:pPr>
      <w:r>
        <w:rPr>
          <w:rFonts w:hint="eastAsia"/>
          <w:b/>
          <w:color w:val="auto"/>
          <w:sz w:val="44"/>
          <w:szCs w:val="44"/>
          <w:highlight w:val="none"/>
          <w:lang w:val="en-US" w:eastAsia="zh-CN"/>
        </w:rPr>
      </w:r>
      <w:r>
        <w:rPr>
          <w:rFonts w:hint="eastAsia"/>
          <w:b/>
          <w:color w:val="auto"/>
          <w:sz w:val="44"/>
          <w:szCs w:val="44"/>
          <w:highlight w:val="none"/>
          <w:lang w:val="en-US" w:eastAsia="zh-CN"/>
        </w:rPr>
      </w:r>
    </w:p>
    <w:p>
      <w:pPr>
        <w:jc w:val="center"/>
        <w:spacing w:line="360" w:lineRule="auto"/>
        <w:widowControl w:val="off"/>
        <w:rPr>
          <w:rFonts w:hint="eastAsia"/>
          <w:b/>
          <w:bCs/>
          <w:color w:val="auto"/>
          <w:sz w:val="44"/>
          <w:szCs w:val="44"/>
          <w:highlight w:val="none"/>
          <w:lang w:val="en-US" w:eastAsia="zh-CN"/>
        </w:rPr>
      </w:pPr>
      <w:r>
        <w:rPr>
          <w:rFonts w:hint="eastAsia"/>
          <w:b/>
          <w:color w:val="auto"/>
          <w:sz w:val="44"/>
          <w:szCs w:val="44"/>
          <w:highlight w:val="none"/>
          <w:lang w:val="en-US" w:eastAsia="zh-CN"/>
        </w:rPr>
      </w:r>
      <w:r>
        <w:rPr>
          <w:rFonts w:hint="eastAsia"/>
          <w:b/>
          <w:color w:val="auto"/>
          <w:sz w:val="44"/>
          <w:szCs w:val="44"/>
          <w:highlight w:val="none"/>
          <w:lang w:val="en-US" w:eastAsia="zh-CN"/>
        </w:rPr>
      </w:r>
    </w:p>
    <w:p>
      <w:pPr>
        <w:jc w:val="center"/>
        <w:spacing w:line="360" w:lineRule="auto"/>
        <w:widowControl w:val="off"/>
        <w:rPr>
          <w:rFonts w:hint="eastAsia"/>
          <w:b/>
          <w:bCs/>
          <w:color w:val="auto"/>
          <w:sz w:val="44"/>
          <w:szCs w:val="44"/>
          <w:highlight w:val="none"/>
          <w:lang w:val="en-US" w:eastAsia="zh-CN"/>
        </w:rPr>
      </w:pPr>
      <w:r>
        <w:rPr>
          <w:rFonts w:hint="eastAsia"/>
          <w:b/>
          <w:color w:val="auto"/>
          <w:sz w:val="44"/>
          <w:szCs w:val="44"/>
          <w:highlight w:val="none"/>
          <w:lang w:val="en-US" w:eastAsia="zh-CN"/>
        </w:rPr>
      </w:r>
      <w:r>
        <w:rPr>
          <w:rFonts w:hint="eastAsia"/>
          <w:b/>
          <w:color w:val="auto"/>
          <w:sz w:val="44"/>
          <w:szCs w:val="44"/>
          <w:highlight w:val="none"/>
          <w:lang w:val="en-US" w:eastAsia="zh-CN"/>
        </w:rPr>
      </w:r>
    </w:p>
    <w:p>
      <w:pPr>
        <w:jc w:val="center"/>
        <w:spacing w:line="360" w:lineRule="auto"/>
        <w:widowControl w:val="off"/>
        <w:rPr>
          <w:rFonts w:hint="eastAsia"/>
          <w:b/>
          <w:bCs/>
          <w:color w:val="auto"/>
          <w:sz w:val="44"/>
          <w:szCs w:val="44"/>
          <w:highlight w:val="none"/>
          <w:lang w:val="en-US" w:eastAsia="zh-CN"/>
        </w:rPr>
      </w:pPr>
      <w:r>
        <w:rPr>
          <w:rFonts w:hint="eastAsia"/>
          <w:b/>
          <w:color w:val="auto"/>
          <w:sz w:val="44"/>
          <w:szCs w:val="44"/>
          <w:highlight w:val="none"/>
          <w:lang w:val="en-US" w:eastAsia="zh-CN"/>
        </w:rPr>
      </w:r>
      <w:r>
        <w:rPr>
          <w:rFonts w:hint="eastAsia"/>
          <w:b/>
          <w:color w:val="auto"/>
          <w:sz w:val="44"/>
          <w:szCs w:val="44"/>
          <w:highlight w:val="none"/>
          <w:lang w:val="en-US" w:eastAsia="zh-CN"/>
        </w:rPr>
      </w:r>
    </w:p>
    <w:p>
      <w:pPr>
        <w:jc w:val="center"/>
        <w:spacing w:line="360" w:lineRule="auto"/>
        <w:widowControl w:val="off"/>
        <w:rPr>
          <w:rFonts w:hint="eastAsia"/>
          <w:b/>
          <w:bCs/>
          <w:color w:val="auto"/>
          <w:sz w:val="44"/>
          <w:szCs w:val="44"/>
          <w:highlight w:val="none"/>
          <w:lang w:val="en-US" w:eastAsia="zh-CN"/>
        </w:rPr>
      </w:pPr>
      <w:r>
        <w:rPr>
          <w:rFonts w:hint="eastAsia"/>
          <w:b/>
          <w:color w:val="auto"/>
          <w:sz w:val="44"/>
          <w:szCs w:val="44"/>
          <w:highlight w:val="none"/>
          <w:lang w:val="en-US" w:eastAsia="zh-CN"/>
        </w:rPr>
      </w:r>
      <w:r>
        <w:rPr>
          <w:rFonts w:hint="eastAsia"/>
          <w:b/>
          <w:color w:val="auto"/>
          <w:sz w:val="44"/>
          <w:szCs w:val="44"/>
          <w:highlight w:val="none"/>
          <w:lang w:val="en-US" w:eastAsia="zh-CN"/>
        </w:rPr>
      </w:r>
    </w:p>
    <w:p>
      <w:pPr>
        <w:jc w:val="center"/>
        <w:spacing w:line="360" w:lineRule="auto"/>
        <w:widowControl w:val="off"/>
        <w:rPr>
          <w:rFonts w:hint="eastAsia"/>
          <w:b/>
          <w:bCs/>
          <w:color w:val="auto"/>
          <w:sz w:val="44"/>
          <w:szCs w:val="44"/>
          <w:highlight w:val="none"/>
          <w:lang w:val="en-US" w:eastAsia="zh-CN"/>
        </w:rPr>
      </w:pPr>
      <w:r>
        <w:rPr>
          <w:rFonts w:hint="eastAsia"/>
          <w:b/>
          <w:color w:val="auto"/>
          <w:sz w:val="44"/>
          <w:szCs w:val="44"/>
          <w:highlight w:val="none"/>
          <w:lang w:val="en-US" w:eastAsia="zh-CN"/>
        </w:rPr>
      </w:r>
      <w:r>
        <w:rPr>
          <w:rFonts w:hint="eastAsia"/>
          <w:b/>
          <w:color w:val="auto"/>
          <w:sz w:val="44"/>
          <w:szCs w:val="44"/>
          <w:highlight w:val="none"/>
          <w:lang w:val="en-US" w:eastAsia="zh-CN"/>
        </w:rPr>
      </w:r>
    </w:p>
    <w:p>
      <w:pPr>
        <w:jc w:val="left"/>
        <w:spacing w:line="360" w:lineRule="auto"/>
        <w:widowControl w:val="off"/>
        <w:rPr>
          <w:rFonts w:hint="eastAsia"/>
          <w:b/>
          <w:bCs/>
          <w:color w:val="auto"/>
          <w:sz w:val="44"/>
          <w:szCs w:val="44"/>
          <w:highlight w:val="none"/>
          <w:lang w:val="en-US" w:eastAsia="zh-CN"/>
        </w:rPr>
      </w:pPr>
      <w:r>
        <w:rPr>
          <w:rFonts w:hint="eastAsia"/>
          <w:b/>
          <w:color w:val="auto"/>
          <w:sz w:val="44"/>
          <w:szCs w:val="44"/>
          <w:highlight w:val="none"/>
          <w:lang w:val="en-US" w:eastAsia="zh-CN"/>
        </w:rPr>
      </w:r>
      <w:r>
        <w:rPr>
          <w:rFonts w:hint="eastAsia"/>
          <w:b/>
          <w:color w:val="auto"/>
          <w:sz w:val="44"/>
          <w:szCs w:val="44"/>
          <w:highlight w:val="none"/>
          <w:lang w:val="en-US" w:eastAsia="zh-CN"/>
        </w:rPr>
      </w:r>
    </w:p>
    <w:p>
      <w:pPr>
        <w:jc w:val="center"/>
        <w:spacing w:line="360" w:lineRule="auto"/>
        <w:widowControl w:val="off"/>
        <w:rPr>
          <w:rFonts w:hint="eastAsia"/>
          <w:b/>
          <w:bCs/>
          <w:color w:val="auto"/>
          <w:sz w:val="44"/>
          <w:szCs w:val="44"/>
          <w:highlight w:val="none"/>
          <w:lang w:val="en-US" w:eastAsia="zh-CN"/>
        </w:rPr>
      </w:pPr>
      <w:r>
        <w:rPr>
          <w:rFonts w:hint="eastAsia"/>
          <w:b/>
          <w:color w:val="auto"/>
          <w:sz w:val="44"/>
          <w:szCs w:val="44"/>
          <w:highlight w:val="none"/>
          <w:lang w:val="en-US" w:eastAsia="zh-CN"/>
        </w:rPr>
        <w:t xml:space="preserve">资格、技术、商务部分</w:t>
      </w:r>
      <w:r/>
    </w:p>
    <w:p>
      <w:pPr>
        <w:pStyle w:val="951"/>
        <w:rPr>
          <w:rFonts w:hint="eastAsia"/>
          <w:color w:val="auto"/>
          <w:highlight w:val="none"/>
          <w:lang w:val="zh-CN"/>
        </w:rPr>
      </w:pPr>
      <w:r>
        <w:rPr>
          <w:rFonts w:hint="eastAsia"/>
          <w:color w:val="auto"/>
          <w:highlight w:val="none"/>
          <w:lang w:val="zh-CN"/>
        </w:rPr>
      </w:r>
      <w:r/>
    </w:p>
    <w:p>
      <w:pPr>
        <w:pStyle w:val="948"/>
        <w:numPr>
          <w:ilvl w:val="0"/>
          <w:numId w:val="4"/>
        </w:num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48"/>
        <w:ind w:firstLine="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48"/>
        <w:ind w:firstLine="0"/>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948"/>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48"/>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关于资格文件的声明函</w:t>
      </w:r>
      <w:r/>
    </w:p>
    <w:p>
      <w:pPr>
        <w:pStyle w:val="9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8"/>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u w:val="single"/>
          <w:lang w:eastAsia="zh-CN"/>
        </w:rPr>
        <w:t xml:space="preserve">苏州泰至鑫项目管理有限公司</w:t>
      </w:r>
      <w:r>
        <w:rPr>
          <w:rFonts w:hint="eastAsia" w:hAnsi="宋体" w:eastAsia="宋体" w:cs="宋体"/>
          <w:b/>
          <w:bCs/>
          <w:color w:val="auto"/>
          <w:sz w:val="21"/>
          <w:szCs w:val="21"/>
          <w:highlight w:val="none"/>
        </w:rPr>
        <w:t xml:space="preserve">：</w:t>
      </w:r>
      <w:r/>
    </w:p>
    <w:p>
      <w:pPr>
        <w:pStyle w:val="948"/>
        <w:jc w:val="both"/>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本公司（</w:t>
      </w:r>
      <w:r>
        <w:rPr>
          <w:rFonts w:hint="eastAsia" w:ascii="宋体" w:hAnsi="宋体" w:cs="宋体"/>
          <w:color w:val="auto"/>
          <w:sz w:val="21"/>
          <w:szCs w:val="21"/>
          <w:highlight w:val="none"/>
          <w:lang w:val="en-US" w:eastAsia="zh-CN"/>
        </w:rPr>
        <w:t xml:space="preserve">联合体</w:t>
      </w:r>
      <w:r>
        <w:rPr>
          <w:rFonts w:hint="eastAsia" w:ascii="宋体" w:hAnsi="宋体" w:cs="宋体"/>
          <w:color w:val="auto"/>
          <w:sz w:val="21"/>
          <w:szCs w:val="21"/>
          <w:highlight w:val="none"/>
          <w:lang w:val="zh-CN"/>
        </w:rPr>
        <w:t xml:space="preserve">）愿就由贵公司组织实施的项目名称为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编号为</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firstLine="425"/>
        <w:spacing w:line="48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pStyle w:val="948"/>
        <w:numPr>
          <w:ilvl w:val="0"/>
          <w:numId w:val="4"/>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lang w:val="zh-CN"/>
        </w:rPr>
        <w:t xml:space="preserve">投标单位营业执照或独立法人证书副本或三证合一营业执照扫描件；</w:t>
      </w:r>
      <w:r/>
    </w:p>
    <w:p>
      <w:pPr>
        <w:pStyle w:val="948"/>
        <w:numPr>
          <w:ilvl w:val="0"/>
          <w:numId w:val="4"/>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投标人参加本次政府采购活动前的财务状况报告或者银行出具的资信证明；</w:t>
      </w:r>
      <w:r/>
    </w:p>
    <w:p>
      <w:pPr>
        <w:pStyle w:val="948"/>
        <w:numPr>
          <w:ilvl w:val="0"/>
          <w:numId w:val="4"/>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投标人根据项目需求提供履行合同所必需的设备和专业技术能力的证明材料；</w:t>
      </w:r>
      <w:r/>
    </w:p>
    <w:p>
      <w:pPr>
        <w:pStyle w:val="948"/>
        <w:numPr>
          <w:ilvl w:val="0"/>
          <w:numId w:val="4"/>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投标人参加本次政府采购活动前半年（至少一个月）依法缴纳税收和社会保障资金的证明材料；</w:t>
      </w:r>
      <w:r/>
    </w:p>
    <w:p>
      <w:pPr>
        <w:pStyle w:val="948"/>
        <w:numPr>
          <w:ilvl w:val="0"/>
          <w:numId w:val="4"/>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参加政府采购活动前三年内，在经营活动中没有重大违法记录声明</w:t>
      </w:r>
      <w:r/>
    </w:p>
    <w:p>
      <w:pPr>
        <w:pStyle w:val="998"/>
        <w:jc w:val="center"/>
        <w:rPr>
          <w:rFonts w:hint="eastAsia" w:hAnsi="宋体" w:eastAsia="宋体" w:cs="宋体"/>
          <w:b/>
          <w:bCs/>
          <w:color w:val="auto"/>
          <w:sz w:val="24"/>
          <w:szCs w:val="24"/>
          <w:highlight w:val="none"/>
        </w:rPr>
      </w:pPr>
      <w:r>
        <w:rPr>
          <w:rFonts w:hint="eastAsia" w:hAnsi="宋体" w:eastAsia="宋体" w:cs="宋体"/>
          <w:b/>
          <w:bCs/>
          <w:color w:val="auto"/>
          <w:sz w:val="24"/>
          <w:szCs w:val="24"/>
          <w:highlight w:val="none"/>
        </w:rPr>
      </w:r>
      <w:r/>
    </w:p>
    <w:p>
      <w:pPr>
        <w:rPr>
          <w:rFonts w:hint="eastAsia"/>
          <w:b/>
          <w:bCs/>
          <w:color w:val="auto"/>
          <w:szCs w:val="21"/>
          <w:highlight w:val="none"/>
        </w:rPr>
      </w:pPr>
      <w:r>
        <w:rPr>
          <w:rFonts w:hint="eastAsia"/>
          <w:b/>
          <w:bCs/>
          <w:color w:val="auto"/>
          <w:szCs w:val="21"/>
          <w:highlight w:val="none"/>
        </w:rPr>
      </w:r>
      <w:r/>
    </w:p>
    <w:p>
      <w:pPr>
        <w:pStyle w:val="998"/>
        <w:jc w:val="center"/>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参加政府采购活动前三年内，在经营活动中没有重大违法记录声明</w:t>
      </w:r>
      <w:r/>
    </w:p>
    <w:p>
      <w:pPr>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r>
      <w:r/>
    </w:p>
    <w:p>
      <w:pPr>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致：  </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我单位</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在参加政府采购活动前三年内，没有重大违法记录，特此声明。</w:t>
      </w:r>
      <w:r/>
    </w:p>
    <w:p>
      <w:pPr>
        <w:ind w:firstLine="420"/>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若招标代理机构在本项目采购过程中发现我单位近三年内在政府采购活动中有重大违法记录，我单位将无条件退出本项目的招标，并承担因此引起的一起后果。</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年     月     日</w:t>
      </w:r>
      <w:r/>
    </w:p>
    <w:p>
      <w:pPr>
        <w:ind w:firstLine="210"/>
        <w:jc w:val="center"/>
        <w:spacing w:line="360" w:lineRule="auto"/>
        <w:widowControl w:val="off"/>
        <w:rPr>
          <w:rFonts w:hint="eastAsia"/>
          <w:b/>
          <w:bCs/>
          <w:color w:val="auto"/>
          <w:szCs w:val="21"/>
          <w:highlight w:val="none"/>
        </w:rPr>
      </w:pPr>
      <w:r>
        <w:rPr>
          <w:rFonts w:hint="eastAsia"/>
          <w:b/>
          <w:bCs/>
          <w:color w:val="auto"/>
          <w:szCs w:val="21"/>
          <w:highlight w:val="none"/>
        </w:rPr>
      </w:r>
      <w:r/>
    </w:p>
    <w:p>
      <w:pPr>
        <w:pStyle w:val="948"/>
        <w:numPr>
          <w:ilvl w:val="0"/>
          <w:numId w:val="4"/>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 xml:space="preserve">投标人证明其符合招标文件规定的投标人特定资格条件的证书、证明和文件材料；（如有）</w:t>
      </w:r>
      <w:r/>
    </w:p>
    <w:p>
      <w:pPr>
        <w:ind w:firstLine="210"/>
        <w:jc w:val="center"/>
        <w:spacing w:line="360" w:lineRule="auto"/>
        <w:widowControl w:val="off"/>
        <w:rPr>
          <w:rFonts w:hint="eastAsia"/>
          <w:b/>
          <w:bCs/>
          <w:color w:val="auto"/>
          <w:sz w:val="21"/>
          <w:szCs w:val="21"/>
          <w:highlight w:val="none"/>
        </w:rPr>
      </w:pPr>
      <w:r>
        <w:rPr>
          <w:rFonts w:hint="eastAsia"/>
          <w:b/>
          <w:bCs/>
          <w:color w:val="auto"/>
          <w:sz w:val="21"/>
          <w:szCs w:val="21"/>
          <w:highlight w:val="none"/>
        </w:rPr>
      </w:r>
      <w:r/>
    </w:p>
    <w:p>
      <w:pPr>
        <w:ind w:firstLine="210"/>
        <w:jc w:val="center"/>
        <w:spacing w:line="360" w:lineRule="auto"/>
        <w:widowControl w:val="off"/>
        <w:rPr>
          <w:rFonts w:hint="eastAsia"/>
          <w:b/>
          <w:bCs/>
          <w:color w:val="auto"/>
          <w:szCs w:val="21"/>
          <w:highlight w:val="none"/>
        </w:rPr>
      </w:pPr>
      <w:r>
        <w:rPr>
          <w:rFonts w:hint="eastAsia"/>
          <w:b/>
          <w:bCs/>
          <w:color w:val="auto"/>
          <w:szCs w:val="21"/>
          <w:highlight w:val="none"/>
        </w:rPr>
      </w:r>
      <w:r/>
    </w:p>
    <w:p>
      <w:pPr>
        <w:ind w:firstLine="210"/>
        <w:jc w:val="center"/>
        <w:spacing w:line="360" w:lineRule="auto"/>
        <w:widowControl w:val="off"/>
        <w:rPr>
          <w:rFonts w:hint="eastAsia"/>
          <w:b/>
          <w:bCs/>
          <w:color w:val="auto"/>
          <w:szCs w:val="21"/>
          <w:highlight w:val="none"/>
        </w:rPr>
      </w:pPr>
      <w:r>
        <w:rPr>
          <w:rFonts w:hint="eastAsia"/>
          <w:b/>
          <w:bCs/>
          <w:color w:val="auto"/>
          <w:szCs w:val="21"/>
          <w:highlight w:val="none"/>
        </w:rPr>
      </w:r>
      <w:r/>
    </w:p>
    <w:p>
      <w:pPr>
        <w:ind w:firstLine="210"/>
        <w:jc w:val="center"/>
        <w:spacing w:line="360" w:lineRule="auto"/>
        <w:widowControl w:val="off"/>
        <w:rPr>
          <w:rFonts w:hint="eastAsia"/>
          <w:b/>
          <w:bCs/>
          <w:color w:val="auto"/>
          <w:szCs w:val="21"/>
          <w:highlight w:val="none"/>
        </w:rPr>
      </w:pPr>
      <w:r>
        <w:rPr>
          <w:rFonts w:hint="eastAsia"/>
          <w:b/>
          <w:bCs/>
          <w:color w:val="auto"/>
          <w:szCs w:val="21"/>
          <w:highlight w:val="none"/>
        </w:rPr>
      </w:r>
      <w:r/>
    </w:p>
    <w:p>
      <w:pPr>
        <w:ind w:firstLine="210"/>
        <w:jc w:val="both"/>
        <w:spacing w:line="360" w:lineRule="auto"/>
        <w:widowControl w:val="off"/>
        <w:rPr>
          <w:rFonts w:hint="eastAsia" w:ascii="宋体" w:hAnsi="宋体" w:eastAsia="宋体" w:cs="宋体"/>
          <w:color w:val="auto"/>
          <w:sz w:val="21"/>
          <w:szCs w:val="21"/>
          <w:highlight w:val="none"/>
          <w:lang w:eastAsia="zh-CN"/>
        </w:rPr>
      </w:pPr>
      <w:r>
        <w:rPr>
          <w:rFonts w:hint="eastAsia"/>
          <w:b/>
          <w:bCs/>
          <w:color w:val="auto"/>
          <w:sz w:val="21"/>
          <w:szCs w:val="21"/>
          <w:highlight w:val="none"/>
        </w:rPr>
        <w:t xml:space="preserve">注：必须按投标人资格要求提供相关资料并加盖公章</w:t>
      </w:r>
      <w:r>
        <w:rPr>
          <w:rFonts w:hint="eastAsia"/>
          <w:b/>
          <w:bCs/>
          <w:color w:val="auto"/>
          <w:sz w:val="21"/>
          <w:szCs w:val="21"/>
          <w:highlight w:val="none"/>
          <w:lang w:eastAsia="zh-CN"/>
        </w:rPr>
        <w:t xml:space="preserve">。</w:t>
      </w:r>
      <w:r/>
    </w:p>
    <w:p>
      <w:pPr>
        <w:pStyle w:val="948"/>
        <w:numPr>
          <w:ilvl w:val="0"/>
          <w:numId w:val="4"/>
        </w:numPr>
        <w:spacing w:line="360" w:lineRule="auto"/>
        <w:rPr>
          <w:rFonts w:hint="eastAsia"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rPr>
        <w:t xml:space="preserve">投标人基本情况表</w:t>
      </w:r>
      <w:r/>
    </w:p>
    <w:p>
      <w:pPr>
        <w:pStyle w:val="948"/>
        <w:ind w:firstLine="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pStyle w:val="948"/>
        <w:ind w:firstLine="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投标人基本情况表</w:t>
      </w:r>
      <w:r/>
    </w:p>
    <w:p>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投标人名称（公章）：</w:t>
      </w:r>
      <w:r>
        <w:rPr>
          <w:rFonts w:hint="eastAsia" w:ascii="宋体" w:hAnsi="宋体" w:eastAsia="宋体" w:cs="宋体"/>
          <w:color w:val="auto"/>
          <w:sz w:val="21"/>
          <w:szCs w:val="21"/>
          <w:highlight w:val="none"/>
          <w:u w:val="single"/>
        </w:rPr>
        <w:t xml:space="preserve">                       </w:t>
      </w:r>
      <w:r/>
    </w:p>
    <w:tbl>
      <w:tblPr>
        <w:tblStyle w:val="947"/>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549"/>
      </w:tblGrid>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ind w:firstLine="2160"/>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54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2605"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自有面积      平方米</w:t>
            </w:r>
            <w:r/>
          </w:p>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承租面积        平方米</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（包括财政、工商、税务、物价、技监部门稽查情况和结果）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（包括解决方式和结果）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592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pStyle w:val="948"/>
        <w:numPr>
          <w:ilvl w:val="0"/>
          <w:numId w:val="4"/>
        </w:numPr>
        <w:spacing w:line="360" w:lineRule="auto"/>
        <w:rPr>
          <w:rFonts w:hint="eastAsia" w:ascii="宋体" w:hAnsi="宋体" w:eastAsia="宋体" w:cs="宋体"/>
          <w:b/>
          <w:bCs/>
          <w:color w:val="auto"/>
          <w:sz w:val="21"/>
          <w:szCs w:val="21"/>
          <w:highlight w:val="none"/>
          <w:lang w:val="zh-CN"/>
        </w:rPr>
      </w:pPr>
      <w:r>
        <w:rPr>
          <w:rFonts w:hint="eastAsia" w:ascii="宋体" w:hAnsi="宋体" w:cs="宋体"/>
          <w:bCs/>
          <w:color w:val="auto"/>
          <w:sz w:val="21"/>
          <w:szCs w:val="21"/>
          <w:highlight w:val="none"/>
          <w:lang w:val="zh-CN"/>
        </w:rPr>
        <w:br w:type="page" w:clear="all"/>
      </w:r>
      <w:r>
        <w:rPr>
          <w:rFonts w:hint="eastAsia" w:ascii="宋体" w:hAnsi="宋体" w:eastAsia="宋体" w:cs="宋体"/>
          <w:b/>
          <w:bCs/>
          <w:color w:val="auto"/>
          <w:sz w:val="21"/>
          <w:szCs w:val="21"/>
          <w:highlight w:val="none"/>
          <w:lang w:val="zh-CN"/>
        </w:rPr>
        <w:t xml:space="preserve">法人授权委托书</w:t>
      </w:r>
      <w:r/>
    </w:p>
    <w:p>
      <w:pPr>
        <w:jc w:val="center"/>
        <w:spacing w:line="360" w:lineRule="auto"/>
        <w:widowControl w:val="off"/>
        <w:rPr>
          <w:rFonts w:hint="eastAsia" w:ascii="宋体" w:hAnsi="宋体" w:cs="宋体"/>
          <w:b/>
          <w:color w:val="auto"/>
          <w:sz w:val="21"/>
          <w:szCs w:val="21"/>
          <w:highlight w:val="none"/>
          <w:lang w:val="zh-CN"/>
        </w:rPr>
        <w:outlineLvl w:val="0"/>
      </w:pPr>
      <w:r>
        <w:rPr>
          <w:rFonts w:hint="eastAsia" w:ascii="宋体" w:hAnsi="宋体" w:cs="宋体"/>
          <w:b/>
          <w:color w:val="auto"/>
          <w:sz w:val="21"/>
          <w:szCs w:val="21"/>
          <w:highlight w:val="none"/>
          <w:lang w:val="zh-CN"/>
        </w:rPr>
      </w:r>
      <w:r/>
    </w:p>
    <w:p>
      <w:pPr>
        <w:jc w:val="center"/>
        <w:spacing w:line="360" w:lineRule="auto"/>
        <w:rPr>
          <w:rFonts w:hint="eastAsia" w:ascii="宋体" w:hAnsi="宋体" w:cs="宋体"/>
          <w:b/>
          <w:color w:val="auto"/>
          <w:sz w:val="21"/>
          <w:szCs w:val="21"/>
          <w:highlight w:val="none"/>
          <w:lang w:val="zh-CN"/>
        </w:rPr>
      </w:pPr>
      <w:r/>
      <w:bookmarkStart w:id="6" w:name="_Toc5717"/>
      <w:r/>
      <w:bookmarkStart w:id="7" w:name="_Toc18702"/>
      <w:r/>
      <w:bookmarkStart w:id="8" w:name="_Toc20811"/>
      <w:r/>
      <w:bookmarkStart w:id="9" w:name="_Toc14425"/>
      <w:r/>
      <w:bookmarkStart w:id="10" w:name="_Toc24626"/>
      <w:r/>
      <w:bookmarkStart w:id="11" w:name="_Toc9742"/>
      <w:r/>
      <w:bookmarkStart w:id="12" w:name="_Toc29896"/>
      <w:r/>
      <w:bookmarkStart w:id="13" w:name="_Toc17310"/>
      <w:r>
        <w:rPr>
          <w:rFonts w:hint="eastAsia" w:ascii="宋体" w:hAnsi="宋体" w:cs="宋体"/>
          <w:b/>
          <w:color w:val="auto"/>
          <w:sz w:val="21"/>
          <w:szCs w:val="21"/>
          <w:highlight w:val="none"/>
          <w:lang w:val="zh-CN"/>
        </w:rPr>
        <w:t xml:space="preserve">法人授权委托书</w:t>
      </w:r>
      <w:bookmarkEnd w:id="6"/>
      <w:r/>
      <w:bookmarkEnd w:id="7"/>
      <w:r/>
      <w:bookmarkEnd w:id="8"/>
      <w:r/>
      <w:bookmarkEnd w:id="9"/>
      <w:r/>
      <w:bookmarkEnd w:id="10"/>
      <w:r/>
      <w:bookmarkEnd w:id="11"/>
      <w:r/>
      <w:bookmarkEnd w:id="12"/>
      <w:r/>
      <w:bookmarkEnd w:id="13"/>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本授权委托书声明：我 </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（姓名）系</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（投标人名称）的法定代表人，现授权委托</w:t>
      </w:r>
      <w:r>
        <w:rPr>
          <w:rFonts w:hint="eastAsia" w:ascii="宋体" w:hAnsi="宋体" w:cs="宋体"/>
          <w:color w:val="auto"/>
          <w:sz w:val="21"/>
          <w:szCs w:val="21"/>
          <w:highlight w:val="none"/>
          <w:u w:val="single"/>
          <w:lang w:val="zh-CN"/>
        </w:rPr>
        <w:t xml:space="preserve">           </w:t>
      </w:r>
      <w:r>
        <w:rPr>
          <w:rFonts w:hint="eastAsia" w:ascii="宋体" w:hAnsi="宋体" w:cs="宋体"/>
          <w:color w:val="auto"/>
          <w:sz w:val="21"/>
          <w:szCs w:val="21"/>
          <w:highlight w:val="none"/>
          <w:lang w:val="zh-CN"/>
        </w:rPr>
        <w:t xml:space="preserve">（姓名）为我公司代理人，以本公司的名义参加苏州泰至鑫项目管理有限公司组织实施的</w:t>
      </w:r>
      <w:r>
        <w:rPr>
          <w:rFonts w:hint="eastAsia" w:ascii="宋体" w:hAnsi="宋体" w:cs="宋体"/>
          <w:color w:val="auto"/>
          <w:sz w:val="21"/>
          <w:szCs w:val="21"/>
          <w:highlight w:val="none"/>
        </w:rPr>
        <w:t xml:space="preserve">项目名称为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编号为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号</w:t>
      </w:r>
      <w:r>
        <w:rPr>
          <w:rFonts w:hint="eastAsia" w:ascii="宋体" w:hAnsi="宋体" w:cs="宋体"/>
          <w:color w:val="auto"/>
          <w:sz w:val="21"/>
          <w:szCs w:val="21"/>
          <w:highlight w:val="none"/>
          <w:lang w:val="zh-CN"/>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代理人无转委托权。特此委托。</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投标人：（公章）</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法定代表人：（签字或签章）</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代理人</w:t>
      </w:r>
      <w:r>
        <w:rPr>
          <w:rFonts w:hint="eastAsia" w:ascii="宋体" w:hAnsi="宋体" w:cs="宋体"/>
          <w:color w:val="auto"/>
          <w:sz w:val="21"/>
          <w:szCs w:val="21"/>
          <w:highlight w:val="none"/>
        </w:rPr>
        <w:t xml:space="preserve">：（签字或签章）</w:t>
      </w:r>
      <w:r/>
    </w:p>
    <w:p>
      <w:pPr>
        <w:ind w:firstLine="425"/>
        <w:jc w:val="right"/>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5"/>
        <w:jc w:val="cente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                                       日期：        年     月     日</w:t>
      </w:r>
      <w:r/>
    </w:p>
    <w:p>
      <w:pPr>
        <w:spacing w:line="360" w:lineRule="auto"/>
        <w:rPr>
          <w:rFonts w:hint="eastAsia" w:ascii="宋体" w:hAnsi="宋体" w:cs="宋体"/>
          <w:b/>
          <w:color w:val="auto"/>
          <w:sz w:val="21"/>
          <w:szCs w:val="21"/>
          <w:highlight w:val="none"/>
        </w:rPr>
      </w:pPr>
      <w:r/>
      <w:bookmarkStart w:id="14" w:name="_Toc11973"/>
      <w:r/>
      <w:bookmarkStart w:id="15" w:name="_Toc30046"/>
      <w:r/>
      <w:bookmarkStart w:id="16" w:name="_Toc7351"/>
      <w:r/>
      <w:bookmarkStart w:id="17" w:name="_Toc25556"/>
      <w:r/>
      <w:bookmarkStart w:id="18" w:name="_Toc11337"/>
      <w:r/>
      <w:bookmarkStart w:id="19" w:name="_Toc4786"/>
      <w:r/>
      <w:bookmarkStart w:id="20" w:name="_Toc25055"/>
      <w:r/>
      <w:bookmarkStart w:id="21" w:name="_Toc18588"/>
      <w:r/>
      <w:bookmarkStart w:id="22" w:name="_Toc6794"/>
      <w:r>
        <w:rPr>
          <w:rFonts w:hint="eastAsia" w:ascii="宋体" w:hAnsi="宋体" w:cs="宋体"/>
          <w:b/>
          <w:color w:val="auto"/>
          <w:sz w:val="21"/>
          <w:szCs w:val="21"/>
          <w:highlight w:val="none"/>
        </w:rPr>
        <w:t xml:space="preserve">附：法定代表人身份</w:t>
      </w:r>
      <w:r>
        <w:rPr>
          <w:rFonts w:hint="eastAsia" w:ascii="宋体" w:hAnsi="宋体" w:cs="宋体"/>
          <w:b/>
          <w:color w:val="auto"/>
          <w:sz w:val="21"/>
          <w:szCs w:val="21"/>
          <w:highlight w:val="none"/>
          <w:lang w:eastAsia="zh-CN"/>
        </w:rPr>
        <w:t xml:space="preserve">扫描件</w:t>
      </w:r>
      <w:r>
        <w:rPr>
          <w:rFonts w:hint="eastAsia" w:ascii="宋体" w:hAnsi="宋体" w:cs="宋体"/>
          <w:b/>
          <w:color w:val="auto"/>
          <w:sz w:val="21"/>
          <w:szCs w:val="21"/>
          <w:highlight w:val="none"/>
        </w:rPr>
        <w:t xml:space="preserve">件。</w:t>
      </w:r>
      <w:bookmarkEnd w:id="14"/>
      <w:r/>
      <w:bookmarkEnd w:id="15"/>
      <w:r/>
      <w:bookmarkEnd w:id="16"/>
      <w:r/>
      <w:bookmarkEnd w:id="17"/>
      <w:r/>
      <w:bookmarkEnd w:id="18"/>
      <w:r/>
      <w:bookmarkEnd w:id="19"/>
      <w:r/>
      <w:bookmarkEnd w:id="20"/>
      <w:r/>
      <w:bookmarkEnd w:id="21"/>
      <w:r/>
      <w:bookmarkEnd w:id="22"/>
      <w:r/>
      <w:r/>
    </w:p>
    <w:p>
      <w:pPr>
        <w:pStyle w:val="948"/>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1506220</wp:posOffset>
                </wp:positionH>
                <wp:positionV relativeFrom="paragraph">
                  <wp:posOffset>55245</wp:posOffset>
                </wp:positionV>
                <wp:extent cx="2880360" cy="1574165"/>
                <wp:effectExtent l="4445" t="4445" r="10795" b="21590"/>
                <wp:wrapNone/>
                <wp:docPr id="38" name="AutoShape 3"/>
                <wp:cNvGraphicFramePr/>
                <a:graphic xmlns:a="http://schemas.openxmlformats.org/drawingml/2006/main">
                  <a:graphicData uri="http://schemas.microsoft.com/office/word/2010/wordprocessingShape">
                    <wps:wsp>
                      <wps:cNvPr id="0" name=""/>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ascii="宋体" w:hAnsi="宋体"/>
                                <w:bCs/>
                                <w:sz w:val="21"/>
                                <w:szCs w:val="21"/>
                              </w:rPr>
                              <w:t xml:space="preserve">法定代表人</w:t>
                            </w:r>
                            <w:r>
                              <w:rPr>
                                <w:rFonts w:hint="eastAsia" w:hAnsi="宋体"/>
                                <w:sz w:val="21"/>
                                <w:szCs w:val="21"/>
                              </w:rPr>
                              <w:t xml:space="preserve">身份证</w:t>
                            </w:r>
                            <w:r>
                              <w:rPr>
                                <w:rFonts w:hint="eastAsia" w:hAnsi="宋体"/>
                                <w:sz w:val="21"/>
                                <w:szCs w:val="21"/>
                                <w:lang w:eastAsia="zh-CN"/>
                              </w:rPr>
                              <w:t xml:space="preserve">扫描</w:t>
                            </w:r>
                            <w:r>
                              <w:rPr>
                                <w:rFonts w:hint="eastAsia" w:hAnsi="宋体"/>
                                <w:sz w:val="21"/>
                                <w:szCs w:val="21"/>
                              </w:rPr>
                              <w:t xml:space="preserve">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138" o:spid="_x0000_s138" style="position:absolute;z-index:251660288;o:allowoverlap:true;o:allowincell:true;mso-position-horizontal-relative:text;margin-left:118.6pt;mso-position-horizontal:absolute;mso-position-vertical-relative:text;margin-top:4.3pt;mso-position-vertical:absolute;width:226.8pt;height:123.9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ascii="宋体" w:hAnsi="宋体"/>
                          <w:bCs/>
                          <w:sz w:val="21"/>
                          <w:szCs w:val="21"/>
                        </w:rPr>
                        <w:t xml:space="preserve">法定代表人</w:t>
                      </w:r>
                      <w:r>
                        <w:rPr>
                          <w:rFonts w:hint="eastAsia" w:hAnsi="宋体"/>
                          <w:sz w:val="21"/>
                          <w:szCs w:val="21"/>
                        </w:rPr>
                        <w:t xml:space="preserve">身份证</w:t>
                      </w:r>
                      <w:r>
                        <w:rPr>
                          <w:rFonts w:hint="eastAsia" w:hAnsi="宋体"/>
                          <w:sz w:val="21"/>
                          <w:szCs w:val="21"/>
                          <w:lang w:eastAsia="zh-CN"/>
                        </w:rPr>
                        <w:t xml:space="preserve">扫描</w:t>
                      </w:r>
                      <w:r>
                        <w:rPr>
                          <w:rFonts w:hint="eastAsia" w:hAnsi="宋体"/>
                          <w:sz w:val="21"/>
                          <w:szCs w:val="21"/>
                        </w:rPr>
                        <w:t xml:space="preserve">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eastAsia="宋体" w:cs="宋体"/>
          <w:b/>
          <w:color w:val="auto"/>
          <w:sz w:val="21"/>
          <w:szCs w:val="21"/>
          <w:highlight w:val="none"/>
        </w:rPr>
        <w:t xml:space="preserve">  </w:t>
      </w:r>
      <w:r/>
    </w:p>
    <w:p>
      <w:pPr>
        <w:pStyle w:val="948"/>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948"/>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948"/>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948"/>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pStyle w:val="948"/>
        <w:ind w:firstLine="0"/>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1487170</wp:posOffset>
                </wp:positionH>
                <wp:positionV relativeFrom="paragraph">
                  <wp:posOffset>267335</wp:posOffset>
                </wp:positionV>
                <wp:extent cx="2976880" cy="1645285"/>
                <wp:effectExtent l="4445" t="5080" r="9525" b="6985"/>
                <wp:wrapNone/>
                <wp:docPr id="39" name="自选图形 4"/>
                <wp:cNvGraphicFramePr/>
                <a:graphic xmlns:a="http://schemas.openxmlformats.org/drawingml/2006/main">
                  <a:graphicData uri="http://schemas.microsoft.com/office/word/2010/wordprocessingShape">
                    <wps:wsp>
                      <wps:cNvPr id="0" name=""/>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hAnsi="宋体"/>
                                <w:sz w:val="21"/>
                                <w:szCs w:val="21"/>
                              </w:rPr>
                              <w:t xml:space="preserve">代理人身份证</w:t>
                            </w:r>
                            <w:r>
                              <w:rPr>
                                <w:rFonts w:hint="eastAsia" w:hAnsi="宋体"/>
                                <w:sz w:val="21"/>
                                <w:szCs w:val="21"/>
                                <w:lang w:eastAsia="zh-CN"/>
                              </w:rPr>
                              <w:t xml:space="preserve">扫描</w:t>
                            </w:r>
                            <w:r>
                              <w:rPr>
                                <w:rFonts w:hint="eastAsia" w:hAnsi="宋体"/>
                                <w:sz w:val="21"/>
                                <w:szCs w:val="21"/>
                              </w:rPr>
                              <w:t xml:space="preserve">件</w:t>
                            </w:r>
                            <w:r/>
                          </w:p>
                          <w:p>
                            <w:pPr>
                              <w:jc w:val="center"/>
                              <w:rPr>
                                <w:sz w:val="21"/>
                                <w:szCs w:val="21"/>
                              </w:rPr>
                            </w:pPr>
                            <w:r>
                              <w:rPr>
                                <w:rFonts w:hint="eastAsia" w:hAnsi="宋体"/>
                                <w:sz w:val="21"/>
                                <w:szCs w:val="21"/>
                              </w:rPr>
                              <w:t xml:space="preserve">（正反面）</w:t>
                            </w:r>
                            <w:r/>
                          </w:p>
                        </w:txbxContent>
                      </wps:txbx>
                      <wps:bodyPr upright="1"/>
                    </wps:wsp>
                  </a:graphicData>
                </a:graphic>
              </wp:anchor>
            </w:drawing>
          </mc:Choice>
          <mc:Fallback>
            <w:pict>
              <v:shape id="shape 139" o:spid="_x0000_s139" style="position:absolute;z-index:251661312;o:allowoverlap:true;o:allowincell:true;mso-position-horizontal-relative:text;margin-left:117.1pt;mso-position-horizontal:absolute;mso-position-vertical-relative:text;margin-top:21.1pt;mso-position-vertical:absolute;width:234.4pt;height:129.5pt;mso-wrap-distance-left:9.0pt;mso-wrap-distance-top:0.0pt;mso-wrap-distance-right:9.0pt;mso-wrap-distance-bottom:0.0pt;visibility:visible;" fillcolor="#FFFFFF" strokecolor="#000000" strokeweight="0.75pt">
                <v:stroke dashstyle="solid"/>
                <v:textbox inset="0,0,0,0">
                  <w:txbxContent>
                    <w:p>
                      <w:pPr>
                        <w:jc w:val="center"/>
                        <w:rPr>
                          <w:rFonts w:hAnsi="宋体"/>
                          <w:szCs w:val="21"/>
                        </w:rPr>
                      </w:pPr>
                      <w:r>
                        <w:rPr>
                          <w:rFonts w:hAnsi="宋体"/>
                          <w:szCs w:val="21"/>
                        </w:rPr>
                      </w:r>
                      <w:r/>
                    </w:p>
                    <w:p>
                      <w:pPr>
                        <w:jc w:val="center"/>
                        <w:rPr>
                          <w:rFonts w:hAnsi="宋体"/>
                          <w:szCs w:val="21"/>
                        </w:rPr>
                      </w:pPr>
                      <w:r>
                        <w:rPr>
                          <w:rFonts w:hAnsi="宋体"/>
                          <w:szCs w:val="21"/>
                        </w:rPr>
                      </w:r>
                      <w:r/>
                    </w:p>
                    <w:p>
                      <w:pPr>
                        <w:jc w:val="center"/>
                        <w:rPr>
                          <w:rFonts w:hint="eastAsia" w:hAnsi="宋体"/>
                          <w:szCs w:val="21"/>
                        </w:rPr>
                      </w:pPr>
                      <w:r>
                        <w:rPr>
                          <w:rFonts w:hint="eastAsia" w:hAnsi="宋体"/>
                          <w:szCs w:val="21"/>
                        </w:rPr>
                      </w:r>
                      <w:r/>
                    </w:p>
                    <w:p>
                      <w:pPr>
                        <w:jc w:val="center"/>
                        <w:rPr>
                          <w:rFonts w:hint="eastAsia" w:hAnsi="宋体"/>
                          <w:szCs w:val="21"/>
                        </w:rPr>
                      </w:pPr>
                      <w:r>
                        <w:rPr>
                          <w:rFonts w:hint="eastAsia" w:hAnsi="宋体"/>
                          <w:szCs w:val="21"/>
                        </w:rPr>
                      </w:r>
                      <w:r/>
                    </w:p>
                    <w:p>
                      <w:pPr>
                        <w:jc w:val="center"/>
                        <w:rPr>
                          <w:rFonts w:hint="eastAsia" w:hAnsi="宋体"/>
                          <w:sz w:val="21"/>
                          <w:szCs w:val="21"/>
                        </w:rPr>
                      </w:pPr>
                      <w:r>
                        <w:rPr>
                          <w:rFonts w:hint="eastAsia" w:hAnsi="宋体"/>
                          <w:sz w:val="21"/>
                          <w:szCs w:val="21"/>
                        </w:rPr>
                        <w:t xml:space="preserve">代理人身份证</w:t>
                      </w:r>
                      <w:r>
                        <w:rPr>
                          <w:rFonts w:hint="eastAsia" w:hAnsi="宋体"/>
                          <w:sz w:val="21"/>
                          <w:szCs w:val="21"/>
                          <w:lang w:eastAsia="zh-CN"/>
                        </w:rPr>
                        <w:t xml:space="preserve">扫描</w:t>
                      </w:r>
                      <w:r>
                        <w:rPr>
                          <w:rFonts w:hint="eastAsia" w:hAnsi="宋体"/>
                          <w:sz w:val="21"/>
                          <w:szCs w:val="21"/>
                        </w:rPr>
                        <w:t xml:space="preserve">件</w:t>
                      </w:r>
                      <w:r/>
                    </w:p>
                    <w:p>
                      <w:pPr>
                        <w:jc w:val="center"/>
                        <w:rPr>
                          <w:sz w:val="21"/>
                          <w:szCs w:val="21"/>
                        </w:rPr>
                      </w:pPr>
                      <w:r>
                        <w:rPr>
                          <w:rFonts w:hint="eastAsia" w:hAnsi="宋体"/>
                          <w:sz w:val="21"/>
                          <w:szCs w:val="21"/>
                        </w:rPr>
                        <w:t xml:space="preserve">（正反面）</w:t>
                      </w:r>
                      <w:r/>
                    </w:p>
                  </w:txbxContent>
                </v:textbox>
              </v:shape>
            </w:pict>
          </mc:Fallback>
        </mc:AlternateContent>
      </w:r>
      <w:r>
        <w:rPr>
          <w:rFonts w:hint="eastAsia" w:ascii="宋体" w:hAnsi="宋体" w:cs="宋体"/>
          <w:b/>
          <w:color w:val="auto"/>
          <w:sz w:val="21"/>
          <w:szCs w:val="21"/>
          <w:highlight w:val="none"/>
        </w:rPr>
        <w:t xml:space="preserve">附：代理人身份</w:t>
      </w:r>
      <w:r>
        <w:rPr>
          <w:rFonts w:hint="eastAsia" w:ascii="宋体" w:hAnsi="宋体" w:cs="宋体"/>
          <w:b/>
          <w:color w:val="auto"/>
          <w:sz w:val="21"/>
          <w:szCs w:val="21"/>
          <w:highlight w:val="none"/>
          <w:lang w:eastAsia="zh-CN"/>
        </w:rPr>
        <w:t xml:space="preserve">扫描件</w:t>
      </w:r>
      <w:r>
        <w:rPr>
          <w:rFonts w:hint="eastAsia" w:ascii="宋体" w:hAnsi="宋体" w:cs="宋体"/>
          <w:b/>
          <w:color w:val="auto"/>
          <w:sz w:val="21"/>
          <w:szCs w:val="21"/>
          <w:highlight w:val="none"/>
        </w:rPr>
        <w:t xml:space="preserve">件</w:t>
      </w:r>
      <w:r/>
    </w:p>
    <w:p>
      <w:pPr>
        <w:pStyle w:val="939"/>
        <w:numPr>
          <w:ilvl w:val="0"/>
          <w:numId w:val="0"/>
        </w:numPr>
        <w:ind w:left="400"/>
        <w:spacing w:before="0" w:after="0" w:line="360" w:lineRule="auto"/>
        <w:rPr>
          <w:rFonts w:hint="eastAsia" w:ascii="宋体" w:hAnsi="宋体" w:cs="宋体"/>
          <w:bCs w:val="0"/>
          <w:color w:val="auto"/>
          <w:sz w:val="21"/>
          <w:szCs w:val="21"/>
          <w:highlight w:val="none"/>
          <w:lang w:val="zh-CN"/>
        </w:rPr>
      </w:pPr>
      <w:r>
        <w:rPr>
          <w:rFonts w:hint="eastAsia" w:ascii="宋体" w:hAnsi="宋体" w:cs="宋体"/>
          <w:bCs w:val="0"/>
          <w:color w:val="auto"/>
          <w:sz w:val="21"/>
          <w:szCs w:val="21"/>
          <w:highlight w:val="none"/>
          <w:lang w:val="zh-CN"/>
        </w:rPr>
      </w:r>
      <w:r/>
    </w:p>
    <w:p>
      <w:pPr>
        <w:pStyle w:val="939"/>
        <w:numPr>
          <w:ilvl w:val="0"/>
          <w:numId w:val="0"/>
        </w:numPr>
        <w:ind w:left="400"/>
        <w:spacing w:before="0" w:after="0" w:line="360" w:lineRule="auto"/>
        <w:rPr>
          <w:rFonts w:hint="eastAsia" w:ascii="宋体" w:hAnsi="宋体" w:cs="宋体"/>
          <w:bCs w:val="0"/>
          <w:color w:val="auto"/>
          <w:sz w:val="21"/>
          <w:szCs w:val="21"/>
          <w:highlight w:val="none"/>
          <w:lang w:val="zh-CN"/>
        </w:rPr>
      </w:pPr>
      <w:r>
        <w:rPr>
          <w:rFonts w:hint="eastAsia" w:ascii="宋体" w:hAnsi="宋体" w:cs="宋体"/>
          <w:bCs w:val="0"/>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360" w:lineRule="auto"/>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jc w:val="both"/>
        <w:spacing w:line="400" w:lineRule="exact"/>
        <w:widowControl w:val="off"/>
        <w:rPr>
          <w:rFonts w:hint="eastAsia" w:ascii="宋体" w:hAnsi="宋体" w:cs="宋体"/>
          <w:b/>
          <w:bCs/>
          <w:color w:val="auto"/>
          <w:sz w:val="21"/>
          <w:szCs w:val="21"/>
          <w:highlight w:val="none"/>
          <w:lang w:val="zh-CN"/>
        </w:rPr>
      </w:pPr>
      <w:r>
        <w:rPr>
          <w:rFonts w:hint="eastAsia" w:ascii="宋体" w:hAnsi="宋体" w:cs="宋体"/>
          <w:b/>
          <w:bCs/>
          <w:color w:val="auto"/>
          <w:sz w:val="21"/>
          <w:szCs w:val="21"/>
          <w:highlight w:val="none"/>
          <w:lang w:val="zh-CN"/>
        </w:rPr>
      </w:r>
      <w:r/>
    </w:p>
    <w:p>
      <w:pPr>
        <w:pStyle w:val="948"/>
        <w:numPr>
          <w:ilvl w:val="0"/>
          <w:numId w:val="4"/>
        </w:numPr>
        <w:spacing w:line="360" w:lineRule="auto"/>
        <w:rPr>
          <w:rFonts w:hint="eastAsia" w:ascii="宋体" w:hAnsi="宋体" w:cs="宋体"/>
          <w:b/>
          <w:color w:val="auto"/>
          <w:sz w:val="21"/>
          <w:szCs w:val="21"/>
          <w:highlight w:val="none"/>
        </w:rPr>
      </w:pPr>
      <w:r>
        <w:rPr>
          <w:rFonts w:hint="eastAsia" w:ascii="宋体" w:hAnsi="宋体" w:cs="宋体"/>
          <w:b/>
          <w:bCs/>
          <w:color w:val="auto"/>
          <w:sz w:val="21"/>
          <w:szCs w:val="21"/>
          <w:highlight w:val="none"/>
          <w:lang w:val="zh-CN"/>
        </w:rPr>
        <w:br w:type="page" w:clear="all"/>
      </w:r>
      <w:r>
        <w:rPr>
          <w:rFonts w:hint="eastAsia" w:ascii="宋体" w:hAnsi="宋体" w:eastAsia="宋体" w:cs="宋体"/>
          <w:b/>
          <w:bCs/>
          <w:color w:val="auto"/>
          <w:sz w:val="21"/>
          <w:szCs w:val="21"/>
          <w:highlight w:val="none"/>
        </w:rPr>
        <w:t xml:space="preserve">中小企业声明函</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货物）</w:t>
      </w:r>
      <w:r>
        <w:rPr>
          <w:rFonts w:hint="eastAsia" w:ascii="宋体" w:hAnsi="宋体" w:cs="宋体"/>
          <w:b/>
          <w:color w:val="auto"/>
          <w:sz w:val="21"/>
          <w:szCs w:val="21"/>
          <w:highlight w:val="none"/>
        </w:rPr>
        <w:t xml:space="preserve"> </w:t>
      </w:r>
      <w:r/>
    </w:p>
    <w:p>
      <w:pPr>
        <w:ind w:firstLine="422"/>
        <w:jc w:val="center"/>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r>
      <w:r/>
    </w:p>
    <w:p>
      <w:pPr>
        <w:ind w:firstLine="422"/>
        <w:jc w:val="center"/>
        <w:spacing w:line="360" w:lineRule="auto"/>
        <w:rPr>
          <w:rFonts w:hint="eastAsia" w:ascii="宋体" w:hAnsi="宋体" w:cs="宋体"/>
          <w:b/>
          <w:color w:val="auto"/>
          <w:sz w:val="21"/>
          <w:szCs w:val="21"/>
          <w:highlight w:val="none"/>
          <w:lang w:val="zh-CN"/>
        </w:rPr>
      </w:pPr>
      <w:r>
        <w:rPr>
          <w:rFonts w:hint="eastAsia" w:ascii="宋体" w:hAnsi="宋体" w:cs="宋体"/>
          <w:b/>
          <w:color w:val="auto"/>
          <w:sz w:val="21"/>
          <w:szCs w:val="21"/>
          <w:highlight w:val="none"/>
          <w:lang w:val="zh-CN"/>
        </w:rPr>
        <w:t xml:space="preserve">中小企业声明函（货物）</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本公司郑重声明，根据《政府采购促进中小企业发展管理办法》（财库﹝2020﹞46 号）的规定，本公司参加（单位名称）的（项目名称）采购活动，提供的货物全部由符合政策要求的中小企业制造。相关企业的具体情况如下：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1. （标的名称） ，属于（采购文件中明确的所属行业）行业；制造商为（企业名称），从业人员   人，营业收入为   万元，资产总额为     万元，属于（中型企业、小型企业、微型企业）；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2. （标的名称） ，属于（采购文件中明确的所属行业）行业；制造商为（企业名称），从业人员     人，营业收入为     万元，资产总额为     万元，属于（中型企业、小型企业、微型企业）；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本企业对上述声明内容的真实性负责。如有虚假，将依法承担相应责任。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企业名称（盖章）：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日 期：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备注：</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1、本项目属于专门面向中小微企业</w:t>
      </w:r>
      <w:r>
        <w:rPr>
          <w:rFonts w:hint="eastAsia" w:ascii="宋体" w:hAnsi="宋体" w:cs="宋体"/>
          <w:b/>
          <w:bCs/>
          <w:color w:val="auto"/>
          <w:sz w:val="21"/>
          <w:szCs w:val="21"/>
          <w:highlight w:val="none"/>
          <w:lang w:val="en-US" w:eastAsia="zh-CN"/>
        </w:rPr>
        <w:t xml:space="preserve">采购的项目</w:t>
      </w:r>
      <w:r>
        <w:rPr>
          <w:rFonts w:hint="eastAsia" w:ascii="宋体" w:hAnsi="宋体" w:cs="宋体"/>
          <w:b/>
          <w:bCs/>
          <w:color w:val="auto"/>
          <w:sz w:val="21"/>
          <w:szCs w:val="21"/>
          <w:highlight w:val="none"/>
        </w:rPr>
        <w:t xml:space="preserve">，小微企业不享受价格扣除优惠。投标单位必须提供符合要求的《中小企业声明函》。供应商应针对本项目所有货物挨个明确“制造商的资产、人员”等情况，所有货物均是中小微企业生产，才能通过资格性审查。未在投标文件中提供《中小企业声明函》或提供的《中小企业声明函》不符合要求的，将不能通过资格审查。</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、中小企业划分标准详见“工信部联企业〔2011〕300号通知”。</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3</w:t>
      </w:r>
      <w:r>
        <w:rPr>
          <w:rFonts w:hint="eastAsia" w:ascii="宋体" w:hAnsi="宋体" w:cs="宋体"/>
          <w:color w:val="auto"/>
          <w:sz w:val="21"/>
          <w:szCs w:val="21"/>
          <w:highlight w:val="none"/>
          <w:lang w:val="zh-CN"/>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zh-CN"/>
        </w:rPr>
        <w:t xml:space="preserve">监狱企业参加政府采购活动时，应当提供由省级以上监狱管理局、戒毒管理局（含新疆生产建设兵团）出具的属于监狱企业的证明文件。</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5</w:t>
      </w:r>
      <w:r>
        <w:rPr>
          <w:rFonts w:hint="eastAsia" w:ascii="宋体" w:hAnsi="宋体" w:cs="宋体"/>
          <w:color w:val="auto"/>
          <w:sz w:val="21"/>
          <w:szCs w:val="21"/>
          <w:highlight w:val="none"/>
          <w:lang w:val="zh-CN"/>
        </w:rPr>
        <w:t xml:space="preserve">、若供应商中标（成交），供应商提供的“中小企业声明函” 将在中标（成交）公告中公示。</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6、</w:t>
      </w:r>
      <w:r>
        <w:rPr>
          <w:rFonts w:hint="eastAsia" w:ascii="宋体" w:hAnsi="宋体" w:cs="宋体"/>
          <w:color w:val="auto"/>
          <w:sz w:val="21"/>
          <w:szCs w:val="21"/>
          <w:highlight w:val="none"/>
          <w:lang w:val="zh-CN"/>
        </w:rPr>
        <w:t xml:space="preserve">从业人员、营业收入、资产总额填报上一年度数据，无上一年度数据的新成立企业可不填报。</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7、供应商提供声明函内容不实的，属于提供虚假材料谋取中标、成交，依照《中华人民共和国政府采购法》 等国家有关规定追究相应责任。</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pStyle w:val="948"/>
        <w:ind w:left="425" w:firstLine="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r>
      <w:r>
        <w:rPr>
          <w:rFonts w:hint="eastAsia" w:ascii="宋体" w:hAnsi="宋体" w:eastAsia="宋体" w:cs="宋体"/>
          <w:b/>
          <w:bCs/>
          <w:color w:val="auto"/>
          <w:sz w:val="21"/>
          <w:szCs w:val="21"/>
          <w:highlight w:val="none"/>
        </w:rPr>
      </w:r>
    </w:p>
    <w:p>
      <w:pPr>
        <w:pStyle w:val="948"/>
        <w:numPr>
          <w:ilvl w:val="0"/>
          <w:numId w:val="4"/>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rPr>
        <w:t xml:space="preserve">残疾人福利性单位</w:t>
      </w:r>
      <w:r>
        <w:rPr>
          <w:rFonts w:hint="eastAsia" w:ascii="宋体" w:hAnsi="宋体" w:eastAsia="宋体" w:cs="宋体"/>
          <w:b/>
          <w:bCs/>
          <w:color w:val="auto"/>
          <w:sz w:val="21"/>
          <w:szCs w:val="21"/>
          <w:highlight w:val="none"/>
        </w:rPr>
        <w:t xml:space="preserve">声明函（如有）</w:t>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残疾人福利性单位声明函</w:t>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ind w:firstLine="420"/>
        <w:spacing w:line="588"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26"/>
        <w:ind w:left="3400" w:firstLine="425"/>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投标单位：（盖章）</w:t>
      </w:r>
      <w:r/>
    </w:p>
    <w:p>
      <w:pPr>
        <w:pStyle w:val="1026"/>
        <w:ind w:left="3825"/>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法定代表人或其委托代理人：（盖章或签字）</w:t>
      </w:r>
      <w:r/>
    </w:p>
    <w:p>
      <w:pPr>
        <w:pStyle w:val="1026"/>
        <w:ind w:firstLine="5250"/>
        <w:spacing w:line="360" w:lineRule="auto"/>
        <w:rPr>
          <w:rFonts w:hint="eastAsia" w:hAnsi="宋体" w:cs="宋体"/>
          <w:color w:val="auto"/>
          <w:sz w:val="21"/>
          <w:szCs w:val="21"/>
          <w:highlight w:val="none"/>
        </w:rPr>
      </w:pPr>
      <w:r>
        <w:rPr>
          <w:rFonts w:hint="eastAsia" w:hAnsi="宋体" w:cs="宋体"/>
          <w:color w:val="auto"/>
          <w:sz w:val="21"/>
          <w:szCs w:val="21"/>
          <w:highlight w:val="none"/>
        </w:rPr>
        <w:t xml:space="preserve">年     月     日</w:t>
      </w:r>
      <w:r/>
    </w:p>
    <w:p>
      <w:pPr>
        <w:ind w:right="1560" w:firstLine="420"/>
        <w:jc w:val="center"/>
        <w:spacing w:line="588" w:lineRule="exact"/>
        <w:tabs>
          <w:tab w:val="left" w:pos="4860"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69"/>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69"/>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68"/>
        <w:spacing w:before="0" w:beforeAutospacing="0" w:after="0" w:afterAutospacing="0" w:line="360" w:lineRule="auto"/>
        <w:rPr>
          <w:rFonts w:hint="eastAsia"/>
          <w:color w:val="auto"/>
          <w:sz w:val="21"/>
          <w:szCs w:val="21"/>
          <w:highlight w:val="none"/>
        </w:rPr>
      </w:pPr>
      <w:r/>
      <w:bookmarkStart w:id="23" w:name="_Toc5165"/>
      <w:r>
        <w:rPr>
          <w:rFonts w:hint="eastAsia"/>
          <w:color w:val="auto"/>
          <w:sz w:val="21"/>
          <w:szCs w:val="21"/>
          <w:highlight w:val="none"/>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23"/>
      <w:r/>
      <w:r/>
    </w:p>
    <w:p>
      <w:pPr>
        <w:pStyle w:val="948"/>
        <w:numPr>
          <w:ilvl w:val="0"/>
          <w:numId w:val="4"/>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rPr>
        <w:br w:type="page" w:clear="all"/>
      </w:r>
      <w:r>
        <w:rPr>
          <w:rFonts w:hint="eastAsia" w:ascii="宋体" w:hAnsi="宋体" w:eastAsia="宋体" w:cs="宋体"/>
          <w:b/>
          <w:bCs/>
          <w:color w:val="auto"/>
          <w:sz w:val="21"/>
          <w:szCs w:val="21"/>
          <w:highlight w:val="none"/>
        </w:rPr>
        <w:t xml:space="preserve">偏离表</w:t>
      </w:r>
      <w:r/>
    </w:p>
    <w:p>
      <w:pPr>
        <w:pStyle w:val="948"/>
        <w:rPr>
          <w:rFonts w:ascii="宋体" w:hAnsi="宋体" w:eastAsia="宋体"/>
          <w:b/>
          <w:bCs/>
          <w:color w:val="auto"/>
          <w:szCs w:val="24"/>
          <w:highlight w:val="none"/>
        </w:rPr>
      </w:pPr>
      <w:r>
        <w:rPr>
          <w:rFonts w:hint="eastAsia"/>
          <w:b/>
          <w:bCs/>
          <w:color w:val="auto"/>
          <w:szCs w:val="21"/>
          <w:highlight w:val="none"/>
        </w:rPr>
        <w:t xml:space="preserve">                  </w:t>
      </w:r>
      <w:r/>
    </w:p>
    <w:p>
      <w:pPr>
        <w:jc w:val="center"/>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hint="eastAsia" w:ascii="宋体" w:hAnsi="宋体" w:cs="宋体"/>
          <w:b/>
          <w:color w:val="auto"/>
          <w:sz w:val="21"/>
          <w:szCs w:val="21"/>
          <w:highlight w:val="none"/>
          <w:lang w:eastAsia="zh-CN"/>
        </w:rPr>
        <w:t xml:space="preserve">技术条款</w:t>
      </w:r>
      <w:r>
        <w:rPr>
          <w:rFonts w:hint="eastAsia" w:ascii="宋体" w:hAnsi="宋体" w:cs="宋体"/>
          <w:b/>
          <w:color w:val="auto"/>
          <w:sz w:val="21"/>
          <w:szCs w:val="21"/>
          <w:highlight w:val="none"/>
        </w:rPr>
        <w:t xml:space="preserve">偏离表</w:t>
      </w:r>
      <w:r/>
    </w:p>
    <w:p>
      <w:pPr>
        <w:ind w:firstLine="525"/>
        <w:spacing w:line="380" w:lineRule="exact"/>
        <w:rPr>
          <w:rFonts w:hint="eastAsia"/>
          <w:color w:val="auto"/>
          <w:sz w:val="21"/>
          <w:szCs w:val="21"/>
          <w:highlight w:val="none"/>
          <w:lang w:val="zh-CN"/>
        </w:rPr>
      </w:pPr>
      <w:r>
        <w:rPr>
          <w:rFonts w:hint="eastAsia"/>
          <w:color w:val="auto"/>
          <w:sz w:val="21"/>
          <w:szCs w:val="21"/>
          <w:highlight w:val="none"/>
          <w:lang w:val="zh-CN"/>
        </w:rPr>
      </w:r>
      <w:r/>
    </w:p>
    <w:p>
      <w:pPr>
        <w:ind w:firstLine="525"/>
        <w:spacing w:line="380" w:lineRule="exact"/>
        <w:rPr>
          <w:b/>
          <w:color w:val="auto"/>
          <w:spacing w:val="20"/>
          <w:sz w:val="21"/>
          <w:szCs w:val="21"/>
          <w:highlight w:val="none"/>
        </w:rPr>
      </w:pPr>
      <w:r>
        <w:rPr>
          <w:rFonts w:hint="eastAsia"/>
          <w:color w:val="auto"/>
          <w:sz w:val="21"/>
          <w:szCs w:val="21"/>
          <w:highlight w:val="none"/>
          <w:lang w:val="zh-CN"/>
        </w:rPr>
        <w:t xml:space="preserve">投标人：                    </w:t>
      </w:r>
      <w:r>
        <w:rPr>
          <w:rFonts w:hint="eastAsia"/>
          <w:color w:val="auto"/>
          <w:sz w:val="21"/>
          <w:szCs w:val="21"/>
          <w:highlight w:val="none"/>
        </w:rPr>
        <w:t xml:space="preserve">                       </w:t>
      </w:r>
      <w:r>
        <w:rPr>
          <w:rFonts w:hint="eastAsia"/>
          <w:color w:val="auto"/>
          <w:sz w:val="21"/>
          <w:szCs w:val="21"/>
          <w:highlight w:val="none"/>
          <w:lang w:val="zh-CN"/>
        </w:rPr>
        <w:t xml:space="preserve">招标编号</w:t>
      </w:r>
      <w:r>
        <w:rPr>
          <w:rFonts w:hint="eastAsia" w:cs="宋体"/>
          <w:color w:val="auto"/>
          <w:sz w:val="21"/>
          <w:szCs w:val="21"/>
          <w:highlight w:val="none"/>
          <w:lang w:val="zh-CN"/>
        </w:rPr>
        <w:t xml:space="preserve">∶</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370"/>
        <w:gridCol w:w="2631"/>
        <w:gridCol w:w="2052"/>
      </w:tblGrid>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序号</w:t>
            </w:r>
            <w:r/>
          </w:p>
        </w:tc>
        <w:tc>
          <w:tcPr>
            <w:tcW w:w="1683" w:type="dxa"/>
            <w:vAlign w:val="center"/>
            <w:textDirection w:val="lrTb"/>
            <w:noWrap w:val="false"/>
          </w:tcPr>
          <w:p>
            <w:pPr>
              <w:pStyle w:val="948"/>
              <w:ind w:left="54"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项目</w:t>
            </w:r>
            <w:r/>
          </w:p>
        </w:tc>
        <w:tc>
          <w:tcPr>
            <w:tcW w:w="2370" w:type="dxa"/>
            <w:vAlign w:val="center"/>
            <w:textDirection w:val="lrTb"/>
            <w:noWrap w:val="false"/>
          </w:tcPr>
          <w:p>
            <w:pPr>
              <w:pStyle w:val="948"/>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招标要求</w:t>
            </w:r>
            <w:r/>
          </w:p>
        </w:tc>
        <w:tc>
          <w:tcPr>
            <w:tcW w:w="2631" w:type="dxa"/>
            <w:vAlign w:val="center"/>
            <w:textDirection w:val="lrTb"/>
            <w:noWrap w:val="false"/>
          </w:tcPr>
          <w:p>
            <w:pPr>
              <w:pStyle w:val="948"/>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投标</w:t>
            </w:r>
            <w:r>
              <w:rPr>
                <w:rFonts w:hint="eastAsia" w:ascii="宋体" w:hAnsi="宋体" w:eastAsia="宋体"/>
                <w:color w:val="auto"/>
                <w:sz w:val="21"/>
                <w:szCs w:val="21"/>
                <w:highlight w:val="none"/>
              </w:rPr>
              <w:t xml:space="preserve">响应</w:t>
            </w:r>
            <w:r/>
          </w:p>
        </w:tc>
        <w:tc>
          <w:tcPr>
            <w:tcW w:w="2052" w:type="dxa"/>
            <w:vAlign w:val="center"/>
            <w:textDirection w:val="lrTb"/>
            <w:noWrap w:val="false"/>
          </w:tcPr>
          <w:p>
            <w:pPr>
              <w:pStyle w:val="948"/>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偏离说明</w:t>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1</w:t>
            </w:r>
            <w:r/>
          </w:p>
        </w:tc>
        <w:tc>
          <w:tcPr>
            <w:tcW w:w="1683"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2</w:t>
            </w:r>
            <w:r/>
          </w:p>
        </w:tc>
        <w:tc>
          <w:tcPr>
            <w:tcW w:w="1683"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3</w:t>
            </w:r>
            <w:r/>
          </w:p>
        </w:tc>
        <w:tc>
          <w:tcPr>
            <w:tcW w:w="1683"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4</w:t>
            </w:r>
            <w:r/>
          </w:p>
        </w:tc>
        <w:tc>
          <w:tcPr>
            <w:tcW w:w="1683"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5</w:t>
            </w:r>
            <w:r/>
          </w:p>
        </w:tc>
        <w:tc>
          <w:tcPr>
            <w:tcW w:w="1683"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6</w:t>
            </w:r>
            <w:r/>
          </w:p>
        </w:tc>
        <w:tc>
          <w:tcPr>
            <w:tcW w:w="1683"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Pr>
        <w:tc>
          <w:tcPr>
            <w:tcW w:w="958" w:type="dxa"/>
            <w:vAlign w:val="top"/>
            <w:textDirection w:val="lrTb"/>
            <w:noWrap w:val="false"/>
          </w:tcPr>
          <w:p>
            <w:pPr>
              <w:jc w:val="center"/>
              <w:rPr>
                <w:color w:val="auto"/>
                <w:sz w:val="21"/>
                <w:szCs w:val="21"/>
                <w:highlight w:val="none"/>
              </w:rPr>
            </w:pPr>
            <w:r>
              <w:rPr>
                <w:rFonts w:hint="eastAsia"/>
                <w:color w:val="auto"/>
                <w:sz w:val="21"/>
                <w:szCs w:val="21"/>
                <w:highlight w:val="none"/>
              </w:rPr>
              <w:t xml:space="preserve">……</w:t>
            </w:r>
            <w:r/>
          </w:p>
        </w:tc>
        <w:tc>
          <w:tcPr>
            <w:tcW w:w="1683"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370"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631"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2052" w:type="dxa"/>
            <w:vAlign w:val="top"/>
            <w:textDirection w:val="lrTb"/>
            <w:noWrap w:val="false"/>
          </w:tcPr>
          <w:p>
            <w:pPr>
              <w:pStyle w:val="948"/>
              <w:ind w:firstLine="699"/>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firstLine="241"/>
        <w:spacing w:line="400" w:lineRule="exact"/>
        <w:rPr>
          <w:b/>
          <w:color w:val="auto"/>
          <w:szCs w:val="21"/>
          <w:highlight w:val="none"/>
        </w:rPr>
      </w:pPr>
      <w:r>
        <w:rPr>
          <w:b/>
          <w:color w:val="auto"/>
          <w:szCs w:val="21"/>
          <w:highlight w:val="none"/>
        </w:rPr>
      </w:r>
      <w:r/>
    </w:p>
    <w:p>
      <w:pPr>
        <w:jc w:val="center"/>
        <w:spacing w:line="360" w:lineRule="auto"/>
        <w:rPr>
          <w:rFonts w:hint="eastAsia" w:ascii="宋体" w:hAnsi="宋体" w:eastAsia="宋体" w:cs="宋体"/>
          <w:b/>
          <w:color w:val="auto"/>
          <w:spacing w:val="20"/>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b/>
          <w:color w:val="auto"/>
          <w:spacing w:val="20"/>
          <w:sz w:val="21"/>
          <w:szCs w:val="21"/>
          <w:highlight w:val="none"/>
        </w:rPr>
        <w:t xml:space="preserve">商务条款偏离表</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投标人：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招标编号∶</w:t>
      </w:r>
      <w:r/>
    </w:p>
    <w:tbl>
      <w:tblPr>
        <w:tblStyle w:val="9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1378"/>
        <w:gridCol w:w="4158"/>
        <w:gridCol w:w="1542"/>
        <w:gridCol w:w="1138"/>
        <w:gridCol w:w="642"/>
      </w:tblGrid>
      <w:tr>
        <w:trPr>
          <w:cantSplit/>
          <w:jc w:val="center"/>
          <w:trHeight w:val="454"/>
          <w:tblHeader/>
        </w:trPr>
        <w:tc>
          <w:tcPr>
            <w:tcW w:w="920"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1378"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项目</w:t>
            </w:r>
            <w:r/>
          </w:p>
        </w:tc>
        <w:tc>
          <w:tcPr>
            <w:tcW w:w="4158"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招标文件要求</w:t>
            </w:r>
            <w:r/>
          </w:p>
        </w:tc>
        <w:tc>
          <w:tcPr>
            <w:tcW w:w="154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投标响应</w:t>
            </w:r>
            <w:r/>
          </w:p>
        </w:tc>
        <w:tc>
          <w:tcPr>
            <w:tcW w:w="1138"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偏离说明</w:t>
            </w:r>
            <w:r/>
          </w:p>
        </w:tc>
        <w:tc>
          <w:tcPr>
            <w:tcW w:w="642"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备注</w:t>
            </w:r>
            <w:r/>
          </w:p>
        </w:tc>
      </w:tr>
      <w:tr>
        <w:trPr>
          <w:cantSplit/>
          <w:jc w:val="center"/>
          <w:trHeight w:val="454"/>
        </w:trPr>
        <w:tc>
          <w:tcPr>
            <w:tcW w:w="920"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lang w:eastAsia="zh-CN"/>
              </w:rPr>
              <w:t xml:space="preserve">）</w:t>
            </w:r>
            <w:r/>
          </w:p>
        </w:tc>
        <w:tc>
          <w:tcPr>
            <w:tcW w:w="137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合同履行期限 </w:t>
            </w:r>
            <w:r/>
          </w:p>
        </w:tc>
        <w:tc>
          <w:tcPr>
            <w:tcW w:w="4158" w:type="dxa"/>
            <w:vAlign w:val="center"/>
            <w:textDirection w:val="lrTb"/>
            <w:noWrap w:val="false"/>
          </w:tcPr>
          <w:p>
            <w:pP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W w:w="15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54"/>
        </w:trPr>
        <w:tc>
          <w:tcPr>
            <w:tcW w:w="920"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lang w:eastAsia="zh-CN"/>
              </w:rPr>
              <w:t xml:space="preserve">）</w:t>
            </w:r>
            <w:r/>
          </w:p>
        </w:tc>
        <w:tc>
          <w:tcPr>
            <w:tcW w:w="1378"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安装地点</w:t>
            </w:r>
            <w:r/>
          </w:p>
        </w:tc>
        <w:tc>
          <w:tcPr>
            <w:tcW w:w="4158" w:type="dxa"/>
            <w:vAlign w:val="center"/>
            <w:textDirection w:val="lrTb"/>
            <w:noWrap w:val="false"/>
          </w:tcPr>
          <w:p>
            <w:pPr>
              <w:spacing w:line="360" w:lineRule="auto"/>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lang w:val="zh-CN" w:eastAsia="zh-CN" w:bidi="ar-SA"/>
              </w:rPr>
            </w:r>
            <w:r/>
          </w:p>
        </w:tc>
        <w:tc>
          <w:tcPr>
            <w:tcW w:w="15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676"/>
        </w:trPr>
        <w:tc>
          <w:tcPr>
            <w:tcW w:w="920"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3</w:t>
            </w:r>
            <w:r>
              <w:rPr>
                <w:rFonts w:hint="eastAsia" w:ascii="宋体" w:hAnsi="宋体" w:cs="宋体"/>
                <w:bCs/>
                <w:color w:val="auto"/>
                <w:sz w:val="21"/>
                <w:szCs w:val="21"/>
                <w:highlight w:val="none"/>
                <w:lang w:eastAsia="zh-CN"/>
              </w:rPr>
              <w:t xml:space="preserve">）</w:t>
            </w:r>
            <w:r/>
          </w:p>
        </w:tc>
        <w:tc>
          <w:tcPr>
            <w:tcW w:w="137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付款方式</w:t>
            </w:r>
            <w:r/>
          </w:p>
        </w:tc>
        <w:tc>
          <w:tcPr>
            <w:tcW w:w="4158" w:type="dxa"/>
            <w:vAlign w:val="center"/>
            <w:textDirection w:val="lrTb"/>
            <w:noWrap w:val="false"/>
          </w:tcPr>
          <w:p>
            <w:pPr>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199"/>
        </w:trPr>
        <w:tc>
          <w:tcPr>
            <w:tcW w:w="920"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4</w:t>
            </w:r>
            <w:r>
              <w:rPr>
                <w:rFonts w:hint="eastAsia" w:ascii="宋体" w:hAnsi="宋体" w:cs="宋体"/>
                <w:bCs/>
                <w:color w:val="auto"/>
                <w:sz w:val="21"/>
                <w:szCs w:val="21"/>
                <w:highlight w:val="none"/>
                <w:lang w:eastAsia="zh-CN"/>
              </w:rPr>
              <w:t xml:space="preserve">）</w:t>
            </w:r>
            <w:r/>
          </w:p>
        </w:tc>
        <w:tc>
          <w:tcPr>
            <w:tcW w:w="1378" w:type="dxa"/>
            <w:vAlign w:val="center"/>
            <w:textDirection w:val="lrTb"/>
            <w:noWrap w:val="false"/>
          </w:tcPr>
          <w:p>
            <w:pPr>
              <w:jc w:val="center"/>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报价要求</w:t>
            </w:r>
            <w:r/>
          </w:p>
        </w:tc>
        <w:tc>
          <w:tcPr>
            <w:tcW w:w="4158" w:type="dxa"/>
            <w:vAlign w:val="center"/>
            <w:textDirection w:val="lrTb"/>
            <w:noWrap w:val="false"/>
          </w:tcPr>
          <w:p>
            <w:pPr>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54"/>
        </w:trPr>
        <w:tc>
          <w:tcPr>
            <w:tcW w:w="920"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eastAsia="zh-CN"/>
              </w:rPr>
            </w:pP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lang w:eastAsia="zh-CN"/>
              </w:rPr>
              <w:t xml:space="preserve">）</w:t>
            </w:r>
            <w:r/>
          </w:p>
        </w:tc>
        <w:tc>
          <w:tcPr>
            <w:tcW w:w="1378" w:type="dxa"/>
            <w:vAlign w:val="center"/>
            <w:textDirection w:val="lrTb"/>
            <w:noWrap w:val="false"/>
          </w:tcPr>
          <w:p>
            <w:pPr>
              <w:jc w:val="center"/>
              <w:spacing w:line="360" w:lineRule="auto"/>
              <w:rPr>
                <w:rFonts w:hint="default" w:ascii="宋体" w:hAnsi="宋体" w:eastAsia="宋体" w:cs="宋体"/>
                <w:bCs/>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人员投入</w:t>
            </w:r>
            <w:r/>
          </w:p>
        </w:tc>
        <w:tc>
          <w:tcPr>
            <w:tcW w:w="4158"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tc>
        <w:tc>
          <w:tcPr>
            <w:tcW w:w="15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454"/>
        </w:trPr>
        <w:tc>
          <w:tcPr>
            <w:tcW w:w="920"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w:t>
            </w:r>
            <w:r/>
          </w:p>
        </w:tc>
        <w:tc>
          <w:tcPr>
            <w:tcW w:w="1378"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其他要求</w:t>
            </w:r>
            <w:r/>
          </w:p>
        </w:tc>
        <w:tc>
          <w:tcPr>
            <w:tcW w:w="4158" w:type="dxa"/>
            <w:vAlign w:val="center"/>
            <w:textDirection w:val="lrTb"/>
            <w:noWrap w:val="false"/>
          </w:tcPr>
          <w:p>
            <w:pPr>
              <w:jc w:val="center"/>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tcW w:w="15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138"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64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r>
      <w:r>
        <w:rPr>
          <w:rFonts w:hint="eastAsia" w:ascii="宋体" w:hAnsi="宋体" w:cs="宋体"/>
          <w:color w:val="auto"/>
          <w:sz w:val="21"/>
          <w:szCs w:val="21"/>
          <w:highlight w:val="none"/>
          <w:lang w:val="zh-CN"/>
        </w:rPr>
      </w:r>
      <w:r/>
    </w:p>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1.投标人应在本表中对照招标文件技术要求与实际投标技术要求逐项对应列出，并在“偏离说明”项下填写以下内容：优于的，填写“正偏离”；符合的，填写“无偏离”；低于的，填写“负偏离”。</w:t>
      </w:r>
      <w:r/>
    </w:p>
    <w:p>
      <w:pPr>
        <w:ind w:firstLine="420"/>
        <w:jc w:val="left"/>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2.若事项较多，投标人可根据响应内容的实际情况另纸说明。</w:t>
      </w:r>
      <w:r/>
    </w:p>
    <w:p>
      <w:pPr>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r>
      <w:r/>
    </w:p>
    <w:p>
      <w:pPr>
        <w:spacing w:line="400" w:lineRule="exact"/>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格式</w:t>
      </w:r>
      <w:r>
        <w:rPr>
          <w:rFonts w:hint="eastAsia" w:ascii="宋体" w:hAnsi="宋体" w:eastAsia="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相关证书一览表</w:t>
      </w:r>
      <w:r/>
    </w:p>
    <w:p>
      <w:pPr>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证书一览表</w:t>
      </w:r>
      <w:r/>
    </w:p>
    <w:p>
      <w:pPr>
        <w:ind w:left="0" w:right="0" w:firstLine="42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投标人名称：_________________________</w:t>
      </w:r>
      <w:r/>
    </w:p>
    <w:tbl>
      <w:tblPr>
        <w:tblStyle w:val="94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320"/>
        <w:gridCol w:w="2575"/>
        <w:gridCol w:w="1479"/>
        <w:gridCol w:w="1337"/>
        <w:gridCol w:w="1823"/>
      </w:tblGrid>
      <w:tr>
        <w:trPr>
          <w:cantSplit/>
          <w:jc w:val="center"/>
          <w:trHeight w:val="740"/>
        </w:trPr>
        <w:tc>
          <w:tcPr>
            <w:tcW w:w="132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2575"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证书名称</w:t>
            </w:r>
            <w:r/>
          </w:p>
        </w:tc>
        <w:tc>
          <w:tcPr>
            <w:tcW w:w="1479"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证书级别</w:t>
            </w:r>
            <w:r/>
          </w:p>
        </w:tc>
        <w:tc>
          <w:tcPr>
            <w:tcW w:w="1337"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包含项目</w:t>
            </w:r>
            <w:r/>
          </w:p>
        </w:tc>
        <w:tc>
          <w:tcPr>
            <w:tcW w:w="1823"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备注</w:t>
            </w:r>
            <w:r/>
          </w:p>
        </w:tc>
      </w:tr>
      <w:tr>
        <w:trPr>
          <w:cantSplit/>
          <w:jc w:val="center"/>
          <w:trHeight w:val="510" w:hRule="exact"/>
        </w:trPr>
        <w:tc>
          <w:tcPr>
            <w:tcW w:w="132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57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7"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3"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10" w:hRule="exact"/>
        </w:trPr>
        <w:tc>
          <w:tcPr>
            <w:tcW w:w="132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57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7"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3"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10" w:hRule="exact"/>
        </w:trPr>
        <w:tc>
          <w:tcPr>
            <w:tcW w:w="132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57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7"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3"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10" w:hRule="exact"/>
        </w:trPr>
        <w:tc>
          <w:tcPr>
            <w:tcW w:w="132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257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7"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3"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10" w:hRule="exact"/>
        </w:trPr>
        <w:tc>
          <w:tcPr>
            <w:tcW w:w="1320" w:type="dxa"/>
            <w:vAlign w:val="center"/>
            <w:textDirection w:val="lrTb"/>
            <w:noWrap w:val="false"/>
          </w:tcPr>
          <w:p>
            <w:pPr>
              <w:ind w:left="0" w:right="0"/>
              <w:jc w:val="center"/>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2575"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79"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37"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23" w:type="dxa"/>
            <w:vAlign w:val="center"/>
            <w:textDirection w:val="lrTb"/>
            <w:noWrap w:val="false"/>
          </w:tcPr>
          <w:p>
            <w:pPr>
              <w:ind w:left="0" w:right="0"/>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left="0" w:right="0" w:firstLine="718"/>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注</w:t>
      </w:r>
      <w:r>
        <w:rPr>
          <w:rFonts w:hint="eastAsia" w:ascii="宋体" w:hAnsi="宋体" w:eastAsia="宋体" w:cs="宋体"/>
          <w:color w:val="auto"/>
          <w:sz w:val="21"/>
          <w:szCs w:val="21"/>
          <w:highlight w:val="none"/>
        </w:rPr>
        <w:t xml:space="preserve">：需按</w:t>
      </w:r>
      <w:r>
        <w:rPr>
          <w:rFonts w:hint="eastAsia" w:ascii="宋体" w:hAnsi="宋体" w:eastAsia="宋体" w:cs="宋体"/>
          <w:color w:val="auto"/>
          <w:sz w:val="21"/>
          <w:szCs w:val="21"/>
          <w:highlight w:val="none"/>
          <w:lang w:val="en-US" w:eastAsia="zh-CN"/>
        </w:rPr>
        <w:t xml:space="preserve">采购文件</w:t>
      </w:r>
      <w:r>
        <w:rPr>
          <w:rFonts w:hint="eastAsia" w:ascii="宋体" w:hAnsi="宋体" w:eastAsia="宋体" w:cs="宋体"/>
          <w:color w:val="auto"/>
          <w:sz w:val="21"/>
          <w:szCs w:val="21"/>
          <w:highlight w:val="none"/>
        </w:rPr>
        <w:t xml:space="preserve">要求提供相关证明资料，</w:t>
      </w:r>
      <w:r>
        <w:rPr>
          <w:rFonts w:hint="eastAsia" w:ascii="宋体" w:hAnsi="宋体" w:eastAsia="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rPr>
          <w:rFonts w:hint="eastAsia" w:ascii="宋体" w:hAnsi="宋体" w:cs="宋体"/>
          <w:color w:val="auto"/>
          <w:highlight w:val="none"/>
        </w:rPr>
      </w:pPr>
      <w:r>
        <w:rPr>
          <w:rFonts w:hint="eastAsia" w:ascii="宋体" w:hAnsi="宋体" w:cs="宋体"/>
          <w:color w:val="auto"/>
          <w:highlight w:val="none"/>
        </w:rPr>
      </w:r>
      <w:r/>
    </w:p>
    <w:p>
      <w:pPr>
        <w:pStyle w:val="948"/>
        <w:numPr>
          <w:ilvl w:val="0"/>
          <w:numId w:val="0"/>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格式14：</w:t>
      </w:r>
      <w:r>
        <w:rPr>
          <w:rFonts w:hint="eastAsia" w:ascii="宋体" w:hAnsi="宋体" w:eastAsia="宋体" w:cs="宋体"/>
          <w:b/>
          <w:bCs/>
          <w:color w:val="auto"/>
          <w:sz w:val="21"/>
          <w:szCs w:val="21"/>
          <w:highlight w:val="none"/>
        </w:rPr>
        <w:t xml:space="preserve">相关业绩一览表</w:t>
      </w:r>
      <w:r/>
    </w:p>
    <w:p>
      <w:pPr>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相关</w:t>
      </w:r>
      <w:r>
        <w:rPr>
          <w:rFonts w:hint="eastAsia" w:ascii="宋体" w:hAnsi="宋体" w:cs="宋体"/>
          <w:b/>
          <w:color w:val="auto"/>
          <w:sz w:val="21"/>
          <w:szCs w:val="21"/>
          <w:highlight w:val="none"/>
        </w:rPr>
        <w:t xml:space="preserve">业绩一览表</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投标人名称：_________________________</w:t>
      </w:r>
      <w:r/>
    </w:p>
    <w:tbl>
      <w:tblPr>
        <w:tblStyle w:val="94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4"/>
        <w:gridCol w:w="3752"/>
        <w:gridCol w:w="1337"/>
        <w:gridCol w:w="1337"/>
        <w:gridCol w:w="1337"/>
      </w:tblGrid>
      <w:tr>
        <w:trPr>
          <w:cantSplit/>
          <w:jc w:val="center"/>
          <w:trHeight w:val="740"/>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W w:w="3752"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签订日期</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业主单位</w:t>
            </w:r>
            <w:r/>
          </w:p>
        </w:tc>
        <w:tc>
          <w:tcPr>
            <w:tcW w:w="1337"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510" w:hRule="exact"/>
        </w:trPr>
        <w:tc>
          <w:tcPr>
            <w:tcW w:w="984" w:type="dxa"/>
            <w:vAlign w:val="center"/>
            <w:textDirection w:val="lrTb"/>
            <w:noWrap w:val="false"/>
          </w:tcPr>
          <w:p>
            <w:pPr>
              <w:jc w:val="center"/>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3752"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337" w:type="dxa"/>
            <w:vAlign w:val="center"/>
            <w:textDirection w:val="lrTb"/>
            <w:noWrap w:val="false"/>
          </w:tcPr>
          <w:p>
            <w:pPr>
              <w:ind w:left="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718"/>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注</w:t>
      </w:r>
      <w:r>
        <w:rPr>
          <w:rFonts w:hint="eastAsia" w:ascii="宋体" w:hAnsi="宋体" w:cs="宋体"/>
          <w:color w:val="auto"/>
          <w:sz w:val="21"/>
          <w:szCs w:val="21"/>
          <w:highlight w:val="none"/>
        </w:rPr>
        <w:t xml:space="preserve">：需要按</w:t>
      </w:r>
      <w:r>
        <w:rPr>
          <w:rFonts w:hint="eastAsia" w:ascii="宋体" w:hAnsi="宋体" w:cs="宋体"/>
          <w:color w:val="auto"/>
          <w:sz w:val="21"/>
          <w:szCs w:val="21"/>
          <w:highlight w:val="none"/>
          <w:lang w:eastAsia="zh-CN"/>
        </w:rPr>
        <w:t xml:space="preserve">招标文件</w:t>
      </w:r>
      <w:r>
        <w:rPr>
          <w:rFonts w:hint="eastAsia" w:ascii="宋体" w:hAnsi="宋体" w:cs="宋体"/>
          <w:color w:val="auto"/>
          <w:sz w:val="21"/>
          <w:szCs w:val="21"/>
          <w:highlight w:val="none"/>
        </w:rPr>
        <w:t xml:space="preserve">要求提供相关证明资料，</w:t>
      </w:r>
      <w:r>
        <w:rPr>
          <w:rFonts w:hint="eastAsia" w:ascii="宋体" w:hAnsi="宋体" w:cs="宋体"/>
          <w:color w:val="auto"/>
          <w:sz w:val="21"/>
          <w:szCs w:val="21"/>
          <w:highlight w:val="none"/>
          <w:lang w:val="zh-CN"/>
        </w:rPr>
        <w:t xml:space="preserve">且该表格可根据采购需求要求填写的内容进行修改。</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21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年     月     日</w:t>
      </w:r>
      <w:r/>
    </w:p>
    <w:p>
      <w:pPr>
        <w:ind w:left="420" w:right="357" w:hanging="400"/>
        <w:spacing w:before="120" w:line="40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left="420" w:right="357" w:hanging="400"/>
        <w:spacing w:before="120"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pStyle w:val="948"/>
        <w:numPr>
          <w:ilvl w:val="0"/>
          <w:numId w:val="0"/>
        </w:num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格式15：</w:t>
      </w:r>
      <w:r>
        <w:rPr>
          <w:rFonts w:hint="eastAsia" w:ascii="宋体" w:hAnsi="宋体" w:eastAsia="宋体" w:cs="宋体"/>
          <w:b/>
          <w:color w:val="auto"/>
          <w:sz w:val="21"/>
          <w:szCs w:val="21"/>
          <w:highlight w:val="none"/>
          <w:lang w:eastAsia="zh-CN"/>
        </w:rPr>
        <w:t xml:space="preserve">投入本项目</w:t>
      </w:r>
      <w:r>
        <w:rPr>
          <w:rFonts w:hint="eastAsia" w:ascii="宋体" w:hAnsi="宋体" w:eastAsia="宋体" w:cs="宋体"/>
          <w:b/>
          <w:color w:val="auto"/>
          <w:sz w:val="21"/>
          <w:szCs w:val="21"/>
          <w:highlight w:val="none"/>
        </w:rPr>
        <w:t xml:space="preserve">技术（服务）人员</w:t>
      </w:r>
      <w:r>
        <w:rPr>
          <w:rFonts w:hint="eastAsia" w:ascii="宋体" w:hAnsi="宋体" w:eastAsia="宋体" w:cs="宋体"/>
          <w:b/>
          <w:bCs/>
          <w:color w:val="auto"/>
          <w:sz w:val="21"/>
          <w:szCs w:val="21"/>
          <w:highlight w:val="none"/>
        </w:rPr>
        <w:t xml:space="preserve">一览表</w:t>
      </w:r>
      <w:r/>
    </w:p>
    <w:p>
      <w:pPr>
        <w:ind w:left="420" w:right="357" w:hanging="400"/>
        <w:spacing w:before="120"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lang w:eastAsia="zh-CN"/>
        </w:rPr>
        <w:t xml:space="preserve">投入本项目</w:t>
      </w:r>
      <w:r>
        <w:rPr>
          <w:rFonts w:hint="eastAsia" w:ascii="宋体" w:hAnsi="宋体" w:eastAsia="宋体" w:cs="宋体"/>
          <w:b/>
          <w:color w:val="auto"/>
          <w:sz w:val="21"/>
          <w:szCs w:val="21"/>
          <w:highlight w:val="none"/>
        </w:rPr>
        <w:t xml:space="preserve">技术（服务）人员</w:t>
      </w:r>
      <w:r>
        <w:rPr>
          <w:rFonts w:hint="eastAsia" w:ascii="宋体" w:hAnsi="宋体" w:eastAsia="宋体" w:cs="宋体"/>
          <w:b/>
          <w:bCs/>
          <w:color w:val="auto"/>
          <w:sz w:val="21"/>
          <w:szCs w:val="21"/>
          <w:highlight w:val="none"/>
        </w:rPr>
        <w:t xml:space="preserve">一览表</w:t>
      </w:r>
      <w:r/>
    </w:p>
    <w:p>
      <w:pPr>
        <w:pStyle w:val="951"/>
        <w:rPr>
          <w:rFonts w:hint="eastAsia"/>
          <w:color w:val="auto"/>
          <w:highlight w:val="none"/>
        </w:rPr>
      </w:pPr>
      <w:r>
        <w:rPr>
          <w:rFonts w:hint="eastAsia"/>
          <w:color w:val="auto"/>
          <w:highlight w:val="none"/>
        </w:rPr>
      </w:r>
      <w:r/>
    </w:p>
    <w:tbl>
      <w:tblPr>
        <w:tblStyle w:val="9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659"/>
        <w:gridCol w:w="1032"/>
        <w:gridCol w:w="1683"/>
        <w:gridCol w:w="1578"/>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性别</w:t>
            </w:r>
            <w:r/>
          </w:p>
        </w:tc>
        <w:tc>
          <w:tcPr>
            <w:tcBorders>
              <w:top w:val="single" w:color="000000" w:sz="2" w:space="0"/>
              <w:left w:val="single" w:color="auto" w:sz="4" w:space="0"/>
              <w:bottom w:val="single" w:color="000000" w:sz="2" w:space="0"/>
              <w:right w:val="single" w:color="auto" w:sz="4" w:space="0"/>
            </w:tcBorders>
            <w:tcW w:w="659"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年龄</w:t>
            </w:r>
            <w:r/>
          </w:p>
        </w:tc>
        <w:tc>
          <w:tcPr>
            <w:tcBorders>
              <w:top w:val="single" w:color="000000" w:sz="2" w:space="0"/>
              <w:left w:val="single" w:color="auto" w:sz="4" w:space="0"/>
              <w:bottom w:val="single" w:color="000000" w:sz="2" w:space="0"/>
              <w:right w:val="single" w:color="auto" w:sz="4" w:space="0"/>
            </w:tcBorders>
            <w:tcW w:w="1032"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学历</w:t>
            </w:r>
            <w:r/>
          </w:p>
        </w:tc>
        <w:tc>
          <w:tcPr>
            <w:tcBorders>
              <w:top w:val="single" w:color="000000" w:sz="2" w:space="0"/>
              <w:left w:val="single" w:color="auto" w:sz="4" w:space="0"/>
              <w:bottom w:val="single" w:color="000000" w:sz="2" w:space="0"/>
              <w:right w:val="single" w:color="000000" w:sz="2" w:space="0"/>
            </w:tcBorders>
            <w:tcW w:w="1683" w:type="dxa"/>
            <w:vAlign w:val="center"/>
            <w:textDirection w:val="lrTb"/>
            <w:noWrap w:val="false"/>
          </w:tcPr>
          <w:p>
            <w:pPr>
              <w:jc w:val="center"/>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相关证书</w:t>
            </w:r>
            <w:r/>
          </w:p>
        </w:tc>
        <w:tc>
          <w:tcPr>
            <w:tcBorders>
              <w:top w:val="single" w:color="000000" w:sz="2" w:space="0"/>
              <w:left w:val="single" w:color="auto" w:sz="4" w:space="0"/>
              <w:bottom w:val="single" w:color="000000" w:sz="2" w:space="0"/>
              <w:right w:val="single" w:color="000000" w:sz="2" w:space="0"/>
            </w:tcBorders>
            <w:tcW w:w="1578" w:type="dxa"/>
            <w:vAlign w:val="center"/>
            <w:textDirection w:val="lrTb"/>
            <w:noWrap w:val="false"/>
          </w:tcPr>
          <w:p>
            <w:pPr>
              <w:ind w:firstLine="17"/>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659"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auto" w:sz="4" w:space="0"/>
            </w:tcBorders>
            <w:tcW w:w="1032"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683"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000000" w:sz="2" w:space="0"/>
              <w:right w:val="single" w:color="000000" w:sz="2" w:space="0"/>
            </w:tcBorders>
            <w:tcW w:w="1578" w:type="dxa"/>
            <w:vAlign w:val="center"/>
            <w:textDirection w:val="lrTb"/>
            <w:noWrap w:val="false"/>
          </w:tcPr>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注：1、需</w:t>
      </w:r>
      <w:r>
        <w:rPr>
          <w:rFonts w:hint="eastAsia" w:ascii="宋体" w:hAnsi="宋体" w:cs="宋体"/>
          <w:color w:val="auto"/>
          <w:sz w:val="21"/>
          <w:szCs w:val="21"/>
          <w:highlight w:val="none"/>
          <w:lang w:eastAsia="zh-CN"/>
        </w:rPr>
        <w:t xml:space="preserve">按招标文件要求</w:t>
      </w:r>
      <w:r>
        <w:rPr>
          <w:rFonts w:hint="eastAsia" w:ascii="宋体" w:hAnsi="宋体" w:cs="宋体"/>
          <w:color w:val="auto"/>
          <w:sz w:val="21"/>
          <w:szCs w:val="21"/>
          <w:highlight w:val="none"/>
        </w:rPr>
        <w:t xml:space="preserve">提供项目团队成员相关证明资料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zh-CN"/>
        </w:rPr>
        <w:t xml:space="preserve">该表格可根据采购需求要求填写的内容进行修改</w:t>
      </w:r>
      <w:r>
        <w:rPr>
          <w:rFonts w:hint="eastAsia" w:ascii="宋体" w:hAnsi="宋体" w:cs="宋体"/>
          <w:color w:val="auto"/>
          <w:sz w:val="21"/>
          <w:szCs w:val="21"/>
          <w:highlight w:val="none"/>
        </w:rPr>
        <w:t xml:space="preserve">。</w:t>
      </w:r>
      <w:r/>
    </w:p>
    <w:p>
      <w:pPr>
        <w:pStyle w:val="1026"/>
        <w:ind w:firstLine="492"/>
        <w:spacing w:line="360" w:lineRule="auto"/>
        <w:rPr>
          <w:rFonts w:hint="eastAsia" w:hAnsi="宋体" w:cs="宋体"/>
          <w:color w:val="auto"/>
          <w:sz w:val="21"/>
          <w:szCs w:val="21"/>
          <w:highlight w:val="none"/>
          <w:u w:val="single"/>
        </w:rPr>
      </w:pPr>
      <w:r>
        <w:rPr>
          <w:rFonts w:hint="eastAsia" w:hAnsi="宋体" w:cs="宋体"/>
          <w:color w:val="auto"/>
          <w:sz w:val="21"/>
          <w:szCs w:val="21"/>
          <w:highlight w:val="none"/>
          <w:u w:val="single"/>
        </w:rPr>
      </w:r>
      <w:r/>
    </w:p>
    <w:p>
      <w:pPr>
        <w:ind w:left="3600" w:firstLine="60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投标单位：（盖章）</w:t>
      </w:r>
      <w:r/>
    </w:p>
    <w:p>
      <w:pPr>
        <w:ind w:left="3600" w:firstLine="60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法定代表人或代理人：（签字或盖章）</w:t>
      </w:r>
      <w:r/>
    </w:p>
    <w:p>
      <w:pPr>
        <w:ind w:left="3600" w:firstLine="21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    </w:t>
      </w:r>
      <w:r>
        <w:rPr>
          <w:rFonts w:hint="eastAsia" w:ascii="宋体" w:hAnsi="宋体" w:cs="宋体"/>
          <w:color w:val="auto"/>
          <w:sz w:val="21"/>
          <w:szCs w:val="21"/>
          <w:highlight w:val="none"/>
          <w:lang w:val="en-US" w:eastAsia="zh-CN"/>
        </w:rPr>
        <w:t xml:space="preserve">日期：    </w:t>
      </w:r>
      <w:r>
        <w:rPr>
          <w:rFonts w:hint="eastAsia" w:ascii="宋体" w:hAnsi="宋体" w:cs="宋体"/>
          <w:color w:val="auto"/>
          <w:sz w:val="21"/>
          <w:szCs w:val="21"/>
          <w:highlight w:val="none"/>
          <w:lang w:val="zh-CN"/>
        </w:rPr>
        <w:t xml:space="preserve">年     月     日</w:t>
      </w:r>
      <w:r/>
    </w:p>
    <w:p>
      <w:pPr>
        <w:pStyle w:val="1026"/>
        <w:ind w:firstLine="5250"/>
        <w:spacing w:line="360" w:lineRule="auto"/>
        <w:rPr>
          <w:rFonts w:hint="eastAsia" w:hAnsi="宋体" w:cs="宋体"/>
          <w:color w:val="auto"/>
          <w:sz w:val="21"/>
          <w:szCs w:val="21"/>
          <w:highlight w:val="none"/>
        </w:rPr>
      </w:pPr>
      <w:r>
        <w:rPr>
          <w:rFonts w:hint="eastAsia" w:hAnsi="宋体" w:cs="宋体"/>
          <w:color w:val="auto"/>
          <w:sz w:val="21"/>
          <w:szCs w:val="21"/>
          <w:highlight w:val="none"/>
        </w:rPr>
      </w:r>
      <w:r/>
    </w:p>
    <w:p>
      <w:pPr>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b/>
          <w:color w:val="auto"/>
          <w:sz w:val="21"/>
          <w:szCs w:val="21"/>
          <w:highlight w:val="none"/>
          <w:lang w:val="en-US" w:eastAsia="zh-CN"/>
        </w:rPr>
        <w:t xml:space="preserve">格式1</w:t>
      </w:r>
      <w:r>
        <w:rPr>
          <w:rFonts w:hint="eastAsia" w:ascii="宋体" w:hAnsi="宋体" w:cs="宋体"/>
          <w:b/>
          <w:color w:val="auto"/>
          <w:sz w:val="21"/>
          <w:szCs w:val="21"/>
          <w:highlight w:val="none"/>
          <w:lang w:val="en-US" w:eastAsia="zh-CN"/>
        </w:rPr>
        <w:t xml:space="preserve">6</w:t>
      </w:r>
      <w:r>
        <w:rPr>
          <w:rFonts w:hint="eastAsia" w:ascii="宋体" w:hAnsi="宋体" w:eastAsia="宋体" w:cs="宋体"/>
          <w:b/>
          <w:color w:val="auto"/>
          <w:sz w:val="21"/>
          <w:szCs w:val="21"/>
          <w:highlight w:val="none"/>
          <w:lang w:val="en-US" w:eastAsia="zh-CN"/>
        </w:rPr>
        <w:t xml:space="preserve">：</w:t>
      </w:r>
      <w:r>
        <w:rPr>
          <w:rFonts w:hint="eastAsia" w:ascii="宋体" w:hAnsi="宋体" w:eastAsia="宋体" w:cs="宋体"/>
          <w:b/>
          <w:color w:val="auto"/>
          <w:sz w:val="21"/>
          <w:szCs w:val="21"/>
          <w:highlight w:val="none"/>
        </w:rPr>
        <w:t xml:space="preserve">服务方案及其他招标文件要求自行编写格式</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contextualSpacing/>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说明：</w:t>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对本章所有的投标文件格式，投标方可根据自身情况进行补充和修改，但补充和修改不得造成与本格式内容有实质性的违背。</w:t>
      </w:r>
      <w:bookmarkStart w:id="24" w:name="_Toc19345"/>
      <w:r/>
      <w:r/>
    </w:p>
    <w:p>
      <w:pPr>
        <w:contextualSpacing/>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5"/>
        </w:numPr>
        <w:jc w:val="center"/>
        <w:spacing w:line="360" w:lineRule="auto"/>
        <w:rPr>
          <w:rStyle w:val="981"/>
          <w:rFonts w:hint="eastAsia" w:ascii="宋体" w:hAnsi="宋体" w:eastAsia="宋体" w:cs="宋体"/>
          <w:color w:val="auto"/>
          <w:sz w:val="32"/>
          <w:szCs w:val="32"/>
          <w:highlight w:val="none"/>
        </w:rPr>
      </w:pPr>
      <w:r>
        <w:rPr>
          <w:rStyle w:val="981"/>
          <w:rFonts w:hint="eastAsia" w:ascii="宋体" w:hAnsi="宋体" w:eastAsia="宋体" w:cs="宋体"/>
          <w:color w:val="auto"/>
          <w:sz w:val="32"/>
          <w:szCs w:val="32"/>
          <w:highlight w:val="none"/>
        </w:rPr>
        <w:t xml:space="preserve">评标办法及评分标准</w:t>
      </w:r>
      <w:r/>
    </w:p>
    <w:p>
      <w:pPr>
        <w:pStyle w:val="1057"/>
        <w:ind w:firstLine="422"/>
        <w:spacing w:line="360" w:lineRule="auto"/>
        <w:rPr>
          <w:rFonts w:hAnsi="宋体" w:eastAsia="宋体" w:cs="宋体"/>
          <w:b/>
          <w:color w:val="auto"/>
          <w:sz w:val="21"/>
          <w:szCs w:val="21"/>
          <w:highlight w:val="none"/>
        </w:rPr>
      </w:pPr>
      <w:r>
        <w:rPr>
          <w:rFonts w:hint="eastAsia" w:hAnsi="宋体" w:eastAsia="宋体" w:cs="宋体"/>
          <w:b/>
          <w:color w:val="auto"/>
          <w:sz w:val="21"/>
          <w:szCs w:val="21"/>
          <w:highlight w:val="none"/>
        </w:rPr>
        <w:t xml:space="preserve">一、评标办法：</w:t>
      </w:r>
      <w:r/>
    </w:p>
    <w:p>
      <w:pPr>
        <w:pStyle w:val="1057"/>
        <w:numPr>
          <w:ilvl w:val="0"/>
          <w:numId w:val="6"/>
        </w:numPr>
        <w:ind w:left="0"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评标办法采用综合评分法。即在最大限度地满足招标文件实质性要求前提下，按照招标文件中规定的各项因素进行综合评审，由</w:t>
      </w:r>
      <w:r>
        <w:rPr>
          <w:rFonts w:hint="eastAsia" w:hAnsi="宋体" w:eastAsia="宋体" w:cs="宋体"/>
          <w:color w:val="auto"/>
          <w:sz w:val="21"/>
          <w:szCs w:val="21"/>
          <w:highlight w:val="none"/>
          <w:lang w:val="zh-CN"/>
        </w:rPr>
        <w:t xml:space="preserve">综合评分得分最高的投标人为中标候选人</w:t>
      </w:r>
      <w:r>
        <w:rPr>
          <w:rFonts w:hint="eastAsia" w:hAnsi="宋体" w:eastAsia="宋体" w:cs="宋体"/>
          <w:color w:val="auto"/>
          <w:sz w:val="21"/>
          <w:szCs w:val="21"/>
          <w:highlight w:val="none"/>
        </w:rPr>
        <w:t xml:space="preserve">。综合评分的主要因素为：价格、技术、信誉、业绩、服务、对招标文件的响应程度，以及相应的商务标和技术标比重或者分值等。</w:t>
      </w:r>
      <w:r/>
    </w:p>
    <w:p>
      <w:pPr>
        <w:numPr>
          <w:ilvl w:val="0"/>
          <w:numId w:val="6"/>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6"/>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6"/>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政府采购政策</w:t>
      </w:r>
      <w:r/>
    </w:p>
    <w:p>
      <w:pPr>
        <w:numPr>
          <w:ilvl w:val="1"/>
          <w:numId w:val="6"/>
        </w:numPr>
        <w:ind w:left="0"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节能产品和环境标志产品</w:t>
      </w:r>
      <w:r/>
    </w:p>
    <w:p>
      <w:pPr>
        <w:ind w:firstLine="420"/>
        <w:spacing w:line="360" w:lineRule="auto"/>
        <w:rPr>
          <w:rFonts w:ascii="宋体" w:hAnsi="宋体" w:cs="宋体"/>
          <w:b/>
          <w:bCs/>
          <w:color w:val="auto"/>
          <w:sz w:val="21"/>
          <w:szCs w:val="21"/>
          <w:highlight w:val="none"/>
          <w:lang w:bidi="ar"/>
        </w:rPr>
      </w:pPr>
      <w:r>
        <w:rPr>
          <w:rFonts w:hint="eastAsia" w:ascii="宋体" w:hAnsi="宋体" w:cs="宋体"/>
          <w:color w:val="auto"/>
          <w:sz w:val="21"/>
          <w:szCs w:val="21"/>
          <w:highlight w:val="none"/>
          <w:lang w:bidi="ar"/>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bCs/>
          <w:color w:val="auto"/>
          <w:sz w:val="21"/>
          <w:szCs w:val="21"/>
          <w:highlight w:val="none"/>
          <w:lang w:bidi="ar"/>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numPr>
          <w:ilvl w:val="1"/>
          <w:numId w:val="6"/>
        </w:numPr>
        <w:ind w:left="0"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小微企业的价格分评审</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根据财政部《政府采购促进中小企业发展管理办法》（财库﹝2020﹞46号）及苏州市财政局《关于进一步做好政府采购政策贯彻执行工作的通知》（苏财购〔2017〕10号）文的规定：</w:t>
      </w:r>
      <w:r/>
    </w:p>
    <w:p>
      <w:pPr>
        <w:pStyle w:val="968"/>
        <w:ind w:firstLine="422"/>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bCs/>
          <w:color w:val="auto"/>
          <w:sz w:val="21"/>
          <w:szCs w:val="21"/>
          <w:highlight w:val="none"/>
        </w:rPr>
        <w:t xml:space="preserve">（1）本项目属于专门面向中小微企业</w:t>
      </w:r>
      <w:r>
        <w:rPr>
          <w:rFonts w:hint="eastAsia" w:ascii="宋体" w:hAnsi="宋体" w:eastAsia="宋体" w:cs="宋体"/>
          <w:b/>
          <w:bCs/>
          <w:color w:val="auto"/>
          <w:sz w:val="21"/>
          <w:szCs w:val="21"/>
          <w:highlight w:val="none"/>
          <w:lang w:val="en-US" w:eastAsia="zh-CN"/>
        </w:rPr>
        <w:t xml:space="preserve">采购的项目</w:t>
      </w:r>
      <w:r>
        <w:rPr>
          <w:rFonts w:hint="eastAsia" w:ascii="宋体" w:hAnsi="宋体" w:eastAsia="宋体" w:cs="宋体"/>
          <w:b/>
          <w:bCs/>
          <w:color w:val="auto"/>
          <w:sz w:val="21"/>
          <w:szCs w:val="21"/>
          <w:highlight w:val="none"/>
        </w:rPr>
        <w:t xml:space="preserve">，投标人应为中小微企业，必须提供</w:t>
      </w:r>
      <w:r>
        <w:rPr>
          <w:rFonts w:hint="eastAsia" w:ascii="宋体" w:hAnsi="宋体" w:eastAsia="宋体" w:cs="宋体"/>
          <w:b/>
          <w:bCs/>
          <w:color w:val="auto"/>
          <w:sz w:val="21"/>
          <w:szCs w:val="21"/>
          <w:highlight w:val="none"/>
          <w:lang w:val="en-US" w:eastAsia="zh-CN"/>
        </w:rPr>
        <w:t xml:space="preserve">符合要求的</w:t>
      </w:r>
      <w:r>
        <w:rPr>
          <w:rFonts w:hint="eastAsia" w:ascii="宋体" w:hAnsi="宋体" w:eastAsia="宋体" w:cs="宋体"/>
          <w:b/>
          <w:bCs/>
          <w:color w:val="auto"/>
          <w:sz w:val="21"/>
          <w:szCs w:val="21"/>
          <w:highlight w:val="none"/>
        </w:rPr>
        <w:t xml:space="preserve">《中小企业声明函》，小微企业不享受价格扣除优惠。提供《残疾人福利性单位声明函》或出具由省级以上监狱管理局、戒毒管理局（含新疆生产建设兵团）出具的属于监狱企业的证明文件的视同小微企业。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）中小企业划分标准详见“工信部联企业〔2011〕300号通知”。</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）小微企业提供中型企业制造或使用中型企业注册商标的货物的，视同为中型企业。小微企业提供大型企业制造或使用大型企业注册商标的货物的，视同为大型企业。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）各投标人若为中、小、微型企业，则必须提供《中小企业声明函》。（详见附件格式中小企业声明函）。未在投标文件中提供《中小企业声明函》的，不享受促进中小微企业发展的相关政府采购政策。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）提供其他企业制造的货物或服务，须同时提供其他企业的小微企业证明材料（材料同上条）</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）在货物采购项目中，供应商提供的货物既有小、微企业制造货物，也有中、大型企业制造货物的，不享受本办法规定的小、微企业价格扶持政策。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）符合中小企业划分标准的个体工商户，在政府采购活动中视同中小企业。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9</w:t>
      </w:r>
      <w:r>
        <w:rPr>
          <w:rFonts w:hint="eastAsia" w:ascii="宋体" w:hAnsi="宋体" w:cs="宋体"/>
          <w:color w:val="auto"/>
          <w:sz w:val="21"/>
          <w:szCs w:val="21"/>
          <w:highlight w:val="none"/>
        </w:rPr>
        <w:t xml:space="preserve">）中标、成交供应商为小微企业单位的，《中小企业声明函》应当随中标、成交结果同时公告，接受社会监督。</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填报“中小企业声明函”需严格按“工信部联企业〔2011〕300号通知”中的《中小企业划型标准规定》进行。</w:t>
      </w:r>
      <w:r/>
    </w:p>
    <w:p>
      <w:pPr>
        <w:pStyle w:val="968"/>
        <w:ind w:firstLine="420"/>
        <w:spacing w:before="0" w:beforeAutospacing="0" w:after="0" w:afterAutospacing="0" w:line="360" w:lineRule="auto"/>
        <w:rPr>
          <w:color w:val="auto"/>
          <w:sz w:val="21"/>
          <w:szCs w:val="21"/>
          <w:highlight w:val="none"/>
        </w:rPr>
      </w:pPr>
      <w:r>
        <w:rPr>
          <w:rFonts w:hint="eastAsia"/>
          <w:color w:val="auto"/>
          <w:sz w:val="21"/>
          <w:szCs w:val="21"/>
          <w:highlight w:val="none"/>
        </w:rPr>
        <w:t xml:space="preserve">4.</w:t>
      </w:r>
      <w:r>
        <w:rPr>
          <w:rFonts w:hint="eastAsia"/>
          <w:color w:val="auto"/>
          <w:sz w:val="21"/>
          <w:szCs w:val="21"/>
          <w:highlight w:val="none"/>
          <w:lang w:val="en-US" w:eastAsia="zh-CN"/>
        </w:rPr>
        <w:t xml:space="preserve">3</w:t>
      </w:r>
      <w:r>
        <w:rPr>
          <w:rFonts w:hint="eastAsia"/>
          <w:color w:val="auto"/>
          <w:sz w:val="21"/>
          <w:szCs w:val="21"/>
          <w:highlight w:val="none"/>
        </w:rPr>
        <w:t xml:space="preserve"> 残疾人福利性单位政策：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（3）中标、成交供应商为残疾人福利性单位的，《残疾人福利性单位声明函》应当随中标、成交结果同时公告，接受社会监督。</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监狱企业发展政策：</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spacing w:line="360" w:lineRule="auto"/>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若投标人提供的声明函或认定证明为虚假声明则视同提供虚假材料，按“政府采购法”相关规定处理并报请政府监管部门给予行政处罚。</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 信用查询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招标招标单位将对供应商进行信用查询，凡经确认不符合政府采购相关法律法规规定的，将拒绝其参与政府采购活动。</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（1）查询时间：投标文件递交截止时间后。</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（2）查询渠道：</w:t>
      </w:r>
      <w:r>
        <w:rPr>
          <w:rFonts w:hint="eastAsia" w:ascii="宋体" w:hAnsi="宋体" w:cs="宋体"/>
          <w:color w:val="auto"/>
          <w:sz w:val="21"/>
          <w:szCs w:val="21"/>
          <w:highlight w:val="none"/>
          <w:lang w:val="zh-CN"/>
        </w:rPr>
        <w:t xml:space="preserve">通过“信用中国”网站、中国政府采购网等渠道查询相关主体信用记录</w:t>
      </w:r>
      <w:r>
        <w:rPr>
          <w:rFonts w:hint="eastAsia" w:ascii="宋体" w:hAnsi="宋体" w:cs="宋体"/>
          <w:color w:val="auto"/>
          <w:sz w:val="21"/>
          <w:szCs w:val="21"/>
          <w:highlight w:val="none"/>
        </w:rPr>
        <w:t xml:space="preserve">。</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（4）信用记录使用规则：对供应商进行资格性审查时，应根据查询结果对供应商的不良信用记录逐项甄别确认。</w:t>
      </w:r>
      <w:bookmarkEnd w:id="24"/>
      <w:r/>
      <w:r/>
    </w:p>
    <w:p>
      <w:pPr>
        <w:ind w:right="0" w:firstLine="422"/>
        <w:keepLines w:val="0"/>
        <w:keepNext w:val="0"/>
        <w:pageBreakBefore w:val="0"/>
        <w:spacing w:line="360" w:lineRule="auto"/>
        <w:widowControl/>
        <w:rPr>
          <w:rFonts w:ascii="宋体" w:hAnsi="宋体" w:cs="宋体"/>
          <w:b/>
          <w:color w:val="auto"/>
          <w:sz w:val="21"/>
          <w:szCs w:val="21"/>
          <w:highlight w:val="none"/>
        </w:rPr>
      </w:pPr>
      <w:r>
        <w:rPr>
          <w:rFonts w:hint="eastAsia" w:ascii="宋体" w:hAnsi="宋体" w:cs="宋体"/>
          <w:b/>
          <w:color w:val="auto"/>
          <w:sz w:val="21"/>
          <w:szCs w:val="21"/>
          <w:highlight w:val="none"/>
        </w:rPr>
        <w:t xml:space="preserve">二、评分标准：</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一</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rPr>
        <w:t xml:space="preserve">价格：最高为</w:t>
      </w:r>
      <w:r>
        <w:rPr>
          <w:rFonts w:hint="eastAsia" w:ascii="宋体" w:hAnsi="宋体" w:cs="宋体"/>
          <w:b/>
          <w:color w:val="auto"/>
          <w:sz w:val="21"/>
          <w:szCs w:val="21"/>
          <w:highlight w:val="none"/>
          <w:lang w:val="en-US" w:eastAsia="zh-CN"/>
        </w:rPr>
        <w:t xml:space="preserve">35</w:t>
      </w:r>
      <w:r>
        <w:rPr>
          <w:rFonts w:hint="eastAsia" w:ascii="宋体" w:hAnsi="宋体" w:cs="宋体"/>
          <w:b/>
          <w:color w:val="auto"/>
          <w:sz w:val="21"/>
          <w:szCs w:val="21"/>
          <w:highlight w:val="none"/>
        </w:rPr>
        <w:t xml:space="preserve">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第一步：投标报价低于或等于财政预算价格的，为有效投标报价。超财政预算的投标报价或招标文件规定的报价为无效投标报价。无效投标报价的投标文件不进行评审，也不得标。</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第二步：在所有有效投标报价中满足招标文件要求，且投标价格最低的投标报价为评标基准价，其价格分为</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rPr>
        <w:t xml:space="preserve">分，其他投标人的价格分按照下列公式计算（计算结果四舍五入保留两位小数）。</w:t>
      </w:r>
      <w:r/>
    </w:p>
    <w:p>
      <w:pPr>
        <w:ind w:firstLine="420"/>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rPr>
        <w:t xml:space="preserve">投标报价得分＝（评</w:t>
      </w:r>
      <w:r>
        <w:rPr>
          <w:rFonts w:hint="eastAsia" w:ascii="宋体" w:hAnsi="宋体" w:cs="宋体"/>
          <w:bCs/>
          <w:color w:val="auto"/>
          <w:sz w:val="21"/>
          <w:szCs w:val="21"/>
          <w:highlight w:val="none"/>
        </w:rPr>
        <w:t xml:space="preserve">标基准价/投标报价）×</w:t>
      </w:r>
      <w:r>
        <w:rPr>
          <w:rFonts w:hint="eastAsia" w:ascii="宋体" w:hAnsi="宋体" w:cs="宋体"/>
          <w:bCs/>
          <w:color w:val="auto"/>
          <w:sz w:val="21"/>
          <w:szCs w:val="21"/>
          <w:highlight w:val="none"/>
          <w:lang w:val="en-US" w:eastAsia="zh-CN"/>
        </w:rPr>
        <w:t xml:space="preserve">35</w:t>
      </w:r>
      <w:r>
        <w:rPr>
          <w:rFonts w:hint="eastAsia" w:ascii="宋体" w:hAnsi="宋体" w:cs="宋体"/>
          <w:bCs/>
          <w:color w:val="auto"/>
          <w:sz w:val="21"/>
          <w:szCs w:val="21"/>
          <w:highlight w:val="none"/>
        </w:rPr>
        <w:t xml:space="preserve">％×100</w:t>
      </w:r>
      <w:r/>
    </w:p>
    <w:p>
      <w:pPr>
        <w:ind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二</w:t>
      </w:r>
      <w:r>
        <w:rPr>
          <w:rFonts w:hint="eastAsia" w:ascii="宋体" w:hAnsi="宋体" w:cs="宋体"/>
          <w:b/>
          <w:color w:val="auto"/>
          <w:sz w:val="21"/>
          <w:szCs w:val="21"/>
          <w:highlight w:val="none"/>
          <w:lang w:eastAsia="zh-CN"/>
        </w:rPr>
        <w:t xml:space="preserve">）</w:t>
      </w:r>
      <w:r>
        <w:rPr>
          <w:rFonts w:hint="eastAsia" w:ascii="宋体" w:hAnsi="宋体" w:cs="宋体"/>
          <w:b/>
          <w:color w:val="auto"/>
          <w:sz w:val="21"/>
          <w:szCs w:val="21"/>
          <w:highlight w:val="none"/>
          <w:lang w:val="en-US" w:eastAsia="zh-CN"/>
        </w:rPr>
        <w:t xml:space="preserve">技术方案29</w:t>
      </w:r>
      <w:r>
        <w:rPr>
          <w:rFonts w:hint="eastAsia" w:ascii="宋体" w:hAnsi="宋体" w:cs="宋体"/>
          <w:b/>
          <w:color w:val="auto"/>
          <w:sz w:val="21"/>
          <w:szCs w:val="21"/>
          <w:highlight w:val="none"/>
        </w:rPr>
        <w:t xml:space="preserve">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1、项目现场作业方案：</w:t>
      </w:r>
      <w:r>
        <w:rPr>
          <w:rFonts w:hint="eastAsia" w:ascii="宋体" w:hAnsi="宋体" w:eastAsia="宋体" w:cs="宋体"/>
          <w:bCs/>
          <w:color w:val="auto"/>
          <w:sz w:val="21"/>
          <w:szCs w:val="21"/>
          <w:highlight w:val="none"/>
          <w:lang w:val="en-US" w:eastAsia="zh-CN"/>
        </w:rPr>
        <w:t xml:space="preserve">方案内容至少包括：①交通标志作业方案②护栏作业方案③路面标线施工方案④交通标线清楚作业方案⑤其他材料施工方案。根据采购文件要求</w:t>
      </w:r>
      <w:r>
        <w:rPr>
          <w:rFonts w:hint="eastAsia" w:ascii="宋体" w:hAnsi="宋体" w:eastAsia="宋体" w:cs="宋体"/>
          <w:bCs/>
          <w:color w:val="auto"/>
          <w:sz w:val="21"/>
          <w:szCs w:val="21"/>
          <w:highlight w:val="none"/>
        </w:rPr>
        <w:t xml:space="preserve">方案</w:t>
      </w:r>
      <w:r>
        <w:rPr>
          <w:rFonts w:hint="eastAsia" w:ascii="宋体" w:hAnsi="宋体" w:cs="宋体"/>
          <w:bCs/>
          <w:color w:val="auto"/>
          <w:sz w:val="21"/>
          <w:szCs w:val="21"/>
          <w:highlight w:val="none"/>
          <w:lang w:eastAsia="zh-CN"/>
        </w:rPr>
        <w:t xml:space="preserve">内容完整</w:t>
      </w:r>
      <w:r>
        <w:rPr>
          <w:rFonts w:hint="eastAsia" w:ascii="宋体" w:hAnsi="宋体" w:eastAsia="宋体" w:cs="宋体"/>
          <w:bCs/>
          <w:color w:val="auto"/>
          <w:sz w:val="21"/>
          <w:szCs w:val="21"/>
          <w:highlight w:val="none"/>
        </w:rPr>
        <w:t xml:space="preserve">、完全针对本项目且符合本项目实际需求的</w:t>
      </w:r>
      <w:r>
        <w:rPr>
          <w:rFonts w:hint="eastAsia" w:ascii="宋体" w:hAnsi="宋体" w:eastAsia="宋体" w:cs="宋体"/>
          <w:bCs/>
          <w:color w:val="auto"/>
          <w:sz w:val="21"/>
          <w:szCs w:val="21"/>
          <w:highlight w:val="none"/>
        </w:rPr>
        <w:t xml:space="preserve">得</w:t>
      </w:r>
      <w:r>
        <w:rPr>
          <w:rFonts w:hint="eastAsia" w:ascii="宋体" w:hAnsi="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分，每缺少一项内容或内容非专门针对本项目或内容不能满足本项目实际需求的，每一项扣</w:t>
      </w:r>
      <w:r>
        <w:rPr>
          <w:rFonts w:hint="eastAsia" w:ascii="宋体" w:hAnsi="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2、项目现场管理方案。</w:t>
      </w:r>
      <w:r>
        <w:rPr>
          <w:rFonts w:hint="eastAsia" w:ascii="宋体" w:hAnsi="宋体" w:eastAsia="宋体" w:cs="宋体"/>
          <w:bCs/>
          <w:color w:val="auto"/>
          <w:sz w:val="21"/>
          <w:szCs w:val="21"/>
          <w:highlight w:val="none"/>
          <w:lang w:val="en-US" w:eastAsia="zh-CN"/>
        </w:rPr>
        <w:t xml:space="preserve">方案内容至少包括：①</w:t>
      </w:r>
      <w:r>
        <w:rPr>
          <w:rFonts w:hint="eastAsia" w:ascii="宋体" w:hAnsi="宋体" w:cs="宋体"/>
          <w:color w:val="auto"/>
          <w:sz w:val="21"/>
          <w:szCs w:val="21"/>
          <w:highlight w:val="none"/>
          <w:lang w:val="en-US" w:eastAsia="zh-CN"/>
        </w:rPr>
        <w:t xml:space="preserve">现场安全管理方案</w:t>
      </w:r>
      <w:r>
        <w:rPr>
          <w:rFonts w:hint="eastAsia" w:ascii="宋体" w:hAnsi="宋体" w:eastAsia="宋体" w:cs="宋体"/>
          <w:bCs/>
          <w:color w:val="auto"/>
          <w:sz w:val="21"/>
          <w:szCs w:val="21"/>
          <w:highlight w:val="none"/>
          <w:lang w:val="en-US" w:eastAsia="zh-CN"/>
        </w:rPr>
        <w:t xml:space="preserve">②</w:t>
      </w:r>
      <w:r>
        <w:rPr>
          <w:rFonts w:hint="eastAsia" w:ascii="宋体" w:hAnsi="宋体" w:cs="宋体"/>
          <w:color w:val="auto"/>
          <w:sz w:val="21"/>
          <w:szCs w:val="21"/>
          <w:highlight w:val="none"/>
          <w:lang w:val="en-US" w:eastAsia="zh-CN"/>
        </w:rPr>
        <w:t xml:space="preserve">施工垃圾处理方案</w:t>
      </w:r>
      <w:r>
        <w:rPr>
          <w:rFonts w:hint="eastAsia" w:ascii="宋体" w:hAnsi="宋体" w:eastAsia="宋体" w:cs="宋体"/>
          <w:bCs/>
          <w:color w:val="auto"/>
          <w:sz w:val="21"/>
          <w:szCs w:val="21"/>
          <w:highlight w:val="none"/>
          <w:lang w:val="en-US" w:eastAsia="zh-CN"/>
        </w:rPr>
        <w:t xml:space="preserve">③</w:t>
      </w:r>
      <w:r>
        <w:rPr>
          <w:rFonts w:hint="eastAsia" w:ascii="宋体" w:hAnsi="宋体" w:cs="宋体"/>
          <w:color w:val="auto"/>
          <w:sz w:val="21"/>
          <w:szCs w:val="21"/>
          <w:highlight w:val="none"/>
        </w:rPr>
        <w:t xml:space="preserve">施工进度</w:t>
      </w:r>
      <w:r>
        <w:rPr>
          <w:rFonts w:hint="eastAsia" w:ascii="宋体" w:hAnsi="宋体" w:cs="宋体"/>
          <w:color w:val="auto"/>
          <w:sz w:val="21"/>
          <w:szCs w:val="21"/>
          <w:highlight w:val="none"/>
          <w:lang w:val="en-US" w:eastAsia="zh-CN"/>
        </w:rPr>
        <w:t xml:space="preserve">控制</w:t>
      </w:r>
      <w:r>
        <w:rPr>
          <w:rFonts w:hint="eastAsia" w:ascii="宋体" w:hAnsi="宋体" w:eastAsia="宋体" w:cs="宋体"/>
          <w:bCs/>
          <w:color w:val="auto"/>
          <w:sz w:val="21"/>
          <w:szCs w:val="21"/>
          <w:highlight w:val="none"/>
          <w:lang w:val="en-US" w:eastAsia="zh-CN"/>
        </w:rPr>
        <w:t xml:space="preserve">方案④</w:t>
      </w:r>
      <w:r>
        <w:rPr>
          <w:rFonts w:hint="eastAsia" w:ascii="宋体" w:hAnsi="宋体" w:cs="宋体"/>
          <w:color w:val="auto"/>
          <w:sz w:val="21"/>
          <w:szCs w:val="21"/>
          <w:highlight w:val="none"/>
          <w:lang w:val="en-US" w:eastAsia="zh-CN"/>
        </w:rPr>
        <w:t xml:space="preserve">资料归档方案。</w:t>
      </w:r>
      <w:r>
        <w:rPr>
          <w:rFonts w:hint="eastAsia" w:ascii="宋体" w:hAnsi="宋体" w:eastAsia="宋体" w:cs="宋体"/>
          <w:bCs/>
          <w:color w:val="auto"/>
          <w:sz w:val="21"/>
          <w:szCs w:val="21"/>
          <w:highlight w:val="none"/>
          <w:lang w:val="en-US" w:eastAsia="zh-CN"/>
        </w:rPr>
        <w:t xml:space="preserve">根据采购文件要求</w:t>
      </w:r>
      <w:r>
        <w:rPr>
          <w:rFonts w:hint="eastAsia" w:ascii="宋体" w:hAnsi="宋体" w:eastAsia="宋体" w:cs="宋体"/>
          <w:bCs/>
          <w:color w:val="auto"/>
          <w:sz w:val="21"/>
          <w:szCs w:val="21"/>
          <w:highlight w:val="none"/>
        </w:rPr>
        <w:t xml:space="preserve">方案</w:t>
      </w:r>
      <w:r>
        <w:rPr>
          <w:rFonts w:hint="eastAsia" w:ascii="宋体" w:hAnsi="宋体" w:cs="宋体"/>
          <w:bCs/>
          <w:color w:val="auto"/>
          <w:sz w:val="21"/>
          <w:szCs w:val="21"/>
          <w:highlight w:val="none"/>
          <w:lang w:eastAsia="zh-CN"/>
        </w:rPr>
        <w:t xml:space="preserve">内容完整</w:t>
      </w:r>
      <w:r>
        <w:rPr>
          <w:rFonts w:hint="eastAsia" w:ascii="宋体" w:hAnsi="宋体" w:eastAsia="宋体" w:cs="宋体"/>
          <w:bCs/>
          <w:color w:val="auto"/>
          <w:sz w:val="21"/>
          <w:szCs w:val="21"/>
          <w:highlight w:val="none"/>
        </w:rPr>
        <w:t xml:space="preserve">、完全针对本项目且符合本项目实际需求的</w:t>
      </w:r>
      <w:r>
        <w:rPr>
          <w:rFonts w:hint="eastAsia" w:ascii="宋体" w:hAnsi="宋体" w:eastAsia="宋体" w:cs="宋体"/>
          <w:bCs/>
          <w:color w:val="auto"/>
          <w:sz w:val="21"/>
          <w:szCs w:val="21"/>
          <w:highlight w:val="none"/>
        </w:rPr>
        <w:t xml:space="preserve">得</w:t>
      </w:r>
      <w:r>
        <w:rPr>
          <w:rFonts w:hint="eastAsia" w:ascii="宋体" w:hAnsi="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分，每缺少一项内容或内容非专门针对本项目或内容不能满足本项目实际需求的，每一项扣</w:t>
      </w:r>
      <w:r>
        <w:rPr>
          <w:rFonts w:hint="eastAsia" w:ascii="宋体" w:hAnsi="宋体" w:cs="宋体"/>
          <w:bCs/>
          <w:color w:val="auto"/>
          <w:sz w:val="21"/>
          <w:szCs w:val="21"/>
          <w:highlight w:val="none"/>
          <w:lang w:val="en-US" w:eastAsia="zh-CN"/>
        </w:rPr>
        <w:t xml:space="preserve">2.5</w:t>
      </w:r>
      <w:r>
        <w:rPr>
          <w:rFonts w:hint="eastAsia" w:ascii="宋体" w:hAnsi="宋体" w:eastAsia="宋体" w:cs="宋体"/>
          <w:bCs/>
          <w:color w:val="auto"/>
          <w:sz w:val="21"/>
          <w:szCs w:val="21"/>
          <w:highlight w:val="none"/>
        </w:rPr>
        <w:t xml:space="preserve">分。</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3、质量保障方案。</w:t>
      </w:r>
      <w:r>
        <w:rPr>
          <w:rFonts w:hint="eastAsia" w:ascii="宋体" w:hAnsi="宋体" w:eastAsia="宋体" w:cs="宋体"/>
          <w:bCs/>
          <w:color w:val="auto"/>
          <w:sz w:val="21"/>
          <w:szCs w:val="21"/>
          <w:highlight w:val="none"/>
          <w:lang w:val="en-US" w:eastAsia="zh-CN"/>
        </w:rPr>
        <w:t xml:space="preserve">方案内容至少包括：①</w:t>
      </w:r>
      <w:r>
        <w:rPr>
          <w:rFonts w:hint="eastAsia" w:ascii="宋体" w:hAnsi="宋体" w:cs="宋体"/>
          <w:color w:val="auto"/>
          <w:sz w:val="21"/>
          <w:szCs w:val="21"/>
          <w:highlight w:val="none"/>
          <w:lang w:val="en-US" w:eastAsia="zh-CN"/>
        </w:rPr>
        <w:t xml:space="preserve">材料运输包装保障方案</w:t>
      </w:r>
      <w:r>
        <w:rPr>
          <w:rFonts w:hint="eastAsia" w:ascii="宋体" w:hAnsi="宋体" w:eastAsia="宋体" w:cs="宋体"/>
          <w:bCs/>
          <w:color w:val="auto"/>
          <w:sz w:val="21"/>
          <w:szCs w:val="21"/>
          <w:highlight w:val="none"/>
          <w:lang w:val="en-US" w:eastAsia="zh-CN"/>
        </w:rPr>
        <w:t xml:space="preserve">②</w:t>
      </w:r>
      <w:r>
        <w:rPr>
          <w:rFonts w:hint="eastAsia" w:ascii="宋体" w:hAnsi="宋体" w:cs="宋体"/>
          <w:color w:val="auto"/>
          <w:sz w:val="21"/>
          <w:szCs w:val="21"/>
          <w:highlight w:val="none"/>
          <w:lang w:val="en-US" w:eastAsia="zh-CN"/>
        </w:rPr>
        <w:t xml:space="preserve">质保与售后方案</w:t>
      </w:r>
      <w:r>
        <w:rPr>
          <w:rFonts w:hint="eastAsia" w:ascii="宋体" w:hAnsi="宋体" w:eastAsia="宋体" w:cs="宋体"/>
          <w:bCs/>
          <w:color w:val="auto"/>
          <w:sz w:val="21"/>
          <w:szCs w:val="21"/>
          <w:highlight w:val="none"/>
          <w:lang w:val="en-US" w:eastAsia="zh-CN"/>
        </w:rPr>
        <w:t xml:space="preserve">③</w:t>
      </w:r>
      <w:r>
        <w:rPr>
          <w:rFonts w:hint="eastAsia" w:ascii="宋体" w:hAnsi="宋体" w:cs="宋体"/>
          <w:color w:val="auto"/>
          <w:sz w:val="21"/>
          <w:szCs w:val="21"/>
          <w:highlight w:val="none"/>
          <w:lang w:val="en-US" w:eastAsia="zh-CN"/>
        </w:rPr>
        <w:t xml:space="preserve">项目验收方案。</w:t>
      </w:r>
      <w:r>
        <w:rPr>
          <w:rFonts w:hint="eastAsia" w:ascii="宋体" w:hAnsi="宋体" w:eastAsia="宋体" w:cs="宋体"/>
          <w:bCs/>
          <w:color w:val="auto"/>
          <w:sz w:val="21"/>
          <w:szCs w:val="21"/>
          <w:highlight w:val="none"/>
          <w:lang w:val="en-US" w:eastAsia="zh-CN"/>
        </w:rPr>
        <w:t xml:space="preserve">根据采购文件要求</w:t>
      </w:r>
      <w:r>
        <w:rPr>
          <w:rFonts w:hint="eastAsia" w:ascii="宋体" w:hAnsi="宋体" w:eastAsia="宋体" w:cs="宋体"/>
          <w:bCs/>
          <w:color w:val="auto"/>
          <w:sz w:val="21"/>
          <w:szCs w:val="21"/>
          <w:highlight w:val="none"/>
        </w:rPr>
        <w:t xml:space="preserve">方案</w:t>
      </w:r>
      <w:r>
        <w:rPr>
          <w:rFonts w:hint="eastAsia" w:ascii="宋体" w:hAnsi="宋体" w:cs="宋体"/>
          <w:bCs/>
          <w:color w:val="auto"/>
          <w:sz w:val="21"/>
          <w:szCs w:val="21"/>
          <w:highlight w:val="none"/>
          <w:lang w:eastAsia="zh-CN"/>
        </w:rPr>
        <w:t xml:space="preserve">内容完整</w:t>
      </w:r>
      <w:r>
        <w:rPr>
          <w:rFonts w:hint="eastAsia" w:ascii="宋体" w:hAnsi="宋体" w:eastAsia="宋体" w:cs="宋体"/>
          <w:bCs/>
          <w:color w:val="auto"/>
          <w:sz w:val="21"/>
          <w:szCs w:val="21"/>
          <w:highlight w:val="none"/>
        </w:rPr>
        <w:t xml:space="preserve">、完全针对本项目且符合本项目实际需求的</w:t>
      </w:r>
      <w:r>
        <w:rPr>
          <w:rFonts w:hint="eastAsia" w:ascii="宋体" w:hAnsi="宋体" w:eastAsia="宋体" w:cs="宋体"/>
          <w:bCs/>
          <w:color w:val="auto"/>
          <w:sz w:val="21"/>
          <w:szCs w:val="21"/>
          <w:highlight w:val="none"/>
        </w:rPr>
        <w:t xml:space="preserve">得</w:t>
      </w: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color w:val="auto"/>
          <w:sz w:val="21"/>
          <w:szCs w:val="21"/>
          <w:highlight w:val="none"/>
        </w:rPr>
        <w:t xml:space="preserve">分，每缺少一项内容或内容非专门针对本项目或内容不能满足本项目实际需求的，每一项扣</w:t>
      </w:r>
      <w:r>
        <w:rPr>
          <w:rFonts w:hint="eastAsia" w:ascii="宋体" w:hAnsi="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分。</w:t>
      </w:r>
      <w:r/>
    </w:p>
    <w:p>
      <w:pPr>
        <w:ind w:firstLine="422"/>
        <w:spacing w:line="360" w:lineRule="auto"/>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（三）技术要求响应（14分）</w:t>
      </w:r>
      <w:r/>
    </w:p>
    <w:p>
      <w:pPr>
        <w:ind w:firstLine="420"/>
        <w:keepLines w:val="0"/>
        <w:keepNext w:val="0"/>
        <w:pageBreakBefore w:val="0"/>
        <w:spacing w:line="360" w:lineRule="auto"/>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产品质量、性能等的相关检测报告（须在有效期内）</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提供所使用交通标志所使用主要产品反光膜</w:t>
      </w:r>
      <w:r>
        <w:rPr>
          <w:rFonts w:hint="eastAsia" w:ascii="宋体" w:hAnsi="宋体" w:cs="宋体"/>
          <w:color w:val="auto"/>
          <w:sz w:val="21"/>
          <w:szCs w:val="21"/>
          <w:highlight w:val="none"/>
          <w:lang w:val="en-US" w:eastAsia="zh-CN"/>
        </w:rPr>
        <w:t xml:space="preserve">由第三方检测机构出具的带有CMA标志检测报告</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检测依据GB/T18833-2012</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2分</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2、提供防撞</w:t>
      </w:r>
      <w:r>
        <w:rPr>
          <w:rFonts w:hint="eastAsia" w:ascii="宋体" w:hAnsi="宋体" w:cs="宋体"/>
          <w:color w:val="auto"/>
          <w:sz w:val="21"/>
          <w:szCs w:val="21"/>
          <w:highlight w:val="none"/>
        </w:rPr>
        <w:t xml:space="preserve">护栏</w:t>
      </w:r>
      <w:r>
        <w:rPr>
          <w:rFonts w:hint="eastAsia" w:ascii="宋体" w:hAnsi="宋体" w:cs="宋体"/>
          <w:color w:val="auto"/>
          <w:sz w:val="21"/>
          <w:szCs w:val="21"/>
          <w:highlight w:val="none"/>
          <w:lang w:val="en-US" w:eastAsia="zh-CN"/>
        </w:rPr>
        <w:t xml:space="preserve">由第三方检测机构出具的带有CMA标志检测报告（检测依据GB/T31439.2-2015）</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2分</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3、提供护栏1及护栏2由第三方检测机构出具的带有CMA标志检测报告（检测指标；热镀锌的厚度≧80um；静电喷涂厚度≧80um）；</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2分</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4、提供护栏1及护栏2由第三方检测机构出具的带有CMA标识的护栏表面具有耐玷污功能的检测报告；</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2分</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提供所使用路面标线</w:t>
      </w:r>
      <w:r>
        <w:rPr>
          <w:rFonts w:hint="eastAsia" w:ascii="宋体" w:hAnsi="宋体" w:cs="宋体"/>
          <w:color w:val="auto"/>
          <w:sz w:val="21"/>
          <w:szCs w:val="21"/>
          <w:highlight w:val="none"/>
          <w:lang w:val="en-US" w:eastAsia="zh-CN"/>
        </w:rPr>
        <w:t xml:space="preserve">涂料（热熔反光型、热熔突起型）第三方检测机构出具的带有CMA标识的</w:t>
      </w:r>
      <w:r>
        <w:rPr>
          <w:rFonts w:hint="eastAsia" w:cs="宋体"/>
          <w:color w:val="auto"/>
          <w:sz w:val="21"/>
          <w:szCs w:val="21"/>
          <w:highlight w:val="none"/>
          <w:lang w:val="en-US" w:eastAsia="zh-CN"/>
        </w:rPr>
        <w:t xml:space="preserve">符合</w:t>
      </w:r>
      <w:r>
        <w:rPr>
          <w:rFonts w:hint="eastAsia" w:ascii="宋体" w:hAnsi="宋体" w:cs="宋体"/>
          <w:color w:val="auto"/>
          <w:sz w:val="21"/>
          <w:szCs w:val="21"/>
          <w:highlight w:val="none"/>
          <w:lang w:val="en-US" w:eastAsia="zh-CN"/>
        </w:rPr>
        <w:t xml:space="preserve">JT/T280-2022相关要求</w:t>
      </w:r>
      <w:r>
        <w:rPr>
          <w:rFonts w:hint="eastAsia" w:cs="宋体"/>
          <w:color w:val="auto"/>
          <w:sz w:val="21"/>
          <w:szCs w:val="21"/>
          <w:highlight w:val="none"/>
          <w:lang w:val="en-US" w:eastAsia="zh-CN"/>
        </w:rPr>
        <w:t xml:space="preserve">的</w:t>
      </w:r>
      <w:r>
        <w:rPr>
          <w:rFonts w:hint="eastAsia" w:ascii="宋体" w:hAnsi="宋体" w:cs="宋体"/>
          <w:color w:val="auto"/>
          <w:sz w:val="21"/>
          <w:szCs w:val="21"/>
          <w:highlight w:val="none"/>
        </w:rPr>
        <w:t xml:space="preserve">检测报告</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2分</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提供所使用</w:t>
      </w:r>
      <w:r>
        <w:rPr>
          <w:rFonts w:hint="eastAsia" w:ascii="宋体" w:hAnsi="宋体" w:cs="宋体"/>
          <w:color w:val="auto"/>
          <w:sz w:val="21"/>
          <w:szCs w:val="21"/>
          <w:highlight w:val="none"/>
          <w:lang w:val="en-US" w:eastAsia="zh-CN"/>
        </w:rPr>
        <w:t xml:space="preserve">路面标线用玻璃珠第三方检测机构出具的带有CMA标识的</w:t>
      </w:r>
      <w:r>
        <w:rPr>
          <w:rFonts w:hint="eastAsia" w:cs="宋体"/>
          <w:color w:val="auto"/>
          <w:sz w:val="21"/>
          <w:szCs w:val="21"/>
          <w:highlight w:val="none"/>
          <w:lang w:val="en-US" w:eastAsia="zh-CN"/>
        </w:rPr>
        <w:t xml:space="preserve">符合</w:t>
      </w:r>
      <w:r>
        <w:rPr>
          <w:rFonts w:hint="eastAsia" w:ascii="宋体" w:hAnsi="宋体" w:cs="宋体"/>
          <w:color w:val="auto"/>
          <w:sz w:val="21"/>
          <w:szCs w:val="21"/>
          <w:highlight w:val="none"/>
          <w:lang w:val="en-US" w:eastAsia="zh-CN"/>
        </w:rPr>
        <w:t xml:space="preserve">GB/T24722-2020相关要求</w:t>
      </w:r>
      <w:r>
        <w:rPr>
          <w:rFonts w:hint="eastAsia" w:cs="宋体"/>
          <w:color w:val="auto"/>
          <w:sz w:val="21"/>
          <w:szCs w:val="21"/>
          <w:highlight w:val="none"/>
          <w:lang w:val="en-US" w:eastAsia="zh-CN"/>
        </w:rPr>
        <w:t xml:space="preserve">的</w:t>
      </w:r>
      <w:r>
        <w:rPr>
          <w:rFonts w:hint="eastAsia" w:ascii="宋体" w:hAnsi="宋体" w:cs="宋体"/>
          <w:color w:val="auto"/>
          <w:sz w:val="21"/>
          <w:szCs w:val="21"/>
          <w:highlight w:val="none"/>
        </w:rPr>
        <w:t xml:space="preserve">检测报告</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2分</w:t>
      </w:r>
      <w:r>
        <w:rPr>
          <w:rFonts w:hint="eastAsia" w:ascii="宋体" w:hAnsi="宋体" w:cs="宋体"/>
          <w:color w:val="auto"/>
          <w:sz w:val="21"/>
          <w:szCs w:val="21"/>
          <w:highlight w:val="none"/>
          <w:lang w:eastAsia="zh-CN"/>
        </w:rPr>
        <w:t xml:space="preserve">）</w:t>
      </w:r>
      <w:r/>
    </w:p>
    <w:p>
      <w:pPr>
        <w:ind w:firstLine="420"/>
        <w:keepLines w:val="0"/>
        <w:keepNext w:val="0"/>
        <w:pageBreakBefore w:val="0"/>
        <w:spacing w:line="360" w:lineRule="auto"/>
        <w:widowControl/>
        <w:rPr>
          <w:rFonts w:hint="eastAsia" w:ascii="宋体" w:hAnsi="宋体" w:cs="宋体"/>
          <w:b/>
          <w:color w:val="auto"/>
          <w:sz w:val="21"/>
          <w:szCs w:val="21"/>
          <w:highlight w:val="none"/>
        </w:rPr>
      </w:pP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提供所使用主动发光标志</w:t>
      </w:r>
      <w:r>
        <w:rPr>
          <w:rFonts w:hint="eastAsia" w:ascii="宋体" w:hAnsi="宋体" w:cs="宋体"/>
          <w:color w:val="auto"/>
          <w:sz w:val="21"/>
          <w:szCs w:val="21"/>
          <w:highlight w:val="none"/>
          <w:lang w:val="en-US" w:eastAsia="zh-CN"/>
        </w:rPr>
        <w:t xml:space="preserve">第三方检测机构出具的带有CMA标识的</w:t>
      </w:r>
      <w:r>
        <w:rPr>
          <w:rFonts w:hint="eastAsia" w:cs="宋体"/>
          <w:color w:val="auto"/>
          <w:sz w:val="21"/>
          <w:szCs w:val="21"/>
          <w:highlight w:val="none"/>
          <w:lang w:val="en-US" w:eastAsia="zh-CN"/>
        </w:rPr>
        <w:t xml:space="preserve">符合</w:t>
      </w:r>
      <w:r>
        <w:rPr>
          <w:rFonts w:hint="eastAsia" w:ascii="宋体" w:hAnsi="宋体" w:cs="宋体"/>
          <w:color w:val="auto"/>
          <w:sz w:val="21"/>
          <w:szCs w:val="21"/>
          <w:highlight w:val="none"/>
          <w:lang w:val="en-US" w:eastAsia="zh-CN"/>
        </w:rPr>
        <w:t xml:space="preserve">GB/T31446-2015相关要求</w:t>
      </w:r>
      <w:r>
        <w:rPr>
          <w:rFonts w:hint="eastAsia" w:cs="宋体"/>
          <w:color w:val="auto"/>
          <w:sz w:val="21"/>
          <w:szCs w:val="21"/>
          <w:highlight w:val="none"/>
          <w:lang w:val="en-US" w:eastAsia="zh-CN"/>
        </w:rPr>
        <w:t xml:space="preserve">的</w:t>
      </w:r>
      <w:r>
        <w:rPr>
          <w:rFonts w:hint="eastAsia" w:ascii="宋体" w:hAnsi="宋体" w:cs="宋体"/>
          <w:color w:val="auto"/>
          <w:sz w:val="21"/>
          <w:szCs w:val="21"/>
          <w:highlight w:val="none"/>
        </w:rPr>
        <w:t xml:space="preserve">检测报告</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2分</w:t>
      </w:r>
      <w:r>
        <w:rPr>
          <w:rFonts w:hint="eastAsia" w:ascii="宋体" w:hAnsi="宋体" w:cs="宋体"/>
          <w:color w:val="auto"/>
          <w:sz w:val="21"/>
          <w:szCs w:val="21"/>
          <w:highlight w:val="none"/>
          <w:lang w:eastAsia="zh-CN"/>
        </w:rPr>
        <w:t xml:space="preserve">）</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四</w:t>
      </w:r>
      <w:r>
        <w:rPr>
          <w:rFonts w:hint="eastAsia" w:ascii="宋体" w:hAnsi="宋体" w:cs="宋体"/>
          <w:b/>
          <w:color w:val="auto"/>
          <w:sz w:val="21"/>
          <w:szCs w:val="21"/>
          <w:highlight w:val="none"/>
        </w:rPr>
        <w:t xml:space="preserve">）售后服务:</w:t>
      </w:r>
      <w:r>
        <w:rPr>
          <w:rFonts w:hint="eastAsia" w:ascii="宋体" w:hAnsi="宋体" w:cs="宋体"/>
          <w:b/>
          <w:color w:val="auto"/>
          <w:sz w:val="21"/>
          <w:szCs w:val="21"/>
          <w:highlight w:val="none"/>
          <w:lang w:val="en-US" w:eastAsia="zh-CN"/>
        </w:rPr>
        <w:t xml:space="preserve">3</w:t>
      </w:r>
      <w:r>
        <w:rPr>
          <w:rFonts w:hint="eastAsia" w:ascii="宋体" w:hAnsi="宋体" w:cs="宋体"/>
          <w:b/>
          <w:color w:val="auto"/>
          <w:sz w:val="21"/>
          <w:szCs w:val="21"/>
          <w:highlight w:val="none"/>
        </w:rPr>
        <w:t xml:space="preserve">分</w:t>
      </w:r>
      <w:r/>
    </w:p>
    <w:p>
      <w:pPr>
        <w:ind w:firstLine="420"/>
        <w:spacing w:line="360" w:lineRule="auto"/>
        <w:rPr>
          <w:color w:val="auto"/>
          <w:sz w:val="21"/>
          <w:szCs w:val="21"/>
          <w:highlight w:val="none"/>
        </w:rPr>
      </w:pPr>
      <w:r>
        <w:rPr>
          <w:rFonts w:hint="eastAsia" w:ascii="宋体" w:hAnsi="宋体" w:cs="宋体"/>
          <w:color w:val="auto"/>
          <w:sz w:val="21"/>
          <w:szCs w:val="21"/>
          <w:highlight w:val="none"/>
        </w:rPr>
        <w:t xml:space="preserve">1、提供承诺函：在太仓有固定服务机构或者承诺中标后在太仓设立服务住所，得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提供相关证明材料或承诺书</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。如遇有台风、暴雨、冰雪等恶劣天气承诺派驻人员不少于</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人的得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无承诺不得分。最高</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2、产品质保期限，最高</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塑料、橡胶材质产品和标线产品免费质保期限优于要求一年以上的得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w:t>
      </w:r>
      <w:r/>
    </w:p>
    <w:p>
      <w:pPr>
        <w:ind w:firstLine="422"/>
        <w:spacing w:line="360" w:lineRule="auto"/>
        <w:rPr>
          <w:rFonts w:ascii="宋体" w:hAnsi="宋体" w:cs="宋体"/>
          <w:b/>
          <w:color w:val="auto"/>
          <w:sz w:val="21"/>
          <w:szCs w:val="21"/>
          <w:highlight w:val="none"/>
        </w:rPr>
      </w:pPr>
      <w:r>
        <w:rPr>
          <w:rFonts w:hint="eastAsia" w:ascii="宋体" w:hAnsi="宋体" w:cs="宋体"/>
          <w:b/>
          <w:color w:val="auto"/>
          <w:sz w:val="21"/>
          <w:szCs w:val="21"/>
          <w:highlight w:val="none"/>
        </w:rPr>
        <w:t xml:space="preserve">（</w:t>
      </w:r>
      <w:r>
        <w:rPr>
          <w:rFonts w:hint="eastAsia" w:ascii="宋体" w:hAnsi="宋体" w:cs="宋体"/>
          <w:b/>
          <w:color w:val="auto"/>
          <w:sz w:val="21"/>
          <w:szCs w:val="21"/>
          <w:highlight w:val="none"/>
          <w:lang w:val="en-US" w:eastAsia="zh-CN"/>
        </w:rPr>
        <w:t xml:space="preserve">五</w:t>
      </w:r>
      <w:r>
        <w:rPr>
          <w:rFonts w:hint="eastAsia" w:ascii="宋体" w:hAnsi="宋体" w:cs="宋体"/>
          <w:b/>
          <w:color w:val="auto"/>
          <w:sz w:val="21"/>
          <w:szCs w:val="21"/>
          <w:highlight w:val="none"/>
        </w:rPr>
        <w:t xml:space="preserve">）公司综合评定</w:t>
      </w:r>
      <w:r>
        <w:rPr>
          <w:rFonts w:hint="eastAsia" w:ascii="宋体" w:hAnsi="宋体" w:cs="宋体"/>
          <w:b/>
          <w:color w:val="auto"/>
          <w:sz w:val="21"/>
          <w:szCs w:val="21"/>
          <w:highlight w:val="none"/>
          <w:lang w:val="en-US" w:eastAsia="zh-CN"/>
        </w:rPr>
        <w:t xml:space="preserve">19</w:t>
      </w:r>
      <w:r>
        <w:rPr>
          <w:rFonts w:hint="eastAsia" w:ascii="宋体" w:hAnsi="宋体" w:cs="宋体"/>
          <w:b/>
          <w:color w:val="auto"/>
          <w:sz w:val="21"/>
          <w:szCs w:val="21"/>
          <w:highlight w:val="none"/>
        </w:rPr>
        <w:t xml:space="preserve">分</w:t>
      </w:r>
      <w:r/>
    </w:p>
    <w:p>
      <w:p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拟投入人员（7分）</w:t>
      </w:r>
      <w:r/>
    </w:p>
    <w:p>
      <w:pPr>
        <w:ind w:firstLine="420"/>
        <w:spacing w:line="360" w:lineRule="auto"/>
        <w:rPr>
          <w:rFonts w:hint="eastAsia" w:ascii="Times New Roman" w:hAnsi="Times New Roman" w:eastAsia="宋体" w:cs="Times New Roman"/>
          <w:color w:val="auto"/>
          <w:highlight w:val="none"/>
          <w:lang w:eastAsia="zh-CN"/>
        </w:rPr>
      </w:pPr>
      <w:r>
        <w:rPr>
          <w:rFonts w:hint="eastAsia" w:ascii="宋体" w:hAnsi="宋体" w:eastAsia="宋体" w:cs="宋体"/>
          <w:color w:val="auto"/>
          <w:sz w:val="21"/>
          <w:szCs w:val="21"/>
          <w:highlight w:val="none"/>
        </w:rPr>
        <w:t xml:space="preserve">（1）拟投入本项目的项目负责人具有</w:t>
      </w:r>
      <w:r>
        <w:rPr>
          <w:rFonts w:hint="eastAsia" w:ascii="宋体" w:hAnsi="宋体" w:eastAsia="宋体" w:cs="宋体"/>
          <w:color w:val="auto"/>
          <w:sz w:val="21"/>
          <w:szCs w:val="21"/>
          <w:highlight w:val="none"/>
          <w:lang w:val="en-US" w:eastAsia="zh-CN"/>
        </w:rPr>
        <w:t xml:space="preserve">本科及以上学历的得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分、具有</w:t>
      </w:r>
      <w:r>
        <w:rPr>
          <w:rFonts w:hint="eastAsia" w:ascii="宋体" w:hAnsi="宋体" w:eastAsia="宋体" w:cs="宋体"/>
          <w:color w:val="auto"/>
          <w:sz w:val="21"/>
          <w:szCs w:val="21"/>
          <w:highlight w:val="none"/>
        </w:rPr>
        <w:t xml:space="preserve">公路工程二级</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rPr>
        <w:t xml:space="preserve">注册建造师</w:t>
      </w:r>
      <w:r>
        <w:rPr>
          <w:rFonts w:hint="eastAsia" w:ascii="宋体" w:hAnsi="宋体" w:eastAsia="宋体" w:cs="宋体"/>
          <w:color w:val="auto"/>
          <w:sz w:val="21"/>
          <w:szCs w:val="21"/>
          <w:highlight w:val="none"/>
          <w:lang w:val="en-US" w:eastAsia="zh-CN"/>
        </w:rPr>
        <w:t xml:space="preserve">证书的得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分、具有交通运输工程类工程师及以上职称证</w:t>
      </w:r>
      <w:r>
        <w:rPr>
          <w:rFonts w:hint="eastAsia" w:ascii="宋体" w:hAnsi="宋体" w:eastAsia="宋体" w:cs="宋体"/>
          <w:color w:val="auto"/>
          <w:sz w:val="21"/>
          <w:szCs w:val="21"/>
          <w:highlight w:val="none"/>
        </w:rPr>
        <w:t xml:space="preserve">的得</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合计</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拟投入本项目的技术负责人具有本科及以上学历的得1分、具有公路工程</w:t>
      </w:r>
      <w:r>
        <w:rPr>
          <w:rFonts w:hint="eastAsia" w:ascii="宋体" w:hAnsi="宋体" w:eastAsia="宋体" w:cs="宋体"/>
          <w:color w:val="auto"/>
          <w:sz w:val="21"/>
          <w:szCs w:val="21"/>
          <w:highlight w:val="none"/>
        </w:rPr>
        <w:t xml:space="preserve">二级</w:t>
      </w:r>
      <w:r>
        <w:rPr>
          <w:rFonts w:hint="eastAsia" w:ascii="宋体" w:hAnsi="宋体" w:eastAsia="宋体" w:cs="宋体"/>
          <w:color w:val="auto"/>
          <w:sz w:val="21"/>
          <w:szCs w:val="21"/>
          <w:highlight w:val="none"/>
          <w:lang w:val="en-US" w:eastAsia="zh-CN"/>
        </w:rPr>
        <w:t xml:space="preserve">及以上</w:t>
      </w:r>
      <w:r>
        <w:rPr>
          <w:rFonts w:hint="eastAsia" w:ascii="宋体" w:hAnsi="宋体" w:eastAsia="宋体" w:cs="宋体"/>
          <w:color w:val="auto"/>
          <w:sz w:val="21"/>
          <w:szCs w:val="21"/>
          <w:highlight w:val="none"/>
        </w:rPr>
        <w:t xml:space="preserve">注册建造师</w:t>
      </w:r>
      <w:r>
        <w:rPr>
          <w:rFonts w:hint="eastAsia" w:ascii="宋体" w:hAnsi="宋体" w:eastAsia="宋体" w:cs="宋体"/>
          <w:color w:val="auto"/>
          <w:sz w:val="21"/>
          <w:szCs w:val="21"/>
          <w:highlight w:val="none"/>
          <w:lang w:val="en-US" w:eastAsia="zh-CN"/>
        </w:rPr>
        <w:t xml:space="preserve">证书的得1分；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合计2分</w:t>
      </w:r>
      <w:r>
        <w:rPr>
          <w:rFonts w:hint="eastAsia" w:ascii="宋体" w:hAnsi="宋体" w:eastAsia="宋体" w:cs="宋体"/>
          <w:color w:val="auto"/>
          <w:sz w:val="21"/>
          <w:szCs w:val="21"/>
          <w:highlight w:val="none"/>
          <w:lang w:eastAsia="zh-CN"/>
        </w:rPr>
        <w:t xml:space="preserve">）</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）拟投入本项目的作业人员中</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同时</w:t>
      </w:r>
      <w:r>
        <w:rPr>
          <w:rFonts w:hint="eastAsia" w:ascii="宋体" w:hAnsi="宋体" w:cs="宋体"/>
          <w:color w:val="auto"/>
          <w:sz w:val="21"/>
          <w:szCs w:val="21"/>
          <w:highlight w:val="none"/>
        </w:rPr>
        <w:t xml:space="preserve">持有</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桩机操作</w:t>
      </w:r>
      <w:r>
        <w:rPr>
          <w:rFonts w:hint="eastAsia" w:ascii="宋体" w:hAnsi="宋体" w:cs="宋体"/>
          <w:color w:val="auto"/>
          <w:sz w:val="21"/>
          <w:szCs w:val="21"/>
          <w:highlight w:val="none"/>
          <w:lang w:val="en-US" w:eastAsia="zh-CN"/>
        </w:rPr>
        <w:t xml:space="preserve">工</w:t>
      </w:r>
      <w:r>
        <w:rPr>
          <w:rFonts w:hint="eastAsia" w:ascii="宋体" w:hAnsi="宋体" w:cs="宋体"/>
          <w:color w:val="auto"/>
          <w:sz w:val="21"/>
          <w:szCs w:val="21"/>
          <w:highlight w:val="none"/>
        </w:rPr>
        <w:t xml:space="preserve">证</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和“公路养护工证书”</w:t>
      </w:r>
      <w:r>
        <w:rPr>
          <w:rFonts w:hint="eastAsia" w:ascii="宋体" w:hAnsi="宋体" w:cs="宋体"/>
          <w:color w:val="auto"/>
          <w:sz w:val="21"/>
          <w:szCs w:val="21"/>
          <w:highlight w:val="none"/>
        </w:rPr>
        <w:t xml:space="preserve">的得</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pStyle w:val="952"/>
        <w:ind w:left="0" w:right="0" w:firstLine="420"/>
        <w:spacing w:line="360" w:lineRule="auto"/>
        <w:rPr>
          <w:color w:val="auto"/>
          <w:spacing w:val="0"/>
          <w:szCs w:val="21"/>
          <w:highlight w:val="none"/>
        </w:rPr>
      </w:pPr>
      <w:r>
        <w:rPr>
          <w:rFonts w:hint="eastAsia" w:hAnsi="宋体" w:cs="宋体"/>
          <w:color w:val="auto"/>
          <w:spacing w:val="0"/>
          <w:szCs w:val="21"/>
          <w:highlight w:val="none"/>
        </w:rPr>
        <w:t xml:space="preserve">（</w:t>
      </w:r>
      <w:r>
        <w:rPr>
          <w:rFonts w:hint="eastAsia" w:ascii="宋体" w:hAnsi="宋体" w:cs="宋体"/>
          <w:color w:val="auto"/>
          <w:spacing w:val="0"/>
          <w:szCs w:val="21"/>
          <w:highlight w:val="none"/>
        </w:rPr>
        <w:t xml:space="preserve">提供投标单位</w:t>
      </w:r>
      <w:r>
        <w:rPr>
          <w:rFonts w:hint="eastAsia" w:hAnsi="宋体" w:cs="宋体"/>
          <w:color w:val="auto"/>
          <w:spacing w:val="0"/>
          <w:szCs w:val="21"/>
          <w:highlight w:val="none"/>
        </w:rPr>
        <w:t xml:space="preserve">为以上人员</w:t>
      </w:r>
      <w:r>
        <w:rPr>
          <w:rFonts w:hint="eastAsia" w:ascii="宋体" w:hAnsi="宋体" w:cs="宋体"/>
          <w:color w:val="auto"/>
          <w:spacing w:val="0"/>
          <w:szCs w:val="21"/>
          <w:highlight w:val="none"/>
        </w:rPr>
        <w:t xml:space="preserve">所缴纳的近</w:t>
      </w:r>
      <w:r>
        <w:rPr>
          <w:rFonts w:hint="eastAsia" w:ascii="宋体" w:hAnsi="宋体" w:cs="宋体"/>
          <w:color w:val="auto"/>
          <w:spacing w:val="0"/>
          <w:szCs w:val="21"/>
          <w:highlight w:val="none"/>
          <w:lang w:val="en-US" w:eastAsia="zh-CN"/>
        </w:rPr>
        <w:t xml:space="preserve">一</w:t>
      </w:r>
      <w:r>
        <w:rPr>
          <w:rFonts w:hint="eastAsia" w:ascii="宋体" w:hAnsi="宋体" w:cs="宋体"/>
          <w:color w:val="auto"/>
          <w:spacing w:val="0"/>
          <w:szCs w:val="21"/>
          <w:highlight w:val="none"/>
        </w:rPr>
        <w:t xml:space="preserve">个月的社保证明文件</w:t>
      </w:r>
      <w:r>
        <w:rPr>
          <w:rFonts w:hint="eastAsia" w:hAnsi="宋体" w:cs="宋体"/>
          <w:color w:val="auto"/>
          <w:spacing w:val="0"/>
          <w:szCs w:val="21"/>
          <w:highlight w:val="none"/>
        </w:rPr>
        <w:t xml:space="preserve">及证书扫描件）</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rPr>
        <w:t xml:space="preserve">2、</w:t>
      </w:r>
      <w:r>
        <w:rPr>
          <w:rFonts w:hint="eastAsia" w:ascii="宋体" w:hAnsi="宋体" w:cs="宋体"/>
          <w:color w:val="auto"/>
          <w:sz w:val="21"/>
          <w:szCs w:val="21"/>
          <w:highlight w:val="none"/>
          <w:lang w:val="en-US" w:eastAsia="zh-CN"/>
        </w:rPr>
        <w:t xml:space="preserve">拟投入设备（2分）</w:t>
      </w:r>
      <w:r/>
    </w:p>
    <w:p>
      <w:pPr>
        <w:ind w:firstLine="420"/>
        <w:spacing w:line="360" w:lineRule="auto"/>
        <w:rPr>
          <w:rFonts w:ascii="宋体" w:hAnsi="宋体" w:cs="宋体"/>
          <w:color w:val="auto"/>
          <w:sz w:val="21"/>
          <w:szCs w:val="21"/>
          <w:highlight w:val="none"/>
        </w:rPr>
      </w:pPr>
      <w:r>
        <w:rPr>
          <w:rFonts w:hint="eastAsia" w:ascii="宋体" w:hAnsi="宋体" w:cs="宋体"/>
          <w:bCs/>
          <w:color w:val="auto"/>
          <w:sz w:val="21"/>
          <w:szCs w:val="21"/>
          <w:highlight w:val="none"/>
        </w:rPr>
        <w:t xml:space="preserve">投标人自有或租用专项作业车（升降车）的得</w:t>
      </w:r>
      <w:r>
        <w:rPr>
          <w:rFonts w:hint="eastAsia" w:ascii="宋体" w:hAnsi="宋体" w:cs="宋体"/>
          <w:bCs/>
          <w:color w:val="auto"/>
          <w:sz w:val="21"/>
          <w:szCs w:val="21"/>
          <w:highlight w:val="none"/>
          <w:lang w:val="en-US" w:eastAsia="zh-CN"/>
        </w:rPr>
        <w:t xml:space="preserve">1</w:t>
      </w:r>
      <w:r>
        <w:rPr>
          <w:rFonts w:hint="eastAsia" w:ascii="宋体" w:hAnsi="宋体" w:cs="宋体"/>
          <w:bCs/>
          <w:color w:val="auto"/>
          <w:sz w:val="21"/>
          <w:szCs w:val="21"/>
          <w:highlight w:val="none"/>
        </w:rPr>
        <w:t xml:space="preserve">分</w:t>
      </w:r>
      <w:r>
        <w:rPr>
          <w:rFonts w:hint="eastAsia" w:ascii="宋体" w:hAnsi="宋体" w:cs="宋体"/>
          <w:color w:val="auto"/>
          <w:sz w:val="21"/>
          <w:szCs w:val="21"/>
          <w:highlight w:val="none"/>
        </w:rPr>
        <w:t xml:space="preserve">（</w:t>
      </w:r>
      <w:r>
        <w:rPr>
          <w:rFonts w:hint="eastAsia"/>
          <w:color w:val="auto"/>
          <w:sz w:val="21"/>
          <w:szCs w:val="21"/>
          <w:highlight w:val="none"/>
        </w:rPr>
        <w:t xml:space="preserve">投标文件需提供自有车辆照片、车辆产权证明、车辆行驶证和车辆保单扫描件、车辆购置发票；如为租赁车辆的提供租赁合同、车辆照片、车辆产权证明、车辆行驶证和车辆保单、车辆</w:t>
      </w:r>
      <w:r>
        <w:rPr>
          <w:rFonts w:hint="eastAsia"/>
          <w:color w:val="auto"/>
          <w:sz w:val="21"/>
          <w:szCs w:val="21"/>
          <w:highlight w:val="none"/>
          <w:lang w:val="en-US" w:eastAsia="zh-CN"/>
        </w:rPr>
        <w:t xml:space="preserve">租赁</w:t>
      </w:r>
      <w:r>
        <w:rPr>
          <w:rFonts w:hint="eastAsia"/>
          <w:color w:val="auto"/>
          <w:sz w:val="21"/>
          <w:szCs w:val="21"/>
          <w:highlight w:val="none"/>
        </w:rPr>
        <w:t xml:space="preserve">发票扫描件</w:t>
      </w:r>
      <w:r>
        <w:rPr>
          <w:rFonts w:hint="eastAsia" w:ascii="宋体" w:hAnsi="宋体" w:cs="宋体"/>
          <w:color w:val="auto"/>
          <w:sz w:val="21"/>
          <w:szCs w:val="21"/>
          <w:highlight w:val="none"/>
        </w:rPr>
        <w:t xml:space="preserve">）；投入工程使用标线清除设备（自有的提供本公司购买设备开具的发票，租赁的提供租赁设备的合同扫描件及设备购置</w:t>
      </w:r>
      <w:r>
        <w:rPr>
          <w:rFonts w:hint="eastAsia" w:ascii="宋体" w:hAnsi="宋体" w:cs="宋体"/>
          <w:color w:val="auto"/>
          <w:sz w:val="21"/>
          <w:szCs w:val="21"/>
          <w:highlight w:val="none"/>
          <w:lang w:val="en-US" w:eastAsia="zh-CN"/>
        </w:rPr>
        <w:t xml:space="preserve">及租赁</w:t>
      </w:r>
      <w:r>
        <w:rPr>
          <w:rFonts w:hint="eastAsia" w:ascii="宋体" w:hAnsi="宋体" w:cs="宋体"/>
          <w:color w:val="auto"/>
          <w:sz w:val="21"/>
          <w:szCs w:val="21"/>
          <w:highlight w:val="none"/>
        </w:rPr>
        <w:t xml:space="preserve">发票扫描件并加盖公章）得1分</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（最高</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分）。</w:t>
      </w:r>
      <w:r/>
    </w:p>
    <w:p>
      <w:pPr>
        <w:pStyle w:val="952"/>
        <w:ind w:right="0" w:firstLine="420"/>
        <w:spacing w:line="360" w:lineRule="auto"/>
        <w:rPr>
          <w:rFonts w:hint="default" w:ascii="宋体" w:hAnsi="宋体" w:eastAsia="宋体" w:cs="宋体"/>
          <w:color w:val="auto"/>
          <w:spacing w:val="0"/>
          <w:szCs w:val="21"/>
          <w:highlight w:val="none"/>
          <w:lang w:val="en-US" w:eastAsia="zh-CN"/>
        </w:rPr>
      </w:pPr>
      <w:r>
        <w:rPr>
          <w:rFonts w:hint="eastAsia" w:ascii="宋体" w:hAnsi="宋体" w:cs="宋体"/>
          <w:color w:val="auto"/>
          <w:spacing w:val="0"/>
          <w:szCs w:val="21"/>
          <w:highlight w:val="none"/>
        </w:rPr>
        <w:t xml:space="preserve">3、</w:t>
      </w:r>
      <w:r>
        <w:rPr>
          <w:rFonts w:hint="eastAsia" w:ascii="宋体" w:hAnsi="宋体" w:cs="宋体"/>
          <w:color w:val="auto"/>
          <w:spacing w:val="0"/>
          <w:szCs w:val="21"/>
          <w:highlight w:val="none"/>
          <w:lang w:val="en-US" w:eastAsia="zh-CN"/>
        </w:rPr>
        <w:t xml:space="preserve">其他设备（5分）</w:t>
      </w:r>
      <w:r/>
    </w:p>
    <w:p>
      <w:pPr>
        <w:pStyle w:val="952"/>
        <w:ind w:right="0" w:firstLine="420"/>
        <w:spacing w:line="360" w:lineRule="auto"/>
        <w:rPr>
          <w:rFonts w:ascii="宋体" w:hAnsi="宋体" w:cs="宋体"/>
          <w:color w:val="auto"/>
          <w:spacing w:val="0"/>
          <w:szCs w:val="21"/>
          <w:highlight w:val="none"/>
        </w:rPr>
      </w:pPr>
      <w:r>
        <w:rPr>
          <w:rFonts w:hint="eastAsia" w:ascii="宋体" w:hAnsi="宋体" w:cs="宋体"/>
          <w:color w:val="auto"/>
          <w:spacing w:val="0"/>
          <w:szCs w:val="21"/>
          <w:highlight w:val="none"/>
        </w:rPr>
        <w:t xml:space="preserve">投标人本人或其投标使用的金属杆件、护栏生产厂家具有热镀锌生产线的得</w:t>
      </w:r>
      <w:r>
        <w:rPr>
          <w:rFonts w:hint="eastAsia" w:ascii="宋体" w:hAnsi="宋体" w:cs="宋体"/>
          <w:color w:val="auto"/>
          <w:spacing w:val="0"/>
          <w:szCs w:val="21"/>
          <w:highlight w:val="none"/>
          <w:lang w:val="en-US" w:eastAsia="zh-CN"/>
        </w:rPr>
        <w:t xml:space="preserve">1</w:t>
      </w:r>
      <w:r>
        <w:rPr>
          <w:rFonts w:hint="eastAsia" w:ascii="宋体" w:hAnsi="宋体" w:cs="宋体"/>
          <w:color w:val="auto"/>
          <w:spacing w:val="0"/>
          <w:szCs w:val="21"/>
          <w:highlight w:val="none"/>
        </w:rPr>
        <w:t xml:space="preserve">分（需提供有效期内环评报告扫描件并加盖公章）；投标人具有激光切割机的得1分，具有剪板机的得1分，具有标牌铆接设备的得1分，具有护栏桩机设备的得1分（需提供设备购置发票扫描件并加盖公章）。（最高</w:t>
      </w:r>
      <w:r>
        <w:rPr>
          <w:rFonts w:hint="eastAsia" w:ascii="宋体" w:hAnsi="宋体" w:cs="宋体"/>
          <w:color w:val="auto"/>
          <w:spacing w:val="0"/>
          <w:szCs w:val="21"/>
          <w:highlight w:val="none"/>
          <w:lang w:val="en-US" w:eastAsia="zh-CN"/>
        </w:rPr>
        <w:t xml:space="preserve">5</w:t>
      </w:r>
      <w:r>
        <w:rPr>
          <w:rFonts w:hint="eastAsia" w:ascii="宋体" w:hAnsi="宋体" w:cs="宋体"/>
          <w:color w:val="auto"/>
          <w:spacing w:val="0"/>
          <w:szCs w:val="21"/>
          <w:highlight w:val="none"/>
        </w:rPr>
        <w:t xml:space="preserve">分）</w:t>
      </w:r>
      <w:r/>
    </w:p>
    <w:p>
      <w:pPr>
        <w:numPr>
          <w:ilvl w:val="0"/>
          <w:numId w:val="7"/>
        </w:numPr>
        <w:ind w:firstLine="42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类似业绩（5分）</w:t>
      </w:r>
      <w:r/>
    </w:p>
    <w:p>
      <w:pPr>
        <w:numPr>
          <w:ilvl w:val="0"/>
          <w:numId w:val="0"/>
        </w:num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投标人202</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年1月1日以来（合同签署时间）承担的类似业绩（</w:t>
      </w:r>
      <w:r>
        <w:rPr>
          <w:rFonts w:hint="eastAsia" w:ascii="宋体" w:hAnsi="宋体" w:cs="宋体"/>
          <w:color w:val="auto"/>
          <w:sz w:val="21"/>
          <w:szCs w:val="21"/>
          <w:highlight w:val="none"/>
        </w:rPr>
        <w:t xml:space="preserve">交通标志标线建设、维护</w:t>
      </w:r>
      <w:r>
        <w:rPr>
          <w:rFonts w:hint="eastAsia" w:ascii="宋体" w:hAnsi="宋体" w:cs="宋体"/>
          <w:color w:val="auto"/>
          <w:sz w:val="21"/>
          <w:szCs w:val="21"/>
          <w:highlight w:val="none"/>
        </w:rPr>
        <w:t xml:space="preserve">），需提供合同扫描件</w:t>
      </w:r>
      <w:r>
        <w:rPr>
          <w:rFonts w:hint="eastAsia" w:ascii="宋体" w:hAnsi="宋体" w:cs="宋体"/>
          <w:color w:val="auto"/>
          <w:sz w:val="21"/>
          <w:szCs w:val="21"/>
          <w:highlight w:val="none"/>
          <w:lang w:val="en-US" w:eastAsia="zh-CN"/>
        </w:rPr>
        <w:t xml:space="preserve">及项目任意一期的发票</w:t>
      </w:r>
      <w:r>
        <w:rPr>
          <w:rFonts w:hint="eastAsia" w:ascii="宋体" w:hAnsi="宋体" w:cs="宋体"/>
          <w:color w:val="auto"/>
          <w:sz w:val="21"/>
          <w:szCs w:val="21"/>
          <w:highlight w:val="none"/>
        </w:rPr>
        <w:t xml:space="preserve">并加盖公章，资料提供不全或无法证明的不得分），每有一个项目得</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rPr>
        <w:t xml:space="preserve">分，（最高为</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2"/>
        <w:spacing w:line="360" w:lineRule="auto"/>
        <w:rPr>
          <w:rFonts w:hint="eastAsia" w:cs="宋体"/>
          <w:b/>
          <w:color w:val="auto"/>
          <w:sz w:val="21"/>
          <w:szCs w:val="21"/>
          <w:highlight w:val="none"/>
        </w:rPr>
      </w:pPr>
      <w:r>
        <w:rPr>
          <w:rFonts w:hint="eastAsia" w:cs="宋体"/>
          <w:b/>
          <w:color w:val="auto"/>
          <w:sz w:val="21"/>
          <w:szCs w:val="21"/>
          <w:highlight w:val="none"/>
        </w:rPr>
      </w:r>
      <w:r/>
    </w:p>
    <w:p>
      <w:pPr>
        <w:pStyle w:val="1006"/>
        <w:spacing w:line="440" w:lineRule="exact"/>
        <w:rPr>
          <w:rFonts w:hAnsi="宋体" w:eastAsia="宋体" w:cs="宋体"/>
          <w:b/>
          <w:bCs/>
          <w:color w:val="auto"/>
          <w:sz w:val="21"/>
          <w:szCs w:val="21"/>
          <w:highlight w:val="none"/>
        </w:rPr>
      </w:pPr>
      <w:r>
        <w:rPr>
          <w:rFonts w:hint="eastAsia" w:hAnsi="宋体" w:eastAsia="宋体" w:cs="宋体"/>
          <w:b/>
          <w:bCs/>
          <w:color w:val="auto"/>
          <w:sz w:val="21"/>
          <w:szCs w:val="21"/>
          <w:highlight w:val="none"/>
        </w:rPr>
        <w:t xml:space="preserve">注：1、报价要求、付款步骤、合同履行期限如有负偏离的不得中标。</w:t>
      </w:r>
      <w:r/>
    </w:p>
    <w:p>
      <w:pPr>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    2、针对评分标准中评分的每一条，投标人均应提供相关的电子资料并作出相应说明供评委评判，不提供相关资料的视为不具备该项得分的条件。</w:t>
      </w:r>
      <w:r/>
    </w:p>
    <w:p>
      <w:pPr>
        <w:ind w:firstLine="422"/>
        <w:spacing w:line="44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3、所有要求提供的</w:t>
      </w:r>
      <w:r>
        <w:rPr>
          <w:rFonts w:hint="eastAsia" w:ascii="宋体" w:hAnsi="宋体" w:cs="宋体"/>
          <w:b/>
          <w:bCs/>
          <w:color w:val="auto"/>
          <w:sz w:val="21"/>
          <w:szCs w:val="21"/>
          <w:highlight w:val="none"/>
          <w:lang w:eastAsia="zh-CN"/>
        </w:rPr>
        <w:t xml:space="preserve">扫描</w:t>
      </w:r>
      <w:r>
        <w:rPr>
          <w:rFonts w:hint="eastAsia" w:ascii="宋体" w:hAnsi="宋体" w:cs="宋体"/>
          <w:b/>
          <w:bCs/>
          <w:color w:val="auto"/>
          <w:sz w:val="21"/>
          <w:szCs w:val="21"/>
          <w:highlight w:val="none"/>
        </w:rPr>
        <w:t xml:space="preserve">件字迹须清晰可见,</w:t>
      </w:r>
      <w:r>
        <w:rPr>
          <w:rFonts w:hint="eastAsia" w:ascii="宋体" w:hAnsi="宋体" w:cs="宋体"/>
          <w:b/>
          <w:bCs/>
          <w:color w:val="auto"/>
          <w:sz w:val="21"/>
          <w:szCs w:val="21"/>
          <w:highlight w:val="none"/>
          <w:lang w:eastAsia="zh-CN"/>
        </w:rPr>
        <w:t xml:space="preserve">扫描</w:t>
      </w:r>
      <w:r>
        <w:rPr>
          <w:rFonts w:hint="eastAsia" w:ascii="宋体" w:hAnsi="宋体" w:cs="宋体"/>
          <w:b/>
          <w:bCs/>
          <w:color w:val="auto"/>
          <w:sz w:val="21"/>
          <w:szCs w:val="21"/>
          <w:highlight w:val="none"/>
        </w:rPr>
        <w:t xml:space="preserve">不全或字迹不清晰的，视为未提供。</w:t>
      </w:r>
      <w:r/>
    </w:p>
    <w:p>
      <w:pPr>
        <w:ind w:firstLine="422"/>
        <w:spacing w:line="440" w:lineRule="exact"/>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4、防止虚假应标，招标单位保留调查的权利，并由此引发的一切调查与诉讼费用由投标方承担。</w:t>
      </w:r>
      <w:r/>
    </w:p>
    <w:p>
      <w:pPr>
        <w:ind w:firstLine="422"/>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jc w:val="center"/>
        <w:spacing w:line="360" w:lineRule="auto"/>
        <w:widowControl w:val="off"/>
        <w:rPr>
          <w:rStyle w:val="981"/>
          <w:rFonts w:ascii="宋体" w:hAnsi="宋体" w:eastAsia="宋体" w:cs="宋体"/>
          <w:color w:val="auto"/>
          <w:sz w:val="32"/>
          <w:szCs w:val="32"/>
          <w:highlight w:val="none"/>
        </w:rPr>
      </w:pPr>
      <w:r>
        <w:rPr>
          <w:rStyle w:val="981"/>
          <w:rFonts w:hint="eastAsia" w:ascii="宋体" w:hAnsi="宋体" w:eastAsia="宋体" w:cs="宋体"/>
          <w:color w:val="auto"/>
          <w:sz w:val="32"/>
          <w:szCs w:val="32"/>
          <w:highlight w:val="none"/>
        </w:rPr>
        <w:br w:type="page" w:clear="all"/>
      </w:r>
      <w:bookmarkStart w:id="25" w:name="_Toc31315"/>
      <w:r>
        <w:rPr>
          <w:rStyle w:val="981"/>
          <w:rFonts w:hint="eastAsia" w:ascii="宋体" w:hAnsi="宋体" w:eastAsia="宋体" w:cs="宋体"/>
          <w:color w:val="auto"/>
          <w:sz w:val="32"/>
          <w:szCs w:val="32"/>
          <w:highlight w:val="none"/>
        </w:rPr>
        <w:t xml:space="preserve">第六章 合同格式</w:t>
      </w:r>
      <w:bookmarkEnd w:id="25"/>
      <w:r/>
      <w:r/>
    </w:p>
    <w:p>
      <w:pPr>
        <w:jc w:val="center"/>
        <w:spacing w:line="360" w:lineRule="auto"/>
        <w:rPr>
          <w:rFonts w:ascii="宋体" w:hAnsi="宋体"/>
          <w:b/>
          <w:bCs/>
          <w:color w:val="auto"/>
          <w:sz w:val="44"/>
          <w:szCs w:val="44"/>
          <w:highlight w:val="none"/>
        </w:rPr>
      </w:pPr>
      <w:r>
        <w:rPr>
          <w:rFonts w:hint="eastAsia" w:ascii="宋体" w:hAnsi="宋体"/>
          <w:b/>
          <w:bCs/>
          <w:color w:val="auto"/>
          <w:sz w:val="44"/>
          <w:szCs w:val="44"/>
          <w:highlight w:val="none"/>
        </w:rPr>
        <w:t xml:space="preserve">合同主要条款</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甲方：太仓市公安局</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联系人：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电话：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乙方：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联系人：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电话： </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lang w:val="zh-CN"/>
        </w:rPr>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根据《中华人民共和国民法典》有关规定，为明确采购单位（甲方）和供应单位（乙方）购销过程中的权利、义务和经济责任，经双方友好协商，签订以下条款，共同遵守。</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一、定义：以下术语有特定的含义：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货物”本合同所称货物是指乙方基于其已成交的响应文件而应向甲方提供的符合采购要求规格及功能的项目及其全部备品备件，它还应包括由乙方送交给甲方的所有的必须文件和与使用及测试有关的应进行的任何规定的服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服务”系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“合同价”系指根据成交的响应文件和合同规定，乙方在正确地履行合同义务后甲方应支付乙方的价款。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“甲方”系指合同中明确规定的实际购买货物和接受服务单位。</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“乙方”系指合同中规定的提供货物和提供服务的单位。</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pStyle w:val="998"/>
        <w:ind w:firstLine="422"/>
        <w:jc w:val="left"/>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lang w:eastAsia="zh-CN"/>
        </w:rPr>
        <w:t xml:space="preserve">二</w:t>
      </w:r>
      <w:r>
        <w:rPr>
          <w:rFonts w:hint="eastAsia" w:hAnsi="宋体" w:eastAsia="宋体" w:cs="宋体"/>
          <w:b/>
          <w:bCs/>
          <w:color w:val="auto"/>
          <w:sz w:val="21"/>
          <w:szCs w:val="21"/>
          <w:highlight w:val="none"/>
        </w:rPr>
        <w:t xml:space="preserve">、合同内容：</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1. </w:t>
      </w:r>
      <w:r>
        <w:rPr>
          <w:rFonts w:hint="eastAsia" w:ascii="宋体" w:hAnsi="宋体" w:cs="宋体"/>
          <w:color w:val="auto"/>
          <w:sz w:val="21"/>
          <w:szCs w:val="21"/>
          <w:highlight w:val="none"/>
          <w:lang w:val="zh-CN"/>
        </w:rPr>
        <w:t xml:space="preserve">乙方负责</w:t>
      </w:r>
      <w:r>
        <w:rPr>
          <w:rFonts w:hint="eastAsia" w:ascii="宋体" w:hAnsi="宋体" w:cs="宋体"/>
          <w:color w:val="auto"/>
          <w:sz w:val="21"/>
          <w:szCs w:val="21"/>
          <w:highlight w:val="none"/>
          <w:u w:val="single"/>
          <w:lang w:eastAsia="zh-CN"/>
        </w:rPr>
        <w:t xml:space="preserve">2025交通设施设备更新维护</w:t>
      </w:r>
      <w:r>
        <w:rPr>
          <w:rFonts w:hint="eastAsia" w:ascii="宋体" w:hAnsi="宋体" w:cs="宋体"/>
          <w:color w:val="auto"/>
          <w:sz w:val="21"/>
          <w:szCs w:val="21"/>
          <w:highlight w:val="none"/>
          <w:lang w:val="zh-CN"/>
        </w:rPr>
        <w:t xml:space="preserve">工作。</w:t>
      </w:r>
      <w:r/>
    </w:p>
    <w:p>
      <w:pPr>
        <w:ind w:firstLine="420"/>
        <w:spacing w:line="360" w:lineRule="auto"/>
        <w:tabs>
          <w:tab w:val="left" w:pos="3600" w:leader="none"/>
        </w:tabs>
        <w:rPr>
          <w:rFonts w:hint="eastAsia" w:ascii="宋体" w:hAnsi="宋体" w:cs="宋体"/>
          <w:b/>
          <w:color w:val="auto"/>
          <w:sz w:val="21"/>
          <w:szCs w:val="21"/>
          <w:highlight w:val="none"/>
          <w:lang w:val="zh-CN"/>
        </w:rPr>
      </w:pPr>
      <w:r>
        <w:rPr>
          <w:rFonts w:hint="eastAsia" w:ascii="宋体" w:hAnsi="宋体" w:cs="宋体"/>
          <w:color w:val="auto"/>
          <w:sz w:val="21"/>
          <w:szCs w:val="21"/>
          <w:highlight w:val="none"/>
        </w:rPr>
        <w:t xml:space="preserve">2.</w:t>
      </w:r>
      <w:r>
        <w:rPr>
          <w:rFonts w:hint="eastAsia" w:ascii="宋体" w:hAnsi="宋体" w:cs="宋体"/>
          <w:b/>
          <w:color w:val="auto"/>
          <w:sz w:val="21"/>
          <w:szCs w:val="21"/>
          <w:highlight w:val="none"/>
          <w:lang w:val="zh-CN"/>
        </w:rPr>
        <w:t xml:space="preserve">合同履行期限：</w:t>
      </w:r>
      <w:r/>
    </w:p>
    <w:p>
      <w:pPr>
        <w:ind w:firstLine="420"/>
        <w:spacing w:line="360" w:lineRule="auto"/>
        <w:tabs>
          <w:tab w:val="left" w:pos="3600" w:leader="none"/>
        </w:tabs>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（1）项目工期</w:t>
      </w:r>
      <w:r>
        <w:rPr>
          <w:rFonts w:hint="eastAsia" w:ascii="宋体" w:hAnsi="宋体" w:cs="宋体"/>
          <w:color w:val="auto"/>
          <w:sz w:val="21"/>
          <w:szCs w:val="21"/>
          <w:highlight w:val="none"/>
        </w:rPr>
        <w:t xml:space="preserve">：合同签署后一年或项目结算金额达到预算金额（以先到项为准）；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（2）服务期限：自合同生效日起至完成售后和质量保证期止。</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在协议有效期内一方不得擅自变更或中止此项协议，如未经双方同意，擅自变更或中止此项的一方要负违约责任。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 下列文件为本合同不可分割部分：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（1）中标通知书；</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（2）乙方的投标文件；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（3）乙方在招投标过程中所作的其它承诺、声明、书面澄清等；</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（4）招标文件及其附件；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（5）合同附件。</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以上与本合同具有同等法律效力</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三、货物名称、数量及价格见下表，详细技术参数见招标文件。</w:t>
      </w:r>
      <w:r/>
    </w:p>
    <w:tbl>
      <w:tblPr>
        <w:tblStyle w:val="947"/>
        <w:tblW w:w="0" w:type="auto"/>
        <w:tblInd w:w="153" w:type="dxa"/>
        <w:tblLayout w:type="fixed"/>
        <w:tblCellMar>
          <w:left w:w="108" w:type="dxa"/>
          <w:top w:w="0" w:type="dxa"/>
          <w:right w:w="108" w:type="dxa"/>
          <w:bottom w:w="0" w:type="dxa"/>
        </w:tblCellMar>
        <w:tblLook w:val="04A0" w:firstRow="1" w:lastRow="0" w:firstColumn="1" w:lastColumn="0" w:noHBand="0" w:noVBand="1"/>
      </w:tblPr>
      <w:tblGrid>
        <w:gridCol w:w="682"/>
        <w:gridCol w:w="1711"/>
        <w:gridCol w:w="1702"/>
        <w:gridCol w:w="599"/>
        <w:gridCol w:w="581"/>
        <w:gridCol w:w="986"/>
        <w:gridCol w:w="986"/>
        <w:gridCol w:w="1070"/>
        <w:gridCol w:w="1054"/>
      </w:tblGrid>
      <w:tr>
        <w:trPr>
          <w:trHeight w:val="272"/>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17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标的物名称</w:t>
            </w:r>
            <w:r/>
          </w:p>
        </w:tc>
        <w:tc>
          <w:tcPr>
            <w:tcBorders>
              <w:top w:val="single" w:color="auto" w:sz="4" w:space="0"/>
              <w:left w:val="none" w:color="000000" w:sz="4" w:space="0"/>
              <w:bottom w:val="single" w:color="auto" w:sz="4" w:space="0"/>
              <w:right w:val="single" w:color="auto" w:sz="4" w:space="0"/>
            </w:tcBorders>
            <w:tcW w:w="170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规格</w:t>
            </w:r>
            <w:r/>
          </w:p>
        </w:tc>
        <w:tc>
          <w:tcPr>
            <w:tcBorders>
              <w:top w:val="single" w:color="auto" w:sz="4" w:space="0"/>
              <w:left w:val="none" w:color="000000" w:sz="4" w:space="0"/>
              <w:bottom w:val="single" w:color="auto" w:sz="4" w:space="0"/>
              <w:right w:val="single" w:color="auto" w:sz="4" w:space="0"/>
            </w:tcBorders>
            <w:tcW w:w="599"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58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Borders>
              <w:top w:val="single" w:color="auto" w:sz="4" w:space="0"/>
              <w:left w:val="none" w:color="000000" w:sz="4" w:space="0"/>
              <w:bottom w:val="single" w:color="auto" w:sz="4" w:space="0"/>
              <w:right w:val="single" w:color="auto" w:sz="4" w:space="0"/>
            </w:tcBorders>
            <w:tcW w:w="986"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最高限价（元）</w:t>
            </w:r>
            <w:r/>
          </w:p>
        </w:tc>
        <w:tc>
          <w:tcPr>
            <w:tcBorders>
              <w:top w:val="single" w:color="auto" w:sz="4" w:space="0"/>
              <w:left w:val="none" w:color="000000" w:sz="4" w:space="0"/>
              <w:bottom w:val="single" w:color="auto" w:sz="4" w:space="0"/>
              <w:right w:val="single" w:color="auto" w:sz="4" w:space="0"/>
            </w:tcBorders>
            <w:tcW w:w="986"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整体</w:t>
            </w:r>
            <w:r>
              <w:rPr>
                <w:rFonts w:hint="eastAsia" w:ascii="宋体" w:hAnsi="宋体" w:cs="宋体"/>
                <w:color w:val="auto"/>
                <w:sz w:val="21"/>
                <w:szCs w:val="21"/>
                <w:highlight w:val="none"/>
                <w:lang w:val="en-US" w:eastAsia="zh-CN"/>
              </w:rPr>
              <w:t xml:space="preserve">优惠</w:t>
            </w:r>
            <w:r>
              <w:rPr>
                <w:rFonts w:hint="eastAsia" w:ascii="宋体" w:hAnsi="宋体" w:cs="宋体"/>
                <w:color w:val="auto"/>
                <w:sz w:val="21"/>
                <w:szCs w:val="21"/>
                <w:highlight w:val="none"/>
              </w:rPr>
              <w:t xml:space="preserve">率（%）</w:t>
            </w:r>
            <w:r/>
          </w:p>
        </w:tc>
        <w:tc>
          <w:tcPr>
            <w:tcBorders>
              <w:top w:val="single" w:color="auto" w:sz="4" w:space="0"/>
              <w:left w:val="none" w:color="000000" w:sz="4" w:space="0"/>
              <w:bottom w:val="single" w:color="auto" w:sz="4" w:space="0"/>
              <w:right w:val="single" w:color="auto" w:sz="4" w:space="0"/>
            </w:tcBorders>
            <w:tcW w:w="1070"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合同单价</w:t>
            </w:r>
            <w:r>
              <w:rPr>
                <w:rFonts w:hint="eastAsia" w:ascii="宋体" w:hAnsi="宋体" w:cs="宋体"/>
                <w:color w:val="auto"/>
                <w:sz w:val="21"/>
                <w:szCs w:val="21"/>
                <w:highlight w:val="none"/>
              </w:rPr>
              <w:t xml:space="preserve">（元）</w:t>
            </w:r>
            <w:r/>
          </w:p>
        </w:tc>
        <w:tc>
          <w:tcPr>
            <w:tcBorders>
              <w:top w:val="single" w:color="auto" w:sz="4" w:space="0"/>
              <w:left w:val="none" w:color="000000" w:sz="4" w:space="0"/>
              <w:bottom w:val="single" w:color="auto" w:sz="4" w:space="0"/>
              <w:right w:val="single" w:color="auto" w:sz="4" w:space="0"/>
            </w:tcBorders>
            <w:tcW w:w="1054"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备注</w:t>
            </w:r>
            <w:r/>
          </w:p>
        </w:tc>
      </w:tr>
      <w:tr>
        <w:trPr>
          <w:trHeight w:val="450"/>
        </w:trPr>
        <w:tc>
          <w:tcPr>
            <w:tcBorders>
              <w:top w:val="none" w:color="000000" w:sz="4" w:space="0"/>
              <w:left w:val="single" w:color="auto" w:sz="4" w:space="0"/>
              <w:bottom w:val="single" w:color="auto" w:sz="4" w:space="0"/>
              <w:right w:val="single" w:color="auto" w:sz="4" w:space="0"/>
            </w:tcBorders>
            <w:tcW w:w="68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17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交通标志板面（金属板及反光膜安装）</w:t>
            </w:r>
            <w:r/>
          </w:p>
        </w:tc>
        <w:tc>
          <w:tcPr>
            <w:tcBorders>
              <w:top w:val="none" w:color="000000" w:sz="4" w:space="0"/>
              <w:left w:val="none" w:color="000000" w:sz="4" w:space="0"/>
              <w:bottom w:val="single" w:color="auto" w:sz="4" w:space="0"/>
              <w:right w:val="single" w:color="auto" w:sz="4" w:space="0"/>
            </w:tcBorders>
            <w:tcW w:w="1702"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2500×4000(mm)</w:t>
            </w:r>
            <w:r/>
          </w:p>
        </w:tc>
        <w:tc>
          <w:tcPr>
            <w:tcBorders>
              <w:top w:val="none" w:color="000000" w:sz="4" w:space="0"/>
              <w:left w:val="none" w:color="000000" w:sz="4" w:space="0"/>
              <w:bottom w:val="single" w:color="auto" w:sz="4" w:space="0"/>
              <w:right w:val="single" w:color="auto" w:sz="4" w:space="0"/>
            </w:tcBorders>
            <w:tcW w:w="59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6500</w:t>
            </w:r>
            <w:r/>
          </w:p>
        </w:tc>
        <w:tc>
          <w:tcPr>
            <w:tcBorders>
              <w:top w:val="none" w:color="000000" w:sz="4" w:space="0"/>
              <w:left w:val="none" w:color="000000" w:sz="4" w:space="0"/>
              <w:right w:val="single" w:color="auto" w:sz="4" w:space="0"/>
            </w:tcBorders>
            <w:tcW w:w="986" w:type="dxa"/>
            <w:vAlign w:val="center"/>
            <w:vMerge w:val="restart"/>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75"/>
        </w:trPr>
        <w:tc>
          <w:tcPr>
            <w:tcBorders>
              <w:top w:val="none" w:color="000000" w:sz="4" w:space="0"/>
              <w:left w:val="single" w:color="auto" w:sz="4" w:space="0"/>
              <w:bottom w:val="single" w:color="auto" w:sz="4" w:space="0"/>
              <w:right w:val="single" w:color="auto" w:sz="4" w:space="0"/>
            </w:tcBorders>
            <w:tcW w:w="68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17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交通标志悬臂</w:t>
            </w:r>
            <w:r/>
          </w:p>
        </w:tc>
        <w:tc>
          <w:tcPr>
            <w:tcBorders>
              <w:top w:val="none" w:color="000000" w:sz="4" w:space="0"/>
              <w:left w:val="none" w:color="000000" w:sz="4" w:space="0"/>
              <w:bottom w:val="single" w:color="auto" w:sz="4" w:space="0"/>
              <w:right w:val="single" w:color="auto" w:sz="4" w:space="0"/>
            </w:tcBorders>
            <w:tcW w:w="1702"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热镀锌钢管、喷塑φ140×8000×3根（mm）</w:t>
            </w:r>
            <w:r/>
          </w:p>
        </w:tc>
        <w:tc>
          <w:tcPr>
            <w:tcBorders>
              <w:top w:val="none" w:color="000000" w:sz="4" w:space="0"/>
              <w:left w:val="none" w:color="000000" w:sz="4" w:space="0"/>
              <w:bottom w:val="single" w:color="auto" w:sz="4" w:space="0"/>
              <w:right w:val="single" w:color="auto" w:sz="4" w:space="0"/>
            </w:tcBorders>
            <w:tcW w:w="59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套</w:t>
            </w:r>
            <w:r/>
          </w:p>
        </w:tc>
        <w:tc>
          <w:tcPr>
            <w:tcBorders>
              <w:top w:val="none" w:color="000000" w:sz="4" w:space="0"/>
              <w:left w:val="none" w:color="000000" w:sz="4" w:space="0"/>
              <w:bottom w:val="single" w:color="auto" w:sz="4" w:space="0"/>
              <w:right w:val="single" w:color="auto" w:sz="4" w:space="0"/>
            </w:tcBorders>
            <w:tcW w:w="58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98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8500</w:t>
            </w:r>
            <w:r/>
          </w:p>
        </w:tc>
        <w:tc>
          <w:tcPr>
            <w:tcBorders>
              <w:left w:val="none" w:color="000000" w:sz="4" w:space="0"/>
              <w:bottom w:val="single" w:color="auto" w:sz="4" w:space="0"/>
              <w:right w:val="single" w:color="auto" w:sz="4" w:space="0"/>
            </w:tcBorders>
            <w:tcW w:w="986"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7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0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trHeight w:val="675"/>
        </w:trPr>
        <w:tc>
          <w:tcPr>
            <w:tcBorders>
              <w:top w:val="single" w:color="auto" w:sz="4" w:space="0"/>
              <w:left w:val="single" w:color="auto" w:sz="4" w:space="0"/>
              <w:bottom w:val="single" w:color="auto" w:sz="4" w:space="0"/>
              <w:right w:val="single" w:color="auto" w:sz="4" w:space="0"/>
            </w:tcBorders>
            <w:tcW w:w="682"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711"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c>
          <w:tcPr>
            <w:tcBorders>
              <w:top w:val="single" w:color="auto" w:sz="4" w:space="0"/>
              <w:left w:val="none" w:color="000000" w:sz="4" w:space="0"/>
              <w:bottom w:val="single" w:color="auto" w:sz="4" w:space="0"/>
              <w:right w:val="single" w:color="auto" w:sz="4" w:space="0"/>
            </w:tcBorders>
            <w:tcW w:w="1702"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599"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581"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6" w:type="dxa"/>
            <w:vAlign w:val="center"/>
            <w:textDirection w:val="lrTb"/>
            <w:noWrap w:val="false"/>
          </w:tcPr>
          <w:p>
            <w:pPr>
              <w:jc w:val="center"/>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986" w:type="dxa"/>
            <w:vAlign w:val="center"/>
            <w:vMerge w:val="continue"/>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70"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Borders>
              <w:top w:val="single" w:color="auto" w:sz="4" w:space="0"/>
              <w:left w:val="none" w:color="000000" w:sz="4" w:space="0"/>
              <w:bottom w:val="single" w:color="auto" w:sz="4" w:space="0"/>
              <w:right w:val="single" w:color="auto" w:sz="4" w:space="0"/>
            </w:tcBorders>
            <w:tcW w:w="1054" w:type="dxa"/>
            <w:vAlign w:val="center"/>
            <w:textDirection w:val="lrTb"/>
            <w:noWrap w:val="false"/>
          </w:tcPr>
          <w:p>
            <w:pPr>
              <w:jc w:val="both"/>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ind w:firstLine="422"/>
        <w:spacing w:line="360" w:lineRule="auto"/>
        <w:rPr>
          <w:rFonts w:hint="eastAsia" w:ascii="宋体" w:hAnsi="宋体" w:cs="宋体"/>
          <w:color w:val="auto"/>
          <w:sz w:val="21"/>
          <w:szCs w:val="21"/>
          <w:highlight w:val="none"/>
          <w:lang w:val="zh-CN"/>
        </w:rPr>
      </w:pPr>
      <w:r>
        <w:rPr>
          <w:rFonts w:hint="eastAsia" w:ascii="宋体" w:hAnsi="宋体" w:cs="宋体"/>
          <w:b/>
          <w:color w:val="auto"/>
          <w:sz w:val="21"/>
          <w:szCs w:val="21"/>
          <w:highlight w:val="none"/>
        </w:rPr>
        <w:t xml:space="preserve">注：1.工程建设按照以上</w:t>
      </w:r>
      <w:r>
        <w:rPr>
          <w:rFonts w:hint="eastAsia" w:ascii="宋体" w:hAnsi="宋体" w:cs="宋体"/>
          <w:b/>
          <w:color w:val="auto"/>
          <w:sz w:val="21"/>
          <w:szCs w:val="21"/>
          <w:highlight w:val="none"/>
          <w:lang w:val="en-US" w:eastAsia="zh-CN"/>
        </w:rPr>
        <w:t xml:space="preserve">合同</w:t>
      </w:r>
      <w:r>
        <w:rPr>
          <w:rFonts w:hint="eastAsia" w:ascii="宋体" w:hAnsi="宋体" w:cs="宋体"/>
          <w:b/>
          <w:color w:val="auto"/>
          <w:sz w:val="21"/>
          <w:szCs w:val="21"/>
          <w:highlight w:val="none"/>
        </w:rPr>
        <w:t xml:space="preserve">单价进行结算，实际工程量按照甲方要求并根据审计结果确定。本项目采购预算</w:t>
      </w:r>
      <w:r>
        <w:rPr>
          <w:rFonts w:hint="eastAsia" w:ascii="宋体" w:hAnsi="宋体" w:cs="宋体"/>
          <w:b/>
          <w:color w:val="auto"/>
          <w:sz w:val="21"/>
          <w:szCs w:val="21"/>
          <w:highlight w:val="none"/>
          <w:lang w:val="en-US" w:eastAsia="zh-CN"/>
        </w:rPr>
        <w:t xml:space="preserve">壹佰壹拾柒万元整（¥1170000.00）</w:t>
      </w:r>
      <w:r>
        <w:rPr>
          <w:rFonts w:hint="eastAsia" w:ascii="宋体" w:hAnsi="宋体" w:cs="宋体"/>
          <w:b/>
          <w:color w:val="auto"/>
          <w:sz w:val="21"/>
          <w:szCs w:val="21"/>
          <w:highlight w:val="none"/>
        </w:rPr>
        <w:t xml:space="preserve">，累计结算金额达到</w:t>
      </w:r>
      <w:r>
        <w:rPr>
          <w:rFonts w:hint="eastAsia" w:ascii="宋体" w:hAnsi="宋体" w:cs="宋体"/>
          <w:b/>
          <w:color w:val="auto"/>
          <w:sz w:val="21"/>
          <w:szCs w:val="21"/>
          <w:highlight w:val="none"/>
          <w:lang w:val="en-US" w:eastAsia="zh-CN"/>
        </w:rPr>
        <w:t xml:space="preserve">壹佰壹拾柒万元整（¥1170000.00）</w:t>
      </w:r>
      <w:r>
        <w:rPr>
          <w:rFonts w:hint="eastAsia" w:ascii="宋体" w:hAnsi="宋体" w:cs="宋体"/>
          <w:b/>
          <w:color w:val="auto"/>
          <w:sz w:val="21"/>
          <w:szCs w:val="21"/>
          <w:highlight w:val="none"/>
        </w:rPr>
        <w:t xml:space="preserve">项目终止</w:t>
      </w:r>
      <w:r/>
    </w:p>
    <w:p>
      <w:pPr>
        <w:ind w:firstLine="420"/>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2.实际建设中，若使用设备未在上述列表内，按照市场价及审计结果为准。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zh-CN"/>
        </w:rPr>
        <w:t xml:space="preserve">四、</w:t>
      </w:r>
      <w:r>
        <w:rPr>
          <w:rFonts w:hint="eastAsia" w:ascii="宋体" w:hAnsi="宋体" w:cs="宋体"/>
          <w:color w:val="auto"/>
          <w:sz w:val="21"/>
          <w:szCs w:val="21"/>
          <w:highlight w:val="none"/>
        </w:rPr>
        <w:t xml:space="preserve">合同总价款：___________。</w:t>
      </w:r>
      <w:r>
        <w:rPr>
          <w:rFonts w:hint="eastAsia" w:ascii="宋体" w:hAnsi="宋体" w:cs="宋体"/>
          <w:color w:val="auto"/>
          <w:sz w:val="21"/>
          <w:szCs w:val="21"/>
          <w:highlight w:val="none"/>
          <w:lang w:val="zh-CN"/>
        </w:rPr>
        <w:t xml:space="preserve">合同</w:t>
      </w:r>
      <w:r>
        <w:rPr>
          <w:rFonts w:hint="eastAsia" w:ascii="宋体" w:hAnsi="宋体" w:cs="宋体"/>
          <w:color w:val="auto"/>
          <w:sz w:val="21"/>
          <w:szCs w:val="21"/>
          <w:highlight w:val="none"/>
        </w:rPr>
        <w:t xml:space="preserve">中标</w:t>
      </w:r>
      <w:r>
        <w:rPr>
          <w:rFonts w:hint="eastAsia" w:ascii="宋体" w:hAnsi="宋体" w:cs="宋体"/>
          <w:color w:val="auto"/>
          <w:sz w:val="21"/>
          <w:szCs w:val="21"/>
          <w:highlight w:val="none"/>
          <w:lang w:val="en-US" w:eastAsia="zh-CN"/>
        </w:rPr>
        <w:t xml:space="preserve">优惠率</w:t>
      </w:r>
      <w:r>
        <w:rPr>
          <w:rFonts w:hint="eastAsia" w:ascii="宋体" w:hAnsi="宋体" w:cs="宋体"/>
          <w:color w:val="auto"/>
          <w:sz w:val="21"/>
          <w:szCs w:val="21"/>
          <w:highlight w:val="none"/>
          <w:lang w:val="zh-CN"/>
        </w:rPr>
        <w:t xml:space="preserve">：</w:t>
      </w:r>
      <w:r>
        <w:rPr>
          <w:rFonts w:hint="eastAsia" w:ascii="宋体" w:hAnsi="宋体" w:cs="宋体"/>
          <w:color w:val="auto"/>
          <w:sz w:val="21"/>
          <w:szCs w:val="21"/>
          <w:highlight w:val="none"/>
        </w:rPr>
        <w:t xml:space="preserve">_________。</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五、合同总价范围：</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包含采购范围内相应货物及服务的全部内容，报价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和政策性文件规定及合同包含的所有风险、责任、施工审图费等各项应有费用，乙方的投标报价包含了采购人现有场地条件下，进行中标设备的安装调试达到可使用状态，并验收合格前的所有费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2．中国政府根据现行税法征收的与本合同有关的一切税费。      </w:t>
      </w:r>
      <w:r/>
    </w:p>
    <w:p>
      <w:pPr>
        <w:ind w:firstLine="420"/>
        <w:spacing w:line="360" w:lineRule="auto"/>
        <w:rPr>
          <w:rFonts w:ascii="宋体" w:hAnsi="宋体"/>
          <w:b/>
          <w:bCs/>
          <w:color w:val="auto"/>
          <w:sz w:val="21"/>
          <w:szCs w:val="21"/>
          <w:highlight w:val="none"/>
        </w:rPr>
      </w:pPr>
      <w:r>
        <w:rPr>
          <w:rFonts w:hint="eastAsia" w:ascii="宋体" w:hAnsi="宋体" w:cs="宋体"/>
          <w:color w:val="auto"/>
          <w:sz w:val="21"/>
          <w:szCs w:val="21"/>
          <w:highlight w:val="none"/>
        </w:rPr>
        <w:t xml:space="preserve">3．</w:t>
      </w:r>
      <w:r>
        <w:rPr>
          <w:rFonts w:hint="eastAsia" w:ascii="宋体" w:hAnsi="宋体" w:cs="宋体"/>
          <w:b/>
          <w:color w:val="auto"/>
          <w:sz w:val="21"/>
          <w:szCs w:val="21"/>
          <w:highlight w:val="none"/>
        </w:rPr>
        <w:t xml:space="preserve">乙方项目合同期内</w:t>
      </w:r>
      <w:r>
        <w:rPr>
          <w:rFonts w:hint="eastAsia" w:ascii="宋体" w:hAnsi="宋体"/>
          <w:b/>
          <w:bCs/>
          <w:color w:val="auto"/>
          <w:sz w:val="21"/>
          <w:szCs w:val="21"/>
          <w:highlight w:val="none"/>
        </w:rPr>
        <w:t xml:space="preserve">必须购买所建设、所维护设施造成的意外险和施工造成的意外险，且累计赔偿限额不低于人民币750万元（每次事故赔偿限额不低于人民币500万元，每次意外人身伤亡赔偿限额不低于人民币250万元，每次意外每人赔偿限额不低于人民币100万元，每次意外财产损失赔偿限额不低于人民币250万元）。费用包含在合同价中。</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六、</w:t>
      </w:r>
      <w:r>
        <w:rPr>
          <w:rFonts w:hint="eastAsia" w:ascii="宋体" w:hAnsi="宋体" w:cs="宋体"/>
          <w:color w:val="auto"/>
          <w:sz w:val="21"/>
          <w:szCs w:val="21"/>
          <w:highlight w:val="none"/>
          <w:lang w:val="en-US" w:eastAsia="zh-CN"/>
        </w:rPr>
        <w:t xml:space="preserve">安装</w:t>
      </w:r>
      <w:r>
        <w:rPr>
          <w:rFonts w:hint="eastAsia" w:ascii="宋体" w:hAnsi="宋体" w:cs="宋体"/>
          <w:color w:val="auto"/>
          <w:sz w:val="21"/>
          <w:szCs w:val="21"/>
          <w:highlight w:val="none"/>
        </w:rPr>
        <w:t xml:space="preserve">地点：太仓市</w:t>
      </w:r>
      <w:r/>
    </w:p>
    <w:p>
      <w:pPr>
        <w:ind w:firstLine="420"/>
        <w:spacing w:line="360" w:lineRule="auto"/>
        <w:rPr>
          <w:rFonts w:hint="eastAsia" w:ascii="宋体" w:hAnsi="宋体" w:cs="宋体"/>
          <w:color w:val="auto"/>
          <w:sz w:val="21"/>
          <w:szCs w:val="21"/>
          <w:highlight w:val="none"/>
          <w:lang w:val="zh-CN"/>
        </w:rPr>
      </w:pPr>
      <w:r>
        <w:rPr>
          <w:rFonts w:hint="eastAsia" w:ascii="宋体" w:hAnsi="宋体" w:cs="宋体"/>
          <w:color w:val="auto"/>
          <w:sz w:val="21"/>
          <w:szCs w:val="21"/>
          <w:highlight w:val="none"/>
        </w:rPr>
        <w:t xml:space="preserve">七、</w:t>
      </w:r>
      <w:r>
        <w:rPr>
          <w:rFonts w:hint="eastAsia" w:ascii="宋体" w:hAnsi="宋体" w:cs="宋体"/>
          <w:color w:val="auto"/>
          <w:sz w:val="21"/>
          <w:szCs w:val="21"/>
          <w:highlight w:val="none"/>
          <w:lang w:val="zh-CN"/>
        </w:rPr>
        <w:t xml:space="preserve">付款方式：</w:t>
      </w:r>
      <w:r/>
    </w:p>
    <w:p>
      <w:pPr>
        <w:pStyle w:val="104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 中标通知书发出后，乙方应于合同签订前向甲方指定账户交纳中标合同金额5%的履约保证金。</w:t>
      </w:r>
      <w:r/>
    </w:p>
    <w:p>
      <w:pPr>
        <w:pStyle w:val="1046"/>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 合同签订后三个月内支付合同金额50%首付款，随后根据工程进度可适时支付不超过合同总额的80%，余下款项待到工程竣工，验收合格经审计等规定程序后两个月内一次性付清，具体时间以财政资金下达情况为准。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八、储放和保护</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乙方安装调试至甲方指定地，所发生相关费用及由于意外情况发生的损失由乙方承担。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九、技术条款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乙方所供货物须符合招标文件设计图纸和国家标准及规范要求，乙方响应文件中列明的设备及品牌、生产地、制造厂商、质量保证等必须符合相关的国家标准和规范。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十、质量保证</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对于甲方在标书中所要求的及乙方在响应文件和合同中所承诺提供的功能，乙方应无条件提供，由于设计及其他原因所造成的额外费用由乙方自行承担。由于甲方要求删除的部分及功能，乙方应予以在合同总价中扣除该部分的价格。</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十一、保修期：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免费质保期：根据供应商响应内容。</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十二、售后服务</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售后服务见乙方响应文件中的承诺。</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十三、不可抗拒事故</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水灾、地震等自然灾害为不可抗力。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十四、违约责任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1．成交单位无正当理由不能按期完成作业的，应按逾期交货总额每日0.1%向采购方支付违约金，由采购方从待付货款中扣除。</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2．逾期超过约定日期10个工作日不能交货的，甲方有权立即终止合同，乙方仍需向甲方支付全部延期交货违约金，并赔偿甲方相关损失，双倍返还定金及甲方已支付的合同款。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3．乙方因违反合同及招标文件其他应尽义务的，甲方有权根据乙方违约程度要求乙方支付相当于合同总价款5%的违约金。如造成采购方损失超过违约金的，超出部分由成交方继续承担赔偿责任。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乙方应在甲、乙双方另外规定的时间内，货物经验收后交付甲方使用，除因不可抗拒力造成的误期或延期外，任何交付期限的延长，乙方均应按合同总价款每日万分之四的标准向甲方支付违约金，同时本条款项下的违约金计算不影响上述三项违约金条款的执行。</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5．乙方提前交货的，甲方接货后，按合同规定的付款方式付款。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6.相关罚则</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（1）维护服务商接到道路交通标志、标线等各类交通安全设施维护指令后，未在2小时内到达现场开展有效工作的（因客观原因造成的，并经太仓市公安局交通警察大队认可的除外），每次扣罚200元；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维护服务商接到道路交通标志、标线等各类交通安全设施维护指令后，忘记维修或不去维修的（接到维护指令后24小时内未到现场开展有效工作的），每次扣罚500元，接到交通标志、标线等各类交通安全设施新建、改建、重建等任务未在规定时间完成的（因客观原因造成的，并经太仓市公安局交通警察大队认可的除外）每次扣罚500元，因维修、建设不及时引发道路交通事故或其他人身及财产损失，由维护服务商承担全部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维护服务商因客观原因无法及时对道路交通标志、标线等各类交通安全设施进行修复，未采取相应的临时措施，且未向太仓市公安局交通警察大队汇报，导致设施隐患一直存在的，每次扣罚1000元，若由此引发道路交通事故或其他人身及财产损失，由维护服务商承担全部责任；</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（4）维护服务商违反规定在早晚高峰期间进行施工作业（除抢修项目外），影响道路交通正常通行或造成交通拥堵的，每次扣罚200元。经交通执勤人员劝阻后，不服指挥继续施工作业的，每次扣罚500元；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（5）维护服务商不按实际维修情况，虚报、谎报维修清单及工程量的，经查实，每次扣罚10000元；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（6）维护服务商违反操作规程，导致人为增加实际工程量的，增加的工程量由维护服务商自行承担费用外每次扣罚1000元；</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（7）除上述情况外，维护服务商违反招标文件中的其他规定的，每发现一次，扣罚500元，不设上限；</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（8）多次违反上述规定的，且维护服务商整改不力的，太仓市公安局交通警察大队有权要求维护服务终止合同。</w:t>
      </w:r>
      <w:r/>
    </w:p>
    <w:p>
      <w:pPr>
        <w:pStyle w:val="952"/>
        <w:ind w:right="0" w:firstLine="420"/>
        <w:spacing w:line="360" w:lineRule="auto"/>
        <w:rPr>
          <w:rFonts w:hint="eastAsia" w:ascii="宋体" w:hAnsi="宋体" w:cs="宋体"/>
          <w:color w:val="auto"/>
          <w:spacing w:val="0"/>
          <w:szCs w:val="21"/>
          <w:highlight w:val="none"/>
        </w:rPr>
      </w:pPr>
      <w:r>
        <w:rPr>
          <w:rFonts w:hint="eastAsia" w:ascii="宋体" w:hAnsi="宋体" w:cs="宋体"/>
          <w:color w:val="auto"/>
          <w:spacing w:val="0"/>
          <w:szCs w:val="21"/>
          <w:highlight w:val="none"/>
        </w:rPr>
        <w:t xml:space="preserve">以上扣罚费用在工程结算款中直接扣除。</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十五、索赔：</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天内应免费维修或更换有缺陷的货物或部件。如果乙方在收到通知后2天内没有弥补缺陷，甲方可采取必要的补救措施，但风险和费用将由乙方承担，同时甲方对乙方行使的其它权利不受影响。</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索赔方式除上述规定之外，甲方还有权选择以下方式进行索赔：</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2．根据货物的损坏程度以及甲方遭受损失的数额，经甲乙双方商定降低货物的价格。</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十六、资料提供：合同签订一周内乙方提供相关的方案一套。</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十七、技术培训：甲方认为可以培训的前一周推荐培训计划、提供资料、培训后能熟练操作、了解构造原理、日常维护、排除一般故障。</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十八、特别条款</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1．双方签约人为各自法定代表人或被授权代表。</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2．本合同系指本文件及其附件中的所有部分；其中招标文件、成交的响应文件、成交单位在招标过程中的澄清、承诺等为本合同不可缺少的必要组成部分。</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3．本合同一式伍份，甲乙双方各执贰份、招标代理公司壹份，各份具有同等法律效力。</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十九、其他</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本合同未尽事宜，签约双方应友好协商解决。协商不成，任何一方均可向甲方所在地人民法院提起诉讼。</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乙方：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法定代表人（授权代表）：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法定代表人（授权代表）：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签约日期：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签约日期：                 </w:t>
      </w:r>
      <w:r/>
    </w:p>
    <w:p>
      <w:pPr>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开户行：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开户行：</w:t>
      </w:r>
      <w:r/>
    </w:p>
    <w:p>
      <w:pPr>
        <w:ind w:firstLine="42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rPr>
        <w:t xml:space="preserve">账户：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账户：</w:t>
      </w:r>
      <w:r/>
    </w:p>
    <w:p>
      <w:pPr>
        <w:pStyle w:val="1038"/>
        <w:ind w:left="0" w:firstLine="0"/>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（全文完）</w:t>
      </w:r>
      <w:bookmarkEnd w:id="26"/>
      <w:r/>
      <w:r/>
    </w:p>
    <w:sectPr>
      <w:footerReference w:type="default" r:id="rId14"/>
      <w:footerReference w:type="first" r:id="rId15"/>
      <w:footnotePr/>
      <w:endnotePr/>
      <w:type w:val="nextPage"/>
      <w:pgSz w:w="11906" w:h="16838" w:orient="portrait"/>
      <w:pgMar w:top="1134" w:right="1134" w:bottom="1134" w:left="1134"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微软雅黑.">
    <w:panose1 w:val="020B0503020204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2OcuAe">
    <w:panose1 w:val="020B0503020202020204"/>
  </w:font>
  <w:font w:name="楷体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74"/>
      </w:rPr>
      <w:framePr w:wrap="around" w:vAnchor="text" w:hAnchor="margin" w:xAlign="center" w:y="2"/>
    </w:pPr>
    <w:r>
      <w:fldChar w:fldCharType="begin"/>
    </w:r>
    <w:r>
      <w:rPr>
        <w:rStyle w:val="974"/>
      </w:rPr>
      <w:instrText xml:space="preserve">PAGE  </w:instrText>
    </w:r>
    <w:r>
      <w:fldChar w:fldCharType="separate"/>
    </w:r>
    <w:r>
      <w:rPr>
        <w:rStyle w:val="974"/>
      </w:rPr>
      <w:t xml:space="preserve">0</w:t>
    </w:r>
    <w:r>
      <w:fldChar w:fldCharType="end"/>
    </w:r>
    <w:r/>
  </w:p>
  <w:p>
    <w:pPr>
      <w:pStyle w:val="95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063"/>
      <w:jc w:val="left"/>
      <w:spacing w:line="158" w:lineRule="auto"/>
      <w:widowControl/>
      <w:rPr>
        <w:rFonts w:ascii="Microsoft JhengHei" w:hAnsi="Microsoft JhengHei" w:eastAsia="Microsoft JhengHei" w:cs="Microsoft JhengHei"/>
        <w:color w:val="000000"/>
        <w:sz w:val="18"/>
        <w:szCs w:val="18"/>
        <w:lang w:eastAsia="en-US"/>
      </w:rPr>
    </w:pPr>
    <w:r>
      <w:rPr>
        <w:rFonts w:ascii="Microsoft JhengHei" w:hAnsi="Microsoft JhengHei" w:eastAsia="Microsoft JhengHei" w:cs="Microsoft JhengHei"/>
        <w:b/>
        <w:bCs/>
        <w:color w:val="000000"/>
        <w:spacing w:val="2"/>
        <w:sz w:val="18"/>
        <w:szCs w:val="18"/>
        <w:lang w:eastAsia="en-US"/>
      </w:rPr>
      <w:t xml:space="preserve">11</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pPr>
    <w:r>
      <w:fldChar w:fldCharType="begin"/>
    </w:r>
    <w:r>
      <w:instrText xml:space="preserve">PAGE   \* MERGEFORMAT</w:instrText>
    </w:r>
    <w:r>
      <w:fldChar w:fldCharType="separate"/>
    </w:r>
    <w:r>
      <w:rPr>
        <w:lang w:val="zh-CN"/>
      </w:rPr>
      <w:t xml:space="preserve">47</w:t>
    </w:r>
    <w:r>
      <w:fldChar w:fldCharType="end"/>
    </w:r>
    <w:r/>
  </w:p>
  <w:p>
    <w:pPr>
      <w:pStyle w:val="95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jc w:val="center"/>
    </w:pPr>
    <w:r>
      <w:fldChar w:fldCharType="begin"/>
    </w:r>
    <w:r>
      <w:instrText xml:space="preserve">PAGE   \* MERGEFORMAT</w:instrText>
    </w:r>
    <w:r>
      <w:fldChar w:fldCharType="separate"/>
    </w:r>
    <w:r>
      <w:rPr>
        <w:lang w:val="zh-CN"/>
      </w:rPr>
      <w:t xml:space="preserve">1</w:t>
    </w:r>
    <w:r>
      <w:fldChar w:fldCharType="end"/>
    </w:r>
    <w:r/>
  </w:p>
  <w:p>
    <w:pPr>
      <w:pStyle w:val="9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left"/>
      <w:rPr>
        <w:rFonts w:hint="eastAsia"/>
        <w:sz w:val="21"/>
        <w:szCs w:val="21"/>
      </w:rPr>
    </w:pPr>
    <w:r>
      <w:rPr>
        <w:rFonts w:hint="eastAsia"/>
      </w:rPr>
      <w:t xml:space="preserve"> </w:t>
    </w:r>
    <w:r>
      <w:rPr>
        <w:rFonts w:hint="eastAsia"/>
        <w:sz w:val="21"/>
        <w:szCs w:val="21"/>
      </w:rPr>
      <w:t xml:space="preserve"> </w:t>
    </w:r>
    <w:r/>
  </w:p>
  <w:p>
    <w:pPr>
      <w:pStyle w:val="961"/>
      <w:jc w:val="left"/>
      <w:rPr>
        <w:sz w:val="21"/>
        <w:szCs w:val="21"/>
      </w:rPr>
    </w:pPr>
    <w:r>
      <w:rPr>
        <w:rFonts w:hint="eastAsia"/>
      </w:rPr>
      <mc:AlternateContent>
        <mc:Choice Requires="wpg">
          <w:drawing>
            <wp:inline xmlns:wp="http://schemas.openxmlformats.org/drawingml/2006/wordprocessingDrawing" distT="0" distB="0" distL="0" distR="0">
              <wp:extent cx="279400" cy="222885"/>
              <wp:effectExtent l="0" t="0" r="6350" b="5715"/>
              <wp:docPr id="1" name="图片 2"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0pt;height:17.6pt;mso-wrap-distance-left:0.0pt;mso-wrap-distance-top:0.0pt;mso-wrap-distance-right:0.0pt;mso-wrap-distance-bottom:0.0pt;" stroked="f">
              <v:path textboxrect="0,0,0,0"/>
              <v:imagedata r:id="rId1" o:title=""/>
            </v:shape>
          </w:pict>
        </mc:Fallback>
      </mc:AlternateContent>
    </w:r>
    <w:r>
      <w:rPr>
        <w:rFonts w:hint="eastAsia"/>
        <w:lang w:eastAsia="zh-CN"/>
      </w:rPr>
      <w:t xml:space="preserve">苏州泰至鑫项目管理有限公司</w:t>
    </w:r>
    <w:r>
      <w:rPr>
        <w:rFonts w:hint="eastAsia"/>
      </w:rPr>
      <w:t xml:space="preserve">                       </w:t>
    </w:r>
    <w:r>
      <w:rPr>
        <w:rFonts w:hint="eastAsia"/>
        <w:lang w:val="en-US" w:eastAsia="zh-CN"/>
      </w:rPr>
      <w:t xml:space="preserve">   </w:t>
    </w:r>
    <w:r>
      <w:rPr>
        <w:rFonts w:hint="eastAsia"/>
      </w:rPr>
      <w:t xml:space="preserve">招标编号： </w:t>
    </w:r>
    <w:r>
      <w:rPr>
        <w:rFonts w:hint="eastAsia"/>
        <w:lang w:eastAsia="zh-CN"/>
      </w:rPr>
      <w:t xml:space="preserve">JSZC-320585-SZTZ-G2025-0007</w:t>
    </w:r>
    <w:r>
      <w:rPr>
        <w:rFonts w:hint="eastAsia"/>
        <w:bCs/>
        <w:color w:val="808080"/>
        <w:spacing w:val="6"/>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jc w:val="both"/>
      <w:rPr>
        <w:rFonts w:hint="eastAsia"/>
        <w:lang w:eastAsia="zh-CN"/>
      </w:rPr>
    </w:pPr>
    <w:r>
      <w:rPr>
        <w:rFonts w:hint="eastAsia"/>
      </w:rPr>
      <mc:AlternateContent>
        <mc:Choice Requires="wpg">
          <w:drawing>
            <wp:inline xmlns:wp="http://schemas.openxmlformats.org/drawingml/2006/wordprocessingDrawing" distT="0" distB="0" distL="0" distR="0">
              <wp:extent cx="279400" cy="222885"/>
              <wp:effectExtent l="0" t="0" r="6350" b="5715"/>
              <wp:docPr id="2"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0pt;height:17.6pt;mso-wrap-distance-left:0.0pt;mso-wrap-distance-top:0.0pt;mso-wrap-distance-right:0.0pt;mso-wrap-distance-bottom:0.0pt;" stroked="f">
              <v:path textboxrect="0,0,0,0"/>
              <v:imagedata r:id="rId1" o:title=""/>
            </v:shape>
          </w:pict>
        </mc:Fallback>
      </mc:AlternateContent>
    </w:r>
    <w:r>
      <w:rPr>
        <w:rFonts w:hint="eastAsia"/>
        <w:lang w:eastAsia="zh-CN"/>
      </w:rPr>
      <w:t xml:space="preserve">苏州泰至鑫项目管理有限公司</w:t>
    </w:r>
    <w:r>
      <w:rPr>
        <w:rFonts w:hint="eastAsia"/>
        <w:lang w:val="en-US" w:eastAsia="zh-CN"/>
      </w:rPr>
      <w:t xml:space="preserve">                             编号：JSZC-320585-SZTZ-G2025-0007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937"/>
      <w:isLgl w:val="false"/>
      <w:suff w:val="nothing"/>
      <w:lvlText w:val="%1、"/>
      <w:lvlJc w:val="left"/>
      <w:pPr>
        <w:ind w:left="0" w:firstLine="0"/>
      </w:pPr>
      <w:rPr>
        <w:rFonts w:hint="eastAsia"/>
      </w:rPr>
    </w:lvl>
    <w:lvl w:ilvl="1">
      <w:start w:val="1"/>
      <w:numFmt w:val="chineseCounting"/>
      <w:pStyle w:val="938"/>
      <w:isLgl w:val="false"/>
      <w:suff w:val="nothing"/>
      <w:lvlText w:val="（%2）"/>
      <w:lvlJc w:val="left"/>
      <w:pPr>
        <w:ind w:left="0" w:firstLine="0"/>
      </w:pPr>
      <w:rPr>
        <w:rFonts w:hint="eastAsia"/>
      </w:rPr>
    </w:lvl>
    <w:lvl w:ilvl="2">
      <w:start w:val="1"/>
      <w:numFmt w:val="decimal"/>
      <w:pStyle w:val="939"/>
      <w:isLgl w:val="false"/>
      <w:suff w:val="nothing"/>
      <w:lvlText w:val="%3．"/>
      <w:lvlJc w:val="left"/>
      <w:pPr>
        <w:ind w:left="0" w:firstLine="400"/>
      </w:pPr>
      <w:rPr>
        <w:rFonts w:hint="eastAsia"/>
      </w:rPr>
    </w:lvl>
    <w:lvl w:ilvl="3">
      <w:start w:val="1"/>
      <w:numFmt w:val="decimal"/>
      <w:pStyle w:val="940"/>
      <w:isLgl w:val="false"/>
      <w:suff w:val="nothing"/>
      <w:lvlText w:val="（%4）"/>
      <w:lvlJc w:val="left"/>
      <w:pPr>
        <w:ind w:left="0" w:firstLine="402"/>
      </w:pPr>
      <w:rPr>
        <w:rFonts w:hint="eastAsia"/>
      </w:rPr>
    </w:lvl>
    <w:lvl w:ilvl="4">
      <w:start w:val="1"/>
      <w:numFmt w:val="decimalEnclosedCircleChinese"/>
      <w:pStyle w:val="941"/>
      <w:isLgl w:val="false"/>
      <w:suff w:val="nothing"/>
      <w:lvlText w:val="%5"/>
      <w:lvlJc w:val="left"/>
      <w:pPr>
        <w:ind w:left="0" w:firstLine="402"/>
      </w:pPr>
      <w:rPr>
        <w:rFonts w:hint="eastAsia"/>
      </w:rPr>
    </w:lvl>
    <w:lvl w:ilvl="5">
      <w:start w:val="1"/>
      <w:numFmt w:val="decimal"/>
      <w:pStyle w:val="942"/>
      <w:isLgl w:val="false"/>
      <w:suff w:val="nothing"/>
      <w:lvlText w:val="%6）"/>
      <w:lvlJc w:val="left"/>
      <w:pPr>
        <w:ind w:left="0" w:firstLine="402"/>
      </w:pPr>
      <w:rPr>
        <w:rFonts w:hint="eastAsia"/>
      </w:rPr>
    </w:lvl>
    <w:lvl w:ilvl="6">
      <w:start w:val="1"/>
      <w:numFmt w:val="lowerLetter"/>
      <w:pStyle w:val="943"/>
      <w:isLgl w:val="false"/>
      <w:suff w:val="nothing"/>
      <w:lvlText w:val="%7．"/>
      <w:lvlJc w:val="left"/>
      <w:pPr>
        <w:ind w:left="0" w:firstLine="402"/>
      </w:pPr>
      <w:rPr>
        <w:rFonts w:hint="eastAsia"/>
      </w:rPr>
    </w:lvl>
    <w:lvl w:ilvl="7">
      <w:start w:val="1"/>
      <w:numFmt w:val="lowerLetter"/>
      <w:pStyle w:val="944"/>
      <w:isLgl w:val="false"/>
      <w:suff w:val="nothing"/>
      <w:lvlText w:val="%8）"/>
      <w:lvlJc w:val="left"/>
      <w:pPr>
        <w:ind w:left="0" w:firstLine="402"/>
      </w:pPr>
      <w:rPr>
        <w:rFonts w:hint="eastAsia"/>
      </w:rPr>
    </w:lvl>
    <w:lvl w:ilvl="8">
      <w:start w:val="1"/>
      <w:numFmt w:val="lowerRoman"/>
      <w:pStyle w:val="945"/>
      <w:isLgl w:val="false"/>
      <w:suff w:val="nothing"/>
      <w:lvlText w:val="%9 "/>
      <w:lvlJc w:val="left"/>
      <w:pPr>
        <w:ind w:left="0" w:firstLine="402"/>
      </w:pPr>
      <w:rPr>
        <w:rFonts w:hint="eastAsia"/>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decimal"/>
      <w:pStyle w:val="1036"/>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4">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1016"/>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格式%1："/>
      <w:lvlJc w:val="left"/>
      <w:pPr>
        <w:ind w:left="425" w:hanging="425"/>
        <w:tabs>
          <w:tab w:val="left" w:pos="420" w:leader="none"/>
        </w:tabs>
      </w:pPr>
      <w:rPr>
        <w:rFonts w:hint="default"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4"/>
  </w:num>
  <w:num w:numId="3">
    <w:abstractNumId w:val="3"/>
  </w:num>
  <w:num w:numId="4">
    <w:abstractNumId w:val="6"/>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7">
    <w:name w:val="Heading 1 Char"/>
    <w:basedOn w:val="946"/>
    <w:link w:val="937"/>
    <w:uiPriority w:val="9"/>
    <w:rPr>
      <w:rFonts w:ascii="Arial" w:hAnsi="Arial" w:eastAsia="Arial" w:cs="Arial"/>
      <w:sz w:val="40"/>
      <w:szCs w:val="40"/>
    </w:rPr>
  </w:style>
  <w:style w:type="character" w:styleId="778">
    <w:name w:val="Heading 2 Char"/>
    <w:basedOn w:val="946"/>
    <w:link w:val="938"/>
    <w:uiPriority w:val="9"/>
    <w:rPr>
      <w:rFonts w:ascii="Arial" w:hAnsi="Arial" w:eastAsia="Arial" w:cs="Arial"/>
      <w:sz w:val="34"/>
    </w:rPr>
  </w:style>
  <w:style w:type="character" w:styleId="779">
    <w:name w:val="Heading 3 Char"/>
    <w:basedOn w:val="946"/>
    <w:link w:val="939"/>
    <w:uiPriority w:val="9"/>
    <w:rPr>
      <w:rFonts w:ascii="Arial" w:hAnsi="Arial" w:eastAsia="Arial" w:cs="Arial"/>
      <w:sz w:val="30"/>
      <w:szCs w:val="30"/>
    </w:rPr>
  </w:style>
  <w:style w:type="character" w:styleId="780">
    <w:name w:val="Heading 4 Char"/>
    <w:basedOn w:val="946"/>
    <w:link w:val="940"/>
    <w:uiPriority w:val="9"/>
    <w:rPr>
      <w:rFonts w:ascii="Arial" w:hAnsi="Arial" w:eastAsia="Arial" w:cs="Arial"/>
      <w:b/>
      <w:bCs/>
      <w:sz w:val="26"/>
      <w:szCs w:val="26"/>
    </w:rPr>
  </w:style>
  <w:style w:type="character" w:styleId="781">
    <w:name w:val="Heading 5 Char"/>
    <w:basedOn w:val="946"/>
    <w:link w:val="941"/>
    <w:uiPriority w:val="9"/>
    <w:rPr>
      <w:rFonts w:ascii="Arial" w:hAnsi="Arial" w:eastAsia="Arial" w:cs="Arial"/>
      <w:b/>
      <w:bCs/>
      <w:sz w:val="24"/>
      <w:szCs w:val="24"/>
    </w:rPr>
  </w:style>
  <w:style w:type="character" w:styleId="782">
    <w:name w:val="Heading 6 Char"/>
    <w:basedOn w:val="946"/>
    <w:link w:val="942"/>
    <w:uiPriority w:val="9"/>
    <w:rPr>
      <w:rFonts w:ascii="Arial" w:hAnsi="Arial" w:eastAsia="Arial" w:cs="Arial"/>
      <w:b/>
      <w:bCs/>
      <w:sz w:val="22"/>
      <w:szCs w:val="22"/>
    </w:rPr>
  </w:style>
  <w:style w:type="character" w:styleId="783">
    <w:name w:val="Heading 7 Char"/>
    <w:basedOn w:val="946"/>
    <w:link w:val="943"/>
    <w:uiPriority w:val="9"/>
    <w:rPr>
      <w:rFonts w:ascii="Arial" w:hAnsi="Arial" w:eastAsia="Arial" w:cs="Arial"/>
      <w:b/>
      <w:bCs/>
      <w:i/>
      <w:iCs/>
      <w:sz w:val="22"/>
      <w:szCs w:val="22"/>
    </w:rPr>
  </w:style>
  <w:style w:type="character" w:styleId="784">
    <w:name w:val="Heading 8 Char"/>
    <w:basedOn w:val="946"/>
    <w:link w:val="944"/>
    <w:uiPriority w:val="9"/>
    <w:rPr>
      <w:rFonts w:ascii="Arial" w:hAnsi="Arial" w:eastAsia="Arial" w:cs="Arial"/>
      <w:i/>
      <w:iCs/>
      <w:sz w:val="22"/>
      <w:szCs w:val="22"/>
    </w:rPr>
  </w:style>
  <w:style w:type="character" w:styleId="785">
    <w:name w:val="Heading 9 Char"/>
    <w:basedOn w:val="946"/>
    <w:link w:val="945"/>
    <w:uiPriority w:val="9"/>
    <w:rPr>
      <w:rFonts w:ascii="Arial" w:hAnsi="Arial" w:eastAsia="Arial" w:cs="Arial"/>
      <w:i/>
      <w:iCs/>
      <w:sz w:val="21"/>
      <w:szCs w:val="21"/>
    </w:rPr>
  </w:style>
  <w:style w:type="character" w:styleId="786">
    <w:name w:val="Title Char"/>
    <w:basedOn w:val="946"/>
    <w:link w:val="969"/>
    <w:uiPriority w:val="10"/>
    <w:rPr>
      <w:sz w:val="48"/>
      <w:szCs w:val="48"/>
    </w:rPr>
  </w:style>
  <w:style w:type="character" w:styleId="787">
    <w:name w:val="Subtitle Char"/>
    <w:basedOn w:val="946"/>
    <w:link w:val="964"/>
    <w:uiPriority w:val="11"/>
    <w:rPr>
      <w:sz w:val="24"/>
      <w:szCs w:val="24"/>
    </w:rPr>
  </w:style>
  <w:style w:type="paragraph" w:styleId="788">
    <w:name w:val="Quote"/>
    <w:basedOn w:val="936"/>
    <w:next w:val="936"/>
    <w:link w:val="789"/>
    <w:uiPriority w:val="29"/>
    <w:qFormat/>
    <w:pPr>
      <w:ind w:left="720" w:right="720"/>
    </w:pPr>
    <w:rPr>
      <w:i/>
    </w:rPr>
  </w:style>
  <w:style w:type="character" w:styleId="789">
    <w:name w:val="Quote Char"/>
    <w:link w:val="788"/>
    <w:uiPriority w:val="29"/>
    <w:rPr>
      <w:i/>
    </w:rPr>
  </w:style>
  <w:style w:type="paragraph" w:styleId="790">
    <w:name w:val="Intense Quote"/>
    <w:basedOn w:val="936"/>
    <w:next w:val="936"/>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name w:val="Intense Quote Char"/>
    <w:link w:val="790"/>
    <w:uiPriority w:val="30"/>
    <w:rPr>
      <w:i/>
    </w:rPr>
  </w:style>
  <w:style w:type="character" w:styleId="792">
    <w:name w:val="Header Char"/>
    <w:basedOn w:val="946"/>
    <w:link w:val="961"/>
    <w:uiPriority w:val="99"/>
  </w:style>
  <w:style w:type="character" w:styleId="793">
    <w:name w:val="Footer Char"/>
    <w:basedOn w:val="946"/>
    <w:link w:val="959"/>
    <w:uiPriority w:val="99"/>
  </w:style>
  <w:style w:type="paragraph" w:styleId="794">
    <w:name w:val="Caption"/>
    <w:basedOn w:val="936"/>
    <w:next w:val="936"/>
    <w:uiPriority w:val="35"/>
    <w:semiHidden/>
    <w:unhideWhenUsed/>
    <w:qFormat/>
    <w:pPr>
      <w:spacing w:line="276" w:lineRule="auto"/>
    </w:pPr>
    <w:rPr>
      <w:b/>
      <w:bCs/>
      <w:color w:val="4f81bd" w:themeColor="accent1"/>
      <w:sz w:val="18"/>
      <w:szCs w:val="18"/>
    </w:rPr>
  </w:style>
  <w:style w:type="character" w:styleId="795">
    <w:name w:val="Caption Char"/>
    <w:basedOn w:val="794"/>
    <w:link w:val="959"/>
    <w:uiPriority w:val="99"/>
  </w:style>
  <w:style w:type="table" w:styleId="796">
    <w:name w:val="Table Grid Light"/>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7">
    <w:name w:val="Plain Table 1"/>
    <w:basedOn w:val="9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9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9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9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1 Light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4">
    <w:name w:val="Grid Table 1 Light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5">
    <w:name w:val="Grid Table 1 Light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6">
    <w:name w:val="Grid Table 1 Light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7">
    <w:name w:val="Grid Table 1 Light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8">
    <w:name w:val="Grid Table 1 Light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9">
    <w:name w:val="Grid Table 2"/>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2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1">
    <w:name w:val="Grid Table 2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2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2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2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5">
    <w:name w:val="Grid Table 2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6">
    <w:name w:val="Grid Table 3"/>
    <w:basedOn w:val="9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1"/>
    <w:basedOn w:val="9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2"/>
    <w:basedOn w:val="9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3"/>
    <w:basedOn w:val="9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4"/>
    <w:basedOn w:val="9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5"/>
    <w:basedOn w:val="9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6"/>
    <w:basedOn w:val="9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basedOn w:val="9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4 - Accent 1"/>
    <w:basedOn w:val="9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5">
    <w:name w:val="Grid Table 4 - Accent 2"/>
    <w:basedOn w:val="9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6">
    <w:name w:val="Grid Table 4 - Accent 3"/>
    <w:basedOn w:val="9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7">
    <w:name w:val="Grid Table 4 - Accent 4"/>
    <w:basedOn w:val="9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8">
    <w:name w:val="Grid Table 4 - Accent 5"/>
    <w:basedOn w:val="9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9">
    <w:name w:val="Grid Table 4 - Accent 6"/>
    <w:basedOn w:val="9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0">
    <w:name w:val="Grid Table 5 Dark"/>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5 Dark- Accent 1"/>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2">
    <w:name w:val="Grid Table 5 Dark - Accent 2"/>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3">
    <w:name w:val="Grid Table 5 Dark - Accent 3"/>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4">
    <w:name w:val="Grid Table 5 Dark- Accent 4"/>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5">
    <w:name w:val="Grid Table 5 Dark - Accent 5"/>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6">
    <w:name w:val="Grid Table 5 Dark - Accent 6"/>
    <w:basedOn w:val="9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7">
    <w:name w:val="Grid Table 6 Colorful"/>
    <w:basedOn w:val="9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6 Colorful - Accent 1"/>
    <w:basedOn w:val="9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9">
    <w:name w:val="Grid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0">
    <w:name w:val="Grid Table 6 Colorful - Accent 3"/>
    <w:basedOn w:val="9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1">
    <w:name w:val="Grid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2">
    <w:name w:val="Grid Table 6 Colorful - Accent 5"/>
    <w:basedOn w:val="9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6 Colorful - Accent 6"/>
    <w:basedOn w:val="9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7 Colorful"/>
    <w:basedOn w:val="9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Grid Table 7 Colorful - Accent 1"/>
    <w:basedOn w:val="9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6">
    <w:name w:val="Grid Table 7 Colorful - Accent 2"/>
    <w:basedOn w:val="9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7 Colorful - Accent 3"/>
    <w:basedOn w:val="9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7 Colorful - Accent 4"/>
    <w:basedOn w:val="9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7 Colorful - Accent 5"/>
    <w:basedOn w:val="9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0">
    <w:name w:val="Grid Table 7 Colorful - Accent 6"/>
    <w:basedOn w:val="9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1">
    <w:name w:val="List Table 1 Light"/>
    <w:basedOn w:val="9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1 Light - Accent 1"/>
    <w:basedOn w:val="9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3">
    <w:name w:val="List Table 1 Light - Accent 2"/>
    <w:basedOn w:val="9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4">
    <w:name w:val="List Table 1 Light - Accent 3"/>
    <w:basedOn w:val="9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5">
    <w:name w:val="List Table 1 Light - Accent 4"/>
    <w:basedOn w:val="9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6">
    <w:name w:val="List Table 1 Light - Accent 5"/>
    <w:basedOn w:val="9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7">
    <w:name w:val="List Table 1 Light - Accent 6"/>
    <w:basedOn w:val="9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8">
    <w:name w:val="List Table 2"/>
    <w:basedOn w:val="9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2 - Accent 1"/>
    <w:basedOn w:val="9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0">
    <w:name w:val="List Table 2 - Accent 2"/>
    <w:basedOn w:val="9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1">
    <w:name w:val="List Table 2 - Accent 3"/>
    <w:basedOn w:val="9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2">
    <w:name w:val="List Table 2 - Accent 4"/>
    <w:basedOn w:val="9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3">
    <w:name w:val="List Table 2 - Accent 5"/>
    <w:basedOn w:val="9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4">
    <w:name w:val="List Table 2 - Accent 6"/>
    <w:basedOn w:val="9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5">
    <w:name w:val="List Table 3"/>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3 - Accent 1"/>
    <w:basedOn w:val="9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3 - Accent 2"/>
    <w:basedOn w:val="9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8">
    <w:name w:val="List Table 3 - Accent 3"/>
    <w:basedOn w:val="9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9">
    <w:name w:val="List Table 3 - Accent 4"/>
    <w:basedOn w:val="9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0">
    <w:name w:val="List Table 3 - Accent 5"/>
    <w:basedOn w:val="9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1">
    <w:name w:val="List Table 3 - Accent 6"/>
    <w:basedOn w:val="9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2">
    <w:name w:val="List Table 4"/>
    <w:basedOn w:val="9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 Accent 1"/>
    <w:basedOn w:val="9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4 - Accent 2"/>
    <w:basedOn w:val="9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5">
    <w:name w:val="List Table 4 - Accent 3"/>
    <w:basedOn w:val="9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6">
    <w:name w:val="List Table 4 - Accent 4"/>
    <w:basedOn w:val="9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7">
    <w:name w:val="List Table 4 - Accent 5"/>
    <w:basedOn w:val="9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8">
    <w:name w:val="List Table 4 - Accent 6"/>
    <w:basedOn w:val="9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9">
    <w:name w:val="List Table 5 Dark"/>
    <w:basedOn w:val="9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1"/>
    <w:basedOn w:val="9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2"/>
    <w:basedOn w:val="9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3"/>
    <w:basedOn w:val="9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4"/>
    <w:basedOn w:val="9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5"/>
    <w:basedOn w:val="9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6"/>
    <w:basedOn w:val="9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6 Colorful"/>
    <w:basedOn w:val="9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7">
    <w:name w:val="List Table 6 Colorful - Accent 1"/>
    <w:basedOn w:val="9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8">
    <w:name w:val="List Table 6 Colorful - Accent 2"/>
    <w:basedOn w:val="9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9">
    <w:name w:val="List Table 6 Colorful - Accent 3"/>
    <w:basedOn w:val="9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0">
    <w:name w:val="List Table 6 Colorful - Accent 4"/>
    <w:basedOn w:val="9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1">
    <w:name w:val="List Table 6 Colorful - Accent 5"/>
    <w:basedOn w:val="9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2">
    <w:name w:val="List Table 6 Colorful - Accent 6"/>
    <w:basedOn w:val="9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3">
    <w:name w:val="List Table 7 Colorful"/>
    <w:basedOn w:val="9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4">
    <w:name w:val="List Table 7 Colorful - Accent 1"/>
    <w:basedOn w:val="9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5">
    <w:name w:val="List Table 7 Colorful - Accent 2"/>
    <w:basedOn w:val="9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6">
    <w:name w:val="List Table 7 Colorful - Accent 3"/>
    <w:basedOn w:val="9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7">
    <w:name w:val="List Table 7 Colorful - Accent 4"/>
    <w:basedOn w:val="9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8">
    <w:name w:val="List Table 7 Colorful - Accent 5"/>
    <w:basedOn w:val="9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9">
    <w:name w:val="List Table 7 Colorful - Accent 6"/>
    <w:basedOn w:val="9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0">
    <w:name w:val="Lined - Accent"/>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Lined - Accent 1"/>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Lined - Accent 2"/>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Lined - Accent 3"/>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Lined - Accent 4"/>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Lined - Accent 5"/>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Lined - Accent 6"/>
    <w:basedOn w:val="9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amp; Lined - Accent"/>
    <w:basedOn w:val="9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Bordered &amp; Lined - Accent 1"/>
    <w:basedOn w:val="9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Bordered &amp; Lined - Accent 2"/>
    <w:basedOn w:val="9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Bordered &amp; Lined - Accent 3"/>
    <w:basedOn w:val="9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Bordered &amp; Lined - Accent 4"/>
    <w:basedOn w:val="9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Bordered &amp; Lined - Accent 5"/>
    <w:basedOn w:val="9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Bordered &amp; Lined - Accent 6"/>
    <w:basedOn w:val="9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w:basedOn w:val="9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5">
    <w:name w:val="Bordered - Accent 1"/>
    <w:basedOn w:val="9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6">
    <w:name w:val="Bordered - Accent 2"/>
    <w:basedOn w:val="9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7">
    <w:name w:val="Bordered - Accent 3"/>
    <w:basedOn w:val="9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8">
    <w:name w:val="Bordered - Accent 4"/>
    <w:basedOn w:val="9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9">
    <w:name w:val="Bordered - Accent 5"/>
    <w:basedOn w:val="9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0">
    <w:name w:val="Bordered - Accent 6"/>
    <w:basedOn w:val="9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21">
    <w:name w:val="footnote text"/>
    <w:basedOn w:val="936"/>
    <w:link w:val="922"/>
    <w:uiPriority w:val="99"/>
    <w:semiHidden/>
    <w:unhideWhenUsed/>
    <w:pPr>
      <w:spacing w:after="40" w:line="240" w:lineRule="auto"/>
    </w:pPr>
    <w:rPr>
      <w:sz w:val="18"/>
    </w:rPr>
  </w:style>
  <w:style w:type="character" w:styleId="922">
    <w:name w:val="Footnote Text Char"/>
    <w:link w:val="921"/>
    <w:uiPriority w:val="99"/>
    <w:rPr>
      <w:sz w:val="18"/>
    </w:rPr>
  </w:style>
  <w:style w:type="character" w:styleId="923">
    <w:name w:val="footnote reference"/>
    <w:basedOn w:val="946"/>
    <w:uiPriority w:val="99"/>
    <w:unhideWhenUsed/>
    <w:rPr>
      <w:vertAlign w:val="superscript"/>
    </w:rPr>
  </w:style>
  <w:style w:type="paragraph" w:styleId="924">
    <w:name w:val="endnote text"/>
    <w:basedOn w:val="936"/>
    <w:link w:val="925"/>
    <w:uiPriority w:val="99"/>
    <w:semiHidden/>
    <w:unhideWhenUsed/>
    <w:pPr>
      <w:spacing w:after="0" w:line="240" w:lineRule="auto"/>
    </w:pPr>
    <w:rPr>
      <w:sz w:val="20"/>
    </w:rPr>
  </w:style>
  <w:style w:type="character" w:styleId="925">
    <w:name w:val="Endnote Text Char"/>
    <w:link w:val="924"/>
    <w:uiPriority w:val="99"/>
    <w:rPr>
      <w:sz w:val="20"/>
    </w:rPr>
  </w:style>
  <w:style w:type="character" w:styleId="926">
    <w:name w:val="endnote reference"/>
    <w:basedOn w:val="946"/>
    <w:uiPriority w:val="99"/>
    <w:semiHidden/>
    <w:unhideWhenUsed/>
    <w:rPr>
      <w:vertAlign w:val="superscript"/>
    </w:rPr>
  </w:style>
  <w:style w:type="paragraph" w:styleId="927">
    <w:name w:val="toc 2"/>
    <w:basedOn w:val="936"/>
    <w:next w:val="936"/>
    <w:uiPriority w:val="39"/>
    <w:unhideWhenUsed/>
    <w:pPr>
      <w:ind w:left="283" w:right="0" w:firstLine="0"/>
      <w:spacing w:after="57"/>
    </w:pPr>
  </w:style>
  <w:style w:type="paragraph" w:styleId="928">
    <w:name w:val="toc 3"/>
    <w:basedOn w:val="936"/>
    <w:next w:val="936"/>
    <w:uiPriority w:val="39"/>
    <w:unhideWhenUsed/>
    <w:pPr>
      <w:ind w:left="567" w:right="0" w:firstLine="0"/>
      <w:spacing w:after="57"/>
    </w:pPr>
  </w:style>
  <w:style w:type="paragraph" w:styleId="929">
    <w:name w:val="toc 5"/>
    <w:basedOn w:val="936"/>
    <w:next w:val="936"/>
    <w:uiPriority w:val="39"/>
    <w:unhideWhenUsed/>
    <w:pPr>
      <w:ind w:left="1134" w:right="0" w:firstLine="0"/>
      <w:spacing w:after="57"/>
    </w:pPr>
  </w:style>
  <w:style w:type="paragraph" w:styleId="930">
    <w:name w:val="toc 6"/>
    <w:basedOn w:val="936"/>
    <w:next w:val="936"/>
    <w:uiPriority w:val="39"/>
    <w:unhideWhenUsed/>
    <w:pPr>
      <w:ind w:left="1417" w:right="0" w:firstLine="0"/>
      <w:spacing w:after="57"/>
    </w:pPr>
  </w:style>
  <w:style w:type="paragraph" w:styleId="931">
    <w:name w:val="toc 7"/>
    <w:basedOn w:val="936"/>
    <w:next w:val="936"/>
    <w:uiPriority w:val="39"/>
    <w:unhideWhenUsed/>
    <w:pPr>
      <w:ind w:left="1701" w:right="0" w:firstLine="0"/>
      <w:spacing w:after="57"/>
    </w:pPr>
  </w:style>
  <w:style w:type="paragraph" w:styleId="932">
    <w:name w:val="toc 8"/>
    <w:basedOn w:val="936"/>
    <w:next w:val="936"/>
    <w:uiPriority w:val="39"/>
    <w:unhideWhenUsed/>
    <w:pPr>
      <w:ind w:left="1984" w:right="0" w:firstLine="0"/>
      <w:spacing w:after="57"/>
    </w:pPr>
  </w:style>
  <w:style w:type="paragraph" w:styleId="933">
    <w:name w:val="toc 9"/>
    <w:basedOn w:val="936"/>
    <w:next w:val="936"/>
    <w:uiPriority w:val="39"/>
    <w:unhideWhenUsed/>
    <w:pPr>
      <w:ind w:left="2268" w:right="0" w:firstLine="0"/>
      <w:spacing w:after="57"/>
    </w:pPr>
  </w:style>
  <w:style w:type="paragraph" w:styleId="934">
    <w:name w:val="TOC Heading"/>
    <w:uiPriority w:val="39"/>
    <w:unhideWhenUsed/>
  </w:style>
  <w:style w:type="paragraph" w:styleId="935">
    <w:name w:val="table of figures"/>
    <w:basedOn w:val="936"/>
    <w:next w:val="936"/>
    <w:uiPriority w:val="99"/>
    <w:unhideWhenUsed/>
    <w:pPr>
      <w:spacing w:after="0" w:afterAutospacing="0"/>
    </w:pPr>
  </w:style>
  <w:style w:type="paragraph" w:styleId="936" w:default="1">
    <w:name w:val="Normal"/>
    <w:uiPriority w:val="0"/>
    <w:qFormat/>
    <w:rPr>
      <w:rFonts w:ascii="Times New Roman" w:hAnsi="Times New Roman" w:eastAsia="宋体" w:cs="Times New Roman"/>
      <w:sz w:val="24"/>
      <w:szCs w:val="24"/>
      <w:lang w:val="en-US" w:eastAsia="zh-CN" w:bidi="ar-SA"/>
    </w:rPr>
  </w:style>
  <w:style w:type="paragraph" w:styleId="937">
    <w:name w:val="Heading 1"/>
    <w:basedOn w:val="936"/>
    <w:next w:val="936"/>
    <w:link w:val="981"/>
    <w:uiPriority w:val="0"/>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938">
    <w:name w:val="Heading 2"/>
    <w:basedOn w:val="936"/>
    <w:next w:val="936"/>
    <w:link w:val="982"/>
    <w:uiPriority w:val="9"/>
    <w:qFormat/>
    <w:pPr>
      <w:numPr>
        <w:ilvl w:val="1"/>
        <w:numId w:val="1"/>
      </w:numPr>
      <w:keepLines/>
      <w:keepNext/>
      <w:spacing w:before="260" w:after="260" w:line="416" w:lineRule="auto"/>
      <w:outlineLvl w:val="1"/>
    </w:pPr>
    <w:rPr>
      <w:rFonts w:ascii="Cambria" w:hAnsi="Cambria" w:eastAsia="宋体" w:cs="Times New Roman"/>
      <w:b/>
      <w:bCs/>
      <w:sz w:val="32"/>
      <w:szCs w:val="32"/>
    </w:rPr>
  </w:style>
  <w:style w:type="paragraph" w:styleId="939">
    <w:name w:val="Heading 3"/>
    <w:basedOn w:val="936"/>
    <w:next w:val="936"/>
    <w:uiPriority w:val="0"/>
    <w:qFormat/>
    <w:pPr>
      <w:numPr>
        <w:ilvl w:val="2"/>
        <w:numId w:val="1"/>
      </w:numPr>
      <w:ind w:firstLine="400"/>
      <w:keepLines/>
      <w:keepNext/>
      <w:spacing w:before="260" w:after="260" w:line="416" w:lineRule="auto"/>
      <w:outlineLvl w:val="2"/>
    </w:pPr>
    <w:rPr>
      <w:b/>
      <w:bCs/>
      <w:sz w:val="32"/>
      <w:szCs w:val="32"/>
    </w:rPr>
  </w:style>
  <w:style w:type="paragraph" w:styleId="940">
    <w:name w:val="Heading 4"/>
    <w:basedOn w:val="936"/>
    <w:next w:val="948"/>
    <w:uiPriority w:val="9"/>
    <w:qFormat/>
    <w:pPr>
      <w:numPr>
        <w:ilvl w:val="3"/>
        <w:numId w:val="1"/>
      </w:numPr>
      <w:ind w:firstLine="402"/>
      <w:keepLines/>
      <w:keepNext/>
      <w:spacing w:before="280" w:after="290" w:line="376" w:lineRule="auto"/>
      <w:outlineLvl w:val="3"/>
    </w:pPr>
    <w:rPr>
      <w:rFonts w:ascii="Cambria" w:hAnsi="Cambria" w:eastAsia="宋体" w:cs="Times New Roman"/>
      <w:b/>
      <w:bCs/>
      <w:sz w:val="28"/>
      <w:szCs w:val="28"/>
    </w:rPr>
  </w:style>
  <w:style w:type="paragraph" w:styleId="941">
    <w:name w:val="Heading 5"/>
    <w:basedOn w:val="936"/>
    <w:next w:val="936"/>
    <w:uiPriority w:val="0"/>
    <w:qFormat/>
    <w:pPr>
      <w:numPr>
        <w:ilvl w:val="4"/>
        <w:numId w:val="1"/>
      </w:numPr>
      <w:ind w:firstLine="402"/>
      <w:keepLines/>
      <w:keepNext/>
      <w:spacing w:before="280" w:after="290" w:line="376" w:lineRule="auto"/>
      <w:outlineLvl w:val="4"/>
    </w:pPr>
    <w:rPr>
      <w:b/>
      <w:bCs/>
      <w:sz w:val="28"/>
      <w:szCs w:val="28"/>
    </w:rPr>
  </w:style>
  <w:style w:type="paragraph" w:styleId="942">
    <w:name w:val="Heading 6"/>
    <w:basedOn w:val="936"/>
    <w:next w:val="936"/>
    <w:uiPriority w:val="0"/>
    <w:qFormat/>
    <w:pPr>
      <w:numPr>
        <w:ilvl w:val="5"/>
        <w:numId w:val="1"/>
      </w:numPr>
      <w:ind w:firstLine="402"/>
      <w:keepLines/>
      <w:keepNext/>
      <w:spacing w:before="240" w:after="64" w:line="320" w:lineRule="auto"/>
      <w:outlineLvl w:val="5"/>
    </w:pPr>
    <w:rPr>
      <w:rFonts w:ascii="Arial" w:hAnsi="Arial" w:eastAsia="黑体"/>
      <w:b/>
      <w:bCs/>
    </w:rPr>
  </w:style>
  <w:style w:type="paragraph" w:styleId="943">
    <w:name w:val="Heading 7"/>
    <w:basedOn w:val="936"/>
    <w:next w:val="936"/>
    <w:uiPriority w:val="0"/>
    <w:qFormat/>
    <w:pPr>
      <w:numPr>
        <w:ilvl w:val="6"/>
        <w:numId w:val="1"/>
      </w:numPr>
      <w:ind w:left="0" w:firstLine="402"/>
      <w:jc w:val="center"/>
      <w:keepLines/>
      <w:keepNext/>
      <w:spacing w:before="30" w:after="10"/>
      <w:outlineLvl w:val="6"/>
    </w:pPr>
    <w:rPr>
      <w:rFonts w:eastAsia="黑体" w:cs="Times New Roman"/>
      <w:szCs w:val="24"/>
      <w:lang w:val="zh-CN" w:eastAsia="zh-CN"/>
    </w:rPr>
  </w:style>
  <w:style w:type="paragraph" w:styleId="944">
    <w:name w:val="Heading 8"/>
    <w:basedOn w:val="943"/>
    <w:next w:val="936"/>
    <w:uiPriority w:val="0"/>
    <w:qFormat/>
    <w:pPr>
      <w:numPr>
        <w:ilvl w:val="7"/>
      </w:numPr>
      <w:keepLines w:val="0"/>
      <w:keepNext w:val="0"/>
      <w:spacing w:before="10" w:after="30"/>
      <w:outlineLvl w:val="7"/>
    </w:pPr>
    <w:rPr>
      <w:sz w:val="24"/>
    </w:rPr>
  </w:style>
  <w:style w:type="paragraph" w:styleId="945">
    <w:name w:val="Heading 9"/>
    <w:basedOn w:val="936"/>
    <w:next w:val="936"/>
    <w:uiPriority w:val="0"/>
    <w:qFormat/>
    <w:pPr>
      <w:numPr>
        <w:ilvl w:val="8"/>
        <w:numId w:val="1"/>
      </w:numPr>
      <w:ind w:firstLine="402"/>
      <w:keepLines/>
      <w:keepNext/>
      <w:spacing w:before="240" w:beforeAutospacing="0" w:after="64" w:afterAutospacing="0" w:line="317" w:lineRule="auto"/>
      <w:outlineLvl w:val="8"/>
    </w:pPr>
    <w:rPr>
      <w:rFonts w:ascii="Arial" w:hAnsi="Arial" w:eastAsia="黑体"/>
      <w:sz w:val="21"/>
    </w:rPr>
  </w:style>
  <w:style w:type="character" w:styleId="946" w:default="1">
    <w:name w:val="Default Paragraph Font"/>
    <w:uiPriority w:val="0"/>
    <w:qFormat/>
  </w:style>
  <w:style w:type="table" w:styleId="947" w:default="1">
    <w:name w:val="Normal Table"/>
    <w:uiPriority w:val="0"/>
    <w:semiHidden/>
    <w:qFormat/>
    <w:tblPr>
      <w:tblCellMar>
        <w:left w:w="108" w:type="dxa"/>
        <w:top w:w="0" w:type="dxa"/>
        <w:right w:w="108" w:type="dxa"/>
        <w:bottom w:w="0" w:type="dxa"/>
      </w:tblCellMar>
    </w:tblPr>
  </w:style>
  <w:style w:type="paragraph" w:styleId="948">
    <w:name w:val="Normal Indent"/>
    <w:basedOn w:val="936"/>
    <w:uiPriority w:val="0"/>
    <w:qFormat/>
    <w:pPr>
      <w:ind w:firstLine="420"/>
      <w:widowControl w:val="off"/>
    </w:pPr>
    <w:rPr>
      <w:rFonts w:eastAsia="楷体_GB2312"/>
      <w:szCs w:val="20"/>
    </w:rPr>
  </w:style>
  <w:style w:type="paragraph" w:styleId="949">
    <w:name w:val="Document Map"/>
    <w:basedOn w:val="936"/>
    <w:next w:val="936"/>
    <w:link w:val="983"/>
    <w:uiPriority w:val="0"/>
    <w:qFormat/>
    <w:pPr>
      <w:shd w:val="clear" w:color="auto" w:fill="000080"/>
    </w:pPr>
  </w:style>
  <w:style w:type="paragraph" w:styleId="950">
    <w:name w:val="annotation text"/>
    <w:basedOn w:val="936"/>
    <w:uiPriority w:val="0"/>
    <w:qFormat/>
  </w:style>
  <w:style w:type="paragraph" w:styleId="951">
    <w:name w:val="Body Text"/>
    <w:basedOn w:val="936"/>
    <w:uiPriority w:val="0"/>
    <w:qFormat/>
    <w:pPr>
      <w:spacing w:after="120"/>
    </w:pPr>
  </w:style>
  <w:style w:type="paragraph" w:styleId="952">
    <w:name w:val="Body Text Indent"/>
    <w:basedOn w:val="936"/>
    <w:next w:val="953"/>
    <w:uiPriority w:val="0"/>
    <w:qFormat/>
    <w:pPr>
      <w:ind w:right="-159" w:firstLine="246"/>
      <w:jc w:val="both"/>
      <w:spacing w:line="240" w:lineRule="atLeast"/>
      <w:widowControl w:val="off"/>
    </w:pPr>
    <w:rPr>
      <w:spacing w:val="20"/>
      <w:sz w:val="21"/>
    </w:rPr>
  </w:style>
  <w:style w:type="paragraph" w:styleId="953">
    <w:name w:val="Body Text First Indent 2"/>
    <w:basedOn w:val="952"/>
    <w:uiPriority w:val="99"/>
    <w:qFormat/>
    <w:pPr>
      <w:ind w:firstLine="420"/>
    </w:pPr>
  </w:style>
  <w:style w:type="paragraph" w:styleId="954">
    <w:name w:val="Block Text"/>
    <w:basedOn w:val="936"/>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55">
    <w:name w:val="Plain Text"/>
    <w:basedOn w:val="936"/>
    <w:link w:val="984"/>
    <w:uiPriority w:val="0"/>
    <w:qFormat/>
    <w:rPr>
      <w:rFonts w:ascii="宋体" w:hAnsi="Courier New" w:eastAsia="楷体_GB2312"/>
      <w:sz w:val="26"/>
      <w:szCs w:val="20"/>
    </w:rPr>
  </w:style>
  <w:style w:type="paragraph" w:styleId="956">
    <w:name w:val="Date"/>
    <w:basedOn w:val="936"/>
    <w:next w:val="936"/>
    <w:link w:val="985"/>
    <w:uiPriority w:val="0"/>
    <w:qFormat/>
    <w:pPr>
      <w:ind w:left="100"/>
      <w:jc w:val="both"/>
      <w:widowControl w:val="off"/>
    </w:pPr>
    <w:rPr>
      <w:b/>
      <w:bCs/>
      <w:spacing w:val="20"/>
      <w:sz w:val="21"/>
    </w:rPr>
  </w:style>
  <w:style w:type="paragraph" w:styleId="957">
    <w:name w:val="Body Text Indent 2"/>
    <w:basedOn w:val="936"/>
    <w:uiPriority w:val="0"/>
    <w:qFormat/>
    <w:pPr>
      <w:ind w:firstLine="460"/>
      <w:spacing w:line="360" w:lineRule="auto"/>
    </w:pPr>
    <w:rPr>
      <w:spacing w:val="20"/>
      <w:sz w:val="21"/>
    </w:rPr>
  </w:style>
  <w:style w:type="paragraph" w:styleId="958">
    <w:name w:val="Balloon Text"/>
    <w:basedOn w:val="936"/>
    <w:uiPriority w:val="0"/>
    <w:qFormat/>
    <w:rPr>
      <w:sz w:val="18"/>
      <w:szCs w:val="18"/>
    </w:rPr>
  </w:style>
  <w:style w:type="paragraph" w:styleId="959">
    <w:name w:val="Footer"/>
    <w:basedOn w:val="936"/>
    <w:link w:val="986"/>
    <w:uiPriority w:val="99"/>
    <w:qFormat/>
    <w:pPr>
      <w:widowControl w:val="off"/>
      <w:tabs>
        <w:tab w:val="center" w:pos="4153" w:leader="none"/>
        <w:tab w:val="right" w:pos="8306" w:leader="none"/>
      </w:tabs>
    </w:pPr>
    <w:rPr>
      <w:sz w:val="18"/>
      <w:szCs w:val="18"/>
    </w:rPr>
  </w:style>
  <w:style w:type="paragraph" w:styleId="960">
    <w:name w:val="envelope return"/>
    <w:basedOn w:val="936"/>
    <w:uiPriority w:val="99"/>
    <w:unhideWhenUsed/>
    <w:qFormat/>
    <w:rPr>
      <w:rFonts w:ascii="Arial" w:hAnsi="Arial"/>
    </w:rPr>
  </w:style>
  <w:style w:type="paragraph" w:styleId="961">
    <w:name w:val="Header"/>
    <w:basedOn w:val="936"/>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962">
    <w:name w:val="toc 1"/>
    <w:basedOn w:val="936"/>
    <w:next w:val="936"/>
    <w:uiPriority w:val="0"/>
    <w:qFormat/>
    <w:pPr>
      <w:widowControl w:val="off"/>
    </w:pPr>
    <w:rPr>
      <w:rFonts w:eastAsia="楷体_GB2312"/>
      <w:szCs w:val="20"/>
    </w:rPr>
  </w:style>
  <w:style w:type="paragraph" w:styleId="963">
    <w:name w:val="toc 4"/>
    <w:basedOn w:val="936"/>
    <w:next w:val="936"/>
    <w:uiPriority w:val="39"/>
    <w:unhideWhenUsed/>
    <w:qFormat/>
    <w:pPr>
      <w:ind w:left="1260"/>
    </w:pPr>
  </w:style>
  <w:style w:type="paragraph" w:styleId="964">
    <w:name w:val="Subtitle"/>
    <w:basedOn w:val="936"/>
    <w:next w:val="936"/>
    <w:uiPriority w:val="0"/>
    <w:qFormat/>
    <w:pPr>
      <w:jc w:val="center"/>
      <w:spacing w:before="240" w:after="60" w:line="312" w:lineRule="auto"/>
      <w:outlineLvl w:val="1"/>
    </w:pPr>
    <w:rPr>
      <w:rFonts w:ascii="宋体" w:hAnsi="Courier New" w:eastAsia="楷体_GB2312"/>
      <w:sz w:val="26"/>
      <w:szCs w:val="20"/>
    </w:rPr>
  </w:style>
  <w:style w:type="paragraph" w:styleId="965">
    <w:name w:val="Body Text Indent 3"/>
    <w:basedOn w:val="936"/>
    <w:link w:val="987"/>
    <w:uiPriority w:val="0"/>
    <w:qFormat/>
    <w:pPr>
      <w:ind w:firstLine="480"/>
      <w:spacing w:line="300" w:lineRule="auto"/>
      <w:widowControl w:val="off"/>
    </w:pPr>
  </w:style>
  <w:style w:type="paragraph" w:styleId="966">
    <w:name w:val="Body Text 2"/>
    <w:basedOn w:val="936"/>
    <w:uiPriority w:val="0"/>
    <w:qFormat/>
    <w:pPr>
      <w:spacing w:after="120" w:line="480" w:lineRule="auto"/>
    </w:pPr>
  </w:style>
  <w:style w:type="paragraph" w:styleId="967">
    <w:name w:val="HTML Preformatted"/>
    <w:basedOn w:val="936"/>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rPr>
  </w:style>
  <w:style w:type="paragraph" w:styleId="968">
    <w:name w:val="Normal (Web)"/>
    <w:basedOn w:val="936"/>
    <w:uiPriority w:val="0"/>
    <w:qFormat/>
    <w:pPr>
      <w:spacing w:before="100" w:beforeAutospacing="1" w:after="100" w:afterAutospacing="1"/>
    </w:pPr>
    <w:rPr>
      <w:rFonts w:ascii="宋体" w:hAnsi="宋体" w:cs="宋体"/>
    </w:rPr>
  </w:style>
  <w:style w:type="paragraph" w:styleId="969">
    <w:name w:val="Title"/>
    <w:basedOn w:val="936"/>
    <w:next w:val="936"/>
    <w:link w:val="988"/>
    <w:uiPriority w:val="0"/>
    <w:qFormat/>
    <w:pPr>
      <w:jc w:val="center"/>
      <w:spacing w:before="240" w:after="60"/>
      <w:outlineLvl w:val="0"/>
    </w:pPr>
    <w:rPr>
      <w:rFonts w:ascii="Cambria" w:hAnsi="Cambria"/>
      <w:b/>
      <w:bCs/>
      <w:sz w:val="32"/>
      <w:szCs w:val="32"/>
    </w:rPr>
  </w:style>
  <w:style w:type="paragraph" w:styleId="970">
    <w:name w:val="annotation subject"/>
    <w:basedOn w:val="950"/>
    <w:next w:val="950"/>
    <w:uiPriority w:val="0"/>
    <w:qFormat/>
    <w:rPr>
      <w:b/>
      <w:bCs/>
    </w:rPr>
  </w:style>
  <w:style w:type="paragraph" w:styleId="971">
    <w:name w:val="Body Text First Indent"/>
    <w:basedOn w:val="951"/>
    <w:uiPriority w:val="0"/>
    <w:qFormat/>
    <w:pPr>
      <w:ind w:firstLine="420"/>
      <w:tabs>
        <w:tab w:val="left" w:pos="5250" w:leader="none"/>
      </w:tabs>
    </w:pPr>
    <w:rPr>
      <w:sz w:val="24"/>
    </w:rPr>
  </w:style>
  <w:style w:type="table" w:styleId="972">
    <w:name w:val="Table Grid"/>
    <w:basedOn w:val="9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73">
    <w:name w:val="Strong"/>
    <w:uiPriority w:val="0"/>
    <w:qFormat/>
    <w:rPr>
      <w:b/>
      <w:bCs/>
    </w:rPr>
  </w:style>
  <w:style w:type="character" w:styleId="974">
    <w:name w:val="page number"/>
    <w:uiPriority w:val="0"/>
    <w:qFormat/>
  </w:style>
  <w:style w:type="character" w:styleId="975">
    <w:name w:val="FollowedHyperlink"/>
    <w:uiPriority w:val="0"/>
    <w:qFormat/>
    <w:rPr>
      <w:color w:val="333333"/>
      <w:u w:val="none"/>
    </w:rPr>
  </w:style>
  <w:style w:type="character" w:styleId="976">
    <w:name w:val="HTML Typewriter"/>
    <w:uiPriority w:val="0"/>
    <w:qFormat/>
    <w:rPr>
      <w:rFonts w:ascii="黑体" w:hAnsi="Courier New" w:eastAsia="黑体" w:cs="Courier New"/>
      <w:sz w:val="14"/>
      <w:szCs w:val="14"/>
      <w:lang w:val="en-US" w:eastAsia="zh-CN" w:bidi="ar-SA"/>
    </w:rPr>
  </w:style>
  <w:style w:type="character" w:styleId="977">
    <w:name w:val="Hyperlink"/>
    <w:uiPriority w:val="0"/>
    <w:qFormat/>
    <w:rPr>
      <w:color w:val="333333"/>
      <w:u w:val="none"/>
    </w:rPr>
  </w:style>
  <w:style w:type="character" w:styleId="978">
    <w:name w:val="annotation reference"/>
    <w:uiPriority w:val="0"/>
    <w:qFormat/>
    <w:rPr>
      <w:sz w:val="21"/>
      <w:szCs w:val="21"/>
    </w:rPr>
  </w:style>
  <w:style w:type="paragraph" w:styleId="979" w:customStyle="1">
    <w:name w:val="首行缩进"/>
    <w:basedOn w:val="936"/>
    <w:uiPriority w:val="0"/>
    <w:qFormat/>
    <w:pPr>
      <w:ind w:firstLine="480"/>
    </w:pPr>
    <w:rPr>
      <w:rFonts w:ascii="Times New Roman" w:hAnsi="Times New Roman" w:eastAsia="楷体_GB2312"/>
      <w:sz w:val="26"/>
      <w:szCs w:val="20"/>
      <w:lang w:val="zh-CN"/>
    </w:rPr>
  </w:style>
  <w:style w:type="paragraph" w:styleId="980" w:customStyle="1">
    <w:name w:val="正文1"/>
    <w:basedOn w:val="936"/>
    <w:next w:val="936"/>
    <w:uiPriority w:val="0"/>
    <w:qFormat/>
    <w:pPr>
      <w:ind w:firstLine="540"/>
    </w:pPr>
    <w:rPr>
      <w:rFonts w:ascii="Times New Roman" w:hAnsi="Times New Roman"/>
      <w:szCs w:val="20"/>
    </w:rPr>
  </w:style>
  <w:style w:type="character" w:styleId="981" w:customStyle="1">
    <w:name w:val="标题 1 Char"/>
    <w:link w:val="937"/>
    <w:uiPriority w:val="0"/>
    <w:qFormat/>
    <w:rPr>
      <w:rFonts w:eastAsia="楷体_GB2312"/>
      <w:b/>
      <w:sz w:val="44"/>
      <w:szCs w:val="20"/>
    </w:rPr>
  </w:style>
  <w:style w:type="character" w:styleId="982" w:customStyle="1">
    <w:name w:val="标题 2 字符"/>
    <w:basedOn w:val="946"/>
    <w:link w:val="938"/>
    <w:uiPriority w:val="9"/>
    <w:qFormat/>
    <w:rPr>
      <w:rFonts w:ascii="Cambria" w:hAnsi="Cambria" w:eastAsia="宋体" w:cs="Times New Roman"/>
      <w:b/>
      <w:bCs/>
      <w:sz w:val="32"/>
      <w:szCs w:val="32"/>
    </w:rPr>
  </w:style>
  <w:style w:type="character" w:styleId="983" w:customStyle="1">
    <w:name w:val="文档结构图 Char"/>
    <w:link w:val="949"/>
    <w:uiPriority w:val="0"/>
    <w:qFormat/>
    <w:rPr>
      <w:sz w:val="24"/>
      <w:szCs w:val="24"/>
      <w:shd w:val="clear" w:color="auto" w:fill="000080"/>
    </w:rPr>
  </w:style>
  <w:style w:type="character" w:styleId="984" w:customStyle="1">
    <w:name w:val="纯文本 Char"/>
    <w:link w:val="955"/>
    <w:uiPriority w:val="0"/>
    <w:qFormat/>
    <w:rPr>
      <w:rFonts w:ascii="宋体" w:hAnsi="Courier New" w:eastAsia="楷体_GB2312"/>
      <w:sz w:val="26"/>
    </w:rPr>
  </w:style>
  <w:style w:type="character" w:styleId="985" w:customStyle="1">
    <w:name w:val="日期 Char"/>
    <w:link w:val="956"/>
    <w:uiPriority w:val="0"/>
    <w:qFormat/>
    <w:rPr>
      <w:b/>
      <w:bCs/>
      <w:spacing w:val="20"/>
      <w:sz w:val="21"/>
      <w:szCs w:val="24"/>
    </w:rPr>
  </w:style>
  <w:style w:type="character" w:styleId="986" w:customStyle="1">
    <w:name w:val="页脚 Char"/>
    <w:link w:val="959"/>
    <w:uiPriority w:val="99"/>
    <w:qFormat/>
    <w:rPr>
      <w:sz w:val="18"/>
      <w:szCs w:val="18"/>
    </w:rPr>
  </w:style>
  <w:style w:type="character" w:styleId="987" w:customStyle="1">
    <w:name w:val="正文文本缩进 3 Char"/>
    <w:link w:val="965"/>
    <w:uiPriority w:val="0"/>
    <w:qFormat/>
    <w:rPr>
      <w:sz w:val="24"/>
      <w:szCs w:val="24"/>
    </w:rPr>
  </w:style>
  <w:style w:type="character" w:styleId="988" w:customStyle="1">
    <w:name w:val="标题 Char"/>
    <w:link w:val="969"/>
    <w:uiPriority w:val="0"/>
    <w:qFormat/>
    <w:rPr>
      <w:rFonts w:ascii="Cambria" w:hAnsi="Cambria" w:cs="Times New Roman"/>
      <w:b/>
      <w:bCs/>
      <w:sz w:val="32"/>
      <w:szCs w:val="32"/>
    </w:rPr>
  </w:style>
  <w:style w:type="character" w:styleId="989" w:customStyle="1">
    <w:name w:val="font31"/>
    <w:basedOn w:val="946"/>
    <w:uiPriority w:val="0"/>
    <w:qFormat/>
    <w:rPr>
      <w:rFonts w:hint="eastAsia" w:ascii="宋体" w:hAnsi="宋体" w:eastAsia="宋体" w:cs="宋体"/>
      <w:color w:val="000000"/>
      <w:sz w:val="21"/>
      <w:szCs w:val="21"/>
      <w:u w:val="none"/>
    </w:rPr>
  </w:style>
  <w:style w:type="character" w:styleId="990" w:customStyle="1">
    <w:name w:val="无"/>
    <w:uiPriority w:val="0"/>
    <w:qFormat/>
  </w:style>
  <w:style w:type="character" w:styleId="991" w:customStyle="1">
    <w:name w:val="apple-converted-space"/>
    <w:uiPriority w:val="0"/>
    <w:qFormat/>
  </w:style>
  <w:style w:type="character" w:styleId="992" w:customStyle="1">
    <w:name w:val="font21"/>
    <w:basedOn w:val="946"/>
    <w:uiPriority w:val="0"/>
    <w:qFormat/>
    <w:rPr>
      <w:rFonts w:hint="eastAsia" w:ascii="宋体" w:hAnsi="宋体" w:eastAsia="宋体" w:cs="宋体"/>
      <w:color w:val="000000"/>
      <w:sz w:val="24"/>
      <w:szCs w:val="24"/>
      <w:u w:val="none"/>
    </w:rPr>
  </w:style>
  <w:style w:type="character" w:styleId="993" w:customStyle="1">
    <w:name w:val="NormalCharacter"/>
    <w:uiPriority w:val="0"/>
    <w:qFormat/>
  </w:style>
  <w:style w:type="character" w:styleId="994" w:customStyle="1">
    <w:name w:val="font11"/>
    <w:uiPriority w:val="0"/>
    <w:qFormat/>
    <w:rPr>
      <w:rFonts w:hint="eastAsia" w:ascii="宋体" w:hAnsi="宋体" w:eastAsia="宋体" w:cs="宋体"/>
      <w:color w:val="000000"/>
      <w:sz w:val="24"/>
      <w:szCs w:val="24"/>
      <w:u w:val="none"/>
    </w:rPr>
  </w:style>
  <w:style w:type="character" w:styleId="995" w:customStyle="1">
    <w:name w:val="font01"/>
    <w:uiPriority w:val="0"/>
    <w:qFormat/>
    <w:rPr>
      <w:rFonts w:hint="eastAsia" w:ascii="宋体" w:hAnsi="宋体" w:eastAsia="宋体" w:cs="宋体"/>
      <w:color w:val="000000"/>
      <w:sz w:val="24"/>
      <w:szCs w:val="24"/>
      <w:u w:val="none"/>
    </w:rPr>
  </w:style>
  <w:style w:type="character" w:styleId="996" w:customStyle="1">
    <w:name w:val="font51"/>
    <w:basedOn w:val="946"/>
    <w:uiPriority w:val="0"/>
    <w:qFormat/>
    <w:rPr>
      <w:rFonts w:hint="eastAsia" w:ascii="宋体" w:hAnsi="宋体" w:eastAsia="宋体" w:cs="宋体"/>
      <w:color w:val="000000"/>
      <w:sz w:val="24"/>
      <w:szCs w:val="24"/>
      <w:u w:val="none"/>
    </w:rPr>
  </w:style>
  <w:style w:type="character" w:styleId="997" w:customStyle="1">
    <w:name w:val="Plain Text Char"/>
    <w:link w:val="998"/>
    <w:uiPriority w:val="0"/>
    <w:qFormat/>
    <w:rPr>
      <w:rFonts w:ascii="宋体" w:hAnsi="Courier New" w:eastAsia="楷体_GB2312"/>
      <w:sz w:val="26"/>
    </w:rPr>
  </w:style>
  <w:style w:type="paragraph" w:styleId="998" w:customStyle="1">
    <w:name w:val="Plain Text"/>
    <w:basedOn w:val="936"/>
    <w:link w:val="997"/>
    <w:uiPriority w:val="0"/>
    <w:qFormat/>
    <w:pPr>
      <w:jc w:val="both"/>
      <w:widowControl w:val="off"/>
    </w:pPr>
    <w:rPr>
      <w:rFonts w:ascii="宋体" w:hAnsi="Courier New" w:eastAsia="楷体_GB2312"/>
      <w:sz w:val="26"/>
      <w:szCs w:val="20"/>
    </w:rPr>
  </w:style>
  <w:style w:type="character" w:styleId="999" w:customStyle="1">
    <w:name w:val="Andy_正文 Char"/>
    <w:link w:val="1000"/>
    <w:uiPriority w:val="0"/>
    <w:qFormat/>
    <w:rPr>
      <w:rFonts w:ascii="Calibri" w:hAnsi="Calibri"/>
      <w:sz w:val="24"/>
      <w:szCs w:val="24"/>
    </w:rPr>
  </w:style>
  <w:style w:type="paragraph" w:styleId="1000" w:customStyle="1">
    <w:name w:val="Andy_正文"/>
    <w:basedOn w:val="936"/>
    <w:link w:val="999"/>
    <w:uiPriority w:val="0"/>
    <w:qFormat/>
    <w:pPr>
      <w:ind w:firstLine="480"/>
      <w:jc w:val="both"/>
      <w:spacing w:line="360" w:lineRule="auto"/>
      <w:widowControl w:val="off"/>
    </w:pPr>
    <w:rPr>
      <w:rFonts w:ascii="Calibri" w:hAnsi="Calibri"/>
    </w:rPr>
  </w:style>
  <w:style w:type="paragraph" w:styleId="1001" w:customStyle="1">
    <w:name w:val="H-TextFormat"/>
    <w:uiPriority w:val="0"/>
    <w:qFormat/>
    <w:rPr>
      <w:rFonts w:ascii="Arial" w:hAnsi="Arial" w:eastAsia="宋体" w:cs="Times New Roman"/>
      <w:sz w:val="22"/>
      <w:lang w:val="en-GB" w:eastAsia="en-US" w:bidi="ar-SA"/>
    </w:rPr>
  </w:style>
  <w:style w:type="paragraph" w:styleId="1002" w:customStyle="1">
    <w:name w:val=" Char1"/>
    <w:basedOn w:val="936"/>
    <w:uiPriority w:val="0"/>
    <w:qFormat/>
    <w:pPr>
      <w:jc w:val="both"/>
      <w:widowControl w:val="off"/>
    </w:pPr>
    <w:rPr>
      <w:rFonts w:ascii="Tahoma" w:hAnsi="Tahoma"/>
      <w:szCs w:val="20"/>
    </w:rPr>
  </w:style>
  <w:style w:type="paragraph" w:styleId="1003" w:customStyle="1">
    <w:name w:val="_Style 12"/>
    <w:basedOn w:val="949"/>
    <w:uiPriority w:val="0"/>
    <w:qFormat/>
    <w:pPr>
      <w:spacing w:line="360" w:lineRule="auto"/>
    </w:pPr>
  </w:style>
  <w:style w:type="paragraph" w:styleId="1004" w:customStyle="1">
    <w:name w:val="Table Paragraph"/>
    <w:basedOn w:val="936"/>
    <w:uiPriority w:val="1"/>
    <w:qFormat/>
    <w:pPr>
      <w:widowControl w:val="off"/>
    </w:pPr>
    <w:rPr>
      <w:rFonts w:ascii="宋体" w:hAnsi="宋体" w:cs="宋体"/>
      <w:sz w:val="22"/>
      <w:szCs w:val="22"/>
      <w:lang w:val="zh-CN" w:bidi="zh-CN"/>
    </w:rPr>
  </w:style>
  <w:style w:type="paragraph" w:styleId="1005" w:customStyle="1">
    <w:name w:val="_Style 25"/>
    <w:basedOn w:val="936"/>
    <w:uiPriority w:val="0"/>
    <w:qFormat/>
    <w:pPr>
      <w:spacing w:after="160" w:line="240" w:lineRule="exact"/>
    </w:pPr>
    <w:rPr>
      <w:szCs w:val="20"/>
    </w:rPr>
  </w:style>
  <w:style w:type="paragraph" w:styleId="1006" w:customStyle="1">
    <w:name w:val="纯文本1"/>
    <w:basedOn w:val="936"/>
    <w:next w:val="963"/>
    <w:uiPriority w:val="0"/>
    <w:qFormat/>
    <w:pPr>
      <w:jc w:val="both"/>
      <w:widowControl w:val="off"/>
    </w:pPr>
    <w:rPr>
      <w:rFonts w:ascii="宋体" w:hAnsi="Courier New" w:eastAsia="楷体_GB2312"/>
      <w:sz w:val="28"/>
      <w:szCs w:val="20"/>
    </w:rPr>
  </w:style>
  <w:style w:type="paragraph" w:styleId="1007" w:customStyle="1">
    <w:name w:val="样式1"/>
    <w:basedOn w:val="936"/>
    <w:uiPriority w:val="0"/>
    <w:qFormat/>
    <w:pPr>
      <w:ind w:firstLine="0"/>
      <w:jc w:val="center"/>
      <w:spacing w:line="240" w:lineRule="auto"/>
    </w:pPr>
  </w:style>
  <w:style w:type="paragraph" w:styleId="1008" w:customStyle="1">
    <w:name w:val="中等深浅网格 21"/>
    <w:uiPriority w:val="1"/>
    <w:qFormat/>
    <w:pPr>
      <w:jc w:val="both"/>
      <w:widowControl w:val="off"/>
    </w:pPr>
    <w:rPr>
      <w:rFonts w:ascii="Times New Roman" w:hAnsi="Times New Roman" w:eastAsia="宋体" w:cs="Times New Roman"/>
      <w:sz w:val="21"/>
      <w:szCs w:val="22"/>
      <w:lang w:val="en-US" w:eastAsia="zh-CN" w:bidi="ar-SA"/>
    </w:rPr>
  </w:style>
  <w:style w:type="paragraph" w:styleId="1009" w:customStyle="1">
    <w:name w:val=" Char Char Char1 Char Char Char Char"/>
    <w:basedOn w:val="936"/>
    <w:uiPriority w:val="0"/>
    <w:qFormat/>
    <w:pPr>
      <w:jc w:val="left"/>
      <w:spacing w:after="160" w:line="240" w:lineRule="exact"/>
      <w:widowControl/>
    </w:pPr>
  </w:style>
  <w:style w:type="paragraph" w:styleId="1010" w:customStyle="1">
    <w:name w:val="表正文"/>
    <w:basedOn w:val="936"/>
    <w:next w:val="952"/>
    <w:uiPriority w:val="0"/>
    <w:qFormat/>
    <w:pPr>
      <w:ind w:left="420"/>
      <w:spacing w:after="120"/>
    </w:pPr>
    <w:rPr>
      <w:rFonts w:eastAsia="宋体"/>
      <w:sz w:val="21"/>
      <w:szCs w:val="24"/>
    </w:rPr>
  </w:style>
  <w:style w:type="paragraph" w:styleId="1011" w:customStyle="1">
    <w:name w:val=" Char Char Char Char Char Char Char Char Char Char"/>
    <w:basedOn w:val="936"/>
    <w:uiPriority w:val="0"/>
    <w:qFormat/>
    <w:pPr>
      <w:ind w:left="795" w:hanging="360"/>
      <w:jc w:val="both"/>
      <w:widowControl w:val="off"/>
      <w:tabs>
        <w:tab w:val="left" w:pos="795" w:leader="none"/>
      </w:tabs>
    </w:pPr>
  </w:style>
  <w:style w:type="paragraph" w:styleId="1012" w:customStyle="1">
    <w:name w:val=" Char1 Char Char Char"/>
    <w:basedOn w:val="936"/>
    <w:uiPriority w:val="0"/>
    <w:qFormat/>
    <w:pPr>
      <w:jc w:val="both"/>
      <w:widowControl w:val="off"/>
    </w:pPr>
    <w:rPr>
      <w:sz w:val="21"/>
    </w:rPr>
  </w:style>
  <w:style w:type="paragraph" w:styleId="101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014">
    <w:name w:val="No Spacing"/>
    <w:uiPriority w:val="1"/>
    <w:qFormat/>
    <w:pPr>
      <w:jc w:val="both"/>
      <w:widowControl w:val="off"/>
    </w:pPr>
    <w:rPr>
      <w:rFonts w:ascii="Times New Roman" w:hAnsi="Times New Roman" w:eastAsia="宋体" w:cs="Times New Roman"/>
      <w:sz w:val="21"/>
      <w:szCs w:val="22"/>
      <w:lang w:val="en-US" w:eastAsia="zh-CN" w:bidi="ar-SA"/>
    </w:rPr>
  </w:style>
  <w:style w:type="paragraph" w:styleId="1015"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1016" w:customStyle="1">
    <w:name w:val="Andy_2级"/>
    <w:basedOn w:val="936"/>
    <w:uiPriority w:val="0"/>
    <w:qFormat/>
    <w:pPr>
      <w:numPr>
        <w:ilvl w:val="1"/>
        <w:numId w:val="2"/>
      </w:numPr>
      <w:ind w:left="0" w:firstLine="510"/>
      <w:spacing w:line="360" w:lineRule="auto"/>
    </w:pPr>
    <w:rPr>
      <w:rFonts w:ascii="Calibri" w:hAnsi="Calibri"/>
      <w:sz w:val="24"/>
      <w:szCs w:val="20"/>
    </w:rPr>
  </w:style>
  <w:style w:type="paragraph" w:styleId="1017" w:customStyle="1">
    <w:name w:val="p16"/>
    <w:basedOn w:val="936"/>
    <w:uiPriority w:val="0"/>
    <w:qFormat/>
    <w:rPr>
      <w:rFonts w:ascii="宋体" w:hAnsi="宋体" w:cs="宋体"/>
      <w:sz w:val="26"/>
      <w:szCs w:val="26"/>
    </w:rPr>
  </w:style>
  <w:style w:type="paragraph" w:styleId="1018" w:customStyle="1">
    <w:name w:val="纯文本3"/>
    <w:basedOn w:val="936"/>
    <w:uiPriority w:val="0"/>
    <w:qFormat/>
    <w:rPr>
      <w:rFonts w:ascii="宋体" w:hAnsi="Courier New"/>
      <w:sz w:val="26"/>
    </w:rPr>
  </w:style>
  <w:style w:type="paragraph" w:styleId="1019" w:customStyle="1">
    <w:name w:val=" Char Char Char"/>
    <w:basedOn w:val="936"/>
    <w:uiPriority w:val="0"/>
    <w:qFormat/>
    <w:pPr>
      <w:ind w:left="795" w:hanging="360"/>
      <w:jc w:val="both"/>
      <w:widowControl w:val="off"/>
      <w:tabs>
        <w:tab w:val="left" w:pos="795" w:leader="none"/>
      </w:tabs>
    </w:pPr>
  </w:style>
  <w:style w:type="paragraph" w:styleId="1020" w:customStyle="1">
    <w:name w:val="样式2"/>
    <w:basedOn w:val="1007"/>
    <w:uiPriority w:val="0"/>
    <w:qFormat/>
    <w:rPr>
      <w:sz w:val="21"/>
    </w:rPr>
  </w:style>
  <w:style w:type="paragraph" w:styleId="1021" w:customStyle="1">
    <w:name w:val="f正文"/>
    <w:basedOn w:val="936"/>
    <w:uiPriority w:val="0"/>
    <w:qFormat/>
    <w:pPr>
      <w:ind w:firstLine="200"/>
      <w:widowControl/>
    </w:pPr>
  </w:style>
  <w:style w:type="paragraph" w:styleId="1022" w:customStyle="1">
    <w:name w:val="_Style 3"/>
    <w:basedOn w:val="936"/>
    <w:uiPriority w:val="0"/>
    <w:qFormat/>
    <w:pPr>
      <w:ind w:left="795" w:hanging="360"/>
      <w:jc w:val="both"/>
      <w:widowControl w:val="off"/>
      <w:tabs>
        <w:tab w:val="left" w:pos="540" w:leader="none"/>
      </w:tabs>
    </w:pPr>
  </w:style>
  <w:style w:type="paragraph" w:styleId="1023" w:customStyle="1">
    <w:name w:val=" Char Char Char Char Char Char Char Char Char1 Char"/>
    <w:basedOn w:val="949"/>
    <w:uiPriority w:val="0"/>
    <w:qFormat/>
    <w:pPr>
      <w:jc w:val="both"/>
      <w:spacing w:line="360" w:lineRule="auto"/>
      <w:widowControl w:val="off"/>
    </w:pPr>
    <w:rPr>
      <w:rFonts w:ascii="Tahoma" w:hAnsi="Tahoma"/>
    </w:rPr>
  </w:style>
  <w:style w:type="paragraph" w:styleId="1024" w:customStyle="1">
    <w:name w:val="纯文本5"/>
    <w:basedOn w:val="936"/>
    <w:uiPriority w:val="0"/>
    <w:qFormat/>
    <w:rPr>
      <w:rFonts w:ascii="宋体" w:hAnsi="Courier New" w:eastAsia="楷体_GB2312"/>
      <w:sz w:val="28"/>
      <w:szCs w:val="20"/>
    </w:rPr>
  </w:style>
  <w:style w:type="paragraph" w:styleId="1025" w:customStyle="1">
    <w:name w:val="p18"/>
    <w:basedOn w:val="936"/>
    <w:uiPriority w:val="0"/>
    <w:qFormat/>
    <w:pPr>
      <w:ind w:firstLine="420"/>
    </w:pPr>
  </w:style>
  <w:style w:type="paragraph" w:styleId="1026" w:customStyle="1">
    <w:name w:val="纯文本2"/>
    <w:basedOn w:val="936"/>
    <w:uiPriority w:val="0"/>
    <w:qFormat/>
    <w:rPr>
      <w:rFonts w:ascii="宋体" w:hAnsi="Courier New"/>
    </w:rPr>
  </w:style>
  <w:style w:type="paragraph" w:styleId="1027" w:customStyle="1">
    <w:name w:val=" Char Char2"/>
    <w:basedOn w:val="949"/>
    <w:uiPriority w:val="0"/>
    <w:qFormat/>
    <w:pPr>
      <w:spacing w:line="360" w:lineRule="auto"/>
    </w:pPr>
  </w:style>
  <w:style w:type="paragraph" w:styleId="1028" w:customStyle="1">
    <w:name w:val="_Style 5"/>
    <w:basedOn w:val="936"/>
    <w:uiPriority w:val="0"/>
    <w:qFormat/>
    <w:pPr>
      <w:spacing w:after="160" w:line="240" w:lineRule="exact"/>
    </w:pPr>
    <w:rPr>
      <w:szCs w:val="20"/>
    </w:rPr>
  </w:style>
  <w:style w:type="paragraph" w:styleId="1029" w:customStyle="1">
    <w:name w:val="段"/>
    <w:next w:val="936"/>
    <w:uiPriority w:val="0"/>
    <w:qFormat/>
    <w:pPr>
      <w:ind w:firstLine="200"/>
      <w:jc w:val="both"/>
    </w:pPr>
    <w:rPr>
      <w:rFonts w:ascii="宋体" w:hAnsi="Times New Roman" w:eastAsia="宋体" w:cs="Times New Roman"/>
      <w:sz w:val="21"/>
      <w:szCs w:val="22"/>
      <w:lang w:val="en-US" w:eastAsia="zh-CN" w:bidi="ar-SA"/>
    </w:rPr>
  </w:style>
  <w:style w:type="paragraph" w:styleId="1030" w:customStyle="1">
    <w:name w:val="Char Char Char Char"/>
    <w:basedOn w:val="949"/>
    <w:uiPriority w:val="0"/>
    <w:qFormat/>
    <w:pPr>
      <w:jc w:val="both"/>
      <w:spacing w:line="360" w:lineRule="auto"/>
      <w:widowControl w:val="off"/>
    </w:pPr>
    <w:rPr>
      <w:szCs w:val="20"/>
    </w:rPr>
  </w:style>
  <w:style w:type="paragraph" w:styleId="1031" w:customStyle="1">
    <w:name w:val="p0"/>
    <w:basedOn w:val="936"/>
    <w:uiPriority w:val="0"/>
    <w:qFormat/>
  </w:style>
  <w:style w:type="paragraph" w:styleId="1032" w:customStyle="1">
    <w:name w:val="Char Char Char Char Char Char Char Char Char1 Char"/>
    <w:basedOn w:val="949"/>
    <w:uiPriority w:val="0"/>
    <w:qFormat/>
    <w:pPr>
      <w:jc w:val="both"/>
      <w:spacing w:line="360" w:lineRule="auto"/>
      <w:widowControl w:val="off"/>
    </w:pPr>
    <w:rPr>
      <w:rFonts w:ascii="Tahoma" w:hAnsi="Tahoma"/>
    </w:rPr>
  </w:style>
  <w:style w:type="paragraph" w:styleId="1033" w:customStyle="1">
    <w:name w:val="列出段落1"/>
    <w:basedOn w:val="936"/>
    <w:uiPriority w:val="1723"/>
    <w:qFormat/>
    <w:pPr>
      <w:ind w:firstLine="420"/>
    </w:pPr>
    <w:rPr>
      <w:rFonts w:ascii="Calibri" w:hAnsi="Calibri" w:cs="Calibri"/>
      <w:szCs w:val="22"/>
    </w:rPr>
  </w:style>
  <w:style w:type="paragraph" w:styleId="1034" w:customStyle="1">
    <w:name w:val="纯文本111"/>
    <w:basedOn w:val="936"/>
    <w:uiPriority w:val="0"/>
    <w:qFormat/>
    <w:rPr>
      <w:rFonts w:ascii="宋体" w:hAnsi="Courier New"/>
    </w:rPr>
  </w:style>
  <w:style w:type="paragraph" w:styleId="1035" w:customStyle="1">
    <w:name w:val="List Paragraph"/>
    <w:basedOn w:val="936"/>
    <w:uiPriority w:val="0"/>
    <w:qFormat/>
    <w:pPr>
      <w:ind w:firstLine="420"/>
      <w:jc w:val="both"/>
      <w:widowControl w:val="off"/>
    </w:pPr>
    <w:rPr>
      <w:rFonts w:ascii="Calibri" w:hAnsi="Calibri"/>
      <w:sz w:val="21"/>
      <w:szCs w:val="22"/>
    </w:rPr>
  </w:style>
  <w:style w:type="paragraph" w:styleId="1036" w:customStyle="1">
    <w:name w:val=" Char Char3"/>
    <w:basedOn w:val="936"/>
    <w:uiPriority w:val="0"/>
    <w:qFormat/>
    <w:pPr>
      <w:numPr>
        <w:ilvl w:val="0"/>
        <w:numId w:val="3"/>
      </w:numPr>
      <w:jc w:val="both"/>
      <w:widowControl w:val="off"/>
    </w:pPr>
  </w:style>
  <w:style w:type="paragraph" w:styleId="1037" w:customStyle="1">
    <w:name w:val="Char"/>
    <w:basedOn w:val="936"/>
    <w:uiPriority w:val="0"/>
    <w:qFormat/>
    <w:pPr>
      <w:jc w:val="both"/>
      <w:widowControl w:val="off"/>
    </w:pPr>
    <w:rPr>
      <w:rFonts w:ascii="Tahoma" w:hAnsi="Tahoma" w:cs="Tahoma"/>
    </w:rPr>
  </w:style>
  <w:style w:type="paragraph" w:styleId="1038" w:customStyle="1">
    <w:name w:val="01 章标"/>
    <w:basedOn w:val="936"/>
    <w:uiPriority w:val="0"/>
    <w:qFormat/>
    <w:pPr>
      <w:ind w:firstLine="883"/>
      <w:jc w:val="center"/>
      <w:outlineLvl w:val="0"/>
    </w:pPr>
    <w:rPr>
      <w:b/>
      <w:sz w:val="44"/>
      <w:szCs w:val="44"/>
    </w:rPr>
  </w:style>
  <w:style w:type="paragraph" w:styleId="1039" w:customStyle="1">
    <w:name w:val="Other|1"/>
    <w:basedOn w:val="936"/>
    <w:uiPriority w:val="0"/>
    <w:qFormat/>
    <w:pPr>
      <w:spacing w:line="306" w:lineRule="exact"/>
    </w:pPr>
    <w:rPr>
      <w:rFonts w:ascii="宋体" w:hAnsi="宋体" w:cs="宋体"/>
      <w:sz w:val="20"/>
      <w:szCs w:val="20"/>
      <w:lang w:val="zh-TW" w:eastAsia="zh-TW" w:bidi="zh-TW"/>
    </w:rPr>
  </w:style>
  <w:style w:type="paragraph" w:styleId="1040" w:customStyle="1">
    <w:name w:val="Plain Text1"/>
    <w:basedOn w:val="936"/>
    <w:uiPriority w:val="0"/>
    <w:qFormat/>
    <w:rPr>
      <w:rFonts w:hint="eastAsia" w:ascii="宋体" w:hAnsi="Courier New"/>
    </w:rPr>
  </w:style>
  <w:style w:type="paragraph" w:styleId="1041" w:customStyle="1">
    <w:name w:val="正文2"/>
    <w:basedOn w:val="936"/>
    <w:uiPriority w:val="0"/>
    <w:qFormat/>
    <w:pPr>
      <w:ind w:firstLine="200"/>
      <w:spacing w:after="160" w:line="360" w:lineRule="auto"/>
    </w:pPr>
    <w:rPr>
      <w:rFonts w:ascii="Verdana" w:hAnsi="Verdana" w:eastAsia="黑体"/>
      <w:sz w:val="21"/>
      <w:szCs w:val="20"/>
      <w:lang w:eastAsia="en-US"/>
    </w:rPr>
  </w:style>
  <w:style w:type="paragraph" w:styleId="1042" w:customStyle="1">
    <w:name w:val="图片格式"/>
    <w:basedOn w:val="936"/>
    <w:uiPriority w:val="0"/>
    <w:qFormat/>
    <w:pPr>
      <w:jc w:val="center"/>
      <w:tabs>
        <w:tab w:val="center" w:pos="4153" w:leader="none"/>
        <w:tab w:val="right" w:pos="8306" w:leader="none"/>
      </w:tabs>
    </w:pPr>
    <w:rPr>
      <w:rFonts w:eastAsia="宋体" w:cs="宋体"/>
      <w:szCs w:val="20"/>
    </w:rPr>
  </w:style>
  <w:style w:type="paragraph" w:styleId="1043" w:customStyle="1">
    <w:name w:val="p17"/>
    <w:basedOn w:val="936"/>
    <w:uiPriority w:val="0"/>
    <w:qFormat/>
    <w:pPr>
      <w:jc w:val="both"/>
    </w:pPr>
    <w:rPr>
      <w:rFonts w:ascii="宋体" w:hAnsi="宋体" w:cs="宋体"/>
      <w:sz w:val="26"/>
      <w:szCs w:val="26"/>
    </w:rPr>
  </w:style>
  <w:style w:type="paragraph" w:styleId="1044" w:customStyle="1">
    <w:name w:val=" Char"/>
    <w:basedOn w:val="949"/>
    <w:uiPriority w:val="0"/>
    <w:qFormat/>
    <w:pPr>
      <w:jc w:val="both"/>
      <w:spacing w:line="360" w:lineRule="auto"/>
      <w:widowControl w:val="off"/>
    </w:pPr>
    <w:rPr>
      <w:sz w:val="21"/>
    </w:rPr>
  </w:style>
  <w:style w:type="paragraph" w:styleId="1045" w:customStyle="1">
    <w:name w:val="无间隔1"/>
    <w:uiPriority w:val="1"/>
    <w:qFormat/>
    <w:rPr>
      <w:rFonts w:ascii="微软雅黑." w:hAnsi="微软雅黑." w:eastAsia="宋体" w:cs="Times New Roman"/>
      <w:sz w:val="22"/>
      <w:szCs w:val="22"/>
      <w:lang w:val="en-US" w:eastAsia="zh-CN" w:bidi="ar-SA"/>
    </w:rPr>
  </w:style>
  <w:style w:type="paragraph" w:styleId="1046" w:customStyle="1">
    <w:name w:val="方案正文"/>
    <w:basedOn w:val="936"/>
    <w:uiPriority w:val="0"/>
    <w:qFormat/>
    <w:pPr>
      <w:spacing w:line="440" w:lineRule="atLeast"/>
    </w:pPr>
    <w:rPr>
      <w:sz w:val="24"/>
    </w:rPr>
  </w:style>
  <w:style w:type="paragraph" w:styleId="1047" w:customStyle="1">
    <w:name w:val="*正文"/>
    <w:basedOn w:val="936"/>
    <w:uiPriority w:val="0"/>
    <w:qFormat/>
    <w:rPr>
      <w:rFonts w:ascii="宋体" w:hAnsi="宋体" w:eastAsia="宋体" w:cs="Times New Roman"/>
      <w:sz w:val="24"/>
      <w:szCs w:val="24"/>
      <w:lang w:val="zh-CN"/>
    </w:rPr>
  </w:style>
  <w:style w:type="paragraph" w:styleId="1048" w:customStyle="1">
    <w:name w:val="正文首行缩进 21"/>
    <w:basedOn w:val="952"/>
    <w:uiPriority w:val="99"/>
    <w:qFormat/>
    <w:pPr>
      <w:ind w:firstLine="420"/>
    </w:pPr>
  </w:style>
  <w:style w:type="paragraph" w:styleId="1049" w:customStyle="1">
    <w:name w:val="普通正文"/>
    <w:basedOn w:val="936"/>
    <w:uiPriority w:val="0"/>
    <w:qFormat/>
    <w:pPr>
      <w:ind w:firstLine="480"/>
      <w:jc w:val="left"/>
      <w:spacing w:before="120" w:after="120" w:line="360" w:lineRule="auto"/>
    </w:pPr>
    <w:rPr>
      <w:rFonts w:ascii="Arial" w:hAnsi="Arial" w:cs="Arial"/>
      <w:sz w:val="24"/>
      <w:szCs w:val="24"/>
    </w:rPr>
  </w:style>
  <w:style w:type="paragraph" w:styleId="1050" w:customStyle="1">
    <w:name w:val="_Style 7"/>
    <w:basedOn w:val="951"/>
    <w:next w:val="971"/>
    <w:uiPriority w:val="0"/>
    <w:qFormat/>
    <w:pPr>
      <w:ind w:firstLine="420"/>
    </w:pPr>
    <w:rPr>
      <w:rFonts w:ascii="Calibri" w:hAnsi="Calibri" w:cs="Times New Roman"/>
    </w:rPr>
  </w:style>
  <w:style w:type="paragraph" w:styleId="1051" w:customStyle="1">
    <w:name w:val="List Paragraph1"/>
    <w:basedOn w:val="936"/>
    <w:uiPriority w:val="34"/>
    <w:qFormat/>
    <w:pPr>
      <w:ind w:firstLine="420"/>
    </w:pPr>
    <w:rPr>
      <w:rFonts w:cs="Times New Roman"/>
    </w:rPr>
  </w:style>
  <w:style w:type="paragraph" w:styleId="1052" w:customStyle="1">
    <w:name w:val="招标书正文"/>
    <w:basedOn w:val="936"/>
    <w:uiPriority w:val="0"/>
    <w:qFormat/>
    <w:pPr>
      <w:jc w:val="left"/>
      <w:spacing w:line="300" w:lineRule="auto"/>
      <w:widowControl/>
    </w:pPr>
    <w:rPr>
      <w:sz w:val="24"/>
      <w:szCs w:val="24"/>
    </w:rPr>
  </w:style>
  <w:style w:type="paragraph" w:styleId="1053" w:customStyle="1">
    <w:name w:val="Plain Text2"/>
    <w:basedOn w:val="936"/>
    <w:uiPriority w:val="99"/>
    <w:qFormat/>
    <w:rPr>
      <w:rFonts w:hAnsi="Verdana" w:eastAsia="2OcuAe" w:cs="Times New Roman"/>
      <w:sz w:val="28"/>
    </w:rPr>
  </w:style>
  <w:style w:type="paragraph" w:styleId="1054" w:customStyle="1">
    <w:name w:val="_Style 622"/>
    <w:basedOn w:val="936"/>
    <w:next w:val="1035"/>
    <w:uiPriority w:val="99"/>
    <w:qFormat/>
    <w:pPr>
      <w:ind w:firstLine="420"/>
    </w:pPr>
    <w:rPr>
      <w:rFonts w:ascii="Times New Roman" w:hAnsi="Times New Roman" w:cs="Times New Roman"/>
    </w:rPr>
  </w:style>
  <w:style w:type="paragraph" w:styleId="1055" w:customStyle="1">
    <w:name w:val="my正文"/>
    <w:basedOn w:val="936"/>
    <w:uiPriority w:val="0"/>
    <w:qFormat/>
    <w:pPr>
      <w:ind w:firstLine="480"/>
      <w:spacing w:line="360" w:lineRule="auto"/>
    </w:pPr>
    <w:rPr>
      <w:rFonts w:ascii="Times New Roman" w:hAnsi="Times New Roman" w:cs="Times New Roman"/>
      <w:sz w:val="24"/>
    </w:rPr>
  </w:style>
  <w:style w:type="paragraph" w:styleId="1056" w:customStyle="1">
    <w:name w:val="纯文本4"/>
    <w:basedOn w:val="936"/>
    <w:uiPriority w:val="0"/>
    <w:qFormat/>
    <w:rPr>
      <w:rFonts w:ascii="宋体" w:hAnsi="Courier New" w:cs="Times New Roman"/>
      <w:sz w:val="26"/>
    </w:rPr>
  </w:style>
  <w:style w:type="paragraph" w:styleId="1057" w:customStyle="1">
    <w:name w:val="纯文本11"/>
    <w:basedOn w:val="936"/>
    <w:uiPriority w:val="0"/>
    <w:qFormat/>
    <w:pPr>
      <w:jc w:val="both"/>
      <w:widowControl w:val="off"/>
    </w:pPr>
    <w:rPr>
      <w:rFonts w:ascii="宋体" w:hAnsi="Courier New" w:eastAsia="楷体_GB2312"/>
      <w:sz w:val="28"/>
      <w:szCs w:val="20"/>
    </w:rPr>
  </w:style>
  <w:style w:type="table" w:styleId="1058" w:customStyle="1">
    <w:name w:val="Table Normal"/>
    <w:uiPriority w:val="0"/>
    <w:semiHidden/>
    <w:unhideWhenUsed/>
    <w:qFormat/>
    <w:tblPr>
      <w:tblCellMar>
        <w:left w:w="0" w:type="dxa"/>
        <w:top w:w="0" w:type="dxa"/>
        <w:right w:w="0" w:type="dxa"/>
        <w:bottom w:w="0" w:type="dxa"/>
      </w:tblCellMar>
    </w:tblPr>
  </w:style>
  <w:style w:type="paragraph" w:styleId="1059" w:customStyle="1">
    <w:name w:val="Table Text"/>
    <w:uiPriority w:val="0"/>
    <w:semiHidden/>
    <w:qFormat/>
    <w:pPr>
      <w:jc w:val="left"/>
      <w:spacing w:line="240" w:lineRule="auto"/>
    </w:pPr>
    <w:rPr>
      <w:rFonts w:ascii="Arial" w:hAnsi="Arial" w:eastAsia="Arial" w:cs="Arial"/>
      <w:color w:val="000000"/>
      <w:sz w:val="21"/>
      <w:szCs w:val="21"/>
      <w:lang w:val="en-US" w:eastAsia="en-US" w:bidi="ar-SA"/>
    </w:rPr>
  </w:style>
  <w:style w:type="numbering" w:styleId="10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2.jpg"/><Relationship Id="rId18" Type="http://schemas.openxmlformats.org/officeDocument/2006/relationships/image" Target="media/image3.jpg"/><Relationship Id="rId19" Type="http://schemas.openxmlformats.org/officeDocument/2006/relationships/image" Target="media/image4.jpg"/><Relationship Id="rId20" Type="http://schemas.openxmlformats.org/officeDocument/2006/relationships/image" Target="media/image5.jpg"/><Relationship Id="rId21" Type="http://schemas.openxmlformats.org/officeDocument/2006/relationships/image" Target="media/image6.jp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jp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jpg"/><Relationship Id="rId41" Type="http://schemas.openxmlformats.org/officeDocument/2006/relationships/image" Target="media/image26.jpg"/><Relationship Id="rId42" Type="http://schemas.openxmlformats.org/officeDocument/2006/relationships/image" Target="media/image27.jpg"/><Relationship Id="rId43" Type="http://schemas.openxmlformats.org/officeDocument/2006/relationships/image" Target="media/image28.png"/><Relationship Id="rId44" Type="http://schemas.openxmlformats.org/officeDocument/2006/relationships/image" Target="media/image2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顾孙英</cp:lastModifiedBy>
  <cp:revision>7</cp:revision>
  <dcterms:created xsi:type="dcterms:W3CDTF">2020-10-19T23:57:00Z</dcterms:created>
  <dcterms:modified xsi:type="dcterms:W3CDTF">2025-05-28T06:51:38Z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DF5D269A422D4315A166DB375C08DA5B_13</vt:lpwstr>
  </property>
  <property fmtid="{D5CDD505-2E9C-101B-9397-08002B2CF9AE}" pid="4" name="KSOTemplateDocerSaveRecord">
    <vt:lpwstr>eyJoZGlkIjoiNWI1MzFhYjQwMzQ3OWQwYzYxMTRhZmIwOThhMjJmYjUiLCJ1c2VySWQiOiI1NTg4NTI5ODUifQ==</vt:lpwstr>
  </property>
</Properties>
</file>