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项目编号：NJJC-2024ZB0415</w:t>
      </w:r>
      <w:r/>
    </w:p>
    <w:p>
      <w:pPr>
        <w:ind w:left="2220" w:right="0" w:hanging="1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项目名称：南京体育学院仙林校区多媒体教室建设项目</w:t>
      </w:r>
      <w:r/>
    </w:p>
    <w:p>
      <w:pPr>
        <w:ind w:left="0" w:right="0" w:firstLine="36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类别：货物类</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 购 人: 南京体育学院</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代理机构: 南京江城工程项目管理有限公司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二Ｏ二四年七月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供应商须知</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招标项目需求</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投标邀请</w:t>
      </w:r>
      <w:r/>
    </w:p>
    <w:p>
      <w:pPr>
        <w:pStyle w:val="12"/>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南京体育学院仙林校区多媒体教室建设项目</w:t>
      </w:r>
      <w:r>
        <w:rPr>
          <w:rFonts w:ascii="SimSun" w:hAnsi="SimSun" w:eastAsia="SimSun" w:cs="SimSun"/>
          <w:b/>
          <w:color w:val="000000"/>
          <w:sz w:val="21"/>
        </w:rPr>
        <w:t xml:space="preserve">的潜在供应商应在</w:t>
      </w:r>
      <w:r>
        <w:rPr>
          <w:rFonts w:ascii="SimSun" w:hAnsi="SimSun" w:eastAsia="SimSun" w:cs="SimSun"/>
          <w:b/>
          <w:color w:val="000000"/>
          <w:sz w:val="21"/>
          <w:u w:val="single"/>
        </w:rPr>
        <w:t xml:space="preserve">南京市建邺区云龙山路89号龙湖时代上城写字楼1栋29楼（高区3号电梯厅进入）（南京江城工程项目管理有限公司）</w:t>
      </w:r>
      <w:r>
        <w:rPr>
          <w:rFonts w:ascii="SimSun" w:hAnsi="SimSun" w:eastAsia="SimSun" w:cs="SimSun"/>
          <w:b/>
          <w:color w:val="000000"/>
          <w:sz w:val="21"/>
        </w:rPr>
        <w:t xml:space="preserve">获取招标文件，并于</w:t>
      </w:r>
      <w:r>
        <w:rPr>
          <w:rFonts w:ascii="SimSun" w:hAnsi="SimSun" w:eastAsia="SimSun" w:cs="SimSun"/>
          <w:b/>
          <w:color w:val="000000"/>
          <w:sz w:val="21"/>
          <w:u w:val="single"/>
        </w:rPr>
        <w:t xml:space="preserve">2024年7月23日9点30分（北京时间）</w:t>
      </w:r>
      <w:r>
        <w:rPr>
          <w:rFonts w:ascii="SimSun" w:hAnsi="SimSun" w:eastAsia="SimSun" w:cs="SimSun"/>
          <w:b/>
          <w:color w:val="000000"/>
          <w:sz w:val="21"/>
        </w:rPr>
        <w:t xml:space="preserve">前提交投标文件。</w:t>
      </w:r>
      <w:r/>
    </w:p>
    <w:p>
      <w:pPr>
        <w:pStyle w:val="14"/>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1.项目编号：NJJC-2024ZB0415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2.项目名称：南京体育学院仙林校区多媒体教室建设项目；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4.项目预算金额：170万元；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5.最高限价：170万元，超过最高限价的为无效投标；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6.采购需求：拟智慧黑板、一体化扩声、一体化智能讲台、多媒体控制系统等，具体要求详见招标文件第四章；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7.合同履行期限：30日历天；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8.本项目不接受联合体；</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 本项目不接受进口产品投标。</w:t>
      </w:r>
      <w:r/>
    </w:p>
    <w:p>
      <w:pPr>
        <w:pStyle w:val="14"/>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2022年度或2023年度经审计的财务报告复印件，加盖公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（3）具有履行合同所必需的设备和专业技术能力（根据项目需求提供履行合同所必需的设备和专业技术能力的证明材料，提供书面声明原件）；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需提供证明材料）；</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拒绝下述供应商参加本次采购活动：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①供应商单位负责人为同一人或者存在直接控股、管理关系的不同供应商，不得参加同一合同项下的采购活动。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拒绝列入失信被执行人、重大税收违法案件当事人名单、政府采购严重违法失信行为记录名单中的供应商参加本项目的采购活动。投标人通过“信用中国”网站（www.creditchina.gov.cn）、“中国政府采购网”网站（www.ccgp.gov.cn）等渠道查询供应商信用记录并保存至投标文件中。</w:t>
      </w:r>
      <w:r/>
    </w:p>
    <w:p>
      <w:pPr>
        <w:pStyle w:val="14"/>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pStyle w:val="14"/>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1.时间：2024年7月2日至2024年7月9日，每天上午9:00至11:30，下午14:00至17:00（北京时间，法定节假日除外）</w:t>
      </w:r>
      <w:r/>
    </w:p>
    <w:p>
      <w:pPr>
        <w:pStyle w:val="14"/>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地点：南京市建邺区云龙山路89号龙湖时代上城写字楼1栋29楼（高区3号电梯厅进入）</w:t>
      </w:r>
      <w:r/>
    </w:p>
    <w:p>
      <w:pPr>
        <w:pStyle w:val="14"/>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2.方式：1）现场报名：企业法定代表人或授权委托人携带报名资料至南京市建邺区云龙山路89号龙湖时代上城1栋29楼报名获取招标文件。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2）线上获取:</w:t>
      </w:r>
      <w:r>
        <w:rPr>
          <w:rFonts w:ascii="SimSun" w:hAnsi="SimSun" w:eastAsia="SimSun" w:cs="SimSun"/>
          <w:color w:val="000000"/>
          <w:sz w:val="21"/>
        </w:rPr>
        <w:t xml:space="preserve"> ①供应商获取文件前须前往报名平台：http://119.45.145.115/NJJCBaoMing/company/views/baominglist.html进行免费注册，注册时信息须真实有效。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②注册成功后，供应商可通过报名平台选择项目并填写正确的信息经后台审核通过后方可下载本项目招标文件电子档。请在获取时间内及时下载招标文件，未按要求获取招标文件导致无法参与的，后果自负。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③报名、开票咨询电话：025-58835827-0。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注：如因供应商信息填写错误导致无法获取招标文件的情况，由供应商承担相应风险。注册为一次性工作，以后若有需要可变更及完善相关信息，同一单位不同的经办人可各自建立不同账户。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文本制作费：500元/份，售后不退。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④本项目文本制作费支持支付宝及转账支付，信息如下：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A、支付宝付款码：咨询025-58835827-0线上获取；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B、开户银行及账户：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公司名称：南京江城工程项目管理有限公司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账号：11017420900008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开户行：平安银行南京雨花支行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注：供应商支付时请备注项目简称及单位简称。</w:t>
      </w:r>
      <w:r/>
    </w:p>
    <w:p>
      <w:pPr>
        <w:pStyle w:val="14"/>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pStyle w:val="14"/>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截止时间：2024年7月23日9点30分（北京时间）</w:t>
      </w:r>
      <w:r/>
    </w:p>
    <w:p>
      <w:pPr>
        <w:pStyle w:val="14"/>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地点：南京市建邺区云龙山路89号龙湖时代上城写字楼1栋29楼（高区3号电梯厅进入），届时请投标人法定代表人或其委托授权代表出席开标仪式。</w:t>
      </w:r>
      <w:r/>
    </w:p>
    <w:p>
      <w:pPr>
        <w:pStyle w:val="14"/>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1、投标文件制作份数要求：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正本份数：1份，副本份数：4份，电子版投标文件壹份（</w:t>
      </w:r>
      <w:r>
        <w:rPr>
          <w:rFonts w:ascii="SimSun" w:hAnsi="SimSun" w:eastAsia="SimSun" w:cs="SimSun"/>
          <w:color w:val="000000"/>
          <w:sz w:val="21"/>
          <w:highlight w:val="white"/>
        </w:rPr>
        <w:t xml:space="preserve">电子版须为投标文件盖公章（红章）正本的PDF扫描件，扫描件内容应与纸质文件完全一致。文件名建议修改为公司名+项目编号简写、U盘形式，随纸质正本文件一并提交</w:t>
      </w:r>
      <w:r>
        <w:rPr>
          <w:rFonts w:ascii="SimSun" w:hAnsi="SimSun" w:eastAsia="SimSun" w:cs="SimSun"/>
          <w:color w:val="000000"/>
          <w:sz w:val="21"/>
        </w:rPr>
        <w:t xml:space="preserve">）。当纸质正本文件与副本、电子版文件不一致时，以纸质正本文件为准。电子版文件用于辅助评标和存档，供应商须承担前述不一致造成的不利后果。每份纸质文件须清楚标明“正本”或“副本”字样。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集中考察现场或答疑：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4、本项目需要落实的采购政策：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（1）《关于印发节能产品政府采购品目清单的通知》（财库[2019]19号）；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（2）《关于印发环境标志产品政府采购品目清单的通知》（财库[2019]18号）；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（3）《关于信息安全产品实施政府采购的通知》（财库[2010]48号）；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（4）《政府采购促进中小企业发展管理办法》（财库〔2020〕46号）；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（5）《财政部、司法部关于政府采购支持监狱企业发展有关问题的通知》（财库[2014]68号）；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（7）《财政部 发展改革委 生态环境部 市场监管总局关于调整优化节能产品、环境标志产品政府采购执行机制的通知》（财库〔2019〕9号）；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（8）《财政部关于在政府采购活动中查询及使用信用记录有关问题的通知》（财库[2016]125号）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5</w:t>
      </w:r>
      <w:r>
        <w:rPr>
          <w:rFonts w:ascii="SimSun" w:hAnsi="SimSun" w:eastAsia="SimSun" w:cs="SimSun"/>
          <w:color w:val="000000"/>
          <w:sz w:val="21"/>
        </w:rPr>
        <w:t xml:space="preserve">、特别提醒：如您驾车或乘坐地铁至南京江城工程项目管理有限公司参考路线如下：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驾车路线：河西大街→云龙山路河西龙湖天街地下停车场创意路4号出入口→负三层→时代上城写字楼1栋电梯厅高区电梯29楼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地铁路线：地铁10号线中胜站2C号口出，步行约300米至河西龙湖天街1栋写字楼（奈雪的茶旁）高区电梯29楼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电子地图：https://m.amap.com/detail/index/poiid=B0IA1SUE07</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称：南京体育学院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地址：南京市玄武区灵谷寺路8号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联系电话：孙老师，025-84755266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址：南京市建邺区云龙山路89号龙湖时代上城写字楼1栋29楼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联系方式：025-58835827-8015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项目联系人：汪工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话：025-58835827-8015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八、采购公告发布信息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本次采购公告在“江苏省政府采购网”上发布,有关本次采购的事项若存在变动或修改，敬请及时关注“江苏省政府采购网”发布的信息更正公告，其责任由供应商自行承担。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供应商须知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执行《中华人民共和国政府采购法》、《中华人民共和国政府采购法实施条例》、《政府采购货物和服务招标投标管理办法》等有关法律、规章和规定等。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w:t>
      </w:r>
      <w:r>
        <w:rPr>
          <w:rFonts w:ascii="SimSun" w:hAnsi="SimSun" w:eastAsia="SimSun" w:cs="SimSun"/>
          <w:b/>
          <w:color w:val="000000"/>
          <w:sz w:val="21"/>
        </w:rPr>
        <w:t xml:space="preserve">供应商</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“服务”指本招标文件中所述</w:t>
      </w:r>
      <w:r>
        <w:rPr>
          <w:rFonts w:ascii="SimSun" w:hAnsi="SimSun" w:eastAsia="SimSun" w:cs="SimSun"/>
          <w:b/>
          <w:color w:val="000000"/>
          <w:sz w:val="21"/>
        </w:rPr>
        <w:t xml:space="preserve">产品</w:t>
      </w:r>
      <w:r>
        <w:rPr>
          <w:rFonts w:ascii="SimSun" w:hAnsi="SimSun" w:eastAsia="SimSun" w:cs="SimSun"/>
          <w:color w:val="000000"/>
          <w:sz w:val="21"/>
        </w:rPr>
        <w:t xml:space="preserve">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“用户或使用单位”是指使用服务的单位。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中小企业、监狱企业、残疾人福利性单位相关政策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 关于印发统计上大中小微型企业划分办法的通知》国统字〔2011〕75号）。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强制采购节能产品、信息安全产品，优先采购环境标志产品。</w:t>
      </w:r>
      <w:r>
        <w:rPr>
          <w:rFonts w:ascii="SimSun" w:hAnsi="SimSun" w:eastAsia="SimSun" w:cs="SimSun"/>
          <w:color w:val="000000"/>
          <w:sz w:val="21"/>
        </w:rPr>
        <w:t xml:space="preserve">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（1）提供的产品属于信息安全产品的，供应商应当选择经国家认证的信息安全产品，并提供由中国信息安全认证中心按国家标准认证颁发的有效认证证书复印件。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（2）提供的产品属于政府强制采购节能产品的，供应商应当选择《节能产品政府采购清单》中的产品，并提供有效的节能产品认证证书复印件。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（3）提供的产品属于环境标志产品的,供应商应当选择《环境标志产品政府采购清单》中的,且经过认证的环境标志产品投标,并提供有效的环境标志产品认证证书复印件。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4.资格条件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4.1参加采购活动的供应商应当满足满足《中华人民共和国政府采购法》第二十二条规定，并依照规定提供材料。（具体详见招标公告约定）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注意事项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5.1是否接受联合体投标：不接受。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5.2现场考察：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采购人不组织，投标供应商可自行调研。请务必对项目现场和周围环境进行仔细认真地查勘，在随后的采购中，对现场资料和数据所作出的推论、解释和结论及由此造成的后果由供应商负责。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第四章招标项目的技术规格、要求和数量等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招标文件如果要求供应商提交备选投标方案的，供应商可以提交备选方案；否则，备选方案将被拒绝。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供应商被视为充分熟悉本招标项目的各种情况以及与履行合同有关的一切其他情况。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采购代理机构可对已发出的招标文件用更正公告的方式进行必要的澄清或者修改，并以书面形式通知所有获取文件的供应商。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采购代理机构发出的以上澄清或修改的内容文件均作为招标文件的组成部分，与招标文件具有同等法律效力。供应商在收到上述通知后，应立即向采购代理机构回函确认。若无书面回函确认，视同已收到招标文件修改的通知，并受其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7.4当招标文件与以上澄清或修改公告的内容相互矛盾时，以采购代理机构最后发出的澄清或修改为准。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7.5为使供应商有足够的时间按招标文件的澄清或修改要求修正投标文件，采购代理机构有权决定推 迟投标截止时间和开标时间，并按 7.2 条规定的方式通知供应商。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7.6供应商应在投标截止时间前关注原采购信息发布媒体上有关本招标项目有无变更公告。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投标文件应字迹清楚、内容齐全、不得涂改。如有修改，修改处须有供应商公章和法定代表人或其授权的供应商代表签字。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rPr>
          <w:rFonts w:ascii="SimSun" w:hAnsi="SimSun" w:eastAsia="SimSun" w:cs="SimSun"/>
          <w:b/>
          <w:color w:val="000000"/>
          <w:sz w:val="21"/>
        </w:rPr>
        <w:t xml:space="preserve">投标文件应按照招标文件规定的顺序，统一打印、装订成册并编制目录，并加盖公章，由于编排混乱导致投标文件被误读或查找不到或清晰度不够，责任由供应商承担。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供应商应在投标文件中写清相应的项目编号、项目名称、供应商全称、地址、电话、传真等。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8.7正本份数：1份，副本份数：4份，电子版投标文件壹份（电子版须为投标文件盖公章（红章）正本的PDF扫描件，扫描件内容应与纸质文件完全一致。文件名建议修改为公司名+项目编号简写、U盘形式，随纸质正本文件一并提交）。当纸质正本文件与副本、电子版文件不一致时，以纸质正本文件为准。电子版文件用于存档，供应商须承担前述不一致造成的不利后果。每份纸质文件须清楚标明“正本”或“副本”字样，正本需逐页加盖公章，封袋上都应写明招标人名称、项目名称、投标人名称、文件名称，并在封袋上加盖投标人公章、法定代表人或授权代理人印章</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9、联合投标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9.1本次采购不接受联合体投标。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10.1 供应商应承担所有与准备和参加投标有关的费用。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10.2本项目代理服务费（包含与本项目相关的所有代理服务费用）由中标人在领取中标通知书前一次性支付给代理机构。其中招标代理费按照国家计委印发的《招标代理服务收费管理暂行办法》（计价格[2002]1980号）取费标准的40%计取，以中标价为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代理费以电汇方式支付给代理机构。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支付信息：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公司名称：南京江城工程项目管理有限公司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账号：11017420900008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开户行：平安银行雨花支行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11.1供应商应当根据招标文件要求编制投标文件，投标文件应对招标文件提出的要求和条件作出实质性响应，</w:t>
      </w:r>
      <w:r>
        <w:rPr>
          <w:rFonts w:ascii="SimSun" w:hAnsi="SimSun" w:eastAsia="SimSun" w:cs="SimSun"/>
          <w:b/>
          <w:color w:val="000000"/>
          <w:sz w:val="21"/>
        </w:rPr>
        <w:t xml:space="preserve">对带星号（“★”）的技术条款必须在投标文件中提供技术支持资料（如白皮书、彩页、手册、检测报告等），未提供技术支持资料的，评审时不予认可。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供应商根据招标文件载明的标的采购项目实际情况，拟在中标后将中标项目的非主体、非关键性工作交由他人完成的，应当在投标文件中载明。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投标文件由商务部分、技术部分、价格部分，以及其他部分组成。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商务部分是证明供应商有资格参加投标和中标后有能力履行合同的文件，这些文件应能满足招标的要求，包括但不限于下列文件，</w:t>
      </w:r>
      <w:r>
        <w:rPr>
          <w:rFonts w:ascii="SimSun" w:hAnsi="SimSun" w:eastAsia="SimSun" w:cs="SimSun"/>
          <w:b/>
          <w:color w:val="000000"/>
          <w:sz w:val="21"/>
        </w:rPr>
        <w:t xml:space="preserve">其中加★项目不得有缺失或无效</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法定代表人授权委托书原件及委托代理人的身份证复印件（原件备查）；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（3）开标一览表（另外单独密封一份，便于唱标时查找）；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w:t>
      </w:r>
      <w:r>
        <w:rPr>
          <w:rFonts w:ascii="SimSun" w:hAnsi="SimSun" w:eastAsia="SimSun" w:cs="SimSun"/>
          <w:color w:val="000000"/>
          <w:sz w:val="21"/>
        </w:rPr>
        <w:t xml:space="preserve">第一章投标邀请中《中华人民共和国政府采购法》规定的资格条件证明文件；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（5）第一章投标邀请中采购人根据采购项目的特殊要求规定的特定条件证明文件；（本项目无）</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（7）供应商认为需要提供的其他资格证明文件和商务资料等。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13、投标文件的技术部分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技术部分是证明供应商提供的产品和服务是合格的、并符合招标文件要求的证明文件，以及对投标报价表中的服务的详细说明，这些文件可以是文字资料、图纸和数据等。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投标文件应按照招标文件要求提供技术资料、文件和有关证明，包括但不限于</w:t>
      </w:r>
      <w:r>
        <w:rPr>
          <w:rFonts w:ascii="SimSun" w:hAnsi="SimSun" w:eastAsia="SimSun" w:cs="SimSun"/>
          <w:b/>
          <w:color w:val="000000"/>
          <w:sz w:val="21"/>
        </w:rPr>
        <w:t xml:space="preserve">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（1）投标供应商实施本项目拟投入的专业人员一览表；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（2）质量保证及服务承诺；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（3）项目实施方案；</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（5）投标供应商认为需要提供的其他证明文件。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价格部分是对投标货物及服务价格构成的说明，每一项服仅接受一个价格。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14.2政府采购提倡公平竞争，反对低于成本、串通报价、哄抬价格等恶意竞争行为，任何盲目压价、低于成本报价、串通哄抬报价等价格将会被拒绝。报价应低于市场平均价。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14.3本项目投标报价不得超过最高限价，超过为无效投标</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供应商应在《开标一览表》、《投标分项报价》等标明提供货物及服务的</w:t>
      </w:r>
      <w:r>
        <w:rPr>
          <w:rFonts w:ascii="SimSun" w:hAnsi="SimSun" w:eastAsia="SimSun" w:cs="SimSun"/>
          <w:b/>
          <w:color w:val="000000"/>
          <w:sz w:val="21"/>
        </w:rPr>
        <w:t xml:space="preserve">单价、总价以及分项</w:t>
      </w:r>
      <w:r>
        <w:rPr>
          <w:rFonts w:ascii="SimSun" w:hAnsi="SimSun" w:eastAsia="SimSun" w:cs="SimSun"/>
          <w:color w:val="000000"/>
          <w:sz w:val="21"/>
        </w:rPr>
        <w:t xml:space="preserve">报价。供应商系</w:t>
      </w:r>
      <w:r>
        <w:rPr>
          <w:rFonts w:ascii="SimSun" w:hAnsi="SimSun" w:eastAsia="SimSun" w:cs="SimSun"/>
          <w:b/>
          <w:color w:val="000000"/>
          <w:sz w:val="21"/>
        </w:rPr>
        <w:t xml:space="preserve">小企业（含小型、微型企业、监狱企业），</w:t>
      </w:r>
      <w:r>
        <w:rPr>
          <w:rFonts w:ascii="SimSun" w:hAnsi="SimSun" w:eastAsia="SimSun" w:cs="SimSun"/>
          <w:color w:val="000000"/>
          <w:sz w:val="21"/>
        </w:rPr>
        <w:t xml:space="preserve">须在《开标一览表》、《投标分项报价》中注明，如无法划分计算的，将不予认可。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w:t>
      </w:r>
      <w:r>
        <w:rPr>
          <w:rFonts w:ascii="SimSun" w:hAnsi="SimSun" w:eastAsia="SimSun" w:cs="SimSun"/>
          <w:b/>
          <w:color w:val="000000"/>
          <w:sz w:val="21"/>
        </w:rPr>
        <w:t xml:space="preserve">《开标一览表》一份，单独封装并标明“开标一览表”字样，随投标文件一并递交，以便唱标时使用。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应充分考虑到市场价格变动，以及项目实施过程中的不可预见因素，一旦成交，如果有漏项，视同让利。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其他部分由供应商根据编制投标文件需要提供的其他相关文件。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自开标之日起90天内投标有效。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在特殊情况下，在原投标有效期截止之前，代理机构可要求供应商同意延长投标有效期，这种要求与答复均以书面形式提交。供应商可拒绝这种要求。接受延长投标有效期的供应商将不会要求和允许修正其投标，而只会被要求相应地延长其投标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投标文件的正本和副本均由供应商法定代表人或经正式授权并对供应商有约束力的委托代理人签字。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供应商应当将投标文件密封；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供应商应当在招标文件要求提交投标文件的截止时间前，将密封的投标文件送达投标地点。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20、有下列情形之一的投标文件将拒收：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在招标文件要求提交投标文件的截止时间之后送达的。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供应商在投标截止时间前，可以对所递交的投标文件进行补充、修改或撤回，并书面通知代理机构。补充、修改的内容应当按照招标文件要求签署、盖章，并作为投标文件的组成部分。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投标截止时间过后，投标文件不得撤回；如果撤回的，一年内不得参加南京市政府采购中心组织的政府采购活动。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四、开标、评标与确定中标供应商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代理机构将在招标文件确定的时间和地点进行公开开标。供应商应委派代表准时参加，参加开标的代表须签名报到以证明其出席。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开标时，代理机构将邀请供应商代表或公证机构检查投标文件的密封情况，经确认无误后，由代理机构工作人员当众拆封，宣读供应商名称、投标价格、价格折扣、招标文件允许提供的备选投标方案和投标文件的其他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未宣读的投标价格、价格折扣和招标文件允许提供的备选投标方案等实质性内容，评标时不予承认。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开标时，《开标一览表》内容与投标文件中明细表内容不一致的，以《开标一览表》为准。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 投标文件、《开标一览表》中报价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该两家供应商进行竞争性谈判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23.1 评标组织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（4）向财政部门报告非法干预评标工作的行为。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 评标程序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23.2.1 投标文件的资格性检查。</w:t>
      </w:r>
      <w:r>
        <w:rPr>
          <w:rFonts w:ascii="SimSun" w:hAnsi="SimSun" w:eastAsia="SimSun" w:cs="SimSun"/>
          <w:color w:val="000000"/>
          <w:sz w:val="21"/>
        </w:rPr>
        <w:t xml:space="preserve">公开招标采购项目开标结束后，招标人或者招标代理机构应当依法对投标人的资格进行审查。合格投标人不足3家的，不得评标。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23.2.2投标文件的符合性检查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（1）未按照招标文件规定要求密封、签署、盖章的；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（2）未按照招标文件提供资格材料；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 ）服务承诺和付款条件未响应招标要求的；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 ）提供虚假材料的（包括营业执照、财务报表、资格证明文件等）；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 ）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7）改变采购文件提供的项目清单中的计量单位、数量；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 ）改变采购文件规定的暂定价格或不可竞争费用的；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 ）响应文件载明的采购项目完成期限超过采购文件规定的期限；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 ）明显不符合技术规范、技术标准的要求；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（11）法律、法规和招标文件规定的其他无效情形。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（12）不符合法律、法规和采购文件规定的其他实质性要求的。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23.2.3 实质性要求是指本招标文件中用★号标注的要求。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23.2.4</w:t>
      </w:r>
      <w:r>
        <w:rPr>
          <w:rFonts w:ascii="SimSun" w:hAnsi="SimSun" w:eastAsia="SimSun" w:cs="SimSun"/>
          <w:color w:val="000000"/>
          <w:sz w:val="21"/>
        </w:rPr>
        <w:t xml:space="preserve">有下列情形之一的予以废标，同时将废标理由通知所有供应商：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23.2.5 </w:t>
      </w:r>
      <w:r>
        <w:rPr>
          <w:rFonts w:ascii="SimSun" w:hAnsi="SimSun" w:eastAsia="SimSun" w:cs="SimSun"/>
          <w:color w:val="000000"/>
          <w:sz w:val="21"/>
        </w:rPr>
        <w:t xml:space="preserve">在评标期间，出现符合专业条件的供应商或者对招标文件作出实质性响应的供应商不足三家情形的，比照22.6款执行。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23.2.6 </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23.2.7 </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23.3 评标方法和标准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23.3.1 </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采用综合评分法。即在最大限度地满足招标文件实质性要求前提下，按照招标文件中规定的各项因素进行综合评审后，以评标总得分最高的投标供应商作为中标候选供应商或者中标供应商的评标方法。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23.3.2 </w:t>
      </w:r>
      <w:r>
        <w:rPr>
          <w:rFonts w:ascii="SimSun" w:hAnsi="SimSun" w:eastAsia="SimSun" w:cs="SimSun"/>
          <w:color w:val="000000"/>
          <w:sz w:val="21"/>
        </w:rPr>
        <w:t xml:space="preserve">综合评分的主要因素是：</w:t>
      </w:r>
      <w:r>
        <w:rPr>
          <w:rFonts w:ascii="SimSun" w:hAnsi="SimSun" w:eastAsia="SimSun" w:cs="SimSun"/>
          <w:b/>
          <w:color w:val="000000"/>
          <w:sz w:val="21"/>
        </w:rPr>
        <w:t xml:space="preserve">评分标准详见第三章。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24、确定中标供应商</w:t>
      </w:r>
      <w:r/>
    </w:p>
    <w:p>
      <w:pPr>
        <w:ind w:left="422"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24.1综合比较与评价后按照得分高低顺序对供应商进行排列。得分相同的，按投标报价由低到高顺序排列。得分且投标报价相同的，按技术指标优劣顺序排列。</w:t>
      </w:r>
      <w:r/>
    </w:p>
    <w:p>
      <w:pPr>
        <w:ind w:left="422"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评标委员按照评审得分由高到低顺序推荐3名中标候选人。</w:t>
      </w:r>
      <w:r/>
    </w:p>
    <w:p>
      <w:pPr>
        <w:ind w:left="422"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24.2按以下第（2）种方式确定中标供应商</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（1）评标委员会直接确定排名第一的中标候选人为中标供应商；</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（2）采购人在评标委员会推荐的中标候选人中按顺序确定中标供应商。</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按第二种方式确定中标供应商的，采购人自评审结束之日起两个工作日内将评审报告送交采购人，采购人应当自收到评审报告之日起五个工作日内，在评审报告推荐的中标候选人中按顺序确定中标供应商。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中标供应商确定后，将在江苏省招标投标公共服务平台发布媒体上公告，并向中标供应商发出中标通知书。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中标通知书发出后，采购人或中标供应商拒绝签订合同的，拒绝签订合同的一方应至少向另一方支付一定金额的补偿金，以及为招标、投标所发生的有关费用和双方商定的其他补偿。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24.6 中标通知书发出后，中标供应商无正当理由不与采购人签订合同的，情节严重的，由财政部门将其列入不良行为记录名单，在一至三年内禁止参加政府采购活动，并予以通报。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 代理机构对未中标的投标供应商不作未中标原因的解释。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 所有投标文件都将作为档案保存，不论中标与否，代理机构均不退回。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评标委员会根据全体评标成员签字的原始评标记录和评标结果编写评标报告。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凡是与审查、澄清、评价和比较投标的有关资料等，均不向供应商及与评标无关的其他人员透露。</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中标供应商应当自中标通知书发出之日起三十日内，按照招标文件和中标供应商投标文件的约定与采购人签订采购合同，所签订的合同不得对招标文件和中标供应商投标文件作实质性修改。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六、询问、质疑、投诉和诚实信用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供应商对招标活动事项有疑问的，可以向代理机构或采购人提出询问，代理机构或采购人将在两个工作日内作出答复，但答复的内容不涉及商业秘密。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 质疑文件应包括以下主要内容，并按照“谁主张、谁举证”的原则，附上相关证明材料。否则，代理机构或采购人不予受理：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（2）提起质疑的日期、具体的质疑事项及事实根据（具体条款）；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（4）质疑供应商名称、地址、邮编、联系人、联系电话（包括座机、手机、传真号码等）；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（5）质疑文件应当署名，质疑人为自然人的，应当由本人签字并附有效身份证明；质疑人为法人或其他组织的，应当由法定代表人签字并加盖单位公章。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（6）供应商委托代理质疑的，应当向被质疑人提交授权委托书，并载明委托代理的具体权限和事项。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 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作出答复，并以书面或在网站公告形式通知质疑供应商和其他有关供应商，答复的内容不涉及商业秘密。代理机构遵循“谁过错谁负担”的原则，有过错的一方承担调查论证费用。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质疑文件接收信息：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（1）接收单位：采购代理机构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（2）联系人：汪工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（3）联系电话：025-58835827-8015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（4）联系邮箱：764931374@qq.com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（5）接收地址：南京市建邺区云龙山路89号龙湖时代上城写字楼1栋29楼（高区3号电梯厅进入）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30.1质疑供应商对代理机构的答复不满意，或代理机构未在规定的时间内作出答复的，可以在答复期满后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向采购项目同级财政部门投诉。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 供应商之间不得相互串通投标报价，不得妨碍其他供应商的公平竞争，不得损害采购人和其他供应商的合法权益。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 供应商不得虚假承诺，否则，按照提供虚假材料谋取中标成交处理。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 供应商应自觉遵守开标、评标纪律，扰乱开标评标现场秩序的，属于失信行为，根据《江苏省政府采购供应商监督管理暂行办法》，失信行为将被记入供应商诚信档案。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422"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的主要因素是：价格、商务部分、技术部分等；评标委员会按照招标文件中规定的各项因素进行综合评审，本评分标准中价格、商务部分为客观分，由评标委员会统一打分；技术部分为主观分，由采购人代表及评委各自独立打分，取评标委会所有成员打分的平均值；汇总上述分值后为每一家供应商单位的最终得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7"/>
        <w:gridCol w:w="782"/>
        <w:gridCol w:w="5720"/>
        <w:gridCol w:w="660"/>
      </w:tblGrid>
      <w:tr>
        <w:trPr>
          <w:trHeight w:val="3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其他投标供应商的价格分统一按照下列公式计算：投标报价得分=(评标基准价/投标报价)×30（小数点保留两位）</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注：评标小组认为供应商的报价明显低于其他通过符合性审查供</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应商的报价，有可能影响产品质量或者不能诚信履约的，评标小</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组有权要求其在评标现场合理的时间内提供书面说明。必要时提</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交相关证明材料；供应商不能证明其报价合理性的，评标小组将</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其作为无效处理。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投标人必须按照招标文件第四章“三、技术参数要求”中“基本参数”要求进行逐条响应。评审委员会根据投标文件中产品的技术部分响应情况进行评分：</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所投产品技术部分完全响应招标文件要求的得40分；招标文件中标注“</w:t>
            </w:r>
            <w:r>
              <w:rPr>
                <w:rFonts w:ascii="SimSun" w:hAnsi="SimSun" w:eastAsia="SimSun" w:cs="SimSun"/>
                <w:b/>
                <w:color w:val="000000"/>
                <w:sz w:val="21"/>
              </w:rPr>
              <w:t xml:space="preserve">★</w:t>
            </w:r>
            <w:r>
              <w:rPr>
                <w:rFonts w:ascii="SimSun" w:hAnsi="SimSun" w:eastAsia="SimSun" w:cs="SimSun"/>
                <w:color w:val="000000"/>
                <w:sz w:val="21"/>
              </w:rPr>
              <w:t xml:space="preserve">”的内容为必须满足项并提供要求的证明材料，不满足为无效投标。</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招标文件中标注“</w:t>
            </w:r>
            <w:r>
              <w:rPr>
                <w:rFonts w:ascii="SimSun" w:hAnsi="SimSun" w:eastAsia="SimSun" w:cs="SimSun"/>
                <w:b/>
                <w:color w:val="000000"/>
                <w:sz w:val="21"/>
              </w:rPr>
              <w:t xml:space="preserve">▲</w:t>
            </w:r>
            <w:r>
              <w:rPr>
                <w:rFonts w:ascii="SimSun" w:hAnsi="SimSun" w:eastAsia="SimSun" w:cs="SimSun"/>
                <w:color w:val="000000"/>
                <w:sz w:val="21"/>
              </w:rPr>
              <w:t xml:space="preserve">”的内容为重要参数，有负偏离的每项扣1分；其他参数有负偏离的每项扣0.5分，扣完为止。（负偏离不得改变该产品品质等级和性能使用，严重负偏离且影响产品性能的，经半数以上评委认定，本项不得分）。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需在技术条款偏离表中逐条进行应答，列明所投产品详细技术特性，并说明偏离情况。标注“▲”项的技术参数需在投标文件中提供招标文件要求的证明材料，以佐证所投产品的主要技术参数及功能。未提供相关证明材料的视为负偏离。未标注“▲”项的技术参数以技术条款偏离表响应为准，如另有要求的，从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或制造商企业自2021年6月1日以来承担类似供货业绩，每提供1个得2分，最多6分。（需提供中标（成交）通知书、合同等证明资料复印件加盖公章，时间以合同签订时间为准。证明资料须清晰可见采购单位、产品清单、签订日期等相应内容，否则不得分，原件备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3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）项目总体实施方案：根据项目总体实施方案的合理性、可行性等进行综合评审。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项目总体实施方案合理、可行性强得5分；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项目总体实施方案浅显、可行性一般得3分；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项目总体实施方案逻辑不通、没有可行性得1分；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）进度计划及保障措施：根据供应商提供的项目完成进度计划、保障措施的合理性、可行性、周全性等进行综合评审。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项目完成进度计划、保障措施的合理性、可行性、周全性等内容优秀的得4分；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项目完成进度计划、保障措施的合理性、可行性、周全性等内容有瑕疵的得2分；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项目完成进度计划、保障措施的合理性、可行性、周全性等内容缺失得1分；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3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（3）服务质量控制措施：根据供应商提供的服务质量控制措施的科学性和合理性进行综合评审；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服务质量控制措施完善具体且科学合理的得5分；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服务质量控制措施稍有欠缺，有一定的合理性的得3分；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服务质量控制措施笼统、表述不清的得1分；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使用部门老师的培训方案及培训计划：根据供应商提供的对使用部门老师的培训方案及培训计划（培训内容包括但不限于从系统的性能、分析原理、软件及设备架构、故障判断及处理、系统和设备的操作要领、系统维护及保养、数据处理等方面对用户的人员进行理论和实际操作的培训）的合理性、完整性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对使用部门老师的培训方案及培训计划有针对性，内容完善、科学合理，且承诺保证使用部门老师能独立进行系统管理、故障处理、日常测试维护等工作的得3分；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对使用部门老师的培训方案及培训计划内容不完整且科学合理及可行性欠缺，能基本保证使用单位能操作和正常诊断及使用的得2分；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对使用部门老师的培训方案及培训计划笼统、表述混乱的得1分；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（5）为了更好地提供服务，本项目须提供至少1名从事多媒体技术服务2年以上的人员驻场（近半年（</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月）任意连续三个月的社保证明）。按照校方要求出勤，累计服务时长以工作日计算。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承诺提供30个工作日得1分；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承诺提供60个工作日得2分；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承诺提供90个工作日得3分；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不能满足本要求或未提供的不得分。（提供承诺书原件）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若履行过程与当初承诺不一致，校方有权不支付尾款，并对中标方追责。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在满足招标文件中免费质保期要求的基础上每增加一年得1分，最高得2分，基础质保不得分。（单独提供承诺书原件）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投标人具有多媒体教室或实验室管理系统软件著作权登记证书得2分，不提供不得分。（提供证书复印件加盖公章）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说明：</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2.对小微企业生产的产品给予投标价的10%价格扣除，用扣除后的价格参与评审。</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大中型企业和其他自然人、法人或者其他组织与小型、微型企业组成联合体共同参加投标，如果联合协议中约定，小型、微型企业的协议合同金额占到联合体协议合同总金额30%以上的，给予联合体4%的价格扣除。联合体各方均为中小型、微型企业的，联合体视同为小型、微型企业享受10%价格扣除，用扣除后的价格参与评审。</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小企业（含小型、微型企业）应当同时符合以下条件：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如未按要求填写和提供有效证明或相关内容表述不清的，不得享受价格扣除。</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4.所有认证、证明和业绩除上表要求外均须提供有效的证明材料复印件加盖公章；相关技术证明材料需携带相关检测报告、产品手册或白皮书等证明材料（或公证件）原件至现场备查。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color w:val="000000"/>
          <w:sz w:val="21"/>
        </w:rPr>
        <w:t xml:space="preserve">采购标的对应的中小企业划分标准所属行业：工业。</w:t>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rPr>
          <w:rFonts w:ascii="SimSun" w:hAnsi="SimSun" w:eastAsia="SimSun" w:cs="SimSun"/>
          <w:b/>
          <w:color w:val="000000"/>
          <w:sz w:val="36"/>
        </w:rPr>
        <w:t xml:space="preserve">第四章招标项目需求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本项目包含南京体育学院灵谷寺校区</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间标准教室更新（大屏、讲台、中控、扩声），改造升级</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间大教室讲台和中控。以及仙林校区新建设教室</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间小教室（大屏、讲台、中控、扩声），改造升级</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间小教室（讲台、中控和扩声），</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间大教室（讲台、中控和扩充显示）。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二、建设内容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、建设内容包括：智慧黑板、一体化扩声、一体化智能讲台、多媒体控制系统。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黑板：采用三拼接平面一体化设计，兼顾多媒体展示与板书书写。降低师生长时间观看的视觉疲劳，减轻青少年学生视力下降的问题的发生；大幅度改善教室内声学环境，让前排学生不觉得嘈杂，后排学生听得清晰，呵护师生听力健康；实现传统以展示为目的黑板和电视向智能交互、深度物联、高度稳定的多媒体交互显示设备的全面升级，打造内容丰富、互动频繁的现代信息化教学模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、一体化扩声：在保证音质的同时兼顾性价比，即连即用，简单操作。教室通过无感扩声的搭配方案，集成音频处理器、功放、音柱。智能降噪，支持啸叫抑制。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一体化智能讲台：一体化智能讲台集成了讲台控制屏，升降讲桌，机柜三部分。讲台控制屏护眼，同时能够调整屏体角度，且支持同步控制智慧黑板显示内容，支持触控及书写，适配多种教师授课场景。升降讲桌符合人体工学设计，适配站、坐两种姿势，让教师备授课更舒适。配套机柜能够放置</w:t>
      </w:r>
      <w:r>
        <w:rPr>
          <w:rFonts w:ascii="Times New Roman" w:hAnsi="Times New Roman" w:eastAsia="Times New Roman" w:cs="Times New Roman"/>
          <w:color w:val="000000"/>
          <w:sz w:val="21"/>
        </w:rPr>
        <w:t xml:space="preserve">PC</w:t>
      </w:r>
      <w:r>
        <w:rPr>
          <w:rFonts w:ascii="SimSun" w:hAnsi="SimSun" w:eastAsia="SimSun" w:cs="SimSun"/>
          <w:color w:val="000000"/>
          <w:sz w:val="21"/>
        </w:rPr>
        <w:t xml:space="preserve">或教学用具，满足更多应用场景需求。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、多媒体控制系统：目前教室设备众多，对设备管理复杂，智能设备集中控制系统，通过与教室多媒体设备智能互联，实现教室多媒体设备的本地管控及远程运维，降低运维人力，提升教师体验。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建设目标：借助新一代信息技术对现有教室进行升级改造，参照“智慧教室空间建设标准”，通过信息化设备辅助，打造设备互联、数据互联、师生互联的智慧学习教室。通过多媒体教室设备更新，提升学院整体信息化教学环境，打造智慧化教学系统，提高授课教师综合信息化教学素养，提升学生信息化学习思维，以创新的教学资源管理体系和互联网教学模式，促进教育内容、教学手段和教学方法的信息化、现代化，让课堂变得简单、高效，让管理变得更便捷、智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三、技术参数要求：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3"/>
        <w:gridCol w:w="1144"/>
        <w:gridCol w:w="5616"/>
        <w:gridCol w:w="665"/>
        <w:gridCol w:w="993"/>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一、整机设计：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采用全金属外壳，三拼接平面一体化设计，外观尺寸：宽≥4200mm，高≥1200mm，厚≤110mm；屏幕边缘采用金属圆角包边防护，整机背板采用金属材质，有效屏蔽内部电路器件辐射；防潮耐盐雾蚀锈，适应多种教学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屏幕尺寸不低于86英寸，屏幕采用超高清LED液晶显示屏，显示比例16:9，分辨率≥3840×2160；屏幕表面采用全物理钢化玻璃，支持防眩光功能，玻璃表面硬度≥9H。（提供技术提供技术白皮书、产品彩页等相关证明文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3.▲屏幕采用全贴合技术，电容触控方式，支持Windows系统中进行40点或以上触控，支持Android系统中进行40点或以上触控。（提供CNAS或CMA认证的检测机构出具的检测报告复印件并加盖投标人公章）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5.▲整机内置非独立外扩展的8阵列麦克风，拾音角度≥180°，可用于对教室环境音频进行采集，拾音距离≥12m。（提供CNAS或CMA认证的检测机构出具的检测报告复印件并加盖投标人公章）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6.整机全通道支持纸质护眼模式，可实现画面纹理的实时调整；支持纸质纹理：牛皮纸、素描纸、宣纸、水彩纸、水纹纸；支持透明度调节；支持色温调节。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整机支持发出频率为18kHz-22kHz超声波信号，智能手机通过麦克风接收后，智能手机与整机无需在同一局域网内，可实现配对，一键投屏功能，用户无需再手动输入投屏码或扫码获取投屏码。（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9.▲整机支持蓝牙Bluetooth 5.4标准，固件版本号HCI13.0/LMP13.0；Wi-Fi制式支持IEEE 802.11 a/b/g/n/ac/ax；内置双WiFi6无线网卡，Wi-Fi及AP热点支持频段2.4GHz/5GHz。（提供CNAS或CMA认证的检测机构出具的检测报告复印件并加盖投标人公章）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整机上边框内置非独立式3个智能拼接摄像头，视场角≥141度且水平视场角≥139度，可拍摄≥1600万像素的照片，支持输出8192×2048分辨率的照片和视频，支持画面畸变矫正功能。（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11.▲整机支持提笔书写，在Windows系统下可实现无需点击任意功能入口，当检测到触控笔笔尖接触屏幕时，自动进入书写模式。（提供CNAS或CMA认证的检测机构出具的检测报告复印件并加盖投标人公章）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13.▲整机支持上边框内置非独立摄像头模组，同时输出至少 3 路视频流，同时支持课堂远程巡课、课堂教学数据采集、本地画面预览（拍照或视频录制）。（提供CNAS或CMA认证的检测机构出具的检测报告复印件并加盖投标人公章）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整机Windows通道支持文件传输应用，支持通过扫码、wifi直联、超声三种方式与手机进行连接，实现文件传输功能；接收的文件支持单份删除；接收的文件支持手动全部清空，为防止误清空，全部清空需要经过二次确认。（提供CNAS或CMA认证的检测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1.CPU≥14核处理器20线程，最大主频≥4.0GHz；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2.显卡≥96个执行单元，最大频率≥1.5GHz，内存≥16GB，硬盘≥512GB M.2 NVMe SSD；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3.接口：USB3.0≥2个（USB 3.2 Gen2）；USB2.0≥1个；HDMI2.1输出≥1；DP1.4输出≥1；RJ45≥1；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4.机箱体积：＜2L。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1.屏幕物理尺寸≥65吋、分辨率≥3840*2160、刷新率≥60Hz、可视角度≥±176度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3.支持HDMI接入检测开机，HDMI有输入信号后，可自动开机，至少有3个HDMI接口支持该功能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4.支持HDMI接入检测关机，HDMI输入信号消失后2分钟，可自动进入关机状态，至少有3个HDMI接口支持该功能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5.无开机广告。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一体化扩声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一体化扩声由扩声音响和麦克风构成。每套设备配置2台麦克风，即37套主机，74套麦克风。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1.无线麦克风集音频发射处理器、天线、电池、拾音麦克风于一体，配合一体化有源音箱，无需任何外接辅助设备即可实现本地扩声功能。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2.▲采样率≥48KHz，16bit；扩音增益≥15dB；声频响150Hz-16kHz，声信噪比≥60dB；配合一体化有源音箱，扩音延时≤35ms。（提供CNAS或CMA认证的检验中心所出具的检测报告复印件并加盖投标人公章）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3.▲用Wi-Fi射频频段传输，有效避免环境中运营商U段（700MHz）信号干扰。（提供CNAS或CMA认证的检验中心所出具的检测报告复印件并加盖投标人公章）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4.▲支持2.4GHz与5GHz双频段工作，信道数量≥26个。（提供CNAS或CMA认证的检验中心所出具的检测报告复印件并加盖投标人公章）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5.电续航时间≥7小时，满电状态可满足一天内10节课（45分钟/一节课）的高频授课，充电10分钟满足一节课授课时间。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6.▲采用红外对码方式连接，避免连接到其他教室音箱。可在5S内快速完成与教学扩声音箱对码，无需繁琐操作。（提供CNAS或CMA认证的检验中心所出具的检测报告复印件并加盖投标人公章）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7.具备3.5mm外置麦克风接口，无线传输有效距离≥15 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8.为保证兼容性及稳定性，无线麦克风需与一体化有源音箱为同一品牌厂家。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扩声音响：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1、采用功放与有源音箱一体化设计，内置麦克风无线接收模块，帮助教师实现多媒体扩音以及本地扩声功能。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2、输出额定功率≥ 2x15W。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3、距离音箱10米处声压级≥75dB。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4、具备≥1路电源开关、≥1路Line in、≥1路USB 接口（USB接口可外接U盘设备对音箱固件进行升级）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5、▲支持无线麦克风扩音接收，采用Wi-Fi射频2.4GHz与 5GHz双频段传输，有效避免环境中运营商U段（700MHz）的信号干扰。（提供CNAS或CMA认证的检验中心所出具的检测报告复印件并加盖投标人公章）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6、▲采用红外对码方式，避免连接到其他教室音箱。可快速完成与教学扩声麦克风对码，无需繁琐操作。（提供CNAS或CMA认证的检验中心所出具的检测报告复印件并加盖投标人公章）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7、配置独立音频数字信号处理芯片，支持啸叫抑制功能。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8、支持蓝牙无线接收，可分享移动设备上的音频。支持密码模式，防止学生连接。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9、支持教室多媒体设备通过蓝牙无线连接音箱，实现控制有源音箱的音量的功能。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10、为保证兼容性及稳定性，一体化有源音箱需与为无线麦克风同一品牌厂家。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一体化智能讲台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讲台桌体要求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▲1.钢木结合设计，采用冷轧钢板桌体，桌体木板厚度≥16mm，钢版厚度≥1.2mm。老师接触位置为木质桌面。（需提供CMA或CNAS认证机构出具的检测报告复印件并加盖投标人公章）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▲2.讲台尺寸设计为长×宽×高≥1200mm×600mm×900mm，讲台桌面支持升降功能，桌面距地高度≥780～1080mm，讲台桌面高度适合老师站坐教学。（需提供CMA或CNAS认证机构出具的检测报告复印件并加盖投标人公章）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3.讲台桌面平整，全封闭设计，无菱角处理，保护师生安全。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▲4.讲台桌最大承重为≥120kg，结构稳固，可满足垂直平面水平位置≥110N推力位移仍不超过5mm的移动。（需提供CMA或CNAS认证机构出具的检测报告复印件并加盖投标人公章）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5.讲台升降控制器设计为LED数显、上下升降、支持一键调节坐姿和站姿操作。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6.讲台桌可搭配可锁独立收纳柜，收纳空间内含1个≥12U标准机柜，用于教室内多媒体主机类设备的安装，收纳柜支持延展桌面功能，方便老师放置其它物品。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7.讲台桌标配折叠式水杯收纳功能，避免老师授课时自带水杯的倾倒，造成不便。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8.讲台桌标配大容量收纳空间，支持键盘、鼠标、书写笔、麦克风等常用教学工具的存储和充电需求。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讲台屏要求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1.讲台屏设计为单屏幕，由一整块玻璃覆盖，钢化玻璃厚度≥2mm；屏幕融合在讲台中，无突出边角，无法在没有工具的情况下拆除。讲台屏玻璃采用G1级防眩光工艺，降低眩光干扰和镜面反射带来的视觉影响。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▲2.讲台屏采用≥23.8英寸电容触摸屏幕，支持至少10点同时触摸。（需提供CMA或CNAS认证机构出具的检测报告复印件并加盖投标人公章）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▲3.讲台屏支持手动角度调节，可实现与桌面形成20°至80°角度调节。（需提供CMA或CNAS认证机构出具的检测报告复印件并加盖投标人公章）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4.讲台屏支持对交互智能平板画面的同屏显示和控制；老师讲课无需转身背对学生，提高授课效率。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▲5.讲台屏内置NFC模块，讲台屏至少支持NFC刷卡、二维码等方式实现设备使用前的用户身份认证。（需提供CMA或CNAS认证机构出具的检测报告复印件并加盖投标人公章）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6.讲台屏设置物理实体快捷按键，按键数量≥6个。用户可通过快捷按键对一体机进行进行一键熄屏、音量加控制、音量减控制等操作。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7.讲台屏侧边有≥2个USB充电口、≥1个USB type-C接口、≥1个HDMI IN口、至少1路RS232命令信号输出、≥1个220V国标五插电源接口，方便教学应用。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▲8.讲台屏自带定制化独立操作系统，基于安卓11及以上版本，可在任意通道下唤出多功能中控菜单并实现相关操作。（需提供CMA或CNAS认证机构出具的检测报告复印件并加盖投标人公章）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讲台屏可设置中控菜单，支持一键上课及下课两种场景控制，也可以对连接的设备单独控制开关机。讲台屏可设置中控菜单，支持通过讲台通道控制功能使讲台主屏在四个输入源中切换，包括智能平板、电脑、HDMI、Type-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机柜要求：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1.采用钢木结合设计，冷轧钢板柜体，柜体桌面木板厚度≥15mm，钢板厚度≥1mm防水、防磨、耐污、耐刮划、抗氧化、老师接触位置为木质桌面，桌面防静电。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2.机柜尺寸设计为长×宽×高≥700mm×600mm×780mm，机柜容量≥12U,可适装标准19英寸系列网络、通讯类产品。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3.机柜桌面平整，全封闭设计，无菱角处理，保护师生安全。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4.机柜支脚采用4个万向高承重脚轮，方便移动，同时带有自锁功能。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5.散热孔位置：正面门板+侧面。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6.每个机柜标配1个板凳。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多媒体系统平台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系统采用B/S架构，以浏览器登录的管理方式，支持同一账号在多个终端同时登录；支持用户在安卓、IOS、Windows等操作系统通过浏览器登录并访问融合平台，可支持微信扫码及账号密码登陆。（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2.支持微信小程序登陆，自动适配移动端H5页面，支持在移动端浏览教室监控和计算机桌面。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3.融合平台支持集中显示、远程控制教室所有受控设备开关状态，至少包括：一体机、电脑、投影机，并支持智能延时开关机保护。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4.融合平台支持选定多个教室的多媒体设备，进行一键开启和关闭，至少包括：一体机、电脑、投影机。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融合平台支持对教室多媒体设备功耗和电脑状态的监测，包括：查看教室内设备能耗（包含电脑、投影、中控等），教室电脑的实时运行状态（包含IP地址、MAC地址、CPU和内存的使用率、磁盘的使用率等）。（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6.融合平台能够实时反馈教室及设备的状态，如设备故障告警、设备异常使用、空闲教室、策略运行状态等，其中设备故障警告可以根据教室的排课情况进行优先级分类，每类状态均能查看详细的描述。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7.融合平台支持记录设备每次开关机时间和对应的操作人员，方便管理员对设备进行监管。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融合平台可自动执行用户设定的自动化策略，包括自动开机策略、自动关机策略。策略可按周循环、按课表执行等重复模式，也可设定控制的教室范围、执行时间等，用户可随时启用/停用已设定的自动化策略。（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融合平台支持建立设备的各类周期性维护计划，支持管控自定义需求添加，包括投影机灯泡更换、滤网除尘等，在到期后平台可自动提醒相应维护人员。（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融合平台支持在线巡检功能，巡检画面含教师监控视频画面、学生监控视频画面、教学电脑三路同时显示。可收听老师上课声音，具备课程信息、老师信息，实时根据课表更新课程信息；根据巡课情况，老师可在巡课界面进行备注记录。（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融合平台支持图像巡课和列表巡课两种模式。图像巡课支持单页面同时显示不少于6间教室的监控视频画面，且每个画面都需至少包含教室信息、课程信息、上课教师等信息；列表巡课支持以表格的形式快速罗列当前所有的教室列表和对应的课程信息、上课教师等信息。（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融合平台提供故障处理跟踪功能，能够对每个故障进行工单派遣，对整个处理流程进行跟踪、监管，并对上门服务人员、报障人、故障类型及故障描述进行记录。（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13.融合平台能够跟踪故障的处理状态，并对上门服务人员、处理过程、处理时间进行记录，方便管理人员把控故障处理整体情况，运维人员回溯各类故障的处理过程。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14.融合平台可与教室内的中控主机及中控面板联动，检测教室设备的运行状态，一旦发现投备出现异常或故障，将立即向管理人员发出。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融合平台支持对教室端的多媒体设备进行资产统计管理功能，可以通过平台对前端设备的状态、所属教学楼、教室名、设备类型、品牌、型号、采购日期、使用时长、录入时间、采购部门等信息进行统计，并生成相关的统计报表，设备信息维护过程中可以Excel表格批量导入、导出。（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16.融合平台支持实时发送文字消息到指定教室的电脑画面上，并可设置显示时长、限制位置，支持强制开机推送。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17.融合平台支持教室使用率分析、设备使用时间和寿命统计、设备故障统计分析。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18.融合平台支持自动采集运维业务和教室设备状态数据，并智能分析处理，为管理人员推送运维建议，包括但不限于教室长期未巡检提醒和故障长期未处理提醒等。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19.支持对设备的各种异常进行告警，包括但不限于设备离线、设备老化告警等，点击每类告警信息能看到详细故障告警情况。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融合平台支持调换教室功能，特殊情况下为管理老师智能推荐可调换的教室。平台具备智能查找教室功能，可根据使用时间、教室类型、所需设备等条件，快速筛选出合适的教室。（提供技术提供技术白皮书、产品彩页等相关证明文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21.融合平台支持与学校教务系统、一卡通系统对接，支持导入学校课程表内容，根据课表时间、地点自动开启/关闭设备；支持在web管理页面直接编辑课表，实现快速调课。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22.▲系统需实现与刷卡功能的联动，通过刷卡来控制设备，系统可以记录每张卡的详细信息，名字、工号、院系、联系方式、卡号等。（提供技术提供技术白皮书、产品彩页等相关证明文件加盖投标人公章）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语音通话功能，便于远程协助排障，系统能自动将每次通话的主叫课室、开始时间、通话时长、通话内容进行记录，可以对录音进行播放、删除（需要提供权限才可以进行操作），便于对出现问题的进行追溯。（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23.配套桌面音响：</w:t>
            </w:r>
            <w:r>
              <w:rPr>
                <w:rFonts w:ascii="SimSun" w:hAnsi="SimSun" w:eastAsia="SimSun" w:cs="SimSun"/>
                <w:color w:val="000000"/>
                <w:sz w:val="21"/>
                <w:highlight w:val="white"/>
              </w:rPr>
              <w:t xml:space="preserve">扬声器单元包含1个4.75英寸低音喇叭、4个1.5英寸全频喇叭、1个1.25英寸高音喇叭、2个无源辐射器；3.5mm Aux in音频接口；支持NFC。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24.配备13.2寸多媒体系统移动控制器。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25.配备移动调试终端（屏幕≥14.2英寸，2.5K，触控；CPU≥12核心，20线程；内存32G；硬盘1TB）。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多媒体控制系统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一、中控主机：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1.机身不超过1U高度，方便在讲桌及机柜内安装部署。机身具有把手设计，可以快速在机柜拔出，方便后期维护。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2.机身前面板采用铝合金拉丝工艺，美观大方；整身采用全金属外壳设计，坚固耐用，有效屏蔽电磁辐射干扰。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▲具备HDMI2.0视频输入接口≥4个，输出接口≥2个，要求HDMI输入输出分辨率均不低于4K@60Hz（提供CNAS或CMA认证的检验中心所出具的检测报告复印件并加盖投标人公章）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HDMI视频矩阵功能，HDMI输入输出端口由控制协议进行自定义配置；HDMI可同时输出，支持输出相同或不同的视频输入源；每个HDMI输出完全独立，均支持自适应模式。（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HDMI支持音视频分离能力，支持HDMI信号内的音频，自动分离到音频模块，方便连接外置功放音箱设备。（提供CNAS或CMA认证的检验中心所出具的检测报告复印件并加盖投标人公章）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6.具备立体声3.5mm音频输入口≥2个，立体声3.5mm音频输出接口≥2个。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支持立体声音频输入和HDMI音频混音后从音频输出口送出，支持在本地及远程对输出总音量进行调节。（提供CNAS或CMA认证的检验中心所出具检测报告复印件并加盖投标人公章）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8.具备USB2.0 TYPE-A类型输入接口≥3个，USB2.0 TYPE-B类型输出接口≥2个。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9.主机内置PDU模块，配备独立保险丝，具备220V受控输出电源≥2路，220V输入电源≥1路；主机内置物理开关，可对中控主机进行一键物理断电。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10.受控电源支持时序供电、延时断电功能，可分别设置受控电源接口的供电、断电顺序及延迟时间，实现投影机、计算机等设备系统正常关机后才切断设备电源，避免强制断电对设备造成损害；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二、中控面板：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1.▲整机一体化斜角设计，采用10.1英寸电容显示屏，支持10点触控，屏幕分辨率≥1920*1200。（提供CNAS或CMA认证的检验中心所出具检测报告复印件并加盖投标人公章）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2.内置IC卡刷卡器，ISO/IEC 14443 A and B, FeliCa™，支持通过IC卡刷卡方式实现设备管控权限。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3.内置高灵敏度全向麦克风，拾音半径不小于1米，用于报修语音通话功能。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4.内置双喇叭设计，支持语音播报及报修语音通话。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5.▲可拍摄不低于192W像素的照片，支持人脸识别方式实现设备管控权限。（提供CNAS或CMA认证的检验中心所出具检测报告复印件并加盖投标人公章）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6.▲整机表面覆盖钢化玻璃，硬度≥9H，具备防眩光效果。（提供具有CNAS认证资质的第三方检测认证机构出具的检测报告复印件并加盖投标人公章）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7.▲整机CPU≥4核，最高主频≥2.0G。系统运行内存≥4GB，存储容量≥16GB，操作系统版本不低于Android 11.0。（提供CNAS或CMA认证的检验中心所出具检测报告复印件并加盖投标人公章）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8.整机接口：RS232≥2，RJ12≥1，DC2.0≥1，Type-C≥1，RJ45≥1，3.5mm音频≥1。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9.▲支持≥2种供电方式，包括但不限于适配器供电、中控主机供电。（提供CNAS或CMA认证的检验中心所出具检测报告复印件并加盖投标人公章）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10.具备一键上下课功能：授权一键上课，连接的设备自动开启，老师可直接进行教学；点击一键下课，系统自动关闭，所有连接设备恢复至待机状态。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11.▲支持≥12个自定义功能按钮设置，可根据教室设备情况，自定义组合功能指令；（提供CNAS或CMA认证的检验中心所出具检测报告复印件并加盖投标人公章）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12.面板功能包括但不限于一体机开关、投影机开关、视频信号切换、音量大小控制等，方便教师操作；支持双路画面同步或异步显示控制。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支持≥4种解锁方式，包括按键、刷卡、人脸解锁、账号密码；（提供CNAS或CMA认证的检验中心所出具检测报告复印件并加盖投标人公章）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14.支持网络方式与小组互动软硬件进行连接，实现小组互动功能管控，包括投屏、广播和分享等功能。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15.▲支持网络方式控制录播设备，支持一键启停录播、启停直播、自动导播等功能，支持显示和切换≥5个机位画面。 （提供CNAS或CMA认证的检验中心所出具检测报告复印件并加盖投标人公章）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16.支持无操作息屏、固定时间息屏两种方式；整机息屏后，点击屏幕结束息屏。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17.▲配合中控平台可实现远程IP对讲功能，通过屏幕按键一键呼叫管理员，并显示管理员的摄像头画面。（提供CNAS或CMA认证的检验中心所出具检测报告复印件并加盖投标人公章）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18.为保障兼容性及稳定性，降低不同品牌之间对接风险，要求所投产品与中控主机为同一品牌。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隔空充电，支持苹果安卓系统，输入：12V;1.5A；输出：10W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集控工作站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CPU≥20核心28线程，显卡RTX4060Ti 8GB，内存16G，硬盘1T SSD，27寸4K HDR400 ipsblack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讲台地台、壁挂黑板加固、强弱电线材辅材、拆除安装搬运等人工费用、系统对接集成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、交货时间：自合同签订后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日历天内完成供货。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、成交供应商在签订合同前需按合同金额的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以银行保函、银行本票、汇票、支票或电子汇款（出具保函的银行级别为国有商业银行或股份制商业银行分行及其以上银行）等形式缴纳履约保证金作为履约担保，履约保证金在质保期满后无息退还。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、付款条件：合同签订后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日内预付合同金额的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，到货验收合格</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日内付清余款。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每次付款前乙方均须开具增值税专用发票给予甲方。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若产品存在质量问题，则不受该付款条件约束，应按照本合条款其他要求以及《民法典》有关规定执行。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、质保期：验收合格后质保叁年。（最终以投标人投标时承诺的时间为准）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、送货地点：采购人指定地点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、维修保证：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）维修响应时间：供应商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小时内作出响应，</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小时内到达采购人现场（若本地无维修站点，</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小时内到达现场），如需提供维修备件，</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小时内提供到位。如若供应商在</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小时内无法修复故障，供应商需提供备用机，相关费用由供应商承担，采购人不再额外支付费用。如有特殊情况，供应商应立即电话通知采购人不能响应的原因，在获得采购人同意后，才可推迟响应时间。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内，供应商免费更换设备备件耗材，并承担维修人员的往返差旅费费、人工费、维修所需备件的搬运费、安装调试费以及系统软件升级等一切费用。质保期外，供应商维修只收取配件费，不收取其他费用（包含但不限于维修人员的往返差旅费、人工费、上门服务费、维修所需备件的搬运费、安装调试费以及系统软件升级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）维修配件的更换：要求为原厂配件，如需更换配件，需采购人单位签字确认。供应商所提供的备件必须是原厂的合格零备件，零备件具有原厂出库单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报关单等证明文件。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、质保期内保养：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设备及相关配套设备作出定期维护保养计划（在投标文件里列出并作为合同附件履行），定期进行保养、维护，并提供记录（设备清洁、性能测试及校准、必要的机械或电气的检查，根据客户要求对设备的数据进行备份。根据用户要求的时间段，进行保养工作），每年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）保修期内提供不限次数现场维修，免费更换所含备件及耗材。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、验收标准：供方提供的商品必须符合我国最新颁布的与之相关的技术规范与标准，同时必须满足招标书中所列全部规格、型号、具体配置、技术条件及功能要求和供方承诺的其它指标。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、本项目建设在学校内，须提供至少具有相关多媒体技术服务经验的人员驻场，按照校方要求出勤以确保项目的推进。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（参考格式，本合同内容条款在正式签署前可具体补充细化，仅作参考，最终合同以采购人法务审查通过的版本为准）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3"/>
        <w:gridCol w:w="4143"/>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63" w:type="dxa"/>
            <w:vAlign w:val="top"/>
            <w:textDirection w:val="lrTb"/>
            <w:noWrap w:val="false"/>
          </w:tcPr>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43" w:type="dxa"/>
            <w:vAlign w:val="top"/>
            <w:textDirection w:val="lrTb"/>
            <w:noWrap w:val="false"/>
          </w:tcPr>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63" w:type="dxa"/>
            <w:vAlign w:val="top"/>
            <w:textDirection w:val="lrTb"/>
            <w:noWrap w:val="false"/>
          </w:tcPr>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43" w:type="dxa"/>
            <w:vAlign w:val="top"/>
            <w:textDirection w:val="lrTb"/>
            <w:noWrap w:val="false"/>
          </w:tcPr>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住所地：</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 </w:t>
      </w:r>
      <w:r>
        <w:rPr>
          <w:rFonts w:ascii="SimSun" w:hAnsi="SimSun" w:eastAsia="SimSun" w:cs="SimSun"/>
          <w:color w:val="000000"/>
          <w:sz w:val="21"/>
          <w:u w:val="single"/>
        </w:rPr>
        <w:t xml:space="preserve">                         </w:t>
      </w:r>
      <w:r>
        <w:rPr>
          <w:rFonts w:ascii="SimSun" w:hAnsi="SimSun" w:eastAsia="SimSun" w:cs="SimSun"/>
          <w:color w:val="000000"/>
          <w:sz w:val="21"/>
        </w:rPr>
        <w:t xml:space="preserve">  的招标结果签订本合同。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乙方根据甲方要求提供下列产品：</w:t>
      </w:r>
      <w:r>
        <w:rPr>
          <w:rFonts w:ascii="SimSun" w:hAnsi="SimSun" w:eastAsia="SimSun" w:cs="SimSun"/>
          <w:color w:val="000000"/>
          <w:sz w:val="21"/>
          <w:u w:val="single"/>
        </w:rPr>
        <w:t xml:space="preserve">南京体育学院仙林校区多媒体教室建设项目所需产品及完成本项目所有的服务内容</w:t>
      </w:r>
      <w:r>
        <w:rPr>
          <w:rFonts w:ascii="SimSun" w:hAnsi="SimSun" w:eastAsia="SimSun" w:cs="SimSun"/>
          <w:color w:val="000000"/>
          <w:sz w:val="21"/>
        </w:rPr>
        <w:t xml:space="preserve">。（产品清单及服务内容详见附件）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p>
    <w:p>
      <w:pPr>
        <w:ind w:left="0" w:right="0" w:firstLine="4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w:t>
      </w:r>
      <w:r/>
    </w:p>
    <w:p>
      <w:pPr>
        <w:ind w:left="0" w:right="0" w:firstLine="6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下列关于招标文件、供应商投标文件或与本次采购活动方式相适应的文件及有关附件是本合同不可分割的组成部分，与本合同具有同等法律效力，这些文件包括但不限于：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（1）乙方提供的投标文件和报价表；（2）服务项目一览表；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（3）商务响应表；（4）技术规格响应表；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                                 （6）服务承诺；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（7）中标通知书；（8）甲乙双方商定的其他文件等。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1、乙方提供的服务必须全部达到采购文件各项要求，且满足国家或行业及采购人相应合格规定。</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、本项目质保期：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年（自交货验收合格之日起计，具体以乙方投标时承诺的时间为准）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、维修保证：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修响应时间：乙方2小时内作出响应，3小时内到达现场（若本地无维修站点，4小时内到达现场），如需提供维修备件，4小时内提供到位。如若乙方在4小时内无法修复故障，则需提供备用机，所有费用均包含在合同价中。如有特殊情况，乙方应立即电话通知甲方不能响应的原因，在获得甲方同意后，才可推迟响应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内，乙方免费更换设备备件耗材，并承担维修人员的往返差旅费费、人工费、维修所需备件的搬运费、安装调试费以及系统软件升级等一切费用。质保期外，乙方维修只收取配件费，不收取其他费用（包含但不限于维修人员的往返差旅费费、人工费、上门服务费、维修所需备件的搬运费、安装调试费以及系统软件升级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（3）维修配件的更换：要求为原厂配件，如需更换配件，需甲方单位签字确认。乙方所提供的备件必须是原厂的合格零备件，零备件具有原厂出库单/报关单等证明文件。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6、质保期内保养：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设备及相关配套设备作出定期维护保养计划（在投标文件里列出并作为合同附件履行），定期进行保养、维护，并提供记录（设备清洁、性能测试及校准、必要的机械或电气的检查，根据客户要求对设备的数据进行备份。根据用户要求的时间段，进行保养工作），每年不少于2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2）保修期内提供不限次数现场维修，免费更换所含备件及耗材。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7、本项目建设在学校内，须提供至少具有相关多媒体技术服务的人员驻场，按照甲方要求出勤以确保项目的推进。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 </w:t>
      </w:r>
      <w:r>
        <w:rPr>
          <w:rFonts w:ascii="SimSun" w:hAnsi="SimSun" w:eastAsia="SimSun" w:cs="SimSun"/>
          <w:color w:val="000000"/>
          <w:sz w:val="21"/>
          <w:u w:val="single"/>
        </w:rPr>
        <w:t xml:space="preserve">                </w:t>
      </w:r>
      <w:r>
        <w:rPr>
          <w:rFonts w:ascii="SimSun" w:hAnsi="SimSun" w:eastAsia="SimSun" w:cs="SimSun"/>
          <w:color w:val="000000"/>
          <w:sz w:val="21"/>
        </w:rPr>
        <w:t xml:space="preserve">之前完成项目所有事项。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自行组织或视情邀请相关专家或国家认可的质量检测机构参加验收、考核等，乙方提供的设备、服务不符合采购文件和合同规定的，甲方有权拒收，并承担验收费用等。若验收、考核不合格的，乙方应当按照甲方要求在指定的合理期限内进行整改和完善， 直至符合采购文件要求的相关标准。逾期不予整改或经整改仍不能符合相关要求，或者导致合同目的无法实现，甲方有权依照法律程序解除合同，并追究乙方违约责任。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3、乙方应按照甲方要求提供满足需求服务。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需按合同金额的5%以银行保函、银行本票、汇票、支票或电子汇款（出具保函的银行级别为国有商业银行或股份制商业银行分行及其以上银行）等形式缴纳履约保证金作为履约担保，履约保证金在质保期满后无息退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2、付款方式：合同签订后30日内预付合同金额的30%，到货验收合格30日内付清余款。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每次付款前乙方均须开具增值税专用发票给予甲方。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若产品存在质量问题，则不受该付款条件约束，应按照本合条款其他要求以及《民法典》有关规定执行。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１、甲方无正当理由拒绝验收或拒付款的，甲方向乙方偿付合同总价的1%违约金。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２、甲方未按合同规定的期限向乙方支付合同款的，每逾期1天甲方向乙方偿付欠款总额的5‰滞纳金，但累计滞纳金总额不超过欠款总额的1%。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３、如乙方不能按期交付服务的，甲方有权扣留全部履约保证金；同时乙方应向甲方支付合同总价5%的违约金。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5、乙方在承担违约责任后，仍应继续履行合同规定的义务（甲方解除合同的除外）。甲方未能及时追究乙方的任何一项违约责任并不表明甲方放弃追究乙方该项或其他违约责任。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保证金不予退还，在三年内不得参加南京江城工程项目管理有限公司组织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3、在诉讼期间，除甲方解除合同的，本合同应继续履行。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1、本合同自签字并盖章之日起生效。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2、本合同一式柒份，甲方肆份，乙方执贰份，壹份交招标机构存档。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5、定期维护保养计划。</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r>
    </w:tbl>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1.本部分内容仅提供格式参考。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2.供应商应按照以下文件的要求格式、内容制作投标文件，并编制目录及页码，混乱的编排导致投标文件被误读或查找不到，后果由供应商承担。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3.所附表格中要求回答的全部问题和信息都必须正面回答。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4.供应商提交的材料不予退还。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5.投标文件应按照投标文件格式逐项填写，无相应内容可填的项应填写“无” “没有相应指标”等明确的回答文字。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资格索引表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1"/>
        <w:gridCol w:w="5277"/>
        <w:gridCol w:w="1686"/>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所在页码</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5"/>
        <w:gridCol w:w="5247"/>
        <w:gridCol w:w="1676"/>
      </w:tblGrid>
      <w:tr>
        <w:trPr>
          <w:trHeight w:val="7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所在页码</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附件一：投标申请及申明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致：南京体育学院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 (姓名和职务)代表投标供应商</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b/>
          <w:color w:val="000000"/>
          <w:sz w:val="21"/>
          <w:u w:val="single"/>
        </w:rPr>
        <w:t xml:space="preserve">       </w:t>
      </w:r>
      <w:r>
        <w:rPr>
          <w:rFonts w:ascii="SimSun" w:hAnsi="SimSun" w:eastAsia="SimSun" w:cs="SimSun"/>
          <w:color w:val="000000"/>
          <w:sz w:val="21"/>
        </w:rPr>
        <w:t xml:space="preserve">元人民币。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3、本项目合同履行期为：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南京体育学院：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（投标供应商住址）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（投标供应商名称）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（投标供应商代表姓名、职务）</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（项目编号）</w:t>
      </w:r>
      <w:r>
        <w:rPr>
          <w:rFonts w:ascii="SimSun" w:hAnsi="SimSun" w:eastAsia="SimSun" w:cs="SimSun"/>
          <w:color w:val="000000"/>
          <w:sz w:val="21"/>
        </w:rPr>
        <w:t xml:space="preserve">投标，以本公司名义处理一切与之有关的事务。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年  月  日</w:t>
      </w:r>
      <w:r>
        <w:rPr>
          <w:rFonts w:ascii="SimSun" w:hAnsi="SimSun" w:eastAsia="SimSun" w:cs="SimSun"/>
          <w:color w:val="000000"/>
          <w:sz w:val="21"/>
        </w:rPr>
        <w:t xml:space="preserve">签字生效，特此声明。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附法定代表人、授权人身份证正反面复印件。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5"/>
        <w:gridCol w:w="861"/>
        <w:gridCol w:w="3672"/>
        <w:gridCol w:w="1504"/>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7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交付使用时间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3" w:type="dxa"/>
            <w:vAlign w:val="center"/>
            <w:textDirection w:val="lrTb"/>
            <w:noWrap w:val="false"/>
          </w:tcPr>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投标产品是否属于小微型企业产品。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3" w:type="dxa"/>
            <w:vAlign w:val="center"/>
            <w:textDirection w:val="lrTb"/>
            <w:noWrap w:val="false"/>
          </w:tcPr>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小微型企业产品金额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3" w:type="dxa"/>
            <w:vAlign w:val="center"/>
            <w:textDirection w:val="lrTb"/>
            <w:noWrap w:val="false"/>
          </w:tcPr>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7"/>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本项目仅接受一个价格，不得填报有选择性报价方案。若有优惠条款须注明，但不得影响报价，影响产品整体功能。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供应商是否属于小微型企业”栏内填写“是”或“否”。如填写“是”，投标供应商需提供《中小企业声明函》、《残疾人福利性单位声明函》、《属于监狱企业的证明文件》；非小微企业产品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3、《开标一览表》一份，单独封装并标明“开标一览表”字样，随投标文件一并递交，以便唱标时使用。如未按要求提供、填写，或相关内容表述不清前后矛盾的，不享受价格扣除。</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附件四、分项报价表格式（如有）</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3"/>
        <w:gridCol w:w="1587"/>
        <w:gridCol w:w="1206"/>
        <w:gridCol w:w="739"/>
        <w:gridCol w:w="857"/>
        <w:gridCol w:w="926"/>
        <w:gridCol w:w="839"/>
        <w:gridCol w:w="1348"/>
      </w:tblGrid>
      <w:tr>
        <w:trPr>
          <w:trHeight w:val="360"/>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是否为小微企业</w:t>
            </w:r>
            <w:r/>
          </w:p>
        </w:tc>
      </w:tr>
      <w:tr>
        <w:trPr>
          <w:trHeight w:val="3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20"/>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投标报价总计（元）</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注：1.此表为表样，行数可自行添加，但表式不变。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2.总价=单价*数量，数量由供应商根据项目需求计算并填列。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3.供应商必须保证承诺使用小、微型企业参加投标的真实性，如出现虚假响应，一经查实，将按照采购方采购有关法律法规进行处理。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 </w:t>
      </w:r>
      <w:r>
        <w:rPr>
          <w:rFonts w:ascii="SimSun" w:hAnsi="SimSun" w:eastAsia="SimSun" w:cs="SimSun"/>
          <w:b/>
          <w:color w:val="000000"/>
          <w:sz w:val="21"/>
        </w:rPr>
        <w:t xml:space="preserve">本招标文件中“第四章 招标项目的采购要求”的相关需求，供应商必须在投标文件《投标分项报价表》中逐项对应报价，不得有缺项漏项，否则视为投标报价均已包含。</w:t>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附件五、供货一览表格式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供货一览表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（含主要产品、配件、备品、消耗材料）</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0"/>
        <w:gridCol w:w="684"/>
        <w:gridCol w:w="1540"/>
        <w:gridCol w:w="1772"/>
        <w:gridCol/>
        <w:gridCol w:w="867"/>
        <w:gridCol/>
        <w:gridCol w:w="695"/>
        <w:gridCol w:w="165"/>
        <w:gridCol w:w="2299"/>
      </w:tblGrid>
      <w:tr>
        <w:trPr>
          <w:trHeight w:val="326"/>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7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8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32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    牌</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2、供应商应根据上表要求逐一说明投标货物名称、品牌、规格型号、产地、技术参数等。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509"/>
        <w:gridCol w:w="1948"/>
        <w:gridCol w:w="1445"/>
        <w:gridCol w:w="1484"/>
        <w:gridCol w:w="1332"/>
      </w:tblGrid>
      <w:tr>
        <w:trPr>
          <w:trHeight w:val="370"/>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5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37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37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在上表中明确投标文件技术部分与招标文件要求的技术参数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3、本招招标文件中“第四章 招标项目的技术规格、要求和数量等”的相关需求，要求供应商必须在投标文件《技术规格偏离表》中逐项进行说明，投标文件的《技术规格偏离表》中“投标响应”，必须是供应商所投产品的实际参数，“技术规格偏离表”应逐条响应，不得有缺项漏项；否则评委有权按照参数的重要性作负偏离或无效标处理。</w:t>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4"/>
        </w:rPr>
        <w:t xml:space="preserve">附件七、商务条款偏离表格式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3"/>
        <w:gridCol w:w="1440"/>
        <w:gridCol w:w="2447"/>
        <w:gridCol w:w="1408"/>
        <w:gridCol w:w="1867"/>
        <w:gridCol w:w="1387"/>
      </w:tblGrid>
      <w:tr>
        <w:trPr>
          <w:trHeight w:val="246"/>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2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合同履行期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付款条件</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4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质保期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6"/>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44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6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8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r>
      <w:tr>
        <w:trPr>
          <w:trHeight w:val="388"/>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在上表中明确投标文件技术部分与招标文件要求的商务条款偏离情况，未在上表中说明的，如在投标文件其他内容中已有文字说明或相关证明材料的，则以已有文字说明或相关证明材料为准，但该表不作为供应商对所投项目关于商务要求等详细描述和说明的替代。</w:t>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4"/>
        </w:rPr>
        <w:t xml:space="preserve">附件八、 投标供应商类似业绩情况表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232"/>
        <w:gridCol w:w="1154"/>
        <w:gridCol w:w="802"/>
        <w:gridCol w:w="834"/>
        <w:gridCol w:w="1200"/>
        <w:gridCol w:w="910"/>
        <w:gridCol w:w="9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说明：请投标供应商根据本格式要求如实填写业绩情况表，提供的证明文件详见第三章评标标准。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南京体育学院：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由执行人所在的省、自治区、直辖市人民政府制定，国务院有关部门规定了较大数额标准的，从其规定。</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附件十、具备履行合同所必需的设备和专业技术能力的书面声明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南京体育学院：</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提供方式：复印件加盖供应商公章按要求装订。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附件十一：资格证明文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2022年度或2023年度经审计的财务报告复印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（3）具有履行合同所必需的设备和专业技术能力（根据项目需求提供履行合同所必需的设备和专业技术能力的证明材料，提供书面声明原件）；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需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拒绝下述供应商参加本次采购活动：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①供应商单位负责人为同一人或者存在直接控股、管理关系的不同供应商，不得参加同一合同项下的采购活动。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拒绝列入失信被执行人、重大税收违法案件当事人名单、政府采购严重违法失信行为记录名单中的供应商参加本项目的采购活动。投标人通过“信用中国”网站（www.creditchina.gov.cn）、“中国政府采购网”网站（www.ccgp.gov.cn）等渠道查询供应商信用记录并保存至投标文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其他</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中小企业声明函（货物）</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各行业划型标准为：</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的为微型企业。</w:t>
        <w:br w:type="page" w:clear="all"/>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6"/>
        </w:rPr>
        <w:t xml:space="preserve">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firstLine="420"/>
        <w:spacing w:line="360" w:lineRule="auto"/>
        <w:rPr>
          <w:rFonts w:ascii="宋体" w:hAnsi="宋体" w:cs="宋体"/>
          <w:color w:val="000000"/>
          <w:szCs w:val="21"/>
        </w:rPr>
      </w:pPr>
      <w:r>
        <w:rPr>
          <w:rFonts w:ascii="宋体" w:hAnsi="宋体" w:cs="宋体"/>
          <w:color w:val="000000"/>
          <w:szCs w:val="21"/>
        </w:rPr>
      </w:r>
      <w:r/>
    </w:p>
    <w:sectPr>
      <w:headerReference w:type="default" r:id="rId9"/>
      <w:footerReference w:type="default" r:id="rId10"/>
      <w:footnotePr/>
      <w:endnotePr/>
      <w:type w:val="nextPage"/>
      <w:pgSz w:w="12240" w:h="15840" w:orient="portrait"/>
      <w:pgMar w:top="1440" w:right="1800" w:bottom="1440" w:left="180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mbria">
    <w:panose1 w:val="02040503050406030204"/>
  </w:font>
  <w:font w:name="KNLe">
    <w:panose1 w:val="020B0503020202020204"/>
  </w:font>
  <w:font w:name="华文细黑">
    <w:panose1 w:val="02010600040101010101"/>
  </w:font>
  <w:font w:name="Tahoma">
    <w:panose1 w:val="020B0604030504040204"/>
  </w:font>
  <w:font w:name="微软雅黑">
    <w:panose1 w:val="020B0503020204020204"/>
  </w:font>
  <w:font w:name="Calibri">
    <w:panose1 w:val="020F0502020204030204"/>
  </w:font>
  <w:font w:name="华文新魏">
    <w:panose1 w:val="02010800040101010101"/>
  </w:font>
  <w:font w:name="Courier New">
    <w:panose1 w:val="02070309020205020404"/>
  </w:font>
  <w:font w:name="楷体_GB2312">
    <w:panose1 w:val="02010609060101010101"/>
  </w:font>
  <w:font w:name="ˎ̥">
    <w:panose1 w:val="020B0503020202020204"/>
  </w:font>
  <w:font w:name="楷体">
    <w:panose1 w:val="02010609060101010101"/>
  </w:font>
  <w:font w:name="仿宋_GB2312">
    <w:panose1 w:val="02010609060101010101"/>
  </w:font>
  <w:font w:name="黑体">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tabs>
        <w:tab w:val="center" w:pos="4153" w:leader="none"/>
        <w:tab w:val="right" w:pos="8306" w:leader="none"/>
      </w:tabs>
      <w:rPr>
        <w:rFonts w:eastAsia="仿宋"/>
        <w:sz w:val="24"/>
      </w:rPr>
    </w:pPr>
    <w:r>
      <w:rPr>
        <w:rFonts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margin">
                <wp:align>center</wp:align>
              </wp:positionH>
              <wp:positionV relativeFrom="paragraph">
                <wp:posOffset>0</wp:posOffset>
              </wp:positionV>
              <wp:extent cx="1143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31445"/>
                      </a:xfrm>
                      <a:prstGeom prst="rect">
                        <a:avLst/>
                      </a:prstGeom>
                      <a:noFill/>
                      <a:ln>
                        <a:noFill/>
                      </a:ln>
                    </wps:spPr>
                    <wps:txbx>
                      <w:txbxContent>
                        <w:p>
                          <w:pPr>
                            <w:pStyle w:val="676"/>
                            <w:tabs>
                              <w:tab w:val="clear" w:pos="4153" w:leader="none"/>
                              <w:tab w:val="clear" w:pos="8305" w:leader="none"/>
                            </w:tabs>
                          </w:pPr>
                          <w:r>
                            <w:fldChar w:fldCharType="begin"/>
                          </w:r>
                          <w:r>
                            <w:instrText xml:space="preserve"> PAGE \* Arabic </w:instrText>
                          </w:r>
                          <w:r>
                            <w:fldChar w:fldCharType="separate"/>
                          </w:r>
                          <w:r>
                            <w:t xml:space="preserve">21</w:t>
                          </w:r>
                          <w:r>
                            <w:fldChar w:fldCharType="end"/>
                          </w:r>
                          <w:r/>
                        </w:p>
                        <w:p>
                          <w:pPr>
                            <w:pStyle w:val="6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fals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676"/>
                      <w:tabs>
                        <w:tab w:val="clear" w:pos="4153" w:leader="none"/>
                        <w:tab w:val="clear" w:pos="8305" w:leader="none"/>
                      </w:tabs>
                    </w:pPr>
                    <w:r>
                      <w:fldChar w:fldCharType="begin"/>
                    </w:r>
                    <w:r>
                      <w:instrText xml:space="preserve"> PAGE \* Arabic </w:instrText>
                    </w:r>
                    <w:r>
                      <w:fldChar w:fldCharType="separate"/>
                    </w:r>
                    <w:r>
                      <w:t xml:space="preserve">21</w:t>
                    </w:r>
                    <w:r>
                      <w:fldChar w:fldCharType="end"/>
                    </w:r>
                    <w:r/>
                  </w:p>
                  <w:p>
                    <w:pPr>
                      <w:pStyle w:val="654"/>
                    </w:pPr>
                    <w:r/>
                    <w:r/>
                  </w:p>
                </w:txbxContent>
              </v:textbox>
            </v:shape>
          </w:pict>
        </mc:Fallback>
      </mc:AlternateContent>
    </w:r>
    <w:r>
      <w:rPr>
        <w:rFonts w:eastAsia="仿宋"/>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
      <w:lvlJc w:val="left"/>
      <w:pPr>
        <w:pStyle w:val="654"/>
      </w:pPr>
    </w:lvl>
    <w:lvl w:ilvl="1">
      <w:start w:val="1"/>
      <w:numFmt w:val="decimal"/>
      <w:isLgl w:val="false"/>
      <w:suff w:val="space"/>
      <w:lvlText w:val="%1.%2 "/>
      <w:lvlJc w:val="left"/>
      <w:pPr>
        <w:pStyle w:val="654"/>
      </w:pPr>
    </w:lvl>
    <w:lvl w:ilvl="2">
      <w:start w:val="0"/>
      <w:numFmt w:val="decimal"/>
      <w:isLgl w:val="false"/>
      <w:suff w:val="tab"/>
      <w:lvlText w:val=""/>
      <w:lvlJc w:val="left"/>
      <w:pPr>
        <w:pStyle w:val="654"/>
      </w:pPr>
    </w:lvl>
    <w:lvl w:ilvl="3">
      <w:start w:val="0"/>
      <w:numFmt w:val="decimal"/>
      <w:isLgl w:val="false"/>
      <w:suff w:val="tab"/>
      <w:lvlText w:val=""/>
      <w:lvlJc w:val="left"/>
      <w:pPr>
        <w:pStyle w:val="654"/>
      </w:pPr>
    </w:lvl>
    <w:lvl w:ilvl="4">
      <w:start w:val="0"/>
      <w:numFmt w:val="decimal"/>
      <w:pStyle w:val="717"/>
      <w:isLgl w:val="false"/>
      <w:suff w:val="tab"/>
      <w:lvlText w:val=""/>
      <w:lvlJc w:val="left"/>
      <w:pPr>
        <w:pStyle w:val="654"/>
      </w:pPr>
    </w:lvl>
    <w:lvl w:ilvl="5">
      <w:start w:val="0"/>
      <w:numFmt w:val="decimal"/>
      <w:isLgl w:val="false"/>
      <w:suff w:val="tab"/>
      <w:lvlText w:val=""/>
      <w:lvlJc w:val="left"/>
      <w:pPr>
        <w:pStyle w:val="654"/>
      </w:pPr>
    </w:lvl>
    <w:lvl w:ilvl="6">
      <w:start w:val="0"/>
      <w:numFmt w:val="decimal"/>
      <w:isLgl w:val="false"/>
      <w:suff w:val="tab"/>
      <w:lvlText w:val=""/>
      <w:lvlJc w:val="left"/>
      <w:pPr>
        <w:pStyle w:val="654"/>
      </w:pPr>
    </w:lvl>
    <w:lvl w:ilvl="7">
      <w:start w:val="0"/>
      <w:numFmt w:val="decimal"/>
      <w:isLgl w:val="false"/>
      <w:suff w:val="tab"/>
      <w:lvlText w:val=""/>
      <w:lvlJc w:val="left"/>
      <w:pPr>
        <w:pStyle w:val="654"/>
      </w:pPr>
    </w:lvl>
    <w:lvl w:ilvl="8">
      <w:start w:val="0"/>
      <w:numFmt w:val="decimal"/>
      <w:isLgl w:val="false"/>
      <w:suff w:val="tab"/>
      <w:lvlText w:val=""/>
      <w:lvlJc w:val="left"/>
      <w:pPr>
        <w:pStyle w:val="654"/>
      </w:pPr>
    </w:lvl>
  </w:abstractNum>
  <w:abstractNum w:abstractNumId="2">
    <w:multiLevelType w:val="hybridMultilevel"/>
    <w:lvl w:ilvl="0">
      <w:start w:val="1"/>
      <w:numFmt w:val="decimal"/>
      <w:isLgl w:val="false"/>
      <w:suff w:val="nothing"/>
      <w:lvlText w:val="%1、"/>
      <w:lvlJc w:val="left"/>
      <w:pPr>
        <w:pStyle w:val="6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pStyle w:val="721"/>
      <w:isLgl w:val="false"/>
      <w:suff w:val="nothing"/>
      <w:lvlText w:val="%1、"/>
      <w:lvlJc w:val="left"/>
      <w:pPr>
        <w:pStyle w:val="6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
      <w:lvlJc w:val="left"/>
      <w:pPr>
        <w:ind w:left="0" w:firstLine="0"/>
      </w:pPr>
    </w:lvl>
    <w:lvl w:ilvl="1">
      <w:start w:val="1"/>
      <w:numFmt w:val="decimal"/>
      <w:isLgl w:val="false"/>
      <w:suff w:val="tab"/>
      <w:lvlText w:val="%1.%2 "/>
      <w:lvlJc w:val="left"/>
      <w:pPr>
        <w:ind w:left="0" w:firstLine="0"/>
      </w:pPr>
    </w:lvl>
    <w:lvl w:ilvl="2">
      <w:start w:val="0"/>
      <w:numFmt w:val="bullet"/>
      <w:isLgl w:val="false"/>
      <w:suff w:val="tab"/>
      <w:lvlText w:val="§"/>
      <w:lvlJc w:val="left"/>
      <w:pPr>
        <w:ind w:left="2160" w:hanging="360"/>
      </w:pPr>
    </w:lvl>
    <w:lvl w:ilvl="3">
      <w:start w:val="0"/>
      <w:numFmt w:val="bullet"/>
      <w:isLgl w:val="false"/>
      <w:suff w:val="tab"/>
      <w:lvlText w:val="·"/>
      <w:lvlJc w:val="left"/>
      <w:pPr>
        <w:ind w:left="2880" w:hanging="360"/>
      </w:pPr>
    </w:lvl>
    <w:lvl w:ilvl="4">
      <w:start w:val="0"/>
      <w:numFmt w:val="decimal"/>
      <w:isLgl w:val="false"/>
      <w:suff w:val="tab"/>
      <w:lvlText w:val="%5."/>
      <w:lvlJc w:val="left"/>
      <w:pPr>
        <w:ind w:left="3600" w:hanging="360"/>
      </w:pPr>
    </w:lvl>
    <w:lvl w:ilvl="5">
      <w:start w:val="0"/>
      <w:numFmt w:val="decimal"/>
      <w:isLgl w:val="false"/>
      <w:suff w:val="tab"/>
      <w:lvlText w:val="%6."/>
      <w:lvlJc w:val="left"/>
      <w:pPr>
        <w:ind w:left="4320" w:hanging="360"/>
      </w:pPr>
    </w:lvl>
    <w:lvl w:ilvl="6">
      <w:start w:val="0"/>
      <w:numFmt w:val="decimal"/>
      <w:isLgl w:val="false"/>
      <w:suff w:val="tab"/>
      <w:lvlText w:val="%7."/>
      <w:lvlJc w:val="left"/>
      <w:pPr>
        <w:ind w:left="5040" w:hanging="360"/>
      </w:pPr>
    </w:lvl>
    <w:lvl w:ilvl="7">
      <w:start w:val="0"/>
      <w:numFmt w:val="decimal"/>
      <w:isLgl w:val="false"/>
      <w:suff w:val="tab"/>
      <w:lvlText w:val="%8."/>
      <w:lvlJc w:val="left"/>
      <w:pPr>
        <w:ind w:left="5760" w:hanging="360"/>
      </w:pPr>
    </w:lvl>
    <w:lvl w:ilvl="8">
      <w:start w:val="0"/>
      <w:numFmt w:val="decimal"/>
      <w:isLgl w:val="false"/>
      <w:suff w:val="tab"/>
      <w:lvlText w:val="%9."/>
      <w:lvlJc w:val="left"/>
      <w:pPr>
        <w:ind w:left="6480" w:hanging="36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uiPriority w:val="7"/>
    <w:qFormat/>
    <w:pPr>
      <w:jc w:val="both"/>
      <w:widowControl w:val="off"/>
    </w:pPr>
    <w:rPr>
      <w:color w:val="000000"/>
      <w:sz w:val="21"/>
      <w:szCs w:val="24"/>
      <w:lang w:val="en-US" w:eastAsia="zh-CN" w:bidi="ar-SA"/>
    </w:rPr>
  </w:style>
  <w:style w:type="paragraph" w:styleId="655">
    <w:name w:val="标题 1"/>
    <w:basedOn w:val="654"/>
    <w:next w:val="654"/>
    <w:link w:val="654"/>
    <w:uiPriority w:val="6"/>
    <w:qFormat/>
    <w:pPr>
      <w:jc w:val="center"/>
      <w:keepLines/>
      <w:keepNext/>
      <w:spacing w:before="340" w:after="330" w:line="576" w:lineRule="auto"/>
      <w:outlineLvl w:val="0"/>
    </w:pPr>
    <w:rPr>
      <w:rFonts w:eastAsia="仿宋"/>
      <w:b/>
      <w:sz w:val="52"/>
      <w:szCs w:val="44"/>
    </w:rPr>
  </w:style>
  <w:style w:type="paragraph" w:styleId="656">
    <w:name w:val="标题 2"/>
    <w:basedOn w:val="654"/>
    <w:next w:val="654"/>
    <w:link w:val="654"/>
    <w:uiPriority w:val="6"/>
    <w:qFormat/>
    <w:pPr>
      <w:jc w:val="center"/>
      <w:keepLines/>
      <w:keepNext/>
      <w:spacing w:before="260" w:after="260" w:line="413" w:lineRule="auto"/>
      <w:outlineLvl w:val="1"/>
    </w:pPr>
    <w:rPr>
      <w:rFonts w:ascii="Arial" w:hAnsi="Arial" w:eastAsia="仿宋" w:cs="Arial"/>
      <w:b/>
      <w:sz w:val="48"/>
      <w:szCs w:val="20"/>
    </w:rPr>
  </w:style>
  <w:style w:type="paragraph" w:styleId="657">
    <w:name w:val="标题 3"/>
    <w:basedOn w:val="654"/>
    <w:next w:val="654"/>
    <w:link w:val="654"/>
    <w:uiPriority w:val="6"/>
    <w:qFormat/>
    <w:pPr>
      <w:jc w:val="center"/>
      <w:keepLines/>
      <w:keepNext/>
      <w:spacing w:before="260" w:after="260" w:line="413" w:lineRule="auto"/>
      <w:outlineLvl w:val="2"/>
    </w:pPr>
    <w:rPr>
      <w:rFonts w:eastAsia="仿宋"/>
      <w:b/>
      <w:sz w:val="36"/>
      <w:szCs w:val="32"/>
    </w:rPr>
  </w:style>
  <w:style w:type="paragraph" w:styleId="658">
    <w:name w:val="标题 4"/>
    <w:basedOn w:val="654"/>
    <w:next w:val="654"/>
    <w:link w:val="654"/>
    <w:uiPriority w:val="6"/>
    <w:qFormat/>
    <w:pPr>
      <w:keepLines/>
      <w:keepNext/>
      <w:spacing w:before="280" w:after="290" w:line="372" w:lineRule="auto"/>
      <w:outlineLvl w:val="3"/>
    </w:pPr>
    <w:rPr>
      <w:rFonts w:ascii="Arial" w:hAnsi="Arial" w:eastAsia="黑体" w:cs="Arial"/>
      <w:b/>
      <w:sz w:val="28"/>
      <w:szCs w:val="20"/>
    </w:rPr>
  </w:style>
  <w:style w:type="paragraph" w:styleId="659">
    <w:name w:val="标题 5"/>
    <w:basedOn w:val="654"/>
    <w:next w:val="654"/>
    <w:link w:val="654"/>
    <w:uiPriority w:val="6"/>
    <w:qFormat/>
    <w:pPr>
      <w:ind w:firstLine="200"/>
      <w:keepLines/>
      <w:keepNext/>
      <w:spacing w:before="280" w:after="290" w:line="372" w:lineRule="auto"/>
      <w:outlineLvl w:val="4"/>
    </w:pPr>
    <w:rPr>
      <w:rFonts w:eastAsia="楷体"/>
      <w:b/>
      <w:sz w:val="28"/>
      <w:szCs w:val="28"/>
    </w:rPr>
  </w:style>
  <w:style w:type="paragraph" w:styleId="660">
    <w:name w:val="标题 6"/>
    <w:basedOn w:val="654"/>
    <w:next w:val="654"/>
    <w:link w:val="654"/>
    <w:uiPriority w:val="6"/>
    <w:qFormat/>
    <w:pPr>
      <w:ind w:left="1152" w:hanging="1152"/>
      <w:jc w:val="left"/>
      <w:keepLines/>
      <w:keepNext/>
      <w:spacing w:before="240" w:after="64" w:line="317" w:lineRule="auto"/>
      <w:widowControl/>
      <w:tabs>
        <w:tab w:val="left" w:pos="1440" w:leader="none"/>
      </w:tabs>
      <w:outlineLvl w:val="5"/>
    </w:pPr>
    <w:rPr>
      <w:rFonts w:ascii="Arial" w:hAnsi="Arial" w:eastAsia="黑体" w:cs="Arial"/>
      <w:b/>
      <w:sz w:val="24"/>
      <w:szCs w:val="20"/>
    </w:rPr>
  </w:style>
  <w:style w:type="paragraph" w:styleId="661">
    <w:name w:val="标题 7"/>
    <w:basedOn w:val="654"/>
    <w:next w:val="654"/>
    <w:link w:val="654"/>
    <w:uiPriority w:val="6"/>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662">
    <w:name w:val="标题 8"/>
    <w:basedOn w:val="654"/>
    <w:next w:val="654"/>
    <w:link w:val="654"/>
    <w:uiPriority w:val="6"/>
    <w:qFormat/>
    <w:pPr>
      <w:ind w:left="1440" w:hanging="1440"/>
      <w:jc w:val="left"/>
      <w:keepLines/>
      <w:keepNext/>
      <w:spacing w:before="240" w:after="64" w:line="317" w:lineRule="auto"/>
      <w:widowControl/>
      <w:tabs>
        <w:tab w:val="left" w:pos="1440" w:leader="none"/>
      </w:tabs>
      <w:outlineLvl w:val="7"/>
    </w:pPr>
    <w:rPr>
      <w:rFonts w:ascii="Arial" w:hAnsi="Arial" w:eastAsia="黑体" w:cs="Arial"/>
      <w:sz w:val="24"/>
      <w:szCs w:val="20"/>
    </w:rPr>
  </w:style>
  <w:style w:type="paragraph" w:styleId="663">
    <w:name w:val="标题 9"/>
    <w:basedOn w:val="654"/>
    <w:next w:val="654"/>
    <w:link w:val="654"/>
    <w:uiPriority w:val="6"/>
    <w:qFormat/>
    <w:pPr>
      <w:ind w:left="1584" w:hanging="1584"/>
      <w:jc w:val="left"/>
      <w:keepLines/>
      <w:keepNext/>
      <w:spacing w:before="240" w:after="64" w:line="317" w:lineRule="auto"/>
      <w:widowControl/>
      <w:tabs>
        <w:tab w:val="left" w:pos="1584" w:leader="none"/>
      </w:tabs>
      <w:outlineLvl w:val="8"/>
    </w:pPr>
    <w:rPr>
      <w:rFonts w:ascii="Arial" w:hAnsi="Arial" w:eastAsia="黑体" w:cs="Arial"/>
      <w:szCs w:val="20"/>
    </w:rPr>
  </w:style>
  <w:style w:type="character" w:styleId="664">
    <w:name w:val="默认段落字体"/>
    <w:next w:val="664"/>
    <w:link w:val="654"/>
    <w:uiPriority w:val="6"/>
  </w:style>
  <w:style w:type="table" w:styleId="665">
    <w:name w:val="普通表格"/>
    <w:next w:val="665"/>
    <w:link w:val="654"/>
    <w:semiHidden/>
    <w:qFormat/>
    <w:tblPr/>
  </w:style>
  <w:style w:type="paragraph" w:styleId="666">
    <w:name w:val="正文缩进"/>
    <w:basedOn w:val="654"/>
    <w:next w:val="666"/>
    <w:link w:val="654"/>
    <w:uiPriority w:val="7"/>
    <w:pPr>
      <w:ind w:firstLine="420"/>
    </w:pPr>
    <w:rPr>
      <w:szCs w:val="20"/>
      <w:lang w:val="zh-CN"/>
    </w:rPr>
  </w:style>
  <w:style w:type="paragraph" w:styleId="667">
    <w:name w:val="文档结构图"/>
    <w:basedOn w:val="654"/>
    <w:next w:val="667"/>
    <w:link w:val="654"/>
    <w:uiPriority w:val="6"/>
    <w:pPr>
      <w:shd w:val="clear" w:color="000000" w:fill="00007f"/>
    </w:pPr>
    <w:rPr>
      <w:szCs w:val="20"/>
      <w:lang w:val="zh-CN"/>
    </w:rPr>
  </w:style>
  <w:style w:type="paragraph" w:styleId="668">
    <w:name w:val="批注文字"/>
    <w:basedOn w:val="654"/>
    <w:next w:val="668"/>
    <w:link w:val="654"/>
    <w:uiPriority w:val="6"/>
    <w:pPr>
      <w:jc w:val="left"/>
    </w:pPr>
    <w:rPr>
      <w:lang w:val="zh-CN"/>
    </w:rPr>
  </w:style>
  <w:style w:type="paragraph" w:styleId="669">
    <w:name w:val="正文文本 3"/>
    <w:basedOn w:val="654"/>
    <w:next w:val="669"/>
    <w:link w:val="654"/>
    <w:uiPriority w:val="6"/>
    <w:pPr>
      <w:jc w:val="center"/>
      <w:spacing w:line="240" w:lineRule="atLeast"/>
    </w:pPr>
    <w:rPr>
      <w:rFonts w:ascii="楷体_GB2312" w:hAnsi="楷体_GB2312" w:eastAsia="楷体" w:cs="楷体_GB2312"/>
      <w:b/>
      <w:sz w:val="44"/>
      <w:szCs w:val="20"/>
      <w:lang w:val="zh-CN"/>
    </w:rPr>
  </w:style>
  <w:style w:type="paragraph" w:styleId="670">
    <w:name w:val="正文文本"/>
    <w:basedOn w:val="654"/>
    <w:next w:val="654"/>
    <w:link w:val="654"/>
    <w:uiPriority w:val="6"/>
    <w:pPr>
      <w:spacing w:after="120"/>
    </w:pPr>
    <w:rPr>
      <w:szCs w:val="20"/>
      <w:lang w:val="zh-CN"/>
    </w:rPr>
  </w:style>
  <w:style w:type="paragraph" w:styleId="671">
    <w:name w:val="正文文本缩进"/>
    <w:basedOn w:val="654"/>
    <w:next w:val="671"/>
    <w:link w:val="654"/>
    <w:uiPriority w:val="6"/>
    <w:pPr>
      <w:ind w:left="420"/>
      <w:spacing w:after="120"/>
    </w:pPr>
    <w:rPr>
      <w:szCs w:val="20"/>
      <w:lang w:val="zh-CN"/>
    </w:rPr>
  </w:style>
  <w:style w:type="paragraph" w:styleId="672">
    <w:name w:val="目录 3"/>
    <w:basedOn w:val="654"/>
    <w:next w:val="654"/>
    <w:link w:val="654"/>
    <w:uiPriority w:val="4"/>
    <w:pPr>
      <w:ind w:left="840"/>
    </w:pPr>
    <w:rPr>
      <w:szCs w:val="20"/>
    </w:rPr>
  </w:style>
  <w:style w:type="paragraph" w:styleId="673">
    <w:name w:val="纯文本"/>
    <w:basedOn w:val="654"/>
    <w:next w:val="673"/>
    <w:link w:val="654"/>
    <w:uiPriority w:val="6"/>
    <w:rPr>
      <w:rFonts w:ascii="宋体" w:hAnsi="宋体" w:cs="Courier New"/>
      <w:szCs w:val="21"/>
      <w:lang w:val="zh-CN"/>
    </w:rPr>
  </w:style>
  <w:style w:type="paragraph" w:styleId="674">
    <w:name w:val="日期"/>
    <w:basedOn w:val="654"/>
    <w:next w:val="654"/>
    <w:link w:val="654"/>
    <w:uiPriority w:val="7"/>
    <w:rPr>
      <w:sz w:val="24"/>
      <w:szCs w:val="20"/>
      <w:lang w:val="zh-CN"/>
    </w:rPr>
  </w:style>
  <w:style w:type="paragraph" w:styleId="675">
    <w:name w:val="批注框文本"/>
    <w:basedOn w:val="654"/>
    <w:next w:val="675"/>
    <w:link w:val="654"/>
    <w:uiPriority w:val="6"/>
    <w:rPr>
      <w:sz w:val="18"/>
      <w:szCs w:val="18"/>
      <w:lang w:val="zh-CN"/>
    </w:rPr>
  </w:style>
  <w:style w:type="paragraph" w:styleId="676">
    <w:name w:val="页脚"/>
    <w:basedOn w:val="654"/>
    <w:next w:val="676"/>
    <w:link w:val="654"/>
    <w:uiPriority w:val="6"/>
    <w:pPr>
      <w:jc w:val="left"/>
      <w:tabs>
        <w:tab w:val="center" w:pos="4153" w:leader="none"/>
        <w:tab w:val="right" w:pos="8305" w:leader="none"/>
      </w:tabs>
    </w:pPr>
    <w:rPr>
      <w:sz w:val="18"/>
      <w:szCs w:val="18"/>
      <w:lang w:val="zh-CN"/>
    </w:rPr>
  </w:style>
  <w:style w:type="paragraph" w:styleId="677">
    <w:name w:val="页眉"/>
    <w:basedOn w:val="654"/>
    <w:next w:val="677"/>
    <w:link w:val="654"/>
    <w:uiPriority w:val="6"/>
    <w:pPr>
      <w:jc w:val="center"/>
      <w:tabs>
        <w:tab w:val="center" w:pos="4153" w:leader="none"/>
        <w:tab w:val="right" w:pos="8305" w:leader="none"/>
      </w:tabs>
      <w:pBdr>
        <w:bottom w:val="single" w:color="000000" w:sz="6" w:space="1"/>
      </w:pBdr>
    </w:pPr>
    <w:rPr>
      <w:sz w:val="18"/>
      <w:szCs w:val="18"/>
      <w:lang w:val="zh-CN"/>
    </w:rPr>
  </w:style>
  <w:style w:type="paragraph" w:styleId="678">
    <w:name w:val="目录 1"/>
    <w:basedOn w:val="654"/>
    <w:next w:val="654"/>
    <w:link w:val="654"/>
    <w:uiPriority w:val="4"/>
    <w:pPr>
      <w:jc w:val="center"/>
      <w:spacing w:before="120" w:after="120"/>
      <w:tabs>
        <w:tab w:val="right" w:pos="8296" w:leader="dot"/>
      </w:tabs>
    </w:pPr>
    <w:rPr>
      <w:b/>
      <w:caps/>
      <w:sz w:val="30"/>
      <w:szCs w:val="30"/>
    </w:rPr>
  </w:style>
  <w:style w:type="paragraph" w:styleId="679">
    <w:name w:val="正文文本缩进 3"/>
    <w:basedOn w:val="654"/>
    <w:next w:val="679"/>
    <w:link w:val="654"/>
    <w:uiPriority w:val="6"/>
    <w:pPr>
      <w:ind w:left="567"/>
      <w:jc w:val="left"/>
      <w:spacing w:line="360" w:lineRule="auto"/>
      <w:widowControl/>
      <w:tabs>
        <w:tab w:val="left" w:pos="0" w:leader="none"/>
        <w:tab w:val="left" w:pos="1134" w:leader="none"/>
      </w:tabs>
    </w:pPr>
    <w:rPr>
      <w:rFonts w:ascii="仿宋_GB2312" w:hAnsi="仿宋_GB2312" w:eastAsia="仿宋" w:cs="仿宋"/>
      <w:sz w:val="28"/>
      <w:szCs w:val="20"/>
      <w:lang w:val="zh-CN"/>
    </w:rPr>
  </w:style>
  <w:style w:type="paragraph" w:styleId="680">
    <w:name w:val="目录 2"/>
    <w:basedOn w:val="654"/>
    <w:next w:val="654"/>
    <w:link w:val="654"/>
    <w:uiPriority w:val="4"/>
    <w:pPr>
      <w:jc w:val="center"/>
      <w:tabs>
        <w:tab w:val="right" w:pos="8305" w:leader="dot"/>
      </w:tabs>
    </w:pPr>
    <w:rPr>
      <w:smallCaps/>
      <w:sz w:val="36"/>
      <w:szCs w:val="36"/>
    </w:rPr>
  </w:style>
  <w:style w:type="paragraph" w:styleId="681">
    <w:name w:val="正文文本 2"/>
    <w:basedOn w:val="654"/>
    <w:next w:val="681"/>
    <w:link w:val="654"/>
    <w:uiPriority w:val="6"/>
    <w:pPr>
      <w:jc w:val="center"/>
      <w:spacing w:after="468" w:line="800" w:lineRule="exact"/>
    </w:pPr>
    <w:rPr>
      <w:rFonts w:ascii="华文新魏" w:hAnsi="华文新魏" w:eastAsia="华文新魏" w:cs="宋体"/>
      <w:b/>
      <w:color w:val="0000ff"/>
      <w:spacing w:val="10"/>
      <w:sz w:val="72"/>
      <w:szCs w:val="20"/>
      <w:lang w:val="zh-CN"/>
    </w:rPr>
  </w:style>
  <w:style w:type="paragraph" w:styleId="682">
    <w:name w:val="HTML 预设格式"/>
    <w:basedOn w:val="654"/>
    <w:next w:val="682"/>
    <w:link w:val="654"/>
    <w:uiPriority w:val="4"/>
    <w:pPr>
      <w:spacing w:line="28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8305" w:leader="none"/>
        <w:tab w:val="left" w:pos="13740" w:leader="none"/>
        <w:tab w:val="left" w:pos="14656" w:leader="none"/>
      </w:tabs>
    </w:pPr>
    <w:rPr>
      <w:rFonts w:ascii="ˎ̥" w:hAnsi="ˎ̥" w:cs="微软雅黑"/>
      <w:sz w:val="18"/>
      <w:szCs w:val="18"/>
      <w:lang w:val="zh-CN"/>
    </w:rPr>
  </w:style>
  <w:style w:type="paragraph" w:styleId="683">
    <w:name w:val="普通(网站)"/>
    <w:basedOn w:val="654"/>
    <w:next w:val="683"/>
    <w:link w:val="654"/>
    <w:uiPriority w:val="7"/>
    <w:pPr>
      <w:jc w:val="left"/>
      <w:widowControl/>
    </w:pPr>
    <w:rPr>
      <w:sz w:val="24"/>
    </w:rPr>
  </w:style>
  <w:style w:type="paragraph" w:styleId="684">
    <w:name w:val="索引 1"/>
    <w:basedOn w:val="654"/>
    <w:next w:val="654"/>
    <w:link w:val="654"/>
    <w:uiPriority w:val="6"/>
    <w:pPr>
      <w:jc w:val="center"/>
      <w:spacing w:line="220" w:lineRule="exact"/>
    </w:pPr>
    <w:rPr>
      <w:rFonts w:ascii="仿宋_GB2312" w:hAnsi="仿宋_GB2312" w:eastAsia="仿宋" w:cs="仿宋"/>
      <w:szCs w:val="20"/>
    </w:rPr>
  </w:style>
  <w:style w:type="paragraph" w:styleId="685">
    <w:name w:val="标题"/>
    <w:basedOn w:val="654"/>
    <w:next w:val="685"/>
    <w:link w:val="654"/>
    <w:uiPriority w:val="7"/>
    <w:qFormat/>
    <w:pPr>
      <w:jc w:val="center"/>
      <w:spacing w:before="240" w:after="60" w:line="420" w:lineRule="atLeast"/>
      <w:outlineLvl w:val="0"/>
    </w:pPr>
    <w:rPr>
      <w:rFonts w:ascii="Arial" w:hAnsi="Arial" w:cs="Arial"/>
      <w:b/>
      <w:sz w:val="32"/>
      <w:szCs w:val="20"/>
      <w:lang w:val="zh-CN"/>
    </w:rPr>
  </w:style>
  <w:style w:type="paragraph" w:styleId="686">
    <w:name w:val="批注主题"/>
    <w:basedOn w:val="668"/>
    <w:next w:val="668"/>
    <w:link w:val="654"/>
    <w:uiPriority w:val="6"/>
    <w:rPr>
      <w:b/>
    </w:rPr>
  </w:style>
  <w:style w:type="character" w:styleId="687">
    <w:name w:val="要点"/>
    <w:next w:val="687"/>
    <w:link w:val="654"/>
    <w:uiPriority w:val="7"/>
    <w:qFormat/>
    <w:rPr>
      <w:b/>
      <w:bCs w:val="0"/>
    </w:rPr>
  </w:style>
  <w:style w:type="character" w:styleId="688">
    <w:name w:val="页码"/>
    <w:next w:val="688"/>
    <w:link w:val="654"/>
    <w:uiPriority w:val="6"/>
  </w:style>
  <w:style w:type="character" w:styleId="689">
    <w:name w:val="已访问的超链接"/>
    <w:next w:val="689"/>
    <w:link w:val="654"/>
    <w:uiPriority w:val="6"/>
    <w:rPr>
      <w:color w:val="000000"/>
      <w:sz w:val="18"/>
      <w:szCs w:val="18"/>
      <w:u w:val="none"/>
    </w:rPr>
  </w:style>
  <w:style w:type="character" w:styleId="690">
    <w:name w:val="强调"/>
    <w:next w:val="690"/>
    <w:link w:val="654"/>
    <w:uiPriority w:val="7"/>
    <w:qFormat/>
    <w:rPr>
      <w:i w:val="0"/>
    </w:rPr>
  </w:style>
  <w:style w:type="character" w:styleId="691">
    <w:name w:val="超链接"/>
    <w:next w:val="691"/>
    <w:link w:val="654"/>
    <w:uiPriority w:val="7"/>
    <w:rPr>
      <w:color w:val="000000"/>
      <w:sz w:val="18"/>
      <w:szCs w:val="18"/>
      <w:u w:val="none"/>
    </w:rPr>
  </w:style>
  <w:style w:type="character" w:styleId="692">
    <w:name w:val="HTML 代码"/>
    <w:next w:val="692"/>
    <w:link w:val="654"/>
    <w:uiPriority w:val="4"/>
    <w:rPr>
      <w:rFonts w:ascii="Courier New" w:hAnsi="Courier New"/>
      <w:sz w:val="20"/>
    </w:rPr>
  </w:style>
  <w:style w:type="character" w:styleId="693">
    <w:name w:val="批注引用"/>
    <w:next w:val="693"/>
    <w:link w:val="654"/>
    <w:uiPriority w:val="6"/>
    <w:rPr>
      <w:sz w:val="21"/>
      <w:szCs w:val="21"/>
    </w:rPr>
  </w:style>
  <w:style w:type="paragraph" w:styleId="694">
    <w:name w:val="首行缩进"/>
    <w:basedOn w:val="654"/>
    <w:next w:val="694"/>
    <w:link w:val="654"/>
    <w:uiPriority w:val="2034"/>
    <w:pPr>
      <w:ind w:firstLine="480"/>
      <w:jc w:val="left"/>
      <w:spacing w:line="360" w:lineRule="auto"/>
    </w:pPr>
    <w:rPr>
      <w:rFonts w:ascii="宋体" w:hAnsi="宋体" w:cs="宋体"/>
      <w:sz w:val="24"/>
    </w:rPr>
  </w:style>
  <w:style w:type="paragraph" w:styleId="695">
    <w:name w:val="无间隔"/>
    <w:next w:val="695"/>
    <w:link w:val="654"/>
    <w:uiPriority w:val="2"/>
    <w:qFormat/>
    <w:rPr>
      <w:color w:val="000000"/>
      <w:sz w:val="22"/>
      <w:szCs w:val="22"/>
      <w:lang w:val="en-US" w:eastAsia="zh-CN" w:bidi="ar-SA"/>
    </w:rPr>
  </w:style>
  <w:style w:type="paragraph" w:styleId="696">
    <w:name w:val="NormalIndent1"/>
    <w:basedOn w:val="654"/>
    <w:next w:val="696"/>
    <w:link w:val="654"/>
    <w:uiPriority w:val="7"/>
    <w:pPr>
      <w:ind w:firstLine="420"/>
      <w:widowControl/>
    </w:pPr>
    <w:rPr>
      <w:lang w:val="zh-CN"/>
    </w:rPr>
  </w:style>
  <w:style w:type="paragraph" w:styleId="697">
    <w:name w:val="Default"/>
    <w:next w:val="697"/>
    <w:link w:val="654"/>
    <w:uiPriority w:val="6"/>
    <w:pPr>
      <w:widowControl w:val="off"/>
    </w:pPr>
    <w:rPr>
      <w:rFonts w:ascii="宋体" w:hAnsi="宋体" w:cs="宋体"/>
      <w:color w:val="000000"/>
      <w:sz w:val="24"/>
      <w:lang w:val="en-US" w:eastAsia="zh-CN" w:bidi="ar-SA"/>
    </w:rPr>
  </w:style>
  <w:style w:type="paragraph" w:styleId="698">
    <w:name w:val="列表段落"/>
    <w:basedOn w:val="654"/>
    <w:next w:val="698"/>
    <w:link w:val="654"/>
    <w:uiPriority w:val="7"/>
    <w:qFormat/>
    <w:pPr>
      <w:ind w:firstLine="420"/>
    </w:pPr>
    <w:rPr>
      <w:rFonts w:ascii="Calibri" w:hAnsi="Calibri" w:cs="Calibri"/>
      <w:szCs w:val="22"/>
    </w:rPr>
  </w:style>
  <w:style w:type="paragraph" w:styleId="699">
    <w:name w:val="修订"/>
    <w:next w:val="699"/>
    <w:link w:val="654"/>
    <w:rPr>
      <w:color w:val="000000"/>
      <w:sz w:val="21"/>
      <w:szCs w:val="24"/>
      <w:lang w:val="en-US" w:eastAsia="zh-CN" w:bidi="ar-SA"/>
    </w:rPr>
  </w:style>
  <w:style w:type="paragraph" w:styleId="700">
    <w:name w:val="1"/>
    <w:basedOn w:val="654"/>
    <w:next w:val="654"/>
    <w:link w:val="654"/>
    <w:rPr>
      <w:szCs w:val="20"/>
    </w:rPr>
  </w:style>
  <w:style w:type="paragraph" w:styleId="701">
    <w:name w:val="_Style 13"/>
    <w:next w:val="654"/>
    <w:link w:val="654"/>
    <w:uiPriority w:val="7"/>
    <w:pPr>
      <w:jc w:val="both"/>
      <w:widowControl w:val="off"/>
    </w:pPr>
    <w:rPr>
      <w:color w:val="000000"/>
      <w:sz w:val="21"/>
      <w:szCs w:val="24"/>
      <w:lang w:val="en-US" w:eastAsia="zh-CN" w:bidi="ar-SA"/>
    </w:rPr>
  </w:style>
  <w:style w:type="paragraph" w:styleId="702">
    <w:name w:val="rvps1"/>
    <w:basedOn w:val="654"/>
    <w:next w:val="702"/>
    <w:link w:val="654"/>
    <w:uiPriority w:val="7"/>
    <w:pPr>
      <w:jc w:val="center"/>
      <w:widowControl/>
    </w:pPr>
    <w:rPr>
      <w:sz w:val="24"/>
    </w:rPr>
  </w:style>
  <w:style w:type="paragraph" w:styleId="703">
    <w:name w:val="Char Char Char Char"/>
    <w:basedOn w:val="654"/>
    <w:next w:val="703"/>
    <w:link w:val="654"/>
    <w:uiPriority w:val="6"/>
    <w:pPr>
      <w:spacing w:line="360" w:lineRule="atLeast"/>
    </w:pPr>
    <w:rPr>
      <w:rFonts w:ascii="Tahoma" w:hAnsi="Tahoma" w:cs="Tahoma"/>
      <w:sz w:val="24"/>
      <w:szCs w:val="20"/>
    </w:rPr>
  </w:style>
  <w:style w:type="paragraph" w:styleId="704">
    <w:name w:val=" Char Char1 Char Char Char Char Char Char Char Char Char Char Char Char Char Char Char Char Char Char1 Char Char Char Char Char Char Char"/>
    <w:basedOn w:val="654"/>
    <w:next w:val="704"/>
    <w:link w:val="654"/>
    <w:uiPriority w:val="6"/>
    <w:pPr>
      <w:spacing w:line="360" w:lineRule="auto"/>
    </w:pPr>
    <w:rPr>
      <w:sz w:val="24"/>
    </w:rPr>
  </w:style>
  <w:style w:type="paragraph" w:styleId="705">
    <w:name w:val="Blockquote"/>
    <w:basedOn w:val="654"/>
    <w:next w:val="705"/>
    <w:link w:val="654"/>
    <w:uiPriority w:val="6"/>
    <w:pPr>
      <w:ind w:left="360" w:right="360"/>
      <w:jc w:val="left"/>
      <w:spacing w:before="100" w:after="100"/>
    </w:pPr>
    <w:rPr>
      <w:sz w:val="24"/>
      <w:szCs w:val="20"/>
    </w:rPr>
  </w:style>
  <w:style w:type="paragraph" w:styleId="706">
    <w:name w:val=" Char Char Char Char"/>
    <w:basedOn w:val="654"/>
    <w:next w:val="706"/>
    <w:link w:val="654"/>
    <w:uiPriority w:val="6"/>
    <w:pPr>
      <w:spacing w:line="360" w:lineRule="atLeast"/>
    </w:pPr>
    <w:rPr>
      <w:rFonts w:ascii="Tahoma" w:hAnsi="Tahoma" w:cs="Tahoma"/>
      <w:sz w:val="24"/>
      <w:szCs w:val="20"/>
    </w:rPr>
  </w:style>
  <w:style w:type="paragraph" w:styleId="707">
    <w:name w:val="p0"/>
    <w:basedOn w:val="654"/>
    <w:next w:val="707"/>
    <w:link w:val="654"/>
    <w:pPr>
      <w:widowControl/>
    </w:pPr>
    <w:rPr>
      <w:szCs w:val="21"/>
    </w:rPr>
  </w:style>
  <w:style w:type="paragraph" w:styleId="708">
    <w:name w:val="样式 标题 3 + (中文) 黑体 小四 非加粗 段前: 7.8 磅 段后: 0 磅 行距: 固定值 20 磅"/>
    <w:basedOn w:val="657"/>
    <w:next w:val="708"/>
    <w:link w:val="654"/>
    <w:uiPriority w:val="2"/>
    <w:pPr>
      <w:spacing w:before="0" w:after="0" w:line="400" w:lineRule="exact"/>
    </w:pPr>
    <w:rPr>
      <w:rFonts w:eastAsia="黑体"/>
      <w:b w:val="0"/>
      <w:sz w:val="24"/>
      <w:lang w:val="zh-CN"/>
    </w:rPr>
  </w:style>
  <w:style w:type="paragraph" w:styleId="709">
    <w:name w:val="样式 标题 1 + 黑体 三号 非加粗 居中 段前: 6 磅 段后: 6 磅 行距: 固定值 20 磅"/>
    <w:basedOn w:val="655"/>
    <w:next w:val="709"/>
    <w:link w:val="654"/>
    <w:uiPriority w:val="2"/>
    <w:pPr>
      <w:spacing w:before="120" w:after="120" w:line="400" w:lineRule="exact"/>
    </w:pPr>
    <w:rPr>
      <w:rFonts w:ascii="黑体" w:hAnsi="黑体" w:eastAsia="黑体" w:cs="黑体"/>
      <w:b w:val="0"/>
      <w:sz w:val="32"/>
      <w:szCs w:val="20"/>
      <w:lang w:val="zh-CN"/>
    </w:rPr>
  </w:style>
  <w:style w:type="paragraph" w:styleId="710">
    <w:name w:val="样式 标题 2 + Times New Roman 四号 非加粗 段前: 5 磅 段后: 0 磅 行距: 固定值 20..."/>
    <w:basedOn w:val="656"/>
    <w:next w:val="710"/>
    <w:link w:val="654"/>
    <w:uiPriority w:val="2"/>
    <w:pPr>
      <w:jc w:val="both"/>
      <w:spacing w:before="100" w:after="0" w:line="400" w:lineRule="exact"/>
    </w:pPr>
    <w:rPr>
      <w:rFonts w:ascii="Times New Roman" w:hAnsi="Times New Roman" w:eastAsia="黑体" w:cs="Times New Roman"/>
      <w:b w:val="0"/>
      <w:sz w:val="28"/>
      <w:lang w:val="zh-CN"/>
    </w:rPr>
  </w:style>
  <w:style w:type="paragraph" w:styleId="711">
    <w:name w:val="6'"/>
    <w:basedOn w:val="654"/>
    <w:next w:val="711"/>
    <w:link w:val="654"/>
    <w:pPr>
      <w:jc w:val="center"/>
      <w:spacing w:line="320" w:lineRule="exact"/>
    </w:pPr>
    <w:rPr>
      <w:spacing w:val="20"/>
      <w:szCs w:val="20"/>
    </w:rPr>
  </w:style>
  <w:style w:type="paragraph" w:styleId="712">
    <w:name w:val="正文（绿盟科技）"/>
    <w:next w:val="712"/>
    <w:link w:val="654"/>
    <w:uiPriority w:val="4080"/>
    <w:pPr>
      <w:spacing w:line="300" w:lineRule="auto"/>
    </w:pPr>
    <w:rPr>
      <w:rFonts w:ascii="Arial" w:hAnsi="Arial" w:cs="黑体"/>
      <w:color w:val="000000"/>
      <w:sz w:val="21"/>
      <w:szCs w:val="21"/>
      <w:lang w:val="en-US" w:eastAsia="zh-CN" w:bidi="ar-SA"/>
    </w:rPr>
  </w:style>
  <w:style w:type="paragraph" w:styleId="713">
    <w:name w:val="段"/>
    <w:next w:val="654"/>
    <w:link w:val="654"/>
    <w:uiPriority w:val="1"/>
    <w:pPr>
      <w:ind w:firstLine="200"/>
      <w:jc w:val="both"/>
      <w:spacing w:line="360" w:lineRule="auto"/>
    </w:pPr>
    <w:rPr>
      <w:rFonts w:ascii="宋体" w:hAnsi="宋体" w:cs="Calibri"/>
      <w:color w:val="000000"/>
      <w:sz w:val="24"/>
      <w:szCs w:val="22"/>
      <w:lang w:val="en-US" w:eastAsia="zh-CN" w:bidi="ar-SA"/>
    </w:rPr>
  </w:style>
  <w:style w:type="paragraph" w:styleId="714">
    <w:name w:val="表格"/>
    <w:basedOn w:val="654"/>
    <w:next w:val="714"/>
    <w:link w:val="654"/>
    <w:pPr>
      <w:jc w:val="center"/>
    </w:pPr>
    <w:rPr>
      <w:rFonts w:ascii="华文细黑" w:hAnsi="华文细黑" w:cs="华文细黑"/>
      <w:szCs w:val="20"/>
    </w:rPr>
  </w:style>
  <w:style w:type="paragraph" w:styleId="715">
    <w:name w:val="Char"/>
    <w:basedOn w:val="654"/>
    <w:next w:val="715"/>
    <w:link w:val="654"/>
    <w:uiPriority w:val="6"/>
    <w:rPr>
      <w:rFonts w:ascii="宋体" w:hAnsi="宋体" w:cs="宋体"/>
      <w:b/>
      <w:szCs w:val="20"/>
    </w:rPr>
  </w:style>
  <w:style w:type="paragraph" w:styleId="716">
    <w:name w:val="表格文字"/>
    <w:basedOn w:val="654"/>
    <w:next w:val="716"/>
    <w:link w:val="654"/>
    <w:uiPriority w:val="1624"/>
    <w:pPr>
      <w:jc w:val="left"/>
      <w:spacing w:line="420" w:lineRule="atLeast"/>
    </w:pPr>
    <w:rPr>
      <w:szCs w:val="20"/>
    </w:rPr>
  </w:style>
  <w:style w:type="paragraph" w:styleId="717">
    <w:name w:val="标题 5（有编号）（绿盟科技）"/>
    <w:basedOn w:val="654"/>
    <w:next w:val="712"/>
    <w:link w:val="654"/>
    <w:uiPriority w:val="2"/>
    <w:pPr>
      <w:numPr>
        <w:ilvl w:val="4"/>
        <w:numId w:val="1"/>
      </w:numPr>
      <w:ind w:left="0" w:firstLine="0"/>
      <w:jc w:val="left"/>
      <w:keepLines/>
      <w:keepNext/>
      <w:spacing w:before="280" w:after="156" w:line="377" w:lineRule="auto"/>
      <w:outlineLvl w:val="4"/>
    </w:pPr>
    <w:rPr>
      <w:rFonts w:ascii="Arial" w:hAnsi="Arial" w:eastAsia="黑体" w:cs="Arial"/>
      <w:b/>
      <w:sz w:val="24"/>
      <w:szCs w:val="28"/>
    </w:rPr>
  </w:style>
  <w:style w:type="paragraph" w:styleId="718">
    <w:name w:val="页眉1"/>
    <w:basedOn w:val="654"/>
    <w:next w:val="677"/>
    <w:link w:val="654"/>
    <w:uiPriority w:val="3"/>
    <w:pPr>
      <w:jc w:val="center"/>
      <w:tabs>
        <w:tab w:val="center" w:pos="4153" w:leader="none"/>
        <w:tab w:val="right" w:pos="8305" w:leader="none"/>
      </w:tabs>
      <w:pBdr>
        <w:bottom w:val="single" w:color="000000" w:sz="6" w:space="1"/>
      </w:pBdr>
    </w:pPr>
    <w:rPr>
      <w:rFonts w:ascii="Calibri" w:hAnsi="Calibri" w:cs="Calibri"/>
      <w:sz w:val="18"/>
      <w:szCs w:val="18"/>
    </w:rPr>
  </w:style>
  <w:style w:type="paragraph" w:styleId="719">
    <w:name w:val="页脚1"/>
    <w:basedOn w:val="654"/>
    <w:next w:val="676"/>
    <w:link w:val="654"/>
    <w:uiPriority w:val="3"/>
    <w:pPr>
      <w:jc w:val="left"/>
      <w:tabs>
        <w:tab w:val="center" w:pos="4153" w:leader="none"/>
        <w:tab w:val="right" w:pos="8305" w:leader="none"/>
      </w:tabs>
    </w:pPr>
    <w:rPr>
      <w:rFonts w:ascii="Calibri" w:hAnsi="Calibri" w:cs="Calibri"/>
      <w:sz w:val="18"/>
      <w:szCs w:val="18"/>
    </w:rPr>
  </w:style>
  <w:style w:type="paragraph" w:styleId="720">
    <w:name w:val="Body text|1"/>
    <w:basedOn w:val="654"/>
    <w:next w:val="720"/>
    <w:link w:val="654"/>
    <w:uiPriority w:val="6"/>
    <w:pPr>
      <w:ind w:firstLine="400"/>
      <w:spacing w:line="437" w:lineRule="auto"/>
    </w:pPr>
    <w:rPr>
      <w:rFonts w:ascii="宋体" w:hAnsi="宋体" w:cs="宋体"/>
      <w:sz w:val="22"/>
      <w:szCs w:val="22"/>
      <w:lang w:val="zh-TW" w:eastAsia="zh-TW" w:bidi="zh-TW"/>
    </w:rPr>
  </w:style>
  <w:style w:type="paragraph" w:styleId="721">
    <w:name w:val="二级无"/>
    <w:basedOn w:val="654"/>
    <w:next w:val="721"/>
    <w:link w:val="654"/>
    <w:uiPriority w:val="1630"/>
    <w:pPr>
      <w:numPr>
        <w:ilvl w:val="0"/>
        <w:numId w:val="2"/>
      </w:numPr>
      <w:ind w:left="525" w:firstLine="0"/>
      <w:jc w:val="left"/>
      <w:widowControl/>
      <w:outlineLvl w:val="3"/>
    </w:pPr>
    <w:rPr>
      <w:rFonts w:ascii="宋体" w:hAnsi="宋体" w:cs="宋体"/>
      <w:szCs w:val="21"/>
    </w:rPr>
  </w:style>
  <w:style w:type="paragraph" w:styleId="722">
    <w:name w:val="Table Paragraph"/>
    <w:basedOn w:val="654"/>
    <w:next w:val="722"/>
    <w:link w:val="654"/>
    <w:uiPriority w:val="6"/>
    <w:pPr>
      <w:jc w:val="left"/>
    </w:pPr>
    <w:rPr>
      <w:rFonts w:ascii="等线" w:hAnsi="等线" w:eastAsia="等线" w:cs="等线"/>
      <w:sz w:val="22"/>
      <w:szCs w:val="22"/>
      <w:lang w:val="zh-CN" w:bidi="zh-CN"/>
    </w:rPr>
  </w:style>
  <w:style w:type="character" w:styleId="723">
    <w:name w:val="正文文本 Char"/>
    <w:next w:val="723"/>
    <w:link w:val="654"/>
    <w:uiPriority w:val="1624"/>
    <w:rPr>
      <w:sz w:val="21"/>
    </w:rPr>
  </w:style>
  <w:style w:type="character" w:styleId="724">
    <w:name w:val="标题 1 Char"/>
    <w:next w:val="724"/>
    <w:link w:val="654"/>
    <w:uiPriority w:val="2"/>
    <w:rPr>
      <w:rFonts w:eastAsia="仿宋"/>
      <w:b/>
      <w:bCs w:val="0"/>
      <w:sz w:val="52"/>
      <w:szCs w:val="44"/>
    </w:rPr>
  </w:style>
  <w:style w:type="character" w:styleId="725">
    <w:name w:val="标题 2 Char"/>
    <w:next w:val="725"/>
    <w:link w:val="654"/>
    <w:uiPriority w:val="2"/>
    <w:rPr>
      <w:rFonts w:ascii="Arial" w:hAnsi="Arial" w:eastAsia="仿宋"/>
      <w:b/>
      <w:sz w:val="48"/>
    </w:rPr>
  </w:style>
  <w:style w:type="character" w:styleId="726">
    <w:name w:val="标题 3 Char"/>
    <w:next w:val="726"/>
    <w:link w:val="654"/>
    <w:uiPriority w:val="2"/>
    <w:rPr>
      <w:rFonts w:eastAsia="仿宋"/>
      <w:b/>
      <w:bCs w:val="0"/>
      <w:sz w:val="36"/>
      <w:szCs w:val="32"/>
    </w:rPr>
  </w:style>
  <w:style w:type="character" w:styleId="727">
    <w:name w:val="标题 4 Char"/>
    <w:next w:val="727"/>
    <w:link w:val="654"/>
    <w:uiPriority w:val="2"/>
    <w:rPr>
      <w:rFonts w:ascii="Arial" w:hAnsi="Arial" w:eastAsia="黑体"/>
      <w:b/>
      <w:sz w:val="28"/>
    </w:rPr>
  </w:style>
  <w:style w:type="character" w:styleId="728">
    <w:name w:val="标题 5 Char"/>
    <w:next w:val="728"/>
    <w:link w:val="654"/>
    <w:uiPriority w:val="2"/>
    <w:rPr>
      <w:rFonts w:eastAsia="楷体"/>
      <w:b/>
      <w:bCs w:val="0"/>
      <w:sz w:val="28"/>
      <w:szCs w:val="28"/>
    </w:rPr>
  </w:style>
  <w:style w:type="character" w:styleId="729">
    <w:name w:val="标题 6 Char"/>
    <w:next w:val="729"/>
    <w:link w:val="654"/>
    <w:uiPriority w:val="2"/>
    <w:rPr>
      <w:rFonts w:ascii="Arial" w:hAnsi="Arial" w:eastAsia="黑体"/>
      <w:b/>
      <w:sz w:val="24"/>
    </w:rPr>
  </w:style>
  <w:style w:type="character" w:styleId="730">
    <w:name w:val="标题 7 Char"/>
    <w:next w:val="730"/>
    <w:link w:val="654"/>
    <w:uiPriority w:val="2"/>
    <w:rPr>
      <w:b/>
      <w:sz w:val="24"/>
    </w:rPr>
  </w:style>
  <w:style w:type="character" w:styleId="731">
    <w:name w:val="标题 8 Char"/>
    <w:next w:val="731"/>
    <w:link w:val="654"/>
    <w:uiPriority w:val="2"/>
    <w:rPr>
      <w:rFonts w:ascii="Arial" w:hAnsi="Arial" w:eastAsia="黑体"/>
      <w:sz w:val="24"/>
    </w:rPr>
  </w:style>
  <w:style w:type="character" w:styleId="732">
    <w:name w:val="标题 9 Char"/>
    <w:next w:val="732"/>
    <w:link w:val="654"/>
    <w:uiPriority w:val="2"/>
    <w:rPr>
      <w:rFonts w:ascii="Arial" w:hAnsi="Arial" w:eastAsia="黑体"/>
      <w:sz w:val="21"/>
    </w:rPr>
  </w:style>
  <w:style w:type="character" w:styleId="733">
    <w:name w:val="正文缩进 Char"/>
    <w:next w:val="733"/>
    <w:link w:val="654"/>
    <w:uiPriority w:val="2034"/>
    <w:rPr>
      <w:sz w:val="21"/>
    </w:rPr>
  </w:style>
  <w:style w:type="character" w:styleId="734">
    <w:name w:val="文档结构图 Char"/>
    <w:next w:val="734"/>
    <w:link w:val="654"/>
    <w:uiPriority w:val="2029"/>
    <w:rPr>
      <w:sz w:val="21"/>
      <w:shd w:val="clear" w:color="auto" w:fill="00007f"/>
    </w:rPr>
  </w:style>
  <w:style w:type="character" w:styleId="735">
    <w:name w:val="批注文字 Char1"/>
    <w:next w:val="735"/>
    <w:link w:val="654"/>
    <w:uiPriority w:val="1624"/>
    <w:rPr>
      <w:sz w:val="21"/>
      <w:szCs w:val="24"/>
    </w:rPr>
  </w:style>
  <w:style w:type="character" w:styleId="736">
    <w:name w:val="正文文本 3 Char"/>
    <w:next w:val="736"/>
    <w:link w:val="654"/>
    <w:uiPriority w:val="1624"/>
    <w:rPr>
      <w:rFonts w:ascii="楷体_GB2312" w:hAnsi="楷体_GB2312" w:eastAsia="楷体"/>
      <w:b/>
      <w:sz w:val="44"/>
    </w:rPr>
  </w:style>
  <w:style w:type="character" w:styleId="737">
    <w:name w:val="正文文本缩进 Char"/>
    <w:next w:val="737"/>
    <w:link w:val="654"/>
    <w:uiPriority w:val="1624"/>
    <w:rPr>
      <w:sz w:val="21"/>
    </w:rPr>
  </w:style>
  <w:style w:type="character" w:styleId="738">
    <w:name w:val="纯文本 Char"/>
    <w:next w:val="738"/>
    <w:link w:val="654"/>
    <w:uiPriority w:val="1650"/>
    <w:rPr>
      <w:rFonts w:ascii="宋体" w:hAnsi="宋体"/>
      <w:sz w:val="21"/>
      <w:szCs w:val="21"/>
    </w:rPr>
  </w:style>
  <w:style w:type="character" w:styleId="739">
    <w:name w:val="日期 Char"/>
    <w:next w:val="739"/>
    <w:link w:val="654"/>
    <w:uiPriority w:val="2"/>
    <w:rPr>
      <w:sz w:val="24"/>
    </w:rPr>
  </w:style>
  <w:style w:type="character" w:styleId="740">
    <w:name w:val="批注框文本 Char"/>
    <w:next w:val="740"/>
    <w:link w:val="654"/>
    <w:uiPriority w:val="1668"/>
    <w:rPr>
      <w:sz w:val="18"/>
      <w:szCs w:val="18"/>
    </w:rPr>
  </w:style>
  <w:style w:type="character" w:styleId="741">
    <w:name w:val="页脚 Char"/>
    <w:next w:val="741"/>
    <w:link w:val="654"/>
    <w:uiPriority w:val="2"/>
    <w:rPr>
      <w:sz w:val="18"/>
      <w:szCs w:val="18"/>
    </w:rPr>
  </w:style>
  <w:style w:type="character" w:styleId="742">
    <w:name w:val="页眉 Char"/>
    <w:next w:val="742"/>
    <w:link w:val="654"/>
    <w:uiPriority w:val="2"/>
    <w:rPr>
      <w:sz w:val="18"/>
      <w:szCs w:val="18"/>
    </w:rPr>
  </w:style>
  <w:style w:type="character" w:styleId="743">
    <w:name w:val="正文文本缩进 3 Char"/>
    <w:next w:val="743"/>
    <w:link w:val="654"/>
    <w:uiPriority w:val="1624"/>
    <w:rPr>
      <w:rFonts w:ascii="仿宋_GB2312" w:hAnsi="仿宋_GB2312" w:eastAsia="仿宋"/>
      <w:sz w:val="28"/>
    </w:rPr>
  </w:style>
  <w:style w:type="character" w:styleId="744">
    <w:name w:val="正文文本 2 Char"/>
    <w:next w:val="744"/>
    <w:link w:val="654"/>
    <w:uiPriority w:val="1624"/>
    <w:rPr>
      <w:rFonts w:ascii="华文新魏" w:hAnsi="华文新魏" w:eastAsia="华文新魏"/>
      <w:b/>
      <w:color w:val="0000ff"/>
      <w:spacing w:val="8"/>
      <w:sz w:val="72"/>
    </w:rPr>
  </w:style>
  <w:style w:type="character" w:styleId="745">
    <w:name w:val="HTML 预设格式 Char"/>
    <w:next w:val="745"/>
    <w:link w:val="654"/>
    <w:uiPriority w:val="4"/>
    <w:rPr>
      <w:rFonts w:ascii="ˎ̥" w:hAnsi="ˎ̥" w:cs="宋体"/>
      <w:sz w:val="18"/>
      <w:szCs w:val="18"/>
    </w:rPr>
  </w:style>
  <w:style w:type="character" w:styleId="746">
    <w:name w:val="标题 Char"/>
    <w:next w:val="746"/>
    <w:link w:val="654"/>
    <w:uiPriority w:val="2"/>
    <w:rPr>
      <w:rFonts w:ascii="Arial" w:hAnsi="Arial"/>
      <w:b/>
      <w:sz w:val="32"/>
    </w:rPr>
  </w:style>
  <w:style w:type="character" w:styleId="747">
    <w:name w:val="批注主题 Char"/>
    <w:next w:val="747"/>
    <w:link w:val="654"/>
    <w:uiPriority w:val="1251"/>
    <w:rPr>
      <w:b/>
      <w:bCs w:val="0"/>
      <w:sz w:val="21"/>
      <w:szCs w:val="24"/>
    </w:rPr>
  </w:style>
  <w:style w:type="character" w:styleId="748">
    <w:name w:val="rvts9"/>
    <w:next w:val="748"/>
    <w:link w:val="654"/>
    <w:uiPriority w:val="7"/>
    <w:rPr>
      <w:rFonts w:ascii="KNLe" w:hAnsi="KNLe" w:cs="Times New Roman"/>
    </w:rPr>
  </w:style>
  <w:style w:type="character" w:styleId="749">
    <w:name w:val="rvts12"/>
    <w:next w:val="749"/>
    <w:link w:val="654"/>
    <w:uiPriority w:val="7"/>
    <w:rPr>
      <w:rFonts w:ascii="KNLe" w:hAnsi="KNLe"/>
      <w:color w:val="000000"/>
      <w:sz w:val="24"/>
      <w:szCs w:val="24"/>
    </w:rPr>
  </w:style>
  <w:style w:type="character" w:styleId="750">
    <w:name w:val="正文文本 Char1"/>
    <w:next w:val="750"/>
    <w:link w:val="654"/>
    <w:uiPriority w:val="1624"/>
    <w:rPr>
      <w:sz w:val="21"/>
      <w:szCs w:val="24"/>
    </w:rPr>
  </w:style>
  <w:style w:type="character" w:styleId="751">
    <w:name w:val="文档结构图 Char1"/>
    <w:next w:val="751"/>
    <w:link w:val="654"/>
    <w:uiPriority w:val="2029"/>
    <w:rPr>
      <w:rFonts w:ascii="宋体" w:hAnsi="宋体"/>
      <w:sz w:val="18"/>
      <w:szCs w:val="18"/>
    </w:rPr>
  </w:style>
  <w:style w:type="character" w:styleId="752">
    <w:name w:val="rvts11"/>
    <w:next w:val="752"/>
    <w:link w:val="654"/>
    <w:uiPriority w:val="7"/>
    <w:rPr>
      <w:rFonts w:ascii="KNLe" w:hAnsi="KNLe" w:cs="Times New Roman"/>
      <w:u w:val="single"/>
    </w:rPr>
  </w:style>
  <w:style w:type="character" w:styleId="753">
    <w:name w:val="日期 Char1"/>
    <w:next w:val="753"/>
    <w:link w:val="654"/>
    <w:uiPriority w:val="2"/>
    <w:rPr>
      <w:sz w:val="21"/>
      <w:szCs w:val="24"/>
    </w:rPr>
  </w:style>
  <w:style w:type="character" w:styleId="754">
    <w:name w:val="无间隔 Char"/>
    <w:next w:val="754"/>
    <w:link w:val="654"/>
    <w:uiPriority w:val="2409"/>
    <w:rPr>
      <w:sz w:val="22"/>
      <w:szCs w:val="22"/>
      <w:lang w:val="en-US" w:eastAsia="zh-CN" w:bidi="ar-SA"/>
    </w:rPr>
  </w:style>
  <w:style w:type="character" w:styleId="755">
    <w:name w:val="font01"/>
    <w:next w:val="755"/>
    <w:link w:val="654"/>
    <w:uiPriority w:val="6"/>
    <w:rPr>
      <w:rFonts w:ascii="宋体" w:hAnsi="宋体" w:eastAsia="宋体" w:cs="宋体"/>
      <w:color w:val="000000"/>
      <w:position w:val="-2"/>
      <w:sz w:val="20"/>
      <w:szCs w:val="20"/>
      <w:u w:val="none"/>
      <w:vertAlign w:val="superscript"/>
    </w:rPr>
  </w:style>
  <w:style w:type="character" w:styleId="756">
    <w:name w:val="UserStyle_1"/>
    <w:next w:val="756"/>
    <w:link w:val="654"/>
    <w:uiPriority w:val="6"/>
    <w:rPr>
      <w:sz w:val="21"/>
      <w:szCs w:val="24"/>
    </w:rPr>
  </w:style>
  <w:style w:type="character" w:styleId="757">
    <w:name w:val="批注文字 Char"/>
    <w:next w:val="757"/>
    <w:link w:val="654"/>
    <w:uiPriority w:val="1624"/>
    <w:rPr>
      <w:sz w:val="21"/>
    </w:rPr>
  </w:style>
  <w:style w:type="character" w:styleId="758">
    <w:name w:val="正文文本缩进 3 Char1"/>
    <w:next w:val="758"/>
    <w:link w:val="654"/>
    <w:uiPriority w:val="1624"/>
    <w:rPr>
      <w:sz w:val="16"/>
      <w:szCs w:val="16"/>
    </w:rPr>
  </w:style>
  <w:style w:type="character" w:styleId="759">
    <w:name w:val="批注框文本 Char1"/>
    <w:next w:val="759"/>
    <w:link w:val="654"/>
    <w:uiPriority w:val="1668"/>
    <w:rPr>
      <w:sz w:val="18"/>
      <w:szCs w:val="18"/>
    </w:rPr>
  </w:style>
  <w:style w:type="character" w:styleId="760">
    <w:name w:val="正文文本 3 Char1"/>
    <w:next w:val="760"/>
    <w:link w:val="654"/>
    <w:uiPriority w:val="1624"/>
    <w:rPr>
      <w:sz w:val="16"/>
      <w:szCs w:val="16"/>
    </w:rPr>
  </w:style>
  <w:style w:type="character" w:styleId="761">
    <w:name w:val="标题 Char1"/>
    <w:next w:val="761"/>
    <w:link w:val="654"/>
    <w:uiPriority w:val="2"/>
    <w:rPr>
      <w:rFonts w:ascii="Cambria" w:hAnsi="Cambria" w:cs="Times New Roman"/>
      <w:b/>
      <w:bCs w:val="0"/>
      <w:sz w:val="32"/>
      <w:szCs w:val="32"/>
    </w:rPr>
  </w:style>
  <w:style w:type="character" w:styleId="762">
    <w:name w:val="正文文本缩进 Char1"/>
    <w:next w:val="762"/>
    <w:link w:val="654"/>
    <w:uiPriority w:val="1624"/>
    <w:rPr>
      <w:sz w:val="21"/>
      <w:szCs w:val="24"/>
    </w:rPr>
  </w:style>
  <w:style w:type="character" w:styleId="763">
    <w:name w:val="font161"/>
    <w:next w:val="763"/>
    <w:link w:val="654"/>
    <w:uiPriority w:val="6"/>
    <w:rPr>
      <w:b/>
      <w:sz w:val="32"/>
    </w:rPr>
  </w:style>
  <w:style w:type="character" w:styleId="764">
    <w:name w:val="rvts14"/>
    <w:next w:val="764"/>
    <w:link w:val="654"/>
    <w:uiPriority w:val="7"/>
    <w:rPr>
      <w:rFonts w:ascii="KNLe" w:hAnsi="KNLe"/>
      <w:color w:val="0000ff"/>
    </w:rPr>
  </w:style>
  <w:style w:type="character" w:styleId="765">
    <w:name w:val="rvts10"/>
    <w:next w:val="765"/>
    <w:link w:val="654"/>
    <w:uiPriority w:val="7"/>
    <w:rPr>
      <w:rFonts w:ascii="KNLe" w:hAnsi="KNLe" w:cs="Times New Roman"/>
      <w:b/>
      <w:bCs w:val="0"/>
    </w:rPr>
  </w:style>
  <w:style w:type="character" w:styleId="766">
    <w:name w:val="font21"/>
    <w:next w:val="766"/>
    <w:link w:val="654"/>
    <w:uiPriority w:val="6"/>
    <w:rPr>
      <w:rFonts w:ascii="宋体" w:hAnsi="宋体" w:eastAsia="宋体" w:cs="宋体"/>
      <w:color w:val="000000"/>
      <w:sz w:val="18"/>
      <w:szCs w:val="18"/>
      <w:u w:val="none"/>
    </w:rPr>
  </w:style>
  <w:style w:type="character" w:styleId="767">
    <w:name w:val="rvts13"/>
    <w:next w:val="767"/>
    <w:link w:val="654"/>
    <w:uiPriority w:val="7"/>
    <w:rPr>
      <w:rFonts w:ascii="KNLe" w:hAnsi="KNLe"/>
      <w:color w:val="0000ff"/>
    </w:rPr>
  </w:style>
  <w:style w:type="character" w:styleId="768">
    <w:name w:val="NormalCharacter1"/>
    <w:next w:val="768"/>
    <w:link w:val="654"/>
    <w:uiPriority w:val="7"/>
  </w:style>
  <w:style w:type="character" w:styleId="769">
    <w:name w:val="font41"/>
    <w:next w:val="769"/>
    <w:link w:val="654"/>
    <w:uiPriority w:val="6"/>
    <w:rPr>
      <w:rFonts w:ascii="宋体" w:hAnsi="宋体" w:eastAsia="宋体" w:cs="宋体"/>
      <w:color w:val="ff0000"/>
      <w:sz w:val="20"/>
      <w:szCs w:val="20"/>
      <w:u w:val="none"/>
    </w:rPr>
  </w:style>
  <w:style w:type="character" w:styleId="770">
    <w:name w:val="页眉 Char1"/>
    <w:next w:val="770"/>
    <w:link w:val="654"/>
    <w:uiPriority w:val="2"/>
    <w:rPr>
      <w:sz w:val="18"/>
      <w:szCs w:val="18"/>
    </w:rPr>
  </w:style>
  <w:style w:type="character" w:styleId="771">
    <w:name w:val="页脚 Char1"/>
    <w:next w:val="771"/>
    <w:link w:val="654"/>
    <w:uiPriority w:val="2"/>
    <w:rPr>
      <w:sz w:val="18"/>
      <w:szCs w:val="18"/>
    </w:rPr>
  </w:style>
  <w:style w:type="character" w:styleId="772">
    <w:name w:val="font11"/>
    <w:next w:val="772"/>
    <w:link w:val="654"/>
    <w:uiPriority w:val="6"/>
    <w:rPr>
      <w:rFonts w:ascii="宋体" w:hAnsi="宋体" w:eastAsia="宋体" w:cs="宋体"/>
      <w:color w:val="ff0000"/>
      <w:sz w:val="21"/>
      <w:szCs w:val="21"/>
      <w:u w:val="none"/>
    </w:rPr>
  </w:style>
  <w:style w:type="character" w:styleId="773">
    <w:name w:val="font51"/>
    <w:next w:val="773"/>
    <w:link w:val="654"/>
    <w:uiPriority w:val="6"/>
    <w:rPr>
      <w:rFonts w:ascii="等线" w:hAnsi="等线" w:eastAsia="等线" w:cs="等线"/>
      <w:color w:val="000000"/>
      <w:sz w:val="21"/>
      <w:szCs w:val="21"/>
      <w:u w:val="none"/>
    </w:rPr>
  </w:style>
  <w:style w:type="character" w:styleId="774">
    <w:name w:val="批注文字 字符"/>
    <w:next w:val="774"/>
    <w:link w:val="654"/>
    <w:uiPriority w:val="1624"/>
    <w:rPr>
      <w:sz w:val="21"/>
      <w:szCs w:val="24"/>
    </w:rPr>
  </w:style>
  <w:style w:type="character" w:styleId="775">
    <w:name w:val="text-tag"/>
    <w:next w:val="775"/>
    <w:link w:val="654"/>
  </w:style>
  <w:style w:type="character" w:styleId="9784" w:default="1">
    <w:name w:val="Default Paragraph Font"/>
    <w:uiPriority w:val="1"/>
    <w:semiHidden/>
    <w:unhideWhenUsed/>
  </w:style>
  <w:style w:type="numbering" w:styleId="9785" w:default="1">
    <w:name w:val="No List"/>
    <w:uiPriority w:val="99"/>
    <w:semiHidden/>
    <w:unhideWhenUsed/>
  </w:style>
  <w:style w:type="table" w:styleId="9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牛仔</dc:creator>
  <cp:lastModifiedBy>曹雪（南京江城）</cp:lastModifiedBy>
  <cp:revision>4</cp:revision>
  <dcterms:created xsi:type="dcterms:W3CDTF">2024-05-28T05:44:00Z</dcterms:created>
  <dcterms:modified xsi:type="dcterms:W3CDTF">2024-07-01T10:21:07Z</dcterms:modified>
</cp:coreProperties>
</file>