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8"/>
        <w:spacing w:before="120" w:beforeAutospacing="0" w:after="120" w:afterAutospacing="0" w:line="360" w:lineRule="auto"/>
        <w:rPr>
          <w:color w:val="auto"/>
          <w:highlight w:val="none"/>
        </w:rPr>
      </w:pPr>
      <w:r>
        <w:rPr>
          <w:color w:val="auto"/>
          <w:highlight w:val="none"/>
        </w:rPr>
        <w:t xml:space="preserve"> </w:t>
      </w:r>
      <w:r/>
    </w:p>
    <w:p>
      <w:pPr>
        <w:pStyle w:val="668"/>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68"/>
        <w:ind w:firstLine="643"/>
        <w:jc w:val="left"/>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8"/>
        <w:ind w:firstLine="643"/>
        <w:jc w:val="left"/>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项目名称：</w:t>
      </w:r>
      <w:r>
        <w:rPr>
          <w:rFonts w:hint="eastAsia" w:ascii="Arial" w:hAnsi="Arial" w:eastAsia="宋体" w:cs="Arial"/>
          <w:b/>
          <w:color w:val="auto"/>
          <w:sz w:val="32"/>
          <w:szCs w:val="32"/>
          <w:highlight w:val="none"/>
          <w:lang w:eastAsia="zh-CN"/>
        </w:rPr>
        <w:t xml:space="preserve">东台市农业农村局东台市第三次全国土壤普查项目--采购数据汇总与制图、报告编制等普查成果汇交汇总服务</w:t>
      </w:r>
      <w:r>
        <w:rPr>
          <w:rFonts w:hint="eastAsia" w:ascii="Arial" w:hAnsi="Arial" w:cs="Arial"/>
          <w:b/>
          <w:color w:val="auto"/>
          <w:sz w:val="32"/>
          <w:szCs w:val="32"/>
          <w:highlight w:val="none"/>
        </w:rPr>
        <w:t xml:space="preserve">项目</w:t>
      </w:r>
      <w:r/>
    </w:p>
    <w:p>
      <w:pPr>
        <w:pStyle w:val="668"/>
        <w:ind w:firstLine="643"/>
        <w:jc w:val="left"/>
        <w:spacing w:beforeAutospacing="0" w:afterAutospacing="0"/>
        <w:rPr>
          <w:rFonts w:hint="eastAsia" w:eastAsia="宋体"/>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eastAsia="宋体"/>
          <w:b/>
          <w:color w:val="auto"/>
          <w:sz w:val="32"/>
          <w:szCs w:val="32"/>
          <w:highlight w:val="none"/>
          <w:lang w:eastAsia="zh-CN"/>
        </w:rPr>
        <w:t xml:space="preserve">JSZC-320981-TXJS-G2024-0015</w:t>
      </w:r>
      <w:r/>
    </w:p>
    <w:p>
      <w:pPr>
        <w:pStyle w:val="668"/>
        <w:spacing w:beforeAutospacing="0" w:afterAutospacing="0" w:line="360" w:lineRule="auto"/>
        <w:rPr>
          <w:color w:val="auto"/>
          <w:highlight w:val="none"/>
        </w:rPr>
      </w:pPr>
      <w:r>
        <w:rPr>
          <w:color w:val="auto"/>
          <w:highlight w:val="none"/>
        </w:rPr>
        <w:t xml:space="preserve"> </w:t>
      </w:r>
      <w:r/>
    </w:p>
    <w:p>
      <w:pPr>
        <w:pStyle w:val="668"/>
        <w:spacing w:beforeAutospacing="0" w:afterAutospacing="0" w:line="360" w:lineRule="auto"/>
        <w:rPr>
          <w:color w:val="auto"/>
          <w:highlight w:val="none"/>
        </w:rPr>
      </w:pPr>
      <w:r>
        <w:rPr>
          <w:color w:val="auto"/>
          <w:highlight w:val="none"/>
        </w:rPr>
        <w:t xml:space="preserve"> </w:t>
      </w:r>
      <w:r/>
    </w:p>
    <w:p>
      <w:pPr>
        <w:pStyle w:val="668"/>
        <w:spacing w:beforeAutospacing="0" w:afterAutospacing="0" w:line="360" w:lineRule="auto"/>
        <w:rPr>
          <w:color w:val="auto"/>
          <w:highlight w:val="none"/>
        </w:rPr>
      </w:pPr>
      <w:r>
        <w:rPr>
          <w:color w:val="auto"/>
          <w:highlight w:val="none"/>
        </w:rPr>
        <w:t xml:space="preserve"> </w:t>
      </w:r>
      <w:r/>
    </w:p>
    <w:p>
      <w:pPr>
        <w:pStyle w:val="668"/>
        <w:spacing w:beforeAutospacing="0" w:afterAutospacing="0" w:line="360" w:lineRule="auto"/>
        <w:rPr>
          <w:color w:val="auto"/>
          <w:highlight w:val="none"/>
        </w:rPr>
      </w:pPr>
      <w:r>
        <w:rPr>
          <w:color w:val="auto"/>
          <w:highlight w:val="none"/>
        </w:rPr>
        <w:t xml:space="preserve">  </w:t>
      </w:r>
      <w:r/>
    </w:p>
    <w:p>
      <w:pPr>
        <w:pStyle w:val="668"/>
        <w:spacing w:beforeAutospacing="0" w:afterAutospacing="0" w:line="360" w:lineRule="auto"/>
        <w:rPr>
          <w:color w:val="auto"/>
          <w:highlight w:val="none"/>
        </w:rPr>
      </w:pPr>
      <w:r>
        <w:rPr>
          <w:color w:val="auto"/>
          <w:highlight w:val="none"/>
        </w:rPr>
        <w:t xml:space="preserve"> </w:t>
      </w:r>
      <w:r/>
    </w:p>
    <w:p>
      <w:pPr>
        <w:pStyle w:val="668"/>
        <w:spacing w:beforeAutospacing="0" w:afterAutospacing="0" w:line="360" w:lineRule="auto"/>
        <w:rPr>
          <w:color w:val="auto"/>
          <w:highlight w:val="none"/>
        </w:rPr>
      </w:pPr>
      <w:r>
        <w:rPr>
          <w:color w:val="auto"/>
          <w:highlight w:val="none"/>
        </w:rPr>
        <w:t xml:space="preserve"> </w:t>
      </w:r>
      <w:r/>
    </w:p>
    <w:p>
      <w:pPr>
        <w:pStyle w:val="668"/>
        <w:ind w:firstLine="964"/>
        <w:jc w:val="left"/>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668"/>
        <w:ind w:firstLine="964"/>
        <w:jc w:val="left"/>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668"/>
        <w:ind w:firstLine="964"/>
        <w:jc w:val="left"/>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p>
    <w:p>
      <w:pPr>
        <w:pStyle w:val="668"/>
        <w:jc w:val="center"/>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：东台市农业农村局</w:t>
      </w:r>
      <w:r/>
    </w:p>
    <w:p>
      <w:pPr>
        <w:pStyle w:val="668"/>
        <w:jc w:val="center"/>
        <w:spacing w:before="120" w:beforeAutospacing="0" w:after="120" w:afterAutospacing="0" w:line="360" w:lineRule="auto"/>
        <w:rPr>
          <w:rFonts w:hint="default"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采购代理机构：江苏天信建设项目咨询有限公司</w:t>
      </w:r>
      <w:r/>
    </w:p>
    <w:p>
      <w:pPr>
        <w:pStyle w:val="668"/>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68"/>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2024</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04</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11</w:t>
      </w:r>
      <w:r>
        <w:rPr>
          <w:rFonts w:ascii="Arial" w:hAnsi="Arial" w:cs="Arial"/>
          <w:b/>
          <w:color w:val="auto"/>
          <w:sz w:val="32"/>
          <w:szCs w:val="32"/>
          <w:highlight w:val="none"/>
        </w:rPr>
        <w:t xml:space="preserve">日</w:t>
      </w:r>
      <w:r/>
    </w:p>
    <w:p>
      <w:pPr>
        <w:pStyle w:val="668"/>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68"/>
        <w:jc w:val="center"/>
        <w:spacing w:before="120" w:beforeAutospacing="0" w:after="120" w:afterAutospacing="0" w:line="360" w:lineRule="auto"/>
        <w:rPr>
          <w:color w:val="auto"/>
          <w:highlight w:val="none"/>
        </w:rPr>
      </w:pPr>
      <w:r>
        <w:rPr>
          <w:color w:val="auto"/>
          <w:highlight w:val="none"/>
        </w:rPr>
        <w:t xml:space="preserve"> </w:t>
      </w:r>
      <w:r/>
    </w:p>
    <w:p>
      <w:pPr>
        <w:pStyle w:val="668"/>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r/>
    </w:p>
    <w:p>
      <w:pPr>
        <w:pStyle w:val="668"/>
        <w:jc w:val="both"/>
        <w:spacing w:beforeAutospacing="0" w:afterAutospacing="0" w:line="480" w:lineRule="auto"/>
        <w:rPr>
          <w:color w:val="auto"/>
          <w:highlight w:val="none"/>
        </w:rPr>
      </w:pPr>
      <w:r>
        <w:rPr>
          <w:color w:val="auto"/>
          <w:highlight w:val="none"/>
        </w:rPr>
        <w:t xml:space="preserve"> </w:t>
      </w:r>
      <w:r/>
    </w:p>
    <w:sdt>
      <w:sdtPr>
        <w15:appearance w15:val="boundingBox"/>
        <w15:color w:val="dbdbdb"/>
        <w:id w:val="147474810"/>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pStyle w:val="659"/>
            <w:tabs>
              <w:tab w:val="right" w:pos="9752" w:leader="dot"/>
            </w:tabs>
            <w:rPr>
              <w:b w:val="0"/>
              <w:bCs w:val="0"/>
              <w:sz w:val="48"/>
              <w:szCs w:val="56"/>
            </w:rPr>
          </w:pPr>
          <w:r>
            <w:rPr>
              <w:rFonts w:hint="eastAsia" w:ascii="宋体" w:hAnsi="宋体" w:eastAsia="宋体" w:cstheme="minorBidi"/>
              <w:color w:val="auto"/>
              <w:sz w:val="21"/>
              <w:szCs w:val="24"/>
              <w:highlight w:val="none"/>
              <w:lang w:val="en-US" w:eastAsia="zh-CN" w:bidi="ar-SA"/>
            </w:rPr>
            <w:t xml:space="preserve">      </w:t>
          </w:r>
          <w:r>
            <w:rPr>
              <w:rFonts w:hint="eastAsia" w:ascii="宋体" w:hAnsi="宋体" w:eastAsia="宋体" w:cstheme="minorBidi"/>
              <w:b w:val="0"/>
              <w:bCs w:val="0"/>
              <w:color w:val="auto"/>
              <w:sz w:val="21"/>
              <w:szCs w:val="24"/>
              <w:highlight w:val="none"/>
              <w:lang w:val="en-US" w:eastAsia="zh-CN" w:bidi="ar-SA"/>
            </w:rPr>
            <w:t xml:space="preserve"> </w:t>
          </w:r>
          <w:r>
            <w:rPr>
              <w:rFonts w:hint="eastAsia" w:ascii="宋体" w:hAnsi="宋体" w:eastAsia="宋体" w:cstheme="minorBidi"/>
              <w:b w:val="0"/>
              <w:bCs w:val="0"/>
              <w:color w:val="auto"/>
              <w:sz w:val="48"/>
              <w:szCs w:val="56"/>
              <w:highlight w:val="none"/>
              <w:lang w:val="en-US" w:eastAsia="zh-CN" w:bidi="ar-SA"/>
            </w:rPr>
            <w:t xml:space="preserve">  </w:t>
          </w:r>
          <w:r>
            <w:rPr>
              <w:rFonts w:hint="eastAsia" w:ascii="黑体" w:hAnsi="黑体" w:eastAsia="黑体" w:cs="黑体"/>
              <w:b w:val="0"/>
              <w:bCs w:val="0"/>
              <w:color w:val="auto"/>
              <w:sz w:val="180"/>
              <w:szCs w:val="180"/>
              <w:highlight w:val="none"/>
            </w:rPr>
            <w:fldChar w:fldCharType="begin"/>
          </w:r>
          <w:r>
            <w:rPr>
              <w:rFonts w:hint="eastAsia" w:ascii="黑体" w:hAnsi="黑体" w:eastAsia="黑体" w:cs="黑体"/>
              <w:b w:val="0"/>
              <w:bCs w:val="0"/>
              <w:color w:val="auto"/>
              <w:sz w:val="180"/>
              <w:szCs w:val="180"/>
              <w:highlight w:val="none"/>
            </w:rPr>
            <w:instrText xml:space="preserve">TOC \o "1-1" \h \u </w:instrText>
          </w:r>
          <w:r>
            <w:rPr>
              <w:rFonts w:hint="eastAsia" w:ascii="黑体" w:hAnsi="黑体" w:eastAsia="黑体" w:cs="黑体"/>
              <w:b w:val="0"/>
              <w:bCs w:val="0"/>
              <w:color w:val="auto"/>
              <w:sz w:val="180"/>
              <w:szCs w:val="180"/>
              <w:highlight w:val="none"/>
            </w:rPr>
            <w:fldChar w:fldCharType="separate"/>
          </w:r>
          <w:r>
            <w:rPr>
              <w:b w:val="0"/>
              <w:bCs w:val="0"/>
            </w:rPr>
            <w:fldChar w:fldCharType="begin"/>
          </w:r>
          <w:r>
            <w:rPr>
              <w:b w:val="0"/>
              <w:bCs w:val="0"/>
            </w:rPr>
            <w:instrText xml:space="preserve"> HYPERLINK \l "_Toc1" \o "#_Toc1" </w:instrText>
          </w:r>
          <w:r>
            <w:rPr>
              <w:b w:val="0"/>
              <w:bCs w:val="0"/>
            </w:rPr>
            <w:fldChar w:fldCharType="separate"/>
          </w:r>
          <w:r>
            <w:rPr>
              <w:rStyle w:val="673"/>
              <w:rFonts w:hint="eastAsia" w:ascii="黑体" w:hAnsi="宋体" w:eastAsia="黑体" w:cs="黑体"/>
              <w:b w:val="0"/>
              <w:bCs w:val="0"/>
              <w:sz w:val="48"/>
              <w:szCs w:val="56"/>
              <w:highlight w:val="none"/>
            </w:rPr>
            <w:t xml:space="preserve">第一章  招标公告</w:t>
          </w:r>
          <w:r>
            <w:rPr>
              <w:b w:val="0"/>
              <w:bCs w:val="0"/>
              <w:sz w:val="22"/>
              <w:szCs w:val="28"/>
            </w:rPr>
            <w:fldChar w:fldCharType="end"/>
          </w:r>
          <w:r/>
        </w:p>
        <w:p>
          <w:pPr>
            <w:pStyle w:val="659"/>
            <w:tabs>
              <w:tab w:val="right" w:pos="9752" w:leader="dot"/>
            </w:tabs>
            <w:rPr>
              <w:b w:val="0"/>
              <w:bCs w:val="0"/>
              <w:sz w:val="48"/>
              <w:szCs w:val="56"/>
              <w:highlight w:val="none"/>
              <w:u w:val="none"/>
            </w:rPr>
          </w:pPr>
          <w:r>
            <w:rPr>
              <w:b w:val="0"/>
              <w:bCs w:val="0"/>
              <w:sz w:val="48"/>
              <w:szCs w:val="56"/>
            </w:rPr>
            <w:t xml:space="preserve">     </w:t>
          </w:r>
          <w:r>
            <w:rPr>
              <w:b w:val="0"/>
              <w:bCs w:val="0"/>
            </w:rPr>
            <w:fldChar w:fldCharType="begin"/>
          </w:r>
          <w:r>
            <w:rPr>
              <w:b w:val="0"/>
              <w:bCs w:val="0"/>
            </w:rPr>
            <w:instrText xml:space="preserve"> HYPERLINK \l "_Toc9" \o "#_Toc9" </w:instrText>
          </w:r>
          <w:r>
            <w:rPr>
              <w:b w:val="0"/>
              <w:bCs w:val="0"/>
            </w:rPr>
            <w:fldChar w:fldCharType="separate"/>
          </w:r>
          <w:r>
            <w:rPr>
              <w:rStyle w:val="673"/>
              <w:rFonts w:hint="eastAsia" w:ascii="黑体" w:hAnsi="宋体" w:eastAsia="黑体" w:cs="黑体"/>
              <w:b w:val="0"/>
              <w:bCs w:val="0"/>
              <w:sz w:val="48"/>
              <w:szCs w:val="56"/>
              <w:highlight w:val="none"/>
              <w:u w:val="none"/>
            </w:rPr>
            <w:t xml:space="preserve">第二章  投标人须知</w:t>
          </w:r>
          <w:r>
            <w:rPr>
              <w:b w:val="0"/>
              <w:bCs w:val="0"/>
              <w:sz w:val="22"/>
              <w:szCs w:val="28"/>
              <w:u w:val="single"/>
            </w:rPr>
            <w:fldChar w:fldCharType="end"/>
          </w:r>
          <w:r/>
        </w:p>
        <w:p>
          <w:pPr>
            <w:pStyle w:val="659"/>
            <w:tabs>
              <w:tab w:val="right" w:pos="9752" w:leader="dot"/>
            </w:tabs>
            <w:rPr>
              <w:b w:val="0"/>
              <w:bCs w:val="0"/>
              <w:sz w:val="48"/>
              <w:szCs w:val="56"/>
              <w:highlight w:val="none"/>
              <w:u w:val="none"/>
            </w:rPr>
          </w:pPr>
          <w:r>
            <w:rPr>
              <w:b w:val="0"/>
              <w:bCs w:val="0"/>
            </w:rPr>
            <w:fldChar w:fldCharType="begin"/>
          </w:r>
          <w:r>
            <w:rPr>
              <w:b w:val="0"/>
              <w:bCs w:val="0"/>
            </w:rPr>
            <w:instrText xml:space="preserve"> HYPERLINK \l "_Toc10" \o "#_Toc10" </w:instrText>
          </w:r>
          <w:r>
            <w:rPr>
              <w:b w:val="0"/>
              <w:bCs w:val="0"/>
            </w:rPr>
            <w:fldChar w:fldCharType="separate"/>
          </w:r>
          <w:r>
            <w:rPr>
              <w:rStyle w:val="673"/>
              <w:rFonts w:hint="eastAsia" w:ascii="黑体" w:hAnsi="宋体" w:eastAsia="黑体" w:cs="黑体"/>
              <w:b w:val="0"/>
              <w:bCs w:val="0"/>
              <w:sz w:val="48"/>
              <w:szCs w:val="56"/>
              <w:highlight w:val="none"/>
              <w:u w:val="none"/>
            </w:rPr>
            <w:t xml:space="preserve">     第三章  合同文本</w:t>
          </w:r>
          <w:r>
            <w:rPr>
              <w:b w:val="0"/>
              <w:bCs w:val="0"/>
              <w:sz w:val="22"/>
              <w:szCs w:val="28"/>
              <w:u w:val="single"/>
            </w:rPr>
            <w:fldChar w:fldCharType="end"/>
          </w:r>
          <w:r/>
        </w:p>
        <w:p>
          <w:pPr>
            <w:pStyle w:val="659"/>
            <w:tabs>
              <w:tab w:val="right" w:pos="9752" w:leader="dot"/>
            </w:tabs>
            <w:rPr>
              <w:b w:val="0"/>
              <w:bCs w:val="0"/>
              <w:sz w:val="48"/>
              <w:szCs w:val="56"/>
              <w:highlight w:val="none"/>
              <w:u w:val="none"/>
            </w:rPr>
          </w:pPr>
          <w:r>
            <w:rPr>
              <w:b w:val="0"/>
              <w:bCs w:val="0"/>
            </w:rPr>
            <w:fldChar w:fldCharType="begin"/>
          </w:r>
          <w:r>
            <w:rPr>
              <w:b w:val="0"/>
              <w:bCs w:val="0"/>
            </w:rPr>
            <w:instrText xml:space="preserve"> HYPERLINK \l "_Toc11" \o "#_Toc11" </w:instrText>
          </w:r>
          <w:r>
            <w:rPr>
              <w:b w:val="0"/>
              <w:bCs w:val="0"/>
            </w:rPr>
            <w:fldChar w:fldCharType="separate"/>
          </w:r>
          <w:r>
            <w:rPr>
              <w:rStyle w:val="673"/>
              <w:rFonts w:hint="eastAsia" w:ascii="黑体" w:hAnsi="宋体" w:eastAsia="黑体" w:cs="黑体"/>
              <w:b w:val="0"/>
              <w:bCs w:val="0"/>
              <w:sz w:val="48"/>
              <w:szCs w:val="56"/>
              <w:highlight w:val="none"/>
              <w:u w:val="none"/>
            </w:rPr>
            <w:t xml:space="preserve">     第四章  </w:t>
          </w:r>
          <w:r>
            <w:rPr>
              <w:rStyle w:val="673"/>
              <w:rFonts w:hint="eastAsia" w:ascii="黑体" w:hAnsi="宋体" w:eastAsia="黑体" w:cs="黑体"/>
              <w:b w:val="0"/>
              <w:bCs w:val="0"/>
              <w:sz w:val="48"/>
              <w:szCs w:val="56"/>
              <w:highlight w:val="none"/>
              <w:u w:val="none"/>
              <w:lang w:val="en-US" w:eastAsia="zh-CN"/>
            </w:rPr>
            <w:t xml:space="preserve"> </w:t>
          </w:r>
          <w:r>
            <w:rPr>
              <w:rStyle w:val="673"/>
              <w:rFonts w:hint="eastAsia" w:ascii="黑体" w:hAnsi="宋体" w:eastAsia="黑体" w:cs="黑体"/>
              <w:b w:val="0"/>
              <w:bCs w:val="0"/>
              <w:sz w:val="48"/>
              <w:szCs w:val="56"/>
              <w:highlight w:val="none"/>
              <w:u w:val="none"/>
            </w:rPr>
            <w:t xml:space="preserve">采购需求</w:t>
          </w:r>
          <w:r>
            <w:rPr>
              <w:b w:val="0"/>
              <w:bCs w:val="0"/>
              <w:sz w:val="22"/>
              <w:szCs w:val="28"/>
              <w:u w:val="single"/>
            </w:rPr>
            <w:fldChar w:fldCharType="end"/>
          </w:r>
          <w:r/>
        </w:p>
        <w:p>
          <w:pPr>
            <w:pStyle w:val="659"/>
            <w:tabs>
              <w:tab w:val="right" w:pos="9752" w:leader="dot"/>
            </w:tabs>
            <w:rPr>
              <w:b w:val="0"/>
              <w:bCs w:val="0"/>
              <w:sz w:val="48"/>
              <w:szCs w:val="56"/>
              <w:highlight w:val="none"/>
              <w:u w:val="none"/>
            </w:rPr>
          </w:pPr>
          <w:r>
            <w:rPr>
              <w:b w:val="0"/>
              <w:bCs w:val="0"/>
            </w:rPr>
            <w:fldChar w:fldCharType="begin"/>
          </w:r>
          <w:r>
            <w:rPr>
              <w:b w:val="0"/>
              <w:bCs w:val="0"/>
            </w:rPr>
            <w:instrText xml:space="preserve"> HYPERLINK \l "_Toc12" \o "#_Toc12" </w:instrText>
          </w:r>
          <w:r>
            <w:rPr>
              <w:b w:val="0"/>
              <w:bCs w:val="0"/>
            </w:rPr>
            <w:fldChar w:fldCharType="separate"/>
          </w:r>
          <w:r>
            <w:rPr>
              <w:rStyle w:val="673"/>
              <w:rFonts w:hint="eastAsia" w:ascii="黑体" w:hAnsi="宋体" w:eastAsia="黑体" w:cs="黑体"/>
              <w:b w:val="0"/>
              <w:bCs w:val="0"/>
              <w:sz w:val="48"/>
              <w:szCs w:val="56"/>
              <w:highlight w:val="none"/>
              <w:u w:val="none"/>
            </w:rPr>
            <w:t xml:space="preserve">     第五章  评标方法与评标标准</w:t>
          </w:r>
          <w:r>
            <w:rPr>
              <w:b w:val="0"/>
              <w:bCs w:val="0"/>
              <w:sz w:val="22"/>
              <w:szCs w:val="28"/>
              <w:u w:val="single"/>
            </w:rPr>
            <w:fldChar w:fldCharType="end"/>
          </w:r>
          <w:r/>
        </w:p>
        <w:p>
          <w:pPr>
            <w:pStyle w:val="659"/>
            <w:tabs>
              <w:tab w:val="right" w:pos="9752" w:leader="dot"/>
            </w:tabs>
            <w:rPr>
              <w:rFonts w:hint="eastAsia" w:ascii="黑体" w:hAnsi="宋体" w:eastAsia="黑体" w:cs="黑体"/>
              <w:b w:val="0"/>
              <w:bCs w:val="0"/>
              <w:sz w:val="48"/>
              <w:szCs w:val="56"/>
              <w:highlight w:val="none"/>
              <w:u w:val="none"/>
            </w:rPr>
          </w:pPr>
          <w:r>
            <w:rPr>
              <w:b w:val="0"/>
              <w:bCs w:val="0"/>
            </w:rPr>
            <w:fldChar w:fldCharType="begin"/>
          </w:r>
          <w:r>
            <w:rPr>
              <w:b w:val="0"/>
              <w:bCs w:val="0"/>
            </w:rPr>
            <w:instrText xml:space="preserve"> HYPERLINK \l "_Toc13" \o "#_Toc13" </w:instrText>
          </w:r>
          <w:r>
            <w:rPr>
              <w:b w:val="0"/>
              <w:bCs w:val="0"/>
            </w:rPr>
            <w:fldChar w:fldCharType="separate"/>
          </w:r>
          <w:r>
            <w:rPr>
              <w:rStyle w:val="673"/>
              <w:rFonts w:hint="eastAsia" w:ascii="黑体" w:hAnsi="宋体" w:eastAsia="黑体" w:cs="黑体"/>
              <w:b w:val="0"/>
              <w:bCs w:val="0"/>
              <w:sz w:val="48"/>
              <w:szCs w:val="56"/>
              <w:highlight w:val="none"/>
              <w:u w:val="none"/>
            </w:rPr>
            <w:t xml:space="preserve">     第六章  投标文件格式</w:t>
          </w:r>
          <w:r>
            <w:rPr>
              <w:b w:val="0"/>
              <w:bCs w:val="0"/>
              <w:sz w:val="22"/>
              <w:szCs w:val="28"/>
              <w:u w:val="single"/>
            </w:rPr>
            <w:fldChar w:fldCharType="end"/>
          </w:r>
          <w:r/>
        </w:p>
        <w:p>
          <w:pPr>
            <w:pStyle w:val="668"/>
            <w:jc w:val="both"/>
            <w:spacing w:beforeAutospacing="0" w:afterAutospacing="0"/>
            <w:rPr>
              <w:color w:val="auto"/>
              <w:highlight w:val="none"/>
            </w:rPr>
          </w:pPr>
          <w:r>
            <w:rPr>
              <w:rFonts w:hint="eastAsia" w:ascii="黑体" w:hAnsi="黑体" w:eastAsia="黑体" w:cs="黑体"/>
              <w:b w:val="0"/>
              <w:bCs w:val="0"/>
              <w:color w:val="auto"/>
              <w:sz w:val="180"/>
              <w:szCs w:val="180"/>
              <w:highlight w:val="none"/>
            </w:rPr>
            <w:fldChar w:fldCharType="end"/>
          </w:r>
          <w:r/>
        </w:p>
      </w:sdtContent>
    </w:sdt>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8"/>
        <w:jc w:val="center"/>
        <w:keepNext/>
        <w:spacing w:beforeAutospacing="0" w:afterAutospacing="0"/>
        <w:rPr>
          <w:color w:val="auto"/>
          <w:highlight w:val="none"/>
        </w:rPr>
        <w:outlineLvl w:val="0"/>
      </w:pPr>
      <w:r/>
      <w:bookmarkStart w:id="0" w:name="_Toc1"/>
      <w:r>
        <w:rPr>
          <w:rFonts w:hint="eastAsia" w:ascii="黑体" w:hAnsi="宋体" w:eastAsia="黑体" w:cs="黑体"/>
          <w:color w:val="auto"/>
          <w:sz w:val="44"/>
          <w:szCs w:val="44"/>
          <w:highlight w:val="none"/>
        </w:rPr>
        <w:t xml:space="preserve">第一章  招标公告</w:t>
      </w:r>
      <w:bookmarkEnd w:id="0"/>
      <w:r/>
      <w:r/>
    </w:p>
    <w:p>
      <w:pPr>
        <w:pStyle w:val="668"/>
        <w:ind w:left="42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left="420" w:right="0" w:firstLine="480"/>
        <w:jc w:val="both"/>
        <w:keepLines w:val="0"/>
        <w:keepNext w:val="0"/>
        <w:pageBreakBefore w:val="0"/>
        <w:spacing w:line="360" w:lineRule="auto"/>
        <w:widowControl w:val="off"/>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东台市农业农村局东台市第三次全国土壤普查项目--采购数据汇总与制图、报告编制等普查成果汇交汇总服务</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 xml:space="preserve">JSZC-320981-TXJS-G2024-0015</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single"/>
        </w:rPr>
        <w:t xml:space="preserve">江苏政府采购网、盐城市政府采购网</w:t>
      </w:r>
      <w:r>
        <w:rPr>
          <w:rFonts w:hint="eastAsia" w:ascii="宋体" w:hAnsi="宋体" w:eastAsia="宋体" w:cs="宋体"/>
          <w:color w:val="000000"/>
          <w:sz w:val="24"/>
          <w:szCs w:val="24"/>
          <w:u w:val="none"/>
        </w:rPr>
        <w:t xml:space="preserve">获取招标文件，</w:t>
      </w:r>
      <w:r>
        <w:rPr>
          <w:rFonts w:hint="eastAsia" w:ascii="宋体" w:hAnsi="宋体" w:eastAsia="宋体" w:cs="宋体"/>
          <w:color w:val="000000"/>
          <w:sz w:val="24"/>
          <w:szCs w:val="24"/>
        </w:rPr>
        <w:t xml:space="preserve">并于</w:t>
      </w:r>
      <w:r>
        <w:rPr>
          <w:rFonts w:hint="eastAsia" w:ascii="宋体" w:hAnsi="宋体" w:eastAsia="宋体" w:cs="宋体"/>
          <w:color w:val="000000"/>
          <w:sz w:val="24"/>
          <w:szCs w:val="24"/>
          <w:u w:val="single"/>
        </w:rPr>
        <w:t xml:space="preserve">2024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05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06</w:t>
      </w:r>
      <w:r>
        <w:rPr>
          <w:rFonts w:hint="eastAsia" w:ascii="宋体" w:hAnsi="宋体" w:eastAsia="宋体" w:cs="宋体"/>
          <w:color w:val="000000"/>
          <w:sz w:val="24"/>
          <w:szCs w:val="24"/>
          <w:u w:val="none"/>
        </w:rPr>
        <w:t xml:space="preserve"> </w:t>
      </w:r>
      <w:r>
        <w:rPr>
          <w:rFonts w:hint="eastAsia" w:ascii="宋体" w:hAnsi="宋体" w:eastAsia="宋体" w:cs="宋体"/>
          <w:color w:val="000000"/>
          <w:sz w:val="24"/>
          <w:szCs w:val="24"/>
          <w:u w:val="single"/>
          <w:lang w:val="en-US" w:eastAsia="zh-CN"/>
        </w:rPr>
        <w:t xml:space="preserve">09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00</w:t>
      </w:r>
      <w:r>
        <w:rPr>
          <w:rFonts w:hint="eastAsia" w:ascii="宋体" w:hAnsi="宋体" w:eastAsia="宋体" w:cs="宋体"/>
          <w:color w:val="000000"/>
          <w:sz w:val="24"/>
          <w:szCs w:val="24"/>
        </w:rPr>
        <w:t xml:space="preserve">（北京时间）前递交投标文件。</w:t>
      </w:r>
      <w:r/>
    </w:p>
    <w:p>
      <w:pPr>
        <w:ind w:firstLine="482"/>
        <w:keepLines w:val="0"/>
        <w:keepNext w:val="0"/>
        <w:pageBreakBefore w:val="0"/>
        <w:spacing w:line="360" w:lineRule="auto"/>
        <w:widowControl w:val="off"/>
        <w:rPr>
          <w:rFonts w:hint="eastAsia" w:ascii="宋体" w:hAnsi="宋体" w:eastAsia="宋体" w:cs="宋体"/>
          <w:b/>
          <w:bCs/>
          <w:sz w:val="24"/>
          <w:szCs w:val="24"/>
        </w:rPr>
      </w:pPr>
      <w:r/>
      <w:bookmarkStart w:id="1" w:name="_Toc2"/>
      <w:r/>
      <w:bookmarkStart w:id="2" w:name="_Hlk24379207"/>
      <w:r>
        <w:rPr>
          <w:rFonts w:hint="eastAsia" w:ascii="宋体" w:hAnsi="宋体" w:eastAsia="宋体" w:cs="宋体"/>
          <w:b/>
          <w:bCs/>
          <w:sz w:val="24"/>
          <w:szCs w:val="24"/>
        </w:rPr>
        <w:t xml:space="preserve">一、项目基本情况</w:t>
      </w:r>
      <w:bookmarkEnd w:id="1"/>
      <w:r/>
      <w:bookmarkEnd w:id="2"/>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eastAsia="zh-CN"/>
        </w:rPr>
        <w:t xml:space="preserve">JSZC-320981-TXJS-G2024-0015</w:t>
      </w:r>
      <w:r/>
    </w:p>
    <w:p>
      <w:pPr>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eastAsia="zh-CN"/>
        </w:rPr>
        <w:t xml:space="preserve">东台市农业农村局东台市第三次全国土壤普查项目--采购数据汇总与制图、报告编制等普查成果汇交汇总服务</w:t>
      </w:r>
      <w:r>
        <w:rPr>
          <w:rFonts w:hint="eastAsia" w:ascii="宋体" w:hAnsi="宋体" w:eastAsia="宋体" w:cs="宋体"/>
          <w:sz w:val="24"/>
          <w:szCs w:val="24"/>
          <w:u w:val="single"/>
        </w:rPr>
        <w:t xml:space="preserve">项目</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rPr>
        <w:t xml:space="preserve">预算金额：</w:t>
      </w:r>
      <w:r>
        <w:rPr>
          <w:rFonts w:hint="eastAsia" w:ascii="宋体" w:hAnsi="宋体" w:eastAsia="宋体" w:cs="宋体"/>
          <w:sz w:val="24"/>
          <w:szCs w:val="24"/>
          <w:u w:val="single"/>
          <w:lang w:eastAsia="zh-CN"/>
        </w:rPr>
        <w:t xml:space="preserve">200万元。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本项目设定最高限价：</w:t>
      </w:r>
      <w:r>
        <w:rPr>
          <w:rFonts w:hint="eastAsia" w:ascii="宋体" w:hAnsi="宋体" w:eastAsia="宋体" w:cs="宋体"/>
          <w:sz w:val="24"/>
          <w:szCs w:val="24"/>
          <w:u w:val="single"/>
          <w:lang w:val="en-US" w:eastAsia="zh-CN"/>
        </w:rPr>
        <w:t xml:space="preserve">180万元</w:t>
      </w:r>
      <w:r>
        <w:rPr>
          <w:rFonts w:hint="eastAsia" w:ascii="宋体" w:hAnsi="宋体" w:eastAsia="宋体" w:cs="宋体"/>
          <w:sz w:val="24"/>
          <w:szCs w:val="24"/>
          <w:u w:val="single"/>
        </w:rPr>
        <w:t xml:space="preserve">。</w:t>
      </w:r>
      <w:r/>
    </w:p>
    <w:p>
      <w:pPr>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采购方式：</w:t>
      </w:r>
      <w:r>
        <w:rPr>
          <w:rFonts w:hint="eastAsia" w:ascii="宋体" w:hAnsi="宋体" w:eastAsia="宋体" w:cs="宋体"/>
          <w:sz w:val="24"/>
          <w:szCs w:val="24"/>
          <w:u w:val="single"/>
        </w:rPr>
        <w:t xml:space="preserve">公开招标</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rPr>
        <w:t xml:space="preserve">采购需求（简介）：</w:t>
      </w:r>
      <w:r>
        <w:rPr>
          <w:rFonts w:hint="eastAsia" w:ascii="宋体" w:hAnsi="宋体" w:eastAsia="宋体" w:cs="宋体"/>
          <w:sz w:val="24"/>
          <w:szCs w:val="24"/>
          <w:u w:val="single"/>
          <w:lang w:eastAsia="zh-CN"/>
        </w:rPr>
        <w:t xml:space="preserve">东台市农业农村局东台市第三次全国土壤普查项目--采购数据汇总与制图、报告编制等普查成果汇交汇总服务</w:t>
      </w:r>
      <w:r>
        <w:rPr>
          <w:rFonts w:hint="eastAsia" w:ascii="宋体" w:hAnsi="宋体" w:eastAsia="宋体" w:cs="宋体"/>
          <w:sz w:val="24"/>
          <w:szCs w:val="24"/>
          <w:u w:val="single"/>
          <w:lang w:val="en-US" w:eastAsia="zh-CN"/>
        </w:rPr>
        <w:t xml:space="preserve">项目，</w:t>
      </w:r>
      <w:r>
        <w:rPr>
          <w:rFonts w:hint="eastAsia" w:ascii="宋体" w:hAnsi="宋体" w:eastAsia="宋体" w:cs="宋体"/>
          <w:sz w:val="24"/>
          <w:szCs w:val="24"/>
          <w:u w:val="single"/>
        </w:rPr>
        <w:t xml:space="preserve">按照《第三次全国土壤普查技术规程（修订版）》</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《第三次全国土壤普查土壤类型制图技术规范（修订版）》、《第三次全国土壤普查土壤属性与专题图制图规范（修订版）》</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《国务院第三次全国土壤普查领导小组办公室关于印发&lt;第三次全国土壤普查试点县成果验收工作方案&gt;的通知》（〔2023〕9号）</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《第三次全国土壤普查试点县成果形成方法及验收标准（征求意见稿）》</w:t>
      </w:r>
      <w:r>
        <w:rPr>
          <w:rFonts w:hint="eastAsia" w:ascii="宋体" w:hAnsi="宋体" w:eastAsia="宋体" w:cs="宋体"/>
          <w:sz w:val="24"/>
          <w:szCs w:val="24"/>
          <w:u w:val="single"/>
          <w:lang w:val="en-US" w:eastAsia="zh-CN"/>
        </w:rPr>
        <w:t xml:space="preserve">及</w:t>
      </w:r>
      <w:r>
        <w:rPr>
          <w:rFonts w:hint="eastAsia" w:ascii="宋体" w:hAnsi="宋体" w:eastAsia="宋体" w:cs="宋体"/>
          <w:sz w:val="24"/>
          <w:szCs w:val="24"/>
          <w:u w:val="single"/>
        </w:rPr>
        <w:t xml:space="preserve">国家、省、市有关要求进行</w:t>
      </w:r>
      <w:r>
        <w:rPr>
          <w:rFonts w:hint="eastAsia" w:ascii="宋体" w:hAnsi="宋体" w:eastAsia="宋体" w:cs="宋体"/>
          <w:sz w:val="24"/>
          <w:szCs w:val="24"/>
          <w:u w:val="single"/>
          <w:lang w:val="en-US" w:eastAsia="zh-CN"/>
        </w:rPr>
        <w:t xml:space="preserve">东台市农业农村局东台市第三次全国土壤普查项目--采购数据汇总与制图、报告编制等普查成果汇交汇总服务</w:t>
      </w:r>
      <w:r>
        <w:rPr>
          <w:rFonts w:hint="eastAsia" w:ascii="宋体" w:hAnsi="宋体" w:eastAsia="宋体" w:cs="宋体"/>
          <w:sz w:val="24"/>
          <w:szCs w:val="24"/>
          <w:u w:val="single"/>
        </w:rPr>
        <w:t xml:space="preserve">项目成果汇总与制图及报告编制; 编撰《</w:t>
      </w:r>
      <w:r>
        <w:rPr>
          <w:rFonts w:hint="eastAsia" w:ascii="宋体" w:hAnsi="宋体" w:eastAsia="宋体" w:cs="宋体"/>
          <w:sz w:val="24"/>
          <w:szCs w:val="24"/>
          <w:u w:val="single"/>
          <w:lang w:val="en-US" w:eastAsia="zh-CN"/>
        </w:rPr>
        <w:t xml:space="preserve">东台市</w:t>
      </w:r>
      <w:r>
        <w:rPr>
          <w:rFonts w:hint="eastAsia" w:ascii="宋体" w:hAnsi="宋体" w:eastAsia="宋体" w:cs="宋体"/>
          <w:sz w:val="24"/>
          <w:szCs w:val="24"/>
          <w:u w:val="single"/>
        </w:rPr>
        <w:t xml:space="preserve">土壤志》和《</w:t>
      </w:r>
      <w:r>
        <w:rPr>
          <w:rFonts w:hint="eastAsia" w:ascii="宋体" w:hAnsi="宋体" w:eastAsia="宋体" w:cs="宋体"/>
          <w:sz w:val="24"/>
          <w:szCs w:val="24"/>
          <w:u w:val="single"/>
          <w:lang w:val="en-US" w:eastAsia="zh-CN"/>
        </w:rPr>
        <w:t xml:space="preserve">东台市</w:t>
      </w:r>
      <w:r>
        <w:rPr>
          <w:rFonts w:hint="eastAsia" w:ascii="宋体" w:hAnsi="宋体" w:eastAsia="宋体" w:cs="宋体"/>
          <w:sz w:val="24"/>
          <w:szCs w:val="24"/>
          <w:u w:val="single"/>
        </w:rPr>
        <w:t xml:space="preserve">土种志》</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rPr>
        <w:t xml:space="preserve">出版《</w:t>
      </w:r>
      <w:r>
        <w:rPr>
          <w:rFonts w:hint="eastAsia" w:ascii="宋体" w:hAnsi="宋体" w:eastAsia="宋体" w:cs="宋体"/>
          <w:sz w:val="24"/>
          <w:szCs w:val="24"/>
          <w:u w:val="single"/>
          <w:lang w:val="en-US" w:eastAsia="zh-CN"/>
        </w:rPr>
        <w:t xml:space="preserve">东台市</w:t>
      </w:r>
      <w:r>
        <w:rPr>
          <w:rFonts w:hint="eastAsia" w:ascii="宋体" w:hAnsi="宋体" w:eastAsia="宋体" w:cs="宋体"/>
          <w:sz w:val="24"/>
          <w:szCs w:val="24"/>
          <w:u w:val="single"/>
        </w:rPr>
        <w:t xml:space="preserve">土壤志》</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形成东台市耕地土壤质量类别动态调整成果</w:t>
      </w:r>
      <w:r>
        <w:rPr>
          <w:rFonts w:hint="eastAsia" w:ascii="宋体" w:hAnsi="宋体" w:eastAsia="宋体" w:cs="宋体"/>
          <w:sz w:val="24"/>
          <w:szCs w:val="24"/>
          <w:u w:val="single"/>
        </w:rPr>
        <w:t xml:space="preserve">。（详细内容见本招标文件第四章）</w:t>
      </w:r>
      <w:r>
        <w:rPr>
          <w:rFonts w:hint="eastAsia" w:ascii="宋体" w:hAnsi="宋体" w:eastAsia="宋体" w:cs="宋体"/>
          <w:sz w:val="24"/>
          <w:szCs w:val="24"/>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合同履行期限：</w:t>
      </w:r>
      <w:r>
        <w:rPr>
          <w:rFonts w:hint="eastAsia" w:ascii="宋体" w:hAnsi="宋体" w:eastAsia="宋体" w:cs="宋体"/>
          <w:sz w:val="24"/>
          <w:szCs w:val="24"/>
          <w:u w:val="single"/>
          <w:lang w:eastAsia="zh-CN"/>
        </w:rPr>
        <w:t xml:space="preserve">自合同签订之日起至2024年12月底完成交付。具体时间安排根据内业测试进度，国家、省、市要求进行调整。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本项目（是/否）接受联合体投标：</w:t>
      </w:r>
      <w:r>
        <w:rPr>
          <w:rFonts w:hint="eastAsia" w:ascii="宋体" w:hAnsi="宋体" w:eastAsia="宋体" w:cs="宋体"/>
          <w:sz w:val="24"/>
          <w:szCs w:val="24"/>
          <w:u w:val="single"/>
        </w:rPr>
        <w:t xml:space="preserve">不接受联合体</w:t>
      </w:r>
      <w:r/>
    </w:p>
    <w:p>
      <w:pPr>
        <w:ind w:firstLine="482"/>
        <w:keepLines w:val="0"/>
        <w:keepNext w:val="0"/>
        <w:pageBreakBefore w:val="0"/>
        <w:spacing w:line="360" w:lineRule="auto"/>
        <w:widowControl w:val="off"/>
        <w:rPr>
          <w:rFonts w:hint="eastAsia" w:ascii="宋体" w:hAnsi="宋体" w:eastAsia="宋体" w:cs="宋体"/>
          <w:b/>
          <w:bCs/>
          <w:sz w:val="24"/>
          <w:szCs w:val="24"/>
        </w:rPr>
      </w:pPr>
      <w:r/>
      <w:bookmarkStart w:id="3" w:name="_Toc3"/>
      <w:r>
        <w:rPr>
          <w:rFonts w:hint="eastAsia" w:ascii="宋体" w:hAnsi="宋体" w:eastAsia="宋体" w:cs="宋体"/>
          <w:b/>
          <w:bCs/>
          <w:sz w:val="24"/>
          <w:szCs w:val="24"/>
        </w:rPr>
        <w:t xml:space="preserve">二、申请人的资格要求：</w:t>
      </w:r>
      <w:bookmarkEnd w:id="3"/>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2.上一年度的财务状况报表（成立不满一年无需提供）；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5.参加政府采购活动前3年内在经营活动中没有重大违法记录的书面声明</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6.投标人法定代表人身份证明和投标文件签署授权委托书（另附法定代表人和被授权人的身份证复印件或扫描件）</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7.投标人为被授权人缴纳的社会养老保险证明</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t xml:space="preserve">8.与资格审查有关的其他资料（如有）</w:t>
      </w:r>
      <w:r>
        <w:rPr>
          <w:rFonts w:hint="eastAsia" w:ascii="宋体" w:hAnsi="宋体" w:eastAsia="宋体" w:cs="宋体"/>
          <w:sz w:val="24"/>
          <w:szCs w:val="24"/>
        </w:rPr>
      </w:r>
      <w:r>
        <w:rPr>
          <w:rFonts w:hint="eastAsia" w:ascii="宋体" w:hAnsi="宋体" w:eastAsia="宋体" w:cs="宋体"/>
          <w:sz w:val="24"/>
          <w:szCs w:val="24"/>
        </w:rP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w:t>
      </w:r>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投标文件中无需提供证明材料</w:t>
      </w:r>
      <w:r>
        <w:rPr>
          <w:rFonts w:hint="eastAsia" w:ascii="宋体" w:hAnsi="宋体" w:eastAsia="宋体" w:cs="宋体"/>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sz w:val="24"/>
          <w:szCs w:val="24"/>
        </w:rPr>
      </w:pPr>
      <w:r/>
      <w:bookmarkStart w:id="4" w:name="_Toc4"/>
      <w:r>
        <w:rPr>
          <w:rFonts w:hint="eastAsia" w:ascii="宋体" w:hAnsi="宋体" w:eastAsia="宋体" w:cs="宋体"/>
          <w:b/>
          <w:bCs/>
          <w:sz w:val="24"/>
          <w:szCs w:val="24"/>
        </w:rPr>
        <w:t xml:space="preserve">三、获取招标文件</w:t>
      </w:r>
      <w:bookmarkEnd w:id="4"/>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时间：2024年04月11日 至2024年05月05日 ，每天上午00:00-12:00,下午12:00-23:59 （北京时间，法定节假日除外）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地点：江苏政府采购网、盐城市政府采购网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方式：自行免费下载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firstLine="482"/>
        <w:keepLines w:val="0"/>
        <w:keepNext w:val="0"/>
        <w:pageBreakBefore w:val="0"/>
        <w:spacing w:line="360" w:lineRule="auto"/>
        <w:widowControl w:val="off"/>
        <w:rPr>
          <w:rFonts w:hint="eastAsia" w:ascii="宋体" w:hAnsi="宋体" w:eastAsia="宋体" w:cs="宋体"/>
          <w:b/>
          <w:bCs/>
          <w:sz w:val="24"/>
          <w:szCs w:val="24"/>
        </w:rPr>
      </w:pPr>
      <w:r/>
      <w:bookmarkStart w:id="5" w:name="_Toc5"/>
      <w:r>
        <w:rPr>
          <w:rFonts w:hint="eastAsia" w:ascii="宋体" w:hAnsi="宋体" w:eastAsia="宋体" w:cs="宋体"/>
          <w:b/>
          <w:bCs/>
          <w:sz w:val="24"/>
          <w:szCs w:val="24"/>
        </w:rPr>
        <w:t xml:space="preserve">四、提交投标文件截止时间、开标时间和地点</w:t>
      </w:r>
      <w:bookmarkEnd w:id="5"/>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2024</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05</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06</w:t>
      </w:r>
      <w:r>
        <w:rPr>
          <w:rFonts w:hint="eastAsia" w:ascii="宋体" w:hAnsi="宋体" w:eastAsia="宋体" w:cs="宋体"/>
          <w:sz w:val="24"/>
          <w:szCs w:val="24"/>
        </w:rPr>
        <w:t xml:space="preserve"> </w:t>
      </w:r>
      <w:r>
        <w:rPr>
          <w:rFonts w:hint="eastAsia" w:ascii="宋体" w:hAnsi="宋体" w:eastAsia="宋体" w:cs="宋体"/>
          <w:sz w:val="24"/>
          <w:szCs w:val="24"/>
          <w:u w:val="single"/>
          <w:lang w:val="en-US" w:eastAsia="zh-CN"/>
        </w:rPr>
        <w:t xml:space="preserve">09</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00</w:t>
      </w:r>
      <w:r>
        <w:rPr>
          <w:rFonts w:hint="eastAsia" w:ascii="宋体" w:hAnsi="宋体" w:eastAsia="宋体" w:cs="宋体"/>
          <w:sz w:val="24"/>
          <w:szCs w:val="24"/>
        </w:rPr>
        <w:t xml:space="preserve"> （北京时间）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p>
    <w:p>
      <w:pPr>
        <w:ind w:firstLine="482"/>
        <w:keepLines w:val="0"/>
        <w:keepNext w:val="0"/>
        <w:pageBreakBefore w:val="0"/>
        <w:spacing w:line="360" w:lineRule="auto"/>
        <w:widowControl w:val="off"/>
        <w:rPr>
          <w:rFonts w:hint="eastAsia" w:ascii="宋体" w:hAnsi="宋体" w:eastAsia="宋体" w:cs="宋体"/>
          <w:b/>
          <w:bCs/>
          <w:sz w:val="24"/>
          <w:szCs w:val="24"/>
        </w:rPr>
      </w:pPr>
      <w:r/>
      <w:bookmarkStart w:id="6" w:name="_Toc6"/>
      <w:r>
        <w:rPr>
          <w:rFonts w:hint="eastAsia" w:ascii="宋体" w:hAnsi="宋体" w:eastAsia="宋体" w:cs="宋体"/>
          <w:b/>
          <w:bCs/>
          <w:sz w:val="24"/>
          <w:szCs w:val="24"/>
        </w:rPr>
        <w:t xml:space="preserve">五、公告期限</w:t>
      </w:r>
      <w:bookmarkEnd w:id="6"/>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ind w:firstLine="482"/>
        <w:keepLines w:val="0"/>
        <w:keepNext w:val="0"/>
        <w:pageBreakBefore w:val="0"/>
        <w:spacing w:line="360" w:lineRule="auto"/>
        <w:widowControl w:val="off"/>
        <w:rPr>
          <w:rFonts w:hint="eastAsia" w:ascii="宋体" w:hAnsi="宋体" w:eastAsia="宋体" w:cs="宋体"/>
          <w:b/>
          <w:bCs/>
          <w:sz w:val="24"/>
          <w:szCs w:val="24"/>
        </w:rPr>
      </w:pPr>
      <w:r/>
      <w:bookmarkStart w:id="7" w:name="_Toc7"/>
      <w:r>
        <w:rPr>
          <w:rFonts w:hint="eastAsia" w:ascii="宋体" w:hAnsi="宋体" w:eastAsia="宋体" w:cs="宋体"/>
          <w:b/>
          <w:bCs/>
          <w:sz w:val="24"/>
          <w:szCs w:val="24"/>
        </w:rPr>
        <w:t xml:space="preserve">六、其他补充事宜</w:t>
      </w:r>
      <w:bookmarkEnd w:id="7"/>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2.有关本次招标的事项若存在变动或修改，敬请及时关注“</w:t>
      </w:r>
      <w:r>
        <w:rPr>
          <w:rFonts w:hint="eastAsia" w:ascii="宋体" w:hAnsi="宋体" w:eastAsia="宋体" w:cs="宋体"/>
          <w:sz w:val="24"/>
          <w:szCs w:val="24"/>
          <w:lang w:val="en-US" w:eastAsia="zh-CN"/>
        </w:rPr>
        <w:t xml:space="preserve">中国</w:t>
      </w:r>
      <w:r>
        <w:rPr>
          <w:rFonts w:hint="eastAsia" w:ascii="宋体" w:hAnsi="宋体" w:eastAsia="宋体" w:cs="宋体"/>
          <w:sz w:val="24"/>
          <w:szCs w:val="24"/>
        </w:rPr>
        <w:t xml:space="preserve">政府采购网”、“江苏政府采购网”、“盐城市政府采购网”发布的更正公告。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3.本次招标不收取投标保证金，不收取质量保证金。</w:t>
      </w:r>
      <w:r/>
    </w:p>
    <w:p>
      <w:pPr>
        <w:ind w:firstLine="480"/>
        <w:pageBreakBefore w:val="0"/>
        <w:spacing w:line="460" w:lineRule="exact"/>
        <w:rPr>
          <w:rFonts w:hint="eastAsia" w:ascii="宋体" w:hAnsi="宋体" w:eastAsia="宋体" w:cs="宋体"/>
          <w:sz w:val="24"/>
          <w:szCs w:val="24"/>
          <w:lang w:val="en-US" w:eastAsia="zh-CN"/>
        </w:rPr>
      </w:pPr>
      <w:r/>
      <w:bookmarkStart w:id="8" w:name="_Toc8"/>
      <w:r>
        <w:rPr>
          <w:rFonts w:hint="eastAsia" w:ascii="宋体" w:hAnsi="宋体" w:eastAsia="宋体" w:cs="宋体"/>
          <w:sz w:val="24"/>
          <w:szCs w:val="24"/>
          <w:lang w:val="en-US" w:eastAsia="zh-CN"/>
        </w:rPr>
        <w:t xml:space="preserve">4.本项目（是/否）接受银行、保险、石油石化、电力、电信等行业的分支机构参与：</w:t>
      </w:r>
      <w:r>
        <w:rPr>
          <w:rFonts w:hint="eastAsia" w:ascii="宋体" w:hAnsi="宋体" w:eastAsia="宋体" w:cs="宋体"/>
          <w:sz w:val="24"/>
          <w:szCs w:val="24"/>
          <w:u w:val="single"/>
          <w:lang w:val="en-US" w:eastAsia="zh-CN"/>
        </w:rPr>
        <w:t xml:space="preserve">否</w:t>
      </w:r>
      <w:r>
        <w:rPr>
          <w:rFonts w:hint="eastAsia" w:ascii="宋体" w:hAnsi="宋体" w:eastAsia="宋体" w:cs="宋体"/>
          <w:sz w:val="24"/>
          <w:szCs w:val="24"/>
          <w:lang w:val="en-US" w:eastAsia="zh-CN"/>
        </w:rPr>
        <w:t xml:space="preserve"> 。【如接受，则分支机构的负责人视同为供应商法定代表人。】</w:t>
      </w:r>
      <w:r/>
    </w:p>
    <w:p>
      <w:pPr>
        <w:ind w:firstLine="480"/>
        <w:pageBreakBefore w:val="0"/>
        <w:spacing w:line="460" w:lineRule="exact"/>
        <w:tabs>
          <w:tab w:val="left" w:pos="900" w:leader="none"/>
        </w:tabs>
        <w:rPr>
          <w:rFonts w:hint="default"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5.供应商成交后打印纸质响应文件（正本壹份、副本贰份），在领取成交通知书前与用普通光盘或U盘拷贝的电子响应文件一并送至采购人.</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七、本次招标联系方式</w:t>
      </w:r>
      <w:bookmarkEnd w:id="8"/>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称：东台市农业农村局</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址：东台市广场路6号</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联系方式：荀先生、13912511093</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2.采购代理机构信息</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称：江苏天信建设项目咨询有限公司</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址：南京市水西门大街272号金基广场4A层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联系方式：张先生、17606161703</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3.项目联系方式</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项目联系人：荀先生（采购人）、张先生（代理机构）</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　　 话：13912511093、17606161703         </w:t>
      </w:r>
      <w:r/>
    </w:p>
    <w:p>
      <w:pPr>
        <w:pStyle w:val="668"/>
        <w:ind w:right="840"/>
        <w:jc w:val="center"/>
        <w:spacing w:beforeAutospacing="0" w:afterAutospacing="0"/>
        <w:rPr>
          <w:color w:val="auto"/>
          <w:highlight w:val="none"/>
        </w:rPr>
        <w:outlineLvl w:val="0"/>
      </w:pPr>
      <w:r/>
      <w:bookmarkStart w:id="9" w:name="_Toc9"/>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 </w:t>
      </w:r>
      <w:r>
        <w:rPr>
          <w:rFonts w:hint="eastAsia" w:ascii="黑体" w:hAnsi="宋体" w:eastAsia="黑体" w:cs="黑体"/>
          <w:b/>
          <w:color w:val="auto"/>
          <w:sz w:val="44"/>
          <w:szCs w:val="44"/>
          <w:highlight w:val="none"/>
        </w:rPr>
        <w:t xml:space="preserve">第二章  投标人须知</w:t>
      </w:r>
      <w:bookmarkEnd w:id="9"/>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一、总则</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bookmarkStart w:id="10" w:name="_Hlt16619475"/>
      <w:r>
        <w:rPr>
          <w:rFonts w:hint="eastAsia" w:ascii="黑体" w:hAnsi="黑体" w:eastAsia="黑体" w:cs="黑体"/>
          <w:color w:val="auto"/>
          <w:sz w:val="28"/>
          <w:szCs w:val="28"/>
          <w:highlight w:val="none"/>
        </w:rPr>
        <w:t xml:space="preserve">1、招标方式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2、合格的投标人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2.2满足本文件实质性条款的规定。</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3、适用法律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4、投标费用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4.1投标人应自行承担所有与参加投标有关的费用，无论投标过程中的做法和结果如何，采购人在任何情况下均无义务和责任承担这些费用。</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5、招标文件的约束力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二、招标文件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6、招标文件构成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7、招标文件的澄清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日前按招标公告中的通讯地址，以书面形式通知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8、招标文件的修改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eastAsia="zh-CN"/>
        </w:rPr>
        <w:t xml:space="preserve">“中国政府采购网、江苏政府采购网、盐城市政府采购网”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三、投标文件的编制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9、投标文件的语言及度量衡单位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rPr>
          <w:rFonts w:hint="eastAsia" w:ascii="宋体" w:hAnsi="宋体" w:eastAsia="宋体" w:cs="宋体"/>
          <w:color w:val="auto"/>
          <w:sz w:val="24"/>
          <w:szCs w:val="24"/>
          <w:highlight w:val="none"/>
        </w:rPr>
        <w:t xml:space="preserve">。</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10、投标文件构成</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10.1开标一览表（系统固定格式）</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10.2资格审查资料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10.2.1法人或者其他组织的营业执照等证明文件，自然人的身份证明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10.2.2上一年度（或上上年度）经审计的财务报告（投标人成立不满一年无需提供）</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10.2.4具备履行合同所必需的设备和专业技术能力的书面声明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10.2.5参加政府采购活动前3年内在经营活动中没有重大违法记录的书面声明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10.2.6投标人法定代表人身份证明和投标文件签署授权委托书（另附法定代表人和被授权人的身份证复印件或扫描件）；</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10.2.7投标人为被授权人缴纳的社会养老保险证明；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10.2.8与资格审查有关的其他资料（如有）。</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10.3符合性资料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10.3.1报价明细表</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10.3.2投标函；</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10.3.3所供服务（服务附带的产品）内容及服务要求偏离表；</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10.3.4投标人的服务承诺；</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10.3.5小微企业声明函、残疾人福利性单位声明函；（如有）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10.3.6联合体协议（如有）；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10.3.7盐城市政府采购事前信用承诺书；</w:t>
      </w:r>
      <w:r/>
    </w:p>
    <w:p>
      <w:pPr>
        <w:ind w:firstLine="480"/>
        <w:pageBreakBefore w:val="0"/>
        <w:spacing w:line="460" w:lineRule="exact"/>
        <w:widowControl w:val="off"/>
        <w:rPr>
          <w:rFonts w:hint="default"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10.4综合评审相关资料</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10.5价格折扣文件（如有）</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注：1）以上材料须按顺序进行排列。</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2）如为法定代表人参与公开招标的无须提供“投标文件签署授权委托书”和“被授权人缴纳的社会养老保险证明”。</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3）与本次公开招标无关的资料不要求提供。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10.2如标书制作工具中格式和内容与“江苏政府采购网”、“盐城市政府采购网”发布的招标文件不一致，请以“江苏政府采购网”、“盐城市政府采购网”发布的招标文件为准。</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bookmarkStart w:id="11" w:name="_Hlt26670360"/>
      <w:r/>
      <w:bookmarkStart w:id="12" w:name="_Hlt26954838"/>
      <w:r/>
      <w:bookmarkStart w:id="13" w:name="_Hlt26668975"/>
      <w:r>
        <w:rPr>
          <w:rFonts w:hint="eastAsia" w:ascii="黑体" w:hAnsi="黑体" w:eastAsia="黑体" w:cs="黑体"/>
          <w:color w:val="auto"/>
          <w:sz w:val="28"/>
          <w:szCs w:val="28"/>
          <w:highlight w:val="none"/>
        </w:rPr>
        <w:t xml:space="preserve">11、证明投标人及投标标的符合招标文件规定的文件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11.3“上一年度（或上上年度）的财务报告”，投标人应提供经审计的财务报告，或银行出具的资信证明。</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11.4“依法缴纳税收的相关材料”，投标人应提供近期缴纳税收的凭据。</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11.5“依法缴纳社会保障资金的相关材料”，投标人应提供近期缴纳社会保险的凭据。</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11.6依法免税或不需要缴纳社会保障资金的投标人，应提供相应文件证明其依法免税或不需要缴纳社会保障资金。</w:t>
      </w:r>
      <w:r/>
    </w:p>
    <w:p>
      <w:pPr>
        <w:ind w:firstLine="480"/>
        <w:pageBreakBefore w:val="0"/>
        <w:spacing w:line="46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11.7“申请人的资格要求”和“资格审查资料”中的“近期”是指近两年以来的任一时间段。</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rPr>
        <w:t xml:space="preserve">12、投标</w:t>
      </w:r>
      <w:bookmarkStart w:id="14" w:name="_Hlt26670373"/>
      <w:r>
        <w:rPr>
          <w:rFonts w:hint="eastAsia" w:ascii="黑体" w:hAnsi="黑体" w:eastAsia="黑体" w:cs="黑体"/>
          <w:color w:val="auto"/>
          <w:sz w:val="28"/>
          <w:szCs w:val="28"/>
          <w:highlight w:val="none"/>
          <w:lang w:eastAsia="zh-CN"/>
        </w:rPr>
        <w:t xml:space="preserve">报价明细表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15" w:name="_Hlt26954840"/>
      <w:r>
        <w:rPr>
          <w:rFonts w:hint="eastAsia" w:ascii="宋体" w:hAnsi="宋体" w:eastAsia="宋体" w:cs="宋体"/>
          <w:color w:val="auto"/>
          <w:sz w:val="24"/>
          <w:szCs w:val="24"/>
          <w:highlight w:val="none"/>
        </w:rPr>
        <w:t xml:space="preserve">标人应按照招标文件规定格式填报投标</w:t>
      </w:r>
      <w:bookmarkStart w:id="16" w:name="_Hlt26670399"/>
      <w:r>
        <w:rPr>
          <w:rFonts w:hint="eastAsia" w:ascii="宋体" w:hAnsi="宋体" w:eastAsia="宋体" w:cs="宋体"/>
          <w:color w:val="auto"/>
          <w:sz w:val="24"/>
          <w:szCs w:val="24"/>
          <w:highlight w:val="none"/>
          <w:lang w:eastAsia="zh-CN"/>
        </w:rPr>
        <w:t xml:space="preserve">报价明细表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pageBreakBefore w:val="0"/>
        <w:spacing w:line="460" w:lineRule="exact"/>
        <w:widowControl w:val="off"/>
        <w:rPr>
          <w:rFonts w:hint="eastAsia" w:ascii="宋体" w:hAnsi="宋体" w:eastAsia="宋体" w:cs="Times New Roman"/>
          <w:color w:val="auto"/>
          <w:sz w:val="24"/>
          <w:highlight w:val="none"/>
          <w:lang w:val="en-US" w:eastAsia="zh-CN"/>
        </w:rPr>
      </w:pPr>
      <w:r/>
      <w:bookmarkStart w:id="17" w:name="_Hlt26954848"/>
      <w:r/>
      <w:bookmarkStart w:id="18" w:name="_Hlt26668983"/>
      <w:r/>
      <w:bookmarkStart w:id="19" w:name="_Hlt26954844"/>
      <w:r/>
      <w:bookmarkStart w:id="20" w:name="_Hlt26670482"/>
      <w:r/>
      <w:bookmarkStart w:id="21" w:name="_Hlt26670403"/>
      <w:r/>
      <w:bookmarkStart w:id="22" w:name="_Hlt26954842"/>
      <w:r/>
      <w:bookmarkStart w:id="23" w:name="_Hlt26954846"/>
      <w:r/>
      <w:bookmarkStart w:id="24" w:name="_Hlt26670486"/>
      <w:r/>
      <w:bookmarkStart w:id="25" w:name="_Hlt26670425"/>
      <w:r/>
      <w:bookmarkStart w:id="26" w:name="_Hlt26954731"/>
      <w:r>
        <w:rPr>
          <w:rFonts w:hint="eastAsia" w:ascii="宋体" w:hAnsi="宋体" w:eastAsia="宋体" w:cs="Times New Roman"/>
          <w:color w:val="auto"/>
          <w:sz w:val="24"/>
          <w:highlight w:val="none"/>
          <w:lang w:val="en-US" w:eastAsia="zh-CN"/>
        </w:rPr>
        <w:t xml:space="preserve">13.3投标人应按照第六章投标文件格式完整地填写报价明细表，说明其拟提供服务的名称、服务内容、数量、价格等，采购人要求投标人明确填写的相关内容的，也应填写。</w:t>
      </w:r>
      <w:r/>
    </w:p>
    <w:p>
      <w:pPr>
        <w:ind w:firstLine="480"/>
        <w:pageBreakBefore w:val="0"/>
        <w:spacing w:line="46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13.4每项服务内容只允许有一个报价，任何有选择的报价将不予接受。</w:t>
      </w:r>
      <w:r/>
    </w:p>
    <w:p>
      <w:pPr>
        <w:ind w:firstLine="480"/>
        <w:pageBreakBefore w:val="0"/>
        <w:spacing w:line="46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13.5报价除标的物的价款外还应包括全部工作内容的价格体现，以及为完成全部工作内容所必须的采样环节所需的除骨穿包、活检麻醉剂、抗凝剂、针管以外的全部试剂及耗材、标本接收、运输（含冷链运输）、检测检验所需的全部试剂及耗材、设备、耗材等、售后服务、投诉和纠纷处理以及相关附加服务所需、规费、政策调整风险、代理服务费（3762元）、税金等的全部费用。</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rPr>
        <w:t xml:space="preserve">13、</w:t>
      </w:r>
      <w:r>
        <w:rPr>
          <w:rFonts w:hint="eastAsia" w:ascii="黑体" w:hAnsi="黑体" w:eastAsia="黑体" w:cs="黑体"/>
          <w:color w:val="auto"/>
          <w:sz w:val="28"/>
          <w:szCs w:val="28"/>
          <w:highlight w:val="none"/>
          <w:lang w:val="en-US" w:eastAsia="zh-CN"/>
        </w:rPr>
        <w:t xml:space="preserve">所供服务（服务附带的产品）内容及服务要求偏离表</w:t>
      </w:r>
      <w:r/>
    </w:p>
    <w:p>
      <w:pPr>
        <w:ind w:firstLine="480"/>
        <w:pageBreakBefore w:val="0"/>
        <w:spacing w:line="460" w:lineRule="exact"/>
        <w:widowControl w:val="off"/>
        <w:rPr>
          <w:rFonts w:hint="eastAsia"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en-US" w:eastAsia="zh-CN"/>
        </w:rPr>
        <w:t xml:space="preserve">3</w:t>
      </w:r>
      <w:r>
        <w:rPr>
          <w:rFonts w:ascii="宋体" w:hAnsi="Arial" w:cs="宋体"/>
          <w:bCs/>
          <w:color w:val="auto"/>
          <w:sz w:val="24"/>
          <w:highlight w:val="none"/>
          <w:lang w:val="zh-CN"/>
        </w:rPr>
        <w:t xml:space="preserve">.1</w:t>
      </w:r>
      <w:r>
        <w:rPr>
          <w:rFonts w:hint="eastAsia" w:ascii="宋体" w:hAnsi="Arial" w:cs="宋体"/>
          <w:color w:val="auto"/>
          <w:sz w:val="24"/>
          <w:highlight w:val="none"/>
          <w:lang w:val="zh-CN"/>
        </w:rPr>
        <w:t xml:space="preserve">投标人需对招标文件中的</w:t>
      </w:r>
      <w:r>
        <w:rPr>
          <w:rFonts w:hint="eastAsia" w:ascii="宋体" w:hAnsi="Arial" w:cs="宋体"/>
          <w:color w:val="auto"/>
          <w:sz w:val="24"/>
          <w:highlight w:val="none"/>
          <w:lang w:val="en-US" w:eastAsia="zh-CN"/>
        </w:rPr>
        <w:t xml:space="preserve">服务内容及服务要求</w:t>
      </w:r>
      <w:r>
        <w:rPr>
          <w:rFonts w:hint="eastAsia" w:ascii="宋体" w:hAnsi="Arial" w:cs="宋体"/>
          <w:color w:val="auto"/>
          <w:sz w:val="24"/>
          <w:highlight w:val="none"/>
          <w:lang w:val="zh-CN"/>
        </w:rPr>
        <w:t xml:space="preserve">要求逐项作出响应或偏离，并说明原因。</w:t>
      </w:r>
      <w:r/>
    </w:p>
    <w:p>
      <w:pPr>
        <w:ind w:firstLine="480"/>
        <w:pageBreakBefore w:val="0"/>
        <w:spacing w:line="460" w:lineRule="exact"/>
        <w:widowControl w:val="off"/>
        <w:tabs>
          <w:tab w:val="left" w:pos="1035" w:leader="none"/>
        </w:tabs>
        <w:rPr>
          <w:rFonts w:hint="eastAsia" w:ascii="宋体" w:hAnsi="Arial" w:cs="宋体"/>
          <w:color w:val="auto"/>
          <w:sz w:val="24"/>
          <w:highlight w:val="none"/>
          <w:lang w:val="zh-CN"/>
        </w:rPr>
      </w:pPr>
      <w:r>
        <w:rPr>
          <w:rFonts w:hint="eastAsia" w:ascii="宋体" w:hAnsi="Arial" w:cs="宋体"/>
          <w:color w:val="auto"/>
          <w:sz w:val="24"/>
          <w:highlight w:val="none"/>
          <w:lang w:val="zh-CN"/>
        </w:rPr>
        <w:t xml:space="preserve">1</w:t>
      </w:r>
      <w:r>
        <w:rPr>
          <w:rFonts w:hint="eastAsia" w:ascii="宋体" w:hAnsi="Arial" w:cs="宋体"/>
          <w:color w:val="auto"/>
          <w:sz w:val="24"/>
          <w:highlight w:val="none"/>
          <w:lang w:val="en-US" w:eastAsia="zh-CN"/>
        </w:rPr>
        <w:t xml:space="preserve">3</w:t>
      </w:r>
      <w:r>
        <w:rPr>
          <w:rFonts w:hint="eastAsia" w:ascii="宋体" w:hAnsi="Arial" w:cs="宋体"/>
          <w:color w:val="auto"/>
          <w:sz w:val="24"/>
          <w:highlight w:val="none"/>
          <w:lang w:val="zh-CN"/>
        </w:rPr>
        <w:t xml:space="preserve">.2投标人可在投标文件中提供认为需要的其他技术文件或说明。</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14、投标函和开标一览表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w:t>
      </w:r>
      <w:r>
        <w:rPr>
          <w:rFonts w:hint="eastAsia" w:ascii="宋体" w:hAnsi="宋体" w:eastAsia="宋体" w:cs="宋体"/>
          <w:color w:val="auto"/>
          <w:sz w:val="24"/>
          <w:szCs w:val="24"/>
          <w:highlight w:val="none"/>
          <w:lang w:eastAsia="zh-CN"/>
        </w:rPr>
        <w:t xml:space="preserve">报价明细表</w:t>
      </w:r>
      <w:r>
        <w:rPr>
          <w:rFonts w:hint="eastAsia" w:ascii="宋体" w:hAnsi="宋体" w:eastAsia="宋体" w:cs="宋体"/>
          <w:color w:val="auto"/>
          <w:sz w:val="24"/>
          <w:szCs w:val="24"/>
          <w:highlight w:val="none"/>
        </w:rPr>
        <w:t xml:space="preserve">中的投标总报价一致，如不一致，不作为无效投标处理，但评标时按开标一览表中价格为准。</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bookmarkStart w:id="27" w:name="_Hlt26670489"/>
      <w:r/>
      <w:bookmarkStart w:id="28" w:name="_Hlt26954734"/>
      <w:r/>
      <w:bookmarkStart w:id="29" w:name="_Hlt26954850"/>
      <w:r>
        <w:rPr>
          <w:rFonts w:hint="eastAsia" w:ascii="黑体" w:hAnsi="黑体" w:eastAsia="黑体" w:cs="黑体"/>
          <w:color w:val="auto"/>
          <w:sz w:val="28"/>
          <w:szCs w:val="28"/>
          <w:highlight w:val="none"/>
        </w:rPr>
        <w:t xml:space="preserve">15、投标有效期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规定的开标之日后六十（60）天。投标有效期比规定短的将被视为未实质性响应招标文件而予以拒绝。</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16、投标有效期的延长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bookmarkStart w:id="30" w:name="_Hlt26954852"/>
      <w:r/>
      <w:bookmarkStart w:id="31" w:name="_Hlt26954739"/>
      <w:r>
        <w:rPr>
          <w:rFonts w:hint="eastAsia" w:ascii="黑体" w:hAnsi="黑体" w:eastAsia="黑体" w:cs="黑体"/>
          <w:color w:val="auto"/>
          <w:sz w:val="28"/>
          <w:szCs w:val="28"/>
          <w:highlight w:val="none"/>
        </w:rPr>
        <w:t xml:space="preserve">四、投标文件的递交</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17、投标文件的递交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17.1电子投标文件的递交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18、投标截止时间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18.1投标人上传电子投标文件的时间不得迟于招标公告中规定的投标截止时间。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19、投标文件的拒收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20、投标文件的撤回和修改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五、开标与评标</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21、开标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22、评标委员会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22.3评委会独立工作，负责评审所有投标文件并确定中标侯选人。</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23、评标过程的保密与公正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23.1凡是与审查、澄清、评价和比较投标的有关资料以及授标建议等，采购人、评委不得向投标人或与评标无关的其他人员透露。</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24、投标文件的澄清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25、对投标文件的初审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将不再告知未通过资格审查和符合性审查的原因。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及评标委员会联系。</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26、无效投标条款和废标条款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480"/>
        <w:pageBreakBefore w:val="0"/>
        <w:spacing w:line="460" w:lineRule="exact"/>
        <w:widowControl w:val="off"/>
        <w:rPr>
          <w:rFonts w:hint="eastAsia" w:ascii="宋体" w:hAnsi="宋体"/>
          <w:bCs/>
          <w:color w:val="auto"/>
          <w:sz w:val="24"/>
          <w:szCs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szCs w:val="24"/>
          <w:highlight w:val="none"/>
        </w:rPr>
        <w:t xml:space="preserve">.1投标人在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.2投标人未按照招标文件要求上传电子投标文件的。</w:t>
      </w:r>
      <w:r/>
    </w:p>
    <w:p>
      <w:pPr>
        <w:ind w:left="479"/>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.3同一投标人投标人递交两份或多份内容不同的投标文件，或在一份投标文件中对同一采购项目报有两个或多个报价，且未声明哪一个有效，按招标文件规定提交备选方案的除外。</w:t>
      </w:r>
      <w:r/>
    </w:p>
    <w:p>
      <w:pPr>
        <w:ind w:left="479"/>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投标人不具备招标文件中规定资格要求的。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投标人的报价超过了采购预算或最高限价的。</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宋体" w:hAnsi="宋体" w:eastAsia="宋体"/>
          <w:bCs/>
          <w:color w:val="auto"/>
          <w:sz w:val="24"/>
          <w:highlight w:val="none"/>
          <w:lang w:eastAsia="zh-CN"/>
        </w:rPr>
        <w:t xml:space="preserve">26.1</w:t>
      </w:r>
      <w:r>
        <w:rPr>
          <w:rFonts w:hint="eastAsia" w:ascii="Times New Roman" w:hAnsi="Times New Roman" w:eastAsia="宋体" w:cs="Times New Roman"/>
          <w:color w:val="auto"/>
          <w:sz w:val="24"/>
          <w:szCs w:val="22"/>
          <w:highlight w:val="none"/>
          <w:lang w:val="en-US" w:eastAsia="zh-CN" w:bidi="ar-SA"/>
        </w:rPr>
        <w:t xml:space="preserve">.7被授权人无法提供证明其为本单位正式职工的社会养老保险缴费证明的</w:t>
      </w:r>
      <w:r/>
    </w:p>
    <w:p>
      <w:pPr>
        <w:ind w:firstLine="480"/>
        <w:pageBreakBefore w:val="0"/>
        <w:spacing w:line="460" w:lineRule="exact"/>
        <w:widowControl w:val="off"/>
        <w:rPr>
          <w:rFonts w:hint="eastAsia" w:ascii="Times New Roman" w:hAnsi="Times New Roman" w:eastAsia="宋体" w:cs="Times New Roman"/>
          <w:color w:val="auto"/>
          <w:sz w:val="24"/>
          <w:szCs w:val="22"/>
          <w:highlight w:val="none"/>
          <w:lang w:val="en-US" w:eastAsia="zh-CN" w:bidi="ar-SA"/>
        </w:rPr>
      </w:pPr>
      <w:r>
        <w:rPr>
          <w:rFonts w:hint="eastAsia" w:ascii="Times New Roman" w:hAnsi="Times New Roman" w:eastAsia="宋体" w:cs="Times New Roman"/>
          <w:color w:val="auto"/>
          <w:sz w:val="24"/>
          <w:szCs w:val="22"/>
          <w:highlight w:val="none"/>
          <w:lang w:val="en-US" w:eastAsia="zh-CN" w:bidi="ar-SA"/>
        </w:rPr>
        <w:t xml:space="preserve">26.1.8由被授权人参加，但未随投标文件一起提交合法、有效的“授权委托书”的；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9</w:t>
      </w:r>
      <w:r>
        <w:rPr>
          <w:rFonts w:hint="eastAsia" w:cs="Times New Roman"/>
          <w:color w:val="auto"/>
          <w:sz w:val="24"/>
          <w:szCs w:val="22"/>
          <w:highlight w:val="none"/>
          <w:lang w:val="en-US" w:eastAsia="zh-CN" w:bidi="ar-SA"/>
        </w:rPr>
        <w:t xml:space="preserve">投标文件内容不全或关键字迹模糊、无法辨认的</w:t>
      </w:r>
      <w:r/>
    </w:p>
    <w:p>
      <w:pPr>
        <w:ind w:firstLine="480"/>
        <w:pageBreakBefore w:val="0"/>
        <w:spacing w:line="460" w:lineRule="exact"/>
        <w:widowControl w:val="off"/>
        <w:rPr>
          <w:rFonts w:hint="eastAsia" w:cs="Times New Roman"/>
          <w:color w:val="auto"/>
          <w:sz w:val="24"/>
          <w:szCs w:val="22"/>
          <w:highlight w:val="none"/>
          <w:lang w:val="en-US" w:eastAsia="zh-CN" w:bidi="ar-SA"/>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10</w:t>
      </w:r>
      <w:r>
        <w:rPr>
          <w:rFonts w:hint="eastAsia" w:cs="Times New Roman"/>
          <w:color w:val="auto"/>
          <w:sz w:val="24"/>
          <w:szCs w:val="22"/>
          <w:highlight w:val="none"/>
          <w:lang w:val="en-US" w:eastAsia="zh-CN" w:bidi="ar-SA"/>
        </w:rPr>
        <w:t xml:space="preserve">投标文件修改处未加盖投标人公章的</w:t>
      </w:r>
      <w:r/>
    </w:p>
    <w:p>
      <w:pPr>
        <w:ind w:firstLine="480"/>
        <w:pageBreakBefore w:val="0"/>
        <w:spacing w:line="460" w:lineRule="exact"/>
        <w:widowControl w:val="off"/>
        <w:rPr>
          <w:rFonts w:hint="eastAsia" w:ascii="宋体" w:hAnsi="宋体"/>
          <w:bCs/>
          <w:i/>
          <w:color w:val="auto"/>
          <w:sz w:val="24"/>
          <w:highlight w:val="none"/>
          <w:u w:val="singl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rPr>
        <w:t xml:space="preserve">未通过符合性审查的。</w:t>
      </w:r>
      <w:r/>
    </w:p>
    <w:p>
      <w:pPr>
        <w:ind w:firstLine="360"/>
        <w:pageBreakBefore w:val="0"/>
        <w:spacing w:line="460" w:lineRule="exact"/>
        <w:widowControl w:val="off"/>
        <w:rPr>
          <w:rFonts w:hint="eastAsia" w:ascii="宋体" w:hAnsi="宋体"/>
          <w:bCs/>
          <w:i/>
          <w:color w:val="auto"/>
          <w:sz w:val="24"/>
          <w:highlight w:val="none"/>
          <w:u w:val="singl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12</w:t>
      </w:r>
      <w:r>
        <w:rPr>
          <w:rFonts w:hint="eastAsia" w:ascii="宋体" w:hAnsi="宋体"/>
          <w:bCs/>
          <w:color w:val="auto"/>
          <w:sz w:val="24"/>
          <w:highlight w:val="none"/>
        </w:rPr>
        <w:t xml:space="preserve">不符合招标文件中规定的实质性要求和条件的</w:t>
      </w:r>
      <w:r>
        <w:rPr>
          <w:rFonts w:hint="eastAsia" w:ascii="宋体" w:hAnsi="宋体"/>
          <w:bCs/>
          <w:i/>
          <w:color w:val="auto"/>
          <w:sz w:val="24"/>
          <w:highlight w:val="none"/>
          <w:u w:val="single"/>
        </w:rPr>
        <w:t xml:space="preserve">。</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14</w:t>
      </w:r>
      <w:r>
        <w:rPr>
          <w:rFonts w:hint="eastAsia" w:ascii="宋体" w:hAnsi="宋体"/>
          <w:bCs/>
          <w:color w:val="auto"/>
          <w:sz w:val="24"/>
          <w:highlight w:val="none"/>
        </w:rPr>
        <w:t xml:space="preserve">投标文件含有采购人不能接受的附加条件的。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15</w:t>
      </w:r>
      <w:r>
        <w:rPr>
          <w:rFonts w:hint="eastAsia" w:ascii="宋体" w:hAnsi="宋体"/>
          <w:bCs/>
          <w:color w:val="auto"/>
          <w:sz w:val="24"/>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w:t>
      </w:r>
      <w:r>
        <w:rPr>
          <w:rFonts w:hint="eastAsia" w:cs="Times New Roman"/>
          <w:color w:val="auto"/>
          <w:sz w:val="24"/>
          <w:szCs w:val="22"/>
          <w:highlight w:val="none"/>
          <w:lang w:val="en-US" w:eastAsia="zh-CN" w:bidi="ar-SA"/>
        </w:rPr>
        <w:t xml:space="preserve">或虽说明理由但评标委员会认为其理由不能成立的</w:t>
      </w:r>
      <w:r>
        <w:rPr>
          <w:rFonts w:hint="eastAsia" w:ascii="宋体" w:hAnsi="宋体"/>
          <w:bCs/>
          <w:color w:val="auto"/>
          <w:sz w:val="24"/>
          <w:highlight w:val="none"/>
        </w:rPr>
        <w:t xml:space="preserve">。</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26.1.16投标文件中所供产品供货期限（服务周期）、售后服务条款不符合招标文件相关条款要求或技术指标要求、货物的包装方式、检验标准等低于招标文件规定指标、要求的；</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26.1.17以他人的名义投标、串通投标、以行贿手段谋取中标或者以其他弄虚作假方式投标的；</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26.1.18组成联合体，投标文件未附联合体协议的。</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26.1.19投标文件未按照招标文件要求签署或加盖CA电子公章的。</w:t>
      </w:r>
      <w:r/>
    </w:p>
    <w:p>
      <w:pPr>
        <w:ind w:firstLine="480"/>
        <w:pageBreakBefore w:val="0"/>
        <w:spacing w:line="460" w:lineRule="exact"/>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26.1</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20</w:t>
      </w:r>
      <w:r>
        <w:rPr>
          <w:rFonts w:hint="eastAsia" w:ascii="宋体" w:hAnsi="宋体"/>
          <w:bCs/>
          <w:color w:val="auto"/>
          <w:sz w:val="24"/>
          <w:highlight w:val="none"/>
        </w:rPr>
        <w:t xml:space="preserve">其他法律、法规及本招标文件规定的属无效投标的情形。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六、定标</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27、确定中标单位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27.1中标候选人的选取原则和数量见招标文件第五章规定。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将在“中国政府采购网、江苏政府采购网、盐城市政府采购网”发布中标公告，公告期限为1个工作日。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27.4.2向采购人行贿或者提供其他不正当利益的。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27.5有下列情形之一的，视为投标人串通投标，投标无效：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28、质疑处理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采购人只接收以纸质原件形式送达的质疑,建议供应商尽量通过邮寄方式提交质疑（采购人不接受未填写快递运单的快件）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质疑受理部门</w:t>
      </w:r>
      <w:r>
        <w:rPr>
          <w:rFonts w:hint="eastAsia" w:ascii="宋体" w:hAnsi="宋体" w:eastAsia="宋体" w:cs="宋体"/>
          <w:color w:val="auto"/>
          <w:sz w:val="24"/>
          <w:szCs w:val="24"/>
          <w:highlight w:val="none"/>
          <w:lang w:eastAsia="zh-CN"/>
        </w:rPr>
        <w:t xml:space="preserve">：东台市农业农村局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eastAsia="zh-CN"/>
        </w:rPr>
        <w:t xml:space="preserve">：东台市广场路6号</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联系电话：0515-</w:t>
      </w:r>
      <w:r>
        <w:rPr>
          <w:rFonts w:hint="eastAsia" w:ascii="宋体" w:hAnsi="宋体" w:eastAsia="宋体" w:cs="宋体"/>
          <w:color w:val="auto"/>
          <w:sz w:val="24"/>
          <w:szCs w:val="24"/>
          <w:highlight w:val="none"/>
          <w:lang w:val="en-US" w:eastAsia="zh-CN"/>
        </w:rPr>
        <w:t xml:space="preserve">68961402</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29、中标通知书</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29.l中标结果确定后，采购人将向中标人发出中标通知书。</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七、授予合同</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30.签订合同</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l中标人应当在中标通知书发出之日起三十日内，按照招标文件确定的事项与采购人签订书面合同。所签订的合同不得对招标文件确定的事项和中标人投标文件作实质性修改。招标文件、中标人的投标文件及其澄清文件等均作为签订合同的依据。</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30.2采购人应当自政府采购合同签订之日起2个工作日内，将政府采购合同的扫描件（PDF格式）传送《苏采云系统》实施网上备案公示。</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30.3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30.4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ind w:firstLine="480"/>
        <w:pageBreakBefore w:val="0"/>
        <w:spacing w:line="460" w:lineRule="exact"/>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30.5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ind w:firstLine="560"/>
        <w:jc w:val="left"/>
        <w:keepLines w:val="0"/>
        <w:keepNext w:val="0"/>
        <w:pageBreakBefore w:val="0"/>
        <w:spacing w:line="360" w:lineRule="auto"/>
        <w:widowControl w:val="off"/>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31、服务（包含与服务相关的货物）的追加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32、政府采购履约资金扶持政策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8"/>
        <w:jc w:val="center"/>
        <w:keepNext/>
        <w:spacing w:beforeAutospacing="0" w:afterAutospacing="0"/>
        <w:rPr>
          <w:color w:val="auto"/>
          <w:highlight w:val="none"/>
        </w:rPr>
        <w:outlineLvl w:val="0"/>
      </w:pPr>
      <w:r/>
      <w:bookmarkStart w:id="32" w:name="_Toc10"/>
      <w:r>
        <w:rPr>
          <w:rFonts w:hint="eastAsia" w:ascii="黑体" w:hAnsi="宋体" w:eastAsia="黑体" w:cs="黑体"/>
          <w:color w:val="auto"/>
          <w:sz w:val="44"/>
          <w:szCs w:val="44"/>
          <w:highlight w:val="none"/>
        </w:rPr>
        <w:t xml:space="preserve">第三章  合同文本</w:t>
      </w:r>
      <w:bookmarkEnd w:id="32"/>
      <w:r/>
      <w:r/>
    </w:p>
    <w:p>
      <w:pPr>
        <w:pStyle w:val="668"/>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以下为中标后签定本项目合同的通用条款，中标人不得提出实质性的修改。</w:t>
      </w:r>
      <w:r/>
    </w:p>
    <w:p>
      <w:pPr>
        <w:pStyle w:val="668"/>
        <w:jc w:val="center"/>
        <w:spacing w:before="145" w:beforeAutospacing="0" w:after="145" w:afterAutospacing="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盐城市政府采购合同（服务）（合同编号）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u w:val="single"/>
          <w:lang w:eastAsia="zh-CN"/>
        </w:rPr>
        <w:t xml:space="preserve">东台市农业农村局东台市第三次全国土壤普查项目--采购数据汇总与制图、报告编制等普查成果汇交汇总服务</w:t>
      </w:r>
      <w:r>
        <w:rPr>
          <w:rFonts w:hint="eastAsia" w:ascii="宋体" w:hAnsi="宋体" w:eastAsia="宋体" w:cs="宋体"/>
          <w:color w:val="auto"/>
          <w:sz w:val="24"/>
          <w:szCs w:val="24"/>
          <w:highlight w:val="none"/>
          <w:u w:val="single"/>
        </w:rPr>
        <w:t xml:space="preserve">项目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lang w:eastAsia="zh-CN"/>
        </w:rPr>
        <w:t xml:space="preserve">JSZC-320981-TXJS-G2024-0015</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            </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eastAsia="zh-CN"/>
        </w:rPr>
        <w:t xml:space="preserve">东台市农业农村局东台市第三次全国土壤普查项目--采购数据汇总与制图、报告编制等普查成果汇交汇总服务</w:t>
      </w:r>
      <w:r>
        <w:rPr>
          <w:rFonts w:hint="eastAsia" w:ascii="宋体" w:hAnsi="宋体" w:eastAsia="宋体" w:cs="宋体"/>
          <w:color w:val="auto"/>
          <w:sz w:val="24"/>
          <w:szCs w:val="24"/>
          <w:highlight w:val="none"/>
        </w:rPr>
        <w:t xml:space="preserve">项目公开招标的结果，签署本合同。</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Cs w:val="21"/>
          <w:highlight w:val="none"/>
          <w:lang w:eastAsia="zh-CN"/>
        </w:rPr>
        <w:t xml:space="preserve">东台市农业农村局东台市第三次全国土壤普查项目--采购数据汇总与制图、报告编制等普查成果汇交汇总服务</w:t>
      </w:r>
      <w:r>
        <w:rPr>
          <w:rFonts w:hint="eastAsia" w:ascii="宋体" w:hAnsi="宋体" w:cs="宋体"/>
          <w:color w:val="auto"/>
          <w:szCs w:val="21"/>
          <w:highlight w:val="none"/>
        </w:rPr>
        <w:t xml:space="preserve">项目</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lang w:val="en-US" w:eastAsia="zh-CN"/>
        </w:rPr>
        <w:t xml:space="preserve">符合《第三次全国土壤普查技术规程（修订版</w:t>
      </w:r>
      <w:r>
        <w:rPr>
          <w:rFonts w:hint="eastAsia" w:ascii="宋体" w:hAnsi="宋体" w:eastAsia="宋体" w:cs="宋体"/>
          <w:color w:val="auto"/>
          <w:sz w:val="24"/>
          <w:szCs w:val="24"/>
          <w:highlight w:val="none"/>
          <w:lang w:val="en-US" w:eastAsia="zh-CN"/>
        </w:rPr>
        <w:t xml:space="preserve">）》、《第三次全国土壤普查土壤类型制图技术规范（修订版）》、《第三次全国土壤普查土壤属性与专题图制图规范（修订版）》、《国务院第三次全国土壤普查领导小组办公室关于印发&lt;第三次全国土壤普查试点县成果验收工作方案&gt;的通知》（〔2023〕9号）、《第三次全国土壤普查试点县成果形成方法及验收标准（征求意见稿）》及国家、省、市有关要求进行东台市第三次全国土壤普查项目--采购数据汇总与制图、报告编制等普查成果汇交汇总服务项目成果汇总与制图及报告编制要求。东台市耕地土壤质量类别动态调整成果，符合上级文件要求，通过上级认可</w:t>
      </w:r>
      <w:r>
        <w:rPr>
          <w:rFonts w:hint="eastAsia" w:ascii="宋体" w:hAnsi="宋体" w:eastAsia="宋体" w:cs="宋体"/>
          <w:color w:val="auto"/>
          <w:sz w:val="24"/>
          <w:szCs w:val="24"/>
          <w:highlight w:val="none"/>
          <w:lang w:eastAsia="zh-CN"/>
        </w:rPr>
        <w:t xml:space="preserve">。</w:t>
      </w:r>
      <w:r/>
    </w:p>
    <w:p>
      <w:pPr>
        <w:pStyle w:val="668"/>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 标的数量（规模）：</w:t>
      </w:r>
      <w:r>
        <w:rPr>
          <w:rFonts w:hint="eastAsia" w:ascii="宋体" w:hAnsi="宋体" w:eastAsia="宋体" w:cs="宋体"/>
          <w:color w:val="auto"/>
          <w:sz w:val="24"/>
          <w:szCs w:val="24"/>
          <w:highlight w:val="none"/>
          <w:lang w:val="en-US" w:eastAsia="zh-CN"/>
        </w:rPr>
        <w:t xml:space="preserve">详见采购需求</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1.4 履行时间（期限）：</w:t>
      </w:r>
      <w:r>
        <w:rPr>
          <w:rFonts w:hint="eastAsia" w:ascii="宋体" w:hAnsi="宋体" w:eastAsia="宋体" w:cs="宋体"/>
          <w:color w:val="auto"/>
          <w:szCs w:val="21"/>
          <w:highlight w:val="none"/>
          <w:lang w:eastAsia="zh-CN"/>
        </w:rPr>
        <w:t xml:space="preserve">自合同签订之日起至2024年12月底完成交付。具体时间安排根据内业测试进度，国家、省、市要求进行调整。</w:t>
      </w:r>
      <w:r/>
    </w:p>
    <w:p>
      <w:pPr>
        <w:pStyle w:val="668"/>
        <w:ind w:left="0" w:firstLine="480"/>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1.5 履行地点：</w:t>
      </w:r>
      <w:r>
        <w:rPr>
          <w:rFonts w:hint="eastAsia" w:ascii="宋体" w:hAnsi="宋体" w:eastAsia="宋体" w:cs="宋体"/>
          <w:color w:val="auto"/>
          <w:sz w:val="24"/>
          <w:szCs w:val="24"/>
          <w:highlight w:val="none"/>
          <w:lang w:val="en-US" w:eastAsia="zh-CN"/>
        </w:rPr>
        <w:t xml:space="preserve">采购人指定地点</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履行方式：</w:t>
      </w:r>
      <w:r>
        <w:rPr>
          <w:rFonts w:hint="eastAsia" w:ascii="宋体" w:hAnsi="宋体" w:eastAsia="宋体" w:cs="宋体"/>
          <w:color w:val="auto"/>
          <w:sz w:val="24"/>
          <w:szCs w:val="24"/>
          <w:highlight w:val="none"/>
          <w:lang w:val="en-US" w:eastAsia="zh-CN"/>
        </w:rPr>
        <w:t xml:space="preserve">在成果编制过程中，相关需求随部、省、市三普工作指导意见及相关技术规程和要求的变化而变化，投标人必须遵守完成，不得提出异议和要求；但由此引起的乙方延期不算违约；其所需费用不增加。</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2.1本合同金额为（大写）：______________元整（￥_______元）人民币。</w:t>
      </w:r>
      <w:r/>
    </w:p>
    <w:p>
      <w:pPr>
        <w:ind w:firstLine="480"/>
        <w:keepLines w:val="0"/>
        <w:keepNext w:val="0"/>
        <w:pageBreakBefore w:val="0"/>
        <w:spacing w:line="4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总价包括</w:t>
      </w:r>
      <w:r>
        <w:rPr>
          <w:rFonts w:hint="eastAsia" w:ascii="宋体" w:hAnsi="宋体" w:eastAsia="宋体" w:cs="宋体"/>
          <w:bCs/>
          <w:color w:val="000000"/>
          <w:sz w:val="24"/>
          <w:szCs w:val="24"/>
          <w:lang w:val="en-US" w:eastAsia="zh-CN"/>
        </w:rPr>
        <w:t xml:space="preserve">完成项目</w:t>
      </w:r>
      <w:r>
        <w:rPr>
          <w:rFonts w:hint="eastAsia" w:ascii="宋体" w:hAnsi="宋体" w:eastAsia="宋体" w:cs="宋体"/>
          <w:bCs/>
          <w:color w:val="000000"/>
          <w:sz w:val="24"/>
          <w:szCs w:val="24"/>
        </w:rPr>
        <w:t xml:space="preserve">所需的人员工资、加班费、工作人员差旅费、调研考察、各项福利、劳动保险、餐费、员工补助、工作人员必要的住宿费、办公费、论证费、验收费、各类方案评审费、（含专家劳务费、会议组织费）、管理费、为本招标项目提供服务所需的仪器设备、各类耗材、公共耗能费、利润、税金、本项目招标代理费、服务期内政策调整风险费等一切费用</w:t>
      </w:r>
      <w:r>
        <w:rPr>
          <w:rFonts w:hint="eastAsia" w:ascii="宋体" w:hAnsi="宋体" w:eastAsia="宋体" w:cs="宋体"/>
          <w:bCs/>
          <w:color w:val="000000"/>
          <w:sz w:val="24"/>
          <w:szCs w:val="24"/>
          <w:lang w:eastAsia="zh-CN"/>
        </w:rPr>
        <w:t xml:space="preserve">，招标文件规定的全部费用投标人中标后投标报价不再调整</w:t>
      </w:r>
      <w:r>
        <w:rPr>
          <w:rFonts w:hint="eastAsia" w:ascii="宋体" w:hAnsi="宋体" w:eastAsia="宋体" w:cs="宋体"/>
          <w:bCs/>
          <w:color w:val="000000"/>
          <w:sz w:val="24"/>
          <w:szCs w:val="24"/>
        </w:rPr>
        <w:t xml:space="preserve">。</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35"/>
        <w:ind w:left="0" w:firstLine="480"/>
        <w:jc w:val="both"/>
        <w:keepLines w:val="0"/>
        <w:pageBreakBefore w:val="0"/>
        <w:spacing w:line="360" w:lineRule="auto"/>
        <w:widowControl w:val="off"/>
        <w:tabs>
          <w:tab w:val="left" w:pos="119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4.2 </w:t>
      </w:r>
      <w:r>
        <w:rPr>
          <w:rFonts w:hint="eastAsia" w:ascii="宋体" w:hAnsi="宋体" w:eastAsia="宋体" w:cs="宋体"/>
          <w:color w:val="auto"/>
          <w:sz w:val="24"/>
          <w:szCs w:val="24"/>
          <w:highlight w:val="none"/>
        </w:rPr>
        <w:t xml:space="preserve">乙方应保证所提供标的物涉及到的知识产权是合法取得，并享有完整的知识产权，不会因为甲方的使用而被责令停止使用、追偿或要求赔偿损失，如出现此情况，一切经济和法律责任均由乙方承担（如出现侵权导致第三方索赔的，由乙方负全部责任并承担全部损失和费用支出，包括但不限于损失赔偿金、诉讼费、鉴定费、保全费、律师费等）。乙方应按采购文件的有关规定提供合格的服务，质量符合国家通用标准。</w:t>
      </w:r>
      <w:r/>
    </w:p>
    <w:p>
      <w:pPr>
        <w:pStyle w:val="835"/>
        <w:ind w:left="0" w:firstLine="480"/>
        <w:jc w:val="both"/>
        <w:keepLines w:val="0"/>
        <w:pageBreakBefore w:val="0"/>
        <w:spacing w:line="360" w:lineRule="auto"/>
        <w:widowControl w:val="off"/>
        <w:tabs>
          <w:tab w:val="left" w:pos="119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 </w:t>
      </w:r>
      <w:r>
        <w:rPr>
          <w:rFonts w:hint="eastAsia" w:ascii="宋体" w:hAnsi="宋体" w:eastAsia="宋体" w:cs="宋体"/>
          <w:color w:val="auto"/>
          <w:sz w:val="24"/>
          <w:szCs w:val="24"/>
          <w:highlight w:val="none"/>
          <w:lang w:val="en-US" w:eastAsia="zh-CN"/>
        </w:rPr>
        <w:t xml:space="preserve">数据保密：</w:t>
      </w:r>
      <w:r>
        <w:rPr>
          <w:rFonts w:hint="eastAsia" w:ascii="宋体" w:hAnsi="宋体" w:eastAsia="宋体" w:cs="宋体"/>
          <w:color w:val="auto"/>
          <w:sz w:val="24"/>
          <w:szCs w:val="24"/>
          <w:highlight w:val="none"/>
          <w:lang w:eastAsia="zh-CN"/>
        </w:rPr>
        <w:t xml:space="preserve">严格执行国家信息安全制度，</w:t>
      </w:r>
      <w:r>
        <w:rPr>
          <w:rFonts w:hint="eastAsia" w:ascii="宋体" w:hAnsi="宋体" w:eastAsia="宋体" w:cs="宋体"/>
          <w:color w:val="auto"/>
          <w:sz w:val="24"/>
          <w:szCs w:val="24"/>
          <w:highlight w:val="none"/>
          <w:lang w:val="en-US" w:eastAsia="zh-CN"/>
        </w:rPr>
        <w:t xml:space="preserve">承担服务的机构应签订数据保密协议，遵守保密规定</w:t>
      </w:r>
      <w:r>
        <w:rPr>
          <w:rFonts w:hint="eastAsia" w:ascii="宋体" w:hAnsi="宋体" w:eastAsia="宋体" w:cs="宋体"/>
          <w:color w:val="auto"/>
          <w:sz w:val="24"/>
          <w:szCs w:val="24"/>
          <w:highlight w:val="none"/>
          <w:lang w:eastAsia="zh-CN"/>
        </w:rPr>
        <w:t xml:space="preserve">；在土壤普查结果公布前，区域面上普查数据不得用于其它任何发表。</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firstLine="480"/>
        <w:spacing w:line="360" w:lineRule="auto"/>
        <w:rPr>
          <w:rFonts w:ascii="宋体"/>
          <w:sz w:val="24"/>
          <w:szCs w:val="24"/>
        </w:rPr>
      </w:pPr>
      <w:r>
        <w:rPr>
          <w:rFonts w:hint="eastAsia" w:ascii="宋体" w:hAnsi="宋体" w:eastAsia="宋体" w:cs="宋体"/>
          <w:color w:val="auto"/>
          <w:sz w:val="24"/>
          <w:szCs w:val="24"/>
          <w:highlight w:val="none"/>
        </w:rPr>
        <w:t xml:space="preserve">6.1</w:t>
      </w:r>
      <w:r>
        <w:rPr>
          <w:rFonts w:hint="eastAsia" w:ascii="宋体"/>
          <w:sz w:val="24"/>
          <w:szCs w:val="24"/>
        </w:rPr>
        <w:t xml:space="preserve">乙方交纳人</w:t>
      </w:r>
      <w:r>
        <w:rPr>
          <w:rFonts w:hint="eastAsia" w:ascii="宋体" w:eastAsia="宋体"/>
          <w:sz w:val="24"/>
          <w:szCs w:val="24"/>
          <w:lang w:val="en-US" w:eastAsia="zh-CN"/>
        </w:rPr>
        <w:t xml:space="preserve">成交价的10%</w:t>
      </w:r>
      <w:r>
        <w:rPr>
          <w:rFonts w:hint="eastAsia" w:ascii="宋体"/>
          <w:sz w:val="24"/>
          <w:szCs w:val="24"/>
        </w:rPr>
        <w:t xml:space="preserve">作为本合同的履约保证金，交纳形式为转账、支票、汇票、本票或者金融机构、担保机构出具的保函、保险公司保险单等。中标人在收到中标通知书后，须在合同签订前，向招标人足额提交履约保证金或者保函，否则招标人可以取消中标资格，履约保证金在本项目验收合格后无息退还。</w:t>
      </w:r>
      <w:r/>
    </w:p>
    <w:p>
      <w:pPr>
        <w:ind w:firstLine="480"/>
        <w:spacing w:line="360" w:lineRule="auto"/>
        <w:rPr>
          <w:rFonts w:ascii="宋体"/>
          <w:sz w:val="24"/>
          <w:szCs w:val="24"/>
        </w:rPr>
      </w:pPr>
      <w:r>
        <w:rPr>
          <w:rFonts w:hint="eastAsia" w:ascii="宋体"/>
          <w:sz w:val="24"/>
          <w:szCs w:val="24"/>
          <w:lang w:val="en-US" w:eastAsia="zh-CN"/>
        </w:rPr>
        <w:t xml:space="preserve">6.2</w:t>
      </w:r>
      <w:r>
        <w:rPr>
          <w:rFonts w:hint="eastAsia" w:ascii="宋体"/>
          <w:sz w:val="24"/>
          <w:szCs w:val="24"/>
        </w:rPr>
        <w:t xml:space="preserve">履约保证金用以约束成交供应商在合同履行中的行为，弥补合同执行中由于自身行为可能给采购人带来的各种损失。鼓励采购人对AA评级及以上政府采购供应商（需提供信用管理部门备案的第三方信用报告，且信用报告概述页等内容通过“信用盐城”网站可查实），免收履约保证金。</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6.3履约保证金的退还：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6.3.1方式：无息退还至投标人缴纳履约保证金的账户。如为保函，在到期时自行失效。</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6.3.2时间：验收合格且采购人收到发票后30日内。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6.3.3条件：按合同要求全部履约完成并经采购人验收合格，且采购人收到中标人出具的发票。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6.3.4不予退还情形：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8.1合同款项的支付方式及进度安排</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8.1.1 预付款支付时间：合同签订后</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日内，预付款支付比例：合同金额的</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val="en-US" w:eastAsia="zh-CN"/>
        </w:rPr>
        <w:t xml:space="preserve">8.1.2 乙方全部完成任务，通过甲方组织的专家评审和上级部门验收后，甲方支付至本合同价款总额的100%</w:t>
      </w:r>
      <w:r>
        <w:rPr>
          <w:rFonts w:hint="eastAsia" w:ascii="宋体" w:hAnsi="宋体" w:eastAsia="宋体" w:cs="宋体"/>
          <w:color w:val="auto"/>
          <w:sz w:val="24"/>
          <w:szCs w:val="24"/>
          <w:highlight w:val="none"/>
          <w:u w:val="single"/>
          <w:lang w:eastAsia="zh-CN"/>
        </w:rPr>
        <w:t xml:space="preserve">。</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8.1.3在签订合同时，乙方明确表示无需预付款或者主动要求降低预付款比例的，甲方可不适用上述关于预付款的规定。</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668"/>
        <w:ind w:left="0" w:firstLine="482"/>
        <w:jc w:val="left"/>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十、项目验收</w:t>
      </w:r>
      <w:r>
        <w:rPr>
          <w:rFonts w:hint="eastAsia" w:ascii="宋体" w:hAnsi="宋体" w:eastAsia="宋体" w:cs="宋体"/>
          <w:b/>
          <w:color w:val="auto"/>
          <w:sz w:val="24"/>
          <w:szCs w:val="24"/>
          <w:highlight w:val="none"/>
          <w:lang w:val="en-US" w:eastAsia="zh-CN"/>
        </w:rPr>
        <w:t xml:space="preserve">及标准</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10.1甲方依法组织履约验收工作。</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10.3对于实际使用人和甲方分离的项目，甲方邀请实际使用人参与验收。</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10.4如有必要，甲方邀请参加本项目的其他供应商或第三方专业机构及专家参与验收，相关意见将作为验收书的参考资料。</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35"/>
        <w:ind w:left="0" w:firstLine="480"/>
        <w:jc w:val="both"/>
        <w:keepLines w:val="0"/>
        <w:pageBreakBefore w:val="0"/>
        <w:spacing w:line="360" w:lineRule="auto"/>
        <w:widowControl w:val="off"/>
        <w:tabs>
          <w:tab w:val="left" w:pos="1194"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10.7</w:t>
      </w:r>
      <w:r>
        <w:rPr>
          <w:rFonts w:hint="eastAsia" w:ascii="宋体" w:hAnsi="宋体" w:eastAsia="宋体" w:cs="宋体"/>
          <w:color w:val="auto"/>
          <w:sz w:val="24"/>
          <w:szCs w:val="24"/>
          <w:highlight w:val="none"/>
          <w:lang w:val="zh-CN" w:eastAsia="zh-CN"/>
        </w:rPr>
        <w:t xml:space="preserve">根据《第三次全国土壤普查技术规程(修订版)》、《第三次全国土壤普查土壤类型名称校准技术规范(修订版)》、《第三次全国土壤普查工作底图制作与采样点布设技术规范(修订版)》、《第三次全国土壤普查外业调查与采</w:t>
      </w:r>
      <w:r>
        <w:rPr>
          <w:rFonts w:hint="eastAsia" w:ascii="宋体" w:hAnsi="宋体" w:eastAsia="宋体" w:cs="宋体"/>
          <w:color w:val="auto"/>
          <w:sz w:val="24"/>
          <w:szCs w:val="24"/>
          <w:highlight w:val="none"/>
          <w:lang w:val="zh-CN" w:eastAsia="zh-CN"/>
        </w:rPr>
        <w:t xml:space="preserve">样技术规范(修订版)》、《第三次全国土壤普查土壤生物调查技术规范(修订版)》、《第三次全国土壤普查土壤样品制备与检测技术规范(修订版)》、《第三次全国土壤普查全程质量控制技术规范(修订版)》、《第三次全国土壤普查数据库规范(修订版)》、《第三次全国土壤普查土壤类型图编制技术规范(修订版)》、《第三次全国土壤普查土壤属性图与专题图编制技术规范(修订版)》、《第三次全国土壤普查县级成果编制及验收导引》及国务院、江苏省、盐城市土壤普查实施方案、工作方案、质控方案和技术意见验收通过，但不包括资金管理和财务审计内容。</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11.1甲方无正当理由拒绝接受乙方提供服务的，甲方向乙方偿付拒绝接受服务合同价款总值5%的违约金。</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11.2甲方无故逾期验收和办理合同款项支付手续的,甲方应按逾期付款总额</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每天万分之四支付逾期付款违约金，但违约金总额不超过应付款金额的5%。</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的违约金，如造成甲方损失超过违约金的，超出部分由乙方继续承担赔偿责任。</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11.4乙方所提供服务的标准不符合合同规定及招标文件规定标准的，甲方有权拒绝接受服务，并可单方面解除合同。</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 期相同。</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十三、解决争议的方法</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13.1双方在签订、履行合同中所发生的一切争议，应通过友好协商解决。如协商不成，由甲方住所地人民法院管辖。</w:t>
      </w:r>
      <w:r/>
    </w:p>
    <w:p>
      <w:pPr>
        <w:pStyle w:val="668"/>
        <w:ind w:left="0" w:firstLine="482"/>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十四、合同生效及其它</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14.1合同经双方法定代表人或授权委托代表人签字并加盖单位公章后生效。</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14.2本合同未尽事宜，遵照《民法典》、《政府采购法》有关条文执行。</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14.3本合同正本一式两份，具有同等法律效力，甲方、乙方各执一份。</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668"/>
        <w:ind w:lef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年    月   日</w:t>
      </w:r>
      <w:bookmarkStart w:id="33" w:name="_Hlt16619350"/>
      <w:r/>
      <w:bookmarkStart w:id="34" w:name="_Hlt16619369"/>
      <w:r>
        <w:rPr>
          <w:rFonts w:hint="eastAsia" w:ascii="宋体" w:hAnsi="宋体" w:eastAsia="宋体" w:cs="宋体"/>
          <w:color w:val="auto"/>
          <w:sz w:val="24"/>
          <w:szCs w:val="24"/>
          <w:highlight w:val="none"/>
        </w:rPr>
        <w:br w:type="page" w:clear="all"/>
      </w:r>
      <w:r/>
    </w:p>
    <w:p>
      <w:pPr>
        <w:pStyle w:val="668"/>
        <w:jc w:val="center"/>
        <w:keepLines w:val="0"/>
        <w:keepNext w:val="0"/>
        <w:pageBreakBefore w:val="0"/>
        <w:spacing w:beforeAutospacing="0" w:afterAutospacing="0" w:line="360" w:lineRule="auto"/>
        <w:widowControl w:val="off"/>
        <w:rPr>
          <w:color w:val="auto"/>
          <w:highlight w:val="none"/>
        </w:rPr>
        <w:outlineLvl w:val="0"/>
      </w:pPr>
      <w:r/>
      <w:bookmarkStart w:id="35" w:name="_Toc11"/>
      <w:r>
        <w:rPr>
          <w:rFonts w:hint="eastAsia" w:ascii="黑体" w:hAnsi="宋体" w:eastAsia="黑体" w:cs="黑体"/>
          <w:color w:val="auto"/>
          <w:sz w:val="44"/>
          <w:szCs w:val="44"/>
          <w:highlight w:val="none"/>
        </w:rPr>
        <w:t xml:space="preserve">第四章 采购需求</w:t>
      </w:r>
      <w:bookmarkEnd w:id="33"/>
      <w:r/>
      <w:bookmarkEnd w:id="35"/>
      <w:r/>
      <w:r/>
    </w:p>
    <w:p>
      <w:pPr>
        <w:spacing w:line="0" w:lineRule="atLeast"/>
        <w:rPr>
          <w:rFonts w:hint="eastAsia" w:ascii="宋体" w:hAnsi="宋体"/>
          <w:color w:val="000000"/>
          <w:sz w:val="24"/>
          <w:szCs w:val="24"/>
        </w:rPr>
      </w:pPr>
      <w:r>
        <w:rPr>
          <w:rFonts w:hint="eastAsia" w:ascii="宋体" w:hAnsi="宋体"/>
          <w:color w:val="000000"/>
          <w:sz w:val="24"/>
          <w:szCs w:val="24"/>
        </w:rPr>
        <w:t xml:space="preserve">项目属性:服务类项目。</w:t>
      </w:r>
      <w:r/>
    </w:p>
    <w:p>
      <w:pPr>
        <w:ind w:firstLine="482"/>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一、采购项目信息 </w:t>
      </w:r>
      <w:r/>
    </w:p>
    <w:p>
      <w:pPr>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1.采购单位：</w:t>
      </w:r>
      <w:r>
        <w:rPr>
          <w:rFonts w:hint="eastAsia" w:ascii="宋体" w:hAnsi="宋体" w:eastAsia="宋体" w:cs="宋体"/>
          <w:bCs/>
          <w:sz w:val="24"/>
          <w:szCs w:val="24"/>
          <w:lang w:val="en-US" w:eastAsia="zh-CN"/>
        </w:rPr>
        <w:t xml:space="preserve">东台市</w:t>
      </w:r>
      <w:r>
        <w:rPr>
          <w:rFonts w:hint="eastAsia" w:ascii="宋体" w:hAnsi="宋体" w:eastAsia="宋体" w:cs="宋体"/>
          <w:bCs/>
          <w:sz w:val="24"/>
          <w:szCs w:val="24"/>
        </w:rPr>
        <w:t xml:space="preserve">农业农村局</w:t>
      </w:r>
      <w:r/>
    </w:p>
    <w:p>
      <w:pPr>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2.采购项目名称：</w:t>
      </w:r>
      <w:r>
        <w:rPr>
          <w:rFonts w:hint="eastAsia" w:ascii="宋体" w:hAnsi="宋体" w:eastAsia="宋体" w:cs="宋体"/>
          <w:bCs/>
          <w:sz w:val="24"/>
          <w:szCs w:val="24"/>
          <w:lang w:val="en-US" w:eastAsia="zh-CN"/>
        </w:rPr>
        <w:t xml:space="preserve">东台市</w:t>
      </w:r>
      <w:r>
        <w:rPr>
          <w:rFonts w:hint="eastAsia" w:ascii="宋体" w:hAnsi="宋体" w:eastAsia="宋体" w:cs="宋体"/>
          <w:bCs/>
          <w:sz w:val="24"/>
          <w:szCs w:val="24"/>
        </w:rPr>
        <w:t xml:space="preserve">农业农村局</w:t>
      </w:r>
      <w:r>
        <w:rPr>
          <w:rFonts w:hint="eastAsia" w:ascii="宋体" w:hAnsi="宋体" w:eastAsia="宋体" w:cs="宋体"/>
          <w:bCs/>
          <w:sz w:val="24"/>
          <w:szCs w:val="24"/>
          <w:lang w:val="en-US" w:eastAsia="zh-CN"/>
        </w:rPr>
        <w:t xml:space="preserve">东台市第三次全国土壤普查项目--采购数据汇总与制图、报告编制等普查成果汇交汇总服务</w:t>
      </w:r>
      <w:r>
        <w:rPr>
          <w:rFonts w:hint="eastAsia" w:ascii="宋体" w:hAnsi="宋体" w:eastAsia="宋体" w:cs="宋体"/>
          <w:bCs/>
          <w:sz w:val="24"/>
          <w:szCs w:val="24"/>
        </w:rPr>
        <w:t xml:space="preserve">项目</w:t>
      </w:r>
      <w:r/>
    </w:p>
    <w:p>
      <w:pPr>
        <w:ind w:firstLine="480"/>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3.预算金额：人民币贰佰万元整</w:t>
      </w:r>
      <w:r>
        <w:rPr>
          <w:rFonts w:hint="eastAsia" w:ascii="宋体" w:hAnsi="宋体" w:eastAsia="宋体" w:cs="宋体"/>
          <w:bCs/>
          <w:sz w:val="24"/>
          <w:szCs w:val="24"/>
        </w:rPr>
        <w:t xml:space="preserve">（¥20</w:t>
      </w:r>
      <w:r>
        <w:rPr>
          <w:rFonts w:hint="eastAsia" w:ascii="宋体" w:hAnsi="宋体" w:eastAsia="宋体" w:cs="宋体"/>
          <w:bCs/>
          <w:sz w:val="24"/>
          <w:szCs w:val="24"/>
          <w:lang w:val="en-US" w:eastAsia="zh-CN"/>
        </w:rPr>
        <w:t xml:space="preserve">0</w:t>
      </w:r>
      <w:r>
        <w:rPr>
          <w:rFonts w:hint="eastAsia" w:ascii="宋体" w:hAnsi="宋体" w:eastAsia="宋体" w:cs="宋体"/>
          <w:bCs/>
          <w:sz w:val="24"/>
          <w:szCs w:val="24"/>
        </w:rPr>
        <w:t xml:space="preserve">0000.00元）</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4.最高限价：人民币壹佰</w:t>
      </w:r>
      <w:r>
        <w:rPr>
          <w:rFonts w:hint="eastAsia" w:ascii="宋体" w:hAnsi="宋体" w:eastAsia="宋体" w:cs="宋体"/>
          <w:bCs/>
          <w:sz w:val="24"/>
          <w:szCs w:val="24"/>
          <w:lang w:val="en-US" w:eastAsia="zh-CN"/>
        </w:rPr>
        <w:t xml:space="preserve">捌</w:t>
      </w:r>
      <w:r>
        <w:rPr>
          <w:rFonts w:hint="eastAsia" w:ascii="宋体" w:hAnsi="宋体" w:eastAsia="宋体" w:cs="宋体"/>
          <w:bCs/>
          <w:sz w:val="24"/>
          <w:szCs w:val="24"/>
        </w:rPr>
        <w:t xml:space="preserve">拾万元整</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rPr>
        <w:t xml:space="preserve">0000.00元）</w:t>
      </w:r>
      <w:r/>
    </w:p>
    <w:p>
      <w:pPr>
        <w:ind w:firstLine="482"/>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二、采购内容</w:t>
      </w:r>
      <w:r/>
    </w:p>
    <w:p>
      <w:pPr>
        <w:ind w:firstLine="482"/>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（一）项目内容</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按照《第三次全国土壤普查技术规程（修订版）》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《第三次全国土壤普查土壤类型制图技术规范（修订版）》、《第三次全国土壤普查土壤属性与专题图制图规范（修订版）》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《国务院第三次全国土壤普查领导小组办公室关于印发&lt;第三次全国土壤普查试点县成果验收工作方案&gt;的通知》（〔2023〕9号）</w:t>
      </w:r>
      <w:r>
        <w:rPr>
          <w:rFonts w:hint="eastAsia" w:ascii="宋体" w:hAnsi="宋体" w:eastAsia="宋体" w:cs="宋体"/>
          <w:sz w:val="24"/>
          <w:szCs w:val="24"/>
          <w:lang w:eastAsia="zh-CN"/>
        </w:rPr>
        <w:t xml:space="preserve">、</w:t>
      </w:r>
      <w:r>
        <w:rPr>
          <w:rFonts w:hint="eastAsia" w:ascii="宋体" w:hAnsi="宋体" w:eastAsia="宋体" w:cs="宋体"/>
          <w:b w:val="0"/>
          <w:bCs w:val="0"/>
          <w:sz w:val="24"/>
          <w:szCs w:val="24"/>
        </w:rPr>
        <w:t xml:space="preserve">《第三次全国土壤普查试点县成果形成方法及验收标准（征求意见稿）》</w:t>
      </w:r>
      <w:r>
        <w:rPr>
          <w:rFonts w:hint="eastAsia" w:ascii="宋体" w:hAnsi="宋体" w:eastAsia="宋体" w:cs="宋体"/>
          <w:sz w:val="24"/>
          <w:szCs w:val="24"/>
          <w:lang w:val="en-US" w:eastAsia="zh-CN"/>
        </w:rPr>
        <w:t xml:space="preserve">及</w:t>
      </w:r>
      <w:r>
        <w:rPr>
          <w:rFonts w:hint="eastAsia" w:ascii="宋体" w:hAnsi="宋体" w:eastAsia="宋体" w:cs="宋体"/>
          <w:color w:val="000000"/>
          <w:sz w:val="24"/>
          <w:szCs w:val="24"/>
        </w:rPr>
        <w:t xml:space="preserve">国家、省、市有关要求</w:t>
      </w:r>
      <w:r>
        <w:rPr>
          <w:rFonts w:hint="eastAsia" w:ascii="宋体" w:hAnsi="宋体" w:eastAsia="宋体" w:cs="宋体"/>
          <w:sz w:val="24"/>
          <w:szCs w:val="24"/>
        </w:rPr>
        <w:t xml:space="preserve">进行</w:t>
      </w:r>
      <w:r>
        <w:rPr>
          <w:rFonts w:hint="eastAsia" w:ascii="宋体" w:hAnsi="宋体" w:eastAsia="宋体" w:cs="宋体"/>
          <w:sz w:val="24"/>
          <w:szCs w:val="24"/>
          <w:lang w:val="en-US" w:eastAsia="zh-CN"/>
        </w:rPr>
        <w:t xml:space="preserve">东台市农业农村局东台市第三次全国土壤普查项目--采购数据汇总与制图、报告编制等普查成果汇交汇总服务</w:t>
      </w:r>
      <w:r>
        <w:rPr>
          <w:rFonts w:hint="eastAsia" w:ascii="宋体" w:hAnsi="宋体" w:eastAsia="宋体" w:cs="宋体"/>
          <w:sz w:val="24"/>
          <w:szCs w:val="24"/>
        </w:rPr>
        <w:t xml:space="preserve">项目成果汇总与制图及报告编制; 编撰《</w:t>
      </w:r>
      <w:r>
        <w:rPr>
          <w:rFonts w:hint="eastAsia" w:ascii="宋体" w:hAnsi="宋体" w:eastAsia="宋体" w:cs="宋体"/>
          <w:sz w:val="24"/>
          <w:szCs w:val="24"/>
          <w:lang w:val="en-US" w:eastAsia="zh-CN"/>
        </w:rPr>
        <w:t xml:space="preserve">东台市</w:t>
      </w:r>
      <w:r>
        <w:rPr>
          <w:rFonts w:hint="eastAsia" w:ascii="宋体" w:hAnsi="宋体" w:eastAsia="宋体" w:cs="宋体"/>
          <w:sz w:val="24"/>
          <w:szCs w:val="24"/>
        </w:rPr>
        <w:t xml:space="preserve">土壤志》和《</w:t>
      </w:r>
      <w:r>
        <w:rPr>
          <w:rFonts w:hint="eastAsia" w:ascii="宋体" w:hAnsi="宋体" w:eastAsia="宋体" w:cs="宋体"/>
          <w:sz w:val="24"/>
          <w:szCs w:val="24"/>
          <w:lang w:val="en-US" w:eastAsia="zh-CN"/>
        </w:rPr>
        <w:t xml:space="preserve">东台市</w:t>
      </w:r>
      <w:r>
        <w:rPr>
          <w:rFonts w:hint="eastAsia" w:ascii="宋体" w:hAnsi="宋体" w:eastAsia="宋体" w:cs="宋体"/>
          <w:sz w:val="24"/>
          <w:szCs w:val="24"/>
        </w:rPr>
        <w:t xml:space="preserve">土种志》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出版《</w:t>
      </w:r>
      <w:r>
        <w:rPr>
          <w:rFonts w:hint="eastAsia" w:ascii="宋体" w:hAnsi="宋体" w:eastAsia="宋体" w:cs="宋体"/>
          <w:sz w:val="24"/>
          <w:szCs w:val="24"/>
          <w:lang w:val="en-US" w:eastAsia="zh-CN"/>
        </w:rPr>
        <w:t xml:space="preserve">东台市</w:t>
      </w:r>
      <w:r>
        <w:rPr>
          <w:rFonts w:hint="eastAsia" w:ascii="宋体" w:hAnsi="宋体" w:eastAsia="宋体" w:cs="宋体"/>
          <w:sz w:val="24"/>
          <w:szCs w:val="24"/>
        </w:rPr>
        <w:t xml:space="preserve">土壤志》。</w:t>
      </w:r>
      <w:r>
        <w:rPr>
          <w:rFonts w:hint="eastAsia" w:ascii="宋体" w:hAnsi="宋体" w:eastAsia="宋体" w:cs="宋体"/>
          <w:sz w:val="24"/>
          <w:szCs w:val="24"/>
          <w:lang w:val="en-US" w:eastAsia="zh-CN"/>
        </w:rPr>
        <w:t xml:space="preserve">形成东台市耕地土壤质量类别动态调整成果。</w:t>
      </w:r>
      <w:r/>
    </w:p>
    <w:p>
      <w:pPr>
        <w:ind w:firstLine="482"/>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（二）项目期限</w:t>
      </w:r>
      <w:r/>
    </w:p>
    <w:p>
      <w:pPr>
        <w:ind w:firstLine="42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自合同签订之日起至2024年12月底完成交付。具体时间安排根据</w:t>
      </w:r>
      <w:r>
        <w:rPr>
          <w:rFonts w:hint="eastAsia" w:ascii="宋体" w:hAnsi="宋体" w:eastAsia="宋体" w:cs="宋体"/>
          <w:color w:val="000000"/>
          <w:sz w:val="24"/>
          <w:szCs w:val="24"/>
          <w:lang w:val="en-US" w:eastAsia="zh-CN"/>
        </w:rPr>
        <w:t xml:space="preserve">内业测试进度，国家、</w:t>
      </w:r>
      <w:r>
        <w:rPr>
          <w:rFonts w:hint="eastAsia" w:ascii="宋体" w:hAnsi="宋体" w:eastAsia="宋体" w:cs="宋体"/>
          <w:color w:val="000000"/>
          <w:sz w:val="24"/>
          <w:szCs w:val="24"/>
        </w:rPr>
        <w:t xml:space="preserve">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市要求进行调整。</w:t>
      </w:r>
      <w:r/>
    </w:p>
    <w:p>
      <w:pPr>
        <w:ind w:firstLine="482"/>
        <w:keepLines w:val="0"/>
        <w:keepNext w:val="0"/>
        <w:pageBreakBefore w:val="0"/>
        <w:spacing w:line="40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（三）成果提交</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组织开展</w:t>
      </w:r>
      <w:r>
        <w:rPr>
          <w:rFonts w:hint="eastAsia" w:ascii="宋体" w:hAnsi="宋体" w:eastAsia="宋体" w:cs="宋体"/>
          <w:sz w:val="24"/>
          <w:szCs w:val="24"/>
          <w:lang w:val="en-US" w:eastAsia="zh-CN"/>
        </w:rPr>
        <w:t xml:space="preserve">东台市</w:t>
      </w:r>
      <w:r>
        <w:rPr>
          <w:rFonts w:hint="eastAsia" w:ascii="宋体" w:hAnsi="宋体" w:eastAsia="宋体" w:cs="宋体"/>
          <w:sz w:val="24"/>
          <w:szCs w:val="24"/>
        </w:rPr>
        <w:t xml:space="preserve">土壤普查成果汇总，包括图件成果、数据成果、文字成果。开展土壤质量状况、土壤改良与利用、农林牧业生产布局优化等数据成果汇总分析，利用普查取得的土壤理化和生物性状、剖面性状和利用情况等基础数据，分析土壤质量，评价土壤利用适宜性。开展 40 年</w:t>
      </w:r>
      <w:r>
        <w:rPr>
          <w:rFonts w:hint="eastAsia" w:ascii="宋体" w:hAnsi="宋体" w:eastAsia="宋体" w:cs="宋体"/>
          <w:sz w:val="24"/>
          <w:szCs w:val="24"/>
          <w:lang w:val="en-US" w:eastAsia="zh-CN"/>
        </w:rPr>
        <w:t xml:space="preserve">多</w:t>
      </w:r>
      <w:r>
        <w:rPr>
          <w:rFonts w:hint="eastAsia" w:ascii="宋体" w:hAnsi="宋体" w:eastAsia="宋体" w:cs="宋体"/>
          <w:sz w:val="24"/>
          <w:szCs w:val="24"/>
        </w:rPr>
        <w:t xml:space="preserve">来全</w:t>
      </w:r>
      <w:r>
        <w:rPr>
          <w:rFonts w:hint="eastAsia" w:ascii="宋体" w:hAnsi="宋体" w:eastAsia="宋体" w:cs="宋体"/>
          <w:sz w:val="24"/>
          <w:szCs w:val="24"/>
          <w:lang w:val="en-US" w:eastAsia="zh-CN"/>
        </w:rPr>
        <w:t xml:space="preserve">市区域</w:t>
      </w:r>
      <w:r>
        <w:rPr>
          <w:rFonts w:hint="eastAsia" w:ascii="宋体" w:hAnsi="宋体" w:eastAsia="宋体" w:cs="宋体"/>
          <w:sz w:val="24"/>
          <w:szCs w:val="24"/>
        </w:rPr>
        <w:t xml:space="preserve">范围土壤变化趋势及原因分析，提出防止土壤退化的措施建议。开展耕地土壤盐碱障碍等专题评价，提出治理修复对策。 </w:t>
      </w:r>
      <w:r/>
    </w:p>
    <w:p>
      <w:pPr>
        <w:ind w:firstLine="480"/>
        <w:keepLines w:val="0"/>
        <w:keepNext w:val="0"/>
        <w:pageBreakBefore w:val="0"/>
        <w:spacing w:line="400" w:lineRule="exact"/>
        <w:widowControl w:val="off"/>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1、</w:t>
      </w:r>
      <w:r>
        <w:rPr>
          <w:rFonts w:hint="eastAsia" w:ascii="宋体" w:hAnsi="宋体" w:eastAsia="宋体" w:cs="宋体"/>
          <w:sz w:val="24"/>
          <w:szCs w:val="24"/>
          <w:lang w:eastAsia="zh-CN" w:bidi="ar"/>
        </w:rPr>
        <w:t xml:space="preserve">土壤属性图及报告编制。根据土壤普查数据，选择东台市重要的土壤属性编制图件成果，包括有机质、酸碱度、质地、全氮、全磷、全钾、有效磷、速效钾、CEC等 22个表层属性与土体属性指标。22个指标均需制作图件，形成22幅图件成果，并撰写1份土壤属性专题报告，包含资料搜集、数据分析、建模制图、报告撰写、咨询评价</w:t>
      </w:r>
      <w:r>
        <w:rPr>
          <w:rFonts w:hint="eastAsia" w:ascii="宋体" w:hAnsi="宋体" w:eastAsia="宋体" w:cs="宋体"/>
          <w:sz w:val="24"/>
          <w:szCs w:val="24"/>
          <w:lang w:val="en-US" w:eastAsia="zh-CN" w:bidi="ar"/>
        </w:rPr>
        <w:t xml:space="preserve">及本地专家实地验证等内容。</w:t>
      </w:r>
      <w:r/>
    </w:p>
    <w:p>
      <w:pPr>
        <w:pStyle w:val="652"/>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
        </w:rPr>
        <w:t xml:space="preserve">    2、土壤适宜性评价图及报告编制。</w:t>
      </w:r>
      <w:r>
        <w:rPr>
          <w:rFonts w:hint="eastAsia" w:ascii="宋体" w:hAnsi="宋体" w:eastAsia="宋体" w:cs="宋体"/>
          <w:sz w:val="24"/>
          <w:szCs w:val="24"/>
          <w:lang w:eastAsia="zh-CN" w:bidi="ar"/>
        </w:rPr>
        <w:t xml:space="preserve">根据土壤普查数据，</w:t>
      </w:r>
      <w:r>
        <w:rPr>
          <w:rFonts w:hint="eastAsia" w:ascii="宋体" w:hAnsi="宋体" w:eastAsia="宋体" w:cs="宋体"/>
          <w:sz w:val="24"/>
          <w:szCs w:val="24"/>
          <w:lang w:val="en-US" w:eastAsia="zh-CN" w:bidi="ar"/>
        </w:rPr>
        <w:t xml:space="preserve">编制土壤农业利用适宜性评价的数字化图件包括限制因素等级分布图和土壤农业利用适宜性评价图，计2幅图，并撰写1份专题报告，</w:t>
      </w:r>
      <w:r>
        <w:rPr>
          <w:rFonts w:hint="eastAsia" w:ascii="宋体" w:hAnsi="宋体" w:eastAsia="宋体" w:cs="宋体"/>
          <w:sz w:val="24"/>
          <w:szCs w:val="24"/>
          <w:lang w:eastAsia="zh-CN" w:bidi="ar"/>
        </w:rPr>
        <w:t xml:space="preserve">包含</w:t>
      </w:r>
      <w:r>
        <w:rPr>
          <w:rFonts w:hint="eastAsia" w:ascii="宋体" w:hAnsi="宋体" w:eastAsia="宋体" w:cs="宋体"/>
          <w:sz w:val="24"/>
          <w:szCs w:val="24"/>
          <w:lang w:val="en-US" w:eastAsia="zh-CN" w:bidi="ar"/>
        </w:rPr>
        <w:t xml:space="preserve">资料搜集、数据分析、评价制图、报告撰写、咨询评价及本地专家实地验证等内容。</w:t>
      </w:r>
      <w:r/>
    </w:p>
    <w:p>
      <w:pPr>
        <w:pStyle w:val="652"/>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
        </w:rPr>
        <w:t xml:space="preserve">3、耕地质量等级评价图及报告编制。</w:t>
      </w:r>
      <w:r>
        <w:rPr>
          <w:rFonts w:hint="eastAsia" w:ascii="宋体" w:hAnsi="宋体" w:eastAsia="宋体" w:cs="宋体"/>
          <w:sz w:val="24"/>
          <w:szCs w:val="24"/>
          <w:lang w:eastAsia="zh-CN" w:bidi="ar"/>
        </w:rPr>
        <w:t xml:space="preserve">根据土壤普查数据，编制现状耕地质量等级评价图1幅，适宜性评价得出的宜耕地耕地质量等级图1幅，高标准农田耕地质量等级评价图1幅，并撰写1份专题报告，</w:t>
      </w:r>
      <w:r>
        <w:rPr>
          <w:rFonts w:hint="eastAsia" w:ascii="宋体" w:hAnsi="宋体" w:eastAsia="宋体" w:cs="宋体"/>
          <w:sz w:val="24"/>
          <w:szCs w:val="24"/>
          <w:lang w:val="en-US" w:eastAsia="zh-CN" w:bidi="ar"/>
        </w:rPr>
        <w:t xml:space="preserve">包</w:t>
      </w:r>
      <w:r>
        <w:rPr>
          <w:rFonts w:hint="eastAsia" w:ascii="宋体" w:hAnsi="宋体" w:eastAsia="宋体" w:cs="宋体"/>
          <w:sz w:val="24"/>
          <w:szCs w:val="24"/>
          <w:lang w:eastAsia="zh-CN" w:bidi="ar"/>
        </w:rPr>
        <w:t xml:space="preserve">含</w:t>
      </w:r>
      <w:r>
        <w:rPr>
          <w:rFonts w:hint="eastAsia" w:ascii="宋体" w:hAnsi="宋体" w:eastAsia="宋体" w:cs="宋体"/>
          <w:sz w:val="24"/>
          <w:szCs w:val="24"/>
          <w:lang w:val="en-US" w:eastAsia="zh-CN" w:bidi="ar"/>
        </w:rPr>
        <w:t xml:space="preserve">资料搜集、数据分析、评价制图、报告撰写、咨询评价及本地专家实地验证等内容。</w:t>
      </w:r>
      <w:r/>
    </w:p>
    <w:p>
      <w:pPr>
        <w:pStyle w:val="652"/>
        <w:ind w:firstLine="480"/>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4、土特产品优化布局评价图及报告编制。以东台西瓜、东台大米、沈灶青椒、许河冬瓜、弶港甜叶菊等土特农产品为主，分别编制优化布局评价图1幅，并撰写1份专题报告，包含资料搜集、数据分析、评价制图、报告撰写、咨询评价及本地专家实地验证等内容。</w:t>
      </w:r>
      <w:r/>
    </w:p>
    <w:p>
      <w:pPr>
        <w:pStyle w:val="652"/>
        <w:ind w:firstLine="480"/>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5、土壤退化与障碍评价图及报告编制。编制土壤退化与障碍评价图1幅，并撰写1份专题报告，根据调查结果，如有退化与障碍，还应做单项评价图，其中：土壤盐碱化专题必做，并编制盐碱地治理方案。</w:t>
      </w:r>
      <w:r>
        <w:rPr>
          <w:rFonts w:hint="eastAsia" w:ascii="宋体" w:hAnsi="宋体" w:eastAsia="宋体" w:cs="宋体"/>
          <w:sz w:val="24"/>
          <w:szCs w:val="24"/>
          <w:lang w:val="en-US" w:eastAsia="zh-CN" w:bidi="ar"/>
        </w:rPr>
        <w:t xml:space="preserve">包含资料搜集、数据分析、评价制图、报告撰写、咨询评价及本地专家实地验证等内容。</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6、土壤普查工作报告与技术报告编制。根据本次普查成果，编制土壤普查工作报告1份，技术报告1份，包含资料搜集、报告撰写、咨询评价等内容。</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7、土壤志编制。编制土壤志并彩色印刷出版（数量500本），包括县级区域概况、土壤分类与分布、土壤类型特征、土壤基本性质、土壤资源评价及改良利用等。土壤志编撰期间需组织2次研讨会。包含数据资料搜集、土壤志编制及相关咨询研讨。</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rPr>
        <w:t xml:space="preserve">8、土种志编制。编制土种志（打印胶装500本，具体根据采购人要求），内容包括县级土种研究历史、土种划分的原则和依据、土种的归属与分布、主要性状、典型剖面、利用性能综述等。</w:t>
      </w:r>
      <w:r>
        <w:rPr>
          <w:rFonts w:hint="eastAsia" w:ascii="宋体" w:hAnsi="宋体" w:eastAsia="宋体" w:cs="宋体"/>
          <w:sz w:val="24"/>
          <w:szCs w:val="24"/>
          <w:lang w:val="en-US" w:eastAsia="zh-CN" w:bidi="ar"/>
        </w:rPr>
        <w:t xml:space="preserve">包含数据资料搜集、土种志编制及相关咨询研讨。</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9、土壤普查数据与数据库建设。根据土壤三普相关规程规范要求，</w:t>
      </w:r>
      <w:r>
        <w:rPr>
          <w:rFonts w:hint="eastAsia" w:ascii="宋体" w:hAnsi="宋体" w:eastAsia="宋体" w:cs="宋体"/>
          <w:color w:val="000000"/>
          <w:sz w:val="24"/>
          <w:szCs w:val="24"/>
        </w:rPr>
        <w:t xml:space="preserve">建立集土壤普查数据、图件和文字等内容为一体的</w:t>
      </w:r>
      <w:r>
        <w:rPr>
          <w:rFonts w:hint="eastAsia" w:ascii="宋体" w:hAnsi="宋体" w:eastAsia="宋体" w:cs="宋体"/>
          <w:color w:val="000000"/>
          <w:sz w:val="24"/>
          <w:szCs w:val="24"/>
          <w:lang w:val="en-US" w:eastAsia="zh-CN"/>
        </w:rPr>
        <w:t xml:space="preserve">东台</w:t>
      </w:r>
      <w:r>
        <w:rPr>
          <w:rFonts w:hint="eastAsia" w:ascii="宋体" w:hAnsi="宋体" w:eastAsia="宋体" w:cs="宋体"/>
          <w:color w:val="000000"/>
          <w:sz w:val="24"/>
          <w:szCs w:val="24"/>
        </w:rPr>
        <w:t xml:space="preserve">市土壤三普数据库，利用国家、省级三普信息化平台，完成土壤类型数据、土壤性状数据、土壤调查数据、土壤利用数据等所有电子成果数据、图件的汇总、上报</w:t>
      </w:r>
      <w:r>
        <w:rPr>
          <w:rFonts w:hint="eastAsia" w:ascii="宋体" w:hAnsi="宋体" w:eastAsia="宋体" w:cs="宋体"/>
          <w:color w:val="000000"/>
          <w:sz w:val="24"/>
          <w:szCs w:val="24"/>
          <w:lang w:eastAsia="zh-CN"/>
        </w:rPr>
        <w:t xml:space="preserve">。</w:t>
      </w:r>
      <w:r/>
    </w:p>
    <w:p>
      <w:pPr>
        <w:pStyle w:val="652"/>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技术培训与宣传引导。为促进成果落地应用，组织包括技术专家、质控人员、制图人员、报告编制人员和管理工作人员参加相应培训，确保成果汇总质量；成果汇总后，做好成果发布，并加强宣传，促进成果运用。具体根据国家、省、市要求。</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开展东台市耕地土壤环境质量类别动态调整。根据江苏省农业农村厅、江苏省生态环境厅、江苏省自然资源厅《关于开展全省耕地土壤环境质量类别动态调整工作的通知》（苏农建〔2023〕24号）和盐城市农业农村局《关于切实做好全市耕地土壤环境质量类别动态调整工作的通知》等文件精神，严格按序时进度规范开展全市耕地土壤环境质量类别动态调整工作，根据动态调整结果形成工作报告，建立耕地调整分类清单和图册，形成耕地土壤环境质量类别动态调整的优先保护、安全利用和严格管控三个耕地类别。确保形成的成果符合文件要求，通过上级认可。</w:t>
      </w:r>
      <w:r/>
    </w:p>
    <w:p>
      <w:pPr>
        <w:ind w:firstLine="482"/>
        <w:keepLines w:val="0"/>
        <w:keepNext w:val="0"/>
        <w:pageBreakBefore w:val="0"/>
        <w:spacing w:line="40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服务要求</w:t>
      </w:r>
      <w:r/>
    </w:p>
    <w:p>
      <w:pPr>
        <w:pStyle w:val="652"/>
        <w:ind w:firstLine="42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1、人员要求：成交供应商应组建专门的服务团队，负责各类具体工作。</w:t>
      </w:r>
      <w:r/>
    </w:p>
    <w:p>
      <w:pPr>
        <w:pStyle w:val="652"/>
        <w:ind w:firstLine="42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2、工作要求：成交供应商应制定详细合理的工作方案，针对不同工作内容需进一步明确分项工作内容、组织实施计划、质量和进度保障措施等。</w:t>
      </w:r>
      <w:r/>
    </w:p>
    <w:p>
      <w:pPr>
        <w:pStyle w:val="652"/>
        <w:ind w:firstLine="42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3、质量要求：完成的所有成果</w:t>
      </w:r>
      <w:r>
        <w:rPr>
          <w:rFonts w:hint="eastAsia" w:ascii="宋体" w:hAnsi="宋体" w:eastAsia="宋体" w:cs="宋体"/>
          <w:color w:val="000000"/>
          <w:sz w:val="24"/>
          <w:szCs w:val="24"/>
          <w:lang w:val="en-US" w:eastAsia="zh-CN"/>
        </w:rPr>
        <w:t xml:space="preserve">要求数量齐全、质量有保证，须通过国家、省、市</w:t>
      </w:r>
      <w:r>
        <w:rPr>
          <w:rFonts w:hint="eastAsia" w:ascii="宋体" w:hAnsi="宋体" w:eastAsia="宋体" w:cs="宋体"/>
          <w:color w:val="000000"/>
          <w:sz w:val="24"/>
          <w:szCs w:val="24"/>
        </w:rPr>
        <w:t xml:space="preserve">上级部门验收。</w:t>
      </w:r>
      <w:r/>
    </w:p>
    <w:p>
      <w:pPr>
        <w:pStyle w:val="652"/>
        <w:ind w:firstLine="420"/>
        <w:keepLines w:val="0"/>
        <w:keepNext w:val="0"/>
        <w:pageBreakBefore w:val="0"/>
        <w:spacing w:line="400" w:lineRule="exact"/>
        <w:widowControl w:val="off"/>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、项目验收</w:t>
      </w:r>
      <w:r>
        <w:rPr>
          <w:rFonts w:hint="eastAsia" w:ascii="宋体" w:hAnsi="宋体" w:eastAsia="宋体" w:cs="宋体"/>
          <w:b/>
          <w:bCs/>
          <w:color w:val="000000"/>
          <w:sz w:val="24"/>
          <w:szCs w:val="24"/>
          <w:lang w:val="en-US" w:eastAsia="zh-CN"/>
        </w:rPr>
        <w:t xml:space="preserve">及标准</w:t>
      </w:r>
      <w:r/>
    </w:p>
    <w:p>
      <w:pPr>
        <w:pStyle w:val="652"/>
        <w:ind w:firstLine="42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乙方按要求提交服务成果后，甲方根据省市统一安排组织项目验收。</w:t>
      </w:r>
      <w:r/>
    </w:p>
    <w:p>
      <w:pPr>
        <w:pStyle w:val="652"/>
        <w:ind w:firstLine="420"/>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lang w:eastAsia="zh-CN"/>
        </w:rPr>
        <w:t xml:space="preserve">验收标准：</w:t>
      </w:r>
      <w:bookmarkStart w:id="36" w:name="_Hlk142230379"/>
      <w:r>
        <w:rPr>
          <w:rFonts w:hint="eastAsia" w:ascii="宋体" w:hAnsi="宋体" w:eastAsia="宋体" w:cs="宋体"/>
          <w:color w:val="000000"/>
          <w:sz w:val="24"/>
          <w:szCs w:val="24"/>
          <w:lang w:eastAsia="zh-CN"/>
        </w:rPr>
        <w:t xml:space="preserve">根据《第三次全国土壤普查技术规程(修订版)》、</w:t>
      </w:r>
      <w:r>
        <w:rPr>
          <w:rFonts w:hint="eastAsia" w:ascii="宋体" w:hAnsi="宋体" w:eastAsia="宋体" w:cs="宋体"/>
          <w:color w:val="000000"/>
          <w:sz w:val="24"/>
          <w:szCs w:val="24"/>
          <w:lang w:eastAsia="zh-CN"/>
        </w:rPr>
        <w:t xml:space="preserve">《第三次全国土壤普查土壤类型名称校准技术规范(修订版)》、《第三次全国土壤普查工作底图制作与采样点布设技术规范(修订版)》、《第三次全国土壤普查外业调查与采样技术规范(修订版)》、《第三次全国土壤普查土壤生物调查技术规范(修订版)》、《第三次全国土壤普查土壤样品制备与检测技术规范(修订版)》、《第三次全国土壤普查全程质量控制技术规范(修订版)》、《第三次全国土壤普查数据库规范(修订版)》、《第三次全国土壤普查土壤类型图编制技术规范(修订版)》、《第三次全国土壤普查土壤属性图与专题图编制技术规范(修订版)》、</w:t>
      </w:r>
      <w:r>
        <w:rPr>
          <w:rFonts w:hint="eastAsia" w:ascii="宋体" w:hAnsi="宋体" w:eastAsia="宋体" w:cs="宋体"/>
          <w:b/>
          <w:bCs/>
          <w:color w:val="000000"/>
          <w:sz w:val="24"/>
          <w:szCs w:val="24"/>
          <w:lang w:eastAsia="zh-CN"/>
        </w:rPr>
        <w:t xml:space="preserve">《第三次全国土壤普查县级成果编制及验收导引》</w:t>
      </w:r>
      <w:r>
        <w:rPr>
          <w:rFonts w:hint="eastAsia" w:ascii="宋体" w:hAnsi="宋体" w:eastAsia="宋体" w:cs="宋体"/>
          <w:color w:val="000000"/>
          <w:sz w:val="24"/>
          <w:szCs w:val="24"/>
          <w:lang w:eastAsia="zh-CN"/>
        </w:rPr>
        <w:t xml:space="preserve">等及国务院、江苏省、盐城市土壤普查实施方案、工作方案、质控方案和技术意见验收通过。</w:t>
      </w:r>
      <w:bookmarkEnd w:id="36"/>
      <w:r/>
      <w:r/>
    </w:p>
    <w:p>
      <w:pPr>
        <w:pStyle w:val="652"/>
        <w:ind w:firstLine="420"/>
        <w:keepLines w:val="0"/>
        <w:keepNext w:val="0"/>
        <w:pageBreakBefore w:val="0"/>
        <w:spacing w:line="40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五、采购标的对应的中小企业划分标准所属行业一览表</w:t>
      </w:r>
      <w:r/>
    </w:p>
    <w:tbl>
      <w:tblPr>
        <w:tblStyle w:val="6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4379"/>
        <w:gridCol w:w="3795"/>
      </w:tblGrid>
      <w:tr>
        <w:trPr>
          <w:cantSplit/>
          <w:jc w:val="center"/>
          <w:trHeight w:val="337"/>
        </w:trPr>
        <w:tc>
          <w:tcPr>
            <w:tcW w:w="72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序号</w:t>
            </w:r>
            <w:r/>
          </w:p>
        </w:tc>
        <w:tc>
          <w:tcPr>
            <w:tcW w:w="4379"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采购</w:t>
            </w:r>
            <w:r>
              <w:rPr>
                <w:rFonts w:ascii="宋体" w:hAnsi="宋体"/>
                <w:color w:val="auto"/>
                <w:sz w:val="24"/>
                <w:szCs w:val="24"/>
              </w:rPr>
              <w:t xml:space="preserve">标的</w:t>
            </w:r>
            <w:r/>
          </w:p>
        </w:tc>
        <w:tc>
          <w:tcPr>
            <w:tcW w:w="379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对应中</w:t>
            </w:r>
            <w:r>
              <w:rPr>
                <w:rFonts w:ascii="宋体" w:hAnsi="宋体"/>
                <w:color w:val="auto"/>
                <w:sz w:val="24"/>
                <w:szCs w:val="24"/>
              </w:rPr>
              <w:t xml:space="preserve">小企业划分标准所属行业</w:t>
            </w:r>
            <w:r/>
          </w:p>
        </w:tc>
      </w:tr>
      <w:tr>
        <w:trPr>
          <w:cantSplit/>
          <w:jc w:val="center"/>
          <w:trHeight w:val="838"/>
        </w:trPr>
        <w:tc>
          <w:tcPr>
            <w:tcW w:w="725"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1</w:t>
            </w:r>
            <w:r/>
          </w:p>
        </w:tc>
        <w:tc>
          <w:tcPr>
            <w:tcW w:w="4379"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东台市农业农村局东台市第三次全国土壤普查项目--采购数据汇总与制图、报告编制等普查成果汇交汇总服务项目</w:t>
            </w:r>
            <w:r/>
          </w:p>
        </w:tc>
        <w:tc>
          <w:tcPr>
            <w:tcW w:w="3795" w:type="dxa"/>
            <w:vAlign w:val="center"/>
            <w:textDirection w:val="lrTb"/>
            <w:noWrap w:val="false"/>
          </w:tcPr>
          <w:p>
            <w:pPr>
              <w:jc w:val="center"/>
              <w:spacing w:line="0" w:lineRule="atLeas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其他未列明行业</w:t>
            </w:r>
            <w:r/>
          </w:p>
        </w:tc>
      </w:tr>
    </w:tbl>
    <w:p>
      <w:pPr>
        <w:pStyle w:val="66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8"/>
        <w:jc w:val="center"/>
        <w:keepNext/>
        <w:spacing w:beforeAutospacing="0" w:afterAutospacing="0"/>
        <w:rPr>
          <w:color w:val="auto"/>
          <w:highlight w:val="none"/>
        </w:rPr>
        <w:outlineLvl w:val="0"/>
      </w:pPr>
      <w:r/>
      <w:bookmarkStart w:id="37" w:name="_Toc12"/>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bookmarkEnd w:id="37"/>
      <w:r/>
      <w:r/>
    </w:p>
    <w:p>
      <w:pPr>
        <w:pStyle w:val="668"/>
        <w:jc w:val="both"/>
        <w:spacing w:beforeAutospacing="0" w:afterAutospacing="0"/>
        <w:rPr>
          <w:color w:val="auto"/>
          <w:highlight w:val="none"/>
        </w:rPr>
      </w:pPr>
      <w:r>
        <w:rPr>
          <w:color w:val="auto"/>
          <w:highlight w:val="none"/>
        </w:rPr>
        <w:t xml:space="preserve"> </w:t>
      </w:r>
      <w:r>
        <w:rPr>
          <w:rFonts w:hint="eastAsia" w:eastAsia="宋体"/>
          <w:color w:val="auto"/>
          <w:highlight w:val="none"/>
          <w:lang w:val="en-US" w:eastAsia="zh-CN"/>
        </w:rPr>
        <w:t xml:space="preserve">    </w:t>
      </w:r>
      <w:r>
        <w:rPr>
          <w:rFonts w:ascii="Arial" w:hAnsi="Arial" w:cs="Arial"/>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Arial" w:hAnsi="Arial" w:cs="Arial"/>
          <w:color w:val="auto"/>
          <w:highlight w:val="none"/>
          <w:lang w:val="en-US" w:eastAsia="zh-CN"/>
        </w:rPr>
        <w:t xml:space="preserve">1</w:t>
      </w:r>
      <w:r>
        <w:rPr>
          <w:rFonts w:ascii="Arial" w:hAnsi="Arial" w:cs="Arial"/>
          <w:color w:val="auto"/>
          <w:highlight w:val="none"/>
        </w:rPr>
        <w:t xml:space="preserve">选取1名中标候选人。</w:t>
      </w:r>
      <w:r/>
    </w:p>
    <w:p>
      <w:pPr>
        <w:pStyle w:val="668"/>
        <w:ind w:firstLine="441"/>
        <w:spacing w:before="120" w:beforeAutospacing="0" w:after="120" w:afterAutospacing="0" w:line="360" w:lineRule="auto"/>
        <w:rPr>
          <w:color w:val="auto"/>
          <w:highlight w:val="none"/>
        </w:rPr>
      </w:pPr>
      <w:r>
        <w:rPr>
          <w:rFonts w:hint="eastAsia" w:ascii="宋体" w:hAnsi="宋体" w:eastAsia="宋体" w:cs="宋体"/>
          <w:b/>
          <w:color w:val="auto"/>
          <w:highlight w:val="none"/>
        </w:rPr>
        <w:t xml:space="preserve">政府采购政策功能落实</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1、小微型企业价格扣除</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（1）本项目对小型和微型企业提供的服务给予20%的扣除价格，用扣除后的价格参与评审。</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（2）供应商需按照采购文件的要求提供相应的《小微企业声明函》。</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（3）企业标准请参照《关于印发中小企业划型标准规定的通知》（工信部联企业[2011]300号）文件规定自行填写。</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2、残疾人福利单位价格扣除</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（1）本项目对残疾人福利性单位视同小型、微型企业，给予20%</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（2）残疾人福利单位需按照采购文件的要求提供《残疾人福利性单位声明函》。</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（3）残疾人福利单位标准请参照《关于促进残疾人就业政府采购政策的通知》（财库〔2017〕141号）。</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3、监狱和戒毒企业价格扣除</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（1）本项目对监狱和戒毒企业（简称监狱企业）视同小型、微型企业，给予20%</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（3）监狱企业标准请参照《关于政府采购支持监狱企业发展有关问题的通知》（财库[2014]68号）。</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6、联合体各方均为小型、微型企业（残疾人福利单位、监狱企业）的，联合体享受20%。</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7、严格执行政府采购关于支持</w:t>
      </w:r>
      <w:r>
        <w:rPr>
          <w:rFonts w:hint="eastAsia" w:ascii="宋体" w:hAnsi="宋体" w:eastAsia="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9、本文件中若涉及到数据中心采购，应按照《&lt;绿色数据中心政府采购需求标准（试行）&gt;的通知》（财库〔2023〕7号）执行。</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10、根据《江苏省政府采购信用管理暂行办法》的规定，供应商信用评价结果为三星的扣2分，评价结果为二星的扣3分，评价结果为一星的扣4分。</w:t>
      </w:r>
      <w:r/>
    </w:p>
    <w:p>
      <w:pPr>
        <w:pStyle w:val="668"/>
        <w:ind w:firstLine="482"/>
        <w:spacing w:before="120" w:beforeAutospacing="0" w:after="120" w:afterAutospacing="0" w:line="0" w:lineRule="atLeast"/>
        <w:rPr>
          <w:color w:val="auto"/>
          <w:highlight w:val="none"/>
        </w:rPr>
      </w:pPr>
      <w:r>
        <w:rPr>
          <w:rFonts w:hint="eastAsia" w:ascii="宋体" w:hAnsi="宋体" w:eastAsia="宋体" w:cs="宋体"/>
          <w:b/>
          <w:color w:val="auto"/>
          <w:highlight w:val="none"/>
        </w:rPr>
        <w:t xml:space="preserve">评标方法与评标标准</w:t>
      </w:r>
      <w:r/>
    </w:p>
    <w:tbl>
      <w:tblPr>
        <w:tblStyle w:val="645"/>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186"/>
        <w:gridCol w:w="984"/>
        <w:gridCol w:w="5572"/>
      </w:tblGrid>
      <w:tr>
        <w:trPr>
          <w:jc w:val="center"/>
          <w:trHeight w:val="543"/>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分部内容</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2"/>
              <w:jc w:val="center"/>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打分要求</w:t>
            </w:r>
            <w:r/>
          </w:p>
        </w:tc>
      </w:tr>
      <w:tr>
        <w:trPr>
          <w:jc w:val="center"/>
          <w:trHeight w:val="854"/>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440" w:lineRule="exact"/>
              <w:widowControl w:val="off"/>
              <w:rPr>
                <w:rFonts w:hint="default" w:ascii="宋体" w:hAnsi="宋体" w:eastAsia="宋体" w:cs="宋体"/>
                <w:b w:val="0"/>
                <w:bCs w:val="0"/>
                <w:color w:val="000000"/>
                <w:sz w:val="21"/>
                <w:szCs w:val="21"/>
                <w:highlight w:val="none"/>
                <w:lang w:val="en-US"/>
              </w:rPr>
            </w:pPr>
            <w:r>
              <w:rPr>
                <w:rFonts w:hint="eastAsia" w:ascii="宋体" w:hAnsi="宋体" w:eastAsia="宋体" w:cs="宋体"/>
                <w:b w:val="0"/>
                <w:bCs w:val="0"/>
                <w:color w:val="000000"/>
                <w:sz w:val="21"/>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满足招标文件要求且投标价格最低的投标报价为基准价，其价格分为满分。报价得分=(评标基准价/投标报价)×20。</w:t>
            </w:r>
            <w:r/>
          </w:p>
        </w:tc>
      </w:tr>
      <w:tr>
        <w:trPr>
          <w:jc w:val="center"/>
          <w:trHeight w:val="613"/>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二</w:t>
            </w: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eastAsia="zh-CN"/>
              </w:rPr>
              <w:t xml:space="preserve">技术</w:t>
            </w:r>
            <w:r>
              <w:rPr>
                <w:rFonts w:hint="eastAsia" w:ascii="宋体" w:hAnsi="宋体" w:eastAsia="宋体" w:cs="宋体"/>
                <w:b w:val="0"/>
                <w:bCs w:val="0"/>
                <w:color w:val="000000"/>
                <w:sz w:val="21"/>
                <w:szCs w:val="21"/>
                <w:highlight w:val="none"/>
              </w:rPr>
              <w:t xml:space="preserve">部分</w:t>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auto"/>
                <w:sz w:val="21"/>
                <w:szCs w:val="21"/>
                <w:highlight w:val="none"/>
              </w:rPr>
              <w:t xml:space="preserve">需求</w:t>
            </w:r>
            <w:r>
              <w:rPr>
                <w:rFonts w:hint="eastAsia" w:ascii="宋体" w:hAnsi="宋体" w:eastAsia="宋体" w:cs="宋体"/>
                <w:color w:val="auto"/>
                <w:sz w:val="21"/>
                <w:szCs w:val="21"/>
                <w:highlight w:val="none"/>
                <w:lang w:val="en-US" w:eastAsia="zh-CN"/>
              </w:rPr>
              <w:t xml:space="preserve">理解分析</w:t>
            </w:r>
            <w:r/>
          </w:p>
        </w:tc>
        <w:tc>
          <w:tcPr>
            <w:tcBorders>
              <w:top w:val="single" w:color="auto" w:sz="4" w:space="0"/>
              <w:left w:val="single" w:color="auto" w:sz="4" w:space="0"/>
              <w:right w:val="single" w:color="auto" w:sz="4" w:space="0"/>
            </w:tcBorders>
            <w:tcW w:w="9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根据投标人</w:t>
            </w:r>
            <w:r>
              <w:rPr>
                <w:rFonts w:hint="eastAsia" w:ascii="宋体" w:hAnsi="宋体" w:eastAsia="宋体" w:cs="宋体"/>
                <w:b w:val="0"/>
                <w:bCs w:val="0"/>
                <w:color w:val="000000"/>
                <w:sz w:val="21"/>
                <w:szCs w:val="21"/>
                <w:highlight w:val="none"/>
                <w:lang w:val="en-US" w:eastAsia="zh-CN"/>
              </w:rPr>
              <w:t xml:space="preserve">对</w:t>
            </w:r>
            <w:r>
              <w:rPr>
                <w:rFonts w:hint="eastAsia" w:ascii="宋体" w:hAnsi="宋体" w:eastAsia="宋体" w:cs="宋体"/>
                <w:b w:val="0"/>
                <w:bCs w:val="0"/>
                <w:color w:val="000000"/>
                <w:sz w:val="21"/>
                <w:szCs w:val="21"/>
                <w:highlight w:val="none"/>
              </w:rPr>
              <w:t xml:space="preserve">招标需求</w:t>
            </w:r>
            <w:r>
              <w:rPr>
                <w:rFonts w:hint="eastAsia" w:ascii="宋体" w:hAnsi="宋体" w:eastAsia="宋体" w:cs="宋体"/>
                <w:b w:val="0"/>
                <w:bCs w:val="0"/>
                <w:color w:val="000000"/>
                <w:sz w:val="21"/>
                <w:szCs w:val="21"/>
                <w:highlight w:val="none"/>
                <w:lang w:val="en-US" w:eastAsia="zh-CN"/>
              </w:rPr>
              <w:t xml:space="preserve">的理解程度而</w:t>
            </w:r>
            <w:r>
              <w:rPr>
                <w:rFonts w:hint="eastAsia" w:ascii="宋体" w:hAnsi="宋体" w:eastAsia="宋体" w:cs="宋体"/>
                <w:b w:val="0"/>
                <w:bCs w:val="0"/>
                <w:color w:val="000000"/>
                <w:sz w:val="21"/>
                <w:szCs w:val="21"/>
                <w:highlight w:val="none"/>
              </w:rPr>
              <w:t xml:space="preserve">提供</w:t>
            </w:r>
            <w:r>
              <w:rPr>
                <w:rFonts w:hint="eastAsia" w:ascii="宋体" w:hAnsi="宋体" w:eastAsia="宋体" w:cs="宋体"/>
                <w:b w:val="0"/>
                <w:bCs w:val="0"/>
                <w:color w:val="000000"/>
                <w:sz w:val="21"/>
                <w:szCs w:val="21"/>
                <w:highlight w:val="none"/>
                <w:lang w:val="en-US" w:eastAsia="zh-CN"/>
              </w:rPr>
              <w:t xml:space="preserve">的</w:t>
            </w:r>
            <w:r>
              <w:rPr>
                <w:rFonts w:hint="eastAsia" w:ascii="宋体" w:hAnsi="宋体" w:eastAsia="宋体" w:cs="宋体"/>
                <w:b w:val="0"/>
                <w:bCs w:val="0"/>
                <w:color w:val="000000"/>
                <w:sz w:val="21"/>
                <w:szCs w:val="21"/>
                <w:highlight w:val="none"/>
              </w:rPr>
              <w:t xml:space="preserve">项目需求分析方案</w:t>
            </w:r>
            <w:r>
              <w:rPr>
                <w:rFonts w:hint="eastAsia" w:ascii="宋体" w:hAnsi="宋体" w:eastAsia="宋体" w:cs="宋体"/>
                <w:b w:val="0"/>
                <w:bCs w:val="0"/>
                <w:color w:val="000000"/>
                <w:sz w:val="21"/>
                <w:szCs w:val="21"/>
                <w:highlight w:val="none"/>
                <w:lang w:val="en-US" w:eastAsia="zh-CN"/>
              </w:rPr>
              <w:t xml:space="preserve">进行综合评</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内容明确、清晰、完整的得5分；内容较完整的得3分；内容模糊笼统的得1分；未提供的不得分。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根据</w:t>
            </w:r>
            <w:r>
              <w:rPr>
                <w:rFonts w:hint="eastAsia" w:ascii="宋体" w:hAnsi="宋体" w:eastAsia="宋体" w:cs="宋体"/>
                <w:b w:val="0"/>
                <w:bCs w:val="0"/>
                <w:color w:val="000000"/>
                <w:sz w:val="21"/>
                <w:szCs w:val="21"/>
                <w:highlight w:val="none"/>
              </w:rPr>
              <w:t xml:space="preserve">投标人提供的</w:t>
            </w:r>
            <w:r>
              <w:rPr>
                <w:rFonts w:hint="eastAsia" w:ascii="宋体" w:hAnsi="宋体" w:eastAsia="宋体" w:cs="宋体"/>
                <w:b w:val="0"/>
                <w:bCs w:val="0"/>
                <w:color w:val="000000"/>
                <w:sz w:val="21"/>
                <w:szCs w:val="21"/>
                <w:highlight w:val="none"/>
                <w:lang w:val="en-US" w:eastAsia="zh-CN"/>
              </w:rPr>
              <w:t xml:space="preserve">满足</w:t>
            </w:r>
            <w:r>
              <w:rPr>
                <w:rFonts w:hint="eastAsia" w:ascii="宋体" w:hAnsi="宋体" w:eastAsia="宋体" w:cs="宋体"/>
                <w:b w:val="0"/>
                <w:bCs w:val="0"/>
                <w:color w:val="000000"/>
                <w:sz w:val="21"/>
                <w:szCs w:val="21"/>
                <w:highlight w:val="none"/>
              </w:rPr>
              <w:t xml:space="preserve">项目</w:t>
            </w:r>
            <w:r>
              <w:rPr>
                <w:rFonts w:hint="eastAsia" w:ascii="宋体" w:hAnsi="宋体" w:eastAsia="宋体" w:cs="宋体"/>
                <w:b w:val="0"/>
                <w:bCs w:val="0"/>
                <w:color w:val="000000"/>
                <w:sz w:val="21"/>
                <w:szCs w:val="21"/>
                <w:highlight w:val="none"/>
                <w:lang w:val="en-US" w:eastAsia="zh-CN"/>
              </w:rPr>
              <w:t xml:space="preserve">招标</w:t>
            </w:r>
            <w:r>
              <w:rPr>
                <w:rFonts w:hint="eastAsia" w:ascii="宋体" w:hAnsi="宋体" w:eastAsia="宋体" w:cs="宋体"/>
                <w:b w:val="0"/>
                <w:bCs w:val="0"/>
                <w:color w:val="000000"/>
                <w:sz w:val="21"/>
                <w:szCs w:val="21"/>
                <w:highlight w:val="none"/>
              </w:rPr>
              <w:t xml:space="preserve">需求</w:t>
            </w:r>
            <w:r>
              <w:rPr>
                <w:rFonts w:hint="eastAsia" w:ascii="宋体" w:hAnsi="宋体" w:eastAsia="宋体" w:cs="宋体"/>
                <w:b w:val="0"/>
                <w:bCs w:val="0"/>
                <w:color w:val="000000"/>
                <w:sz w:val="21"/>
                <w:szCs w:val="21"/>
                <w:highlight w:val="none"/>
                <w:lang w:val="en-US" w:eastAsia="zh-CN"/>
              </w:rPr>
              <w:t xml:space="preserve">的</w:t>
            </w:r>
            <w:r>
              <w:rPr>
                <w:rFonts w:hint="eastAsia" w:ascii="宋体" w:hAnsi="宋体" w:eastAsia="宋体" w:cs="宋体"/>
                <w:b w:val="0"/>
                <w:bCs w:val="0"/>
                <w:color w:val="000000"/>
                <w:sz w:val="21"/>
                <w:szCs w:val="21"/>
                <w:highlight w:val="none"/>
              </w:rPr>
              <w:t xml:space="preserve">技术方案</w:t>
            </w:r>
            <w:r>
              <w:rPr>
                <w:rFonts w:hint="eastAsia" w:ascii="宋体" w:hAnsi="宋体" w:eastAsia="宋体" w:cs="宋体"/>
                <w:b w:val="0"/>
                <w:bCs w:val="0"/>
                <w:color w:val="000000"/>
                <w:sz w:val="21"/>
                <w:szCs w:val="21"/>
                <w:highlight w:val="none"/>
                <w:lang w:val="en-US" w:eastAsia="zh-CN"/>
              </w:rPr>
              <w:t xml:space="preserve">进行综合评分。</w:t>
            </w:r>
            <w:r>
              <w:rPr>
                <w:rFonts w:hint="eastAsia" w:ascii="宋体" w:hAnsi="宋体" w:eastAsia="宋体" w:cs="宋体"/>
                <w:b w:val="0"/>
                <w:bCs w:val="0"/>
                <w:color w:val="000000"/>
                <w:sz w:val="21"/>
                <w:szCs w:val="21"/>
                <w:highlight w:val="none"/>
              </w:rPr>
              <w:t xml:space="preserve">内容详实合理、贴切实际、实用性强的得10分；内容较合理、较贴切、实用性较强的得</w:t>
            </w: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rPr>
              <w:t xml:space="preserve">分；内容不</w:t>
            </w:r>
            <w:r>
              <w:rPr>
                <w:rFonts w:hint="eastAsia" w:ascii="宋体" w:hAnsi="宋体" w:eastAsia="宋体" w:cs="宋体"/>
                <w:b w:val="0"/>
                <w:bCs w:val="0"/>
                <w:color w:val="000000"/>
                <w:sz w:val="21"/>
                <w:szCs w:val="21"/>
                <w:highlight w:val="none"/>
                <w:lang w:val="en-US" w:eastAsia="zh-CN"/>
              </w:rPr>
              <w:t xml:space="preserve">够合理、</w:t>
            </w:r>
            <w:r>
              <w:rPr>
                <w:rFonts w:hint="eastAsia" w:ascii="宋体" w:hAnsi="宋体" w:eastAsia="宋体" w:cs="宋体"/>
                <w:b w:val="0"/>
                <w:bCs w:val="0"/>
                <w:color w:val="000000"/>
                <w:sz w:val="21"/>
                <w:szCs w:val="21"/>
                <w:highlight w:val="none"/>
              </w:rPr>
              <w:t xml:space="preserve">完整的得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分；未提供的不得分。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rPr>
              <w:t xml:space="preserve">质量控制方案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根据</w:t>
            </w:r>
            <w:r>
              <w:rPr>
                <w:rFonts w:hint="eastAsia" w:ascii="宋体" w:hAnsi="宋体" w:eastAsia="宋体" w:cs="宋体"/>
                <w:b w:val="0"/>
                <w:bCs w:val="0"/>
                <w:color w:val="000000"/>
                <w:sz w:val="21"/>
                <w:szCs w:val="21"/>
                <w:highlight w:val="none"/>
              </w:rPr>
              <w:t xml:space="preserve">投标人提供</w:t>
            </w:r>
            <w:r>
              <w:rPr>
                <w:rFonts w:hint="eastAsia" w:ascii="宋体" w:hAnsi="宋体" w:eastAsia="宋体" w:cs="宋体"/>
                <w:b w:val="0"/>
                <w:bCs w:val="0"/>
                <w:color w:val="000000"/>
                <w:sz w:val="21"/>
                <w:szCs w:val="21"/>
                <w:highlight w:val="none"/>
                <w:lang w:val="en-US" w:eastAsia="zh-CN"/>
              </w:rPr>
              <w:t xml:space="preserve">的包含</w:t>
            </w:r>
            <w:r>
              <w:rPr>
                <w:rFonts w:hint="eastAsia" w:ascii="宋体" w:hAnsi="宋体" w:eastAsia="宋体" w:cs="宋体"/>
                <w:b w:val="0"/>
                <w:bCs w:val="0"/>
                <w:color w:val="000000"/>
                <w:sz w:val="21"/>
                <w:szCs w:val="21"/>
                <w:highlight w:val="none"/>
              </w:rPr>
              <w:t xml:space="preserve">对项目质量风险预判、质量控制措施、质量管理流程的质量管理制度</w:t>
            </w:r>
            <w:r>
              <w:rPr>
                <w:rFonts w:hint="eastAsia" w:ascii="宋体" w:hAnsi="宋体" w:eastAsia="宋体" w:cs="宋体"/>
                <w:b w:val="0"/>
                <w:bCs w:val="0"/>
                <w:color w:val="000000"/>
                <w:sz w:val="21"/>
                <w:szCs w:val="21"/>
                <w:highlight w:val="none"/>
                <w:lang w:val="en-US" w:eastAsia="zh-CN"/>
              </w:rPr>
              <w:t xml:space="preserve">进行综合评分。</w:t>
            </w:r>
            <w:r>
              <w:rPr>
                <w:rFonts w:hint="eastAsia" w:ascii="宋体" w:hAnsi="宋体" w:eastAsia="宋体" w:cs="宋体"/>
                <w:b w:val="0"/>
                <w:bCs w:val="0"/>
                <w:color w:val="000000"/>
                <w:sz w:val="21"/>
                <w:szCs w:val="21"/>
                <w:highlight w:val="none"/>
              </w:rPr>
              <w:t xml:space="preserve">内容详实合理，质量控制措施完善的得</w:t>
            </w: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rPr>
              <w:t xml:space="preserve">分；内容较合理的，质量控制措施较合理的得</w:t>
            </w: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rPr>
              <w:t xml:space="preserve">分；不够全面</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质量控制措施欠缺的，得</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分；未提供的不得分。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rPr>
              <w:t xml:space="preserve">项目进度安排及保障措施</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根据投标人提供的进度安排及保</w:t>
            </w:r>
            <w:r>
              <w:rPr>
                <w:rFonts w:hint="eastAsia" w:ascii="宋体" w:hAnsi="宋体" w:eastAsia="宋体" w:cs="宋体"/>
                <w:b w:val="0"/>
                <w:bCs w:val="0"/>
                <w:color w:val="000000"/>
                <w:sz w:val="21"/>
                <w:szCs w:val="21"/>
                <w:highlight w:val="none"/>
                <w:lang w:val="en-US" w:eastAsia="zh-CN"/>
              </w:rPr>
              <w:t xml:space="preserve">障措施</w:t>
            </w:r>
            <w:r>
              <w:rPr>
                <w:rFonts w:hint="eastAsia" w:ascii="宋体" w:hAnsi="宋体" w:eastAsia="宋体" w:cs="宋体"/>
                <w:b w:val="0"/>
                <w:bCs w:val="0"/>
                <w:color w:val="000000"/>
                <w:sz w:val="21"/>
                <w:szCs w:val="21"/>
                <w:highlight w:val="none"/>
              </w:rPr>
              <w:t xml:space="preserve">方案进行</w:t>
            </w:r>
            <w:r>
              <w:rPr>
                <w:rFonts w:hint="eastAsia" w:ascii="宋体" w:hAnsi="宋体" w:eastAsia="宋体" w:cs="宋体"/>
                <w:b w:val="0"/>
                <w:bCs w:val="0"/>
                <w:color w:val="000000"/>
                <w:sz w:val="21"/>
                <w:szCs w:val="21"/>
                <w:highlight w:val="none"/>
                <w:lang w:val="en-US" w:eastAsia="zh-CN"/>
              </w:rPr>
              <w:t xml:space="preserve">综合评分。</w:t>
            </w:r>
            <w:r>
              <w:rPr>
                <w:rFonts w:hint="eastAsia" w:ascii="宋体" w:hAnsi="宋体" w:eastAsia="宋体" w:cs="宋体"/>
                <w:b w:val="0"/>
                <w:bCs w:val="0"/>
                <w:color w:val="000000"/>
                <w:sz w:val="21"/>
                <w:szCs w:val="21"/>
                <w:highlight w:val="none"/>
              </w:rPr>
              <w:t xml:space="preserve">保障措施完整、进度安排符合项目要求的得</w:t>
            </w: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rPr>
              <w:t xml:space="preserve">分；保障措施较完整、进度安排基本合理的，得</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分；保障措施不</w:t>
            </w:r>
            <w:r>
              <w:rPr>
                <w:rFonts w:hint="eastAsia" w:ascii="宋体" w:hAnsi="宋体" w:eastAsia="宋体" w:cs="宋体"/>
                <w:b w:val="0"/>
                <w:bCs w:val="0"/>
                <w:color w:val="000000"/>
                <w:sz w:val="21"/>
                <w:szCs w:val="21"/>
                <w:highlight w:val="none"/>
                <w:lang w:val="en-US" w:eastAsia="zh-CN"/>
              </w:rPr>
              <w:t xml:space="preserve">够</w:t>
            </w:r>
            <w:r>
              <w:rPr>
                <w:rFonts w:hint="eastAsia" w:ascii="宋体" w:hAnsi="宋体" w:eastAsia="宋体" w:cs="宋体"/>
                <w:b w:val="0"/>
                <w:bCs w:val="0"/>
                <w:color w:val="000000"/>
                <w:sz w:val="21"/>
                <w:szCs w:val="21"/>
                <w:highlight w:val="none"/>
              </w:rPr>
              <w:t xml:space="preserve">完整、进度安排不</w:t>
            </w:r>
            <w:r>
              <w:rPr>
                <w:rFonts w:hint="eastAsia" w:ascii="宋体" w:hAnsi="宋体" w:eastAsia="宋体" w:cs="宋体"/>
                <w:b w:val="0"/>
                <w:bCs w:val="0"/>
                <w:color w:val="000000"/>
                <w:sz w:val="21"/>
                <w:szCs w:val="21"/>
                <w:highlight w:val="none"/>
                <w:lang w:val="en-US" w:eastAsia="zh-CN"/>
              </w:rPr>
              <w:t xml:space="preserve">够</w:t>
            </w:r>
            <w:r>
              <w:rPr>
                <w:rFonts w:hint="eastAsia" w:ascii="宋体" w:hAnsi="宋体" w:eastAsia="宋体" w:cs="宋体"/>
                <w:b w:val="0"/>
                <w:bCs w:val="0"/>
                <w:color w:val="000000"/>
                <w:sz w:val="21"/>
                <w:szCs w:val="21"/>
                <w:highlight w:val="none"/>
              </w:rPr>
              <w:t xml:space="preserve">合理的，得</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分；未提供的不得分。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rPr>
              <w:t xml:space="preserve">服务保障能力方案</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根据投标人提供服务方案的人员管理、保密管理、</w:t>
            </w:r>
            <w:r>
              <w:rPr>
                <w:rFonts w:hint="eastAsia" w:ascii="宋体" w:hAnsi="宋体" w:eastAsia="宋体" w:cs="宋体"/>
                <w:b w:val="0"/>
                <w:bCs w:val="0"/>
                <w:color w:val="000000"/>
                <w:sz w:val="21"/>
                <w:szCs w:val="21"/>
                <w:highlight w:val="none"/>
                <w:lang w:val="en-US" w:eastAsia="zh-CN"/>
              </w:rPr>
              <w:t xml:space="preserve">服务承诺、</w:t>
            </w:r>
            <w:r>
              <w:rPr>
                <w:rFonts w:hint="eastAsia" w:ascii="宋体" w:hAnsi="宋体" w:eastAsia="宋体" w:cs="宋体"/>
                <w:b w:val="0"/>
                <w:bCs w:val="0"/>
                <w:color w:val="000000"/>
                <w:sz w:val="21"/>
                <w:szCs w:val="21"/>
                <w:highlight w:val="none"/>
              </w:rPr>
              <w:t xml:space="preserve">安全保障的合理性等方面进行综合评分：方案合理性好的得</w:t>
            </w: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rPr>
              <w:t xml:space="preserve">分；方案基本到位的得</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分；方案不到位的得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分；未提供的不得分。</w:t>
            </w:r>
            <w:r/>
          </w:p>
        </w:tc>
      </w:tr>
      <w:tr>
        <w:trPr>
          <w:jc w:val="center"/>
          <w:trHeight w:val="365"/>
        </w:trPr>
        <w:tc>
          <w:tcPr>
            <w:tcBorders>
              <w:left w:val="single" w:color="auto" w:sz="4" w:space="0"/>
              <w:right w:val="single" w:color="auto" w:sz="4" w:space="0"/>
            </w:tcBorders>
            <w:tcW w:w="575"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三</w:t>
            </w:r>
            <w:r/>
          </w:p>
        </w:tc>
        <w:tc>
          <w:tcPr>
            <w:tcBorders>
              <w:left w:val="single" w:color="auto" w:sz="4" w:space="0"/>
              <w:right w:val="single" w:color="auto" w:sz="4" w:space="0"/>
            </w:tcBorders>
            <w:tcW w:w="1118"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商务部分</w:t>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单位实力</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pStyle w:val="646"/>
              <w:ind w:left="0" w:firstLine="0"/>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1、投标人具有范围包含地图编制甲级测绘资质的得3分，乙级测绘资质的得1分。本项最高得3分；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2、投标人具有质量管理体系认证、环境管理体系认证、职业健康安全管理体系认证、信息安全管理体系认证的，每提供1个得1分。本项最高得4分；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3、投标人具有土壤普查数据分析与制图、土壤适宜性评价、土壤普查数据应用等系统软件的，每提供1个得1分。本项最高得3分；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4、投标人具有土壤普查外业采样、土壤普查数据管理、土壤普查制图等相关知识产权（发明专利、实用新型专利、软件著作权）的，每提供1个得1分。本项最高得3分。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投标人为设立土壤学、植物营养学、农业资源与环境、资源利用与植物保护、资源环境科学等专业教学或科研单位，或与设立土壤学、植物营养学、农业资源与环境、资源利用与植物保护、资源环境科学等专业教学或科研单位签订完成本项目战略合作协议的得6分。本项最高得6分。</w:t>
            </w:r>
            <w:r/>
          </w:p>
          <w:p>
            <w:pPr>
              <w:ind w:firstLine="422"/>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注：须提供相关证明材料，未提供或材料不齐全不得分。</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118" w:type="dxa"/>
            <w:vAlign w:val="center"/>
            <w:vMerge w:val="continue"/>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color w:val="auto"/>
                <w:sz w:val="21"/>
                <w:szCs w:val="21"/>
                <w:highlight w:val="none"/>
              </w:rPr>
              <w:t xml:space="preserve">团队力量</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4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拟派项目负责人具有土壤学、生态学、农业资源与环境、土地资源管理、地理信息系统类、水土保持、遥感、测绘、统计等相关专业正高级职称的得2分，副高级职称的得1分，中级及以下职称的不得分。本项最高得2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拟派参与项目人员（项目负责人除外）具有土壤学、生态学、农业资源与环境、土地资源管理、地理信息系统类、水土保持、遥感、测绘、统计等相关专业硕士及以上学位或中级及以上职称的，每提供1个得0.5分（同一人不重复得分）。本项最高得10分；</w:t>
            </w:r>
            <w:r/>
          </w:p>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3、投标人拥有省级及以上第三次全国土壤普查专家技术指导组专家或聘请省级及以上第三次全国土壤普查专家技术指导组专家作为技术指导专家的，每提供一个得2分。本项最高得4分。</w:t>
            </w:r>
            <w:r/>
          </w:p>
          <w:p>
            <w:pPr>
              <w:ind w:firstLine="422"/>
              <w:keepLines w:val="0"/>
              <w:keepNext w:val="0"/>
              <w:pageBreakBefore w:val="0"/>
              <w:spacing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注：（1）提供相关证书及投标人为其缴纳近三个月内任意一个月社保的证明。</w:t>
            </w:r>
            <w:r/>
          </w:p>
          <w:p>
            <w:pPr>
              <w:ind w:firstLine="422"/>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rPr>
              <w:t xml:space="preserve">（2）对于指导专家提供政府相关证明文件、聘用协议、身份证复印件</w:t>
            </w:r>
            <w:r>
              <w:rPr>
                <w:rFonts w:hint="eastAsia" w:ascii="宋体" w:hAnsi="宋体" w:eastAsia="宋体" w:cs="宋体"/>
                <w:b/>
                <w:bCs/>
                <w:color w:val="000000"/>
                <w:sz w:val="21"/>
                <w:szCs w:val="21"/>
                <w:highlight w:val="none"/>
                <w:lang w:val="en-US" w:eastAsia="zh-CN"/>
              </w:rPr>
              <w:t xml:space="preserve">、专家手机号码（便于核查）</w:t>
            </w:r>
            <w:r>
              <w:rPr>
                <w:rFonts w:hint="eastAsia" w:ascii="宋体" w:hAnsi="宋体" w:eastAsia="宋体" w:cs="宋体"/>
                <w:b/>
                <w:bCs/>
                <w:color w:val="000000"/>
                <w:sz w:val="21"/>
                <w:szCs w:val="21"/>
                <w:highlight w:val="none"/>
              </w:rPr>
              <w:t xml:space="preserve">。</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tc>
        <w:tc>
          <w:tcPr>
            <w:tcBorders>
              <w:left w:val="single" w:color="auto" w:sz="4" w:space="0"/>
              <w:right w:val="single" w:color="auto" w:sz="4" w:space="0"/>
            </w:tcBorders>
            <w:tcW w:w="1118" w:type="dxa"/>
            <w:vAlign w:val="center"/>
            <w:vMerge w:val="continue"/>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服务承诺</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承诺提供2年免费服务，并承诺服务期内安排专人提供线上指导，线上指导无法解决、24小时内到达现场解决的，得2分；未提供服务承诺的不得分。</w:t>
            </w:r>
            <w:r/>
          </w:p>
          <w:p>
            <w:pPr>
              <w:ind w:firstLine="422"/>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bCs/>
                <w:color w:val="000000"/>
                <w:sz w:val="21"/>
                <w:szCs w:val="21"/>
                <w:highlight w:val="none"/>
                <w:lang w:val="en-GB"/>
              </w:rPr>
              <w:t xml:space="preserve">注：须提供</w:t>
            </w:r>
            <w:r>
              <w:rPr>
                <w:rFonts w:hint="eastAsia" w:ascii="宋体" w:hAnsi="宋体" w:eastAsia="宋体" w:cs="宋体"/>
                <w:b/>
                <w:bCs/>
                <w:color w:val="000000"/>
                <w:sz w:val="21"/>
                <w:szCs w:val="21"/>
                <w:highlight w:val="none"/>
                <w:lang w:val="en-US" w:eastAsia="zh-CN"/>
              </w:rPr>
              <w:t xml:space="preserve">服务承诺书原件，加盖投标单位公章。</w:t>
            </w:r>
            <w:r/>
          </w:p>
        </w:tc>
      </w:tr>
      <w:tr>
        <w:trPr>
          <w:jc w:val="center"/>
          <w:trHeight w:val="365"/>
        </w:trPr>
        <w:tc>
          <w:tcPr>
            <w:tcBorders>
              <w:left w:val="single" w:color="auto" w:sz="4" w:space="0"/>
              <w:right w:val="single" w:color="auto" w:sz="4" w:space="0"/>
            </w:tcBorders>
            <w:tcW w:w="575" w:type="dxa"/>
            <w:vAlign w:val="center"/>
            <w:vMerge w:val="continue"/>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tc>
        <w:tc>
          <w:tcPr>
            <w:tcBorders>
              <w:left w:val="single" w:color="auto" w:sz="4" w:space="0"/>
              <w:right w:val="single" w:color="auto" w:sz="4" w:space="0"/>
            </w:tcBorders>
            <w:tcW w:w="1118" w:type="dxa"/>
            <w:vAlign w:val="center"/>
            <w:vMerge w:val="continue"/>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r>
            <w:r/>
          </w:p>
        </w:tc>
        <w:tc>
          <w:tcPr>
            <w:tcBorders>
              <w:top w:val="single" w:color="auto" w:sz="4" w:space="0"/>
              <w:left w:val="single" w:color="auto" w:sz="4" w:space="0"/>
              <w:right w:val="single" w:color="auto" w:sz="4" w:space="0"/>
            </w:tcBorders>
            <w:tcW w:w="1186" w:type="dxa"/>
            <w:vAlign w:val="center"/>
            <w:textDirection w:val="lrTb"/>
            <w:noWrap w:val="false"/>
          </w:tcPr>
          <w:p>
            <w:pPr>
              <w:jc w:val="center"/>
              <w:spacing w:line="44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5572"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承担过</w:t>
            </w:r>
            <w:r>
              <w:rPr>
                <w:rFonts w:hint="eastAsia" w:ascii="宋体" w:hAnsi="宋体" w:eastAsia="宋体" w:cs="宋体"/>
                <w:b w:val="0"/>
                <w:bCs w:val="0"/>
                <w:color w:val="000000"/>
                <w:sz w:val="21"/>
                <w:szCs w:val="21"/>
                <w:highlight w:val="none"/>
              </w:rPr>
              <w:t xml:space="preserve">第三次全国土壤普查试点</w:t>
            </w:r>
            <w:r>
              <w:rPr>
                <w:rFonts w:hint="eastAsia" w:ascii="宋体" w:hAnsi="宋体" w:eastAsia="宋体" w:cs="宋体"/>
                <w:b w:val="0"/>
                <w:bCs w:val="0"/>
                <w:color w:val="000000"/>
                <w:sz w:val="21"/>
                <w:szCs w:val="21"/>
                <w:highlight w:val="none"/>
                <w:lang w:val="en-US" w:eastAsia="zh-CN"/>
              </w:rPr>
              <w:t xml:space="preserve">县成果汇交汇总工作任务且服务评价好的，得3分。</w:t>
            </w:r>
            <w:r/>
          </w:p>
          <w:p>
            <w:pPr>
              <w:ind w:firstLine="422"/>
              <w:keepLines w:val="0"/>
              <w:keepNext w:val="0"/>
              <w:pageBreakBefore w:val="0"/>
              <w:spacing w:line="240" w:lineRule="auto"/>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bCs/>
                <w:color w:val="000000"/>
                <w:sz w:val="21"/>
                <w:szCs w:val="21"/>
                <w:highlight w:val="none"/>
                <w:lang w:val="en-GB"/>
              </w:rPr>
              <w:t xml:space="preserve">注：须提供项目合同、</w:t>
            </w:r>
            <w:r>
              <w:rPr>
                <w:rFonts w:hint="eastAsia" w:ascii="宋体" w:hAnsi="宋体" w:eastAsia="宋体" w:cs="宋体"/>
                <w:b/>
                <w:bCs/>
                <w:color w:val="000000"/>
                <w:sz w:val="21"/>
                <w:szCs w:val="21"/>
                <w:highlight w:val="none"/>
              </w:rPr>
              <w:t xml:space="preserve">中标通知书、</w:t>
            </w:r>
            <w:r>
              <w:rPr>
                <w:rFonts w:hint="eastAsia" w:ascii="宋体" w:hAnsi="宋体" w:eastAsia="宋体" w:cs="宋体"/>
                <w:b/>
                <w:bCs/>
                <w:color w:val="000000"/>
                <w:sz w:val="21"/>
                <w:szCs w:val="21"/>
                <w:highlight w:val="none"/>
                <w:lang w:eastAsia="zh-CN"/>
              </w:rPr>
              <w:t xml:space="preserve">评价证明</w:t>
            </w:r>
            <w:r>
              <w:rPr>
                <w:rFonts w:hint="eastAsia" w:ascii="宋体" w:hAnsi="宋体" w:eastAsia="宋体" w:cs="宋体"/>
                <w:b/>
                <w:bCs/>
                <w:color w:val="000000"/>
                <w:sz w:val="21"/>
                <w:szCs w:val="21"/>
                <w:highlight w:val="none"/>
                <w:lang w:val="en-GB"/>
              </w:rPr>
              <w:t xml:space="preserve">等</w:t>
            </w:r>
            <w:r>
              <w:rPr>
                <w:rFonts w:hint="eastAsia" w:ascii="宋体" w:hAnsi="宋体" w:eastAsia="宋体" w:cs="宋体"/>
                <w:b/>
                <w:bCs/>
                <w:color w:val="000000"/>
                <w:sz w:val="21"/>
                <w:szCs w:val="21"/>
                <w:highlight w:val="none"/>
              </w:rPr>
              <w:t xml:space="preserve">相关</w:t>
            </w:r>
            <w:r>
              <w:rPr>
                <w:rFonts w:hint="eastAsia" w:ascii="宋体" w:hAnsi="宋体" w:eastAsia="宋体" w:cs="宋体"/>
                <w:b/>
                <w:bCs/>
                <w:color w:val="000000"/>
                <w:sz w:val="21"/>
                <w:szCs w:val="21"/>
                <w:highlight w:val="none"/>
                <w:lang w:val="en-GB"/>
              </w:rPr>
              <w:t xml:space="preserve">证明材料（合同内容至少包括合同首页、标的金额所在页、签字盖章页），未提供的不得分。</w:t>
            </w:r>
            <w:r/>
          </w:p>
        </w:tc>
      </w:tr>
    </w:tbl>
    <w:p>
      <w:pPr>
        <w:pStyle w:val="668"/>
        <w:spacing w:before="120" w:beforeAutospacing="0" w:after="120" w:afterAutospacing="0" w:line="360" w:lineRule="auto"/>
        <w:rPr>
          <w:color w:val="auto"/>
          <w:highlight w:val="none"/>
        </w:rPr>
      </w:pPr>
      <w:r>
        <w:rPr>
          <w:color w:val="auto"/>
          <w:highlight w:val="none"/>
        </w:rPr>
      </w:r>
      <w:r/>
    </w:p>
    <w:p>
      <w:pPr>
        <w:pStyle w:val="668"/>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68"/>
        <w:jc w:val="center"/>
        <w:keepNext/>
        <w:spacing w:beforeAutospacing="0" w:afterAutospacing="0"/>
        <w:rPr>
          <w:rFonts w:hint="eastAsia" w:ascii="黑体" w:hAnsi="宋体" w:eastAsia="黑体" w:cs="黑体"/>
          <w:color w:val="auto"/>
          <w:sz w:val="44"/>
          <w:szCs w:val="44"/>
          <w:highlight w:val="none"/>
        </w:rPr>
        <w:outlineLvl w:val="0"/>
      </w:pPr>
      <w:r/>
      <w:bookmarkStart w:id="38" w:name="_Toc13"/>
      <w:r>
        <w:rPr>
          <w:rFonts w:hint="eastAsia" w:ascii="黑体" w:hAnsi="宋体" w:eastAsia="黑体" w:cs="黑体"/>
          <w:color w:val="auto"/>
          <w:sz w:val="44"/>
          <w:szCs w:val="44"/>
          <w:highlight w:val="none"/>
        </w:rPr>
        <w:t xml:space="preserve">第六章  投标文件格式</w:t>
      </w:r>
      <w:bookmarkEnd w:id="38"/>
      <w:r/>
      <w:r/>
    </w:p>
    <w:p>
      <w:pPr>
        <w:pStyle w:val="668"/>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8"/>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8"/>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68"/>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 </w:t>
      </w:r>
      <w:r/>
    </w:p>
    <w:p>
      <w:pPr>
        <w:pStyle w:val="668"/>
        <w:jc w:val="center"/>
        <w:spacing w:beforeAutospacing="0" w:afterAutospacing="0"/>
        <w:rPr>
          <w:color w:val="auto"/>
          <w:highlight w:val="none"/>
        </w:rPr>
      </w:pPr>
      <w:r/>
      <w:bookmarkStart w:id="39" w:name="_Hlt26671244"/>
      <w:r/>
      <w:bookmarkEnd w:id="39"/>
      <w:r/>
      <w:bookmarkStart w:id="40" w:name="_Hlt26955039"/>
      <w:r/>
      <w:bookmarkEnd w:id="40"/>
      <w:r>
        <w:rPr>
          <w:rFonts w:hint="eastAsia" w:ascii="宋体" w:hAnsi="宋体" w:eastAsia="宋体" w:cs="宋体"/>
          <w:b/>
          <w:color w:val="auto"/>
          <w:sz w:val="72"/>
          <w:szCs w:val="72"/>
          <w:highlight w:val="none"/>
        </w:rPr>
        <w:t xml:space="preserve">投  标  文  件</w:t>
      </w:r>
      <w:r/>
    </w:p>
    <w:p>
      <w:pPr>
        <w:pStyle w:val="668"/>
        <w:jc w:val="center"/>
        <w:spacing w:beforeAutospacing="0" w:afterAutospacing="0"/>
        <w:rPr>
          <w:color w:val="auto"/>
          <w:highlight w:val="none"/>
        </w:rPr>
      </w:pPr>
      <w:r>
        <w:rPr>
          <w:color w:val="auto"/>
          <w:highlight w:val="none"/>
        </w:rPr>
        <w:t xml:space="preserve"> </w:t>
      </w:r>
      <w:r/>
    </w:p>
    <w:p>
      <w:pPr>
        <w:pStyle w:val="668"/>
        <w:jc w:val="center"/>
        <w:spacing w:beforeAutospacing="0" w:afterAutospacing="0"/>
        <w:rPr>
          <w:color w:val="auto"/>
          <w:highlight w:val="none"/>
        </w:rPr>
      </w:pPr>
      <w:r>
        <w:rPr>
          <w:color w:val="auto"/>
          <w:highlight w:val="none"/>
        </w:rPr>
        <w:t xml:space="preserve"> </w:t>
      </w:r>
      <w:r/>
    </w:p>
    <w:p>
      <w:pPr>
        <w:pStyle w:val="668"/>
        <w:jc w:val="center"/>
        <w:spacing w:beforeAutospacing="0" w:afterAutospacing="0"/>
        <w:rPr>
          <w:color w:val="auto"/>
          <w:highlight w:val="none"/>
        </w:rPr>
      </w:pPr>
      <w:r>
        <w:rPr>
          <w:color w:val="auto"/>
          <w:highlight w:val="none"/>
        </w:rPr>
        <w:t xml:space="preserve"> </w:t>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r>
      <w:r/>
    </w:p>
    <w:p>
      <w:pPr>
        <w:pStyle w:val="668"/>
        <w:jc w:val="center"/>
        <w:spacing w:beforeAutospacing="0" w:afterAutospacing="0"/>
        <w:rPr>
          <w:color w:val="auto"/>
          <w:highlight w:val="none"/>
        </w:rPr>
      </w:pPr>
      <w:r>
        <w:rPr>
          <w:color w:val="auto"/>
          <w:highlight w:val="none"/>
        </w:rPr>
        <w:t xml:space="preserve"> </w:t>
      </w:r>
      <w:r/>
    </w:p>
    <w:p>
      <w:pPr>
        <w:pStyle w:val="668"/>
        <w:jc w:val="center"/>
        <w:spacing w:beforeAutospacing="0" w:afterAutospacing="0"/>
        <w:rPr>
          <w:color w:val="auto"/>
          <w:highlight w:val="none"/>
        </w:rPr>
      </w:pPr>
      <w:r>
        <w:rPr>
          <w:color w:val="auto"/>
          <w:highlight w:val="none"/>
        </w:rPr>
        <w:t xml:space="preserve"> </w:t>
      </w:r>
      <w:r/>
    </w:p>
    <w:p>
      <w:pPr>
        <w:pStyle w:val="66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68"/>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6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68"/>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68"/>
        <w:jc w:val="center"/>
        <w:spacing w:beforeAutospacing="0" w:afterAutospacing="0" w:line="0" w:lineRule="atLeast"/>
        <w:rPr>
          <w:color w:val="auto"/>
          <w:highlight w:val="none"/>
        </w:rPr>
      </w:pPr>
      <w:r>
        <w:rPr>
          <w:color w:val="auto"/>
          <w:highlight w:val="none"/>
        </w:rPr>
        <w:t xml:space="preserve"> </w:t>
      </w:r>
      <w:r/>
    </w:p>
    <w:p>
      <w:pPr>
        <w:pStyle w:val="668"/>
        <w:jc w:val="both"/>
        <w:spacing w:beforeAutospacing="0" w:afterAutospacing="0" w:line="0" w:lineRule="atLeast"/>
        <w:rPr>
          <w:color w:val="auto"/>
          <w:highlight w:val="none"/>
        </w:rPr>
      </w:pPr>
      <w:r>
        <w:rPr>
          <w:color w:val="auto"/>
          <w:highlight w:val="none"/>
        </w:rPr>
        <w:t xml:space="preserve"> </w:t>
      </w:r>
      <w:r/>
    </w:p>
    <w:p>
      <w:pPr>
        <w:rPr>
          <w:rFonts w:hint="eastAsia" w:ascii="宋体" w:hAnsi="宋体"/>
          <w:b/>
          <w:bCs/>
          <w:color w:val="auto"/>
          <w:sz w:val="32"/>
          <w:szCs w:val="32"/>
          <w:highlight w:val="none"/>
        </w:rPr>
      </w:pPr>
      <w:r/>
      <w:bookmarkStart w:id="41" w:name="_Hlt26609389"/>
      <w:r/>
      <w:bookmarkStart w:id="42" w:name="_Hlt26955054"/>
      <w:r/>
      <w:bookmarkStart w:id="43" w:name="_格式2__法定代表人授权书"/>
      <w:r/>
      <w:bookmarkStart w:id="44" w:name="_Hlt26671380"/>
      <w:r/>
      <w:bookmarkStart w:id="45" w:name="_Hlt26955066"/>
      <w:r/>
      <w:bookmarkStart w:id="46" w:name="_Hlt26955070"/>
      <w:r/>
      <w:bookmarkStart w:id="47" w:name="_格式3__银行出具的资信证明"/>
      <w:r/>
      <w:bookmarkStart w:id="48" w:name="_Hlt26671374"/>
      <w:r>
        <w:rPr>
          <w:rFonts w:hint="eastAsia" w:ascii="宋体" w:hAnsi="宋体"/>
          <w:b/>
          <w:bCs/>
          <w:color w:val="auto"/>
          <w:sz w:val="32"/>
          <w:szCs w:val="32"/>
          <w:highlight w:val="none"/>
        </w:rPr>
        <w:br w:type="page" w:clear="all"/>
      </w:r>
      <w:r/>
    </w:p>
    <w:p>
      <w:pPr>
        <w:ind w:firstLine="0"/>
        <w:jc w:val="center"/>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一、开标一览表（系统固定格式）</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二、资格审查资料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（1）法人或者其他组织的营业执照等证明文件，自然人的身份证明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（2）上一年度（或上上年度）经审计的财务报告（投标人成立不满一年无需提供）</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（4）具备履行合同所必需的设备和专业技术能力的书面声明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（5）参加政府采购活动前3年内在经营活动中没有重大违法记录的书面声明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（6）投标人法定代表人身份证明和投标文件签署授权委托书（另附法定代表人和被授权人的身份证复印件或扫描件）；</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（7）投标人为被授权人缴纳的社会养老保险证明；</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（8）与资格审查有关的其他资料（如有）。</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三、符合性资料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（1）投标报价明细表；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（2）投标函；</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（3）所供服务（服务附带的产品）内容及服务要求偏离表；</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（4）投标人的服务承诺；</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（5）小微企业声明函；（如有）</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（6）残疾人福利性单位声明函；（如有）</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（7）联合体协议（如有）；</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（8）盐城市政府采购事前信用承诺书；</w:t>
      </w:r>
      <w:r/>
    </w:p>
    <w:p>
      <w:pPr>
        <w:ind w:firstLine="480"/>
        <w:spacing w:line="440" w:lineRule="exact"/>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四、综合评审相关资料</w:t>
      </w:r>
      <w:r/>
    </w:p>
    <w:p>
      <w:pPr>
        <w:ind w:firstLine="480"/>
        <w:spacing w:line="440" w:lineRule="exac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五、价格折扣文件（如有）</w:t>
      </w:r>
      <w:r/>
    </w:p>
    <w:p>
      <w:pPr>
        <w:jc w:val="center"/>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1.</w:t>
      </w:r>
      <w:r>
        <w:rPr>
          <w:rFonts w:hint="eastAsia" w:ascii="黑体" w:hAnsi="Times New Roman" w:eastAsia="黑体" w:cs="Times New Roman"/>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p>
    <w:p>
      <w:pPr>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8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92"/>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pStyle w:val="649"/>
        <w:ind w:firstLine="0"/>
        <w:rPr>
          <w:rFonts w:hint="eastAsia"/>
          <w:color w:val="auto"/>
          <w:highlight w:val="none"/>
        </w:rPr>
      </w:pPr>
      <w:r>
        <w:rPr>
          <w:rFonts w:hint="eastAsia"/>
          <w:color w:val="auto"/>
          <w:highlight w:val="none"/>
        </w:rPr>
      </w:r>
      <w:r/>
    </w:p>
    <w:p>
      <w:pPr>
        <w:jc w:val="center"/>
        <w:spacing w:line="600" w:lineRule="exact"/>
        <w:rPr>
          <w:rFonts w:hint="eastAsia" w:ascii="黑体" w:eastAsia="黑体"/>
          <w:b/>
          <w:b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i w:val="0"/>
          <w:color w:val="auto"/>
          <w:sz w:val="32"/>
          <w:szCs w:val="32"/>
          <w:highlight w:val="none"/>
          <w:u w:val="none"/>
          <w:lang w:val="en-US" w:eastAsia="zh-CN"/>
        </w:rPr>
        <w:t xml:space="preserve">2.</w:t>
      </w:r>
      <w:r>
        <w:rPr>
          <w:rFonts w:hint="eastAsia" w:ascii="黑体" w:hAnsi="Calibri" w:eastAsia="黑体" w:cs="Times New Roman"/>
          <w:b/>
          <w:bCs/>
          <w:color w:val="auto"/>
          <w:sz w:val="32"/>
          <w:szCs w:val="32"/>
          <w:highlight w:val="none"/>
        </w:rPr>
        <w:t xml:space="preserve">参加政</w:t>
      </w:r>
      <w:r>
        <w:rPr>
          <w:rFonts w:hint="eastAsia" w:ascii="黑体" w:eastAsia="黑体"/>
          <w:b/>
          <w:bCs/>
          <w:color w:val="auto"/>
          <w:sz w:val="32"/>
          <w:szCs w:val="32"/>
          <w:highlight w:val="none"/>
        </w:rPr>
        <w:t xml:space="preserve">府采购活动前3年内在经营活动中</w:t>
      </w: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p>
    <w:p>
      <w:pPr>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spacing w:line="600" w:lineRule="exact"/>
        <w:rPr>
          <w:rFonts w:hint="eastAsia" w:ascii="黑体" w:eastAsia="黑体"/>
          <w:b/>
          <w:bCs/>
          <w:color w:val="auto"/>
          <w:sz w:val="32"/>
          <w:szCs w:val="32"/>
          <w:highlight w:val="none"/>
        </w:rPr>
        <w:outlineLvl w:val="1"/>
      </w:pPr>
      <w:r>
        <w:rPr>
          <w:rFonts w:hint="eastAsia" w:ascii="黑体" w:hAnsi="黑体" w:eastAsia="黑体"/>
          <w:i/>
          <w:color w:val="auto"/>
          <w:sz w:val="32"/>
          <w:szCs w:val="32"/>
          <w:highlight w:val="none"/>
          <w:u w:val="single"/>
        </w:rPr>
        <w:br w:type="page" w:clear="all"/>
      </w:r>
      <w:r>
        <w:rPr>
          <w:rFonts w:hint="eastAsia" w:ascii="黑体" w:hAnsi="Calibri" w:eastAsia="黑体" w:cs="Times New Roman"/>
          <w:b/>
          <w:bCs/>
          <w:color w:val="auto"/>
          <w:sz w:val="32"/>
          <w:szCs w:val="32"/>
          <w:highlight w:val="none"/>
          <w:lang w:val="en-US" w:eastAsia="zh-CN"/>
        </w:rPr>
        <w:t xml:space="preserve">3.</w:t>
      </w:r>
      <w:r>
        <w:rPr>
          <w:rFonts w:hint="eastAsia" w:ascii="黑体" w:hAnsi="Calibri" w:eastAsia="黑体" w:cs="Times New Roman"/>
          <w:b/>
          <w:bCs/>
          <w:color w:val="auto"/>
          <w:sz w:val="32"/>
          <w:szCs w:val="32"/>
          <w:highlight w:val="none"/>
        </w:rPr>
        <w:t xml:space="preserve">法</w:t>
      </w:r>
      <w:r>
        <w:rPr>
          <w:rFonts w:hint="eastAsia" w:ascii="黑体" w:eastAsia="黑体"/>
          <w:b/>
          <w:bCs/>
          <w:color w:val="auto"/>
          <w:sz w:val="32"/>
          <w:szCs w:val="32"/>
          <w:highlight w:val="none"/>
        </w:rPr>
        <w:t xml:space="preserve">定代表人身份证明书</w:t>
      </w: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：（采购人名称）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 xml:space="preserve">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 xml:space="preserve">（职务名称）</w:t>
      </w:r>
      <w:r>
        <w:rPr>
          <w:rFonts w:hint="eastAsia" w:ascii="宋体" w:hAnsi="宋体" w:eastAsia="宋体" w:cs="宋体"/>
          <w:color w:val="auto"/>
          <w:sz w:val="24"/>
          <w:highlight w:val="none"/>
        </w:rPr>
        <w:t xml:space="preserve">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ind w:firstLine="45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      </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126"/>
        <w:jc w:val="right"/>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6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（附：法定代表人身份证正反面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jc w:val="center"/>
        <w:spacing w:line="400" w:lineRule="exact"/>
        <w:rPr>
          <w:rFonts w:hint="eastAsia" w:ascii="黑体" w:eastAsia="黑体"/>
          <w:color w:val="auto"/>
          <w:sz w:val="28"/>
          <w:highlight w:val="none"/>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i w:val="0"/>
          <w:color w:val="auto"/>
          <w:sz w:val="32"/>
          <w:szCs w:val="32"/>
          <w:highlight w:val="none"/>
          <w:u w:val="none"/>
          <w:lang w:val="en-US" w:eastAsia="zh-CN"/>
        </w:rPr>
        <w:t xml:space="preserve">4.</w:t>
      </w:r>
      <w:r>
        <w:rPr>
          <w:rFonts w:hint="eastAsia" w:ascii="黑体" w:hAnsi="Times New Roman" w:eastAsia="黑体" w:cs="Times New Roman"/>
          <w:b/>
          <w:bCs/>
          <w:color w:val="auto"/>
          <w:sz w:val="32"/>
          <w:szCs w:val="32"/>
          <w:highlight w:val="none"/>
        </w:rPr>
        <w:t xml:space="preserve">授权委托</w:t>
      </w:r>
      <w:r>
        <w:rPr>
          <w:rFonts w:hint="eastAsia" w:ascii="黑体" w:eastAsia="黑体"/>
          <w:b/>
          <w:bCs/>
          <w:color w:val="auto"/>
          <w:sz w:val="32"/>
          <w:szCs w:val="32"/>
          <w:highlight w:val="none"/>
        </w:rPr>
        <w:t xml:space="preserve">书</w:t>
      </w:r>
      <w:r/>
    </w:p>
    <w:p>
      <w:pPr>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highlight w:val="none"/>
        </w:rPr>
        <w:t xml:space="preserve">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投标人</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szCs w:val="24"/>
          <w:highlight w:val="none"/>
        </w:rPr>
        <w:t xml:space="preserve">____________（投标人名称）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highlight w:val="none"/>
        </w:rPr>
        <w:t xml:space="preserve">________________（被授权人的姓名）为</w:t>
      </w:r>
      <w:r>
        <w:rPr>
          <w:rFonts w:hint="eastAsia" w:ascii="宋体" w:hAnsi="宋体" w:eastAsia="宋体" w:cs="宋体"/>
          <w:color w:val="auto"/>
          <w:sz w:val="24"/>
          <w:szCs w:val="24"/>
          <w:highlight w:val="none"/>
          <w:lang w:val="en-US" w:eastAsia="zh-CN"/>
        </w:rPr>
        <w:t xml:space="preserve">我单位</w:t>
      </w:r>
      <w:r>
        <w:rPr>
          <w:rFonts w:hint="eastAsia" w:ascii="宋体" w:hAnsi="宋体" w:eastAsia="宋体" w:cs="宋体"/>
          <w:color w:val="auto"/>
          <w:sz w:val="24"/>
          <w:szCs w:val="24"/>
          <w:highlight w:val="none"/>
        </w:rPr>
        <w:t xml:space="preserve">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的法定代表人授权委托代理，</w:t>
      </w:r>
      <w:r>
        <w:rPr>
          <w:rFonts w:hint="eastAsia" w:ascii="宋体" w:hAnsi="宋体" w:eastAsia="宋体" w:cs="宋体"/>
          <w:color w:val="auto"/>
          <w:sz w:val="24"/>
          <w:highlight w:val="none"/>
        </w:rPr>
        <w:t xml:space="preserve">，我承认</w:t>
      </w:r>
      <w:r>
        <w:rPr>
          <w:rFonts w:hint="eastAsia" w:ascii="宋体" w:hAnsi="宋体" w:eastAsia="宋体" w:cs="宋体"/>
          <w:color w:val="auto"/>
          <w:sz w:val="24"/>
          <w:highlight w:val="none"/>
          <w:lang w:eastAsia="zh-CN"/>
        </w:rPr>
        <w:t xml:space="preserve">被授权人</w:t>
      </w:r>
      <w:r>
        <w:rPr>
          <w:rFonts w:hint="eastAsia" w:ascii="宋体" w:hAnsi="宋体" w:eastAsia="宋体" w:cs="宋体"/>
          <w:color w:val="auto"/>
          <w:sz w:val="24"/>
          <w:highlight w:val="none"/>
        </w:rPr>
        <w:t xml:space="preserve">全权代表我所签署的本项目的</w:t>
      </w:r>
      <w:r>
        <w:rPr>
          <w:rFonts w:hint="eastAsia" w:ascii="宋体" w:hAnsi="宋体" w:eastAsia="宋体" w:cs="宋体"/>
          <w:color w:val="auto"/>
          <w:sz w:val="24"/>
          <w:highlight w:val="none"/>
          <w:lang w:eastAsia="zh-CN"/>
        </w:rPr>
        <w:t xml:space="preserve">投标文件</w:t>
      </w:r>
      <w:r>
        <w:rPr>
          <w:rFonts w:hint="eastAsia" w:ascii="宋体" w:hAnsi="宋体" w:eastAsia="宋体" w:cs="宋体"/>
          <w:color w:val="auto"/>
          <w:sz w:val="24"/>
          <w:highlight w:val="none"/>
        </w:rPr>
        <w:t xml:space="preserve">的内容。</w:t>
      </w:r>
      <w:r>
        <w:rPr>
          <w:rFonts w:hint="eastAsia" w:ascii="宋体" w:hAnsi="宋体" w:eastAsia="宋体" w:cs="宋体"/>
          <w:color w:val="auto"/>
          <w:sz w:val="24"/>
          <w:szCs w:val="24"/>
          <w:highlight w:val="none"/>
        </w:rPr>
        <w:t xml:space="preserve">以本单位名义全权处理一切与该项目采购有关的事务。</w:t>
      </w:r>
      <w:r/>
    </w:p>
    <w:p>
      <w:pPr>
        <w:pStyle w:val="833"/>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833"/>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833"/>
        <w:ind w:firstLine="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833"/>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833"/>
        <w:ind w:firstLine="480"/>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833"/>
        <w:ind w:firstLine="4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（加盖CA电子公章）</w:t>
      </w:r>
      <w:r/>
    </w:p>
    <w:p>
      <w:pPr>
        <w:pStyle w:val="833"/>
        <w:ind w:firstLine="120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spacing w:line="48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w:t>
      </w:r>
      <w:r>
        <w:rPr>
          <w:rFonts w:hint="eastAsia" w:ascii="宋体" w:hAnsi="宋体" w:eastAsia="宋体" w:cs="宋体"/>
          <w:b/>
          <w:bCs/>
          <w:color w:val="auto"/>
          <w:sz w:val="24"/>
          <w:highlight w:val="none"/>
          <w:lang w:eastAsia="zh-CN"/>
        </w:rPr>
        <w:t xml:space="preserve">被授权人</w:t>
      </w:r>
      <w:r>
        <w:rPr>
          <w:rFonts w:hint="eastAsia" w:ascii="宋体" w:hAnsi="宋体" w:eastAsia="宋体" w:cs="宋体"/>
          <w:b/>
          <w:bCs/>
          <w:color w:val="auto"/>
          <w:sz w:val="24"/>
          <w:highlight w:val="none"/>
        </w:rPr>
        <w:t xml:space="preserve">身份证正反面</w:t>
      </w:r>
      <w:r>
        <w:rPr>
          <w:rFonts w:hint="eastAsia" w:ascii="宋体" w:hAnsi="宋体" w:eastAsia="宋体" w:cs="宋体"/>
          <w:b/>
          <w:bCs/>
          <w:color w:val="auto"/>
          <w:sz w:val="24"/>
          <w:highlight w:val="none"/>
          <w:lang w:eastAsia="zh-CN"/>
        </w:rPr>
        <w:t xml:space="preserve">复印件或扫描件</w:t>
      </w:r>
      <w:r>
        <w:rPr>
          <w:rFonts w:hint="eastAsia" w:ascii="宋体" w:hAnsi="宋体" w:eastAsia="宋体" w:cs="宋体"/>
          <w:b/>
          <w:bCs/>
          <w:color w:val="auto"/>
          <w:sz w:val="24"/>
          <w:highlight w:val="none"/>
        </w:rPr>
        <w:t xml:space="preserve">）</w:t>
      </w:r>
      <w:r/>
    </w:p>
    <w:p>
      <w:pPr>
        <w:pStyle w:val="649"/>
        <w:spacing w:line="48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被授权人</w:t>
      </w:r>
      <w:r>
        <w:rPr>
          <w:rFonts w:hint="eastAsia" w:ascii="宋体" w:hAnsi="宋体" w:eastAsia="宋体" w:cs="宋体"/>
          <w:color w:val="auto"/>
          <w:sz w:val="24"/>
          <w:szCs w:val="24"/>
          <w:highlight w:val="none"/>
          <w:lang w:eastAsia="zh-CN"/>
        </w:rPr>
        <w:t xml:space="preserve">须为本单位正式职工</w:t>
      </w:r>
      <w:r>
        <w:rPr>
          <w:rFonts w:hint="eastAsia" w:ascii="宋体" w:hAnsi="宋体" w:eastAsia="宋体" w:cs="宋体"/>
          <w:color w:val="auto"/>
          <w:sz w:val="24"/>
          <w:szCs w:val="24"/>
          <w:highlight w:val="none"/>
          <w:lang w:val="en-US" w:eastAsia="zh-CN"/>
        </w:rPr>
        <w:t xml:space="preserve">并提供投标人为被授权人缴纳的社会养老保险证明。</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center"/>
        <w:spacing w:before="50" w:after="50"/>
        <w:rPr>
          <w:rFonts w:hint="eastAsia" w:ascii="黑体" w:hAnsi="Times New Roman" w:eastAsia="黑体" w:cs="Times New Roman"/>
          <w:b/>
          <w:bCs/>
          <w:color w:val="auto"/>
          <w:sz w:val="32"/>
          <w:szCs w:val="32"/>
          <w:highlight w:val="none"/>
        </w:rPr>
      </w:pPr>
      <w:r>
        <w:rPr>
          <w:rFonts w:ascii="宋体" w:hAnsi="宋体"/>
          <w:bCs/>
          <w:color w:val="auto"/>
          <w:sz w:val="24"/>
          <w:highlight w:val="none"/>
        </w:rPr>
        <w:br w:type="page" w:clear="all"/>
      </w:r>
      <w:r>
        <w:rPr>
          <w:rFonts w:hint="eastAsia" w:ascii="黑体" w:hAnsi="Times New Roman" w:eastAsia="黑体" w:cs="Times New Roman"/>
          <w:b/>
          <w:bCs/>
          <w:color w:val="auto"/>
          <w:sz w:val="32"/>
          <w:szCs w:val="32"/>
          <w:highlight w:val="none"/>
          <w:lang w:val="en-US" w:eastAsia="zh-CN"/>
        </w:rPr>
        <w:t xml:space="preserve">5.</w:t>
      </w:r>
      <w:r>
        <w:rPr>
          <w:rFonts w:hint="eastAsia" w:ascii="黑体" w:hAnsi="Times New Roman" w:eastAsia="黑体" w:cs="Times New Roman"/>
          <w:b/>
          <w:bCs/>
          <w:color w:val="auto"/>
          <w:sz w:val="32"/>
          <w:szCs w:val="32"/>
          <w:highlight w:val="none"/>
        </w:rPr>
        <w:t xml:space="preserve">开标一览表（格式）</w:t>
      </w:r>
      <w:r/>
    </w:p>
    <w:p>
      <w:pPr>
        <w:jc w:val="center"/>
        <w:spacing w:before="50" w:after="50"/>
        <w:rPr>
          <w:rFonts w:hint="eastAsia" w:ascii="黑体" w:eastAsia="黑体"/>
          <w:color w:val="auto"/>
          <w:sz w:val="32"/>
          <w:szCs w:val="32"/>
          <w:highlight w:val="none"/>
        </w:rPr>
      </w:pPr>
      <w:r>
        <w:rPr>
          <w:rFonts w:hint="eastAsia" w:ascii="黑体" w:eastAsia="黑体"/>
          <w:color w:val="auto"/>
          <w:sz w:val="32"/>
          <w:szCs w:val="32"/>
          <w:highlight w:val="none"/>
        </w:rPr>
      </w:r>
      <w:r/>
    </w:p>
    <w:tbl>
      <w:tblPr>
        <w:tblStyle w:val="645"/>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val="false"/>
          </w:tcPr>
          <w:p>
            <w:pPr>
              <w:ind w:firstLine="420"/>
              <w:rPr>
                <w:rFonts w:hint="eastAsia" w:ascii="宋体"/>
                <w:color w:val="auto"/>
                <w:szCs w:val="28"/>
                <w:highlight w:val="none"/>
              </w:rPr>
            </w:pPr>
            <w:r>
              <w:rPr>
                <w:rFonts w:hint="eastAsia" w:ascii="宋体"/>
                <w:color w:val="auto"/>
                <w:szCs w:val="28"/>
                <w:highlight w:val="none"/>
              </w:rPr>
              <w:t xml:space="preserve">项 目 编 号</w:t>
            </w:r>
            <w:r/>
          </w:p>
        </w:tc>
        <w:tc>
          <w:tcPr>
            <w:tcW w:w="7445" w:type="dxa"/>
            <w:vAlign w:val="center"/>
            <w:textDirection w:val="lrTb"/>
            <w:noWrap w:val="false"/>
          </w:tcPr>
          <w:p>
            <w:pPr>
              <w:pStyle w:val="636"/>
              <w:ind w:firstLine="689"/>
              <w:jc w:val="both"/>
              <w:rPr>
                <w:rFonts w:hint="eastAsia" w:ascii="宋体" w:hAnsi="宋体" w:eastAsia="宋体"/>
                <w:color w:val="auto"/>
                <w:sz w:val="28"/>
                <w:szCs w:val="28"/>
                <w:highlight w:val="none"/>
              </w:rPr>
            </w:pPr>
            <w:r>
              <w:rPr>
                <w:rFonts w:hint="eastAsia" w:ascii="宋体" w:hAnsi="宋体" w:eastAsia="宋体"/>
                <w:color w:val="auto"/>
                <w:sz w:val="28"/>
                <w:szCs w:val="28"/>
                <w:highlight w:val="none"/>
              </w:rPr>
            </w:r>
            <w:r/>
          </w:p>
        </w:tc>
      </w:tr>
      <w:tr>
        <w:trPr>
          <w:cantSplit/>
          <w:trHeight w:val="789"/>
        </w:trPr>
        <w:tc>
          <w:tcPr>
            <w:tcW w:w="2700" w:type="dxa"/>
            <w:vAlign w:val="center"/>
            <w:textDirection w:val="lrTb"/>
            <w:noWrap w:val="false"/>
          </w:tcPr>
          <w:p>
            <w:pPr>
              <w:ind w:firstLine="420"/>
              <w:rPr>
                <w:rFonts w:hint="eastAsia" w:ascii="宋体"/>
                <w:color w:val="auto"/>
                <w:szCs w:val="28"/>
                <w:highlight w:val="none"/>
              </w:rPr>
            </w:pPr>
            <w:r>
              <w:rPr>
                <w:rFonts w:hint="eastAsia" w:ascii="宋体"/>
                <w:color w:val="auto"/>
                <w:szCs w:val="28"/>
                <w:highlight w:val="none"/>
              </w:rPr>
              <w:t xml:space="preserve">项 目 名 称</w:t>
            </w:r>
            <w:r/>
          </w:p>
        </w:tc>
        <w:tc>
          <w:tcPr>
            <w:tcW w:w="7445" w:type="dxa"/>
            <w:vAlign w:val="center"/>
            <w:textDirection w:val="lrTb"/>
            <w:noWrap w:val="false"/>
          </w:tcPr>
          <w:p>
            <w:pPr>
              <w:pStyle w:val="636"/>
              <w:jc w:val="both"/>
              <w:rPr>
                <w:rFonts w:hint="eastAsia"/>
                <w:color w:val="auto"/>
                <w:sz w:val="28"/>
                <w:szCs w:val="28"/>
                <w:highlight w:val="none"/>
              </w:rPr>
            </w:pPr>
            <w:r>
              <w:rPr>
                <w:rFonts w:hint="eastAsia"/>
                <w:color w:val="auto"/>
                <w:sz w:val="28"/>
                <w:szCs w:val="28"/>
                <w:highlight w:val="none"/>
              </w:rPr>
            </w:r>
            <w:r/>
          </w:p>
        </w:tc>
      </w:tr>
      <w:tr>
        <w:trPr>
          <w:cantSplit/>
          <w:trHeight w:val="821"/>
        </w:trPr>
        <w:tc>
          <w:tcPr>
            <w:gridSpan w:val="2"/>
            <w:tcW w:w="10145" w:type="dxa"/>
            <w:vAlign w:val="center"/>
            <w:textDirection w:val="lrTb"/>
            <w:noWrap w:val="false"/>
          </w:tcPr>
          <w:p>
            <w:pPr>
              <w:rPr>
                <w:rFonts w:hint="eastAsia" w:ascii="宋体"/>
                <w:color w:val="auto"/>
                <w:szCs w:val="28"/>
                <w:highlight w:val="none"/>
              </w:rPr>
            </w:pPr>
            <w:r>
              <w:rPr>
                <w:rFonts w:hint="eastAsia" w:ascii="宋体" w:hAnsi="宋体" w:eastAsia="宋体" w:cs="宋体"/>
                <w:b/>
                <w:bCs/>
                <w:szCs w:val="28"/>
              </w:rPr>
              <w:t xml:space="preserve">项目投标报价：（大写）</w:t>
            </w:r>
            <w:r>
              <w:rPr>
                <w:rFonts w:hint="eastAsia" w:ascii="宋体" w:hAnsi="宋体" w:eastAsia="宋体" w:cs="宋体"/>
                <w:b/>
                <w:bCs/>
                <w:szCs w:val="28"/>
                <w:u w:val="single"/>
              </w:rPr>
              <w:t xml:space="preserve">                       </w:t>
            </w:r>
            <w:r>
              <w:rPr>
                <w:rFonts w:hint="eastAsia" w:ascii="宋体" w:hAnsi="宋体" w:eastAsia="宋体" w:cs="宋体"/>
                <w:b/>
                <w:bCs/>
                <w:szCs w:val="28"/>
              </w:rPr>
              <w:t xml:space="preserve">，小写：</w:t>
            </w:r>
            <w:r>
              <w:rPr>
                <w:rFonts w:hint="eastAsia" w:ascii="宋体" w:hAnsi="宋体" w:eastAsia="宋体" w:cs="宋体"/>
                <w:b/>
                <w:bCs/>
                <w:szCs w:val="28"/>
                <w:u w:val="single"/>
              </w:rPr>
              <w:t xml:space="preserve">                     </w:t>
            </w:r>
            <w:r>
              <w:rPr>
                <w:rFonts w:hint="eastAsia" w:ascii="宋体" w:hAnsi="宋体" w:eastAsia="宋体" w:cs="宋体"/>
                <w:b/>
                <w:bCs/>
                <w:szCs w:val="28"/>
              </w:rPr>
              <w:t xml:space="preserve"> </w:t>
            </w:r>
            <w:r/>
          </w:p>
        </w:tc>
      </w:tr>
      <w:tr>
        <w:trPr>
          <w:cantSplit/>
          <w:trHeight w:val="821"/>
        </w:trPr>
        <w:tc>
          <w:tcPr>
            <w:gridSpan w:val="2"/>
            <w:tcW w:w="10145" w:type="dxa"/>
            <w:vAlign w:val="center"/>
            <w:textDirection w:val="lrTb"/>
            <w:noWrap w:val="false"/>
          </w:tcPr>
          <w:p>
            <w:pPr>
              <w:rPr>
                <w:rFonts w:hint="eastAsia" w:ascii="宋体"/>
                <w:b/>
                <w:bCs/>
                <w:color w:val="auto"/>
                <w:szCs w:val="28"/>
                <w:highlight w:val="none"/>
              </w:rPr>
            </w:pPr>
            <w:r>
              <w:rPr>
                <w:rFonts w:hint="eastAsia" w:ascii="宋体" w:hAnsi="宋体" w:eastAsia="宋体" w:cs="宋体"/>
                <w:b/>
                <w:bCs/>
                <w:szCs w:val="28"/>
              </w:rPr>
              <w:t xml:space="preserve">是否提供《企业类型声明函》：</w:t>
            </w:r>
            <w:r>
              <w:rPr>
                <w:rFonts w:hint="eastAsia" w:ascii="宋体" w:hAnsi="宋体" w:eastAsia="宋体" w:cs="宋体"/>
                <w:b/>
                <w:bCs/>
                <w:szCs w:val="28"/>
                <w:u w:val="single"/>
              </w:rPr>
              <w:t xml:space="preserve">  是/否   </w:t>
            </w:r>
            <w:r/>
          </w:p>
        </w:tc>
      </w:tr>
      <w:tr>
        <w:trPr>
          <w:cantSplit/>
          <w:trHeight w:val="821"/>
        </w:trPr>
        <w:tc>
          <w:tcPr>
            <w:gridSpan w:val="2"/>
            <w:tcW w:w="10145" w:type="dxa"/>
            <w:vAlign w:val="center"/>
            <w:textDirection w:val="lrTb"/>
            <w:noWrap w:val="false"/>
          </w:tcPr>
          <w:p>
            <w:pPr>
              <w:rPr>
                <w:rFonts w:hint="eastAsia" w:ascii="宋体"/>
                <w:b/>
                <w:bCs/>
                <w:color w:val="auto"/>
                <w:szCs w:val="28"/>
                <w:highlight w:val="none"/>
              </w:rPr>
            </w:pPr>
            <w:r>
              <w:rPr>
                <w:rFonts w:hint="eastAsia" w:ascii="宋体" w:hAnsi="宋体" w:eastAsia="宋体" w:cs="宋体"/>
                <w:b/>
                <w:bCs/>
                <w:szCs w:val="28"/>
              </w:rPr>
              <w:t xml:space="preserve">项目实施时间（供期或工期）： </w:t>
            </w:r>
            <w:r/>
          </w:p>
        </w:tc>
      </w:tr>
    </w:tbl>
    <w:p>
      <w:pPr>
        <w:spacing w:line="180" w:lineRule="atLeast"/>
        <w:rPr>
          <w:rFonts w:hint="eastAsia" w:ascii="宋体" w:hAnsi="宋体"/>
          <w:color w:val="auto"/>
          <w:szCs w:val="28"/>
          <w:highlight w:val="none"/>
        </w:rPr>
      </w:pPr>
      <w:r>
        <w:rPr>
          <w:rFonts w:hint="eastAsia" w:ascii="宋体" w:hAnsi="宋体"/>
          <w:color w:val="auto"/>
          <w:szCs w:val="28"/>
          <w:highlight w:val="none"/>
        </w:rPr>
        <w:t xml:space="preserve">填写说明：</w:t>
      </w:r>
      <w:r/>
    </w:p>
    <w:p>
      <w:pPr>
        <w:numPr>
          <w:ilvl w:val="0"/>
          <w:numId w:val="1"/>
        </w:numPr>
        <w:rPr>
          <w:rStyle w:val="826"/>
          <w:rFonts w:hint="eastAsia" w:ascii="宋体" w:hAnsi="宋体"/>
          <w:color w:val="auto"/>
          <w:sz w:val="24"/>
          <w:highlight w:val="none"/>
        </w:rPr>
      </w:pPr>
      <w:r>
        <w:rPr>
          <w:rStyle w:val="826"/>
          <w:rFonts w:ascii="宋体" w:hAnsi="宋体"/>
          <w:color w:val="auto"/>
          <w:sz w:val="24"/>
          <w:highlight w:val="none"/>
        </w:rPr>
        <w:t xml:space="preserve">开标一览表不得填报选择性报价，否则将作为无效投标</w:t>
      </w:r>
      <w:r>
        <w:rPr>
          <w:rStyle w:val="826"/>
          <w:rFonts w:hint="eastAsia" w:ascii="宋体" w:hAnsi="宋体"/>
          <w:color w:val="auto"/>
          <w:sz w:val="24"/>
          <w:highlight w:val="none"/>
        </w:rPr>
        <w:t xml:space="preserve">。</w:t>
      </w:r>
      <w:r/>
    </w:p>
    <w:p>
      <w:pPr>
        <w:numPr>
          <w:ilvl w:val="0"/>
          <w:numId w:val="1"/>
        </w:numPr>
        <w:rPr>
          <w:rStyle w:val="826"/>
          <w:rFonts w:hint="eastAsia" w:ascii="宋体" w:hAnsi="宋体"/>
          <w:color w:val="auto"/>
          <w:sz w:val="24"/>
          <w:highlight w:val="none"/>
        </w:rPr>
      </w:pPr>
      <w:r>
        <w:rPr>
          <w:rFonts w:hint="eastAsia" w:ascii="宋体" w:hAnsi="宋体" w:cs="宋体"/>
          <w:color w:val="auto"/>
          <w:sz w:val="24"/>
          <w:szCs w:val="24"/>
          <w:highlight w:val="none"/>
        </w:rPr>
        <w:t xml:space="preserve">投标报价保留两位小数。</w:t>
      </w:r>
      <w:r/>
    </w:p>
    <w:p>
      <w:pPr>
        <w:numPr>
          <w:ilvl w:val="0"/>
          <w:numId w:val="1"/>
        </w:numPr>
        <w:rPr>
          <w:rFonts w:hint="eastAsia" w:ascii="宋体" w:hAnsi="宋体" w:cs="宋体"/>
          <w:color w:val="auto"/>
          <w:sz w:val="24"/>
          <w:szCs w:val="24"/>
          <w:highlight w:val="none"/>
          <w:lang w:val="en-US" w:eastAsia="zh-CN"/>
        </w:rPr>
      </w:pPr>
      <w:r>
        <w:rPr>
          <w:rFonts w:hint="eastAsia" w:ascii="宋体" w:hAnsi="宋体" w:eastAsia="宋体" w:cs="宋体"/>
          <w:b/>
          <w:bCs/>
          <w:szCs w:val="28"/>
        </w:rPr>
        <w:t xml:space="preserve">项目实施时间（供期或工期）</w:t>
      </w:r>
      <w:r>
        <w:rPr>
          <w:rFonts w:hint="eastAsia" w:ascii="宋体" w:hAnsi="宋体" w:eastAsia="宋体" w:cs="宋体"/>
          <w:b/>
          <w:bCs/>
          <w:szCs w:val="28"/>
          <w:lang w:eastAsia="zh-CN"/>
        </w:rPr>
        <w:t xml:space="preserve">：须填写为365天，该时间仅为</w:t>
      </w:r>
      <w:r>
        <w:rPr>
          <w:rFonts w:hint="eastAsia" w:ascii="宋体" w:hAnsi="宋体" w:eastAsia="宋体" w:cs="宋体"/>
          <w:b/>
          <w:bCs/>
          <w:szCs w:val="28"/>
          <w:lang w:val="en-US" w:eastAsia="zh-CN"/>
        </w:rPr>
        <w:t xml:space="preserve">编制</w:t>
      </w:r>
      <w:r>
        <w:rPr>
          <w:rFonts w:hint="eastAsia" w:ascii="宋体" w:hAnsi="宋体" w:eastAsia="宋体" w:cs="宋体"/>
          <w:b/>
          <w:bCs/>
          <w:szCs w:val="28"/>
          <w:lang w:eastAsia="zh-CN"/>
        </w:rPr>
        <w:t xml:space="preserve">投标文件时需要，实际履约时间仍为“</w:t>
      </w:r>
      <w:r>
        <w:rPr>
          <w:rFonts w:hint="eastAsia" w:ascii="宋体" w:hAnsi="宋体" w:eastAsia="宋体" w:cs="宋体"/>
          <w:b/>
          <w:bCs/>
          <w:szCs w:val="28"/>
          <w:lang w:val="en-US" w:eastAsia="zh-CN"/>
        </w:rPr>
        <w:t xml:space="preserve">自合同签订之日起至2024年12月底完成交付。具体时间安排根据内业测试进度，国家、省、市要求进行调整</w:t>
      </w:r>
      <w:r>
        <w:rPr>
          <w:rFonts w:hint="eastAsia" w:ascii="宋体" w:hAnsi="宋体" w:eastAsia="宋体" w:cs="宋体"/>
          <w:b/>
          <w:bCs/>
          <w:szCs w:val="28"/>
          <w:lang w:eastAsia="zh-CN"/>
        </w:rPr>
        <w:t xml:space="preserve">”</w:t>
      </w:r>
      <w:r>
        <w:rPr>
          <w:rFonts w:hint="eastAsia" w:ascii="宋体" w:hAnsi="宋体" w:cs="宋体"/>
          <w:color w:val="auto"/>
          <w:sz w:val="24"/>
          <w:szCs w:val="24"/>
          <w:highlight w:val="none"/>
          <w:lang w:val="en-US" w:eastAsia="zh-CN"/>
        </w:rPr>
        <w:t xml:space="preserve">。</w:t>
      </w:r>
      <w:r/>
    </w:p>
    <w:p>
      <w:pPr>
        <w:pStyle w:val="675"/>
        <w:rPr>
          <w:rFonts w:hint="eastAsia" w:ascii="宋体" w:hAnsi="宋体"/>
          <w:b/>
          <w:color w:val="auto"/>
          <w:sz w:val="24"/>
          <w:highlight w:val="none"/>
        </w:rPr>
      </w:pPr>
      <w:r>
        <w:rPr>
          <w:rFonts w:hint="eastAsia" w:ascii="宋体" w:hAnsi="宋体"/>
          <w:b/>
          <w:color w:val="auto"/>
          <w:sz w:val="24"/>
          <w:highlight w:val="none"/>
        </w:rPr>
      </w:r>
      <w:r/>
    </w:p>
    <w:p>
      <w:pPr>
        <w:ind w:firstLine="2400"/>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val="en-US"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200"/>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t xml:space="preserve">      </w:t>
      </w:r>
      <w:r/>
    </w:p>
    <w:p>
      <w:pPr>
        <w:jc w:val="right"/>
        <w:rPr>
          <w:rFonts w:ascii="仿宋_GB2312" w:eastAsia="仿宋_GB2312"/>
          <w:color w:val="auto"/>
          <w:sz w:val="24"/>
          <w:highlight w:val="none"/>
        </w:rPr>
        <w:outlineLvl w:val="1"/>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黑体" w:eastAsia="黑体"/>
          <w:i/>
          <w:color w:val="auto"/>
          <w:sz w:val="32"/>
          <w:szCs w:val="32"/>
          <w:highlight w:val="none"/>
          <w:u w:val="single"/>
        </w:rPr>
        <w:br w:type="page" w:clear="all"/>
      </w:r>
      <w:r>
        <w:rPr>
          <w:rFonts w:hint="eastAsia" w:ascii="黑体" w:hAnsi="Times New Roman" w:eastAsia="黑体" w:cs="Times New Roman"/>
          <w:b/>
          <w:bCs/>
          <w:color w:val="auto"/>
          <w:sz w:val="32"/>
          <w:szCs w:val="32"/>
          <w:highlight w:val="none"/>
          <w:lang w:val="en-US" w:eastAsia="zh-CN"/>
        </w:rPr>
        <w:t xml:space="preserve">6.报价明细表（格式）</w:t>
      </w:r>
      <w:r/>
    </w:p>
    <w:tbl>
      <w:tblPr>
        <w:tblStyle w:val="645"/>
        <w:tblW w:w="9357" w:type="dxa"/>
        <w:jc w:val="center"/>
        <w:tblLayout w:type="fixed"/>
        <w:tblCellMar>
          <w:left w:w="0" w:type="dxa"/>
          <w:top w:w="0" w:type="dxa"/>
          <w:right w:w="0" w:type="dxa"/>
          <w:bottom w:w="0" w:type="dxa"/>
        </w:tblCellMar>
        <w:tblLook w:val="04A0" w:firstRow="1" w:lastRow="0" w:firstColumn="1" w:lastColumn="0" w:noHBand="0" w:noVBand="1"/>
      </w:tblPr>
      <w:tblGrid>
        <w:gridCol w:w="537"/>
        <w:gridCol w:w="2194"/>
        <w:gridCol w:w="2112"/>
        <w:gridCol w:w="1069"/>
        <w:gridCol w:w="836"/>
        <w:gridCol w:w="1180"/>
        <w:gridCol w:w="1429"/>
      </w:tblGrid>
      <w:tr>
        <w:trPr>
          <w:jc w:val="center"/>
          <w:trHeight w:val="74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jc w:val="center"/>
              <w:rPr>
                <w:rFonts w:hint="eastAsia" w:ascii="宋体" w:hAnsi="宋体" w:eastAsia="宋体" w:cs="宋体"/>
                <w:sz w:val="24"/>
                <w:szCs w:val="22"/>
              </w:rPr>
            </w:pPr>
            <w:r>
              <w:rPr>
                <w:rFonts w:hint="eastAsia" w:ascii="宋体" w:hAnsi="宋体" w:eastAsia="宋体" w:cs="宋体"/>
                <w:sz w:val="24"/>
                <w:szCs w:val="22"/>
              </w:rPr>
              <w:t xml:space="preserve">项 目 名 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jc w:val="center"/>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服务内容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单位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数量</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hint="eastAsia" w:ascii="宋体" w:hAnsi="宋体" w:eastAsia="宋体" w:cs="宋体"/>
                <w:sz w:val="24"/>
                <w:lang w:eastAsia="zh-CN"/>
              </w:rPr>
            </w:pPr>
            <w:r>
              <w:rPr>
                <w:rFonts w:hint="eastAsia" w:ascii="宋体" w:hAnsi="宋体" w:eastAsia="宋体" w:cs="宋体"/>
                <w:sz w:val="24"/>
              </w:rPr>
              <w:t xml:space="preserve">单价</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元</w:t>
            </w:r>
            <w:r>
              <w:rPr>
                <w:rFonts w:hint="eastAsia" w:ascii="宋体" w:hAnsi="宋体" w:eastAsia="宋体" w:cs="宋体"/>
                <w:sz w:val="24"/>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sz w:val="24"/>
                <w:lang w:eastAsia="zh-CN"/>
              </w:rPr>
            </w:pPr>
            <w:r>
              <w:rPr>
                <w:rFonts w:hint="eastAsia" w:ascii="宋体" w:hAnsi="宋体" w:eastAsia="宋体" w:cs="宋体"/>
                <w:sz w:val="24"/>
              </w:rPr>
              <w:t xml:space="preserve">合价</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元</w:t>
            </w:r>
            <w:r>
              <w:rPr>
                <w:rFonts w:hint="eastAsia" w:ascii="宋体" w:hAnsi="宋体" w:eastAsia="宋体" w:cs="宋体"/>
                <w:sz w:val="24"/>
                <w:lang w:eastAsia="zh-CN"/>
              </w:rPr>
              <w:t xml:space="preserve">）</w:t>
            </w:r>
            <w:r/>
          </w:p>
        </w:tc>
      </w:tr>
      <w:tr>
        <w:trPr>
          <w:jc w:val="center"/>
          <w:trHeight w:val="66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7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7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61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9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12"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3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2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cantSplit/>
          <w:jc w:val="center"/>
          <w:trHeight w:val="701"/>
        </w:trPr>
        <w:tc>
          <w:tcPr>
            <w:gridSpan w:val="2"/>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2731" w:type="dxa"/>
            <w:vAlign w:val="center"/>
            <w:textDirection w:val="lrTb"/>
            <w:noWrap w:val="false"/>
          </w:tcPr>
          <w:p>
            <w:pPr>
              <w:jc w:val="center"/>
              <w:rPr>
                <w:rFonts w:hint="eastAsia" w:ascii="宋体" w:hAnsi="宋体" w:eastAsia="宋体" w:cs="宋体"/>
                <w:sz w:val="24"/>
                <w:lang w:eastAsia="zh-CN"/>
              </w:rPr>
            </w:pPr>
            <w:r>
              <w:rPr>
                <w:rFonts w:hint="eastAsia" w:ascii="宋体" w:hAnsi="宋体" w:eastAsia="宋体" w:cs="宋体"/>
                <w:sz w:val="24"/>
              </w:rPr>
              <w:t xml:space="preserve">总价</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大写</w:t>
            </w:r>
            <w:r>
              <w:rPr>
                <w:rFonts w:hint="eastAsia" w:ascii="宋体" w:hAnsi="宋体" w:eastAsia="宋体" w:cs="宋体"/>
                <w:sz w:val="24"/>
                <w:lang w:eastAsia="zh-CN"/>
              </w:rPr>
              <w:t xml:space="preserve">）</w:t>
            </w:r>
            <w:r/>
          </w:p>
        </w:tc>
        <w:tc>
          <w:tcPr>
            <w:gridSpan w:val="5"/>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626" w:type="dxa"/>
            <w:vAlign w:val="top"/>
            <w:textDirection w:val="lrTb"/>
            <w:noWrap w:val="false"/>
          </w:tcPr>
          <w:p>
            <w:pPr>
              <w:rPr>
                <w:rFonts w:hint="eastAsia" w:ascii="宋体" w:hAnsi="宋体" w:eastAsia="宋体" w:cs="宋体"/>
                <w:sz w:val="24"/>
              </w:rPr>
            </w:pPr>
            <w:r>
              <w:rPr>
                <w:rFonts w:hint="eastAsia" w:ascii="宋体" w:hAnsi="宋体" w:eastAsia="宋体" w:cs="宋体"/>
                <w:sz w:val="24"/>
              </w:rPr>
            </w:r>
            <w:r/>
          </w:p>
        </w:tc>
      </w:tr>
    </w:tbl>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1.投标报价应是招标范围内全部工作内容的价格体现，报价明细表中的报价应包括全部工作内容的价格体现，以及为完成上述内容所必须的</w:t>
      </w:r>
      <w:r>
        <w:rPr>
          <w:rFonts w:hint="eastAsia" w:ascii="宋体" w:hAnsi="宋体" w:eastAsia="宋体" w:cs="宋体"/>
          <w:color w:val="auto"/>
          <w:sz w:val="24"/>
          <w:szCs w:val="24"/>
          <w:highlight w:val="none"/>
          <w:lang w:eastAsia="zh-CN"/>
        </w:rPr>
        <w:t xml:space="preserve">人员工资、加班费、工作人员差旅费、调研考察、各项福利、劳动保险、餐费、员工补助、工作人员必要的住宿费、办公费、论证费、验收费、各类方案评审费、（含专家劳务费、会议组织费）、管理费、为本招标项目提供服务所需的仪器设备、各类耗材、公共耗能费、利润、税金、本项目招标代理费、服务期内政策调整风险费等一切费用，招标文件规定的全部费用投标人中标后投标报价不再调整</w:t>
      </w:r>
      <w:r>
        <w:rPr>
          <w:rFonts w:hint="eastAsia" w:ascii="宋体" w:hAnsi="宋体" w:eastAsia="宋体" w:cs="宋体"/>
          <w:color w:val="auto"/>
          <w:sz w:val="24"/>
          <w:szCs w:val="24"/>
          <w:highlight w:val="none"/>
          <w:lang w:val="en-US" w:eastAsia="zh-CN"/>
        </w:rPr>
        <w:t xml:space="preserve">。对投标人认为没有考虑到的费用项目采购人将不予支付，并认为此项费用已包含在投标报价中。</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此表可以根据需要自行增减行数。</w:t>
      </w:r>
      <w:r/>
    </w:p>
    <w:p>
      <w:pPr>
        <w:ind w:firstLine="4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★如服务类项目采购人可根据项目需求特点自行制作。</w:t>
      </w:r>
      <w:r/>
    </w:p>
    <w:p>
      <w:pP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备注：该表仅适用于项目采用货币报价的情形。项目采用折扣率报价的，如需要填写投标</w:t>
      </w:r>
      <w:r>
        <w:rPr>
          <w:rFonts w:hint="eastAsia" w:ascii="宋体" w:hAnsi="宋体" w:eastAsia="宋体" w:cs="宋体"/>
          <w:color w:val="auto"/>
          <w:sz w:val="24"/>
          <w:szCs w:val="24"/>
          <w:highlight w:val="none"/>
          <w:lang w:eastAsia="zh-CN"/>
        </w:rPr>
        <w:t xml:space="preserve">报价明细表</w:t>
      </w:r>
      <w:r>
        <w:rPr>
          <w:rFonts w:hint="eastAsia" w:ascii="宋体" w:hAnsi="宋体" w:eastAsia="宋体" w:cs="宋体"/>
          <w:color w:val="auto"/>
          <w:sz w:val="24"/>
          <w:szCs w:val="24"/>
          <w:highlight w:val="none"/>
        </w:rPr>
        <w:t xml:space="preserve">，请项目经办人自行设计表格。招标文件定稿后该备注删除。</w:t>
      </w:r>
      <w:r/>
    </w:p>
    <w:p>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w:t>
      </w:r>
      <w:r>
        <w:rPr>
          <w:rFonts w:hint="eastAsia" w:ascii="宋体" w:hAnsi="宋体" w:eastAsia="宋体" w:cs="宋体"/>
          <w:color w:val="auto"/>
          <w:sz w:val="24"/>
          <w:highlight w:val="none"/>
          <w:lang w:val="en-US" w:eastAsia="zh-CN"/>
        </w:rPr>
        <w:t xml:space="preserve">被授权人（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p>
    <w:p>
      <w:pPr>
        <w:ind w:firstLine="168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6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rPr>
        <w:t xml:space="preserve">：</w:t>
      </w:r>
      <w:r/>
    </w:p>
    <w:p>
      <w:pPr>
        <w:ind w:firstLine="1200"/>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right"/>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7.投标函</w:t>
      </w:r>
      <w:r/>
    </w:p>
    <w:p>
      <w:pPr>
        <w:pStyle w:val="834"/>
        <w:ind w:firstLine="0"/>
        <w:spacing w:before="0" w:after="0" w:line="42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p>
    <w:p>
      <w:pPr>
        <w:pStyle w:val="834"/>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83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lang w:eastAsia="zh-CN"/>
        </w:rPr>
        <w:t xml:space="preserve">JSZC-320981-TXJS-G2024-0015</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p>
    <w:p>
      <w:pPr>
        <w:pStyle w:val="83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834"/>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83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3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3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3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3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pStyle w:val="834"/>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7.与本投标有关的正式通讯地址为：</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地址：</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邮编：</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电话：</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传真：</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投标人开户行：</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账户：</w:t>
      </w:r>
      <w:r>
        <w:rPr>
          <w:rFonts w:hint="eastAsia" w:ascii="宋体" w:hAnsi="宋体" w:eastAsia="宋体" w:cs="宋体"/>
          <w:color w:val="auto"/>
          <w:sz w:val="24"/>
          <w:highlight w:val="none"/>
        </w:rPr>
        <w:t xml:space="preserve">                                      </w:t>
      </w:r>
      <w:r/>
    </w:p>
    <w:p>
      <w:pPr>
        <w:ind w:firstLine="924"/>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pageBreakBefore w:val="0"/>
        <w:spacing w:line="480" w:lineRule="exact"/>
        <w:widowControl w:val="off"/>
        <w:rPr>
          <w:rFonts w:hint="eastAsia" w:ascii="仿宋_GB2312" w:eastAsia="仿宋_GB2312"/>
          <w:color w:val="auto"/>
          <w:sz w:val="24"/>
          <w:highlight w:val="none"/>
        </w:rPr>
        <w:outlineLvl w:val="1"/>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_GB2312" w:eastAsia="仿宋_GB2312"/>
          <w:color w:val="auto"/>
          <w:sz w:val="24"/>
          <w:highlight w:val="none"/>
          <w:lang w:val="en-US" w:eastAsia="zh-CN"/>
        </w:rPr>
        <w:t xml:space="preserve"> </w:t>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numPr>
          <w:ilvl w:val="0"/>
          <w:numId w:val="0"/>
        </w:numPr>
        <w:jc w:val="center"/>
        <w:rPr>
          <w:rFonts w:hint="eastAsia" w:ascii="黑体" w:hAnsi="Times New Roman" w:eastAsia="黑体" w:cs="Times New Roman"/>
          <w:b/>
          <w:bCs/>
          <w:color w:val="auto"/>
          <w:sz w:val="32"/>
          <w:szCs w:val="32"/>
          <w:highlight w:val="none"/>
          <w:lang w:val="en-US" w:eastAsia="zh-CN"/>
        </w:rPr>
        <w:outlineLvl w:val="1"/>
      </w:pPr>
      <w:r>
        <w:rPr>
          <w:rFonts w:hint="eastAsia" w:ascii="黑体" w:hAnsi="Times New Roman" w:eastAsia="黑体" w:cs="Times New Roman"/>
          <w:b/>
          <w:bCs/>
          <w:color w:val="auto"/>
          <w:sz w:val="32"/>
          <w:szCs w:val="32"/>
          <w:highlight w:val="none"/>
          <w:lang w:val="en-US" w:eastAsia="zh-CN"/>
        </w:rPr>
        <w:t xml:space="preserve">8.所供服务（服务附带的产品）内容及服务要求偏离表</w:t>
      </w:r>
      <w:r/>
    </w:p>
    <w:p>
      <w:pPr>
        <w:pStyle w:val="675"/>
        <w:numPr>
          <w:ilvl w:val="0"/>
          <w:numId w:val="0"/>
        </w:numPr>
        <w:ind w:left="480"/>
        <w:rPr>
          <w:rFonts w:hint="eastAsia"/>
          <w:color w:val="auto"/>
          <w:highlight w:val="none"/>
        </w:rPr>
      </w:pPr>
      <w:r>
        <w:rPr>
          <w:rFonts w:hint="eastAsia"/>
          <w:color w:val="auto"/>
          <w:highlight w:val="none"/>
        </w:rPr>
      </w:r>
      <w:r/>
    </w:p>
    <w:tbl>
      <w:tblPr>
        <w:tblStyle w:val="645"/>
        <w:tblW w:w="0" w:type="auto"/>
        <w:jc w:val="center"/>
        <w:tblLayout w:type="fixed"/>
        <w:tblCellMar>
          <w:left w:w="0" w:type="dxa"/>
          <w:top w:w="0" w:type="dxa"/>
          <w:right w:w="0" w:type="dxa"/>
          <w:bottom w:w="0" w:type="dxa"/>
        </w:tblCellMar>
        <w:tblLook w:val="04A0" w:firstRow="1" w:lastRow="0" w:firstColumn="1" w:lastColumn="0" w:noHBand="0" w:noVBand="1"/>
      </w:tblPr>
      <w:tblGrid>
        <w:gridCol w:w="724"/>
        <w:gridCol w:w="1760"/>
        <w:gridCol w:w="2493"/>
        <w:gridCol w:w="2268"/>
        <w:gridCol w:w="1067"/>
      </w:tblGrid>
      <w:tr>
        <w:trPr>
          <w:jc w:val="center"/>
          <w:trHeight w:val="55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lang w:val="en-US" w:eastAsia="zh-CN"/>
              </w:rPr>
              <w:t xml:space="preserve">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所供服务（服务附带的产品）内容及服务要求</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jc w:val="center"/>
          <w:trHeight w:val="5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24" w:type="dxa"/>
            <w:vAlign w:val="center"/>
            <w:textDirection w:val="lrTb"/>
            <w:noWrap w:val="false"/>
          </w:tcPr>
          <w:p>
            <w:pPr>
              <w:jc w:val="center"/>
              <w:keepLines w:val="0"/>
              <w:keepNext w:val="0"/>
              <w:pageBreakBefore w:val="0"/>
              <w:spacing w:line="440" w:lineRule="exact"/>
              <w:widowControl w:val="off"/>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60"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493" w:type="dxa"/>
            <w:vAlign w:val="center"/>
            <w:textDirection w:val="lrTb"/>
            <w:noWrap w:val="false"/>
          </w:tcPr>
          <w:p>
            <w:pPr>
              <w:keepLines w:val="0"/>
              <w:keepNext w:val="0"/>
              <w:pageBreakBefore w:val="0"/>
              <w:spacing w:line="440" w:lineRule="exact"/>
              <w:widowControl w:val="off"/>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268"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7" w:type="dxa"/>
            <w:vAlign w:val="center"/>
            <w:textDirection w:val="lrTb"/>
            <w:noWrap w:val="false"/>
          </w:tcPr>
          <w:p>
            <w:pPr>
              <w:jc w:val="center"/>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tc>
      </w:tr>
    </w:tbl>
    <w:p>
      <w:pPr>
        <w:ind w:firstLine="420"/>
        <w:keepLines w:val="0"/>
        <w:keepNext w:val="0"/>
        <w:pageBreakBefore w:val="0"/>
        <w:spacing w:line="44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p>
      <w:pPr>
        <w:ind w:firstLine="42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注：该表必须按照</w:t>
      </w: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要求逐条如实填写，根据</w:t>
      </w:r>
      <w:r>
        <w:rPr>
          <w:rFonts w:hint="eastAsia" w:ascii="宋体" w:hAnsi="宋体" w:eastAsia="宋体" w:cs="宋体"/>
          <w:color w:val="auto"/>
          <w:sz w:val="24"/>
          <w:highlight w:val="none"/>
          <w:lang w:eastAsia="zh-CN"/>
        </w:rPr>
        <w:t xml:space="preserve">所供产品</w:t>
      </w:r>
      <w:r>
        <w:rPr>
          <w:rFonts w:hint="eastAsia" w:ascii="宋体" w:hAnsi="宋体" w:eastAsia="宋体" w:cs="宋体"/>
          <w:color w:val="auto"/>
          <w:sz w:val="24"/>
          <w:highlight w:val="none"/>
        </w:rPr>
        <w:t xml:space="preserve">情况在“偏离说明”项填写正偏离或负偏离及原因，完全符合的填写“无偏离”。</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9.服  务  承  诺</w:t>
      </w:r>
      <w:r/>
    </w:p>
    <w:p>
      <w:pPr>
        <w:rPr>
          <w:rFonts w:hint="eastAsia" w:ascii="仿宋_GB2312" w:eastAsia="仿宋_GB2312"/>
          <w:color w:val="auto"/>
          <w:sz w:val="24"/>
          <w:highlight w:val="none"/>
        </w:rPr>
      </w:pPr>
      <w:r>
        <w:rPr>
          <w:rFonts w:hint="eastAsia" w:ascii="仿宋_GB2312" w:eastAsia="仿宋_GB2312"/>
          <w:color w:val="auto"/>
          <w:sz w:val="24"/>
          <w:highlight w:val="none"/>
        </w:rPr>
      </w:r>
      <w:r/>
    </w:p>
    <w:p>
      <w:pPr>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如我方</w:t>
      </w:r>
      <w:r>
        <w:rPr>
          <w:rFonts w:hint="eastAsia" w:asciiTheme="minorEastAsia" w:hAnsiTheme="minorEastAsia" w:eastAsiaTheme="minorEastAsia" w:cstheme="minorEastAsia"/>
          <w:color w:val="auto"/>
          <w:sz w:val="24"/>
          <w:highlight w:val="none"/>
          <w:lang w:eastAsia="zh-CN"/>
        </w:rPr>
        <w:t xml:space="preserve">中标</w:t>
      </w:r>
      <w:r>
        <w:rPr>
          <w:rFonts w:hint="eastAsia" w:asciiTheme="minorEastAsia" w:hAnsiTheme="minorEastAsia" w:eastAsiaTheme="minorEastAsia" w:cstheme="minorEastAsia"/>
          <w:color w:val="auto"/>
          <w:sz w:val="24"/>
          <w:highlight w:val="none"/>
        </w:rPr>
        <w:t xml:space="preserve">，郑重承诺如下：</w:t>
      </w:r>
      <w:r/>
    </w:p>
    <w:p>
      <w:pPr>
        <w:ind w:firstLine="46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宋体" w:hAnsi="宋体" w:eastAsia="宋体" w:cs="宋体"/>
          <w:sz w:val="24"/>
          <w:highlight w:val="none"/>
        </w:rPr>
        <w:t xml:space="preserve">按照</w:t>
      </w:r>
      <w:r>
        <w:rPr>
          <w:rFonts w:hint="eastAsia" w:ascii="宋体" w:hAnsi="宋体" w:eastAsia="宋体" w:cs="宋体"/>
          <w:sz w:val="24"/>
          <w:highlight w:val="none"/>
          <w:lang w:eastAsia="zh-CN"/>
        </w:rPr>
        <w:t xml:space="preserve">招标文件</w:t>
      </w:r>
      <w:r>
        <w:rPr>
          <w:rFonts w:hint="eastAsia" w:ascii="宋体" w:hAnsi="宋体" w:eastAsia="宋体" w:cs="宋体"/>
          <w:sz w:val="24"/>
          <w:highlight w:val="none"/>
        </w:rPr>
        <w:t xml:space="preserve">的要求，我方将在自合同签订之日起至</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月底完成交付。</w:t>
      </w:r>
      <w:r>
        <w:rPr>
          <w:rFonts w:hint="eastAsia" w:ascii="宋体" w:hAnsi="宋体" w:eastAsia="宋体" w:cs="宋体"/>
          <w:sz w:val="24"/>
          <w:highlight w:val="none"/>
          <w:lang w:val="en-US" w:eastAsia="zh-CN"/>
        </w:rPr>
        <w:t xml:space="preserve">承诺响应内业测试进度，以及国家、</w:t>
      </w:r>
      <w:r>
        <w:rPr>
          <w:rFonts w:hint="eastAsia" w:ascii="宋体" w:hAnsi="宋体" w:eastAsia="宋体" w:cs="宋体"/>
          <w:sz w:val="24"/>
          <w:highlight w:val="none"/>
        </w:rPr>
        <w:t xml:space="preserve">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市要求进行调整</w:t>
      </w:r>
      <w:r>
        <w:rPr>
          <w:rFonts w:hint="eastAsia" w:asciiTheme="minorEastAsia" w:hAnsiTheme="minorEastAsia" w:eastAsiaTheme="minorEastAsia" w:cstheme="minorEastAsia"/>
          <w:color w:val="auto"/>
          <w:sz w:val="24"/>
          <w:highlight w:val="none"/>
        </w:rPr>
        <w:t xml:space="preserve">；</w:t>
      </w:r>
      <w:r/>
    </w:p>
    <w:p>
      <w:pPr>
        <w:ind w:firstLine="46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（2）按照《第三次全国土壤普查技术规程（修订版）》</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《第三次全国土壤普查土壤类型制图技术规范（修订版）》、《第三次全国土壤普查土壤属性与专题图制图规范（修订版）》</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《国务院第三次全国土壤普查领导小组办公室关于印发&lt;第三次全国土壤普查试点县成果验收工作方案&gt;的通知》（〔2023〕9号）</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《第三次全国土壤普查试点县成果形成方法及验收标准（征求意见稿）》</w:t>
      </w:r>
      <w:r>
        <w:rPr>
          <w:rFonts w:hint="eastAsia" w:asciiTheme="minorEastAsia" w:hAnsiTheme="minorEastAsia" w:eastAsiaTheme="minorEastAsia" w:cstheme="minorEastAsia"/>
          <w:color w:val="auto"/>
          <w:sz w:val="24"/>
          <w:highlight w:val="none"/>
          <w:lang w:val="en-US" w:eastAsia="zh-CN"/>
        </w:rPr>
        <w:t xml:space="preserve">及</w:t>
      </w:r>
      <w:r>
        <w:rPr>
          <w:rFonts w:hint="eastAsia" w:asciiTheme="minorEastAsia" w:hAnsiTheme="minorEastAsia" w:eastAsiaTheme="minorEastAsia" w:cstheme="minorEastAsia"/>
          <w:color w:val="auto"/>
          <w:sz w:val="24"/>
          <w:highlight w:val="none"/>
        </w:rPr>
        <w:t xml:space="preserve">国家、省、市有关要求进行</w:t>
      </w:r>
      <w:r>
        <w:rPr>
          <w:rFonts w:hint="eastAsia" w:asciiTheme="minorEastAsia" w:hAnsiTheme="minorEastAsia" w:eastAsiaTheme="minorEastAsia" w:cstheme="minorEastAsia"/>
          <w:color w:val="auto"/>
          <w:sz w:val="24"/>
          <w:highlight w:val="none"/>
          <w:lang w:val="en-US" w:eastAsia="zh-CN"/>
        </w:rPr>
        <w:t xml:space="preserve">东台市第三次全国土壤普查项目--采购数据汇总与制图、报告编制等普查成果汇交汇总服务</w:t>
      </w:r>
      <w:r>
        <w:rPr>
          <w:rFonts w:hint="eastAsia" w:asciiTheme="minorEastAsia" w:hAnsiTheme="minorEastAsia" w:eastAsiaTheme="minorEastAsia" w:cstheme="minorEastAsia"/>
          <w:color w:val="auto"/>
          <w:sz w:val="24"/>
          <w:highlight w:val="none"/>
        </w:rPr>
        <w:t xml:space="preserve">项目成果汇总与制图及报告编制; 编撰《</w:t>
      </w:r>
      <w:r>
        <w:rPr>
          <w:rFonts w:hint="eastAsia" w:asciiTheme="minorEastAsia" w:hAnsiTheme="minorEastAsia" w:eastAsiaTheme="minorEastAsia" w:cstheme="minorEastAsia"/>
          <w:color w:val="auto"/>
          <w:sz w:val="24"/>
          <w:highlight w:val="none"/>
          <w:lang w:val="en-US" w:eastAsia="zh-CN"/>
        </w:rPr>
        <w:t xml:space="preserve">东台市</w:t>
      </w:r>
      <w:r>
        <w:rPr>
          <w:rFonts w:hint="eastAsia" w:asciiTheme="minorEastAsia" w:hAnsiTheme="minorEastAsia" w:eastAsiaTheme="minorEastAsia" w:cstheme="minorEastAsia"/>
          <w:color w:val="auto"/>
          <w:sz w:val="24"/>
          <w:highlight w:val="none"/>
        </w:rPr>
        <w:t xml:space="preserve">土壤志》和《</w:t>
      </w:r>
      <w:r>
        <w:rPr>
          <w:rFonts w:hint="eastAsia" w:asciiTheme="minorEastAsia" w:hAnsiTheme="minorEastAsia" w:eastAsiaTheme="minorEastAsia" w:cstheme="minorEastAsia"/>
          <w:color w:val="auto"/>
          <w:sz w:val="24"/>
          <w:highlight w:val="none"/>
          <w:lang w:val="en-US" w:eastAsia="zh-CN"/>
        </w:rPr>
        <w:t xml:space="preserve">东台市</w:t>
      </w:r>
      <w:r>
        <w:rPr>
          <w:rFonts w:hint="eastAsia" w:asciiTheme="minorEastAsia" w:hAnsiTheme="minorEastAsia" w:eastAsiaTheme="minorEastAsia" w:cstheme="minorEastAsia"/>
          <w:color w:val="auto"/>
          <w:sz w:val="24"/>
          <w:highlight w:val="none"/>
        </w:rPr>
        <w:t xml:space="preserve">土种志》</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rPr>
        <w:t xml:space="preserve">出版《</w:t>
      </w:r>
      <w:r>
        <w:rPr>
          <w:rFonts w:hint="eastAsia" w:asciiTheme="minorEastAsia" w:hAnsiTheme="minorEastAsia" w:eastAsiaTheme="minorEastAsia" w:cstheme="minorEastAsia"/>
          <w:color w:val="auto"/>
          <w:sz w:val="24"/>
          <w:highlight w:val="none"/>
          <w:lang w:val="en-US" w:eastAsia="zh-CN"/>
        </w:rPr>
        <w:t xml:space="preserve">东台市</w:t>
      </w:r>
      <w:r>
        <w:rPr>
          <w:rFonts w:hint="eastAsia" w:asciiTheme="minorEastAsia" w:hAnsiTheme="minorEastAsia" w:eastAsiaTheme="minorEastAsia" w:cstheme="minorEastAsia"/>
          <w:color w:val="auto"/>
          <w:sz w:val="24"/>
          <w:highlight w:val="none"/>
        </w:rPr>
        <w:t xml:space="preserve">土壤志》。</w:t>
      </w:r>
      <w:r>
        <w:rPr>
          <w:rFonts w:hint="eastAsia" w:asciiTheme="minorEastAsia" w:hAnsiTheme="minorEastAsia" w:eastAsiaTheme="minorEastAsia" w:cstheme="minorEastAsia"/>
          <w:color w:val="auto"/>
          <w:sz w:val="24"/>
          <w:highlight w:val="none"/>
          <w:lang w:val="en-US" w:eastAsia="zh-CN"/>
        </w:rPr>
        <w:t xml:space="preserve">形成东台市耕地土壤质量类别动态调整成果</w:t>
      </w:r>
      <w:r>
        <w:rPr>
          <w:rFonts w:hint="eastAsia" w:asciiTheme="minorEastAsia" w:hAnsiTheme="minorEastAsia" w:eastAsiaTheme="minorEastAsia" w:cstheme="minorEastAsia"/>
          <w:color w:val="auto"/>
          <w:sz w:val="24"/>
          <w:highlight w:val="none"/>
        </w:rPr>
        <w:t xml:space="preserve">；</w:t>
      </w:r>
      <w:r/>
    </w:p>
    <w:p>
      <w:pPr>
        <w:ind w:firstLine="46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（3）满足招标文件及招标过程中的全部条款和承诺。</w:t>
      </w:r>
      <w:r/>
    </w:p>
    <w:p>
      <w:pPr>
        <w:ind w:firstLine="46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（4）在服务期内，用户遇到使用及技术问题，我方为用户提供技术援助电话。联系电话为：</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。如电话咨询不能解决时，我方在</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小时内采取相应措施，提供上门服务。仍无法解决时，我方在</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小时内提供备选服务及方案，确保用户能够正常使用（时间从接到用户报修电话时起算）；如我方不能在承诺时间内采取相应措施或提供备用产品及服务，采购人自行处理，其费用在我方履约保证金中扣付；</w:t>
      </w:r>
      <w:r/>
    </w:p>
    <w:p>
      <w:pPr>
        <w:ind w:firstLine="46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（5）服务期满后，我方同样提供免费电话咨询服务，并以优惠价格提供售后服务；</w:t>
      </w:r>
      <w:r/>
    </w:p>
    <w:p>
      <w:pPr>
        <w:ind w:firstLine="460"/>
        <w:keepLines w:val="0"/>
        <w:keepNext w:val="0"/>
        <w:pageBreakBefore w:val="0"/>
        <w:spacing w:line="480" w:lineRule="exact"/>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w:t>
      </w:r>
      <w:r/>
    </w:p>
    <w:p>
      <w:pPr>
        <w:ind w:firstLine="46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法定代表人或</w:t>
      </w:r>
      <w:r>
        <w:rPr>
          <w:rFonts w:hint="eastAsia" w:asciiTheme="minorEastAsia" w:hAnsiTheme="minorEastAsia" w:eastAsiaTheme="minorEastAsia" w:cstheme="minorEastAsia"/>
          <w:color w:val="auto"/>
          <w:sz w:val="24"/>
          <w:highlight w:val="none"/>
          <w:lang w:val="en-US" w:eastAsia="zh-CN"/>
        </w:rPr>
        <w:t xml:space="preserve">被授权人</w:t>
      </w:r>
      <w:r>
        <w:rPr>
          <w:rFonts w:hint="eastAsia" w:asciiTheme="minorEastAsia" w:hAnsiTheme="minorEastAsia" w:eastAsiaTheme="minorEastAsia" w:cstheme="minorEastAsia"/>
          <w:color w:val="auto"/>
          <w:sz w:val="24"/>
          <w:highlight w:val="none"/>
        </w:rPr>
        <w:t xml:space="preserve">签字：</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宋体" w:hAnsi="宋体" w:eastAsia="宋体" w:cs="宋体"/>
          <w:color w:val="auto"/>
          <w:sz w:val="24"/>
          <w:szCs w:val="24"/>
          <w:highlight w:val="none"/>
        </w:rPr>
        <w:t xml:space="preserve">企业名称（加盖CA电子公章）</w:t>
      </w:r>
      <w:r>
        <w:rPr>
          <w:rFonts w:hint="eastAsia" w:asciiTheme="minorEastAsia" w:hAnsiTheme="minorEastAsia" w:eastAsiaTheme="minorEastAsia" w:cstheme="minorEastAsia"/>
          <w:color w:val="auto"/>
          <w:sz w:val="24"/>
          <w:highlight w:val="none"/>
        </w:rPr>
        <w:t xml:space="preserve">：</w:t>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p>
      <w:pPr>
        <w:ind w:firstLine="16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p>
      <w:pPr>
        <w:jc w:val="right"/>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 xml:space="preserve">日</w:t>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60" w:lineRule="exact"/>
        <w:rPr>
          <w:rFonts w:hint="eastAsia"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10.</w:t>
      </w:r>
      <w:r>
        <w:rPr>
          <w:rFonts w:hint="eastAsia" w:ascii="黑体" w:hAnsi="宋体" w:eastAsia="黑体" w:cs="黑体"/>
          <w:b/>
          <w:color w:val="auto"/>
          <w:sz w:val="32"/>
          <w:szCs w:val="32"/>
          <w:highlight w:val="none"/>
        </w:rPr>
        <w:t xml:space="preserve">小微企业声明函（服务）（分包号：**）</w:t>
      </w:r>
      <w:r/>
    </w:p>
    <w:p>
      <w:pPr>
        <w:ind w:left="0" w:firstLine="480"/>
        <w:keepLines w:val="0"/>
        <w:keepNext w:val="0"/>
        <w:pageBreakBefore w:val="0"/>
        <w:spacing w:line="480" w:lineRule="exact"/>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***，（项目名称）（分包号：**）</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（小型企业、微型企业）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（小型企业、微型企业）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5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55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备注1：从业人员、营业收入、资产总额填报上一年度数据，无上一年度数据的新成立企业可不填报。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备注2：供应商如不提供此声明函，价格将不做相应扣除。</w:t>
      </w:r>
      <w:r/>
    </w:p>
    <w:p>
      <w:pPr>
        <w:jc w:val="center"/>
        <w:spacing w:line="560" w:lineRule="exact"/>
        <w:rPr>
          <w:rFonts w:hint="eastAsia" w:ascii="黑体" w:hAnsi="Times New Roman" w:eastAsia="黑体" w:cs="Times New Roman"/>
          <w:b/>
          <w:bCs/>
          <w:color w:val="auto"/>
          <w:sz w:val="32"/>
          <w:szCs w:val="32"/>
          <w:highlight w:val="none"/>
          <w:lang w:val="en-US" w:eastAsia="zh-CN"/>
        </w:rPr>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11.残疾人福利性单位声明函（分包号：**）</w:t>
      </w:r>
      <w:r/>
    </w:p>
    <w:p>
      <w:pPr>
        <w:ind w:firstLine="480"/>
        <w:spacing w:line="588" w:lineRule="exact"/>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项目（分包号：**）采购活动由本单位提供服务</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br w:type="page" w:clear="all"/>
      </w:r>
      <w:r/>
    </w:p>
    <w:p>
      <w:pPr>
        <w:jc w:val="center"/>
        <w:rPr>
          <w:rFonts w:hint="eastAsia" w:ascii="黑体" w:hAnsi="Times New Roman" w:eastAsia="黑体" w:cs="Times New Roman"/>
          <w:b/>
          <w:bCs/>
          <w:color w:val="auto"/>
          <w:sz w:val="32"/>
          <w:szCs w:val="32"/>
          <w:highlight w:val="none"/>
          <w:lang w:val="en-US" w:eastAsia="zh-CN"/>
        </w:rPr>
      </w:pPr>
      <w:r>
        <w:rPr>
          <w:rFonts w:hint="eastAsia" w:ascii="黑体" w:hAnsi="Times New Roman" w:eastAsia="黑体" w:cs="Times New Roman"/>
          <w:b/>
          <w:bCs/>
          <w:color w:val="auto"/>
          <w:sz w:val="32"/>
          <w:szCs w:val="32"/>
          <w:highlight w:val="none"/>
          <w:lang w:val="en-US" w:eastAsia="zh-CN"/>
        </w:rPr>
        <w:t xml:space="preserve">12.联合体协议（参考格式）（分包号：**）</w:t>
      </w:r>
      <w:r/>
    </w:p>
    <w:p>
      <w:pPr>
        <w:spacing w:line="560" w:lineRule="exact"/>
        <w:rPr>
          <w:rFonts w:ascii="宋体" w:hAnsi="宋体"/>
          <w:color w:val="auto"/>
          <w:sz w:val="24"/>
          <w:highlight w:val="none"/>
        </w:rPr>
      </w:pPr>
      <w:r>
        <w:rPr>
          <w:rFonts w:hint="eastAsia" w:ascii="宋体" w:hAnsi="宋体"/>
          <w:color w:val="auto"/>
          <w:sz w:val="24"/>
          <w:highlight w:val="none"/>
          <w:u w:val="single"/>
        </w:rPr>
        <w:t xml:space="preserve">（联合体中各供应商全称）</w:t>
      </w:r>
      <w:r>
        <w:rPr>
          <w:rFonts w:hint="eastAsia" w:ascii="宋体" w:hAnsi="宋体"/>
          <w:color w:val="auto"/>
          <w:sz w:val="24"/>
          <w:highlight w:val="none"/>
        </w:rPr>
        <w:t xml:space="preserve">在此达成以下协议：</w:t>
      </w:r>
      <w:r/>
    </w:p>
    <w:p>
      <w:pPr>
        <w:ind w:firstLine="645"/>
        <w:spacing w:line="56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、我们自愿组成联合体，参加采购编号为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项目（分包号：**）的政府采购活动，我联合体指定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为牵头单位（牵头单位必须为联合体成员）。</w:t>
      </w:r>
      <w:r/>
    </w:p>
    <w:p>
      <w:pPr>
        <w:ind w:firstLine="645"/>
        <w:spacing w:line="56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、若我们联合中标、成交，（供应商单位</w:t>
      </w:r>
      <w:r>
        <w:rPr>
          <w:rFonts w:ascii="宋体" w:hAnsi="宋体"/>
          <w:color w:val="auto"/>
          <w:sz w:val="24"/>
          <w:highlight w:val="none"/>
        </w:rPr>
        <w:t xml:space="preserve">1</w:t>
      </w:r>
      <w:r>
        <w:rPr>
          <w:rFonts w:hint="eastAsia" w:ascii="宋体" w:hAnsi="宋体"/>
          <w:color w:val="auto"/>
          <w:sz w:val="24"/>
          <w:highlight w:val="none"/>
        </w:rPr>
        <w:t xml:space="preserve">全称）实施项目中（工作内容）部分工作，并承担相应的责任。（供应商单位</w:t>
      </w:r>
      <w:r>
        <w:rPr>
          <w:rFonts w:ascii="宋体" w:hAnsi="宋体"/>
          <w:color w:val="auto"/>
          <w:sz w:val="24"/>
          <w:highlight w:val="none"/>
        </w:rPr>
        <w:t xml:space="preserve">2</w:t>
      </w:r>
      <w:r>
        <w:rPr>
          <w:rFonts w:hint="eastAsia" w:ascii="宋体" w:hAnsi="宋体"/>
          <w:color w:val="auto"/>
          <w:sz w:val="24"/>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、其中</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（小型、微型企业/残疾人福利性单位/监狱企业全称）为</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（小型、微型企业/残疾人福利性单位/监狱企业）企业，且我们约定该公司/单位所承担的合同金额将占本项目合同总金额的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spacing w:line="560" w:lineRule="exact"/>
        <w:rPr>
          <w:rFonts w:ascii="宋体" w:hAnsi="宋体"/>
          <w:color w:val="auto"/>
          <w:sz w:val="24"/>
          <w:highlight w:val="none"/>
        </w:rPr>
      </w:pPr>
      <w:r>
        <w:rPr>
          <w:rFonts w:hint="eastAsia" w:ascii="宋体" w:hAnsi="宋体"/>
          <w:color w:val="auto"/>
          <w:sz w:val="24"/>
          <w:highlight w:val="none"/>
        </w:rPr>
        <w:t xml:space="preserve">备注：本招标文件中要求加盖CA电子签章的地方，仅需加盖牵头单位的CA电子签章。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84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rPr>
          <w:rFonts w:hint="eastAsia"/>
          <w:color w:val="auto"/>
          <w:highlight w:val="none"/>
          <w:lang w:val="en-US" w:eastAsia="zh-CN"/>
        </w:rPr>
      </w:pPr>
      <w:r>
        <w:rPr>
          <w:rFonts w:hint="eastAsia"/>
          <w:color w:val="auto"/>
          <w:highlight w:val="none"/>
          <w:lang w:val="en-US" w:eastAsia="zh-CN"/>
        </w:rPr>
      </w:r>
      <w:r/>
    </w:p>
    <w:p>
      <w:pPr>
        <w:ind w:firstLine="3840"/>
        <w:keepLines w:val="0"/>
        <w:keepNext w:val="0"/>
        <w:pageBreakBefore w:val="0"/>
        <w:spacing w:line="480" w:lineRule="exact"/>
        <w:widowControl w:val="off"/>
        <w:rPr>
          <w:rFonts w:hint="eastAsia"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r>
      <w:r/>
    </w:p>
    <w:p>
      <w:pPr>
        <w:ind w:firstLine="52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日期：</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675"/>
        <w:keepLines w:val="0"/>
        <w:keepNext w:val="0"/>
        <w:pageBreakBefore w:val="0"/>
        <w:spacing w:line="480" w:lineRule="exact"/>
        <w:widowControl w:val="off"/>
        <w:rPr>
          <w:rFonts w:hint="eastAsia" w:ascii="仿宋_GB2312" w:eastAsia="仿宋_GB2312"/>
          <w:color w:val="auto"/>
          <w:sz w:val="24"/>
          <w:highlight w:val="none"/>
        </w:rPr>
      </w:pPr>
      <w:r>
        <w:rPr>
          <w:rFonts w:hint="eastAsia" w:ascii="仿宋_GB2312" w:eastAsia="仿宋_GB2312"/>
          <w:color w:val="auto"/>
          <w:sz w:val="24"/>
          <w:highlight w:val="none"/>
        </w:rPr>
      </w:r>
      <w:r/>
    </w:p>
    <w:p>
      <w:pPr>
        <w:ind w:right="-105" w:firstLine="480"/>
        <w:jc w:val="center"/>
        <w:keepLines w:val="0"/>
        <w:keepNext w:val="0"/>
        <w:pageBreakBefore w:val="0"/>
        <w:spacing w:line="480" w:lineRule="exact"/>
        <w:widowControl w:val="off"/>
        <w:rPr>
          <w:rFonts w:hint="eastAsia"/>
          <w:color w:val="auto"/>
          <w:sz w:val="24"/>
          <w:highlight w:val="none"/>
          <w:lang w:val="en-US" w:eastAsia="zh-CN"/>
        </w:rPr>
      </w:pPr>
      <w:r>
        <w:rPr>
          <w:rFonts w:hint="eastAsia"/>
          <w:color w:val="auto"/>
          <w:sz w:val="24"/>
          <w:highlight w:val="none"/>
          <w:lang w:val="en-US" w:eastAsia="zh-CN"/>
        </w:rPr>
      </w:r>
      <w:r/>
    </w:p>
    <w:p>
      <w:pPr>
        <w:jc w:val="center"/>
        <w:rPr>
          <w:rFonts w:hint="default" w:ascii="黑体" w:hAnsi="Times New Roman" w:eastAsia="黑体" w:cs="Times New Roman"/>
          <w:b/>
          <w:bCs/>
          <w:color w:val="auto"/>
          <w:sz w:val="32"/>
          <w:szCs w:val="32"/>
          <w:highlight w:val="none"/>
          <w:lang w:val="en-US" w:eastAsia="zh-CN"/>
        </w:rPr>
        <w:outlineLvl w:val="1"/>
      </w:pPr>
      <w:r>
        <w:rPr>
          <w:rFonts w:hint="eastAsia" w:ascii="黑体" w:hAnsi="Calibri" w:eastAsia="黑体" w:cs="Times New Roman"/>
          <w:b/>
          <w:bCs/>
          <w:color w:val="auto"/>
          <w:sz w:val="32"/>
          <w:szCs w:val="32"/>
          <w:highlight w:val="none"/>
          <w:lang w:val="en-US" w:eastAsia="zh-CN"/>
        </w:rPr>
        <w:br w:type="page" w:clear="all"/>
      </w:r>
      <w:r>
        <w:rPr>
          <w:rFonts w:hint="eastAsia" w:ascii="黑体" w:hAnsi="Times New Roman" w:eastAsia="黑体" w:cs="Times New Roman"/>
          <w:b/>
          <w:bCs/>
          <w:color w:val="auto"/>
          <w:sz w:val="32"/>
          <w:szCs w:val="32"/>
          <w:highlight w:val="none"/>
          <w:lang w:val="en-US" w:eastAsia="zh-CN"/>
        </w:rPr>
        <w:t xml:space="preserve">13.盐城市政府采购事前信用承诺书</w:t>
      </w:r>
      <w:r/>
    </w:p>
    <w:p>
      <w:pPr>
        <w:ind w:firstLine="640"/>
        <w:jc w:val="left"/>
        <w:spacing w:line="499" w:lineRule="atLeast"/>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为营造我市公开、公平、公正、诚实守信的政府采购交易环境，树立诚信守法的投标人形象，本人代表本单位作出以下承诺：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（三）严格依照国家和省、市关于政府采购的法律、法规、规章、规范性文件，参加政府采购活动；积极履行社会责任，促进廉政建设； </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（四）严格遵守即时信息公示规定，及时维护和更新与本单位相关的信息；</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（六）自觉接受政府、行业组织、社会公众、新闻舆论的监督；</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56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olor w:val="auto"/>
          <w:sz w:val="24"/>
          <w:highlight w:val="none"/>
        </w:rPr>
        <w:t xml:space="preserve">供应商全称（加盖CA电子公章）：</w:t>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日  期：</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4"/>
      <w:bookmarkEnd w:id="41"/>
      <w:bookmarkEnd w:id="42"/>
      <w:bookmarkEnd w:id="43"/>
      <w:bookmarkEnd w:id="44"/>
      <w:bookmarkEnd w:id="45"/>
      <w:bookmarkEnd w:id="46"/>
      <w:bookmarkEnd w:id="47"/>
      <w:bookmarkEnd w:id="48"/>
      <w:r/>
    </w:p>
    <w:p>
      <w:pPr>
        <w:pStyle w:val="668"/>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68"/>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68"/>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68"/>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68"/>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68"/>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68"/>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6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6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6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6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68"/>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8"/>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erReference w:type="default" r:id="rId9"/>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jc w:val="center"/>
    </w:pPr>
    <w:fldSimple w:instr="PAGE \* MERGEFORMAT">
      <w:r>
        <w:t xml:space="preserve">1</w:t>
      </w:r>
    </w:fldSimple>
    <w:r/>
    <w:r/>
  </w:p>
  <w:p>
    <w:pPr>
      <w:pStyle w:val="657"/>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5" w:default="1">
    <w:name w:val="Normal"/>
    <w:next w:val="646"/>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36">
    <w:name w:val="Heading 2"/>
    <w:basedOn w:val="635"/>
    <w:next w:val="6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37">
    <w:name w:val="Heading 3"/>
    <w:basedOn w:val="635"/>
    <w:next w:val="635"/>
    <w:link w:val="678"/>
    <w:uiPriority w:val="9"/>
    <w:unhideWhenUsed/>
    <w:qFormat/>
    <w:pPr>
      <w:keepLines/>
      <w:keepNext/>
      <w:spacing w:before="320" w:after="200"/>
      <w:outlineLvl w:val="2"/>
    </w:pPr>
    <w:rPr>
      <w:rFonts w:ascii="Arial" w:hAnsi="Arial" w:eastAsia="Arial" w:cs="Arial"/>
      <w:sz w:val="30"/>
      <w:szCs w:val="30"/>
    </w:rPr>
  </w:style>
  <w:style w:type="paragraph" w:styleId="638">
    <w:name w:val="Heading 4"/>
    <w:basedOn w:val="635"/>
    <w:next w:val="649"/>
    <w:uiPriority w:val="0"/>
    <w:qFormat/>
    <w:pPr>
      <w:keepLines/>
      <w:keepNext/>
      <w:spacing w:before="280" w:after="290" w:line="376" w:lineRule="auto"/>
      <w:outlineLvl w:val="3"/>
    </w:pPr>
    <w:rPr>
      <w:rFonts w:ascii="Arial" w:hAnsi="Arial" w:eastAsia="黑体" w:cs="Arial"/>
      <w:b/>
      <w:bCs/>
      <w:sz w:val="28"/>
      <w:szCs w:val="28"/>
    </w:rPr>
  </w:style>
  <w:style w:type="paragraph" w:styleId="639">
    <w:name w:val="Heading 5"/>
    <w:basedOn w:val="635"/>
    <w:next w:val="635"/>
    <w:link w:val="680"/>
    <w:uiPriority w:val="9"/>
    <w:unhideWhenUsed/>
    <w:qFormat/>
    <w:pPr>
      <w:keepLines/>
      <w:keepNext/>
      <w:spacing w:before="320" w:after="200"/>
      <w:outlineLvl w:val="4"/>
    </w:pPr>
    <w:rPr>
      <w:rFonts w:ascii="Arial" w:hAnsi="Arial" w:eastAsia="Arial" w:cs="Arial"/>
      <w:b/>
      <w:bCs/>
      <w:sz w:val="24"/>
      <w:szCs w:val="24"/>
    </w:rPr>
  </w:style>
  <w:style w:type="paragraph" w:styleId="640">
    <w:name w:val="Heading 6"/>
    <w:basedOn w:val="635"/>
    <w:next w:val="635"/>
    <w:link w:val="681"/>
    <w:uiPriority w:val="9"/>
    <w:unhideWhenUsed/>
    <w:qFormat/>
    <w:pPr>
      <w:keepLines/>
      <w:keepNext/>
      <w:spacing w:before="320" w:after="200"/>
      <w:outlineLvl w:val="5"/>
    </w:pPr>
    <w:rPr>
      <w:rFonts w:ascii="Arial" w:hAnsi="Arial" w:eastAsia="Arial" w:cs="Arial"/>
      <w:b/>
      <w:bCs/>
      <w:sz w:val="22"/>
      <w:szCs w:val="22"/>
    </w:rPr>
  </w:style>
  <w:style w:type="paragraph" w:styleId="641">
    <w:name w:val="Heading 7"/>
    <w:basedOn w:val="635"/>
    <w:next w:val="635"/>
    <w:link w:val="682"/>
    <w:uiPriority w:val="9"/>
    <w:unhideWhenUsed/>
    <w:qFormat/>
    <w:pPr>
      <w:keepLines/>
      <w:keepNext/>
      <w:spacing w:before="320" w:after="200"/>
      <w:outlineLvl w:val="6"/>
    </w:pPr>
    <w:rPr>
      <w:rFonts w:ascii="Arial" w:hAnsi="Arial" w:eastAsia="Arial" w:cs="Arial"/>
      <w:b/>
      <w:bCs/>
      <w:i/>
      <w:iCs/>
      <w:sz w:val="22"/>
      <w:szCs w:val="22"/>
    </w:rPr>
  </w:style>
  <w:style w:type="paragraph" w:styleId="642">
    <w:name w:val="Heading 8"/>
    <w:basedOn w:val="635"/>
    <w:next w:val="635"/>
    <w:link w:val="683"/>
    <w:uiPriority w:val="9"/>
    <w:unhideWhenUsed/>
    <w:qFormat/>
    <w:pPr>
      <w:keepLines/>
      <w:keepNext/>
      <w:spacing w:before="320" w:after="200"/>
      <w:outlineLvl w:val="7"/>
    </w:pPr>
    <w:rPr>
      <w:rFonts w:ascii="Arial" w:hAnsi="Arial" w:eastAsia="Arial" w:cs="Arial"/>
      <w:i/>
      <w:iCs/>
      <w:sz w:val="22"/>
      <w:szCs w:val="22"/>
    </w:rPr>
  </w:style>
  <w:style w:type="paragraph" w:styleId="643">
    <w:name w:val="Heading 9"/>
    <w:basedOn w:val="635"/>
    <w:next w:val="635"/>
    <w:link w:val="684"/>
    <w:uiPriority w:val="9"/>
    <w:unhideWhenUsed/>
    <w:qFormat/>
    <w:pPr>
      <w:keepLines/>
      <w:keepNext/>
      <w:spacing w:before="320" w:after="200"/>
      <w:outlineLvl w:val="8"/>
    </w:pPr>
    <w:rPr>
      <w:rFonts w:ascii="Arial" w:hAnsi="Arial" w:eastAsia="Arial" w:cs="Arial"/>
      <w:i/>
      <w:iCs/>
      <w:sz w:val="21"/>
      <w:szCs w:val="21"/>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Body Text First Indent 2"/>
    <w:basedOn w:val="647"/>
    <w:next w:val="635"/>
    <w:uiPriority w:val="0"/>
    <w:qFormat/>
    <w:pPr>
      <w:ind w:firstLine="420"/>
      <w:spacing w:line="360" w:lineRule="auto"/>
    </w:pPr>
    <w:rPr>
      <w:rFonts w:ascii="宋体" w:hAnsi="宋体" w:eastAsia="宋体"/>
      <w:sz w:val="21"/>
      <w:szCs w:val="20"/>
    </w:rPr>
  </w:style>
  <w:style w:type="paragraph" w:styleId="647">
    <w:name w:val="Body Text Indent"/>
    <w:basedOn w:val="635"/>
    <w:next w:val="648"/>
    <w:uiPriority w:val="0"/>
    <w:qFormat/>
    <w:pPr>
      <w:ind w:firstLine="645"/>
    </w:pPr>
    <w:rPr>
      <w:rFonts w:ascii="楷体_GB2312" w:eastAsia="楷体_GB2312"/>
      <w:sz w:val="32"/>
      <w:szCs w:val="32"/>
    </w:rPr>
  </w:style>
  <w:style w:type="paragraph" w:styleId="648">
    <w:name w:val="envelope return"/>
    <w:basedOn w:val="635"/>
    <w:uiPriority w:val="0"/>
    <w:qFormat/>
    <w:rPr>
      <w:rFonts w:ascii="Arial" w:hAnsi="Arial"/>
    </w:rPr>
  </w:style>
  <w:style w:type="paragraph" w:styleId="649">
    <w:name w:val="Normal Indent"/>
    <w:basedOn w:val="635"/>
    <w:uiPriority w:val="0"/>
    <w:qFormat/>
    <w:pPr>
      <w:ind w:firstLine="420"/>
    </w:pPr>
  </w:style>
  <w:style w:type="paragraph" w:styleId="650">
    <w:name w:val="toc 7"/>
    <w:basedOn w:val="635"/>
    <w:next w:val="635"/>
    <w:uiPriority w:val="39"/>
    <w:unhideWhenUsed/>
    <w:qFormat/>
    <w:pPr>
      <w:ind w:left="1701" w:right="0" w:firstLine="0"/>
      <w:spacing w:after="57"/>
    </w:pPr>
  </w:style>
  <w:style w:type="paragraph" w:styleId="651">
    <w:name w:val="Caption"/>
    <w:basedOn w:val="635"/>
    <w:next w:val="63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2">
    <w:name w:val="Body Text"/>
    <w:basedOn w:val="635"/>
    <w:next w:val="635"/>
    <w:uiPriority w:val="0"/>
    <w:qFormat/>
    <w:rPr>
      <w:rFonts w:ascii="楷体_GB2312" w:hAnsi="Arial" w:eastAsia="楷体_GB2312"/>
      <w:sz w:val="28"/>
      <w:szCs w:val="20"/>
    </w:rPr>
  </w:style>
  <w:style w:type="paragraph" w:styleId="653">
    <w:name w:val="toc 5"/>
    <w:basedOn w:val="635"/>
    <w:next w:val="635"/>
    <w:uiPriority w:val="39"/>
    <w:unhideWhenUsed/>
    <w:qFormat/>
    <w:pPr>
      <w:ind w:left="1134" w:right="0" w:firstLine="0"/>
      <w:spacing w:after="57"/>
    </w:pPr>
  </w:style>
  <w:style w:type="paragraph" w:styleId="654">
    <w:name w:val="toc 3"/>
    <w:basedOn w:val="635"/>
    <w:next w:val="635"/>
    <w:uiPriority w:val="39"/>
    <w:unhideWhenUsed/>
    <w:qFormat/>
    <w:pPr>
      <w:ind w:left="567" w:right="0" w:firstLine="0"/>
      <w:spacing w:after="57"/>
    </w:pPr>
  </w:style>
  <w:style w:type="paragraph" w:styleId="655">
    <w:name w:val="toc 8"/>
    <w:basedOn w:val="635"/>
    <w:next w:val="635"/>
    <w:uiPriority w:val="39"/>
    <w:unhideWhenUsed/>
    <w:qFormat/>
    <w:pPr>
      <w:ind w:left="1984" w:right="0" w:firstLine="0"/>
      <w:spacing w:after="57"/>
    </w:pPr>
  </w:style>
  <w:style w:type="paragraph" w:styleId="656">
    <w:name w:val="endnote text"/>
    <w:basedOn w:val="635"/>
    <w:link w:val="822"/>
    <w:uiPriority w:val="99"/>
    <w:semiHidden/>
    <w:unhideWhenUsed/>
    <w:qFormat/>
    <w:pPr>
      <w:spacing w:after="0" w:line="240" w:lineRule="auto"/>
    </w:pPr>
    <w:rPr>
      <w:sz w:val="20"/>
    </w:rPr>
  </w:style>
  <w:style w:type="paragraph" w:styleId="657">
    <w:name w:val="Footer"/>
    <w:basedOn w:val="635"/>
    <w:link w:val="825"/>
    <w:uiPriority w:val="0"/>
    <w:qFormat/>
    <w:pPr>
      <w:jc w:val="left"/>
      <w:tabs>
        <w:tab w:val="center" w:pos="4153" w:leader="none"/>
        <w:tab w:val="right" w:pos="8306" w:leader="none"/>
      </w:tabs>
    </w:pPr>
    <w:rPr>
      <w:sz w:val="18"/>
      <w:szCs w:val="18"/>
    </w:rPr>
  </w:style>
  <w:style w:type="paragraph" w:styleId="658">
    <w:name w:val="Header"/>
    <w:basedOn w:val="635"/>
    <w:link w:val="824"/>
    <w:uiPriority w:val="0"/>
    <w:qFormat/>
    <w:pPr>
      <w:jc w:val="center"/>
      <w:tabs>
        <w:tab w:val="center" w:pos="4153" w:leader="none"/>
        <w:tab w:val="right" w:pos="8306" w:leader="none"/>
      </w:tabs>
      <w:pBdr>
        <w:bottom w:val="single" w:color="auto" w:sz="6" w:space="1"/>
      </w:pBdr>
    </w:pPr>
    <w:rPr>
      <w:sz w:val="18"/>
      <w:szCs w:val="18"/>
    </w:rPr>
  </w:style>
  <w:style w:type="paragraph" w:styleId="659">
    <w:name w:val="toc 1"/>
    <w:basedOn w:val="635"/>
    <w:next w:val="635"/>
    <w:uiPriority w:val="39"/>
    <w:unhideWhenUsed/>
    <w:qFormat/>
    <w:pPr>
      <w:ind w:left="0" w:right="0" w:firstLine="0"/>
      <w:spacing w:after="57"/>
    </w:pPr>
  </w:style>
  <w:style w:type="paragraph" w:styleId="660">
    <w:name w:val="toc 4"/>
    <w:basedOn w:val="635"/>
    <w:next w:val="635"/>
    <w:uiPriority w:val="39"/>
    <w:unhideWhenUsed/>
    <w:qFormat/>
    <w:pPr>
      <w:ind w:left="850" w:right="0" w:firstLine="0"/>
      <w:spacing w:after="57"/>
    </w:pPr>
  </w:style>
  <w:style w:type="paragraph" w:styleId="661">
    <w:name w:val="Subtitle"/>
    <w:basedOn w:val="635"/>
    <w:next w:val="635"/>
    <w:link w:val="688"/>
    <w:uiPriority w:val="11"/>
    <w:qFormat/>
    <w:pPr>
      <w:spacing w:before="200" w:after="200"/>
    </w:pPr>
    <w:rPr>
      <w:sz w:val="24"/>
      <w:szCs w:val="24"/>
    </w:rPr>
  </w:style>
  <w:style w:type="paragraph" w:styleId="662">
    <w:name w:val="footnote text"/>
    <w:basedOn w:val="635"/>
    <w:link w:val="821"/>
    <w:uiPriority w:val="99"/>
    <w:semiHidden/>
    <w:unhideWhenUsed/>
    <w:qFormat/>
    <w:pPr>
      <w:spacing w:after="40" w:line="240" w:lineRule="auto"/>
    </w:pPr>
    <w:rPr>
      <w:sz w:val="18"/>
    </w:rPr>
  </w:style>
  <w:style w:type="paragraph" w:styleId="663">
    <w:name w:val="toc 6"/>
    <w:basedOn w:val="635"/>
    <w:next w:val="635"/>
    <w:uiPriority w:val="39"/>
    <w:unhideWhenUsed/>
    <w:qFormat/>
    <w:pPr>
      <w:ind w:left="1417" w:right="0" w:firstLine="0"/>
      <w:spacing w:after="57"/>
    </w:pPr>
  </w:style>
  <w:style w:type="paragraph" w:styleId="664">
    <w:name w:val="index 9"/>
    <w:basedOn w:val="635"/>
    <w:next w:val="635"/>
    <w:uiPriority w:val="0"/>
    <w:qFormat/>
    <w:pPr>
      <w:ind w:left="1600"/>
    </w:pPr>
    <w:rPr>
      <w:rFonts w:ascii="Times New Roman" w:hAnsi="Times New Roman" w:eastAsia="宋体" w:cs="Times New Roman"/>
    </w:rPr>
  </w:style>
  <w:style w:type="paragraph" w:styleId="665">
    <w:name w:val="table of figures"/>
    <w:basedOn w:val="635"/>
    <w:next w:val="635"/>
    <w:uiPriority w:val="99"/>
    <w:unhideWhenUsed/>
    <w:qFormat/>
    <w:pPr>
      <w:spacing w:after="0" w:afterAutospacing="0"/>
    </w:pPr>
  </w:style>
  <w:style w:type="paragraph" w:styleId="666">
    <w:name w:val="toc 2"/>
    <w:basedOn w:val="635"/>
    <w:next w:val="635"/>
    <w:uiPriority w:val="39"/>
    <w:unhideWhenUsed/>
    <w:qFormat/>
    <w:pPr>
      <w:ind w:left="283" w:right="0" w:firstLine="0"/>
      <w:spacing w:after="57"/>
    </w:pPr>
  </w:style>
  <w:style w:type="paragraph" w:styleId="667">
    <w:name w:val="toc 9"/>
    <w:basedOn w:val="635"/>
    <w:next w:val="635"/>
    <w:uiPriority w:val="39"/>
    <w:unhideWhenUsed/>
    <w:qFormat/>
    <w:pPr>
      <w:ind w:left="2268" w:right="0" w:firstLine="0"/>
      <w:spacing w:after="57"/>
    </w:pPr>
  </w:style>
  <w:style w:type="paragraph" w:styleId="668">
    <w:name w:val="Normal (Web)"/>
    <w:basedOn w:val="635"/>
    <w:uiPriority w:val="0"/>
    <w:qFormat/>
    <w:pPr>
      <w:jc w:val="left"/>
      <w:spacing w:beforeAutospacing="1" w:afterAutospacing="1"/>
    </w:pPr>
    <w:rPr>
      <w:rFonts w:cs="Times New Roman"/>
      <w:sz w:val="24"/>
    </w:rPr>
  </w:style>
  <w:style w:type="paragraph" w:styleId="669">
    <w:name w:val="Title"/>
    <w:basedOn w:val="635"/>
    <w:next w:val="635"/>
    <w:link w:val="687"/>
    <w:uiPriority w:val="10"/>
    <w:qFormat/>
    <w:pPr>
      <w:contextualSpacing/>
      <w:spacing w:before="300" w:after="200"/>
    </w:pPr>
    <w:rPr>
      <w:sz w:val="48"/>
      <w:szCs w:val="48"/>
    </w:rPr>
  </w:style>
  <w:style w:type="table" w:styleId="670">
    <w:name w:val="Table Grid"/>
    <w:basedOn w:val="64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1">
    <w:name w:val="endnote reference"/>
    <w:basedOn w:val="644"/>
    <w:uiPriority w:val="99"/>
    <w:semiHidden/>
    <w:unhideWhenUsed/>
    <w:qFormat/>
    <w:rPr>
      <w:vertAlign w:val="superscript"/>
    </w:rPr>
  </w:style>
  <w:style w:type="character" w:styleId="672">
    <w:name w:val="page number"/>
    <w:uiPriority w:val="0"/>
    <w:qFormat/>
  </w:style>
  <w:style w:type="character" w:styleId="673">
    <w:name w:val="Hyperlink"/>
    <w:uiPriority w:val="99"/>
    <w:unhideWhenUsed/>
    <w:qFormat/>
    <w:rPr>
      <w:color w:val="0563c1" w:themeColor="hyperlink"/>
      <w:u w:val="single"/>
      <w14:textFill>
        <w14:solidFill>
          <w14:schemeClr w14:val="hlink"/>
        </w14:solidFill>
      </w14:textFill>
    </w:rPr>
  </w:style>
  <w:style w:type="character" w:styleId="674">
    <w:name w:val="footnote reference"/>
    <w:basedOn w:val="644"/>
    <w:uiPriority w:val="99"/>
    <w:unhideWhenUsed/>
    <w:qFormat/>
    <w:rPr>
      <w:vertAlign w:val="superscript"/>
    </w:rPr>
  </w:style>
  <w:style w:type="paragraph" w:styleId="675"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676" w:customStyle="1">
    <w:name w:val="Heading 1 Char"/>
    <w:basedOn w:val="644"/>
    <w:uiPriority w:val="9"/>
    <w:qFormat/>
    <w:rPr>
      <w:rFonts w:ascii="Arial" w:hAnsi="Arial" w:eastAsia="Arial" w:cs="Arial"/>
      <w:sz w:val="40"/>
      <w:szCs w:val="40"/>
    </w:rPr>
  </w:style>
  <w:style w:type="character" w:styleId="677" w:customStyle="1">
    <w:name w:val="Heading 2 Char"/>
    <w:basedOn w:val="644"/>
    <w:uiPriority w:val="9"/>
    <w:qFormat/>
    <w:rPr>
      <w:rFonts w:ascii="Arial" w:hAnsi="Arial" w:eastAsia="Arial" w:cs="Arial"/>
      <w:sz w:val="34"/>
    </w:rPr>
  </w:style>
  <w:style w:type="character" w:styleId="678" w:customStyle="1">
    <w:name w:val="Heading 3 Char"/>
    <w:basedOn w:val="644"/>
    <w:link w:val="637"/>
    <w:uiPriority w:val="9"/>
    <w:qFormat/>
    <w:rPr>
      <w:rFonts w:ascii="Arial" w:hAnsi="Arial" w:eastAsia="Arial" w:cs="Arial"/>
      <w:sz w:val="30"/>
      <w:szCs w:val="30"/>
    </w:rPr>
  </w:style>
  <w:style w:type="character" w:styleId="679" w:customStyle="1">
    <w:name w:val="Heading 4 Char"/>
    <w:basedOn w:val="644"/>
    <w:uiPriority w:val="9"/>
    <w:qFormat/>
    <w:rPr>
      <w:rFonts w:ascii="Arial" w:hAnsi="Arial" w:eastAsia="Arial" w:cs="Arial"/>
      <w:b/>
      <w:bCs/>
      <w:sz w:val="26"/>
      <w:szCs w:val="26"/>
    </w:rPr>
  </w:style>
  <w:style w:type="character" w:styleId="680" w:customStyle="1">
    <w:name w:val="Heading 5 Char"/>
    <w:basedOn w:val="644"/>
    <w:link w:val="639"/>
    <w:uiPriority w:val="9"/>
    <w:qFormat/>
    <w:rPr>
      <w:rFonts w:ascii="Arial" w:hAnsi="Arial" w:eastAsia="Arial" w:cs="Arial"/>
      <w:b/>
      <w:bCs/>
      <w:sz w:val="24"/>
      <w:szCs w:val="24"/>
    </w:rPr>
  </w:style>
  <w:style w:type="character" w:styleId="681" w:customStyle="1">
    <w:name w:val="Heading 6 Char"/>
    <w:basedOn w:val="644"/>
    <w:link w:val="640"/>
    <w:uiPriority w:val="9"/>
    <w:qFormat/>
    <w:rPr>
      <w:rFonts w:ascii="Arial" w:hAnsi="Arial" w:eastAsia="Arial" w:cs="Arial"/>
      <w:b/>
      <w:bCs/>
      <w:sz w:val="22"/>
      <w:szCs w:val="22"/>
    </w:rPr>
  </w:style>
  <w:style w:type="character" w:styleId="682" w:customStyle="1">
    <w:name w:val="Heading 7 Char"/>
    <w:basedOn w:val="644"/>
    <w:link w:val="641"/>
    <w:uiPriority w:val="9"/>
    <w:qFormat/>
    <w:rPr>
      <w:rFonts w:ascii="Arial" w:hAnsi="Arial" w:eastAsia="Arial" w:cs="Arial"/>
      <w:b/>
      <w:bCs/>
      <w:i/>
      <w:iCs/>
      <w:sz w:val="22"/>
      <w:szCs w:val="22"/>
    </w:rPr>
  </w:style>
  <w:style w:type="character" w:styleId="683" w:customStyle="1">
    <w:name w:val="Heading 8 Char"/>
    <w:basedOn w:val="644"/>
    <w:link w:val="642"/>
    <w:uiPriority w:val="9"/>
    <w:qFormat/>
    <w:rPr>
      <w:rFonts w:ascii="Arial" w:hAnsi="Arial" w:eastAsia="Arial" w:cs="Arial"/>
      <w:i/>
      <w:iCs/>
      <w:sz w:val="22"/>
      <w:szCs w:val="22"/>
    </w:rPr>
  </w:style>
  <w:style w:type="character" w:styleId="684" w:customStyle="1">
    <w:name w:val="Heading 9 Char"/>
    <w:basedOn w:val="644"/>
    <w:link w:val="643"/>
    <w:uiPriority w:val="9"/>
    <w:qFormat/>
    <w:rPr>
      <w:rFonts w:ascii="Arial" w:hAnsi="Arial" w:eastAsia="Arial" w:cs="Arial"/>
      <w:i/>
      <w:iCs/>
      <w:sz w:val="21"/>
      <w:szCs w:val="21"/>
    </w:rPr>
  </w:style>
  <w:style w:type="paragraph" w:styleId="685">
    <w:name w:val="List Paragraph"/>
    <w:basedOn w:val="635"/>
    <w:uiPriority w:val="34"/>
    <w:qFormat/>
    <w:pPr>
      <w:contextualSpacing/>
      <w:ind w:left="720"/>
    </w:pPr>
  </w:style>
  <w:style w:type="paragraph" w:styleId="686">
    <w:name w:val="No Spacing"/>
    <w:uiPriority w:val="1"/>
    <w:qFormat/>
    <w:pPr>
      <w:spacing w:before="0" w:after="0" w:line="240" w:lineRule="auto"/>
    </w:pPr>
    <w:rPr>
      <w:rFonts w:hint="default" w:ascii="Times New Roman" w:hAnsi="Times New Roman" w:eastAsia="宋体" w:cs="Times New Roman"/>
    </w:rPr>
  </w:style>
  <w:style w:type="character" w:styleId="687" w:customStyle="1">
    <w:name w:val="Title Char"/>
    <w:basedOn w:val="644"/>
    <w:link w:val="669"/>
    <w:uiPriority w:val="10"/>
    <w:qFormat/>
    <w:rPr>
      <w:sz w:val="48"/>
      <w:szCs w:val="48"/>
    </w:rPr>
  </w:style>
  <w:style w:type="character" w:styleId="688" w:customStyle="1">
    <w:name w:val="Subtitle Char"/>
    <w:basedOn w:val="644"/>
    <w:link w:val="661"/>
    <w:uiPriority w:val="11"/>
    <w:qFormat/>
    <w:rPr>
      <w:sz w:val="24"/>
      <w:szCs w:val="24"/>
    </w:rPr>
  </w:style>
  <w:style w:type="paragraph" w:styleId="689">
    <w:name w:val="Quote"/>
    <w:basedOn w:val="635"/>
    <w:next w:val="635"/>
    <w:link w:val="690"/>
    <w:uiPriority w:val="29"/>
    <w:qFormat/>
    <w:pPr>
      <w:ind w:left="720" w:right="720"/>
    </w:pPr>
    <w:rPr>
      <w:i/>
    </w:rPr>
  </w:style>
  <w:style w:type="character" w:styleId="690" w:customStyle="1">
    <w:name w:val="Quote Char"/>
    <w:link w:val="689"/>
    <w:uiPriority w:val="29"/>
    <w:qFormat/>
    <w:rPr>
      <w:i/>
    </w:rPr>
  </w:style>
  <w:style w:type="paragraph" w:styleId="691">
    <w:name w:val="Intense Quote"/>
    <w:basedOn w:val="635"/>
    <w:next w:val="635"/>
    <w:link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2" w:customStyle="1">
    <w:name w:val="Intense Quote Char"/>
    <w:link w:val="691"/>
    <w:uiPriority w:val="30"/>
    <w:qFormat/>
    <w:rPr>
      <w:i/>
    </w:rPr>
  </w:style>
  <w:style w:type="character" w:styleId="693" w:customStyle="1">
    <w:name w:val="Header Char"/>
    <w:basedOn w:val="644"/>
    <w:uiPriority w:val="99"/>
    <w:qFormat/>
  </w:style>
  <w:style w:type="character" w:styleId="694" w:customStyle="1">
    <w:name w:val="Footer Char"/>
    <w:basedOn w:val="644"/>
    <w:uiPriority w:val="99"/>
    <w:qFormat/>
  </w:style>
  <w:style w:type="character" w:styleId="695" w:customStyle="1">
    <w:name w:val="Caption Char"/>
    <w:uiPriority w:val="99"/>
    <w:qFormat/>
  </w:style>
  <w:style w:type="table" w:styleId="696" w:customStyle="1">
    <w:name w:val="Table Grid Light"/>
    <w:basedOn w:val="6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7" w:customStyle="1">
    <w:name w:val="Plain Table 1"/>
    <w:basedOn w:val="6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2"/>
    <w:basedOn w:val="6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Plain Table 3"/>
    <w:basedOn w:val="6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customStyle="1">
    <w:name w:val="Plain Table 4"/>
    <w:basedOn w:val="6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customStyle="1">
    <w:name w:val="Plain Table 5"/>
    <w:basedOn w:val="6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2" w:customStyle="1">
    <w:name w:val="Grid Table 1 Light"/>
    <w:basedOn w:val="6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1"/>
    <w:basedOn w:val="64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2"/>
    <w:basedOn w:val="6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3"/>
    <w:basedOn w:val="6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4"/>
    <w:basedOn w:val="6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5"/>
    <w:basedOn w:val="64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6"/>
    <w:basedOn w:val="6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9" w:customStyle="1">
    <w:name w:val="Grid Table 2"/>
    <w:basedOn w:val="6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0" w:customStyle="1">
    <w:name w:val="Grid Table 2 - Accent 1"/>
    <w:basedOn w:val="64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1" w:customStyle="1">
    <w:name w:val="Grid Table 2 - Accent 2"/>
    <w:basedOn w:val="6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2" w:customStyle="1">
    <w:name w:val="Grid Table 2 - Accent 3"/>
    <w:basedOn w:val="6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3" w:customStyle="1">
    <w:name w:val="Grid Table 2 - Accent 4"/>
    <w:basedOn w:val="6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4" w:customStyle="1">
    <w:name w:val="Grid Table 2 - Accent 5"/>
    <w:basedOn w:val="64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5" w:customStyle="1">
    <w:name w:val="Grid Table 2 - Accent 6"/>
    <w:basedOn w:val="6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6" w:customStyle="1">
    <w:name w:val="Grid Table 3"/>
    <w:basedOn w:val="6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1"/>
    <w:basedOn w:val="64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2"/>
    <w:basedOn w:val="6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3"/>
    <w:basedOn w:val="6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4"/>
    <w:basedOn w:val="6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5"/>
    <w:basedOn w:val="64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6"/>
    <w:basedOn w:val="6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4"/>
    <w:basedOn w:val="6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Grid Table 4 - Accent 1"/>
    <w:basedOn w:val="64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5" w:customStyle="1">
    <w:name w:val="Grid Table 4 - Accent 2"/>
    <w:basedOn w:val="64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6" w:customStyle="1">
    <w:name w:val="Grid Table 4 - Accent 3"/>
    <w:basedOn w:val="64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7" w:customStyle="1">
    <w:name w:val="Grid Table 4 - Accent 4"/>
    <w:basedOn w:val="64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28" w:customStyle="1">
    <w:name w:val="Grid Table 4 - Accent 5"/>
    <w:basedOn w:val="64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9" w:customStyle="1">
    <w:name w:val="Grid Table 4 - Accent 6"/>
    <w:basedOn w:val="64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0" w:customStyle="1">
    <w:name w:val="Grid Table 5 Dark"/>
    <w:basedOn w:val="6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1" w:customStyle="1">
    <w:name w:val="Grid Table 5 Dark- Accent 1"/>
    <w:basedOn w:val="6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2" w:customStyle="1">
    <w:name w:val="Grid Table 5 Dark - Accent 2"/>
    <w:basedOn w:val="6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3" w:customStyle="1">
    <w:name w:val="Grid Table 5 Dark - Accent 3"/>
    <w:basedOn w:val="6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4" w:customStyle="1">
    <w:name w:val="Grid Table 5 Dark- Accent 4"/>
    <w:basedOn w:val="6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5" w:customStyle="1">
    <w:name w:val="Grid Table 5 Dark - Accent 5"/>
    <w:basedOn w:val="6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6" w:customStyle="1">
    <w:name w:val="Grid Table 5 Dark - Accent 6"/>
    <w:basedOn w:val="6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7" w:customStyle="1">
    <w:name w:val="Grid Table 6 Colorful"/>
    <w:basedOn w:val="6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8" w:customStyle="1">
    <w:name w:val="Grid Table 6 Colorful - Accent 1"/>
    <w:basedOn w:val="64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39" w:customStyle="1">
    <w:name w:val="Grid Table 6 Colorful - Accent 2"/>
    <w:basedOn w:val="6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0" w:customStyle="1">
    <w:name w:val="Grid Table 6 Colorful - Accent 3"/>
    <w:basedOn w:val="64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1" w:customStyle="1">
    <w:name w:val="Grid Table 6 Colorful - Accent 4"/>
    <w:basedOn w:val="6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2" w:customStyle="1">
    <w:name w:val="Grid Table 6 Colorful - Accent 5"/>
    <w:basedOn w:val="64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3" w:customStyle="1">
    <w:name w:val="Grid Table 6 Colorful - Accent 6"/>
    <w:basedOn w:val="64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4" w:customStyle="1">
    <w:name w:val="Grid Table 7 Colorful"/>
    <w:basedOn w:val="6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5" w:customStyle="1">
    <w:name w:val="Grid Table 7 Colorful - Accent 1"/>
    <w:basedOn w:val="64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6" w:customStyle="1">
    <w:name w:val="Grid Table 7 Colorful - Accent 2"/>
    <w:basedOn w:val="64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47" w:customStyle="1">
    <w:name w:val="Grid Table 7 Colorful - Accent 3"/>
    <w:basedOn w:val="64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8" w:customStyle="1">
    <w:name w:val="Grid Table 7 Colorful - Accent 4"/>
    <w:basedOn w:val="64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49" w:customStyle="1">
    <w:name w:val="Grid Table 7 Colorful - Accent 5"/>
    <w:basedOn w:val="64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0" w:customStyle="1">
    <w:name w:val="Grid Table 7 Colorful - Accent 6"/>
    <w:basedOn w:val="64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1" w:customStyle="1">
    <w:name w:val="List Table 1 Light"/>
    <w:basedOn w:val="6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1 Light - Accent 1"/>
    <w:basedOn w:val="64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3" w:customStyle="1">
    <w:name w:val="List Table 1 Light - Accent 2"/>
    <w:basedOn w:val="64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4" w:customStyle="1">
    <w:name w:val="List Table 1 Light - Accent 3"/>
    <w:basedOn w:val="64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5" w:customStyle="1">
    <w:name w:val="List Table 1 Light - Accent 4"/>
    <w:basedOn w:val="64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6" w:customStyle="1">
    <w:name w:val="List Table 1 Light - Accent 5"/>
    <w:basedOn w:val="64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7" w:customStyle="1">
    <w:name w:val="List Table 1 Light - Accent 6"/>
    <w:basedOn w:val="64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8" w:customStyle="1">
    <w:name w:val="List Table 2"/>
    <w:basedOn w:val="6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2 - Accent 1"/>
    <w:basedOn w:val="64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0" w:customStyle="1">
    <w:name w:val="List Table 2 - Accent 2"/>
    <w:basedOn w:val="64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1" w:customStyle="1">
    <w:name w:val="List Table 2 - Accent 3"/>
    <w:basedOn w:val="64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2" w:customStyle="1">
    <w:name w:val="List Table 2 - Accent 4"/>
    <w:basedOn w:val="64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3" w:customStyle="1">
    <w:name w:val="List Table 2 - Accent 5"/>
    <w:basedOn w:val="64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4" w:customStyle="1">
    <w:name w:val="List Table 2 - Accent 6"/>
    <w:basedOn w:val="64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5" w:customStyle="1">
    <w:name w:val="List Table 3"/>
    <w:basedOn w:val="6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3 - Accent 1"/>
    <w:basedOn w:val="64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7" w:customStyle="1">
    <w:name w:val="List Table 3 - Accent 2"/>
    <w:basedOn w:val="6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68" w:customStyle="1">
    <w:name w:val="List Table 3 - Accent 3"/>
    <w:basedOn w:val="64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9" w:customStyle="1">
    <w:name w:val="List Table 3 - Accent 4"/>
    <w:basedOn w:val="6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0" w:customStyle="1">
    <w:name w:val="List Table 3 - Accent 5"/>
    <w:basedOn w:val="64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1" w:customStyle="1">
    <w:name w:val="List Table 3 - Accent 6"/>
    <w:basedOn w:val="64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2" w:customStyle="1">
    <w:name w:val="List Table 4"/>
    <w:basedOn w:val="6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4 - Accent 1"/>
    <w:basedOn w:val="64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4" w:customStyle="1">
    <w:name w:val="List Table 4 - Accent 2"/>
    <w:basedOn w:val="64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5" w:customStyle="1">
    <w:name w:val="List Table 4 - Accent 3"/>
    <w:basedOn w:val="64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6" w:customStyle="1">
    <w:name w:val="List Table 4 - Accent 4"/>
    <w:basedOn w:val="64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7" w:customStyle="1">
    <w:name w:val="List Table 4 - Accent 5"/>
    <w:basedOn w:val="64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8" w:customStyle="1">
    <w:name w:val="List Table 4 - Accent 6"/>
    <w:basedOn w:val="64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9" w:customStyle="1">
    <w:name w:val="List Table 5 Dark"/>
    <w:basedOn w:val="6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1"/>
    <w:basedOn w:val="64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2"/>
    <w:basedOn w:val="64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3"/>
    <w:basedOn w:val="64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4"/>
    <w:basedOn w:val="64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5"/>
    <w:basedOn w:val="64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6"/>
    <w:basedOn w:val="64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6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6 Colorful - Accent 1"/>
    <w:basedOn w:val="64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88" w:customStyle="1">
    <w:name w:val="List Table 6 Colorful - Accent 2"/>
    <w:basedOn w:val="64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89" w:customStyle="1">
    <w:name w:val="List Table 6 Colorful - Accent 3"/>
    <w:basedOn w:val="64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0" w:customStyle="1">
    <w:name w:val="List Table 6 Colorful - Accent 4"/>
    <w:basedOn w:val="64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1" w:customStyle="1">
    <w:name w:val="List Table 6 Colorful - Accent 5"/>
    <w:basedOn w:val="64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2" w:customStyle="1">
    <w:name w:val="List Table 6 Colorful - Accent 6"/>
    <w:basedOn w:val="64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3" w:customStyle="1">
    <w:name w:val="List Table 7 Colorful"/>
    <w:basedOn w:val="6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7 Colorful - Accent 1"/>
    <w:basedOn w:val="64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5" w:customStyle="1">
    <w:name w:val="List Table 7 Colorful - Accent 2"/>
    <w:basedOn w:val="64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6" w:customStyle="1">
    <w:name w:val="List Table 7 Colorful - Accent 3"/>
    <w:basedOn w:val="64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7" w:customStyle="1">
    <w:name w:val="List Table 7 Colorful - Accent 4"/>
    <w:basedOn w:val="64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8" w:customStyle="1">
    <w:name w:val="List Table 7 Colorful - Accent 5"/>
    <w:basedOn w:val="64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99" w:customStyle="1">
    <w:name w:val="List Table 7 Colorful - Accent 6"/>
    <w:basedOn w:val="64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0" w:customStyle="1">
    <w:name w:val="Lined - Accent"/>
    <w:basedOn w:val="6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1" w:customStyle="1">
    <w:name w:val="Lined - Accent 1"/>
    <w:basedOn w:val="6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2" w:customStyle="1">
    <w:name w:val="Lined - Accent 2"/>
    <w:basedOn w:val="6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3" w:customStyle="1">
    <w:name w:val="Lined - Accent 3"/>
    <w:basedOn w:val="6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4" w:customStyle="1">
    <w:name w:val="Lined - Accent 4"/>
    <w:basedOn w:val="6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5" w:customStyle="1">
    <w:name w:val="Lined - Accent 5"/>
    <w:basedOn w:val="6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6" w:customStyle="1">
    <w:name w:val="Lined - Accent 6"/>
    <w:basedOn w:val="6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7" w:customStyle="1">
    <w:name w:val="Bordered &amp; Lined - Accent"/>
    <w:basedOn w:val="6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Bordered &amp; Lined - Accent 1"/>
    <w:basedOn w:val="64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9" w:customStyle="1">
    <w:name w:val="Bordered &amp; Lined - Accent 2"/>
    <w:basedOn w:val="64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0" w:customStyle="1">
    <w:name w:val="Bordered &amp; Lined - Accent 3"/>
    <w:basedOn w:val="64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1" w:customStyle="1">
    <w:name w:val="Bordered &amp; Lined - Accent 4"/>
    <w:basedOn w:val="64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2" w:customStyle="1">
    <w:name w:val="Bordered &amp; Lined - Accent 5"/>
    <w:basedOn w:val="64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3" w:customStyle="1">
    <w:name w:val="Bordered &amp; Lined - Accent 6"/>
    <w:basedOn w:val="64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4" w:customStyle="1">
    <w:name w:val="Bordered"/>
    <w:basedOn w:val="6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5" w:customStyle="1">
    <w:name w:val="Bordered - Accent 1"/>
    <w:basedOn w:val="64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6" w:customStyle="1">
    <w:name w:val="Bordered - Accent 2"/>
    <w:basedOn w:val="6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17" w:customStyle="1">
    <w:name w:val="Bordered - Accent 3"/>
    <w:basedOn w:val="6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8" w:customStyle="1">
    <w:name w:val="Bordered - Accent 4"/>
    <w:basedOn w:val="6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19" w:customStyle="1">
    <w:name w:val="Bordered - Accent 5"/>
    <w:basedOn w:val="64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0" w:customStyle="1">
    <w:name w:val="Bordered - Accent 6"/>
    <w:basedOn w:val="6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1" w:customStyle="1">
    <w:name w:val="Footnote Text Char"/>
    <w:link w:val="662"/>
    <w:uiPriority w:val="99"/>
    <w:qFormat/>
    <w:rPr>
      <w:sz w:val="18"/>
    </w:rPr>
  </w:style>
  <w:style w:type="character" w:styleId="822" w:customStyle="1">
    <w:name w:val="Endnote Text Char"/>
    <w:link w:val="656"/>
    <w:uiPriority w:val="99"/>
    <w:qFormat/>
    <w:rPr>
      <w:sz w:val="20"/>
    </w:rPr>
  </w:style>
  <w:style w:type="paragraph" w:styleId="823" w:customStyle="1">
    <w:name w:val="TOC Heading"/>
    <w:uiPriority w:val="39"/>
    <w:unhideWhenUsed/>
    <w:qFormat/>
    <w:rPr>
      <w:rFonts w:hint="default" w:ascii="Times New Roman" w:hAnsi="Times New Roman" w:eastAsia="宋体" w:cs="Times New Roman"/>
    </w:rPr>
  </w:style>
  <w:style w:type="character" w:styleId="824" w:customStyle="1">
    <w:name w:val="页眉 Char"/>
    <w:basedOn w:val="644"/>
    <w:link w:val="658"/>
    <w:uiPriority w:val="0"/>
    <w:qFormat/>
    <w:rPr>
      <w:rFonts w:asciiTheme="minorHAnsi" w:hAnsiTheme="minorHAnsi" w:eastAsiaTheme="minorEastAsia" w:cstheme="minorBidi"/>
      <w:sz w:val="18"/>
      <w:szCs w:val="18"/>
    </w:rPr>
  </w:style>
  <w:style w:type="character" w:styleId="825" w:customStyle="1">
    <w:name w:val="页脚 Char"/>
    <w:basedOn w:val="644"/>
    <w:link w:val="657"/>
    <w:uiPriority w:val="0"/>
    <w:qFormat/>
    <w:rPr>
      <w:rFonts w:asciiTheme="minorHAnsi" w:hAnsiTheme="minorHAnsi" w:eastAsiaTheme="minorEastAsia" w:cstheme="minorBidi"/>
      <w:sz w:val="18"/>
      <w:szCs w:val="18"/>
    </w:rPr>
  </w:style>
  <w:style w:type="character" w:styleId="826" w:customStyle="1">
    <w:name w:val="NormalCharacter"/>
    <w:uiPriority w:val="0"/>
    <w:qFormat/>
  </w:style>
  <w:style w:type="paragraph" w:styleId="827" w:customStyle="1">
    <w:name w:val="Heading 1"/>
    <w:basedOn w:val="635"/>
    <w:next w:val="635"/>
    <w:uiPriority w:val="0"/>
    <w:qFormat/>
    <w:pPr>
      <w:jc w:val="center"/>
      <w:keepNext/>
    </w:pPr>
    <w:rPr>
      <w:rFonts w:ascii="楷体_GB2312" w:eastAsia="楷体_GB2312"/>
      <w:sz w:val="28"/>
      <w:szCs w:val="28"/>
    </w:rPr>
  </w:style>
  <w:style w:type="paragraph" w:styleId="828" w:customStyle="1">
    <w:name w:val="Heading 4"/>
    <w:basedOn w:val="635"/>
    <w:next w:val="635"/>
    <w:uiPriority w:val="0"/>
    <w:qFormat/>
    <w:pPr>
      <w:keepLines/>
      <w:keepNext/>
      <w:spacing w:before="280" w:after="290" w:line="376" w:lineRule="auto"/>
    </w:pPr>
    <w:rPr>
      <w:rFonts w:ascii="Arial" w:hAnsi="Arial" w:eastAsia="黑体" w:cs="Times New Roman"/>
      <w:b/>
      <w:bCs/>
      <w:sz w:val="28"/>
      <w:szCs w:val="28"/>
    </w:rPr>
  </w:style>
  <w:style w:type="paragraph" w:styleId="829" w:customStyle="1">
    <w:name w:val="Heading 2"/>
    <w:basedOn w:val="635"/>
    <w:next w:val="830"/>
    <w:uiPriority w:val="0"/>
    <w:qFormat/>
    <w:pPr>
      <w:jc w:val="center"/>
      <w:keepLines/>
      <w:keepNext/>
      <w:spacing w:before="260" w:after="260" w:line="416" w:lineRule="auto"/>
    </w:pPr>
    <w:rPr>
      <w:rFonts w:ascii="Arial" w:hAnsi="Arial" w:eastAsia="幼圆" w:cs="Times New Roman"/>
      <w:b/>
      <w:bCs/>
      <w:sz w:val="44"/>
      <w:szCs w:val="44"/>
    </w:rPr>
  </w:style>
  <w:style w:type="paragraph" w:styleId="830" w:customStyle="1">
    <w:name w:val="NormalIndent"/>
    <w:basedOn w:val="635"/>
    <w:uiPriority w:val="0"/>
    <w:qFormat/>
    <w:pPr>
      <w:ind w:firstLine="420"/>
    </w:pPr>
    <w:rPr>
      <w:szCs w:val="20"/>
    </w:rPr>
  </w:style>
  <w:style w:type="paragraph" w:styleId="831" w:customStyle="1">
    <w:name w:val="PlainText"/>
    <w:basedOn w:val="635"/>
    <w:uiPriority w:val="0"/>
    <w:qFormat/>
    <w:rPr>
      <w:rFonts w:ascii="宋体" w:hAnsi="Courier New"/>
    </w:rPr>
  </w:style>
  <w:style w:type="paragraph" w:styleId="832" w:customStyle="1">
    <w:name w:val="WPSOffice手动目录 1"/>
    <w:uiPriority w:val="0"/>
    <w:qFormat/>
    <w:rPr>
      <w:rFonts w:hint="default" w:ascii="Times New Roman" w:hAnsi="Times New Roman" w:eastAsia="宋体" w:cs="Times New Roman"/>
      <w:sz w:val="20"/>
      <w:szCs w:val="20"/>
    </w:rPr>
  </w:style>
  <w:style w:type="paragraph" w:styleId="833" w:customStyle="1">
    <w:name w:val="Char"/>
    <w:basedOn w:val="635"/>
    <w:uiPriority w:val="0"/>
    <w:qFormat/>
    <w:pPr>
      <w:ind w:firstLine="200"/>
      <w:tabs>
        <w:tab w:val="left" w:pos="360" w:leader="none"/>
      </w:tabs>
    </w:pPr>
    <w:rPr>
      <w:sz w:val="28"/>
      <w:szCs w:val="30"/>
    </w:rPr>
  </w:style>
  <w:style w:type="paragraph" w:styleId="834" w:customStyle="1">
    <w:name w:val="普通正文"/>
    <w:basedOn w:val="635"/>
    <w:uiPriority w:val="0"/>
    <w:qFormat/>
    <w:pPr>
      <w:ind w:firstLine="480"/>
      <w:jc w:val="left"/>
      <w:spacing w:before="120" w:after="120" w:line="360" w:lineRule="auto"/>
    </w:pPr>
    <w:rPr>
      <w:rFonts w:ascii="Arial" w:hAnsi="Arial"/>
      <w:sz w:val="24"/>
      <w:szCs w:val="24"/>
    </w:rPr>
  </w:style>
  <w:style w:type="paragraph" w:styleId="835" w:customStyle="1">
    <w:name w:val="列出段落1"/>
    <w:basedOn w:val="635"/>
    <w:uiPriority w:val="0"/>
    <w:qFormat/>
    <w:pPr>
      <w:contextualSpacing/>
      <w:ind w:left="720"/>
      <w:jc w:val="left"/>
      <w:widowControl/>
    </w:pPr>
    <w:rPr>
      <w:rFonts w:ascii="Calibri" w:hAnsi="Calibri" w:eastAsia="宋体" w:cs="Times New Roman"/>
      <w:sz w:val="24"/>
      <w:szCs w:val="24"/>
      <w:lang w:eastAsia="en-US" w:bidi="en-US"/>
    </w:rPr>
  </w:style>
  <w:style w:type="numbering" w:styleId="6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张先生</cp:lastModifiedBy>
  <cp:revision>274</cp:revision>
  <dcterms:created xsi:type="dcterms:W3CDTF">2014-10-29T12:08:00Z</dcterms:created>
  <dcterms:modified xsi:type="dcterms:W3CDTF">2024-04-11T01:52:27Z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CC18E29733F941A0B05108FDC74D55DB_13</vt:lpwstr>
  </property>
</Properties>
</file>