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12"/>
        <w:rPr>
          <w:rFonts w:hint="eastAsia"/>
          <w:color w:val="000000"/>
        </w:rPr>
      </w:pPr>
      <w:r>
        <w:rPr>
          <w:rFonts w:hint="eastAsia"/>
          <w:color w:val="000000"/>
        </w:rPr>
      </w:r>
      <w:r/>
    </w:p>
    <w:p>
      <w:pPr>
        <w:pStyle w:val="1033"/>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748"/>
        <w:ind w:firstLine="1506"/>
        <w:rPr>
          <w:b/>
          <w:color w:val="000000"/>
          <w:sz w:val="30"/>
          <w:szCs w:val="30"/>
          <w:u w:val="single"/>
        </w:rPr>
      </w:pPr>
      <w:r>
        <w:rPr>
          <w:rFonts w:hint="eastAsia"/>
          <w:b/>
          <w:color w:val="000000"/>
          <w:sz w:val="30"/>
          <w:szCs w:val="30"/>
        </w:rPr>
        <w:t xml:space="preserve">项目名称：</w:t>
      </w:r>
      <w:r>
        <w:rPr>
          <w:rFonts w:hint="eastAsia"/>
          <w:b/>
          <w:color w:val="000000"/>
          <w:sz w:val="32"/>
          <w:szCs w:val="32"/>
        </w:rPr>
        <w:t xml:space="preserve">金陵科技学院2026-2028年物业管理服务 </w:t>
      </w:r>
      <w:r>
        <w:rPr>
          <w:b/>
          <w:color w:val="000000"/>
          <w:sz w:val="30"/>
          <w:szCs w:val="30"/>
          <w:u w:val="single"/>
        </w:rPr>
      </w:r>
      <w:r/>
    </w:p>
    <w:p>
      <w:pPr>
        <w:pStyle w:val="748"/>
        <w:ind w:firstLine="1506"/>
        <w:rPr>
          <w:rFonts w:hint="eastAsia"/>
          <w:b/>
          <w:color w:val="000000"/>
          <w:sz w:val="30"/>
          <w:szCs w:val="30"/>
        </w:rPr>
      </w:pPr>
      <w:r>
        <w:rPr>
          <w:rFonts w:hint="eastAsia"/>
          <w:b/>
          <w:color w:val="000000"/>
          <w:sz w:val="30"/>
          <w:szCs w:val="30"/>
        </w:rPr>
        <w:t xml:space="preserve">项目编号：</w:t>
      </w:r>
      <w:r>
        <w:rPr>
          <w:rFonts w:hint="eastAsia"/>
          <w:b/>
          <w:color w:val="000000"/>
          <w:sz w:val="32"/>
          <w:szCs w:val="32"/>
        </w:rPr>
        <w:t xml:space="preserve">JSZC-320100-JZCG-G2025-0544</w:t>
      </w:r>
      <w:r>
        <w:rPr>
          <w:rFonts w:hint="eastAsia"/>
          <w:b/>
          <w:color w:val="000000"/>
          <w:sz w:val="30"/>
          <w:szCs w:val="30"/>
        </w:rPr>
        <w:t xml:space="preserve">              </w:t>
      </w:r>
      <w:r>
        <w:rPr>
          <w:rFonts w:hint="eastAsia"/>
          <w:b/>
          <w:color w:val="000000"/>
          <w:sz w:val="30"/>
          <w:szCs w:val="30"/>
        </w:rPr>
      </w:r>
      <w:r/>
    </w:p>
    <w:p>
      <w:pPr>
        <w:pStyle w:val="748"/>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33"/>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748"/>
        <w:jc w:val="center"/>
        <w:rPr>
          <w:rFonts w:hint="eastAsia"/>
          <w:b/>
          <w:color w:val="000000"/>
          <w:sz w:val="32"/>
          <w:szCs w:val="32"/>
        </w:rPr>
      </w:pPr>
      <w:r>
        <w:rPr>
          <w:rFonts w:hint="eastAsia"/>
          <w:b/>
          <w:color w:val="000000"/>
          <w:sz w:val="32"/>
          <w:szCs w:val="32"/>
        </w:rPr>
        <w:t xml:space="preserve">2025年12月</w:t>
      </w:r>
      <w:r>
        <w:rPr>
          <w:rFonts w:hint="eastAsia"/>
          <w:b/>
          <w:color w:val="000000"/>
          <w:sz w:val="32"/>
          <w:szCs w:val="32"/>
        </w:rPr>
      </w:r>
      <w:r/>
    </w:p>
    <w:p>
      <w:pPr>
        <w:pStyle w:val="74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8"/>
        <w:spacing w:line="480" w:lineRule="auto"/>
        <w:rPr>
          <w:rFonts w:hint="eastAsia"/>
          <w:color w:val="000000"/>
        </w:rPr>
      </w:pPr>
      <w:r>
        <w:rPr>
          <w:rFonts w:hint="eastAsia"/>
          <w:color w:val="000000"/>
        </w:rPr>
      </w:r>
      <w:r/>
    </w:p>
    <w:p>
      <w:pPr>
        <w:pStyle w:val="748"/>
        <w:spacing w:line="480" w:lineRule="auto"/>
        <w:rPr>
          <w:rFonts w:hint="eastAsia"/>
          <w:color w:val="000000"/>
        </w:rPr>
      </w:pPr>
      <w:r>
        <w:rPr>
          <w:rFonts w:hint="eastAsia"/>
          <w:color w:val="000000"/>
        </w:rPr>
      </w:r>
      <w:r/>
    </w:p>
    <w:p>
      <w:pPr>
        <w:pStyle w:val="748"/>
        <w:spacing w:line="480" w:lineRule="auto"/>
        <w:rPr>
          <w:rFonts w:hint="eastAsia"/>
          <w:color w:val="000000"/>
        </w:rPr>
      </w:pPr>
      <w:r>
        <w:rPr>
          <w:rFonts w:hint="eastAsia"/>
          <w:color w:val="000000"/>
        </w:rPr>
        <w:t xml:space="preserve">                      </w:t>
      </w:r>
      <w:r>
        <w:rPr>
          <w:rFonts w:hint="eastAsia"/>
          <w:color w:val="000000"/>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jc w:val="center"/>
        <w:spacing w:line="480" w:lineRule="auto"/>
        <w:rPr>
          <w:rFonts w:hint="eastAsia" w:ascii="黑体" w:hAnsi="Arial" w:eastAsia="黑体"/>
          <w:b/>
          <w:color w:val="000000"/>
          <w:sz w:val="44"/>
        </w:rPr>
        <w:outlineLvl w:val="0"/>
      </w:pPr>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48"/>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8"/>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3</w:t>
      </w:r>
      <w:r>
        <w:rPr>
          <w:rFonts w:hint="eastAsia" w:ascii="黑体" w:hAnsi="宋体" w:eastAsia="黑体"/>
          <w:color w:val="000000"/>
          <w:sz w:val="36"/>
        </w:rPr>
      </w:r>
      <w:r/>
    </w:p>
    <w:p>
      <w:pPr>
        <w:pStyle w:val="748"/>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5</w:t>
      </w:r>
      <w:r/>
    </w:p>
    <w:p>
      <w:pPr>
        <w:pStyle w:val="748"/>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合同文本……………………………………13</w:t>
      </w:r>
      <w:r/>
    </w:p>
    <w:p>
      <w:pPr>
        <w:pStyle w:val="748"/>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采购需求……………………………………16</w:t>
      </w:r>
      <w:r/>
    </w:p>
    <w:p>
      <w:pPr>
        <w:pStyle w:val="748"/>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评标方法与评标标准………………………60</w:t>
      </w:r>
      <w:r/>
    </w:p>
    <w:p>
      <w:pPr>
        <w:pStyle w:val="748"/>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投标文件格式………………………………64</w:t>
      </w:r>
      <w:r/>
    </w:p>
    <w:p>
      <w:pPr>
        <w:pStyle w:val="748"/>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jc w:val="center"/>
        <w:rPr>
          <w:rFonts w:hint="eastAsia" w:ascii="方正小标宋简体" w:hAnsi="方正小标宋简体" w:eastAsia="方正小标宋简体" w:cs="方正小标宋简体"/>
          <w:color w:val="000000"/>
          <w:sz w:val="36"/>
          <w:szCs w:val="36"/>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8"/>
        <w:ind w:firstLine="480"/>
        <w:spacing w:line="252" w:lineRule="auto"/>
        <w:rPr>
          <w:rFonts w:hint="eastAsia" w:ascii="宋体" w:hAnsi="宋体"/>
          <w:color w:val="000000"/>
          <w:sz w:val="24"/>
          <w:szCs w:val="24"/>
        </w:rPr>
      </w:pPr>
      <w:r/>
      <w:bookmarkStart w:id="6" w:name="_Toc28359079"/>
      <w:r/>
      <w:bookmarkStart w:id="7" w:name="_Toc28359002"/>
      <w:r/>
      <w:bookmarkStart w:id="8" w:name="_Toc38985263"/>
      <w:r/>
      <w:bookmarkStart w:id="9" w:name="_Toc35393790"/>
      <w:r/>
      <w:bookmarkStart w:id="10" w:name="_Toc35393621"/>
      <w:r/>
      <w:bookmarkStart w:id="11" w:name="_Hlk24379207"/>
      <w:r>
        <w:rPr>
          <w:rFonts w:hint="eastAsia" w:ascii="宋体" w:hAnsi="宋体"/>
          <w:color w:val="000000"/>
          <w:sz w:val="24"/>
          <w:szCs w:val="24"/>
        </w:rPr>
      </w:r>
      <w:r/>
    </w:p>
    <w:p>
      <w:pPr>
        <w:pStyle w:val="748"/>
        <w:ind w:firstLine="480"/>
        <w:spacing w:line="252" w:lineRule="auto"/>
        <w:rPr>
          <w:rFonts w:ascii="宋体" w:hAnsi="宋体"/>
          <w:color w:val="000000"/>
          <w:sz w:val="24"/>
          <w:szCs w:val="24"/>
        </w:rPr>
      </w:pPr>
      <w:r>
        <w:rPr>
          <w:rFonts w:hint="eastAsia" w:ascii="宋体" w:hAnsi="宋体"/>
          <w:color w:val="000000"/>
          <w:sz w:val="24"/>
          <w:szCs w:val="24"/>
        </w:rPr>
        <w:t xml:space="preserve">受金陵科技学院委托，南京市公共资源交易中心（以下简称“交易中心”）就金陵科技学院2026-2028年物业管理服务进行公开招标采购，欢迎符合条件的供应商投标。</w:t>
      </w:r>
      <w:r>
        <w:rPr>
          <w:rFonts w:ascii="宋体" w:hAnsi="宋体"/>
          <w:color w:val="000000"/>
          <w:sz w:val="24"/>
          <w:szCs w:val="24"/>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rPr>
      </w:r>
      <w:r/>
    </w:p>
    <w:p>
      <w:pPr>
        <w:pStyle w:val="748"/>
        <w:ind w:firstLine="480"/>
        <w:spacing w:line="252" w:lineRule="auto"/>
        <w:rPr>
          <w:rFonts w:ascii="宋体" w:hAnsi="宋体"/>
          <w:color w:val="000000"/>
          <w:sz w:val="24"/>
          <w:szCs w:val="24"/>
        </w:rPr>
      </w:pPr>
      <w:r/>
      <w:bookmarkEnd w:id="11"/>
      <w:r>
        <w:rPr>
          <w:rFonts w:hint="eastAsia" w:ascii="宋体" w:hAnsi="宋体"/>
          <w:color w:val="000000"/>
          <w:sz w:val="24"/>
          <w:szCs w:val="24"/>
        </w:rPr>
        <w:t xml:space="preserve">1.项目编号：JSZC-320100-JZCG-G2025-0544 </w:t>
      </w:r>
      <w:r>
        <w:rPr>
          <w:rFonts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2.项目名称：金陵科技学院2026-2028年物业管理服务</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3.预算金额：三年共</w:t>
      </w:r>
      <w:r>
        <w:rPr>
          <w:rFonts w:hint="eastAsia" w:ascii="宋体" w:hAnsi="宋体"/>
          <w:color w:val="000000"/>
          <w:sz w:val="24"/>
          <w:szCs w:val="24"/>
        </w:rPr>
        <w:t xml:space="preserve">2820.96</w:t>
      </w:r>
      <w:r>
        <w:rPr>
          <w:rFonts w:hint="eastAsia" w:ascii="宋体" w:hAnsi="宋体"/>
          <w:color w:val="000000"/>
          <w:sz w:val="24"/>
          <w:szCs w:val="24"/>
        </w:rPr>
        <w:t xml:space="preserve">万元</w:t>
      </w:r>
      <w:r>
        <w:rPr>
          <w:rFonts w:hint="eastAsia" w:ascii="宋体" w:hAnsi="宋体"/>
          <w:color w:val="000000"/>
          <w:sz w:val="24"/>
          <w:szCs w:val="24"/>
        </w:rPr>
      </w:r>
      <w:r/>
    </w:p>
    <w:p>
      <w:pPr>
        <w:ind w:left="0" w:right="0" w:firstLine="480"/>
        <w:jc w:val="both"/>
        <w:spacing w:before="0" w:after="0" w:line="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采购包1 公共建筑物业管理服务1507.44万元，每年预算502.48万元；</w:t>
      </w:r>
      <w:r>
        <w:rPr>
          <w:color w:val="auto"/>
        </w:rPr>
      </w:r>
      <w:r/>
    </w:p>
    <w:p>
      <w:pPr>
        <w:ind w:left="0" w:right="0" w:firstLine="480"/>
        <w:jc w:val="both"/>
        <w:spacing w:before="0" w:after="0" w:line="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采购包2 江宁校区科技园物业管理服务1313.52万元，每年预算437.84万元。</w:t>
      </w:r>
      <w:r>
        <w:rPr>
          <w:color w:val="auto"/>
          <w:sz w:val="21"/>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4.最高限价：本项目不设最高限价。</w:t>
      </w:r>
      <w:r>
        <w:rPr>
          <w:rFonts w:hint="eastAsia" w:ascii="宋体" w:hAnsi="宋体"/>
          <w:color w:val="000000"/>
          <w:sz w:val="24"/>
          <w:szCs w:val="24"/>
        </w:rPr>
      </w:r>
      <w:r/>
    </w:p>
    <w:p>
      <w:pPr>
        <w:pStyle w:val="748"/>
        <w:ind w:firstLine="480"/>
        <w:spacing w:line="252" w:lineRule="auto"/>
        <w:rPr>
          <w:rFonts w:ascii="宋体" w:hAnsi="宋体"/>
          <w:color w:val="000000"/>
          <w:sz w:val="24"/>
          <w:szCs w:val="24"/>
          <w:u w:val="single"/>
        </w:rPr>
      </w:pPr>
      <w:r>
        <w:rPr>
          <w:rFonts w:hint="eastAsia" w:ascii="宋体" w:hAnsi="宋体"/>
          <w:color w:val="000000"/>
          <w:sz w:val="24"/>
          <w:szCs w:val="24"/>
        </w:rPr>
        <w:t xml:space="preserve">5.采购需求（简介）：服务内容包括安保服务、内场保洁服务、校园环境保洁服务、水环境卫生保障服务、绿化养护服务、水电保障服务、客服保障服务、消防监控室值班服务等。</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48"/>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6.合同履行期限：合同生效之日起三年。</w:t>
      </w:r>
      <w:r>
        <w:rPr>
          <w:rFonts w:hint="eastAsia" w:ascii="宋体" w:hAnsi="宋体" w:cs="宋体"/>
          <w:color w:val="000000"/>
          <w:sz w:val="24"/>
          <w:szCs w:val="24"/>
          <w:highlight w:val="yellow"/>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w:t>
      </w:r>
      <w:r>
        <w:rPr>
          <w:rFonts w:hint="eastAsia" w:ascii="宋体" w:hAnsi="宋体" w:cs="宋体"/>
          <w:color w:val="000000"/>
          <w:sz w:val="24"/>
          <w:szCs w:val="24"/>
          <w:lang w:val="en-US" w:eastAsia="zh-CN"/>
        </w:rPr>
        <w:t xml:space="preserve">不</w:t>
      </w:r>
      <w:r>
        <w:rPr>
          <w:rFonts w:hint="eastAsia" w:ascii="宋体" w:hAnsi="宋体" w:cs="宋体"/>
          <w:color w:val="000000"/>
          <w:sz w:val="24"/>
          <w:szCs w:val="24"/>
        </w:rPr>
        <w:t xml:space="preserve">接受联合体投标。</w:t>
      </w:r>
      <w:r>
        <w:rPr>
          <w:rFonts w:hint="eastAsia" w:ascii="宋体" w:hAnsi="宋体"/>
          <w:color w:val="000000"/>
          <w:sz w:val="24"/>
          <w:szCs w:val="24"/>
        </w:rPr>
      </w:r>
      <w:r/>
    </w:p>
    <w:p>
      <w:pPr>
        <w:pStyle w:val="751"/>
        <w:ind w:firstLine="465"/>
        <w:spacing w:before="120" w:after="120" w:line="252" w:lineRule="auto"/>
        <w:rPr>
          <w:rFonts w:hint="eastAsia" w:ascii="方正黑体_GBK" w:hAnsi="方正黑体_GBK" w:eastAsia="方正黑体_GBK" w:cs="方正黑体_GBK"/>
          <w:color w:val="000000"/>
        </w:rPr>
      </w:pPr>
      <w:r/>
      <w:bookmarkStart w:id="12" w:name="_Toc28359080"/>
      <w:r/>
      <w:bookmarkStart w:id="13" w:name="_Toc28359003"/>
      <w:r/>
      <w:bookmarkStart w:id="14" w:name="_Toc35393622"/>
      <w:r/>
      <w:bookmarkStart w:id="15" w:name="_Toc35393791"/>
      <w:r/>
      <w:bookmarkStart w:id="16" w:name="_Toc38985264"/>
      <w:r>
        <w:rPr>
          <w:rFonts w:hint="eastAsia" w:ascii="方正黑体_GBK" w:hAnsi="方正黑体_GBK" w:eastAsia="方正黑体_GBK" w:cs="方正黑体_GBK"/>
          <w:color w:val="00000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rPr>
      </w:r>
      <w:r/>
    </w:p>
    <w:p>
      <w:pPr>
        <w:pStyle w:val="748"/>
        <w:ind w:firstLine="480"/>
        <w:spacing w:line="252" w:lineRule="auto"/>
        <w:rPr>
          <w:rFonts w:hint="eastAsia" w:ascii="宋体" w:hAnsi="宋体"/>
          <w:color w:val="000000"/>
          <w:sz w:val="24"/>
          <w:szCs w:val="24"/>
        </w:rPr>
      </w:pPr>
      <w:r/>
      <w:bookmarkStart w:id="17" w:name="_Toc38985265"/>
      <w:r/>
      <w:bookmarkStart w:id="18" w:name="_Toc28359081"/>
      <w:r/>
      <w:bookmarkStart w:id="19" w:name="_Toc35393792"/>
      <w:r/>
      <w:bookmarkStart w:id="20" w:name="_Toc28359004"/>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748"/>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748"/>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2.落实政府采购政策需满足的资格要求：无</w:t>
      </w:r>
      <w:r>
        <w:rPr>
          <w:rFonts w:hint="eastAsia" w:ascii="宋体" w:hAnsi="宋体"/>
          <w:color w:val="000000"/>
          <w:sz w:val="24"/>
          <w:szCs w:val="24"/>
          <w:lang w:val="zh-CN"/>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物业管理。根据《中小企业划型标准规定》（工信部联企业</w:t>
      </w:r>
      <w:r>
        <w:rPr>
          <w:rFonts w:hint="eastAsia" w:ascii="宋体" w:hAnsi="宋体" w:cs="宋体"/>
          <w:color w:val="000000"/>
          <w:sz w:val="24"/>
          <w:szCs w:val="24"/>
        </w:rPr>
        <w:t xml:space="preserve">〔</w:t>
      </w:r>
      <w:r>
        <w:rPr>
          <w:rFonts w:hint="eastAsia" w:ascii="宋体" w:hAnsi="宋体"/>
          <w:color w:val="000000"/>
          <w:sz w:val="24"/>
          <w:szCs w:val="24"/>
        </w:rPr>
        <w:t xml:space="preserve">2011</w:t>
      </w:r>
      <w:r>
        <w:rPr>
          <w:rFonts w:hint="eastAsia" w:ascii="宋体" w:hAnsi="宋体" w:cs="宋体"/>
          <w:color w:val="000000"/>
          <w:sz w:val="24"/>
          <w:szCs w:val="24"/>
        </w:rPr>
        <w:t xml:space="preserve">〕</w:t>
      </w:r>
      <w:r>
        <w:rPr>
          <w:rFonts w:hint="eastAsia" w:ascii="宋体" w:hAnsi="宋体"/>
          <w:color w:val="000000"/>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olor w:val="000000"/>
          <w:sz w:val="24"/>
          <w:szCs w:val="24"/>
        </w:rPr>
      </w:r>
      <w:r/>
    </w:p>
    <w:p>
      <w:pPr>
        <w:pStyle w:val="748"/>
        <w:numPr>
          <w:ilvl w:val="0"/>
          <w:numId w:val="5"/>
        </w:numPr>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本项目的特定资格要求</w:t>
      </w:r>
      <w:r>
        <w:rPr>
          <w:rFonts w:hint="eastAsia" w:ascii="宋体" w:hAnsi="宋体"/>
          <w:color w:val="000000"/>
          <w:sz w:val="24"/>
          <w:szCs w:val="24"/>
        </w:rPr>
        <w:t xml:space="preserve">（</w:t>
      </w:r>
      <w:r>
        <w:rPr>
          <w:rFonts w:hint="eastAsia" w:ascii="宋体" w:hAnsi="宋体"/>
          <w:color w:val="000000"/>
          <w:sz w:val="24"/>
          <w:szCs w:val="24"/>
        </w:rPr>
        <w:t xml:space="preserve">采购包1</w:t>
      </w:r>
      <w:r>
        <w:rPr>
          <w:rFonts w:hint="eastAsia" w:ascii="宋体" w:hAnsi="宋体"/>
          <w:color w:val="000000"/>
          <w:sz w:val="24"/>
          <w:szCs w:val="24"/>
        </w:rPr>
        <w:t xml:space="preserve">、</w:t>
      </w:r>
      <w:r>
        <w:rPr>
          <w:rFonts w:hint="eastAsia" w:ascii="宋体" w:hAnsi="宋体"/>
          <w:color w:val="000000"/>
          <w:sz w:val="24"/>
          <w:szCs w:val="24"/>
        </w:rPr>
        <w:t xml:space="preserve">采购包2</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lang w:val="zh-CN"/>
        </w:rPr>
        <w:t xml:space="preserve">供应商提供南京市公安局出具的自行招用保安员单位备案证明，或自开展保安服务之日起</w:t>
      </w:r>
      <w:r>
        <w:rPr>
          <w:rFonts w:hint="eastAsia" w:ascii="宋体" w:hAnsi="宋体"/>
          <w:color w:val="000000"/>
          <w:sz w:val="24"/>
          <w:szCs w:val="24"/>
        </w:rPr>
        <w:t xml:space="preserve">30</w:t>
      </w:r>
      <w:r>
        <w:rPr>
          <w:rFonts w:hint="eastAsia" w:ascii="宋体" w:hAnsi="宋体"/>
          <w:color w:val="000000"/>
          <w:sz w:val="24"/>
          <w:szCs w:val="24"/>
          <w:lang w:val="zh-CN"/>
        </w:rPr>
        <w:t xml:space="preserve">个工作日内向南京市公安局备案承诺书（格式自拟）。</w:t>
      </w:r>
      <w:r>
        <w:rPr>
          <w:rFonts w:hint="eastAsia" w:ascii="宋体" w:hAnsi="宋体"/>
          <w:color w:val="000000"/>
          <w:sz w:val="24"/>
          <w:szCs w:val="24"/>
          <w:lang w:val="zh-CN"/>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（三）拒绝下述供应商参加本次采购活动</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1.单位负责人为同一人或者存在直接控股、管理关系的不同供应商，不得参加同一合同项下的政府采购活动。</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2.为采购项目提供整体设计、规范编制或者项目管理、监理、检测等服务的供应商，不得参加本项目的采购活动。</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color w:val="000000"/>
        </w:rPr>
      </w:r>
      <w:r/>
    </w:p>
    <w:p>
      <w:pPr>
        <w:pStyle w:val="748"/>
        <w:ind w:firstLine="480"/>
        <w:spacing w:line="252" w:lineRule="auto"/>
        <w:rPr>
          <w:rFonts w:ascii="宋体" w:hAnsi="宋体" w:cs="宋体"/>
          <w:color w:val="000000"/>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48"/>
        <w:ind w:firstLine="480"/>
        <w:spacing w:line="252"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四、提交投标文件</w:t>
      </w:r>
      <w:bookmarkEnd w:id="22"/>
      <w:r/>
      <w:bookmarkEnd w:id="23"/>
      <w:r>
        <w:rPr>
          <w:rFonts w:hint="eastAsia" w:ascii="方正黑体_GBK" w:hAnsi="方正黑体_GBK" w:eastAsia="方正黑体_GBK" w:cs="方正黑体_GBK"/>
          <w:color w:val="000000"/>
        </w:rPr>
        <w:t xml:space="preserve">截止时间、开标时间和地点</w:t>
      </w:r>
      <w:bookmarkEnd w:id="24"/>
      <w:r/>
      <w:bookmarkEnd w:id="25"/>
      <w:r/>
      <w:bookmarkEnd w:id="26"/>
      <w:r>
        <w:rPr>
          <w:rFonts w:hint="eastAsia" w:ascii="方正黑体_GBK" w:hAnsi="方正黑体_GBK" w:eastAsia="方正黑体_GBK" w:cs="方正黑体_GBK"/>
          <w:color w:val="000000"/>
        </w:rPr>
      </w:r>
      <w:r/>
    </w:p>
    <w:p>
      <w:pPr>
        <w:pStyle w:val="748"/>
        <w:ind w:firstLine="480"/>
        <w:spacing w:line="252" w:lineRule="auto"/>
        <w:rPr>
          <w:rFonts w:hint="eastAsia" w:ascii="宋体" w:hAnsi="宋体"/>
          <w:bCs/>
          <w:color w:val="000000"/>
          <w:sz w:val="24"/>
          <w:szCs w:val="24"/>
          <w:u w:val="single"/>
        </w:rPr>
      </w:pPr>
      <w:r/>
      <w:bookmarkStart w:id="27" w:name="_Toc38985267"/>
      <w:r/>
      <w:bookmarkStart w:id="28" w:name="_Toc28359084"/>
      <w:r/>
      <w:bookmarkStart w:id="29" w:name="_Toc28359007"/>
      <w:r/>
      <w:bookmarkStart w:id="30" w:name="_Toc35393794"/>
      <w:r/>
      <w:bookmarkStart w:id="31" w:name="_Toc35393625"/>
      <w:r>
        <w:rPr>
          <w:rFonts w:hint="eastAsia" w:ascii="宋体" w:hAnsi="宋体" w:cs="宋体"/>
          <w:color w:val="000000"/>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26</w:t>
      </w:r>
      <w:r>
        <w:rPr>
          <w:rFonts w:hint="eastAsia" w:ascii="宋体" w:hAnsi="宋体"/>
          <w:bCs/>
          <w:color w:val="000000"/>
          <w:sz w:val="24"/>
          <w:szCs w:val="24"/>
        </w:rPr>
        <w:t xml:space="preserve">年</w:t>
      </w:r>
      <w:r>
        <w:rPr>
          <w:rFonts w:hint="eastAsia" w:ascii="宋体" w:hAnsi="宋体" w:cs="宋体"/>
          <w:color w:val="000000"/>
          <w:sz w:val="24"/>
          <w:szCs w:val="24"/>
        </w:rPr>
        <w:t xml:space="preserve">1</w:t>
      </w:r>
      <w:r>
        <w:rPr>
          <w:rFonts w:hint="eastAsia" w:ascii="宋体" w:hAnsi="宋体"/>
          <w:bCs/>
          <w:color w:val="000000"/>
          <w:sz w:val="24"/>
          <w:szCs w:val="24"/>
        </w:rPr>
        <w:t xml:space="preserve">月</w:t>
      </w:r>
      <w:r>
        <w:rPr>
          <w:rFonts w:hint="eastAsia" w:ascii="宋体" w:hAnsi="宋体" w:cs="宋体"/>
          <w:color w:val="000000"/>
          <w:sz w:val="24"/>
          <w:szCs w:val="24"/>
        </w:rPr>
        <w:t xml:space="preserve">19</w:t>
      </w:r>
      <w:r>
        <w:rPr>
          <w:rFonts w:hint="eastAsia" w:ascii="宋体" w:hAnsi="宋体"/>
          <w:bCs/>
          <w:color w:val="000000"/>
          <w:sz w:val="24"/>
          <w:szCs w:val="24"/>
        </w:rPr>
        <w:t xml:space="preserve">日</w:t>
      </w:r>
      <w:r>
        <w:rPr>
          <w:rFonts w:hint="eastAsia" w:ascii="宋体" w:hAnsi="宋体" w:cs="宋体"/>
          <w:color w:val="000000"/>
          <w:sz w:val="24"/>
          <w:szCs w:val="24"/>
        </w:rPr>
        <w:t xml:space="preserve">9</w:t>
      </w:r>
      <w:r>
        <w:rPr>
          <w:rFonts w:hint="eastAsia"/>
          <w:bCs/>
          <w:color w:val="000000"/>
          <w:sz w:val="24"/>
          <w:szCs w:val="24"/>
        </w:rPr>
        <w:t xml:space="preserve">时</w:t>
      </w:r>
      <w:r>
        <w:rPr>
          <w:rFonts w:hint="eastAsia" w:ascii="宋体" w:hAnsi="宋体" w:cs="宋体"/>
          <w:color w:val="000000"/>
          <w:sz w:val="24"/>
          <w:szCs w:val="24"/>
        </w:rPr>
        <w:t xml:space="preserve">30</w:t>
      </w:r>
      <w:r>
        <w:rPr>
          <w:rFonts w:hint="eastAsia" w:ascii="宋体" w:hAnsi="宋体"/>
          <w:bCs/>
          <w:color w:val="000000"/>
          <w:sz w:val="24"/>
          <w:szCs w:val="24"/>
        </w:rPr>
        <w:t xml:space="preserve">分（北京时间）。</w:t>
      </w:r>
      <w:r>
        <w:rPr>
          <w:rFonts w:hint="eastAsia" w:ascii="宋体" w:hAnsi="宋体"/>
          <w:bCs/>
          <w:color w:val="000000"/>
          <w:sz w:val="24"/>
          <w:szCs w:val="24"/>
          <w:u w:val="single"/>
        </w:rPr>
      </w:r>
      <w:r/>
    </w:p>
    <w:p>
      <w:pPr>
        <w:pStyle w:val="748"/>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rPr>
      </w:r>
      <w:r/>
    </w:p>
    <w:p>
      <w:pPr>
        <w:pStyle w:val="748"/>
        <w:ind w:firstLine="480"/>
        <w:spacing w:line="252" w:lineRule="auto"/>
        <w:rPr>
          <w:rFonts w:hint="eastAsia"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六、其他事宜</w:t>
      </w:r>
      <w:bookmarkEnd w:id="32"/>
      <w:r/>
      <w:bookmarkEnd w:id="33"/>
      <w:r/>
      <w:bookmarkEnd w:id="34"/>
      <w:r>
        <w:rPr>
          <w:rFonts w:hint="eastAsia" w:ascii="方正黑体_GBK" w:hAnsi="方正黑体_GBK" w:eastAsia="方正黑体_GBK" w:cs="方正黑体_GBK"/>
          <w:color w:val="000000"/>
        </w:rPr>
      </w:r>
      <w:r/>
    </w:p>
    <w:p>
      <w:pPr>
        <w:pStyle w:val="748"/>
        <w:ind w:firstLine="480"/>
        <w:spacing w:line="252" w:lineRule="auto"/>
        <w:tabs>
          <w:tab w:val="left" w:pos="900" w:leader="none"/>
        </w:tabs>
        <w:rPr>
          <w:rFonts w:hint="eastAsia" w:ascii="宋体" w:hAnsi="宋体"/>
          <w:bCs/>
          <w:color w:val="000000"/>
          <w:sz w:val="24"/>
          <w:szCs w:val="24"/>
        </w:rPr>
      </w:pPr>
      <w:r/>
      <w:bookmarkStart w:id="35" w:name="_Toc28359085"/>
      <w:r/>
      <w:bookmarkStart w:id="36" w:name="_Toc38985269"/>
      <w:r/>
      <w:bookmarkStart w:id="37" w:name="_Toc28359008"/>
      <w:r/>
      <w:bookmarkStart w:id="38" w:name="_Toc35393796"/>
      <w:r/>
      <w:bookmarkStart w:id="39" w:name="_Toc35393627"/>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48"/>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00"/>
          <w:sz w:val="24"/>
          <w:szCs w:val="24"/>
        </w:rPr>
      </w:r>
      <w:r/>
    </w:p>
    <w:p>
      <w:pPr>
        <w:pStyle w:val="74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"http://www.ccgp-jiangsu.gov.cn/jiangsu/zlxz/ee/ee3a4bc5a3454aa2b0d9312230633ce9.html" </w:instrText>
      </w:r>
      <w:r>
        <w:rPr>
          <w:rFonts w:hint="eastAsia" w:ascii="宋体" w:hAnsi="宋体" w:cs="宋体"/>
          <w:color w:val="000000"/>
          <w:sz w:val="24"/>
          <w:szCs w:val="24"/>
        </w:rPr>
        <w:fldChar w:fldCharType="separate"/>
      </w:r>
      <w:r>
        <w:rPr>
          <w:rStyle w:val="807"/>
          <w:rFonts w:hint="eastAsia" w:ascii="宋体" w:hAnsi="宋体" w:cs="宋体"/>
          <w:color w:val="000000"/>
          <w:sz w:val="24"/>
          <w:szCs w:val="24"/>
        </w:rPr>
        <w:t xml:space="preserve">下载地址</w:t>
      </w:r>
      <w:r>
        <w:rPr>
          <w:rFonts w:hint="eastAsia" w:ascii="宋体" w:hAnsi="宋体" w:cs="宋体"/>
          <w:color w:val="000000"/>
          <w:sz w:val="24"/>
          <w:szCs w:val="24"/>
        </w:rPr>
        <w:fldChar w:fldCharType="end"/>
      </w:r>
      <w:r>
        <w:rPr>
          <w:rFonts w:hint="eastAsia" w:ascii="宋体" w:hAnsi="宋体" w:cs="宋体"/>
          <w:color w:val="000000"/>
          <w:sz w:val="24"/>
          <w:szCs w:val="24"/>
        </w:rPr>
        <w:t xml:space="preserve">（CTRL+鼠标左键）。</w:t>
      </w:r>
      <w:r>
        <w:rPr>
          <w:rFonts w:hint="eastAsia" w:ascii="宋体" w:hAnsi="宋体" w:cs="宋体"/>
          <w:color w:val="000000"/>
          <w:sz w:val="24"/>
          <w:szCs w:val="24"/>
        </w:rPr>
      </w:r>
      <w:r/>
    </w:p>
    <w:p>
      <w:pPr>
        <w:pStyle w:val="74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748"/>
        <w:ind w:firstLine="482"/>
        <w:spacing w:line="252" w:lineRule="auto"/>
        <w:rPr>
          <w:rFonts w:hint="eastAsia" w:ascii="宋体" w:hAnsi="宋体" w:cs="宋体"/>
          <w:b/>
          <w:bCs/>
          <w:color w:val="000000"/>
          <w:sz w:val="24"/>
          <w:szCs w:val="24"/>
        </w:rPr>
      </w:pPr>
      <w:r>
        <w:rPr>
          <w:rFonts w:hint="eastAsia" w:ascii="宋体" w:hAnsi="宋体" w:cs="宋体"/>
          <w:b/>
          <w:bCs/>
          <w:color w:val="000000"/>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color w:val="000000"/>
          <w:sz w:val="24"/>
          <w:szCs w:val="24"/>
          <w:lang w:val="zh-CN"/>
        </w:rPr>
        <w:t xml:space="preserve">通过邮寄方式送达</w:t>
      </w:r>
      <w:r>
        <w:rPr>
          <w:rFonts w:hint="eastAsia" w:ascii="宋体" w:hAnsi="宋体" w:cs="宋体"/>
          <w:b/>
          <w:bCs/>
          <w:color w:val="000000"/>
          <w:sz w:val="24"/>
          <w:szCs w:val="24"/>
        </w:rPr>
        <w:t xml:space="preserve">采购人，由采购人负责答复。</w:t>
      </w:r>
      <w:r>
        <w:rPr>
          <w:rFonts w:hint="eastAsia" w:ascii="宋体" w:hAnsi="宋体" w:cs="宋体"/>
          <w:b/>
          <w:bCs/>
          <w:color w:val="000000"/>
          <w:sz w:val="24"/>
          <w:szCs w:val="24"/>
        </w:rPr>
      </w:r>
      <w:r/>
    </w:p>
    <w:p>
      <w:pPr>
        <w:pStyle w:val="748"/>
        <w:ind w:firstLine="482"/>
        <w:spacing w:line="252" w:lineRule="auto"/>
        <w:rPr>
          <w:rFonts w:hint="eastAsia" w:ascii="宋体" w:hAnsi="宋体" w:cs="宋体"/>
          <w:b/>
          <w:bCs/>
          <w:color w:val="000000"/>
          <w:sz w:val="24"/>
          <w:szCs w:val="24"/>
        </w:rPr>
      </w:pPr>
      <w:r>
        <w:rPr>
          <w:rFonts w:hint="eastAsia" w:ascii="宋体" w:hAnsi="宋体" w:cs="宋体"/>
          <w:b/>
          <w:bCs/>
          <w:color w:val="000000"/>
          <w:sz w:val="24"/>
          <w:szCs w:val="24"/>
        </w:rPr>
        <w:t xml:space="preserve">对采购过程、采购结果的询问或质疑向交易中心提出，《质疑函》原件</w:t>
      </w:r>
      <w:r>
        <w:rPr>
          <w:rFonts w:hint="eastAsia" w:ascii="宋体" w:hAnsi="宋体" w:cs="宋体"/>
          <w:b/>
          <w:bCs/>
          <w:color w:val="000000"/>
          <w:sz w:val="24"/>
          <w:szCs w:val="24"/>
          <w:lang w:val="zh-CN"/>
        </w:rPr>
        <w:t xml:space="preserve">通过邮寄方式送达</w:t>
      </w:r>
      <w:r>
        <w:rPr>
          <w:rFonts w:hint="eastAsia" w:ascii="宋体" w:hAnsi="宋体" w:cs="宋体"/>
          <w:b/>
          <w:bCs/>
          <w:color w:val="000000"/>
          <w:sz w:val="24"/>
          <w:szCs w:val="24"/>
        </w:rPr>
        <w:t xml:space="preserve">交易中心，由交易中心负责答复。</w:t>
      </w:r>
      <w:r>
        <w:rPr>
          <w:rFonts w:hint="eastAsia" w:ascii="宋体" w:hAnsi="宋体" w:cs="宋体"/>
          <w:b/>
          <w:bCs/>
          <w:color w:val="000000"/>
          <w:sz w:val="24"/>
          <w:szCs w:val="24"/>
        </w:rPr>
      </w:r>
      <w:r/>
    </w:p>
    <w:p>
      <w:pPr>
        <w:pStyle w:val="751"/>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称：金陵科技学院           </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址：南京江宁大学城弘景大道99号     </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联系人：肖老师 </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联系电话：025-86188278</w:t>
      </w:r>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bookmarkStart w:id="40" w:name="_Toc28359009"/>
      <w:r/>
      <w:bookmarkStart w:id="41" w:name="_Toc28359086"/>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74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址：南京市建邺区江东中路265号  </w:t>
      </w:r>
      <w:r>
        <w:rPr>
          <w:rFonts w:hint="eastAsia" w:ascii="宋体" w:hAnsi="宋体"/>
          <w:color w:val="000000"/>
          <w:sz w:val="24"/>
          <w:szCs w:val="24"/>
        </w:rPr>
      </w:r>
      <w:r/>
    </w:p>
    <w:p>
      <w:pPr>
        <w:pStyle w:val="748"/>
        <w:ind w:firstLine="480"/>
        <w:spacing w:line="252" w:lineRule="auto"/>
        <w:rPr>
          <w:rFonts w:ascii="宋体" w:hAnsi="宋体"/>
          <w:color w:val="000000"/>
          <w:sz w:val="24"/>
          <w:szCs w:val="24"/>
        </w:rPr>
      </w:pPr>
      <w:r>
        <w:rPr>
          <w:rFonts w:hint="eastAsia" w:ascii="宋体" w:hAnsi="宋体"/>
          <w:color w:val="000000"/>
          <w:sz w:val="24"/>
          <w:szCs w:val="24"/>
        </w:rPr>
        <w:t xml:space="preserve">联系人：徐先生</w:t>
      </w:r>
      <w:r>
        <w:rPr>
          <w:rFonts w:ascii="宋体" w:hAnsi="宋体"/>
          <w:color w:val="000000"/>
          <w:sz w:val="24"/>
          <w:szCs w:val="24"/>
        </w:rPr>
      </w:r>
      <w:r/>
    </w:p>
    <w:p>
      <w:pPr>
        <w:pStyle w:val="748"/>
        <w:ind w:firstLine="480"/>
        <w:spacing w:line="252" w:lineRule="auto"/>
        <w:rPr>
          <w:rFonts w:hint="eastAsia"/>
          <w:color w:val="000000"/>
        </w:rPr>
      </w:pPr>
      <w:r>
        <w:rPr>
          <w:rFonts w:hint="eastAsia" w:ascii="宋体" w:hAnsi="宋体"/>
          <w:color w:val="000000"/>
          <w:sz w:val="24"/>
          <w:szCs w:val="24"/>
        </w:rPr>
        <w:t xml:space="preserve">联系电话：025-68505913 </w:t>
      </w:r>
      <w:r>
        <w:rPr>
          <w:rFonts w:hint="eastAsia"/>
          <w:color w:val="000000"/>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802"/>
        <w:rPr>
          <w:rFonts w:hint="eastAsia"/>
          <w:color w:val="000000"/>
        </w:rPr>
      </w:pPr>
      <w:r>
        <w:rPr>
          <w:rFonts w:hint="eastAsia"/>
          <w:color w:val="000000"/>
        </w:rPr>
      </w:r>
      <w:r/>
    </w:p>
    <w:p>
      <w:pPr>
        <w:pStyle w:val="812"/>
        <w:rPr>
          <w:rFonts w:hint="eastAsia"/>
          <w:color w:val="000000"/>
        </w:rPr>
      </w:pPr>
      <w:r>
        <w:rPr>
          <w:rFonts w:hint="eastAsia"/>
          <w:color w:val="000000"/>
        </w:rPr>
      </w:r>
      <w:r>
        <w:rPr>
          <w:rFonts w:hint="eastAsia"/>
          <w:color w:val="000000"/>
        </w:rPr>
      </w:r>
      <w:r/>
    </w:p>
    <w:p>
      <w:pPr>
        <w:pStyle w:val="812"/>
        <w:rPr>
          <w:rFonts w:hint="eastAsia"/>
          <w:color w:val="000000"/>
        </w:rPr>
      </w:pPr>
      <w:r>
        <w:rPr>
          <w:rFonts w:hint="eastAsia"/>
          <w:color w:val="000000"/>
        </w:rPr>
      </w:r>
      <w:r>
        <w:rPr>
          <w:rFonts w:hint="eastAsia"/>
          <w:color w:val="000000"/>
        </w:rPr>
      </w:r>
      <w:r/>
    </w:p>
    <w:p>
      <w:pPr>
        <w:pStyle w:val="812"/>
        <w:rPr>
          <w:rFonts w:hint="eastAsia"/>
          <w:color w:val="000000"/>
        </w:rPr>
      </w:pPr>
      <w:r>
        <w:rPr>
          <w:rFonts w:hint="eastAsia"/>
          <w:color w:val="000000"/>
        </w:rPr>
      </w:r>
      <w:r>
        <w:rPr>
          <w:rFonts w:hint="eastAsia"/>
          <w:color w:val="000000"/>
        </w:rPr>
      </w:r>
      <w:r/>
    </w:p>
    <w:p>
      <w:pPr>
        <w:pStyle w:val="81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81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51"/>
        <w:ind w:firstLine="465"/>
        <w:spacing w:before="120" w:after="120"/>
        <w:rPr>
          <w:rFonts w:hint="eastAsia" w:ascii="方正黑体_GBK" w:hAnsi="方正黑体_GBK" w:eastAsia="方正黑体_GBK" w:cs="方正黑体_GBK"/>
          <w:color w:val="000000"/>
        </w:rPr>
      </w:pPr>
      <w:r/>
      <w:bookmarkStart w:id="47" w:name="_Toc513029203"/>
      <w:r/>
      <w:bookmarkStart w:id="48" w:name="_Toc20823275"/>
      <w:r/>
      <w:bookmarkStart w:id="49" w:name="_Toc16938519"/>
      <w:r/>
      <w:bookmarkStart w:id="50" w:name="_Toc120614214"/>
      <w:r/>
      <w:bookmarkStart w:id="51" w:name="_Toc20823314"/>
      <w:r/>
      <w:bookmarkStart w:id="52" w:name="_Toc513029242"/>
      <w:r/>
      <w:bookmarkStart w:id="53" w:name="_Toc120614221"/>
      <w:r/>
      <w:bookmarkStart w:id="54" w:name="_Toc479757207"/>
      <w:r/>
      <w:bookmarkStart w:id="55" w:name="_Toc16938558"/>
      <w:r>
        <w:rPr>
          <w:rFonts w:hint="eastAsia" w:ascii="方正黑体_GBK" w:hAnsi="方正黑体_GBK" w:eastAsia="方正黑体_GBK" w:cs="方正黑体_GBK"/>
          <w:color w:val="000000"/>
        </w:rPr>
        <w:t xml:space="preserve">一、总则</w:t>
      </w:r>
      <w:bookmarkEnd w:id="47"/>
      <w:r/>
      <w:bookmarkEnd w:id="48"/>
      <w:r/>
      <w:bookmarkEnd w:id="49"/>
      <w:r/>
      <w:bookmarkEnd w:id="50"/>
      <w:r>
        <w:rPr>
          <w:rFonts w:hint="eastAsia" w:ascii="方正黑体_GBK" w:hAnsi="方正黑体_GBK" w:eastAsia="方正黑体_GBK" w:cs="方正黑体_GBK"/>
          <w:color w:val="000000"/>
        </w:rPr>
      </w:r>
      <w:r/>
    </w:p>
    <w:p>
      <w:pPr>
        <w:pStyle w:val="752"/>
        <w:ind w:firstLine="422"/>
        <w:spacing w:before="0" w:after="0"/>
        <w:rPr>
          <w:rFonts w:hint="eastAsia" w:ascii="方正楷体_GBK" w:hAnsi="方正楷体_GBK" w:eastAsia="方正楷体_GBK" w:cs="方正楷体_GBK"/>
          <w:color w:val="000000"/>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color w:val="000000"/>
          <w:sz w:val="28"/>
          <w:szCs w:val="28"/>
        </w:rPr>
        <w:t xml:space="preserve">1</w:t>
      </w:r>
      <w:bookmarkEnd w:id="57"/>
      <w:r>
        <w:rPr>
          <w:rFonts w:hint="eastAsia" w:ascii="方正楷体_GBK" w:hAnsi="方正楷体_GBK" w:eastAsia="方正楷体_GBK" w:cs="方正楷体_GBK"/>
          <w:color w:val="000000"/>
          <w:sz w:val="28"/>
          <w:szCs w:val="28"/>
        </w:rPr>
        <w:t xml:space="preserve">.招标方式</w:t>
      </w:r>
      <w:bookmarkEnd w:id="58"/>
      <w:r/>
      <w:bookmarkEnd w:id="59"/>
      <w:r/>
      <w:bookmarkEnd w:id="60"/>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color w:val="000000"/>
          <w:sz w:val="28"/>
          <w:szCs w:val="28"/>
        </w:rPr>
        <w:t xml:space="preserve">2.合格的投标人</w:t>
      </w:r>
      <w:bookmarkEnd w:id="61"/>
      <w:r/>
      <w:bookmarkEnd w:id="62"/>
      <w:r/>
      <w:bookmarkEnd w:id="63"/>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64" w:name="_Toc16938522"/>
      <w:r/>
      <w:bookmarkStart w:id="65" w:name="_Toc20823278"/>
      <w:r/>
      <w:bookmarkStart w:id="66" w:name="_Toc513029206"/>
      <w:r>
        <w:rPr>
          <w:rFonts w:hint="eastAsia" w:ascii="方正楷体_GBK" w:hAnsi="方正楷体_GBK" w:eastAsia="方正楷体_GBK" w:cs="方正楷体_GBK"/>
          <w:color w:val="000000"/>
          <w:sz w:val="28"/>
          <w:szCs w:val="28"/>
        </w:rPr>
        <w:t xml:space="preserve">3.适用法律</w:t>
      </w:r>
      <w:bookmarkEnd w:id="64"/>
      <w:r/>
      <w:bookmarkEnd w:id="65"/>
      <w:r/>
      <w:bookmarkEnd w:id="66"/>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67" w:name="_Toc16938523"/>
      <w:r/>
      <w:bookmarkStart w:id="68" w:name="_Toc513029207"/>
      <w:r/>
      <w:bookmarkStart w:id="69" w:name="_Toc20823279"/>
      <w:r/>
      <w:bookmarkStart w:id="70" w:name="_Toc462564067"/>
      <w:r>
        <w:rPr>
          <w:rFonts w:hint="eastAsia" w:ascii="方正楷体_GBK" w:hAnsi="方正楷体_GBK" w:eastAsia="方正楷体_GBK" w:cs="方正楷体_GBK"/>
          <w:color w:val="000000"/>
          <w:sz w:val="28"/>
          <w:szCs w:val="28"/>
        </w:rPr>
        <w:t xml:space="preserve">4.投标费用</w:t>
      </w:r>
      <w:bookmarkEnd w:id="67"/>
      <w:r/>
      <w:bookmarkEnd w:id="68"/>
      <w:r/>
      <w:bookmarkEnd w:id="69"/>
      <w:r/>
      <w:bookmarkEnd w:id="70"/>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5.招标文件的约束力</w:t>
      </w:r>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751"/>
        <w:ind w:firstLine="465"/>
        <w:spacing w:before="120" w:after="120"/>
        <w:rPr>
          <w:rFonts w:hint="eastAsia" w:ascii="方正黑体_GBK" w:hAnsi="方正黑体_GBK" w:eastAsia="方正黑体_GBK" w:cs="方正黑体_GBK"/>
          <w:color w:val="000000"/>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color w:val="000000"/>
        </w:rPr>
        <w:t xml:space="preserve">二、招标文件</w:t>
      </w:r>
      <w:bookmarkEnd w:id="71"/>
      <w:r/>
      <w:bookmarkEnd w:id="72"/>
      <w:r/>
      <w:bookmarkEnd w:id="73"/>
      <w:r/>
      <w:bookmarkEnd w:id="74"/>
      <w:r>
        <w:rPr>
          <w:rFonts w:hint="eastAsia" w:ascii="方正黑体_GBK" w:hAnsi="方正黑体_GBK" w:eastAsia="方正黑体_GBK" w:cs="方正黑体_GBK"/>
          <w:color w:val="000000"/>
        </w:rPr>
      </w:r>
      <w:r/>
    </w:p>
    <w:p>
      <w:pPr>
        <w:pStyle w:val="752"/>
        <w:ind w:firstLine="422"/>
        <w:spacing w:before="0" w:after="0"/>
        <w:rPr>
          <w:rFonts w:hint="eastAsia" w:ascii="方正楷体_GBK" w:hAnsi="方正楷体_GBK" w:eastAsia="方正楷体_GBK" w:cs="方正楷体_GBK"/>
          <w:color w:val="000000"/>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color w:val="000000"/>
          <w:sz w:val="28"/>
          <w:szCs w:val="28"/>
        </w:rPr>
        <w:t xml:space="preserve">6.招标文件构成</w:t>
      </w:r>
      <w:bookmarkEnd w:id="75"/>
      <w:r/>
      <w:bookmarkEnd w:id="76"/>
      <w:r/>
      <w:bookmarkEnd w:id="77"/>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78" w:name="_Toc20823283"/>
      <w:r/>
      <w:bookmarkStart w:id="79" w:name="_Toc513029211"/>
      <w:r/>
      <w:bookmarkStart w:id="80" w:name="_Toc462564070"/>
      <w:r/>
      <w:bookmarkStart w:id="81" w:name="_Toc16938527"/>
      <w:r>
        <w:rPr>
          <w:rFonts w:hint="eastAsia" w:ascii="方正楷体_GBK" w:hAnsi="方正楷体_GBK" w:eastAsia="方正楷体_GBK" w:cs="方正楷体_GBK"/>
          <w:color w:val="000000"/>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82" w:name="_Toc513029212"/>
      <w:r/>
      <w:bookmarkStart w:id="83" w:name="_Toc20823284"/>
      <w:r/>
      <w:bookmarkStart w:id="84" w:name="_Toc16938528"/>
      <w:r/>
      <w:bookmarkStart w:id="85" w:name="_Toc462564071"/>
      <w:r>
        <w:rPr>
          <w:rFonts w:hint="eastAsia" w:ascii="方正楷体_GBK" w:hAnsi="方正楷体_GBK" w:eastAsia="方正楷体_GBK" w:cs="方正楷体_GBK"/>
          <w:color w:val="000000"/>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bookmarkStart w:id="86" w:name="_Toc462564072"/>
      <w:r/>
      <w:bookmarkStart w:id="87" w:name="_Toc513029213"/>
      <w:r/>
      <w:bookmarkStart w:id="88" w:name="_Toc120614216"/>
      <w:r/>
      <w:bookmarkStart w:id="89" w:name="_Toc16938529"/>
      <w:r/>
      <w:bookmarkStart w:id="90" w:name="_Toc20823285"/>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rPr>
          <w:rFonts w:hint="eastAsia" w:ascii="宋体" w:hAnsi="宋体"/>
          <w:color w:val="000000"/>
          <w:sz w:val="24"/>
        </w:rPr>
      </w:r>
      <w:r/>
    </w:p>
    <w:p>
      <w:pPr>
        <w:pStyle w:val="751"/>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color w:val="000000"/>
        </w:rPr>
      </w:r>
      <w:r/>
    </w:p>
    <w:p>
      <w:pPr>
        <w:pStyle w:val="752"/>
        <w:ind w:firstLine="422"/>
        <w:spacing w:before="0" w:after="0"/>
        <w:rPr>
          <w:rFonts w:hint="eastAsia" w:ascii="方正楷体_GBK" w:hAnsi="方正楷体_GBK" w:eastAsia="方正楷体_GBK" w:cs="方正楷体_GBK"/>
          <w:color w:val="000000"/>
          <w:sz w:val="28"/>
          <w:szCs w:val="28"/>
        </w:rPr>
      </w:pPr>
      <w:r/>
      <w:bookmarkStart w:id="91" w:name="_Toc16938530"/>
      <w:r/>
      <w:bookmarkStart w:id="92" w:name="_Toc513029214"/>
      <w:r/>
      <w:bookmarkStart w:id="93" w:name="_Toc462564073"/>
      <w:r/>
      <w:bookmarkStart w:id="94" w:name="_Toc20823286"/>
      <w:r>
        <w:rPr>
          <w:rFonts w:hint="eastAsia" w:ascii="方正楷体_GBK" w:hAnsi="方正楷体_GBK" w:eastAsia="方正楷体_GBK" w:cs="方正楷体_GBK"/>
          <w:color w:val="000000"/>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rPr>
          <w:rFonts w:hint="eastAsia" w:ascii="宋体" w:hAnsi="宋体"/>
          <w:color w:val="000000"/>
          <w:sz w:val="24"/>
        </w:rPr>
      </w:r>
      <w:r/>
    </w:p>
    <w:p>
      <w:pPr>
        <w:pStyle w:val="748"/>
        <w:ind w:firstLine="420"/>
        <w:rPr>
          <w:rFonts w:hint="eastAsia" w:ascii="宋体" w:hAnsi="宋体"/>
          <w:color w:val="000000"/>
          <w:sz w:val="24"/>
          <w:szCs w:val="22"/>
        </w:rPr>
      </w:pPr>
      <w:r>
        <w:rPr>
          <w:rFonts w:hint="eastAsia" w:ascii="宋体" w:hAnsi="宋体"/>
          <w:color w:val="000000"/>
          <w:sz w:val="24"/>
          <w:szCs w:val="22"/>
        </w:rPr>
        <w:t xml:space="preserve">9.2 除技术性能另有规定外，投标文件所使用的度量衡单位，均须采用国家法定计量单位。</w:t>
      </w:r>
      <w:r>
        <w:rPr>
          <w:rFonts w:hint="eastAsia" w:ascii="宋体" w:hAnsi="宋体"/>
          <w:color w:val="000000"/>
          <w:sz w:val="24"/>
          <w:szCs w:val="22"/>
        </w:rPr>
      </w:r>
      <w:r/>
    </w:p>
    <w:p>
      <w:pPr>
        <w:pStyle w:val="752"/>
        <w:ind w:firstLine="422"/>
        <w:spacing w:before="0" w:after="0"/>
        <w:rPr>
          <w:rFonts w:hint="eastAsia" w:ascii="方正楷体_GBK" w:hAnsi="方正楷体_GBK" w:eastAsia="方正楷体_GBK" w:cs="方正楷体_GBK"/>
          <w:color w:val="000000"/>
          <w:sz w:val="28"/>
          <w:szCs w:val="28"/>
        </w:rPr>
      </w:pPr>
      <w:r/>
      <w:bookmarkStart w:id="95" w:name="_Toc20823287"/>
      <w:r/>
      <w:bookmarkStart w:id="96" w:name="_Toc16938531"/>
      <w:r/>
      <w:bookmarkStart w:id="97" w:name="_Toc513029215"/>
      <w:r/>
      <w:bookmarkStart w:id="98" w:name="_Toc462564074"/>
      <w:r>
        <w:rPr>
          <w:rFonts w:hint="eastAsia" w:ascii="方正楷体_GBK" w:hAnsi="方正楷体_GBK" w:eastAsia="方正楷体_GBK" w:cs="方正楷体_GBK"/>
          <w:color w:val="000000"/>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投标人编写的投标文件应包括资格证明文件、符合性证明文件、投标报价明细表、响应及偏离表、其他证明文件、投标函、开标一览表等部分。</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99" w:name="_Hlt26670360"/>
      <w:r/>
      <w:bookmarkEnd w:id="99"/>
      <w:r/>
      <w:bookmarkStart w:id="100" w:name="_Hlt26668975"/>
      <w:r/>
      <w:bookmarkEnd w:id="100"/>
      <w:r/>
      <w:bookmarkStart w:id="101" w:name="_Toc14577357"/>
      <w:r/>
      <w:bookmarkStart w:id="102" w:name="_Toc49090509"/>
      <w:r/>
      <w:bookmarkStart w:id="103" w:name="_Toc513029216"/>
      <w:r/>
      <w:bookmarkStart w:id="104" w:name="_Toc49090507"/>
      <w:r/>
      <w:bookmarkStart w:id="105" w:name="_Toc14577354"/>
      <w:r/>
      <w:bookmarkStart w:id="106" w:name="_Toc513029219"/>
      <w:r/>
      <w:bookmarkStart w:id="107" w:name="_Hlt26954838"/>
      <w:r/>
      <w:bookmarkEnd w:id="107"/>
      <w:r>
        <w:rPr>
          <w:rFonts w:hint="eastAsia" w:ascii="方正楷体_GBK" w:hAnsi="方正楷体_GBK" w:eastAsia="方正楷体_GBK" w:cs="方正楷体_GBK"/>
          <w:color w:val="000000"/>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bookmarkEnd w:id="103"/>
      <w:r/>
      <w:bookmarkEnd w:id="104"/>
      <w:r/>
      <w:bookmarkEnd w:id="105"/>
      <w:r/>
      <w:bookmarkStart w:id="108" w:name="_Toc49090508"/>
      <w:r/>
      <w:bookmarkStart w:id="109" w:name="_Toc14577355"/>
      <w:r>
        <w:rPr>
          <w:rFonts w:hint="eastAsia" w:ascii="宋体" w:hAnsi="宋体"/>
          <w:color w:val="000000"/>
          <w:sz w:val="24"/>
        </w:rPr>
        <w:t xml:space="preserve">11.1 投标人应按照法律、法规、规章和规范性文件以及招标文件要求提交证明文件，证明其投标标的符合招标文件规定。</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12</w:t>
      </w:r>
      <w:bookmarkEnd w:id="108"/>
      <w:r/>
      <w:bookmarkEnd w:id="109"/>
      <w:r>
        <w:rPr>
          <w:rFonts w:hint="eastAsia" w:ascii="方正楷体_GBK" w:hAnsi="方正楷体_GBK" w:eastAsia="方正楷体_GBK" w:cs="方正楷体_GBK"/>
          <w:color w:val="000000"/>
          <w:sz w:val="28"/>
          <w:szCs w:val="28"/>
        </w:rPr>
        <w:t xml:space="preserve">.投标报价明细表</w:t>
      </w:r>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rPr>
      </w:pPr>
      <w:r>
        <w:rPr>
          <w:rFonts w:hint="eastAsia" w:ascii="宋体" w:hAnsi="宋体"/>
          <w:color w:val="000000"/>
          <w:sz w:val="24"/>
        </w:rPr>
        <w:t xml:space="preserve">12.1 投</w:t>
      </w:r>
      <w:bookmarkStart w:id="110" w:name="_Hlt26954840"/>
      <w:r/>
      <w:bookmarkEnd w:id="110"/>
      <w:r>
        <w:rPr>
          <w:rFonts w:hint="eastAsia" w:ascii="宋体" w:hAnsi="宋体"/>
          <w:color w:val="000000"/>
          <w:sz w:val="24"/>
        </w:rPr>
        <w:t xml:space="preserve">标人应按照招标文件规定格式填报</w:t>
      </w:r>
      <w:bookmarkStart w:id="111" w:name="_Hlt26670399"/>
      <w:r/>
      <w:bookmarkEnd w:id="111"/>
      <w:r>
        <w:rPr>
          <w:rFonts w:hint="eastAsia" w:ascii="宋体" w:hAnsi="宋体"/>
          <w:color w:val="000000"/>
          <w:sz w:val="24"/>
        </w:rPr>
        <w:t xml:space="preserve">投标报价明细表。</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rPr>
          <w:rFonts w:hint="eastAsia" w:ascii="宋体" w:hAnsi="宋体"/>
          <w:color w:val="000000"/>
          <w:sz w:val="24"/>
        </w:rPr>
      </w:r>
      <w:r/>
    </w:p>
    <w:p>
      <w:pPr>
        <w:pStyle w:val="752"/>
        <w:ind w:firstLine="422"/>
        <w:spacing w:before="0" w:after="0"/>
        <w:rPr>
          <w:rFonts w:hint="eastAsia" w:ascii="方正楷体_GBK" w:hAnsi="方正楷体_GBK" w:eastAsia="方正楷体_GBK" w:cs="方正楷体_GBK"/>
          <w:color w:val="000000"/>
          <w:sz w:val="28"/>
          <w:szCs w:val="28"/>
        </w:rPr>
      </w:pPr>
      <w:r/>
      <w:bookmarkStart w:id="112" w:name="_Hlt26670403"/>
      <w:r/>
      <w:bookmarkEnd w:id="112"/>
      <w:r/>
      <w:bookmarkStart w:id="113" w:name="_Hlt26670482"/>
      <w:r/>
      <w:bookmarkEnd w:id="113"/>
      <w:r/>
      <w:bookmarkStart w:id="114" w:name="_Hlt26670486"/>
      <w:r/>
      <w:bookmarkEnd w:id="114"/>
      <w:r/>
      <w:bookmarkStart w:id="115" w:name="_Hlt26954848"/>
      <w:r/>
      <w:bookmarkEnd w:id="115"/>
      <w:r/>
      <w:bookmarkStart w:id="116" w:name="_Hlt26954842"/>
      <w:r/>
      <w:bookmarkEnd w:id="116"/>
      <w:r/>
      <w:bookmarkStart w:id="117" w:name="_Hlt26954731"/>
      <w:r/>
      <w:bookmarkEnd w:id="117"/>
      <w:r/>
      <w:bookmarkStart w:id="118" w:name="_Hlt26954844"/>
      <w:r/>
      <w:bookmarkEnd w:id="118"/>
      <w:r/>
      <w:bookmarkStart w:id="119" w:name="_Hlt26668983"/>
      <w:r/>
      <w:bookmarkEnd w:id="119"/>
      <w:r/>
      <w:bookmarkStart w:id="120" w:name="_Hlt26954846"/>
      <w:r/>
      <w:bookmarkEnd w:id="120"/>
      <w:r/>
      <w:bookmarkStart w:id="121" w:name="_Hlt26670425"/>
      <w:r/>
      <w:bookmarkEnd w:id="121"/>
      <w:r>
        <w:rPr>
          <w:rFonts w:hint="eastAsia" w:ascii="方正楷体_GBK" w:hAnsi="方正楷体_GBK" w:eastAsia="方正楷体_GBK" w:cs="方正楷体_GBK"/>
          <w:color w:val="000000"/>
          <w:sz w:val="28"/>
          <w:szCs w:val="28"/>
        </w:rPr>
        <w:t xml:space="preserve">13.响应及偏离表</w:t>
      </w:r>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rPr>
          <w:rFonts w:hint="eastAsia" w:ascii="宋体" w:hAnsi="宋体"/>
          <w:color w:val="000000"/>
          <w:sz w:val="24"/>
          <w:lang w:val="zh-CN"/>
        </w:rPr>
      </w:r>
      <w:r/>
    </w:p>
    <w:p>
      <w:pPr>
        <w:pStyle w:val="752"/>
        <w:ind w:firstLine="422"/>
        <w:spacing w:before="0" w:after="0"/>
        <w:rPr>
          <w:rFonts w:hint="eastAsia" w:ascii="方正楷体_GBK" w:hAnsi="方正楷体_GBK" w:eastAsia="方正楷体_GBK" w:cs="方正楷体_GBK"/>
          <w:color w:val="000000"/>
          <w:sz w:val="28"/>
          <w:szCs w:val="28"/>
        </w:rPr>
      </w:pPr>
      <w:r/>
      <w:bookmarkStart w:id="122" w:name="_Toc14577359"/>
      <w:r/>
      <w:bookmarkStart w:id="123" w:name="_Toc49090510"/>
      <w:r>
        <w:rPr>
          <w:rFonts w:hint="eastAsia" w:ascii="方正楷体_GBK" w:hAnsi="方正楷体_GBK" w:eastAsia="方正楷体_GBK" w:cs="方正楷体_GBK"/>
          <w:color w:val="000000"/>
          <w:sz w:val="28"/>
          <w:szCs w:val="28"/>
        </w:rPr>
        <w:t xml:space="preserve">14.投标函和开标一览表</w:t>
      </w:r>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w:t>
      </w:r>
      <w:r>
        <w:rPr>
          <w:rFonts w:hint="eastAsia" w:ascii="宋体" w:hAnsi="宋体"/>
          <w:color w:val="000000"/>
          <w:sz w:val="24"/>
        </w:rPr>
        <w:t xml:space="preserve">投标报价明细表</w:t>
      </w:r>
      <w:r>
        <w:rPr>
          <w:rFonts w:hint="eastAsia" w:ascii="宋体" w:hAnsi="宋体"/>
          <w:color w:val="000000"/>
          <w:sz w:val="24"/>
          <w:lang w:val="zh-CN"/>
        </w:rPr>
        <w:t xml:space="preserve">中的投标总报价一致，如不一致评标时以开标一览表中价格为准。</w:t>
      </w:r>
      <w:r>
        <w:rPr>
          <w:rFonts w:hint="eastAsia" w:ascii="宋体" w:hAnsi="宋体"/>
          <w:color w:val="000000"/>
          <w:sz w:val="24"/>
          <w:lang w:val="zh-CN"/>
        </w:rPr>
      </w:r>
      <w:r/>
    </w:p>
    <w:p>
      <w:pPr>
        <w:pStyle w:val="752"/>
        <w:ind w:firstLine="422"/>
        <w:spacing w:before="0" w:after="0"/>
        <w:rPr>
          <w:rFonts w:hint="eastAsia" w:ascii="方正楷体_GBK" w:hAnsi="方正楷体_GBK" w:eastAsia="方正楷体_GBK" w:cs="方正楷体_GBK"/>
          <w:color w:val="000000"/>
          <w:sz w:val="28"/>
          <w:szCs w:val="28"/>
        </w:rPr>
      </w:pPr>
      <w:r/>
      <w:bookmarkEnd w:id="122"/>
      <w:r/>
      <w:bookmarkEnd w:id="123"/>
      <w:r/>
      <w:bookmarkStart w:id="124" w:name="_Hlt26954850"/>
      <w:r/>
      <w:bookmarkEnd w:id="124"/>
      <w:r/>
      <w:bookmarkStart w:id="125" w:name="_Hlt26670489"/>
      <w:r/>
      <w:bookmarkEnd w:id="125"/>
      <w:r/>
      <w:bookmarkStart w:id="126" w:name="_Hlt26954734"/>
      <w:r/>
      <w:bookmarkEnd w:id="126"/>
      <w:r/>
      <w:bookmarkStart w:id="127" w:name="_Toc14577360"/>
      <w:r/>
      <w:bookmarkStart w:id="128" w:name="_Toc49090511"/>
      <w:r>
        <w:rPr>
          <w:rFonts w:hint="eastAsia" w:ascii="方正楷体_GBK" w:hAnsi="方正楷体_GBK" w:eastAsia="方正楷体_GBK" w:cs="方正楷体_GBK"/>
          <w:color w:val="000000"/>
          <w:sz w:val="28"/>
          <w:szCs w:val="28"/>
        </w:rPr>
        <w:t xml:space="preserve">15.投标有效期</w:t>
      </w:r>
      <w:bookmarkEnd w:id="127"/>
      <w:r/>
      <w:bookmarkEnd w:id="128"/>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lang w:val="zh-CN"/>
        </w:rPr>
      </w:r>
      <w:r/>
    </w:p>
    <w:p>
      <w:pPr>
        <w:pStyle w:val="752"/>
        <w:ind w:firstLine="422"/>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16.投标有效期的延长</w:t>
      </w:r>
      <w:r>
        <w:rPr>
          <w:rFonts w:hint="eastAsia" w:ascii="方正楷体_GBK" w:hAnsi="方正楷体_GBK" w:eastAsia="方正楷体_GBK" w:cs="方正楷体_GBK"/>
          <w:color w:val="000000"/>
          <w:sz w:val="28"/>
          <w:szCs w:val="28"/>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rPr>
          <w:rFonts w:hint="eastAsia" w:ascii="宋体" w:hAnsi="宋体"/>
          <w:color w:val="000000"/>
          <w:sz w:val="24"/>
          <w:lang w:val="zh-CN"/>
        </w:rPr>
      </w:r>
      <w:r/>
    </w:p>
    <w:p>
      <w:pPr>
        <w:pStyle w:val="751"/>
        <w:ind w:firstLine="465"/>
        <w:spacing w:before="120" w:after="120"/>
        <w:rPr>
          <w:rFonts w:hint="eastAsia" w:ascii="方正黑体_GBK" w:hAnsi="方正黑体_GBK" w:eastAsia="方正黑体_GBK" w:cs="方正黑体_GBK"/>
          <w:color w:val="000000"/>
        </w:rPr>
      </w:pPr>
      <w:r/>
      <w:bookmarkStart w:id="129" w:name="_Hlt26954739"/>
      <w:r/>
      <w:bookmarkEnd w:id="129"/>
      <w:r/>
      <w:bookmarkStart w:id="130" w:name="_Hlt26954852"/>
      <w:r/>
      <w:bookmarkEnd w:id="130"/>
      <w:r/>
      <w:bookmarkStart w:id="131" w:name="_Toc120614217"/>
      <w:r/>
      <w:bookmarkStart w:id="132" w:name="_Toc513029224"/>
      <w:r/>
      <w:bookmarkStart w:id="133" w:name="_Toc20823296"/>
      <w:r/>
      <w:bookmarkStart w:id="134" w:name="_Toc16938540"/>
      <w:r/>
      <w:bookmarkStart w:id="135" w:name="_Toc16938553"/>
      <w:r/>
      <w:bookmarkStart w:id="136" w:name="_Toc20823309"/>
      <w:r/>
      <w:bookmarkStart w:id="137" w:name="_Toc513029237"/>
      <w:r>
        <w:rPr>
          <w:rFonts w:hint="eastAsia" w:ascii="方正黑体_GBK" w:hAnsi="方正黑体_GBK" w:eastAsia="方正黑体_GBK" w:cs="方正黑体_GBK"/>
          <w:color w:val="000000"/>
        </w:rPr>
        <w:t xml:space="preserve">四、投标文件的递交</w:t>
      </w:r>
      <w:bookmarkEnd w:id="131"/>
      <w:r/>
      <w:bookmarkEnd w:id="132"/>
      <w:r/>
      <w:bookmarkEnd w:id="133"/>
      <w:r/>
      <w:bookmarkEnd w:id="134"/>
      <w:r>
        <w:rPr>
          <w:rFonts w:hint="eastAsia" w:ascii="方正黑体_GBK" w:hAnsi="方正黑体_GBK" w:eastAsia="方正黑体_GBK" w:cs="方正黑体_GBK"/>
          <w:color w:val="000000"/>
        </w:rPr>
      </w:r>
      <w:r/>
    </w:p>
    <w:p>
      <w:pPr>
        <w:pStyle w:val="752"/>
        <w:ind w:firstLine="392"/>
        <w:spacing w:before="0" w:after="0"/>
        <w:rPr>
          <w:rFonts w:hint="eastAsia" w:ascii="方正楷体_GBK" w:hAnsi="方正楷体_GBK" w:eastAsia="方正楷体_GBK" w:cs="方正楷体_GBK"/>
          <w:color w:val="000000"/>
        </w:rPr>
      </w:pPr>
      <w:r/>
      <w:bookmarkStart w:id="138" w:name="_Toc462564084"/>
      <w:r/>
      <w:bookmarkStart w:id="139" w:name="_Toc16938541"/>
      <w:r/>
      <w:bookmarkStart w:id="140" w:name="_Toc513029225"/>
      <w:r/>
      <w:bookmarkStart w:id="141" w:name="_Toc20823297"/>
      <w:r>
        <w:rPr>
          <w:rFonts w:hint="eastAsia" w:ascii="方正楷体_GBK" w:hAnsi="方正楷体_GBK" w:eastAsia="方正楷体_GBK" w:cs="方正楷体_GBK"/>
          <w:color w:val="000000"/>
        </w:rPr>
        <w:t xml:space="preserve">17.投标文件</w:t>
      </w:r>
      <w:bookmarkEnd w:id="138"/>
      <w:r/>
      <w:bookmarkEnd w:id="139"/>
      <w:r/>
      <w:bookmarkEnd w:id="140"/>
      <w:r/>
      <w:bookmarkEnd w:id="141"/>
      <w:r>
        <w:rPr>
          <w:rFonts w:hint="eastAsia" w:ascii="方正楷体_GBK" w:hAnsi="方正楷体_GBK" w:eastAsia="方正楷体_GBK" w:cs="方正楷体_GBK"/>
          <w:color w:val="000000"/>
        </w:rPr>
        <w:t xml:space="preserve">的递交</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rPr>
          <w:rFonts w:hint="eastAsia" w:ascii="宋体" w:hAnsi="宋体"/>
          <w:color w:val="000000"/>
          <w:sz w:val="24"/>
          <w:lang w:val="zh-CN"/>
        </w:rPr>
      </w:r>
      <w:r/>
    </w:p>
    <w:p>
      <w:pPr>
        <w:pStyle w:val="748"/>
        <w:ind w:firstLine="420"/>
        <w:rPr>
          <w:rFonts w:hint="eastAsia" w:ascii="宋体" w:hAnsi="宋体"/>
          <w:color w:val="000000"/>
          <w:sz w:val="24"/>
          <w:lang w:val="zh-CN"/>
        </w:rPr>
      </w:pPr>
      <w:r/>
      <w:bookmarkEnd w:id="142"/>
      <w:r/>
      <w:bookmarkEnd w:id="143"/>
      <w:r/>
      <w:bookmarkEnd w:id="144"/>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bookmarkStart w:id="145" w:name="_Toc16938543"/>
      <w:r/>
      <w:bookmarkStart w:id="146" w:name="_Toc513029227"/>
      <w:r/>
      <w:bookmarkStart w:id="147" w:name="_Toc20823299"/>
      <w:r>
        <w:rPr>
          <w:rFonts w:hint="eastAsia" w:ascii="方正楷体_GBK" w:hAnsi="方正楷体_GBK" w:eastAsia="方正楷体_GBK" w:cs="方正楷体_GBK"/>
          <w:color w:val="000000"/>
        </w:rPr>
        <w:t xml:space="preserve">18.投标文件</w:t>
      </w:r>
      <w:bookmarkEnd w:id="145"/>
      <w:r/>
      <w:bookmarkEnd w:id="146"/>
      <w:r/>
      <w:bookmarkEnd w:id="147"/>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bookmarkStart w:id="148" w:name="_Toc16938544"/>
      <w:r/>
      <w:bookmarkStart w:id="149" w:name="_Toc20823300"/>
      <w:r/>
      <w:bookmarkStart w:id="150" w:name="_Toc513029228"/>
      <w:r>
        <w:rPr>
          <w:rFonts w:hint="eastAsia" w:ascii="方正楷体_GBK" w:hAnsi="方正楷体_GBK" w:eastAsia="方正楷体_GBK" w:cs="方正楷体_GBK"/>
          <w:color w:val="000000"/>
        </w:rPr>
        <w:t xml:space="preserve">19.投标文件的撤回和修改</w:t>
      </w:r>
      <w:bookmarkEnd w:id="148"/>
      <w:r/>
      <w:bookmarkEnd w:id="149"/>
      <w:r/>
      <w:bookmarkEnd w:id="150"/>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51" w:name="_Toc513029229"/>
      <w:r/>
      <w:bookmarkStart w:id="152" w:name="_Toc120614218"/>
      <w:r/>
      <w:bookmarkStart w:id="153" w:name="_Toc16938545"/>
      <w:r/>
      <w:bookmarkStart w:id="154" w:name="_Toc20823301"/>
      <w:r>
        <w:rPr>
          <w:rFonts w:hint="eastAsia" w:ascii="宋体" w:hAnsi="宋体"/>
          <w:color w:val="000000"/>
          <w:sz w:val="24"/>
          <w:lang w:val="zh-CN"/>
        </w:rPr>
      </w:r>
      <w:r/>
    </w:p>
    <w:p>
      <w:pPr>
        <w:pStyle w:val="751"/>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五、开标与评标</w:t>
      </w:r>
      <w:bookmarkEnd w:id="151"/>
      <w:r/>
      <w:bookmarkEnd w:id="152"/>
      <w:r/>
      <w:bookmarkEnd w:id="153"/>
      <w:r/>
      <w:bookmarkEnd w:id="154"/>
      <w:r>
        <w:rPr>
          <w:rFonts w:hint="eastAsia" w:ascii="方正黑体_GBK" w:hAnsi="方正黑体_GBK" w:eastAsia="方正黑体_GBK" w:cs="方正黑体_GBK"/>
          <w:color w:val="000000"/>
        </w:rPr>
      </w:r>
      <w:r/>
    </w:p>
    <w:p>
      <w:pPr>
        <w:pStyle w:val="752"/>
        <w:ind w:firstLine="392"/>
        <w:spacing w:before="0" w:after="0"/>
        <w:rPr>
          <w:rFonts w:hint="eastAsia" w:ascii="方正楷体_GBK" w:hAnsi="方正楷体_GBK" w:eastAsia="方正楷体_GBK" w:cs="方正楷体_GBK"/>
          <w:color w:val="000000"/>
        </w:rPr>
      </w:pPr>
      <w:r/>
      <w:bookmarkStart w:id="155" w:name="_Toc16938546"/>
      <w:r/>
      <w:bookmarkStart w:id="156" w:name="_Toc513029230"/>
      <w:r/>
      <w:bookmarkStart w:id="157" w:name="_Toc20823302"/>
      <w:r>
        <w:rPr>
          <w:rFonts w:hint="eastAsia" w:ascii="方正楷体_GBK" w:hAnsi="方正楷体_GBK" w:eastAsia="方正楷体_GBK" w:cs="方正楷体_GBK"/>
          <w:color w:val="000000"/>
        </w:rPr>
        <w:t xml:space="preserve">20.开标</w:t>
      </w:r>
      <w:bookmarkEnd w:id="155"/>
      <w:r/>
      <w:bookmarkEnd w:id="156"/>
      <w:r/>
      <w:bookmarkEnd w:id="157"/>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bookmarkStart w:id="158" w:name="_Toc20823303"/>
      <w:r/>
      <w:bookmarkStart w:id="159" w:name="_Toc513029231"/>
      <w:r/>
      <w:bookmarkStart w:id="160" w:name="_Toc16938547"/>
      <w:r>
        <w:rPr>
          <w:rFonts w:hint="eastAsia" w:ascii="方正楷体_GBK" w:hAnsi="方正楷体_GBK" w:eastAsia="方正楷体_GBK" w:cs="方正楷体_GBK"/>
          <w:color w:val="000000"/>
        </w:rPr>
        <w:t xml:space="preserve">21.评标</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w:t>
      </w:r>
      <w:r>
        <w:rPr>
          <w:rFonts w:hint="eastAsia" w:ascii="宋体" w:hAnsi="宋体"/>
          <w:color w:val="000000"/>
          <w:sz w:val="24"/>
          <w:lang w:val="zh-CN"/>
        </w:rPr>
        <w:t xml:space="preserve">依法组建的评标委员会（以下简称“评委会”）进行。</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bookmarkEnd w:id="158"/>
      <w:r/>
      <w:bookmarkEnd w:id="159"/>
      <w:r/>
      <w:bookmarkEnd w:id="160"/>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投标人不得以任何方式影响评标，否则其投标文件将被作为无效投标文件。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bookmarkStart w:id="161" w:name="_Toc20823304"/>
      <w:r/>
      <w:bookmarkStart w:id="162" w:name="_Toc513029232"/>
      <w:r/>
      <w:bookmarkStart w:id="163" w:name="_Toc16938548"/>
      <w:r>
        <w:rPr>
          <w:rFonts w:hint="eastAsia" w:ascii="方正楷体_GBK" w:hAnsi="方正楷体_GBK" w:eastAsia="方正楷体_GBK" w:cs="方正楷体_GBK"/>
          <w:color w:val="000000"/>
        </w:rPr>
        <w:t xml:space="preserve">23.投标文件的澄清</w:t>
      </w:r>
      <w:bookmarkEnd w:id="161"/>
      <w:r/>
      <w:bookmarkEnd w:id="162"/>
      <w:r/>
      <w:bookmarkEnd w:id="163"/>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bookmarkStart w:id="164" w:name="_Toc20823305"/>
      <w:r/>
      <w:bookmarkStart w:id="165" w:name="_Toc513029233"/>
      <w:r/>
      <w:bookmarkStart w:id="166" w:name="_Toc16938549"/>
      <w:r>
        <w:rPr>
          <w:rFonts w:hint="eastAsia" w:ascii="方正楷体_GBK" w:hAnsi="方正楷体_GBK" w:eastAsia="方正楷体_GBK" w:cs="方正楷体_GBK"/>
          <w:color w:val="000000"/>
        </w:rPr>
        <w:t xml:space="preserve">24.投标文件的</w:t>
      </w:r>
      <w:bookmarkEnd w:id="164"/>
      <w:r/>
      <w:bookmarkEnd w:id="165"/>
      <w:r/>
      <w:bookmarkEnd w:id="166"/>
      <w:r>
        <w:rPr>
          <w:rFonts w:hint="eastAsia" w:ascii="方正楷体_GBK" w:hAnsi="方正楷体_GBK" w:eastAsia="方正楷体_GBK" w:cs="方正楷体_GBK"/>
          <w:color w:val="000000"/>
        </w:rPr>
        <w:t xml:space="preserve">审查</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24.1 投标文件审查分为资格审查和符合性审查。</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接受联合体的项目，联合体成员存在不良信用记录的，视同联合体存在不良信用记录。</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lang w:val="zh-CN"/>
        </w:rPr>
      </w:r>
      <w:r/>
    </w:p>
    <w:p>
      <w:pPr>
        <w:pStyle w:val="748"/>
        <w:ind w:firstLine="420"/>
        <w:rPr>
          <w:rFonts w:hint="eastAsia" w:ascii="宋体" w:hAnsi="宋体"/>
          <w:color w:val="000000"/>
          <w:sz w:val="24"/>
          <w:lang w:val="zh-CN"/>
        </w:rPr>
      </w:pPr>
      <w:r/>
      <w:bookmarkStart w:id="167" w:name="_Toc16938550"/>
      <w:r/>
      <w:bookmarkStart w:id="168" w:name="_Toc20823306"/>
      <w:r/>
      <w:bookmarkStart w:id="169" w:name="_Toc513029234"/>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67"/>
      <w:r/>
      <w:bookmarkEnd w:id="168"/>
      <w:r/>
      <w:bookmarkEnd w:id="169"/>
      <w:r>
        <w:rPr>
          <w:rFonts w:hint="eastAsia" w:ascii="方正楷体_GBK" w:hAnsi="方正楷体_GBK" w:eastAsia="方正楷体_GBK" w:cs="方正楷体_GBK"/>
          <w:color w:val="000000"/>
        </w:rPr>
        <w:t xml:space="preserve">5.无效投标和废标</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bookmarkStart w:id="170" w:name="_Toc20823307"/>
      <w:r/>
      <w:bookmarkStart w:id="171" w:name="_Toc513029235"/>
      <w:r/>
      <w:bookmarkStart w:id="172" w:name="_Toc16938551"/>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iCs/>
          <w:color w:val="000000"/>
          <w:sz w:val="24"/>
          <w:szCs w:val="22"/>
          <w:lang w:val="zh-CN"/>
        </w:rPr>
        <w:t xml:space="preserve">（</w:t>
      </w:r>
      <w:r>
        <w:rPr>
          <w:rFonts w:hint="eastAsia" w:ascii="宋体" w:hAnsi="宋体"/>
          <w:b/>
          <w:bCs/>
          <w:iCs/>
          <w:color w:val="000000"/>
          <w:sz w:val="24"/>
          <w:szCs w:val="22"/>
          <w:lang w:val="zh-CN"/>
        </w:rPr>
        <w:t xml:space="preserve">本文件中斜体且有下划线部分，或者打“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”内容为实质性要求和条件</w:t>
      </w:r>
      <w:r>
        <w:rPr>
          <w:rFonts w:hint="eastAsia" w:ascii="宋体" w:hAnsi="宋体"/>
          <w:iCs/>
          <w:color w:val="000000"/>
          <w:sz w:val="24"/>
          <w:szCs w:val="22"/>
          <w:lang w:val="zh-CN"/>
        </w:rPr>
        <w:t xml:space="preserve">）。</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color w:val="000000"/>
          <w:sz w:val="24"/>
          <w:lang w:val="zh-CN"/>
        </w:rPr>
      </w:r>
      <w:r/>
    </w:p>
    <w:p>
      <w:pPr>
        <w:pStyle w:val="748"/>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1</w:t>
      </w:r>
      <w:r>
        <w:rPr>
          <w:rFonts w:hint="eastAsia" w:ascii="宋体" w:hAnsi="宋体"/>
          <w:color w:val="000000"/>
          <w:sz w:val="24"/>
          <w:lang w:val="zh-CN"/>
        </w:rPr>
        <w:t xml:space="preserve">投标文件未按照招标文件要求加盖电子公章。</w:t>
      </w:r>
      <w:r>
        <w:rPr>
          <w:rFonts w:hint="eastAsia" w:ascii="宋体" w:hAnsi="宋体"/>
          <w:color w:val="000000"/>
          <w:sz w:val="24"/>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废标情形</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w:t>
      </w:r>
      <w:r>
        <w:rPr>
          <w:rFonts w:hint="eastAsia" w:ascii="宋体" w:hAnsi="宋体"/>
          <w:color w:val="000000"/>
          <w:sz w:val="24"/>
        </w:rPr>
        <w:t xml:space="preserve"> </w:t>
      </w:r>
      <w:r>
        <w:rPr>
          <w:rFonts w:hint="eastAsia" w:ascii="宋体" w:hAnsi="宋体"/>
          <w:color w:val="000000"/>
          <w:sz w:val="24"/>
          <w:lang w:val="zh-CN"/>
        </w:rPr>
        <w:t xml:space="preserve">因苏采云系统故障造成开标不成功。</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rPr>
          <w:rFonts w:hint="eastAsia" w:ascii="宋体" w:hAnsi="宋体"/>
          <w:color w:val="000000"/>
          <w:sz w:val="24"/>
          <w:lang w:val="zh-CN"/>
        </w:rPr>
      </w:r>
      <w:r/>
    </w:p>
    <w:p>
      <w:pPr>
        <w:pStyle w:val="748"/>
        <w:ind w:firstLine="420"/>
        <w:rPr>
          <w:rFonts w:ascii="宋体" w:hAnsi="宋体"/>
          <w:color w:val="000000"/>
          <w:sz w:val="24"/>
        </w:rPr>
      </w:pPr>
      <w:r>
        <w:rPr>
          <w:rFonts w:hint="eastAsia" w:ascii="宋体" w:hAnsi="宋体"/>
          <w:color w:val="000000"/>
          <w:sz w:val="24"/>
          <w:lang w:val="zh-CN"/>
        </w:rPr>
        <w:t xml:space="preserve">25.4 如出现25.2.1或25.3情形，招标活动失败，评审委员会</w:t>
      </w:r>
      <w:r>
        <w:rPr>
          <w:rFonts w:hint="eastAsia" w:ascii="宋体" w:hAnsi="宋体"/>
          <w:color w:val="000000"/>
          <w:sz w:val="24"/>
        </w:rPr>
        <w:t xml:space="preserve">应对</w:t>
      </w:r>
      <w:r>
        <w:rPr>
          <w:rFonts w:hint="eastAsia" w:ascii="宋体" w:hAnsi="宋体"/>
          <w:color w:val="000000"/>
          <w:sz w:val="24"/>
          <w:lang w:val="zh-CN"/>
        </w:rPr>
        <w:t xml:space="preserve">招标文件是否存在不合理条款</w:t>
      </w:r>
      <w:r>
        <w:rPr>
          <w:rFonts w:hint="eastAsia" w:ascii="宋体" w:hAnsi="宋体"/>
          <w:color w:val="000000"/>
          <w:sz w:val="24"/>
        </w:rPr>
        <w:t xml:space="preserve">进行论证，并在评审报告中写明</w:t>
      </w:r>
      <w:r>
        <w:rPr>
          <w:rFonts w:hint="eastAsia" w:ascii="宋体" w:hAnsi="宋体"/>
          <w:color w:val="000000"/>
          <w:sz w:val="24"/>
          <w:lang w:val="zh-CN"/>
        </w:rPr>
        <w:t xml:space="preserve">论证意见。</w:t>
      </w:r>
      <w:r>
        <w:rPr>
          <w:rFonts w:ascii="宋体" w:hAnsi="宋体"/>
          <w:color w:val="000000"/>
          <w:sz w:val="24"/>
        </w:rPr>
      </w:r>
      <w:r/>
    </w:p>
    <w:p>
      <w:pPr>
        <w:pStyle w:val="751"/>
        <w:ind w:firstLine="465"/>
        <w:spacing w:before="120" w:after="120"/>
        <w:rPr>
          <w:rFonts w:hint="eastAsia" w:ascii="方正黑体_GBK" w:hAnsi="方正黑体_GBK" w:eastAsia="方正黑体_GBK" w:cs="方正黑体_GBK"/>
          <w:color w:val="000000"/>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color w:val="000000"/>
        </w:rPr>
        <w:t xml:space="preserve">六、定标</w:t>
      </w:r>
      <w:bookmarkEnd w:id="173"/>
      <w:r>
        <w:rPr>
          <w:rFonts w:hint="eastAsia" w:ascii="方正黑体_GBK" w:hAnsi="方正黑体_GBK" w:eastAsia="方正黑体_GBK" w:cs="方正黑体_GBK"/>
          <w:color w:val="000000"/>
        </w:rPr>
      </w:r>
      <w:r/>
    </w:p>
    <w:p>
      <w:pPr>
        <w:pStyle w:val="752"/>
        <w:ind w:firstLine="392"/>
        <w:spacing w:before="0" w:after="0"/>
        <w:rPr>
          <w:rFonts w:hint="eastAsia" w:ascii="方正楷体_GBK" w:hAnsi="方正楷体_GBK" w:eastAsia="方正楷体_GBK" w:cs="方正楷体_GBK"/>
          <w:color w:val="000000"/>
        </w:rPr>
      </w:pPr>
      <w:r/>
      <w:bookmarkStart w:id="174" w:name="_Toc513029238"/>
      <w:r/>
      <w:bookmarkStart w:id="175" w:name="_Toc16938554"/>
      <w:r/>
      <w:bookmarkStart w:id="176" w:name="_Toc20823310"/>
      <w:r>
        <w:rPr>
          <w:rFonts w:hint="eastAsia" w:ascii="方正楷体_GBK" w:hAnsi="方正楷体_GBK" w:eastAsia="方正楷体_GBK" w:cs="方正楷体_GBK"/>
          <w:color w:val="000000"/>
        </w:rPr>
        <w:t xml:space="preserve">2</w:t>
      </w:r>
      <w:bookmarkEnd w:id="174"/>
      <w:r>
        <w:rPr>
          <w:rFonts w:hint="eastAsia" w:ascii="方正楷体_GBK" w:hAnsi="方正楷体_GBK" w:eastAsia="方正楷体_GBK" w:cs="方正楷体_GBK"/>
          <w:color w:val="000000"/>
        </w:rPr>
        <w:t xml:space="preserve">6.确定</w:t>
      </w:r>
      <w:bookmarkEnd w:id="175"/>
      <w:r/>
      <w:bookmarkEnd w:id="176"/>
      <w:r>
        <w:rPr>
          <w:rFonts w:hint="eastAsia" w:ascii="方正楷体_GBK" w:hAnsi="方正楷体_GBK" w:eastAsia="方正楷体_GBK" w:cs="方正楷体_GBK"/>
          <w:color w:val="000000"/>
        </w:rPr>
        <w:t xml:space="preserve">中标单位</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748"/>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26.4.1 提供虚假材料谋取中标。</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26.4.2 向评审专家、采购人或交易中心工作人员行贿或者提供其他不正当利益。</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26.4.3 与其他供应商、评审专家、采购人或交易中心工作人员恶意串通。</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26.4.4 属于本文件规定的无效投标情形，但在评标过程中未被评委会发现。</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26.4.5 采取不正当手段诋毁、排挤其他供应商。</w:t>
      </w:r>
      <w:r>
        <w:rPr>
          <w:rFonts w:hint="eastAsia" w:ascii="宋体" w:hAnsi="宋体"/>
          <w:color w:val="000000"/>
          <w:sz w:val="24"/>
          <w:lang w:val="zh-CN"/>
        </w:rPr>
      </w:r>
      <w:r/>
    </w:p>
    <w:p>
      <w:pPr>
        <w:pStyle w:val="748"/>
        <w:ind w:firstLine="420"/>
        <w:rPr>
          <w:rFonts w:hint="eastAsia" w:ascii="宋体" w:hAnsi="宋体"/>
          <w:b/>
          <w:bCs/>
          <w:color w:val="000000"/>
          <w:sz w:val="24"/>
          <w:lang w:val="zh-CN"/>
        </w:rPr>
      </w:pPr>
      <w:r/>
      <w:bookmarkStart w:id="177"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rPr>
          <w:rFonts w:hint="eastAsia" w:ascii="宋体" w:hAnsi="宋体"/>
          <w:b/>
          <w:bCs/>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752"/>
        <w:ind w:firstLine="392"/>
        <w:spacing w:before="0" w:after="0"/>
        <w:rPr>
          <w:rFonts w:hint="eastAsia" w:ascii="方正楷体_GBK" w:hAnsi="方正楷体_GBK" w:eastAsia="方正楷体_GBK" w:cs="方正楷体_GBK"/>
          <w:color w:val="000000"/>
        </w:rPr>
      </w:pPr>
      <w:r/>
      <w:bookmarkEnd w:id="177"/>
      <w:r>
        <w:rPr>
          <w:rFonts w:hint="eastAsia" w:ascii="方正楷体_GBK" w:hAnsi="方正楷体_GBK" w:eastAsia="方正楷体_GBK" w:cs="方正楷体_GBK"/>
          <w:color w:val="000000"/>
        </w:rPr>
        <w:t xml:space="preserve">27.中标通知书</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751"/>
        <w:ind w:firstLine="465"/>
        <w:spacing w:before="120" w:after="120"/>
        <w:rPr>
          <w:rFonts w:hint="eastAsia" w:ascii="方正黑体_GBK" w:hAnsi="方正黑体_GBK" w:eastAsia="方正黑体_GBK" w:cs="方正黑体_GBK"/>
          <w:color w:val="000000"/>
        </w:rPr>
      </w:pPr>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color w:val="000000"/>
        </w:rPr>
        <w:t xml:space="preserve">七、授予合同</w:t>
      </w:r>
      <w:bookmarkEnd w:id="178"/>
      <w:r>
        <w:rPr>
          <w:rFonts w:hint="eastAsia" w:ascii="方正黑体_GBK" w:hAnsi="方正黑体_GBK" w:eastAsia="方正黑体_GBK" w:cs="方正黑体_GBK"/>
          <w:color w:val="000000"/>
        </w:rPr>
      </w:r>
      <w:r/>
    </w:p>
    <w:p>
      <w:pPr>
        <w:pStyle w:val="752"/>
        <w:ind w:firstLine="392"/>
        <w:spacing w:before="0" w:after="0"/>
        <w:rPr>
          <w:rFonts w:hint="eastAsia" w:ascii="方正楷体_GBK" w:hAnsi="方正楷体_GBK" w:eastAsia="方正楷体_GBK" w:cs="方正楷体_GBK"/>
          <w:color w:val="000000"/>
        </w:rPr>
      </w:pPr>
      <w:r/>
      <w:bookmarkEnd w:id="179"/>
      <w:r/>
      <w:bookmarkEnd w:id="180"/>
      <w:r/>
      <w:bookmarkEnd w:id="181"/>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.l</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.2 招标文件、中标人的投标文件及招标过程中有关澄清、承诺文件均作为合同附件。</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.4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rPr>
          <w:rFonts w:hint="eastAsia" w:ascii="宋体" w:hAnsi="宋体"/>
          <w:color w:val="000000"/>
          <w:sz w:val="24"/>
        </w:rPr>
      </w:r>
      <w:r/>
    </w:p>
    <w:p>
      <w:pPr>
        <w:pStyle w:val="752"/>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rPr>
      </w:pPr>
      <w:r>
        <w:rPr>
          <w:rFonts w:hint="eastAsia" w:ascii="宋体" w:hAnsi="宋体"/>
          <w:color w:val="000000"/>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rPr>
      </w:r>
      <w:r/>
    </w:p>
    <w:p>
      <w:pPr>
        <w:pStyle w:val="752"/>
        <w:ind w:firstLine="39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30.1 中标供应商可通过南京市公共资源交易平台网站“小企业融资平台”，选择相应的金融机构办理融资贷款。</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color w:val="000000"/>
          <w:sz w:val="24"/>
          <w:lang w:val="zh-CN"/>
        </w:rPr>
      </w:r>
      <w:r/>
    </w:p>
    <w:p>
      <w:pPr>
        <w:pStyle w:val="751"/>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八、质疑</w:t>
      </w:r>
      <w:r>
        <w:rPr>
          <w:rFonts w:hint="eastAsia" w:ascii="方正黑体_GBK" w:hAnsi="方正黑体_GBK" w:eastAsia="方正黑体_GBK" w:cs="方正黑体_GBK"/>
          <w:color w:val="000000"/>
        </w:rPr>
      </w:r>
      <w:r/>
    </w:p>
    <w:p>
      <w:pPr>
        <w:pStyle w:val="748"/>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35.</w:t>
      </w:r>
      <w:r>
        <w:rPr>
          <w:rFonts w:hint="eastAsia" w:ascii="宋体" w:hAnsi="宋体"/>
          <w:b/>
          <w:bCs/>
          <w:color w:val="000000"/>
          <w:sz w:val="24"/>
          <w:lang w:val="zh-CN"/>
        </w:rPr>
        <w:t xml:space="preserve">供应商（含潜在供应商）对采购方式、采购需求、供应商资格条件、评标方法和评标标准、合同文本的询问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color w:val="000000"/>
          <w:sz w:val="24"/>
          <w:lang w:val="zh-CN"/>
        </w:rPr>
        <w:t xml:space="preserve">供应商对</w:t>
      </w:r>
      <w:r>
        <w:rPr>
          <w:rFonts w:hint="eastAsia" w:ascii="宋体" w:hAnsi="宋体"/>
          <w:color w:val="000000"/>
          <w:sz w:val="24"/>
        </w:rPr>
        <w:t xml:space="preserve">采购过程、采购结果</w:t>
      </w:r>
      <w:r>
        <w:rPr>
          <w:rFonts w:hint="eastAsia" w:ascii="宋体" w:hAnsi="宋体"/>
          <w:color w:val="000000"/>
          <w:sz w:val="24"/>
          <w:lang w:val="zh-CN"/>
        </w:rPr>
        <w:t xml:space="preserve">的询问</w:t>
      </w:r>
      <w:r>
        <w:rPr>
          <w:rFonts w:hint="eastAsia" w:ascii="宋体" w:hAnsi="宋体"/>
          <w:color w:val="000000"/>
          <w:sz w:val="24"/>
        </w:rPr>
        <w:t xml:space="preserve">或</w:t>
      </w:r>
      <w:r>
        <w:rPr>
          <w:rFonts w:hint="eastAsia" w:ascii="宋体" w:hAnsi="宋体"/>
          <w:color w:val="000000"/>
          <w:sz w:val="24"/>
          <w:lang w:val="zh-CN"/>
        </w:rPr>
        <w:t xml:space="preserve">质疑向交易中心提出，由交易中心负责答复。</w:t>
      </w:r>
      <w:r>
        <w:rPr>
          <w:rFonts w:hint="eastAsia" w:ascii="宋体" w:hAnsi="宋体"/>
          <w:color w:val="000000"/>
          <w:sz w:val="24"/>
          <w:lang w:val="zh-CN"/>
        </w:rPr>
      </w:r>
      <w:r/>
    </w:p>
    <w:p>
      <w:pPr>
        <w:pStyle w:val="748"/>
        <w:ind w:firstLine="422"/>
        <w:rPr>
          <w:rFonts w:hint="eastAsia" w:ascii="宋体" w:hAnsi="宋体"/>
          <w:b/>
          <w:bCs/>
          <w:color w:val="000000"/>
          <w:sz w:val="24"/>
          <w:lang w:val="zh-CN"/>
        </w:rPr>
      </w:pPr>
      <w:r>
        <w:rPr>
          <w:rFonts w:hint="eastAsia" w:ascii="宋体" w:hAnsi="宋体"/>
          <w:b/>
          <w:bCs/>
          <w:color w:val="000000"/>
          <w:sz w:val="24"/>
          <w:lang w:val="zh-CN"/>
        </w:rPr>
        <w:t xml:space="preserve">采购人《质疑函》接收人及联系方式见招标文件第一章。</w:t>
      </w:r>
      <w:r>
        <w:rPr>
          <w:rFonts w:hint="eastAsia" w:ascii="宋体" w:hAnsi="宋体"/>
          <w:b/>
          <w:bCs/>
          <w:color w:val="000000"/>
          <w:sz w:val="24"/>
          <w:lang w:val="zh-CN"/>
        </w:rPr>
      </w:r>
      <w:r/>
    </w:p>
    <w:p>
      <w:pPr>
        <w:pStyle w:val="748"/>
        <w:ind w:firstLine="420"/>
        <w:rPr>
          <w:rFonts w:hint="eastAsia" w:ascii="宋体" w:hAnsi="宋体"/>
          <w:color w:val="000000"/>
          <w:sz w:val="24"/>
        </w:rPr>
      </w:pPr>
      <w:r>
        <w:rPr>
          <w:rFonts w:hint="eastAsia" w:ascii="宋体" w:hAnsi="宋体"/>
          <w:color w:val="000000"/>
          <w:sz w:val="24"/>
          <w:lang w:val="zh-CN"/>
        </w:rPr>
        <w:t xml:space="preserve">交易中心《质疑函》接收部门为政府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，地址：南京市江东中路265号南京市公共资源交易中心北门，联系电话：025-68505926。</w:t>
      </w:r>
      <w:r>
        <w:rPr>
          <w:rFonts w:hint="eastAsia" w:ascii="宋体" w:hAnsi="宋体"/>
          <w:color w:val="000000"/>
          <w:sz w:val="24"/>
        </w:rPr>
        <w:t xml:space="preserve">  </w:t>
      </w:r>
      <w:r>
        <w:rPr>
          <w:rFonts w:hint="eastAsia" w:ascii="宋体" w:hAnsi="宋体"/>
          <w:color w:val="000000"/>
          <w:sz w:val="24"/>
        </w:rPr>
      </w:r>
      <w:r/>
    </w:p>
    <w:p>
      <w:pPr>
        <w:pStyle w:val="748"/>
        <w:ind w:firstLine="422"/>
        <w:rPr>
          <w:rFonts w:hint="eastAsia" w:ascii="宋体" w:hAnsi="宋体"/>
          <w:b/>
          <w:bCs/>
          <w:color w:val="000000"/>
          <w:sz w:val="24"/>
          <w:lang w:val="zh-CN"/>
        </w:rPr>
      </w:pPr>
      <w:r>
        <w:rPr>
          <w:rFonts w:hint="eastAsia" w:ascii="宋体" w:hAnsi="宋体"/>
          <w:b/>
          <w:bCs/>
          <w:color w:val="000000"/>
          <w:sz w:val="24"/>
          <w:lang w:val="zh-CN"/>
        </w:rPr>
        <w:t xml:space="preserve">由采购人负责答复的质疑，采购人将《质疑答复函》抄送交易中心。</w:t>
      </w:r>
      <w:r>
        <w:rPr>
          <w:rFonts w:hint="eastAsia" w:ascii="宋体" w:hAnsi="宋体"/>
          <w:b/>
          <w:bCs/>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内容不符合《政府采购质疑和投诉办法》第十二条规定的质疑。</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超出政府采购法定期限的质疑。</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以传真、电子邮件等方式递交的非原件形式的质疑。</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6.4 未参加采购活动或在采购活动中自身权益未受到损害的供应商所提出的质疑。</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6.5 供应商组成联合体参加采购活动，联合体中任何一方或多方未按要求签字</w:t>
      </w:r>
      <w:r>
        <w:rPr>
          <w:rFonts w:hint="eastAsia" w:ascii="宋体" w:hAnsi="宋体"/>
          <w:color w:val="000000"/>
          <w:sz w:val="24"/>
        </w:rPr>
        <w:t xml:space="preserve">或签章</w:t>
      </w:r>
      <w:r>
        <w:rPr>
          <w:rFonts w:hint="eastAsia" w:ascii="宋体" w:hAnsi="宋体"/>
          <w:color w:val="000000"/>
          <w:sz w:val="24"/>
          <w:lang w:val="zh-CN"/>
        </w:rPr>
        <w:t xml:space="preserve">、加盖公章的质疑。</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748"/>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751"/>
        <w:ind w:firstLine="465"/>
        <w:spacing w:before="120" w:after="120"/>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九、政策功能落实</w:t>
      </w:r>
      <w:r>
        <w:rPr>
          <w:rFonts w:ascii="方正黑体_GBK" w:hAnsi="方正黑体_GBK" w:eastAsia="方正黑体_GBK" w:cs="方正黑体_GBK"/>
          <w:color w:val="000000"/>
        </w:rPr>
      </w:r>
      <w:r/>
    </w:p>
    <w:p>
      <w:pPr>
        <w:pStyle w:val="752"/>
        <w:ind w:firstLine="422"/>
        <w:spacing w:before="0" w:after="0"/>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rPr>
        <w:t xml:space="preserve">38.促进中小企业发展</w:t>
      </w:r>
      <w:r>
        <w:rPr>
          <w:rFonts w:hint="eastAsia" w:ascii="方正楷体_GBK" w:hAnsi="方正楷体_GBK" w:eastAsia="方正楷体_GBK" w:cs="方正楷体_GBK"/>
          <w:color w:val="000000"/>
          <w:sz w:val="28"/>
          <w:lang w:val="zh-CN"/>
        </w:rPr>
      </w:r>
      <w:r/>
    </w:p>
    <w:p>
      <w:pPr>
        <w:pStyle w:val="748"/>
        <w:ind w:firstLine="420"/>
        <w:rPr>
          <w:rFonts w:hint="eastAsia" w:ascii="宋体" w:hAnsi="宋体"/>
          <w:color w:val="000000"/>
          <w:sz w:val="24"/>
        </w:rPr>
      </w:pPr>
      <w:r>
        <w:rPr>
          <w:rFonts w:hint="eastAsia" w:ascii="宋体" w:hAnsi="宋体"/>
          <w:color w:val="000000"/>
          <w:sz w:val="24"/>
        </w:rPr>
        <w:t xml:space="preserve">38.1 本项目服务由中小企业承接的，投标供应商享受中小企业扶持政策。</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38.3 中小企业参加政府采购活动，应当出具《中小企业声明函》，否则不享受相关中小企业支持政策。</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38.4 以联合体形式参加政府采购活动，联合体各方均为中小企业的，联合体视同中小企业。其中，联合体各方均为小微企业的，联合体视同小微企业。</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rPr>
      </w:r>
      <w:r/>
    </w:p>
    <w:p>
      <w:pPr>
        <w:pStyle w:val="748"/>
        <w:ind w:firstLine="420"/>
        <w:rPr>
          <w:rFonts w:hint="eastAsia" w:ascii="宋体" w:hAnsi="宋体"/>
          <w:color w:val="000000"/>
          <w:sz w:val="24"/>
        </w:rPr>
      </w:pPr>
      <w:r>
        <w:rPr>
          <w:rFonts w:hint="eastAsia" w:ascii="宋体" w:hAnsi="宋体"/>
          <w:color w:val="000000"/>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color w:val="000000"/>
          <w:sz w:val="24"/>
        </w:rPr>
      </w:r>
      <w:r/>
    </w:p>
    <w:p>
      <w:pPr>
        <w:pStyle w:val="748"/>
        <w:rPr>
          <w:rFonts w:hint="eastAsia" w:ascii="宋体" w:hAnsi="宋体"/>
          <w:color w:val="000000"/>
          <w:sz w:val="24"/>
          <w:lang w:val="zh-CN"/>
        </w:rPr>
      </w:pPr>
      <w:r>
        <w:rPr>
          <w:rFonts w:hint="eastAsia" w:ascii="宋体" w:hAnsi="宋体"/>
          <w:color w:val="000000"/>
          <w:sz w:val="24"/>
          <w:lang w:val="zh-CN"/>
        </w:rPr>
      </w:r>
      <w:r/>
    </w:p>
    <w:p>
      <w:pPr>
        <w:pStyle w:val="812"/>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8"/>
        <w:rPr>
          <w:rFonts w:hint="eastAsia" w:ascii="宋体" w:hAnsi="宋体"/>
          <w:color w:val="000000"/>
          <w:sz w:val="24"/>
          <w:lang w:val="zh-CN"/>
        </w:rPr>
      </w:pPr>
      <w:r>
        <w:rPr>
          <w:rFonts w:hint="eastAsia" w:ascii="宋体" w:hAnsi="宋体"/>
          <w:color w:val="000000"/>
          <w:sz w:val="24"/>
          <w:lang w:val="zh-CN"/>
        </w:rPr>
      </w:r>
      <w:r/>
    </w:p>
    <w:p>
      <w:pPr>
        <w:pStyle w:val="812"/>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8"/>
        <w:rPr>
          <w:rFonts w:hint="eastAsia" w:ascii="宋体" w:hAnsi="宋体"/>
          <w:color w:val="000000"/>
          <w:sz w:val="24"/>
          <w:lang w:val="zh-CN"/>
        </w:rPr>
      </w:pPr>
      <w:r>
        <w:rPr>
          <w:rFonts w:hint="eastAsia" w:ascii="宋体" w:hAnsi="宋体"/>
          <w:color w:val="000000"/>
          <w:sz w:val="24"/>
          <w:lang w:val="zh-CN"/>
        </w:rPr>
      </w:r>
      <w:r/>
    </w:p>
    <w:p>
      <w:pPr>
        <w:pStyle w:val="812"/>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8"/>
        <w:rPr>
          <w:rFonts w:hint="eastAsia" w:ascii="宋体" w:hAnsi="宋体"/>
          <w:color w:val="000000"/>
          <w:sz w:val="24"/>
          <w:lang w:val="zh-CN"/>
        </w:rPr>
      </w:pPr>
      <w:r>
        <w:rPr>
          <w:rFonts w:hint="eastAsia" w:ascii="宋体" w:hAnsi="宋体"/>
          <w:color w:val="000000"/>
          <w:sz w:val="24"/>
          <w:lang w:val="zh-CN"/>
        </w:rPr>
      </w:r>
      <w:r/>
    </w:p>
    <w:p>
      <w:pPr>
        <w:pStyle w:val="812"/>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8"/>
        <w:rPr>
          <w:rFonts w:hint="eastAsia" w:ascii="宋体" w:hAnsi="宋体"/>
          <w:color w:val="000000"/>
          <w:sz w:val="24"/>
          <w:lang w:val="zh-CN"/>
        </w:rPr>
      </w:pPr>
      <w:r>
        <w:rPr>
          <w:rFonts w:hint="eastAsia" w:ascii="宋体" w:hAnsi="宋体"/>
          <w:color w:val="000000"/>
          <w:sz w:val="24"/>
          <w:lang w:val="zh-CN"/>
        </w:rPr>
      </w:r>
      <w:r/>
    </w:p>
    <w:p>
      <w:pPr>
        <w:pStyle w:val="812"/>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8"/>
        <w:rPr>
          <w:rFonts w:hint="eastAsia" w:ascii="宋体" w:hAnsi="宋体"/>
          <w:color w:val="000000"/>
          <w:sz w:val="24"/>
          <w:lang w:val="zh-CN"/>
        </w:rPr>
      </w:pPr>
      <w:r>
        <w:rPr>
          <w:rFonts w:hint="eastAsia" w:ascii="宋体" w:hAnsi="宋体"/>
          <w:color w:val="000000"/>
          <w:sz w:val="24"/>
          <w:lang w:val="zh-CN"/>
        </w:rPr>
      </w:r>
      <w:r/>
    </w:p>
    <w:p>
      <w:pPr>
        <w:pStyle w:val="812"/>
        <w:rPr>
          <w:rFonts w:hint="eastAsia"/>
          <w:color w:val="000000"/>
        </w:rPr>
      </w:pPr>
      <w:r>
        <w:rPr>
          <w:rFonts w:hint="eastAsia"/>
          <w:color w:val="000000"/>
        </w:rPr>
      </w:r>
      <w:r/>
    </w:p>
    <w:p>
      <w:pPr>
        <w:pStyle w:val="748"/>
        <w:ind w:firstLine="422"/>
        <w:spacing w:line="252" w:lineRule="auto"/>
        <w:rPr>
          <w:rFonts w:hint="eastAsia" w:ascii="宋体" w:hAnsi="宋体"/>
          <w:b/>
          <w:bCs/>
          <w:color w:val="000000"/>
          <w:sz w:val="24"/>
          <w:lang w:val="zh-CN"/>
        </w:rPr>
      </w:pPr>
      <w:r>
        <w:rPr>
          <w:rFonts w:hint="eastAsia" w:ascii="宋体" w:hAnsi="宋体"/>
          <w:b/>
          <w:bCs/>
          <w:color w:val="000000"/>
          <w:sz w:val="24"/>
          <w:lang w:val="zh-CN"/>
        </w:rPr>
      </w:r>
      <w:r/>
    </w:p>
    <w:p>
      <w:pPr>
        <w:pStyle w:val="812"/>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12"/>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02"/>
        <w:ind w:firstLine="482"/>
        <w:rPr>
          <w:rFonts w:hint="eastAsia"/>
          <w:b/>
          <w:bCs/>
          <w:color w:val="000000"/>
          <w:sz w:val="24"/>
          <w:lang w:val="zh-CN"/>
        </w:rPr>
      </w:pPr>
      <w:r>
        <w:rPr>
          <w:rFonts w:hint="eastAsia"/>
          <w:b/>
          <w:bCs/>
          <w:color w:val="000000"/>
          <w:sz w:val="24"/>
          <w:lang w:val="zh-CN"/>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02"/>
        <w:ind w:firstLine="482"/>
        <w:rPr>
          <w:rFonts w:hint="eastAsia"/>
          <w:b/>
          <w:bCs/>
          <w:color w:val="000000"/>
          <w:sz w:val="24"/>
          <w:lang w:val="zh-CN"/>
        </w:rPr>
      </w:pPr>
      <w:r>
        <w:rPr>
          <w:rFonts w:hint="eastAsia"/>
          <w:b/>
          <w:bCs/>
          <w:color w:val="000000"/>
          <w:sz w:val="24"/>
          <w:lang w:val="zh-CN"/>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02"/>
        <w:ind w:firstLine="482"/>
        <w:rPr>
          <w:rFonts w:hint="eastAsia"/>
          <w:b/>
          <w:bCs/>
          <w:color w:val="000000"/>
          <w:sz w:val="24"/>
          <w:lang w:val="zh-CN"/>
        </w:rPr>
      </w:pPr>
      <w:r>
        <w:rPr>
          <w:rFonts w:hint="eastAsia"/>
          <w:b/>
          <w:bCs/>
          <w:color w:val="000000"/>
          <w:sz w:val="24"/>
          <w:lang w:val="zh-CN"/>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02"/>
        <w:ind w:firstLine="482"/>
        <w:rPr>
          <w:rFonts w:hint="eastAsia"/>
          <w:b/>
          <w:bCs/>
          <w:color w:val="000000"/>
          <w:sz w:val="24"/>
          <w:lang w:val="zh-CN"/>
        </w:rPr>
      </w:pPr>
      <w:r>
        <w:rPr>
          <w:rFonts w:hint="eastAsia"/>
          <w:b/>
          <w:bCs/>
          <w:color w:val="000000"/>
          <w:sz w:val="24"/>
          <w:lang w:val="zh-CN"/>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02"/>
        <w:rPr>
          <w:rFonts w:hint="eastAsia"/>
          <w:color w:val="000000"/>
          <w:lang w:val="zh-CN"/>
        </w:rPr>
      </w:pPr>
      <w:r>
        <w:rPr>
          <w:rFonts w:hint="eastAsia"/>
          <w:color w:val="000000"/>
          <w:lang w:val="zh-CN"/>
        </w:rPr>
      </w:r>
      <w:r/>
    </w:p>
    <w:p>
      <w:pPr>
        <w:pStyle w:val="812"/>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48"/>
        <w:rPr>
          <w:rFonts w:hint="eastAsia" w:ascii="宋体" w:hAnsi="宋体"/>
          <w:b/>
          <w:bCs/>
          <w:color w:val="000000"/>
          <w:sz w:val="24"/>
          <w:lang w:val="zh-CN"/>
        </w:rPr>
      </w:pPr>
      <w:r>
        <w:rPr>
          <w:rFonts w:hint="eastAsia" w:ascii="宋体" w:hAnsi="宋体"/>
          <w:b/>
          <w:bCs/>
          <w:color w:val="000000"/>
          <w:sz w:val="24"/>
          <w:lang w:val="zh-CN"/>
        </w:rPr>
      </w:r>
      <w:r/>
    </w:p>
    <w:p>
      <w:pPr>
        <w:pStyle w:val="812"/>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rPr>
          <w:rFonts w:hint="eastAsia" w:ascii="宋体" w:hAnsi="宋体"/>
          <w:b/>
          <w:bCs/>
          <w:color w:val="000000"/>
          <w:sz w:val="24"/>
          <w:szCs w:val="24"/>
          <w:lang w:val="zh-CN"/>
        </w:rPr>
      </w:pPr>
      <w:r>
        <w:rPr>
          <w:rFonts w:hint="eastAsia" w:ascii="宋体" w:hAnsi="宋体"/>
          <w:b/>
          <w:bCs/>
          <w:color w:val="000000"/>
          <w:sz w:val="24"/>
          <w:lang w:val="zh-CN"/>
        </w:rPr>
      </w:r>
      <w:r>
        <w:rPr>
          <w:rFonts w:hint="eastAsia" w:ascii="宋体" w:hAnsi="宋体"/>
          <w:b/>
          <w:bCs/>
          <w:color w:val="000000"/>
          <w:sz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rPr>
          <w:rFonts w:hint="eastAsia" w:ascii="宋体" w:hAnsi="宋体"/>
          <w:b/>
          <w:bCs/>
          <w:color w:val="000000"/>
          <w:sz w:val="24"/>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rPr>
          <w:rFonts w:hint="eastAsia" w:ascii="宋体" w:hAnsi="宋体"/>
          <w:b/>
          <w:bCs/>
          <w:color w:val="000000"/>
          <w:sz w:val="24"/>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rPr>
          <w:rFonts w:hint="eastAsia" w:ascii="宋体" w:hAnsi="宋体"/>
          <w:b/>
          <w:bCs/>
          <w:color w:val="000000"/>
          <w:sz w:val="24"/>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rPr>
          <w:rFonts w:hint="eastAsia" w:ascii="宋体" w:hAnsi="宋体"/>
          <w:b/>
          <w:bCs/>
          <w:color w:val="000000"/>
          <w:sz w:val="24"/>
          <w:szCs w:val="24"/>
          <w:lang w:val="zh-CN"/>
        </w:rPr>
      </w:r>
      <w:r/>
    </w:p>
    <w:p>
      <w:pPr>
        <w:pStyle w:val="748"/>
        <w:rPr>
          <w:rFonts w:hint="eastAsia" w:ascii="宋体" w:hAnsi="宋体"/>
          <w:b/>
          <w:bCs/>
          <w:color w:val="000000"/>
          <w:sz w:val="24"/>
          <w:szCs w:val="24"/>
          <w:lang w:val="zh-CN"/>
        </w:rPr>
      </w:pPr>
      <w:r>
        <w:rPr>
          <w:rFonts w:hint="eastAsia" w:ascii="宋体" w:hAnsi="宋体"/>
          <w:b/>
          <w:bCs/>
          <w:color w:val="000000"/>
          <w:sz w:val="24"/>
          <w:lang w:val="zh-CN"/>
        </w:rPr>
      </w:r>
      <w:r/>
    </w:p>
    <w:p>
      <w:pPr>
        <w:pStyle w:val="812"/>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48"/>
        <w:rPr>
          <w:rFonts w:hint="eastAsia"/>
          <w:color w:val="000000"/>
          <w:lang w:val="zh-CN"/>
        </w:rPr>
      </w:pPr>
      <w:r>
        <w:rPr>
          <w:rFonts w:hint="eastAsia"/>
          <w:color w:val="000000"/>
          <w:lang w:val="zh-CN"/>
        </w:rPr>
      </w:r>
      <w:r/>
    </w:p>
    <w:p>
      <w:pPr>
        <w:pStyle w:val="812"/>
        <w:rPr>
          <w:rFonts w:hint="eastAsia"/>
          <w:color w:val="000000"/>
        </w:rPr>
      </w:pPr>
      <w:r>
        <w:rPr>
          <w:rFonts w:hint="eastAsia"/>
          <w:color w:val="000000"/>
        </w:rPr>
      </w:r>
      <w:r/>
    </w:p>
    <w:p>
      <w:pPr>
        <w:pStyle w:val="81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8"/>
        <w:jc w:val="center"/>
        <w:spacing w:before="120" w:after="120" w:line="264" w:lineRule="auto"/>
        <w:rPr>
          <w:rFonts w:hint="eastAsia" w:ascii="宋体" w:hAnsi="宋体"/>
          <w:bCs/>
          <w:color w:val="000000"/>
          <w:sz w:val="24"/>
        </w:rPr>
      </w:pPr>
      <w:r/>
      <w:bookmarkStart w:id="182" w:name="_Toc513029243"/>
      <w:r/>
      <w:bookmarkStart w:id="183" w:name="_Toc20823315"/>
      <w:r/>
      <w:bookmarkStart w:id="184" w:name="_Toc16938559"/>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12"/>
        <w:ind w:left="0"/>
        <w:spacing w:line="264" w:lineRule="auto"/>
        <w:rPr>
          <w:rFonts w:hint="eastAsia"/>
          <w:color w:val="000000"/>
        </w:rPr>
      </w:pPr>
      <w:r>
        <w:rPr>
          <w:rFonts w:hint="eastAsia"/>
          <w:color w:val="000000"/>
        </w:rPr>
      </w:r>
      <w:r/>
    </w:p>
    <w:p>
      <w:pPr>
        <w:pStyle w:val="748"/>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8"/>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8"/>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8"/>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8"/>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8"/>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8"/>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履行时间（期限）：合同签订之日起三年，每年服务期满，采购人有权根据考核情况决定继续履行合同或终止合同。</w:t>
      </w:r>
      <w:r>
        <w:rPr>
          <w:rFonts w:hint="eastAsia" w:ascii="宋体" w:hAnsi="宋体" w:cs="Courier New"/>
          <w:color w:val="000000"/>
          <w:sz w:val="24"/>
          <w:szCs w:val="24"/>
        </w:rPr>
      </w:r>
      <w:r/>
    </w:p>
    <w:p>
      <w:pPr>
        <w:pStyle w:val="748"/>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rPr>
          <w:rFonts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9"/>
        <w:spacing w:line="264" w:lineRule="auto"/>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本合同金额为（大写）：________________圆（__________________元）人民币。</w:t>
      </w:r>
      <w:r>
        <w:rPr>
          <w:rFonts w:hAnsi="宋体"/>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9"/>
        <w:spacing w:line="264"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748"/>
        <w:spacing w:line="264" w:lineRule="auto"/>
        <w:rPr>
          <w:rFonts w:hint="eastAsia" w:ascii="宋体" w:hAnsi="宋体"/>
          <w:color w:val="000000"/>
          <w:sz w:val="24"/>
          <w:szCs w:val="24"/>
        </w:rPr>
      </w:pPr>
      <w:r>
        <w:rPr>
          <w:rFonts w:hint="eastAsia" w:ascii="宋体" w:hAnsi="宋体" w:cs="Courier New"/>
          <w:color w:val="000000"/>
          <w:sz w:val="24"/>
          <w:szCs w:val="24"/>
        </w:rPr>
        <w:t xml:space="preserve">8.1.1 </w:t>
      </w:r>
      <w:r>
        <w:rPr>
          <w:rFonts w:hint="eastAsia" w:ascii="宋体" w:hAnsi="宋体" w:cs="Courier New"/>
          <w:color w:val="000000"/>
          <w:sz w:val="24"/>
          <w:szCs w:val="24"/>
        </w:rPr>
        <w:t xml:space="preserve">甲方于合同签订后支付年度合同款的</w:t>
      </w:r>
      <w:r>
        <w:rPr>
          <w:rFonts w:hint="eastAsia" w:ascii="宋体" w:hAnsi="宋体" w:cs="Courier New"/>
          <w:color w:val="000000"/>
          <w:sz w:val="24"/>
          <w:szCs w:val="24"/>
          <w:u w:val="single"/>
        </w:rPr>
        <w:t xml:space="preserve">10%作为预付款</w:t>
      </w:r>
      <w:r>
        <w:rPr>
          <w:rFonts w:hint="eastAsia" w:ascii="宋体" w:hAnsi="宋体" w:cs="Courier New"/>
          <w:color w:val="000000"/>
          <w:sz w:val="24"/>
          <w:szCs w:val="24"/>
        </w:rPr>
        <w:t xml:space="preserve">，该预付款在支付合同款时分次扣回。合同款按季考核合格后支付，考核扣除的费用从应支付的款项中扣除。</w:t>
      </w:r>
      <w:r>
        <w:rPr>
          <w:rFonts w:hint="eastAsia" w:ascii="宋体" w:hAnsi="宋体"/>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8.1.2 满足合同约定支付条件的，甲方收到乙方发票后10个工作日内，将资金支付到合同约定的乙方账户。 </w:t>
      </w:r>
      <w:r>
        <w:rPr>
          <w:rFonts w:hint="eastAsia" w:ascii="宋体" w:hAnsi="宋体" w:cs="Courier New"/>
          <w:color w:val="000000"/>
          <w:sz w:val="24"/>
          <w:szCs w:val="24"/>
        </w:rPr>
      </w:r>
      <w:r/>
    </w:p>
    <w:p>
      <w:pPr>
        <w:pStyle w:val="779"/>
        <w:spacing w:line="264"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48"/>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color w:val="000000"/>
          <w:sz w:val="24"/>
          <w:szCs w:val="24"/>
        </w:rPr>
        <w:t xml:space="preserve">甲方无故逾期验收和办理支付手续的，应按逾期付款总额每日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000000"/>
          <w:sz w:val="24"/>
          <w:szCs w:val="24"/>
        </w:rPr>
        <w:t xml:space="preserve">，应向甲方支付合同总额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8"/>
        <w:spacing w:line="264" w:lineRule="auto"/>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8"/>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9"/>
        <w:spacing w:before="120" w:after="120" w:line="264"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779"/>
        <w:ind w:firstLine="240"/>
        <w:spacing w:before="120" w:after="120" w:line="264" w:lineRule="auto"/>
        <w:rPr>
          <w:rFonts w:hint="eastAsia" w:hAnsi="宋体"/>
          <w:color w:val="000000"/>
          <w:sz w:val="24"/>
          <w:szCs w:val="24"/>
        </w:rPr>
      </w:pPr>
      <w:r/>
      <w:bookmarkEnd w:id="182"/>
      <w:r/>
      <w:bookmarkEnd w:id="183"/>
      <w:r/>
      <w:bookmarkEnd w:id="184"/>
      <w:r>
        <w:rPr>
          <w:rFonts w:hint="eastAsia" w:hAnsi="宋体"/>
          <w:color w:val="000000"/>
          <w:sz w:val="24"/>
          <w:szCs w:val="24"/>
        </w:rPr>
        <w:t xml:space="preserve">甲方：（公章）                       乙方：（公章） </w:t>
      </w:r>
      <w:r>
        <w:rPr>
          <w:rFonts w:hint="eastAsia" w:hAnsi="宋体"/>
          <w:color w:val="000000"/>
          <w:sz w:val="24"/>
          <w:szCs w:val="24"/>
        </w:rPr>
      </w:r>
      <w:r/>
    </w:p>
    <w:p>
      <w:pPr>
        <w:pStyle w:val="779"/>
        <w:spacing w:before="120" w:after="120" w:line="264" w:lineRule="auto"/>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779"/>
        <w:spacing w:before="120" w:after="120" w:line="264" w:lineRule="auto"/>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779"/>
        <w:ind w:firstLine="240"/>
        <w:spacing w:before="120" w:after="120" w:line="264" w:lineRule="auto"/>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779"/>
        <w:spacing w:before="120" w:after="120" w:line="264"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779"/>
        <w:ind w:firstLine="5280"/>
        <w:spacing w:before="120" w:after="120" w:line="264" w:lineRule="auto"/>
        <w:rPr>
          <w:rFonts w:hint="eastAsia" w:hAnsi="宋体"/>
          <w:color w:val="000000"/>
          <w:sz w:val="24"/>
          <w:szCs w:val="24"/>
        </w:rPr>
      </w:pPr>
      <w:r>
        <w:rPr>
          <w:rFonts w:hint="eastAsia" w:hAnsi="宋体"/>
          <w:color w:val="000000"/>
          <w:sz w:val="24"/>
          <w:szCs w:val="24"/>
        </w:rPr>
        <w:t xml:space="preserve">签订日期：</w:t>
      </w:r>
      <w:r>
        <w:rPr>
          <w:rFonts w:hint="eastAsia" w:hAnsi="宋体"/>
          <w:color w:val="000000"/>
          <w:sz w:val="24"/>
          <w:szCs w:val="24"/>
        </w:rPr>
      </w:r>
      <w:r/>
    </w:p>
    <w:p>
      <w:pPr>
        <w:pStyle w:val="779"/>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79"/>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79"/>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79"/>
        <w:spacing w:before="120" w:after="120" w:line="264" w:lineRule="auto"/>
        <w:rPr>
          <w:rFonts w:hint="eastAsia" w:hAnsi="宋体"/>
          <w:color w:val="000000"/>
          <w:sz w:val="24"/>
          <w:szCs w:val="24"/>
        </w:rPr>
      </w:pPr>
      <w:r>
        <w:rPr>
          <w:rFonts w:hint="eastAsia" w:hAnsi="宋体"/>
          <w:color w:val="000000"/>
          <w:sz w:val="24"/>
          <w:szCs w:val="24"/>
        </w:rPr>
      </w:r>
      <w:r/>
    </w:p>
    <w:p>
      <w:pPr>
        <w:pStyle w:val="779"/>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48"/>
        <w:jc w:val="center"/>
        <w:spacing w:before="120" w:after="120" w:line="264" w:lineRule="auto"/>
        <w:rPr>
          <w:rFonts w:hint="eastAsia" w:ascii="宋体" w:hAnsi="宋体"/>
          <w:b/>
          <w:color w:val="000000"/>
          <w:sz w:val="30"/>
        </w:rPr>
        <w:outlineLvl w:val="1"/>
      </w:pPr>
      <w:r>
        <w:rPr>
          <w:rFonts w:hint="eastAsia" w:ascii="宋体" w:hAnsi="宋体"/>
          <w:b/>
          <w:color w:val="000000"/>
          <w:sz w:val="30"/>
        </w:rPr>
        <w:t xml:space="preserve">《*******合同》补充协议（合同附件）</w:t>
      </w:r>
      <w:r>
        <w:rPr>
          <w:rFonts w:hint="eastAsia" w:ascii="宋体" w:hAnsi="宋体"/>
          <w:b/>
          <w:color w:val="000000"/>
          <w:sz w:val="30"/>
        </w:rPr>
      </w:r>
      <w:r/>
    </w:p>
    <w:p>
      <w:pPr>
        <w:pStyle w:val="779"/>
        <w:jc w:val="left"/>
        <w:spacing w:line="264" w:lineRule="auto"/>
        <w:rPr>
          <w:rFonts w:hint="eastAsia" w:hAnsi="宋体"/>
          <w:color w:val="000000"/>
          <w:sz w:val="24"/>
          <w:szCs w:val="24"/>
        </w:rPr>
      </w:pPr>
      <w:r>
        <w:rPr>
          <w:rFonts w:hint="eastAsia" w:hAnsi="宋体"/>
          <w:color w:val="000000"/>
          <w:sz w:val="24"/>
          <w:szCs w:val="24"/>
        </w:rPr>
        <w:t xml:space="preserve">    如遇招标文件及合同未约定事项，双方可友好协商签订补充协议。</w:t>
      </w:r>
      <w:r>
        <w:rPr>
          <w:rFonts w:hint="eastAsia" w:hAnsi="宋体"/>
          <w:color w:val="000000"/>
          <w:sz w:val="24"/>
          <w:szCs w:val="24"/>
        </w:rPr>
      </w:r>
      <w:r/>
    </w:p>
    <w:p>
      <w:pPr>
        <w:pStyle w:val="983"/>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  采购需求</w:t>
      </w:r>
      <w:bookmarkEnd w:id="186"/>
      <w:r/>
      <w:bookmarkEnd w:id="187"/>
      <w:r/>
      <w:bookmarkEnd w:id="188"/>
      <w:r>
        <w:rPr>
          <w:rFonts w:hint="eastAsia" w:hAnsi="宋体"/>
          <w:color w:val="000000"/>
          <w:sz w:val="24"/>
          <w:szCs w:val="24"/>
        </w:rPr>
      </w:r>
      <w:r/>
    </w:p>
    <w:p>
      <w:pPr>
        <w:pStyle w:val="748"/>
        <w:ind w:firstLine="480"/>
        <w:spacing w:line="0" w:lineRule="atLeast"/>
        <w:rPr>
          <w:rFonts w:hint="eastAsia" w:ascii="宋体" w:hAnsi="宋体"/>
          <w:color w:val="000000"/>
          <w:sz w:val="24"/>
          <w:szCs w:val="24"/>
        </w:rPr>
      </w:pPr>
      <w:r/>
      <w:bookmarkStart w:id="191" w:name="_Toc26554093"/>
      <w:r/>
      <w:bookmarkStart w:id="192" w:name="_Toc49090575"/>
      <w:r/>
      <w:bookmarkStart w:id="193" w:name="_Toc120614281"/>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48"/>
        <w:ind w:firstLine="480"/>
        <w:spacing w:line="0" w:lineRule="atLeas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1.坐落位置</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江宁校区：南京江宁大学城弘景大道99号；幕府校区：南京市栖霞区中央门外中心村130号。</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2.使用面积</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采购包1 金陵科技学院公共建筑物业管理服务项目：建筑面积：133691.65㎡，绿地面积：125016.6㎡，硬地面积：165418.98㎡（含水环境面积24200㎡）；</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采购包2 金陵科技学院江宁校区科技园物业管理服务项目：建筑面积：113893.94㎡，绿地面积：20147.95㎡，硬地面积：35905.46㎡。</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3.服务区域</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采购包1 金陵科技学院公共建筑物业管理服务项目：（1）江宁校区崇德楼1-2号、江宁校区勤业楼1-3号、问学楼、尚学楼、博学楼、江宁校区图书馆、江宁校区大学生活动中心、江宁校区行政楼。（2）幕府校区图教楼。</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采购包2 金陵科技学院江宁校区科技园物业管理服务项目：江宁校区崇文楼和科技楼。科技楼位于金陵科技学校江宁校区西北侧，北临格致路、江宁体育中心，西靠弘景大道。科技楼1号楼为 27 层软件研发大楼（地上 25 层，地下 2 层）、2号楼为 7 层软件教学楼，3号楼为 6层研究生教学楼、4号楼为 12 层科技孵化大楼。</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4.办公用房</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5.配套设施</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采购包1 金陵科技学院公共建筑物业管理服务项目：办公楼16栋、地下停车库159座。辅助设施包括：安保监控室2间、配电间93间。办公场所出入口70个，其中主出入口57个，辅助出入口13个。</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采购包2 金陵科技学院江宁校区科技园物业管理服务项目：办公楼7栋、地下停车库779座。辅助设施包括：安保监控室2间、配电间70间。办公场所出入口53个，其中主出入口29个，辅助出入口24个。</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（二）服务标准</w:t>
      </w:r>
      <w:r>
        <w:rPr>
          <w:rFonts w:hint="eastAsia" w:ascii="宋体" w:hAnsi="宋体"/>
          <w:color w:val="000000"/>
          <w:sz w:val="24"/>
          <w:szCs w:val="24"/>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748"/>
        <w:numPr>
          <w:ilvl w:val="0"/>
          <w:numId w:val="6"/>
        </w:numPr>
        <w:ind w:firstLine="480"/>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服务清单</w:t>
      </w:r>
      <w:r>
        <w:rPr>
          <w:rFonts w:hint="eastAsia" w:ascii="黑体" w:hAnsi="黑体" w:eastAsia="黑体" w:cs="黑体"/>
          <w:color w:val="000000"/>
          <w:sz w:val="24"/>
          <w:szCs w:val="24"/>
        </w:rPr>
      </w:r>
      <w:r/>
    </w:p>
    <w:p>
      <w:pPr>
        <w:pStyle w:val="802"/>
        <w:ind w:left="420" w:firstLine="0"/>
        <w:rPr>
          <w:color w:val="000000"/>
        </w:rPr>
      </w:pPr>
      <w:r>
        <w:rPr>
          <w:rFonts w:hint="eastAsia" w:ascii="黑体" w:hAnsi="黑体" w:eastAsia="黑体" w:cs="黑体"/>
          <w:color w:val="000000"/>
          <w:sz w:val="24"/>
          <w:szCs w:val="24"/>
        </w:rPr>
        <w:t xml:space="preserve">采购包1</w:t>
      </w:r>
      <w:r>
        <w:rPr>
          <w:color w:val="000000"/>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8"/>
              <w:jc w:val="center"/>
              <w:spacing w:line="0" w:lineRule="atLeast"/>
              <w:rPr>
                <w:rFonts w:hint="eastAsia" w:ascii="宋体" w:hAnsi="宋体"/>
                <w:bCs/>
                <w:color w:val="000000"/>
                <w:sz w:val="24"/>
                <w:szCs w:val="24"/>
              </w:rPr>
            </w:pPr>
            <w:r>
              <w:rPr>
                <w:rFonts w:ascii="宋体" w:hAnsi="宋体"/>
                <w:color w:val="000000"/>
                <w:sz w:val="24"/>
                <w:szCs w:val="24"/>
              </w:rPr>
              <w:t xml:space="preserve">序号</w:t>
            </w:r>
            <w:r>
              <w:rPr>
                <w:rFonts w:hint="eastAsia" w:ascii="宋体" w:hAnsi="宋体"/>
                <w:bCs/>
                <w:color w:val="000000"/>
                <w:sz w:val="24"/>
                <w:szCs w:val="24"/>
              </w:rPr>
            </w:r>
            <w:r/>
          </w:p>
        </w:tc>
        <w:tc>
          <w:tcPr>
            <w:tcW w:w="1402" w:type="dxa"/>
            <w:vAlign w:val="center"/>
            <w:textDirection w:val="lrTb"/>
            <w:noWrap w:val="false"/>
          </w:tcPr>
          <w:p>
            <w:pPr>
              <w:pStyle w:val="748"/>
              <w:jc w:val="center"/>
              <w:spacing w:line="0" w:lineRule="atLeast"/>
              <w:rPr>
                <w:rFonts w:hint="eastAsia" w:ascii="宋体" w:hAnsi="宋体"/>
                <w:bCs/>
                <w:color w:val="000000"/>
                <w:sz w:val="24"/>
                <w:szCs w:val="24"/>
              </w:rPr>
            </w:pPr>
            <w:r>
              <w:rPr>
                <w:rFonts w:ascii="宋体" w:hAnsi="宋体"/>
                <w:color w:val="000000"/>
                <w:sz w:val="24"/>
                <w:szCs w:val="24"/>
              </w:rPr>
              <w:t xml:space="preserve">名称</w:t>
            </w:r>
            <w:r>
              <w:rPr>
                <w:rFonts w:hint="eastAsia" w:ascii="宋体" w:hAnsi="宋体"/>
                <w:bCs/>
                <w:color w:val="000000"/>
                <w:sz w:val="24"/>
                <w:szCs w:val="24"/>
              </w:rPr>
            </w:r>
            <w:r/>
          </w:p>
        </w:tc>
        <w:tc>
          <w:tcPr>
            <w:tcW w:w="416" w:type="dxa"/>
            <w:vAlign w:val="center"/>
            <w:textDirection w:val="lrTb"/>
            <w:noWrap w:val="false"/>
          </w:tcPr>
          <w:p>
            <w:pPr>
              <w:pStyle w:val="748"/>
              <w:jc w:val="center"/>
              <w:spacing w:line="0" w:lineRule="atLeast"/>
              <w:rPr>
                <w:rFonts w:hint="eastAsia" w:ascii="宋体" w:hAnsi="宋体"/>
                <w:bCs/>
                <w:color w:val="000000"/>
                <w:sz w:val="24"/>
                <w:szCs w:val="24"/>
              </w:rPr>
            </w:pPr>
            <w:r>
              <w:rPr>
                <w:rFonts w:ascii="宋体" w:hAnsi="宋体"/>
                <w:color w:val="000000"/>
                <w:sz w:val="24"/>
                <w:szCs w:val="24"/>
              </w:rPr>
              <w:t xml:space="preserve">数量</w:t>
            </w:r>
            <w:r>
              <w:rPr>
                <w:rFonts w:hint="eastAsia" w:ascii="宋体" w:hAnsi="宋体"/>
                <w:bCs/>
                <w:color w:val="000000"/>
                <w:sz w:val="24"/>
                <w:szCs w:val="24"/>
              </w:rPr>
            </w:r>
            <w:r/>
          </w:p>
        </w:tc>
        <w:tc>
          <w:tcPr>
            <w:tcW w:w="422" w:type="dxa"/>
            <w:vAlign w:val="center"/>
            <w:textDirection w:val="lrTb"/>
            <w:noWrap w:val="false"/>
          </w:tcPr>
          <w:p>
            <w:pPr>
              <w:pStyle w:val="748"/>
              <w:jc w:val="center"/>
              <w:spacing w:line="0" w:lineRule="atLeast"/>
              <w:rPr>
                <w:rFonts w:hint="eastAsia" w:ascii="宋体" w:hAnsi="宋体"/>
                <w:bCs/>
                <w:color w:val="000000"/>
                <w:sz w:val="24"/>
                <w:szCs w:val="24"/>
              </w:rPr>
            </w:pPr>
            <w:r>
              <w:rPr>
                <w:rFonts w:ascii="宋体" w:hAnsi="宋体"/>
                <w:color w:val="000000"/>
                <w:sz w:val="24"/>
                <w:szCs w:val="24"/>
              </w:rPr>
              <w:t xml:space="preserve">单位</w:t>
            </w:r>
            <w:r>
              <w:rPr>
                <w:rFonts w:hint="eastAsia" w:ascii="宋体" w:hAnsi="宋体"/>
                <w:bCs/>
                <w:color w:val="000000"/>
                <w:sz w:val="24"/>
                <w:szCs w:val="24"/>
              </w:rPr>
            </w:r>
            <w:r/>
          </w:p>
        </w:tc>
        <w:tc>
          <w:tcPr>
            <w:tcW w:w="1061" w:type="dxa"/>
            <w:vAlign w:val="center"/>
            <w:textDirection w:val="lrTb"/>
            <w:noWrap w:val="false"/>
          </w:tcPr>
          <w:p>
            <w:pPr>
              <w:pStyle w:val="748"/>
              <w:jc w:val="center"/>
              <w:spacing w:line="0" w:lineRule="atLeast"/>
              <w:rPr>
                <w:rFonts w:hint="eastAsia" w:ascii="宋体" w:hAnsi="宋体"/>
                <w:bCs/>
                <w:color w:val="000000"/>
                <w:sz w:val="24"/>
                <w:szCs w:val="24"/>
              </w:rPr>
            </w:pPr>
            <w:r>
              <w:rPr>
                <w:rFonts w:ascii="宋体" w:hAnsi="宋体"/>
                <w:color w:val="000000"/>
                <w:sz w:val="24"/>
                <w:szCs w:val="24"/>
              </w:rPr>
              <w:t xml:space="preserve">所属行业类型</w:t>
            </w:r>
            <w:r>
              <w:rPr>
                <w:rFonts w:hint="eastAsia" w:ascii="宋体" w:hAnsi="宋体"/>
                <w:bCs/>
                <w:color w:val="000000"/>
                <w:sz w:val="24"/>
                <w:szCs w:val="24"/>
              </w:rPr>
            </w:r>
            <w:r/>
          </w:p>
        </w:tc>
        <w:tc>
          <w:tcPr>
            <w:tcW w:w="566" w:type="dxa"/>
            <w:vAlign w:val="center"/>
            <w:textDirection w:val="lrTb"/>
            <w:noWrap w:val="false"/>
          </w:tcPr>
          <w:p>
            <w:pPr>
              <w:pStyle w:val="748"/>
              <w:jc w:val="center"/>
              <w:spacing w:line="0" w:lineRule="atLeast"/>
              <w:rPr>
                <w:rFonts w:ascii="宋体" w:hAnsi="宋体"/>
                <w:color w:val="000000"/>
                <w:sz w:val="24"/>
                <w:szCs w:val="24"/>
              </w:rPr>
            </w:pPr>
            <w:r>
              <w:rPr>
                <w:color w:val="000000"/>
                <w:sz w:val="24"/>
                <w:szCs w:val="24"/>
              </w:rPr>
              <w:t xml:space="preserve">属性</w:t>
            </w:r>
            <w:r>
              <w:rPr>
                <w:rFonts w:ascii="宋体" w:hAnsi="宋体"/>
                <w:color w:val="000000"/>
                <w:sz w:val="24"/>
                <w:szCs w:val="24"/>
              </w:rPr>
            </w:r>
            <w:r/>
          </w:p>
        </w:tc>
        <w:tc>
          <w:tcPr>
            <w:tcW w:w="710" w:type="dxa"/>
            <w:vAlign w:val="center"/>
            <w:textDirection w:val="lrTb"/>
            <w:noWrap w:val="false"/>
          </w:tcPr>
          <w:p>
            <w:pPr>
              <w:pStyle w:val="748"/>
              <w:jc w:val="center"/>
              <w:spacing w:line="0" w:lineRule="atLeast"/>
              <w:rPr>
                <w:rFonts w:hint="eastAsia" w:ascii="宋体" w:hAnsi="宋体"/>
                <w:bCs/>
                <w:color w:val="000000"/>
                <w:sz w:val="24"/>
                <w:szCs w:val="24"/>
              </w:rPr>
            </w:pPr>
            <w:r>
              <w:rPr>
                <w:rFonts w:ascii="宋体" w:hAnsi="宋体"/>
                <w:color w:val="000000"/>
                <w:sz w:val="24"/>
                <w:szCs w:val="24"/>
              </w:rPr>
              <w:t xml:space="preserve">备注</w:t>
            </w:r>
            <w:r>
              <w:rPr>
                <w:rFonts w:hint="eastAsia" w:ascii="宋体" w:hAnsi="宋体"/>
                <w:bCs/>
                <w:color w:val="000000"/>
                <w:sz w:val="24"/>
                <w:szCs w:val="24"/>
              </w:rPr>
            </w:r>
            <w:r/>
          </w:p>
        </w:tc>
      </w:tr>
      <w:tr>
        <w:trPr>
          <w:trHeight w:val="597"/>
        </w:trPr>
        <w:tc>
          <w:tcPr>
            <w:tcW w:w="420" w:type="dxa"/>
            <w:vAlign w:val="center"/>
            <w:textDirection w:val="lrTb"/>
            <w:noWrap w:val="false"/>
          </w:tcPr>
          <w:p>
            <w:pPr>
              <w:pStyle w:val="748"/>
              <w:jc w:val="center"/>
              <w:spacing w:line="0" w:lineRule="atLeas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1402" w:type="dxa"/>
            <w:vAlign w:val="center"/>
            <w:textDirection w:val="lrTb"/>
            <w:noWrap w:val="false"/>
          </w:tcPr>
          <w:p>
            <w:pPr>
              <w:pStyle w:val="748"/>
              <w:jc w:val="center"/>
              <w:spacing w:line="0" w:lineRule="atLeast"/>
              <w:rPr>
                <w:rFonts w:hint="eastAsia" w:ascii="宋体" w:hAnsi="宋体"/>
                <w:bCs/>
                <w:color w:val="000000"/>
                <w:sz w:val="24"/>
                <w:szCs w:val="24"/>
              </w:rPr>
            </w:pPr>
            <w:r>
              <w:rPr>
                <w:rFonts w:hint="eastAsia" w:ascii="宋体" w:hAnsi="宋体"/>
                <w:color w:val="000000"/>
                <w:sz w:val="24"/>
                <w:szCs w:val="24"/>
              </w:rPr>
              <w:t xml:space="preserve">物业管理服务</w:t>
            </w:r>
            <w:r>
              <w:rPr>
                <w:rFonts w:hint="eastAsia" w:ascii="宋体" w:hAnsi="宋体"/>
                <w:bCs/>
                <w:color w:val="000000"/>
                <w:sz w:val="24"/>
                <w:szCs w:val="24"/>
              </w:rPr>
            </w:r>
            <w:r/>
          </w:p>
        </w:tc>
        <w:tc>
          <w:tcPr>
            <w:tcW w:w="416" w:type="dxa"/>
            <w:vAlign w:val="center"/>
            <w:textDirection w:val="lrTb"/>
            <w:noWrap w:val="false"/>
          </w:tcPr>
          <w:p>
            <w:pPr>
              <w:pStyle w:val="748"/>
              <w:jc w:val="center"/>
              <w:spacing w:line="0" w:lineRule="atLeas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422" w:type="dxa"/>
            <w:vAlign w:val="center"/>
            <w:textDirection w:val="lrTb"/>
            <w:noWrap w:val="false"/>
          </w:tcPr>
          <w:p>
            <w:pPr>
              <w:pStyle w:val="748"/>
              <w:jc w:val="center"/>
              <w:spacing w:line="0" w:lineRule="atLeast"/>
              <w:rPr>
                <w:rFonts w:hint="eastAsia" w:ascii="宋体" w:hAnsi="宋体"/>
                <w:bCs/>
                <w:color w:val="000000"/>
                <w:sz w:val="24"/>
                <w:szCs w:val="24"/>
              </w:rPr>
            </w:pPr>
            <w:r>
              <w:rPr>
                <w:rFonts w:hint="eastAsia" w:ascii="宋体" w:hAnsi="宋体"/>
                <w:bCs/>
                <w:color w:val="000000"/>
                <w:sz w:val="24"/>
                <w:szCs w:val="24"/>
              </w:rPr>
              <w:t xml:space="preserve">项</w:t>
            </w:r>
            <w:r>
              <w:rPr>
                <w:rFonts w:hint="eastAsia" w:ascii="宋体" w:hAnsi="宋体"/>
                <w:bCs/>
                <w:color w:val="000000"/>
                <w:sz w:val="24"/>
                <w:szCs w:val="24"/>
              </w:rPr>
            </w:r>
            <w:r/>
          </w:p>
        </w:tc>
        <w:tc>
          <w:tcPr>
            <w:tcW w:w="1061" w:type="dxa"/>
            <w:vAlign w:val="center"/>
            <w:textDirection w:val="lrTb"/>
            <w:noWrap w:val="false"/>
          </w:tcPr>
          <w:p>
            <w:pPr>
              <w:pStyle w:val="748"/>
              <w:jc w:val="center"/>
              <w:spacing w:line="0" w:lineRule="atLeast"/>
              <w:rPr>
                <w:rFonts w:hint="eastAsia" w:ascii="宋体" w:hAnsi="宋体"/>
                <w:bCs/>
                <w:color w:val="000000"/>
                <w:sz w:val="24"/>
                <w:szCs w:val="24"/>
              </w:rPr>
            </w:pPr>
            <w:r>
              <w:rPr>
                <w:rFonts w:hint="eastAsia" w:ascii="宋体" w:hAnsi="宋体"/>
                <w:bCs/>
                <w:color w:val="000000"/>
                <w:sz w:val="24"/>
                <w:szCs w:val="24"/>
              </w:rPr>
              <w:t xml:space="preserve">物业管理</w:t>
            </w:r>
            <w:r>
              <w:rPr>
                <w:rFonts w:hint="eastAsia" w:ascii="宋体" w:hAnsi="宋体"/>
                <w:bCs/>
                <w:color w:val="000000"/>
                <w:sz w:val="24"/>
                <w:szCs w:val="24"/>
              </w:rPr>
            </w:r>
            <w:r/>
          </w:p>
        </w:tc>
        <w:tc>
          <w:tcPr>
            <w:tcW w:w="566" w:type="dxa"/>
            <w:vAlign w:val="center"/>
            <w:textDirection w:val="lrTb"/>
            <w:noWrap w:val="false"/>
          </w:tcPr>
          <w:p>
            <w:pPr>
              <w:pStyle w:val="748"/>
              <w:jc w:val="center"/>
              <w:spacing w:line="288" w:lineRule="auto"/>
              <w:rPr>
                <w:rFonts w:hint="eastAsia" w:ascii="宋体" w:hAnsi="宋体" w:cs="宋体"/>
                <w:bCs/>
                <w:color w:val="000000"/>
                <w:sz w:val="24"/>
                <w:szCs w:val="24"/>
              </w:rPr>
            </w:pPr>
            <w:r>
              <w:rPr>
                <w:rFonts w:hint="eastAsia" w:ascii="宋体" w:hAnsi="宋体"/>
                <w:bCs/>
                <w:color w:val="000000"/>
                <w:sz w:val="24"/>
                <w:szCs w:val="24"/>
              </w:rPr>
              <w:t xml:space="preserve">服务</w:t>
            </w:r>
            <w:r>
              <w:rPr>
                <w:rFonts w:hint="eastAsia" w:ascii="宋体" w:hAnsi="宋体" w:cs="宋体"/>
                <w:bCs/>
                <w:color w:val="000000"/>
                <w:sz w:val="24"/>
                <w:szCs w:val="24"/>
              </w:rPr>
            </w:r>
            <w:r/>
          </w:p>
        </w:tc>
        <w:tc>
          <w:tcPr>
            <w:tcW w:w="710" w:type="dxa"/>
            <w:vAlign w:val="center"/>
            <w:textDirection w:val="lrTb"/>
            <w:noWrap w:val="false"/>
          </w:tcPr>
          <w:p>
            <w:pPr>
              <w:pStyle w:val="748"/>
              <w:jc w:val="center"/>
              <w:spacing w:line="0" w:lineRule="atLeast"/>
              <w:rPr>
                <w:rFonts w:hint="eastAsia" w:ascii="宋体" w:hAnsi="宋体"/>
                <w:bCs/>
                <w:color w:val="000000"/>
                <w:sz w:val="24"/>
                <w:szCs w:val="24"/>
              </w:rPr>
            </w:pPr>
            <w:r>
              <w:rPr>
                <w:rFonts w:hint="eastAsia" w:ascii="宋体" w:hAnsi="宋体"/>
                <w:bCs/>
                <w:color w:val="000000"/>
                <w:sz w:val="24"/>
                <w:szCs w:val="24"/>
              </w:rPr>
            </w:r>
            <w:r/>
          </w:p>
        </w:tc>
      </w:tr>
    </w:tbl>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采购包2</w:t>
      </w:r>
      <w:r>
        <w:rPr>
          <w:rFonts w:hint="eastAsia" w:ascii="黑体" w:hAnsi="黑体" w:eastAsia="黑体" w:cs="黑体"/>
          <w:color w:val="000000"/>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序号</w:t>
            </w:r>
            <w:r>
              <w:rPr>
                <w:rFonts w:hint="eastAsia" w:ascii="黑体" w:hAnsi="黑体" w:eastAsia="黑体" w:cs="黑体"/>
                <w:color w:val="000000"/>
                <w:sz w:val="24"/>
                <w:szCs w:val="24"/>
              </w:rPr>
            </w:r>
            <w:r/>
          </w:p>
        </w:tc>
        <w:tc>
          <w:tcPr>
            <w:tcW w:w="1402"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名称</w:t>
            </w:r>
            <w:r>
              <w:rPr>
                <w:rFonts w:hint="eastAsia" w:ascii="黑体" w:hAnsi="黑体" w:eastAsia="黑体" w:cs="黑体"/>
                <w:color w:val="000000"/>
                <w:sz w:val="24"/>
                <w:szCs w:val="24"/>
              </w:rPr>
            </w:r>
            <w:r/>
          </w:p>
        </w:tc>
        <w:tc>
          <w:tcPr>
            <w:tcW w:w="416"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数量</w:t>
            </w:r>
            <w:r>
              <w:rPr>
                <w:rFonts w:hint="eastAsia" w:ascii="黑体" w:hAnsi="黑体" w:eastAsia="黑体" w:cs="黑体"/>
                <w:color w:val="000000"/>
                <w:sz w:val="24"/>
                <w:szCs w:val="24"/>
              </w:rPr>
            </w:r>
            <w:r/>
          </w:p>
        </w:tc>
        <w:tc>
          <w:tcPr>
            <w:tcW w:w="422"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单位</w:t>
            </w:r>
            <w:r>
              <w:rPr>
                <w:rFonts w:hint="eastAsia" w:ascii="黑体" w:hAnsi="黑体" w:eastAsia="黑体" w:cs="黑体"/>
                <w:color w:val="000000"/>
                <w:sz w:val="24"/>
                <w:szCs w:val="24"/>
              </w:rPr>
            </w:r>
            <w:r/>
          </w:p>
        </w:tc>
        <w:tc>
          <w:tcPr>
            <w:tcW w:w="1061"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所属行业类型</w:t>
            </w:r>
            <w:r>
              <w:rPr>
                <w:rFonts w:hint="eastAsia" w:ascii="黑体" w:hAnsi="黑体" w:eastAsia="黑体" w:cs="黑体"/>
                <w:color w:val="000000"/>
                <w:sz w:val="24"/>
                <w:szCs w:val="24"/>
              </w:rPr>
            </w:r>
            <w:r/>
          </w:p>
        </w:tc>
        <w:tc>
          <w:tcPr>
            <w:tcW w:w="566"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属性</w:t>
            </w:r>
            <w:r>
              <w:rPr>
                <w:rFonts w:hint="eastAsia" w:ascii="黑体" w:hAnsi="黑体" w:eastAsia="黑体" w:cs="黑体"/>
                <w:color w:val="000000"/>
                <w:sz w:val="24"/>
                <w:szCs w:val="24"/>
              </w:rPr>
            </w:r>
            <w:r/>
          </w:p>
        </w:tc>
        <w:tc>
          <w:tcPr>
            <w:tcW w:w="710" w:type="dxa"/>
            <w:vAlign w:val="center"/>
            <w:textDirection w:val="lrTb"/>
            <w:noWrap w:val="false"/>
          </w:tcPr>
          <w:p>
            <w:pPr>
              <w:pStyle w:val="748"/>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备注</w:t>
            </w:r>
            <w:r>
              <w:rPr>
                <w:rFonts w:hint="eastAsia" w:ascii="黑体" w:hAnsi="黑体" w:eastAsia="黑体" w:cs="黑体"/>
                <w:color w:val="000000"/>
                <w:sz w:val="24"/>
                <w:szCs w:val="24"/>
              </w:rPr>
            </w:r>
            <w:r/>
          </w:p>
        </w:tc>
      </w:tr>
      <w:tr>
        <w:trPr>
          <w:trHeight w:val="597"/>
        </w:trPr>
        <w:tc>
          <w:tcPr>
            <w:tcW w:w="420" w:type="dxa"/>
            <w:vAlign w:val="center"/>
            <w:textDirection w:val="lrTb"/>
            <w:noWrap w:val="false"/>
          </w:tcPr>
          <w:p>
            <w:pPr>
              <w:pStyle w:val="748"/>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W w:w="1402" w:type="dxa"/>
            <w:vAlign w:val="center"/>
            <w:textDirection w:val="lrTb"/>
            <w:noWrap w:val="false"/>
          </w:tcPr>
          <w:p>
            <w:pPr>
              <w:pStyle w:val="748"/>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物业管理服务</w:t>
            </w:r>
            <w:r>
              <w:rPr>
                <w:rFonts w:hint="eastAsia" w:ascii="宋体" w:hAnsi="宋体" w:eastAsia="宋体" w:cs="Times New Roman"/>
                <w:color w:val="000000"/>
                <w:sz w:val="24"/>
                <w:szCs w:val="24"/>
              </w:rPr>
            </w:r>
            <w:r/>
          </w:p>
        </w:tc>
        <w:tc>
          <w:tcPr>
            <w:tcW w:w="416" w:type="dxa"/>
            <w:vAlign w:val="center"/>
            <w:textDirection w:val="lrTb"/>
            <w:noWrap w:val="false"/>
          </w:tcPr>
          <w:p>
            <w:pPr>
              <w:pStyle w:val="748"/>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W w:w="422" w:type="dxa"/>
            <w:vAlign w:val="center"/>
            <w:textDirection w:val="lrTb"/>
            <w:noWrap w:val="false"/>
          </w:tcPr>
          <w:p>
            <w:pPr>
              <w:pStyle w:val="748"/>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w:t>
            </w:r>
            <w:r>
              <w:rPr>
                <w:rFonts w:hint="eastAsia" w:ascii="宋体" w:hAnsi="宋体" w:eastAsia="宋体" w:cs="Times New Roman"/>
                <w:color w:val="000000"/>
                <w:sz w:val="24"/>
                <w:szCs w:val="24"/>
              </w:rPr>
            </w:r>
            <w:r/>
          </w:p>
        </w:tc>
        <w:tc>
          <w:tcPr>
            <w:tcW w:w="1061" w:type="dxa"/>
            <w:vAlign w:val="center"/>
            <w:textDirection w:val="lrTb"/>
            <w:noWrap w:val="false"/>
          </w:tcPr>
          <w:p>
            <w:pPr>
              <w:pStyle w:val="748"/>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物业管理</w:t>
            </w:r>
            <w:r>
              <w:rPr>
                <w:rFonts w:hint="eastAsia" w:ascii="宋体" w:hAnsi="宋体" w:eastAsia="宋体" w:cs="Times New Roman"/>
                <w:color w:val="000000"/>
                <w:sz w:val="24"/>
                <w:szCs w:val="24"/>
              </w:rPr>
            </w:r>
            <w:r/>
          </w:p>
        </w:tc>
        <w:tc>
          <w:tcPr>
            <w:tcW w:w="566" w:type="dxa"/>
            <w:vAlign w:val="center"/>
            <w:textDirection w:val="lrTb"/>
            <w:noWrap w:val="false"/>
          </w:tcPr>
          <w:p>
            <w:pPr>
              <w:pStyle w:val="748"/>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w:t>
            </w:r>
            <w:r>
              <w:rPr>
                <w:rFonts w:hint="eastAsia" w:ascii="宋体" w:hAnsi="宋体" w:eastAsia="宋体" w:cs="Times New Roman"/>
                <w:color w:val="000000"/>
                <w:sz w:val="24"/>
                <w:szCs w:val="24"/>
              </w:rPr>
            </w:r>
            <w:r/>
          </w:p>
        </w:tc>
        <w:tc>
          <w:tcPr>
            <w:tcW w:w="710" w:type="dxa"/>
            <w:vAlign w:val="center"/>
            <w:textDirection w:val="lrTb"/>
            <w:noWrap w:val="false"/>
          </w:tcPr>
          <w:p>
            <w:pPr>
              <w:pStyle w:val="748"/>
              <w:ind w:firstLine="480"/>
              <w:jc w:val="center"/>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tc>
      </w:tr>
    </w:tbl>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8"/>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748"/>
        <w:ind w:firstLine="480"/>
        <w:rPr>
          <w:rFonts w:hint="eastAsia" w:ascii="宋体" w:hAnsi="宋体"/>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olor w:val="000000"/>
          <w:sz w:val="24"/>
          <w:szCs w:val="24"/>
        </w:rPr>
        <w:t xml:space="preserve">（一）技术要求</w:t>
      </w:r>
      <w:r>
        <w:rPr>
          <w:rFonts w:hint="eastAsia" w:ascii="宋体" w:hAnsi="宋体"/>
          <w:color w:val="000000"/>
          <w:sz w:val="24"/>
          <w:szCs w:val="24"/>
        </w:rPr>
      </w:r>
      <w:r/>
    </w:p>
    <w:p>
      <w:pPr>
        <w:pStyle w:val="748"/>
        <w:numPr>
          <w:ilvl w:val="0"/>
          <w:numId w:val="7"/>
        </w:numPr>
        <w:ind w:firstLine="480"/>
        <w:tabs>
          <w:tab w:val="left" w:pos="312" w:leader="none"/>
        </w:tabs>
        <w:rPr>
          <w:rFonts w:hint="eastAsia" w:ascii="宋体" w:hAnsi="宋体"/>
          <w:color w:val="000000"/>
          <w:sz w:val="24"/>
          <w:szCs w:val="24"/>
        </w:rPr>
      </w:pPr>
      <w:r>
        <w:rPr>
          <w:rFonts w:hint="eastAsia" w:ascii="宋体" w:hAnsi="宋体"/>
          <w:color w:val="000000"/>
          <w:sz w:val="24"/>
          <w:szCs w:val="24"/>
        </w:rPr>
        <w:t xml:space="preserve">服务要求</w:t>
      </w:r>
      <w:r>
        <w:rPr>
          <w:rFonts w:hint="eastAsia" w:ascii="宋体" w:hAnsi="宋体"/>
          <w:color w:val="000000"/>
          <w:sz w:val="24"/>
          <w:szCs w:val="24"/>
        </w:rPr>
      </w:r>
      <w:r/>
    </w:p>
    <w:p>
      <w:pPr>
        <w:pStyle w:val="802"/>
        <w:ind w:left="420" w:firstLine="0"/>
        <w:rPr>
          <w:rFonts w:hint="eastAsia"/>
          <w:color w:val="000000"/>
          <w:sz w:val="24"/>
          <w:szCs w:val="24"/>
        </w:rPr>
      </w:pPr>
      <w:r>
        <w:rPr>
          <w:rFonts w:hint="eastAsia"/>
          <w:b/>
          <w:bCs/>
          <w:color w:val="000000"/>
          <w:sz w:val="24"/>
          <w:szCs w:val="24"/>
        </w:rPr>
        <w:t xml:space="preserve">采购包1 金陵科技学院公共建筑物业管理服务项目</w:t>
      </w:r>
      <w:r>
        <w:rPr>
          <w:rFonts w:hint="eastAsia"/>
          <w:color w:val="000000"/>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（一）安保服务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（1）每天24小时值守，对外来人员、物资出入实施严格的登记验证制度，有严格的交接班制度和交接班记录。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（2）对服务区域内发生的治安、火警及争吵斗殴等突发事件果断处理，及时报警和报告，并与相关部门配合处理突发事件，必要时要与公安部门联系、沟通、协调。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（3）合理安排人员，认真做好夜间值班、巡查工作。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（4）配合采购人做好重大接待活动及其他临时性、突击性安保工作。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（5）熟练管理、维护、使用安防设备，如发生重大安全事件，及时报告后勤处领导及保卫处。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（6）负责楼宇内财产、消防安全，安排专人每天 7:30-23:30不间断全区域巡视，预防制止各类恶性事件发生。</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（7）每天教学楼7:00—22:00，每2小时巡查1次，无长明灯、长流水，整理配置教室、教师休息室桌椅，及时清除各类小张贴，做好当班日志。</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（8）24小时安保，配备必要的通讯设施，负责区域内所有设备、设施安全，如被盗按原价由供应商赔偿。</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（9）对各楼宇配备的灭火器、消火栓、消防喷淋以及烟感报警器等消防设备设施，做好每月巡查工作，并做好详细记录，备案待查。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（10）需定期对室内消火栓、试水接口、各楼宇防火卷帘以及防火门等进行检查，发现问题及时处置和报告，并做好详细记录，备案待查。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（11）对学校重点部位做到每日必查，并做好详细记录，备案待查。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（12）负责物业服务区域楼宇内的鸟窝、马蜂窝、消杀等工作。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工作时间必须着安保工作制服，要按规定佩带安保标志。安保制服不准与便服混穿，不同季节的安保制服不准混穿。工作服应干净整洁，不准披衣、敞怀、挽袖、卷裤腿、歪戴帽子、穿拖鞋或赤足。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值勤时要仪表端正，精神饱满。不准留长头发、大鬓角和胡须。</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动作规范，举止文明。工作时，不准袖手或将手插入衣袋，不准搭肩、挽臂，吃东西，抽烟，嘻笑打闹，不准随地吐痰、乱扔废弃物。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严格按照法律的规定范围开展安保服务工作，严格履行岗位职责，不准做与安保服务无关的事情。不准脱岗、空岗、睡岗, 酒后上岗及在值班室抽烟。遵守服务单位内部的各项规章制度，对服务单位内部的机密事项，不准随意打听、记录、传播。有重要情况要妥善处理并及时上报，不准迟报、漏报、隐瞒不报。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4、检查与考核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根据要求，对安保队伍的管理情况进行全面检查考核。安保主管每天对安保服务工作进行例行检查，每周对安保服务工作至少进行两次监督抽查，物业经理每周对安保服务工作至少进行 1次监督抽查。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以上检查方式均要填写《安保服务质量检查考核记录表》予以保存，并作为采购人对物业服务公司考核依据。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（1）供应商不得随意更换服务人员，如擅自更换服务人员采购人可在季度付款时，每月每人扣5000元整，并承担由此产生的一切责任后果。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（2）负责区域内所有设备、设施安全，如被盗按原价由供应商赔偿。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（3）非机动车、汽车应停在指定位置，广场内不准机动车出入，建筑楼宇非机动车不得入内，电瓶车不得进入楼宇内私自充电等，发现一次处罚 100 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（二）内场保洁服务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1、楼宇内保洁工作须在每天早上8：00前完成，每天16:40-18:00每栋楼宇需有专人维护，负责处理保洁相关工作。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工作时间必须着保洁人员工作服。保洁工作服不准与便服混穿，不同季节的工作服不准混穿。着工作服应干净整洁，不准披衣、敞怀、挽袖、卷裤腿、歪戴帽子、穿拖鞋或赤足。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保洁时要仪表端正，精神饱满。不准留长头发、大鬓角和胡须。穿戴整洁干净，不披肩散发。</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行为动作规范，举止文明。工作时，不准吃东西，嘻笑打闹，不大声喧哗。不准随地吐痰、乱扔废弃物。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保洁服务工作，严格履行岗位职责，不准做与保洁服务无关的事情。不准脱岗、空岗、睡岗,酒后上岗，保洁期间严禁边抽烟边工作。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根据要求，对保洁队伍的管理情况进行全 面检查考核。保洁主管每天对保洁服务工作进行例行检查，每周对保洁服务工作至少进行两次监督抽查，物业经理每周对保洁主管服务工作至少进行1次监督抽查。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以上检查方式均要填写《保洁服务质量检查考核记录表》予以保存，并作为采购人对物业服务公司考核依据。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（1）供应商不得随意更换服务人员，如擅自更换服务人员采购人可在季度付款时，每月每人扣5000元整，并承担由此产生的一切责任后果。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（2）以上保洁内容属于维保或质保单位服务范围的供应商可协调维保或质保单位在规定的时间内完成。</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（3）所有的保洁工作必须建立详细的台账，后勤处将不定期抽查台账，若发现未按要求建立健全台账的第 1 次罚款1000，第二次罚款2000，第三次罚款5000，一年内被抽查到三次(含三次)合同终止，另外每次抽查每发现一处台账记录与实际 不符或未按要求记录处罚100元。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（三）校园环境保洁、水环境卫生保障服务及绿化养护</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1、校园环境保洁、水环境卫生保障服务标准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（1）主次干道、人行道有青苔、桥梁地面有垃圾；垃圾桶内垃圾没有日产日倒；所辖区域内牛皮癣没有及时清除等，同一天每发现 1 处处罚100元。(结合信息化管理平台及线下统计数据，结算时一并扣除)。</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（2）室外保洁所需水源为区域内河水及雨水井内雨水，供应商须自行配备5吨洒水车1辆，配备抽水泵等浇灌设施和道路清扫车，严禁使用学校消防栓，发现1次处罚1000 元。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（3）水环境卫生要求所辖区域水面无漂浮物，及各种绿藻、浮萍等，保持水面干净。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（4）雨雪天气及时清扫，铲除道路积雪(冰)，至道路路牙，确保道路畅通。</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（5）自行车、汽车应停在指定位置，广场内不准机动车出入等，同一天每发现1处处罚100元。(结合信息化管理平台及线下统计数据，结算时一并扣除)。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（6）保洁工作须在每天早上8点前完成，每天16:40-18:00需有专人维护，负责处理校园环境保洁相关工作。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（7）楼宇外墙每年清洗一次，保障楼宇外墙整洁。本项目共16栋楼宇，总清洗面积约25700平方米。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2、绿化养护标准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（1）绿化充分，植物配置合理，基本达到黄土不露天，退化的草坪及死亡的地被灌木及时补植。</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（2）园林植物达到： A.生长势：正常。生长达到该树种该规格的平均生长量。 B. 叶子正常： ①叶色、大小、薄厚正常； ② 较严重黄叶、焦叶、卷叶、带虫尿虫网灰尘的株数在 2％以下(包括 2％，以下同)；③被啃咬的叶片最严重的每株在10％以下。 C.枝、干正常： ①无明显枯枝、死干； ②有蛀干害虫的株数在2％以下； ③介壳虫最</w:t>
            </w:r>
            <w:r>
              <w:rPr>
                <w:rFonts w:hint="eastAsia" w:ascii="宋体" w:hAnsi="宋体" w:cs="宋体"/>
                <w:color w:val="000000"/>
                <w:sz w:val="24"/>
                <w:szCs w:val="24"/>
              </w:rPr>
              <w:t xml:space="preserve">严重处主枝主干100平方厘米2 头活虫以下，较细枝条每尺长一段上在10头活虫以下，株数都在4％以下；④树冠基本完整：主侧枝分布均称，树冠通风透光。 D.措施：按二级以上技术措施 要求认真进行养护。 E.行道树缺株为0。 F.草坪覆盖率达 95％以上；草坪内杂草控制在20％以内；生长和颜色正常，不枯黄；每年修剪暖地型二次以上，冷地型10次以上；基本无病虫害。每年9月份，对除了马尼拉草坪的区域外，补撒黑麦草草籽，确保草坪四季常青。 (如未在规定时间内补撒，采购人将委托第三方单位补撒，所产生的费用将由供应商承担)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（3）行道树和绿地内无死树，树木修剪基本合理，树形美观，能较好地解决树木与电线、建筑物、交通等之间的矛盾。</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（4）绿化生产垃圾要做到日产日清，绿地内无明显的废弃物，能坚持在重大节日前进行突击清理。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（5）无较重的人为损坏。对轻微或偶尔发生难以控制的人为损坏，能及时发现和处理。绿地、草坪内无堆物堆料、搭棚或侵占、无菜地等；行道树树干无明显地钉栓刻画现象，树下距树2米以内无影响树 木养护管理的堆物堆料、搭棚、圈栏等。</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（6）绿化养护期内如遇苗木死亡，需要及时清理并按原规格及时补种到位，补种完至后勤管理处办理相应补种验收手续。</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（7）每年12月10日起对校园树木进行刷白1次，在进行树木涂刷石灰水时，禁止在校园内挖坑化石灰水，及做好石灰水的安全防范管理工作。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（8）绿化养护过程中产生的垃圾需自行清理出校园。</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（9）绿化养护所需水源为区域内河水及雨水井内雨水，物业单位需自行配备洒水车或抽水泵等浇灌设施，严禁使用学校消防栓，发现1次处罚1000元。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工作时间必须着统一制服，要按规定佩带标志。工作制服不准与便服混穿，不同季节的工作制服不准混穿。着工作制服应干净整洁，不准披衣、敞怀、挽袖、卷裤腿，穿拖鞋或赤足。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仪表端正，精神饱满。男保洁员工不准留长头发、大鬓角和胡须。</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行为动作规范，举止文明。工作时，不准袖手或将手插入衣袋，不准搭肩、挽臂，吃东西、抽烟，嘻笑打闹，不大声喧哗。不准随地吐痰、乱扔废弃物。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保洁服务工作，严格履行岗位职责，不准做与工作无关事宜。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根据要求，对校园环境的管理情况进行全面检查考核。物业经理每周对外场及水环境主管服务工作至少进行1次监督抽查。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以上检查方式均要填写《保洁检查记录表》予以保存，并作为采购人对物业服务公司考核依据。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（3）供应商不得使用超龄人员，如使用超龄人员采购人可在季度付款时，每月每人扣 5000 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（1）酒精、84 等消杀物资必须由专人保管，并建立详细的出入库台账。</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（2）以上物资需单独用铁皮柜中存放，并要求上锁保管。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（3）物业人员在清理道路下水道、窨井等时，现场有专人负责，并摆放安全警示标志。</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（4）上述人员不得与金陵科技学院2026-2028年物业管理服务项目以外单位或部门重复交叉，供应商须在投标前明确将上述工作人员作为全职人员。</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（四）水电保障服务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保水保电的内容及标准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（1）本项目范围内的教学楼、办公室、报告厅、剧场、会议室等水电服务保障，配合学校完成相关活动等的水电保障服务。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（2）负责本项目范围内设施、设备的零星维修的系统报修及跟踪工作。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（1）持有合格的特种作业操作证。</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（2）着装整洁，工作期间必须穿着工作服，佩戴工号牌。</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（3）在工作中使用语言要简洁准确，文明规范，说话要有理有节。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（4）掌握安全用电基本知识和用电设备的性能。</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（5）工作期间禁止吸烟、酗酒、斗殴事件的发生。</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（6）工作期间禁止脱岗、睡岗、空岗现象的发生。</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水电保障服务工作，严格履行岗位职责，不准做与水电保障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供应商不得随意更换服务人员，如擅自更换服务人员采购人可在季度付款时，每月每人扣5000元整，并承担由此产生的一切责任后果。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（五）客服保障服务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（1）客服人员提前把会议室、接待室开门卫生情况，使其始终处于完善 良好的备用状态。</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（2）在岗期间，不得随意串岗、空岗，不擅离工作岗位；不得干私活，不做与本职工作无关的任何事情。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（3）不得在会议室扎堆聊天，不在岗位上吃东西。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（4）负责会议室空调、饮水设施是否完好，有问题及时向办公室汇报。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（5）负责与相关物业保洁人员做好工作协同和配合，确保会议室内时刻保持干净整洁。</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（1）客服人员穿着必须整洁、平整，不得带有灰尘、污迹、无褶皱、开线、掉扣。</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（2）皮鞋以黑色为主，鞋袜保持协调，皮鞋保持亮洁，不能赤脚、穿拖鞋、短裤、超短裙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（3）客服人员淡妆上岗，不得涂指甲油，不佩戴饰物(手表、戒指除外)，不使用气味浓烈的香水。头发必须梳理服帖或盘结，不蓬乱或烫怪异发型。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（4）客服人员站立时要自然大方，时刻保持面带笑容、容光焕发。</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客服服务工作，严格履行岗位职责，不准做与客服服务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根据要求，对水电保障的管理情况进行全面检查考核。物业经理每周对客服保障服务工作至少进行1次监督抽查。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以上检查方式均要填写《客服服务质量检查考核记录表》予以保存，并作为采购人对物业服务公司考核依据。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（六）消防监控室值班服务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（1）消防监控室人员要求，严格按照国家规定要求，持证上岗，实行 24 小时轮班制度，每班值班人员不少于2 人，值班人员应认真填写交接班记录，发现问题及时处置和报告。值班人员不得擅离岗位，脱岗，睡岗；严禁值班前当班中喝酒，吸烟；保持消防监控室卫生整洁。若由于以上重大过失，致使出现安全事故和安全责任，后果由供应商承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（2）消防值班人员必须熟悉消防设施设备的性能、结构、原理、 操作方式和设备状况，坚守岗位，严格执行《消防监控安全工作规程》。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（3）值班人员根据批准的值班表依次进行交接班，未经领导批准不得私自调班。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（4）为确保消防监控室的安全运行，杜绝人身设备事故的发生，不允许做与工作无关的事情，值班期间不得私自外出、饮酒等。</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（5）值班人员应遵守交接班制度，准时交接班。接班人员应在交接班前准时10分钟到达消防监控室，以便及时准备，集中思想，了解情况，做好接班工作。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（6）巡视掌握消防监控室设备运行的变化情况，做好巡视检查工作。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（7）遇到恶劣天气如：台风、暴雨、打雷、大雾或设备运行异常时应进行特殊巡视。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（8）巡视检查中发现不正常情况，应详细记录，并及时处理，无法消除的缺陷要汇报上一级领导处理，并填写有关记录， 按规定要上报的缺陷问题，应按要求尽快通知有关部门。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（9）值班人员必须保持消防监控室洁卫生，每周必须彻底打扫卫生一次，消防设施设备至少每年清扫一次。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（10）消防器具要稳定可靠，放在清洁干燥处。平时要清扫，保持整洁，使用后放回原处、不得随便乱放，配合专职消防人员做好相关工作。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（11）认真履行学校下放的消防监控安全相关文件。</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工作时间必须着消防人员制服，要按规定佩带相关标志。消防人员制服不准与便服混穿，不同季节的制服不准混穿。着消防工作制服应干净整洁，不准披衣、敞怀、挽袖、卷裤腿、歪戴帽子、穿拖鞋或赤足。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仪表端正，精神饱满。不准留长头发、大鬓角和胡须。</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行为动作规范，举止文明。工作时，不准袖手或将手插入衣袋，不准搭肩、挽臂，吃东西，嘻笑打闹，不大声喧哗。不准随 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消防巡查工作，严格履行岗位职责，不准做与消防巡查无关的事情。不准脱岗、空岗、睡岗,酒后上岗，上班期间不准抽烟。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根据要求，对监控消防的管理情况进行全 面检查考核。消防监控领班，每天对消防服务工作进行例行检查，消防主管每周对消防服务工作至少进行两次监督抽查，物业经理每周对消防主管服务工作至少进行1次监督抽查。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 《消防监控室检查记录表》予以保存，并作为采购人对供应商的考核依据。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（1）消防值班服务接受学校保卫处管理。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（2）供应商不得随意更换服务人员，如擅自更换服务人员采购人可在季度付款时，每月每人扣5000元整，并承担由此产生的一切责任后果。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（3）所有的消防工作必须建立详细的台账，后勤处、保卫处将不定期抽查台账，若发现未按要求建立健全台账的第 1次罚款1000，第二次罚款2000，第三次罚款5000，一年内被抽查到三次(含三次)合同终止，另外每次抽查每发现一处台账记录与实际不符或未要求记录处罚100元。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（七）室内保洁、校园环境保洁及绿化养护设备</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根据以往服务单位提供的室内保洁、校园环境保洁及绿化养护设备包括以下种类及数量：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1、室外道路清扫车不少于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2、电动垃圾清运车不少于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3、洒水车不少于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4、抽水泵不少于 2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5、室内手推保洁车不少于 10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6、打磨机不少于 1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7、挖掘机不少于 1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8、高压洗地车不少于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9、打草机不少于 6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10、绿篱机不少于 4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11、草坪机不少于 3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12、手持户外伐木锯不少于 2 把；</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13、无线吹叶机鼓风机不少于 2 个；</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14、高枝剪不少于 4 把；</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15、扫雪工具及扫雪物资若干(融雪剂、铁锹、铁铲等)。</w:t>
            </w:r>
            <w:r>
              <w:rPr>
                <w:rFonts w:hint="eastAsia" w:ascii="宋体" w:hAnsi="宋体" w:cs="宋体"/>
                <w:color w:val="000000"/>
                <w:sz w:val="24"/>
                <w:szCs w:val="24"/>
              </w:rPr>
            </w:r>
            <w:r/>
          </w:p>
          <w:p>
            <w:pPr>
              <w:pStyle w:val="748"/>
              <w:jc w:val="left"/>
              <w:rPr>
                <w:rFonts w:hint="eastAsia"/>
                <w:color w:val="000000"/>
              </w:rPr>
            </w:pPr>
            <w:r>
              <w:rPr>
                <w:rFonts w:hint="eastAsia" w:ascii="宋体" w:hAnsi="宋体" w:cs="宋体"/>
                <w:color w:val="000000"/>
                <w:sz w:val="24"/>
                <w:szCs w:val="24"/>
              </w:rPr>
              <w:t xml:space="preserve">供应商应充分考虑本项目物业服务需要，投入履行本项目物业服务的相应设备数量须满足实际采购需求和服务质量</w:t>
            </w:r>
            <w:r>
              <w:rPr>
                <w:rFonts w:hint="eastAsia"/>
                <w:color w:val="000000"/>
              </w:rPr>
            </w:r>
            <w:r/>
          </w:p>
        </w:tc>
      </w:tr>
    </w:tbl>
    <w:p>
      <w:pPr>
        <w:pStyle w:val="748"/>
        <w:spacing w:line="0" w:lineRule="atLeast"/>
        <w:rPr>
          <w:rFonts w:hint="eastAsia"/>
          <w:color w:val="000000"/>
          <w:sz w:val="24"/>
          <w:szCs w:val="24"/>
        </w:rPr>
      </w:pPr>
      <w:r>
        <w:rPr>
          <w:rFonts w:hint="eastAsia"/>
          <w:color w:val="000000"/>
          <w:sz w:val="24"/>
          <w:szCs w:val="24"/>
        </w:rPr>
      </w:r>
      <w:r/>
    </w:p>
    <w:p>
      <w:pPr>
        <w:pStyle w:val="748"/>
        <w:jc w:val="left"/>
        <w:rPr>
          <w:rFonts w:hint="eastAsia" w:ascii="宋体" w:hAnsi="宋体" w:cs="宋体"/>
          <w:b/>
          <w:bCs/>
          <w:color w:val="000000"/>
          <w:sz w:val="24"/>
          <w:szCs w:val="24"/>
        </w:rPr>
      </w:pPr>
      <w:r>
        <w:rPr>
          <w:rFonts w:hint="eastAsia" w:ascii="宋体" w:hAnsi="宋体" w:cs="宋体"/>
          <w:b/>
          <w:bCs/>
          <w:color w:val="000000"/>
          <w:sz w:val="24"/>
          <w:szCs w:val="24"/>
        </w:rPr>
        <w:t xml:space="preserve">采购包2 金陵科技学院江宁校区科技园物业管理服务项目</w:t>
      </w:r>
      <w:r>
        <w:rPr>
          <w:rFonts w:hint="eastAsia" w:ascii="宋体" w:hAnsi="宋体" w:cs="宋体"/>
          <w:b/>
          <w:bCs/>
          <w:color w:val="000000"/>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（一）安保服务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（1）每天24小时值守，对外来人员、物资出入实施严格的登记验证制度，有严格的交接班制度和交接班记录。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（2）对服务区域内发生的治安、火警及争吵斗殴等突发事件果断处理，及时报警和报告，并与相关部门配合处理突发事件，必要时要与公安部门联系、沟通、协调。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（3）合理安排人员，认真做好夜间值班、巡查工作。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（4）配合采购人做好重大接待活动及其他临时性、突击性安保工作。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（5）熟练管理、维护、使用安防设备，如发生重大安全事件，及时报告后勤处领导及保卫处。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（6）负责楼宇内财产、消防安全，安排专人每天 7:30-23:30不间断全区域巡视，预防制止各类恶性事件发生。</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（7）每天教学楼7:00—22:00，每2小时巡查1次，无长明灯、长流水，整理配置教室、教师休息室桌椅，及时清除各类小张贴，做好当班日志。</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（8）24小时安保，配备必要的通讯设施，负责区域内所有设备、设施安全，如被盗按原价由供应商赔偿。</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（9）对各楼宇配备的灭火器、消火栓、消防喷淋以及烟感报警器等消防设备设施，做好每月巡查工作，并做好详细记录，备案待查。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（10）需定期对室内消火栓、试水接口、各楼宇防火卷帘以及防火门等进行检查，发现问题及时处置和报告，并做好详细记录，备案待查。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（11）对学校重点部位做到每日必查，并做好详细记录，备案待查。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（12）负责物业服务区域楼宇内的鸟窝、马蜂窝、消杀等工作。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工作时间必须着安保工作制服，要按规定佩带安保标志。安保制服不准与便服混穿，不同季节的安保制服不准混穿。工作服应干净整洁，不准披衣、敞怀、挽袖、卷裤腿、歪戴帽子、穿拖鞋或赤足。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值勤时要仪表端正，精神饱满。不准留长头发、大鬓角和胡须。</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动作规范，举止文明。工作时，不准袖手或将手插入衣袋，不准搭肩、挽臂，吃东西，抽烟，嘻笑打闹，不准随地吐痰、乱扔废弃物。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严格按照法律的规定范围开展安保服务工作，严格履行岗位职责，不准做与安保服务无关的事情。不准脱岗、空岗、睡岗, 酒后上岗及在值班室抽烟。遵守服务单位内部的各项规章制度，对服务单位内部的机密事项，不准随意打听、记录、传播。有重要情况要妥善处理并及时上报，不准迟报、漏报、隐瞒不报。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4、检查与考核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根据要求，对安保队伍的管理情况进行全面检查考核。安保主管每天对安保服务工作进行例行检查，每周对安保服务工作至少进行两次监督抽查，物业经理每周对安保服务工作至少进行 1次监督抽查。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以上检查方式均要填写《安保服务质量检查考核记录表》予以保存，并作为采购人对物业服务公司考核依据。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（1）供应商不得随意更换服务人员，如擅自更换服务人员采购人可在季度付款时，每月每人扣5000元整，并承担由此产生的一切责任后果。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（2）负责区域内所有设备、设施安全，如被盗按原价由供应商赔偿。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（3）非机动车、汽车应停在指定位置，广场内不准机动车出入，建筑楼宇非机动车不得入内，电瓶车不得进入楼宇内私自充电等，发现一次处罚 100 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（二）内场保洁服务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1、楼宇内保洁工作须在每天早上8：00前完成，每天16:40-18:00每栋楼宇需有专人维护，负责处理保洁相关工作。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工作时间必须着保洁人员工作服。保洁工作服不准与便服混穿，不同季节的工作服不准混穿。着工作服应干净整洁，不准披衣、敞怀、挽袖、卷裤腿、歪戴帽子、穿拖鞋或赤足。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保洁时要仪表端正，精神饱满。不准留长头发、大鬓角和胡须。穿戴整洁干净，不披肩散发。</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行为动作规范，举止文明。工作时，不准吃东西，嘻笑打闹，不大声喧哗。不准随地吐痰、乱扔废弃物。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保洁服务工作，严格履行岗位职责，不准做与保洁服务无关的事情。不准脱岗、空岗、睡岗,酒后上岗，保洁期间严禁边抽烟边工作。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根据要求，对保洁队伍的管理情况进行全 面检查考核。保洁主管每天对保洁服务工作进行例行检查，每周对保洁服务工作至少进行两次监督抽查，物业经理每周对保洁主管服务工作至少进行1次监督抽查。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以上检查方式均要填写《保洁服务质量检查考核记录表》予以保存，并作为采购人对物业服务公司考核依据。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（1）供应商不得随意更换服务人员，如擅自更换服务人员采购人可在季度付款时，每月每人扣5000元整，并承担由此产生的一切责任后果。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（2）以上保洁内容属于维保或质保单位服务范围的供应商可协调维保或质保单位在规定的时间内完成。</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（3）所有的保洁工作必须建立详细的台账，后勤处将不定期抽查台账，若发现未按要求建立健全台账的第 1 次罚款1000，第二次罚款2000，第三次罚款5000，一 年内被抽查到三次(含三次)合同终止，另外每次抽查每发现一处台账记录与实际 不符或未按要求记录处罚100元。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（三）校园环境保洁及绿化养护</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1、校园环境保洁服务标准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（1）主次干道、人行道有青苔、桥梁地面有垃圾；垃圾桶内垃圾没有日产日倒；所辖区域内牛皮癣没有及时清除等，同一天每发现 1 处处罚100元。(结合信息化管理平台及线下统计数据，结算时一并扣除)。</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（2）室外保洁所需水源为区域内河水及雨水井内雨水，供应商须自行配备5吨洒水车1辆，配备抽水泵等浇灌设施和道路清扫车，严禁使用学校消防栓，发现1次处罚1000 元。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（3）雨雪天气及时清扫，铲除道路积雪(冰)，至道路路牙，确保道路畅通。</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（4）自行车、汽车应停在指定位置，广场内不准机动车出入等，同一天每发现1处处罚100元。(结合信息化管理平台及线下统计数据，结算时一并扣除)。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（5）保洁工作须在每天早上8:00前完成，每天16:40-18:00需有专人维护，负责处理校园环境保洁相关工作。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（6）楼宇外墙每年清洗一次，保障楼宇外墙整洁。本项目共7栋楼宇，总清洗面积约41000平方米。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2、绿化养护标准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（1）绿化充分，植物配置合理，基本达到黄土不露天，退化的草坪及死亡的地被灌木及时补植。</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（2）园林植物达到： A.生长势：正常。生长达到该树种该规格的平均生长量。 B. 叶子正常： ①叶色、大小、薄厚正常； ② 较严重黄叶、焦叶、卷叶、带虫尿虫网灰尘的株数在 2％以下(包括 2％，以下同)；③被啃咬的叶片最严重的每株在10％以下。 C.枝、干正常： ①无明显枯枝、死干； ②有蛀干害虫的株数在2％以下； ③介壳虫最</w:t>
            </w:r>
            <w:r>
              <w:rPr>
                <w:rFonts w:hint="eastAsia" w:ascii="宋体" w:hAnsi="宋体" w:cs="宋体"/>
                <w:color w:val="000000"/>
                <w:sz w:val="24"/>
                <w:szCs w:val="24"/>
              </w:rPr>
              <w:t xml:space="preserve">严重处主枝主干100平方厘米2 头活虫以下，较细枝条每尺长一段上在10头活虫以下，株数都在4％以下；④树冠基本完整：主侧枝分布均称，树冠通风透光。 D.措施：按二级以上技术措施 要求认真进行养护。 E.行道树缺株为0。 F.草坪覆盖率达 95％以上；草坪内杂草控制在20％以内；生长和颜色正常，不枯黄；每年修剪暖地型二次以上，冷地型10次以上；基本无病虫害。每年9月份，对除了马尼拉草坪的区域外，补撒黑麦草草籽，确保草坪四季常青。 (如未在规定时间内补撒，采购人将委托第三方单位补撒，所产生的费用将由供应商承担)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（3）行道树和绿地内无死树，树木修剪基本合理，树形美观，能较好地解决树木与电线、建筑物、交通等之间的矛盾。</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（4）绿化生产垃圾要做到日产日清，绿地内无明显的废弃物，能坚持在重大节日前进行突击清理。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（5）无较重的人为损坏。对轻微或偶尔发生难以控制的人为损坏，能及时发现和处理。绿地、草坪内无堆物堆料、搭棚或侵占、无菜地等；行道树树干无明显地钉栓刻画现象，树下距树2米以内无影响树 木养护管理的堆物堆料、搭棚、圈栏等。</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（6）绿化养护期内如遇苗木死亡，需要及时清理并按原规格及时补种到位，补种完至后勤管理处办理相应补种验收手续。</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（7）每年12月10日起对校园树木进行刷白1次，在进行树木涂刷石灰水时，禁止在校园内挖坑化石灰水，及做好石灰水的安全防范管理工作。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（8）绿化养护过程中产生的垃圾需自行清理出校园。</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（9）绿化养护所需水源为区域内河水及雨水井内雨水，物业单位需自行配备洒水车或抽水泵等浇灌设施，严禁使用学校消防栓，发现1次处罚1000元。</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说明：江宁校区崇文楼绿化从2025年8月开始服务。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工作时间必须着统一制服，要按规定佩带标志。工作制服不准与便服混穿，不同季节的工作制服不准混穿。着工作制服应干净整洁，不准披衣、敞怀、挽袖、卷裤腿，穿拖鞋或赤足。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仪表端正，精神饱满。男保洁员工不准留长头发、大鬓角和胡须。</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行为动作规范，举止文明。工作时，不准袖手或将手插入衣袋，不准搭肩、挽臂，吃东西、抽烟，嘻笑打闹，不大声喧哗。不准随地吐痰、乱扔废弃物。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保洁服务工作，严格履行岗位职责，不准做与工作无关事宜。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根据要求，对校园环境的管理情况进行全面检查考核。物业经理每周对外场主管服务工作至少进行1次监督抽查。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以上检查方式均要填写《保洁检查记录表》予以保存，并作为采购人对物业服务公司考核依据。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（3）供应商不得使用超龄人员，如使用超龄人员采购人可在季度付款时，每月每人扣 5000 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（1）酒精、84 等消杀物资必须由专人保管，并建立详细的出入库台账。</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（2）以上物资需单独用铁皮柜中存放，并要求上锁保管。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（3）物业人员在清理道路下水道、窨井等时，现场有专人负责，并摆放安全警示标志。</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（4）上述人员不得与金陵科技学院2026-2028年物业管理服务项目以外单位或部门重复交叉，供应商须在投标前明确将上述工作人员作为全职人员。</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（四）水电保障服务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保水保电的内容及标准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（1）本项目范围内的教学楼、办公室、报告厅、剧场、会议室等水电服务保障，配合学校完成相关活动等的水电保障服务。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（2）负责本项目范围内设施、设备的零星维修的系统报修及跟踪工作。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（1）持有合格的特种作业操作证。</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（2）着装整洁，工作期间必须穿着工作服，佩戴工号牌。</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（3）在工作中使用语言要简洁准确，文明规范，说话要有理有节。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（4）掌握安全用电基本知识和用电设备的性能。</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（5）工作期间禁止吸烟、酗酒、斗殴事件的发生。</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（6）工作期间禁止脱岗、睡岗、空岗现象的发生。</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水电保障服务工作，严格履行岗位职责，不准做与水电保障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供应商不得随意更换服务人员，如擅自更换服务人员采购人可在季度付款时，每月每人扣5000元整，并承担由此产生的一切责任后果。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（五）客服保障服务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（1）客服人员提前把会议室、接待室开门卫生情况，使其始终处于完善 良好的备用状态。</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（2）在岗期间，不得随意串岗、空岗，不擅离工作岗位；不得干私活，不做与本职工作无关的任何事情。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（3）不得在会议室扎堆聊天，不在岗位上吃东西。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（4）负责会议室空调、饮水设施是否完好，有问题及时向办公室汇报。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（5）负责与相关物业保洁人员做好工作协同和配合，确保会议室内时刻保持干净整洁。</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（1）客服人员穿着必须整洁、平整，不得带有灰尘、污迹、无褶皱、开线、掉扣。</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（2）皮鞋以黑色为主，鞋袜保持协调，皮鞋保持亮洁，不能赤脚、穿拖鞋、短裤、超短裙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（3）客服人员淡妆上岗，不得涂指甲油，不佩戴饰物(手表、戒指除外)，不使用气味浓烈的香水。头发必须梳理服帖或盘结，不蓬乱或烫怪异发型。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（4）客服人员站立时要自然大方，时刻保持面带笑容、容光焕发。</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客服服务工作，严格履行岗位职责，不准做与客服服务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根据要求，对水电保障的管理情况进行全面检查考核。物业经理每周对客服保障服务工作至少进行1次监督抽查。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以上检查方式均要填写《客服服务质量检查考核记录表》予以保存，并作为采购人对物业服务公司考核依据。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（六）消防监控室值班服务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1、服务标准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（1）消防监控室人员要求，严格按照国家规定要求，持证上岗，实行 24 小时轮班制度，每班值班人员不少于2 人，值班人员应认真填写交接班记录，发现问题及时处置和报告。值班人员不得擅离岗位，脱岗，睡岗；严禁值班前当班中喝酒，吸烟；保持消防监控室卫生整洁。若由于以上重大过失，致使出现安全事故和安全责任，后果由供应商承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（2）消防值班人员必须熟悉消防设施设备的性能、结构、原理、 操作方式和设备状况，坚守岗位，严格执行《消防监控安全工作规程》。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（3）值班人员根据批准的值班表依次进行交接班，未经领导批准不得私自调班。 </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（4）为确保消防监控室的安全运行，杜绝人身设备事故的发生，不允许做与工作无关的事情，值班期间不得私自外出、饮酒等。</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（5）值班人员应遵守交接班制度，准时交接班。接班人员应在交接班前准时10分钟到达消防监控室，以便及时准备，集中思想，了解情况，做好接班工作。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（6）巡视掌握消防监控室设备运行的变化情况，做好巡视检查工作。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（7）遇到恶劣天气如：台风、暴雨、打雷、大雾或设备运行异常时应进行特殊巡视。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（8）巡视检查中发现不正常情况，应详细记录，并及时处理，无法消除的缺陷要汇报上一级领导处理，并填写有关记录， 按规定要上报的缺陷问题，应按要求尽快通知有关部门。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（9）值班人员必须保持消防监控室洁卫生，每周必须彻底打扫卫生一次，消防设施设备至少每年清扫一次。</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（10）消防器具要稳定可靠，放在清洁干燥处。平时要清扫，保持整洁，使用后放回原处、不得随便乱放，配合专职消防人员做好相关工作。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（11）认真履行学校下放的消防监控安全相关文件。</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2、岗位要求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（1）着装</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工作时间必须着消防人员制服，要按规定佩带相关标志。消防人员制服不准与便服混穿，不同季节的制服不准混穿。着消防工作制服应干净整洁，不准披衣、敞怀、挽袖、卷裤腿、歪戴帽子、穿拖鞋或赤足。</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（2）仪容仪表</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仪表端正，精神饱满。不准留长头发、大鬓角和胡须。</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（3）举止</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行为动作规范，举止文明。工作时，不准袖手或将手插入衣袋，不准搭肩、挽臂，吃东西，嘻笑打闹，不大声喧哗。不准随 地吐痰、乱扔废弃物。</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（4）语言</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在工作中使用语言要简洁准确，文明规范，说话要有理有节，并讲普通话。</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（5）岗位纪律</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严格按照法律的规定范围开展消防巡查工作，严格履行岗位职责，不准做与消防巡查无关的事情。不准脱岗、空岗、睡岗,酒后上岗，上班期间不准抽烟。遵守服务单位内部的各项规章制度，对服务单位内部的机密事项，不准随意打听、记录、传播。有重要情况要妥善处理并及时上报，不准迟报、漏报、隐瞒不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3、检查与考核</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（1）检查考核的内容及方式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根据要求，对监控消防的管理情况进行全 面检查考核。消防监控领班，每天对消防服务工作进行例行检查，消防主管每周对消防服务工作至少进行两次监督抽查，物业经理每周对消防主管服务工作至少进行1次监督抽查。</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（2）检查记录</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以上检查方式均要填写 《消防监控室检查记录表》予以保存，并作为采购人对供应商的考核依据。</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4、其他要求</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（1）消防值班服务接受学校保卫处管理。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（2）供应商不得随意更换服务人员，如擅自更换服务人员采购人可在季度付款时，每月每人扣5000元整，并承担由此产生的一切责任后果。</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（3）所有的消防工作必须建立详细的台账，后勤处、保卫处将不定期抽查台账，若发现未按要求建立健全台账的第 1次罚款1000，第二次罚款2000，第三次罚款5000，一年内被抽查到三次(含三次)合同终止，另外每次抽查每发现一处台账记录与实际不符或未要求记录处罚100元。</w:t>
            </w:r>
            <w:r>
              <w:rPr>
                <w:rFonts w:hint="eastAsia" w:ascii="宋体" w:hAnsi="宋体" w:cs="宋体"/>
                <w:color w:val="000000"/>
                <w:sz w:val="24"/>
                <w:szCs w:val="24"/>
              </w:rPr>
            </w:r>
            <w:r/>
          </w:p>
          <w:p>
            <w:pPr>
              <w:pStyle w:val="748"/>
              <w:jc w:val="left"/>
              <w:rPr>
                <w:rFonts w:hint="eastAsia" w:ascii="宋体" w:hAnsi="宋体" w:cs="宋体"/>
                <w:color w:val="000000"/>
                <w:sz w:val="24"/>
                <w:szCs w:val="24"/>
                <w:lang w:val="en-US"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七</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电梯维保</w:t>
            </w:r>
            <w:r>
              <w:rPr>
                <w:rFonts w:hint="eastAsia" w:ascii="宋体" w:hAnsi="宋体" w:cs="宋体"/>
                <w:color w:val="000000"/>
                <w:sz w:val="24"/>
                <w:szCs w:val="24"/>
                <w:lang w:val="en-US" w:eastAsia="zh-CN"/>
              </w:rPr>
            </w:r>
            <w:r/>
          </w:p>
          <w:p>
            <w:pPr>
              <w:pStyle w:val="748"/>
              <w:spacing w:line="360" w:lineRule="auto"/>
              <w:rPr>
                <w:rFonts w:ascii="宋体" w:hAnsi="宋体" w:cs="宋体"/>
                <w:b w:val="0"/>
                <w:bCs/>
                <w:color w:val="000000"/>
                <w:sz w:val="24"/>
                <w:szCs w:val="24"/>
              </w:rPr>
            </w:pP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、维保设备清单</w:t>
            </w:r>
            <w:r>
              <w:rPr>
                <w:rFonts w:ascii="宋体" w:hAnsi="宋体" w:cs="宋体"/>
                <w:b w:val="0"/>
                <w:bCs/>
                <w:color w:val="000000"/>
                <w:sz w:val="24"/>
                <w:szCs w:val="24"/>
              </w:rPr>
            </w:r>
            <w:r/>
          </w:p>
          <w:tbl>
            <w:tblPr>
              <w:tblW w:w="0" w:type="auto"/>
              <w:tblInd w:w="5" w:type="dxa"/>
              <w:tblLayout w:type="autofit"/>
              <w:tblCellMar>
                <w:left w:w="15" w:type="dxa"/>
                <w:top w:w="15" w:type="dxa"/>
                <w:right w:w="15" w:type="dxa"/>
                <w:bottom w:w="0" w:type="dxa"/>
              </w:tblCellMar>
              <w:tblLook w:val="04A0" w:firstRow="1" w:lastRow="0" w:firstColumn="1" w:lastColumn="0" w:noHBand="0" w:noVBand="1"/>
            </w:tblPr>
            <w:tblGrid>
              <w:gridCol w:w="757"/>
              <w:gridCol w:w="1755"/>
              <w:gridCol w:w="1064"/>
              <w:gridCol w:w="3934"/>
              <w:gridCol w:w="1704"/>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5"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建筑名称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电梯品牌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设备代码</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ascii="宋体" w:hAnsi="宋体" w:eastAsia="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755" w:type="dxa"/>
                  <w:vAlign w:val="center"/>
                  <w:vMerge w:val="restart"/>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科技楼1号楼</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31003201152017030020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26层26站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31003201152017030021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26层26站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31003201152017030014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26层26站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31003201152017030017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25层25站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31003201152017110001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25层25站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31003201152017110002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26层26站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31003201152017110003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26层26站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rPr>
                      <w:rFonts w:ascii="宋体" w:hAnsi="宋体" w:eastAsia="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31003201152017030018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27层27站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w:t>
                  </w:r>
                  <w:r>
                    <w:rPr>
                      <w:rFonts w:ascii="宋体" w:hAnsi="宋体" w:eastAsia="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755" w:type="dxa"/>
                  <w:vAlign w:val="center"/>
                  <w:vMerge w:val="restart"/>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科技楼2号楼</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31003201152017030019</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8层8站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rPr>
                      <w:rFonts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31003201152017030015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8层8站</w:t>
                  </w:r>
                  <w:r>
                    <w:rPr>
                      <w:rFonts w:ascii="宋体" w:hAnsi="宋体" w:eastAsia="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rPr>
                      <w:rFonts w:ascii="宋体" w:hAnsi="宋体" w:eastAsia="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1755" w:type="dxa"/>
                  <w:vAlign w:val="center"/>
                  <w:vMerge w:val="continue"/>
                  <w:textDirection w:val="lrTb"/>
                  <w:noWrap/>
                </w:tcPr>
                <w:p>
                  <w:pPr>
                    <w:pStyle w:val="748"/>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恒达富士</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31003201152017030016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4" w:type="dxa"/>
                  <w:vAlign w:val="center"/>
                  <w:textDirection w:val="lrTb"/>
                  <w:noWrap/>
                </w:tcPr>
                <w:p>
                  <w:pPr>
                    <w:pStyle w:val="748"/>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8层8站</w:t>
                  </w:r>
                  <w:r>
                    <w:rPr>
                      <w:rFonts w:ascii="宋体" w:hAnsi="宋体" w:eastAsia="宋体" w:cs="宋体"/>
                      <w:color w:val="000000"/>
                      <w:sz w:val="24"/>
                      <w:szCs w:val="24"/>
                    </w:rPr>
                  </w:r>
                  <w:r/>
                </w:p>
              </w:tc>
            </w:tr>
          </w:tbl>
          <w:p>
            <w:pPr>
              <w:pStyle w:val="748"/>
              <w:jc w:val="left"/>
              <w:spacing w:line="360" w:lineRule="auto"/>
              <w:rPr>
                <w:rFonts w:ascii="宋体" w:hAnsi="宋体"/>
                <w:b/>
                <w:bCs/>
                <w:color w:val="000000"/>
                <w:sz w:val="24"/>
                <w:szCs w:val="24"/>
              </w:rPr>
            </w:pPr>
            <w:r>
              <w:rPr>
                <w:rFonts w:ascii="宋体" w:hAnsi="宋体"/>
                <w:b/>
                <w:bCs/>
                <w:color w:val="000000"/>
                <w:sz w:val="24"/>
                <w:szCs w:val="24"/>
              </w:rPr>
            </w:r>
            <w:r/>
          </w:p>
          <w:p>
            <w:pPr>
              <w:pStyle w:val="748"/>
              <w:jc w:val="left"/>
              <w:spacing w:line="360" w:lineRule="auto"/>
              <w:rPr>
                <w:rFonts w:ascii="宋体" w:hAnsi="宋体"/>
                <w:b w:val="0"/>
                <w:bCs w:val="0"/>
                <w:color w:val="000000"/>
                <w:sz w:val="24"/>
                <w:szCs w:val="24"/>
              </w:rPr>
            </w:pPr>
            <w:r>
              <w:rPr>
                <w:rFonts w:hint="eastAsia" w:ascii="宋体" w:hAnsi="宋体"/>
                <w:b w:val="0"/>
                <w:bCs w:val="0"/>
                <w:color w:val="000000"/>
                <w:sz w:val="24"/>
                <w:szCs w:val="24"/>
                <w:lang w:val="en-US" w:eastAsia="zh-CN"/>
              </w:rPr>
              <w:t xml:space="preserve">2</w:t>
            </w:r>
            <w:r>
              <w:rPr>
                <w:rFonts w:hint="eastAsia" w:ascii="宋体" w:hAnsi="宋体"/>
                <w:b w:val="0"/>
                <w:bCs w:val="0"/>
                <w:color w:val="000000"/>
                <w:sz w:val="24"/>
                <w:szCs w:val="24"/>
              </w:rPr>
              <w:t xml:space="preserve">、</w:t>
            </w:r>
            <w:r>
              <w:rPr>
                <w:rFonts w:ascii="宋体" w:hAnsi="宋体"/>
                <w:b w:val="0"/>
                <w:bCs w:val="0"/>
                <w:color w:val="000000"/>
                <w:sz w:val="24"/>
                <w:szCs w:val="24"/>
              </w:rPr>
              <w:t xml:space="preserve">电梯日常维修保养内容</w:t>
            </w:r>
            <w:r>
              <w:rPr>
                <w:rFonts w:hint="eastAsia" w:ascii="宋体" w:hAnsi="宋体"/>
                <w:b w:val="0"/>
                <w:bCs w:val="0"/>
                <w:color w:val="000000"/>
                <w:sz w:val="24"/>
                <w:szCs w:val="24"/>
              </w:rPr>
              <w:t xml:space="preserve">及要求</w:t>
            </w:r>
            <w:r>
              <w:rPr>
                <w:rFonts w:ascii="宋体" w:hAnsi="宋体"/>
                <w:b w:val="0"/>
                <w:bCs w:val="0"/>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按照国家质量监督检验检疫总局令第115号关于《电梯使用管理与维护保养规则》中有关电梯维保的要求进行，电梯的维修保养分为半月、季度、半年、年度维保，其维保的基本项目（内容）和达到的要求分别</w:t>
            </w:r>
            <w:r>
              <w:rPr>
                <w:rFonts w:hint="eastAsia" w:ascii="宋体" w:hAnsi="宋体" w:cs="宋体"/>
                <w:b/>
                <w:color w:val="000000"/>
                <w:sz w:val="24"/>
                <w:szCs w:val="24"/>
              </w:rPr>
              <w:t xml:space="preserve">见附件</w:t>
            </w:r>
            <w:r>
              <w:rPr>
                <w:rFonts w:hint="eastAsia" w:ascii="宋体" w:hAnsi="宋体" w:cs="宋体"/>
                <w:color w:val="000000"/>
                <w:sz w:val="24"/>
                <w:szCs w:val="24"/>
              </w:rPr>
              <w:t xml:space="preserve">，维保单位必须依据各附件的要求，按照安装使用维护说明书的规定，并且根据所保养电梯使用的特点，制定合理的保养计划与方案，对电梯进行清洁、润滑、检查、调整，更换不符合要求的易损件，使电梯达到安全要求，保证电梯能够正常运行。</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维保单位进行电梯维保，必须进行记录。记录至少包括以下内容：</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）电梯的基本情况和技术参数，包括整机制造、安装、改造、重大维修单位名称，电梯品种（型式），产品编号，设备代码，电梯原型号或者改造后的型号，电梯基本技术参数。</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）使用单位、使用地点、使用单位内编号。</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）维保单位，维保日期、维保人员（签字）。</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）电梯维保的项目（内容），进行的维保工作，达到的要求、发生调整、更换易损件等工作时的详细记载。</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）维保记录必须经使用单位安全管理人员签字确认，否则视维保记录无效。</w:t>
            </w:r>
            <w:r>
              <w:rPr>
                <w:rFonts w:ascii="宋体" w:hAnsi="宋体" w:cs="宋体"/>
                <w:color w:val="000000"/>
                <w:sz w:val="24"/>
                <w:szCs w:val="24"/>
              </w:rPr>
            </w:r>
            <w:r/>
          </w:p>
          <w:p>
            <w:pPr>
              <w:pStyle w:val="748"/>
              <w:jc w:val="left"/>
              <w:spacing w:line="360" w:lineRule="auto"/>
              <w:rPr>
                <w:rFonts w:ascii="宋体" w:hAnsi="宋体"/>
                <w:b w:val="0"/>
                <w:bCs w:val="0"/>
                <w:color w:val="000000"/>
                <w:sz w:val="24"/>
                <w:szCs w:val="24"/>
              </w:rPr>
            </w:pPr>
            <w:r>
              <w:rPr>
                <w:rFonts w:hint="eastAsia" w:ascii="宋体" w:hAnsi="宋体"/>
                <w:b w:val="0"/>
                <w:bCs w:val="0"/>
                <w:color w:val="000000"/>
                <w:sz w:val="24"/>
                <w:szCs w:val="24"/>
                <w:lang w:val="en-US" w:eastAsia="zh-CN"/>
              </w:rPr>
              <w:t xml:space="preserve">3</w:t>
            </w:r>
            <w:r>
              <w:rPr>
                <w:rFonts w:hint="eastAsia" w:ascii="宋体" w:hAnsi="宋体"/>
                <w:b w:val="0"/>
                <w:bCs w:val="0"/>
                <w:color w:val="000000"/>
                <w:sz w:val="24"/>
                <w:szCs w:val="24"/>
              </w:rPr>
              <w:t xml:space="preserve">、日常巡检与维修</w:t>
            </w:r>
            <w:r>
              <w:rPr>
                <w:rFonts w:ascii="宋体" w:hAnsi="宋体"/>
                <w:b w:val="0"/>
                <w:bCs w:val="0"/>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lang w:val="en-US" w:eastAsia="zh-CN"/>
              </w:rPr>
              <w:t xml:space="preserve">（1）供应商</w:t>
            </w:r>
            <w:r>
              <w:rPr>
                <w:rFonts w:hint="eastAsia" w:ascii="宋体" w:hAnsi="宋体" w:cs="宋体"/>
                <w:color w:val="000000"/>
                <w:sz w:val="24"/>
                <w:szCs w:val="24"/>
              </w:rPr>
              <w:t xml:space="preserve">做好电梯的日常巡检工作，发现电梯井内有漏水现象时需及时报</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安排工程队进行维修，在维修时</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做好相关设备的维护并做好电梯底坑积水的排除工作，如积水过深需要关停电梯，</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必须在一楼电梯层门前醒目位置摆放警示牌，提醒教职工及学生该电梯暂时不能使用，并在最短的时间内使电梯恢复正常运行，底坑积水排除工作所产生的费用由</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自行承担。如</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未及时发现井道漏水或发现后未及时上报并采取保护措施所造成的一切损失由</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承担。</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 w:val="24"/>
                <w:szCs w:val="24"/>
              </w:rPr>
            </w:pPr>
            <w:r>
              <w:rPr>
                <w:rFonts w:hint="eastAsia" w:ascii="宋体" w:hAnsi="宋体" w:cs="宋体"/>
                <w:color w:val="000000"/>
                <w:sz w:val="24"/>
                <w:szCs w:val="24"/>
                <w:lang w:val="en-US" w:eastAsia="zh-CN"/>
              </w:rPr>
              <w:t xml:space="preserve">（2）</w:t>
            </w:r>
            <w:r>
              <w:rPr>
                <w:rFonts w:hint="eastAsia" w:ascii="宋体" w:hAnsi="宋体"/>
                <w:bCs/>
                <w:color w:val="000000"/>
                <w:sz w:val="24"/>
                <w:szCs w:val="24"/>
              </w:rPr>
              <w:t xml:space="preserve">如发生电梯故障，在接到报修电话后半小时内必须到场解决，电梯故障所产生的所有维修费用均由</w:t>
            </w:r>
            <w:r>
              <w:rPr>
                <w:rFonts w:hint="eastAsia" w:ascii="宋体" w:hAnsi="宋体" w:cs="宋体"/>
                <w:color w:val="000000"/>
                <w:sz w:val="24"/>
                <w:szCs w:val="24"/>
                <w:lang w:val="en-US" w:eastAsia="zh-CN"/>
              </w:rPr>
              <w:t xml:space="preserve">供应商</w:t>
            </w:r>
            <w:r>
              <w:rPr>
                <w:rFonts w:hint="eastAsia" w:ascii="宋体" w:hAnsi="宋体"/>
                <w:bCs/>
                <w:color w:val="000000"/>
                <w:sz w:val="24"/>
                <w:szCs w:val="24"/>
              </w:rPr>
              <w:t xml:space="preserve">承担，所更换的配件必须为原厂配件，更换配件时</w:t>
            </w:r>
            <w:r>
              <w:rPr>
                <w:rFonts w:hint="eastAsia" w:ascii="宋体" w:hAnsi="宋体"/>
                <w:bCs/>
                <w:color w:val="000000"/>
                <w:sz w:val="24"/>
                <w:szCs w:val="24"/>
                <w:lang w:val="en-US" w:eastAsia="zh-CN"/>
              </w:rPr>
              <w:t xml:space="preserve">采购人</w:t>
            </w:r>
            <w:r>
              <w:rPr>
                <w:rFonts w:hint="eastAsia" w:ascii="宋体" w:hAnsi="宋体"/>
                <w:bCs/>
                <w:color w:val="000000"/>
                <w:sz w:val="24"/>
                <w:szCs w:val="24"/>
              </w:rPr>
              <w:t xml:space="preserve">代表必须到场确认。</w:t>
            </w:r>
            <w:r>
              <w:rPr>
                <w:rFonts w:ascii="宋体" w:hAnsi="宋体"/>
                <w:bCs/>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bCs/>
                <w:color w:val="000000"/>
                <w:sz w:val="24"/>
                <w:szCs w:val="24"/>
                <w:lang w:val="en-US" w:eastAsia="zh-CN"/>
              </w:rPr>
              <w:t xml:space="preserve">（3）</w:t>
            </w:r>
            <w:r>
              <w:rPr>
                <w:rFonts w:hint="eastAsia" w:ascii="宋体" w:hAnsi="宋体" w:cs="宋体"/>
                <w:color w:val="000000"/>
                <w:sz w:val="24"/>
                <w:szCs w:val="24"/>
              </w:rPr>
              <w:t xml:space="preserve">如电梯在运行时出现意外伤人和困人时按照国务院《特种设备安全监察条例》、南京市《南京市电梯安全条例》、国家质检总局《特种设备事故报告和调查处理规定》中有关电梯应急救援预案中的规定执行。</w:t>
            </w:r>
            <w:r>
              <w:rPr>
                <w:rFonts w:ascii="宋体" w:hAnsi="宋体" w:cs="宋体"/>
                <w:color w:val="000000"/>
                <w:sz w:val="24"/>
                <w:szCs w:val="24"/>
              </w:rPr>
            </w:r>
            <w:r/>
          </w:p>
          <w:p>
            <w:pPr>
              <w:pStyle w:val="748"/>
              <w:jc w:val="left"/>
              <w:spacing w:line="360" w:lineRule="auto"/>
              <w:rPr>
                <w:rFonts w:ascii="宋体" w:hAnsi="宋体"/>
                <w:b w:val="0"/>
                <w:bCs w:val="0"/>
                <w:color w:val="000000"/>
                <w:sz w:val="24"/>
                <w:szCs w:val="24"/>
              </w:rPr>
            </w:pPr>
            <w:r>
              <w:rPr>
                <w:rFonts w:hint="eastAsia" w:ascii="宋体" w:hAnsi="宋体"/>
                <w:b w:val="0"/>
                <w:bCs w:val="0"/>
                <w:color w:val="000000"/>
                <w:sz w:val="24"/>
                <w:szCs w:val="24"/>
                <w:lang w:val="en-US" w:eastAsia="zh-CN"/>
              </w:rPr>
              <w:t xml:space="preserve">4</w:t>
            </w:r>
            <w:r>
              <w:rPr>
                <w:rFonts w:hint="eastAsia" w:ascii="宋体" w:hAnsi="宋体"/>
                <w:b w:val="0"/>
                <w:bCs w:val="0"/>
                <w:color w:val="000000"/>
                <w:sz w:val="24"/>
                <w:szCs w:val="24"/>
              </w:rPr>
              <w:t xml:space="preserve">、年检及保险</w:t>
            </w:r>
            <w:r>
              <w:rPr>
                <w:rFonts w:ascii="宋体" w:hAnsi="宋体"/>
                <w:b w:val="0"/>
                <w:bCs w:val="0"/>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 w:val="24"/>
                <w:szCs w:val="24"/>
              </w:rPr>
            </w:pPr>
            <w:r>
              <w:rPr>
                <w:rFonts w:hint="eastAsia" w:ascii="宋体" w:hAnsi="宋体"/>
                <w:bCs/>
                <w:color w:val="000000"/>
                <w:sz w:val="24"/>
                <w:szCs w:val="24"/>
                <w:lang w:val="en-US" w:eastAsia="zh-CN"/>
              </w:rPr>
              <w:t xml:space="preserve">（1）供应商</w:t>
            </w:r>
            <w:r>
              <w:rPr>
                <w:rFonts w:hint="eastAsia" w:ascii="宋体" w:hAnsi="宋体"/>
                <w:bCs/>
                <w:color w:val="000000"/>
                <w:sz w:val="24"/>
                <w:szCs w:val="24"/>
              </w:rPr>
              <w:t xml:space="preserve">配合</w:t>
            </w:r>
            <w:r>
              <w:rPr>
                <w:rFonts w:hint="eastAsia" w:ascii="宋体" w:hAnsi="宋体"/>
                <w:bCs/>
                <w:color w:val="000000"/>
                <w:sz w:val="24"/>
                <w:szCs w:val="24"/>
                <w:lang w:val="en-US" w:eastAsia="zh-CN"/>
              </w:rPr>
              <w:t xml:space="preserve">采购人</w:t>
            </w:r>
            <w:r>
              <w:rPr>
                <w:rFonts w:hint="eastAsia" w:ascii="宋体" w:hAnsi="宋体"/>
                <w:bCs/>
                <w:color w:val="000000"/>
                <w:sz w:val="24"/>
                <w:szCs w:val="24"/>
              </w:rPr>
              <w:t xml:space="preserve">做好电梯年度检测工作，费用由</w:t>
            </w:r>
            <w:r>
              <w:rPr>
                <w:rFonts w:hint="eastAsia" w:ascii="宋体" w:hAnsi="宋体"/>
                <w:bCs/>
                <w:color w:val="000000"/>
                <w:sz w:val="24"/>
                <w:szCs w:val="24"/>
                <w:lang w:val="en-US" w:eastAsia="zh-CN"/>
              </w:rPr>
              <w:t xml:space="preserve">供应商</w:t>
            </w:r>
            <w:r>
              <w:rPr>
                <w:rFonts w:hint="eastAsia" w:ascii="宋体" w:hAnsi="宋体"/>
                <w:bCs/>
                <w:color w:val="000000"/>
                <w:sz w:val="24"/>
                <w:szCs w:val="24"/>
              </w:rPr>
              <w:t xml:space="preserve">承担。</w:t>
            </w:r>
            <w:r>
              <w:rPr>
                <w:rFonts w:ascii="宋体" w:hAnsi="宋体"/>
                <w:bCs/>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 w:val="24"/>
                <w:szCs w:val="24"/>
              </w:rPr>
            </w:pP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2</w:t>
            </w:r>
            <w:r>
              <w:rPr>
                <w:rFonts w:hint="eastAsia" w:ascii="宋体" w:hAnsi="宋体"/>
                <w:bCs/>
                <w:color w:val="000000"/>
                <w:sz w:val="24"/>
                <w:szCs w:val="24"/>
                <w:lang w:eastAsia="zh-CN"/>
              </w:rPr>
              <w:t xml:space="preserve">）</w:t>
            </w:r>
            <w:r>
              <w:rPr>
                <w:rFonts w:hint="eastAsia" w:ascii="宋体" w:hAnsi="宋体" w:cs="宋体"/>
                <w:color w:val="000000"/>
                <w:sz w:val="24"/>
                <w:szCs w:val="24"/>
                <w:lang w:val="en-US" w:eastAsia="zh-CN"/>
              </w:rPr>
              <w:t xml:space="preserve">供应商</w:t>
            </w:r>
            <w:r>
              <w:rPr>
                <w:rFonts w:hint="eastAsia" w:ascii="宋体" w:hAnsi="宋体"/>
                <w:bCs/>
                <w:color w:val="000000"/>
                <w:sz w:val="24"/>
                <w:szCs w:val="24"/>
              </w:rPr>
              <w:t xml:space="preserve">配合</w:t>
            </w:r>
            <w:r>
              <w:rPr>
                <w:rFonts w:hint="eastAsia" w:ascii="宋体" w:hAnsi="宋体"/>
                <w:bCs/>
                <w:color w:val="000000"/>
                <w:sz w:val="24"/>
                <w:szCs w:val="24"/>
                <w:lang w:val="en-US" w:eastAsia="zh-CN"/>
              </w:rPr>
              <w:t xml:space="preserve">采购人</w:t>
            </w:r>
            <w:r>
              <w:rPr>
                <w:rFonts w:hint="eastAsia" w:ascii="宋体" w:hAnsi="宋体"/>
                <w:bCs/>
                <w:color w:val="000000"/>
                <w:sz w:val="24"/>
                <w:szCs w:val="24"/>
              </w:rPr>
              <w:t xml:space="preserve">做好电梯保险的购买工作，按照《江苏省质量技术监督局中国保险监督管理委员会江苏监管局》苏质监发{2014}25号文件中有关规定执行。</w:t>
            </w:r>
            <w:r>
              <w:rPr>
                <w:rFonts w:ascii="宋体" w:hAnsi="宋体"/>
                <w:bCs/>
                <w:color w:val="000000"/>
                <w:sz w:val="24"/>
                <w:szCs w:val="24"/>
              </w:rPr>
            </w:r>
            <w:r/>
          </w:p>
          <w:p>
            <w:pPr>
              <w:pStyle w:val="748"/>
              <w:jc w:val="left"/>
              <w:spacing w:line="360" w:lineRule="auto"/>
              <w:rPr>
                <w:rFonts w:ascii="宋体" w:hAnsi="宋体" w:eastAsia="宋体"/>
                <w:b w:val="0"/>
                <w:bCs w:val="0"/>
                <w:color w:val="000000"/>
                <w:sz w:val="24"/>
                <w:szCs w:val="24"/>
                <w:lang w:val="en-US" w:eastAsia="zh-CN"/>
              </w:rPr>
            </w:pPr>
            <w:r>
              <w:rPr>
                <w:rFonts w:hint="eastAsia" w:ascii="宋体" w:hAnsi="宋体"/>
                <w:b w:val="0"/>
                <w:bCs w:val="0"/>
                <w:color w:val="000000"/>
                <w:sz w:val="24"/>
                <w:szCs w:val="24"/>
                <w:lang w:val="en-US" w:eastAsia="zh-CN"/>
              </w:rPr>
              <w:t xml:space="preserve">5</w:t>
            </w:r>
            <w:r>
              <w:rPr>
                <w:rFonts w:hint="eastAsia" w:ascii="宋体" w:hAnsi="宋体"/>
                <w:b w:val="0"/>
                <w:bCs w:val="0"/>
                <w:color w:val="000000"/>
                <w:sz w:val="24"/>
                <w:szCs w:val="24"/>
              </w:rPr>
              <w:t xml:space="preserve">、</w:t>
            </w:r>
            <w:r>
              <w:rPr>
                <w:rFonts w:hint="eastAsia" w:ascii="宋体" w:hAnsi="宋体"/>
                <w:b w:val="0"/>
                <w:bCs w:val="0"/>
                <w:color w:val="000000"/>
                <w:sz w:val="24"/>
                <w:szCs w:val="24"/>
                <w:lang w:val="en-US" w:eastAsia="zh-CN"/>
              </w:rPr>
              <w:t xml:space="preserve">检查与考核</w:t>
            </w:r>
            <w:r>
              <w:rPr>
                <w:rFonts w:ascii="宋体" w:hAnsi="宋体" w:eastAsia="宋体"/>
                <w:b w:val="0"/>
                <w:bCs w:val="0"/>
                <w:color w:val="000000"/>
                <w:sz w:val="24"/>
                <w:szCs w:val="24"/>
                <w:lang w:val="en-US" w:eastAsia="zh-CN"/>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若</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不能按照A1-A4表格中所规定的项目和规定的时间对电梯进行维保和记录或不能按要求做好相关日常巡检与维修工作，第一次罚款500元；第二次罚款1000元；第三次</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有权终止合同，并按照当年合同总价的10%进行处罚。</w:t>
            </w:r>
            <w:r>
              <w:rPr>
                <w:rFonts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对</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如有违规行为，</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有权拨打“12365”进行投诉举报。</w:t>
            </w:r>
            <w:r>
              <w:rPr>
                <w:rFonts w:hint="eastAsia" w:ascii="宋体" w:hAnsi="宋体" w:cs="宋体"/>
                <w:color w:val="000000"/>
                <w:sz w:val="24"/>
                <w:szCs w:val="24"/>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6、其他</w:t>
            </w:r>
            <w:r>
              <w:rPr>
                <w:rFonts w:hint="eastAsia" w:ascii="宋体" w:hAnsi="宋体" w:cs="宋体"/>
                <w:color w:val="000000"/>
                <w:sz w:val="24"/>
                <w:szCs w:val="24"/>
                <w:lang w:val="en-US" w:eastAsia="zh-CN"/>
              </w:rPr>
            </w:r>
            <w:r/>
          </w:p>
          <w:p>
            <w:pPr>
              <w:pStyle w:val="748"/>
              <w:ind w:firstLine="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rPr>
            </w:pPr>
            <w:r>
              <w:rPr>
                <w:rFonts w:ascii="宋体" w:hAnsi="宋体" w:eastAsia="宋体" w:cs="宋体"/>
                <w:color w:val="000000"/>
                <w:sz w:val="24"/>
                <w:szCs w:val="24"/>
                <w:u w:val="single"/>
              </w:rPr>
              <w:t xml:space="preserve">供应商如不具有</w:t>
            </w:r>
            <w:r>
              <w:rPr>
                <w:rFonts w:hint="eastAsia" w:ascii="宋体" w:hAnsi="宋体" w:eastAsia="宋体" w:cs="宋体"/>
                <w:color w:val="000000"/>
                <w:sz w:val="24"/>
                <w:szCs w:val="24"/>
                <w:u w:val="single"/>
              </w:rPr>
              <w:t xml:space="preserve">《中华人民共和国特种设备安装改造维修许可证(电梯)》B级或B级以上资质</w:t>
            </w:r>
            <w:r>
              <w:rPr>
                <w:rFonts w:ascii="宋体" w:hAnsi="宋体" w:eastAsia="宋体" w:cs="宋体"/>
                <w:color w:val="000000"/>
                <w:sz w:val="24"/>
                <w:szCs w:val="24"/>
                <w:u w:val="single"/>
              </w:rPr>
              <w:t xml:space="preserve">的，</w:t>
            </w:r>
            <w:r>
              <w:rPr>
                <w:rFonts w:hint="eastAsia" w:ascii="宋体" w:hAnsi="宋体" w:eastAsia="宋体" w:cs="宋体"/>
                <w:color w:val="000000"/>
                <w:sz w:val="24"/>
                <w:szCs w:val="24"/>
                <w:u w:val="single"/>
                <w:lang w:val="en-US" w:eastAsia="zh-CN"/>
              </w:rPr>
              <w:t xml:space="preserve">采购人与供应商</w:t>
            </w:r>
            <w:r>
              <w:rPr>
                <w:rFonts w:hint="eastAsia" w:ascii="宋体" w:hAnsi="宋体" w:eastAsia="宋体" w:cs="宋体"/>
                <w:color w:val="000000"/>
                <w:sz w:val="24"/>
                <w:szCs w:val="24"/>
                <w:u w:val="single"/>
              </w:rPr>
              <w:t xml:space="preserve">合同签订时</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供应商须</w:t>
            </w:r>
            <w:r>
              <w:rPr>
                <w:rFonts w:hint="eastAsia" w:ascii="宋体" w:hAnsi="宋体" w:eastAsia="宋体" w:cs="宋体"/>
                <w:color w:val="000000"/>
                <w:sz w:val="24"/>
                <w:szCs w:val="24"/>
                <w:u w:val="single"/>
              </w:rPr>
              <w:t xml:space="preserve">提供分包方的资质证书</w:t>
            </w:r>
            <w:r>
              <w:rPr>
                <w:rFonts w:hint="eastAsia" w:ascii="宋体" w:hAnsi="宋体" w:eastAsia="宋体" w:cs="宋体"/>
                <w:color w:val="000000"/>
                <w:sz w:val="24"/>
                <w:szCs w:val="24"/>
                <w:u w:val="single"/>
                <w:lang w:val="en-US" w:eastAsia="zh-CN"/>
              </w:rPr>
              <w:t xml:space="preserve">以及电梯维保</w:t>
            </w:r>
            <w:r>
              <w:rPr>
                <w:rFonts w:hint="eastAsia" w:ascii="宋体" w:hAnsi="宋体" w:eastAsia="宋体" w:cs="宋体"/>
                <w:color w:val="000000"/>
                <w:sz w:val="24"/>
                <w:szCs w:val="24"/>
                <w:u w:val="single"/>
              </w:rPr>
              <w:t xml:space="preserve">委托合同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）室内保洁、校园环境保洁及绿化养护设备</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根据以往服务单位提供的室内保洁、校园环境保洁及绿化养护设备包括以下种类及数量：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1、室外道路清扫车不少于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2、电动垃圾清运车不少于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3、洒水车不少于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4、抽水泵不少于 2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5、室内手推保洁车不少于 10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6、打磨机不少于 1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7、挖掘机不少于 1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8、高压洗地车不少于 1 辆；</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9、打草机不少于 6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10、绿篱机不少于 4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11、草坪机不少于 3 台；</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12、手持户外伐木锯不少于 2 把；</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13、无线吹叶机鼓风机不少于 2 个；</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14、高枝剪不少于 4 把；</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15、扫雪工具及扫雪物资若干(融雪剂、铁锹、铁铲等)。</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供应商应充分考虑本项目物业服务需要，投入履行本项目物业服务的相应设备数量须满足实际采购需求和服务质量</w:t>
            </w:r>
            <w:r>
              <w:rPr>
                <w:rFonts w:hint="eastAsia" w:ascii="宋体" w:hAnsi="宋体" w:cs="宋体"/>
                <w:color w:val="000000"/>
                <w:sz w:val="24"/>
                <w:szCs w:val="24"/>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r>
            <w:r/>
          </w:p>
        </w:tc>
      </w:tr>
    </w:tbl>
    <w:p>
      <w:pPr>
        <w:pStyle w:val="802"/>
        <w:rPr>
          <w:rFonts w:hint="eastAsia"/>
          <w:color w:val="000000"/>
        </w:rPr>
      </w:pPr>
      <w:r>
        <w:rPr>
          <w:rFonts w:hint="eastAsia"/>
          <w:color w:val="000000"/>
        </w:rPr>
      </w:r>
      <w:r/>
    </w:p>
    <w:p>
      <w:pPr>
        <w:pStyle w:val="748"/>
        <w:ind w:firstLine="480"/>
        <w:rPr>
          <w:rFonts w:hint="eastAsia" w:ascii="宋体" w:hAnsi="宋体"/>
          <w:color w:val="000000"/>
          <w:sz w:val="24"/>
          <w:szCs w:val="24"/>
        </w:rPr>
      </w:pPr>
      <w:r>
        <w:rPr>
          <w:rFonts w:hint="eastAsia" w:ascii="宋体" w:hAnsi="宋体"/>
          <w:color w:val="000000"/>
          <w:sz w:val="24"/>
          <w:szCs w:val="24"/>
        </w:rPr>
        <w:t xml:space="preserve">2.人员配备要求</w:t>
      </w:r>
      <w:r>
        <w:rPr>
          <w:rFonts w:hint="eastAsia" w:ascii="宋体" w:hAnsi="宋体"/>
          <w:color w:val="000000"/>
          <w:sz w:val="24"/>
          <w:szCs w:val="24"/>
        </w:rPr>
      </w:r>
      <w:r/>
    </w:p>
    <w:p>
      <w:pPr>
        <w:pStyle w:val="748"/>
        <w:spacing w:line="0" w:lineRule="atLeast"/>
        <w:rPr>
          <w:rFonts w:hint="eastAsia" w:ascii="宋体" w:hAnsi="宋体" w:cs="宋体"/>
          <w:b/>
          <w:bCs/>
          <w:color w:val="000000"/>
          <w:spacing w:val="-1"/>
          <w:sz w:val="24"/>
          <w:szCs w:val="24"/>
        </w:rPr>
      </w:pPr>
      <w:r>
        <w:rPr>
          <w:rFonts w:hint="eastAsia" w:ascii="宋体" w:hAnsi="宋体" w:cs="宋体"/>
          <w:b/>
          <w:bCs/>
          <w:color w:val="000000"/>
          <w:spacing w:val="-1"/>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采购包1 金陵科技学院公共建筑物业管理服务项目</w:t>
      </w:r>
      <w:r>
        <w:rPr>
          <w:rFonts w:hint="eastAsia" w:ascii="宋体" w:hAnsi="宋体"/>
          <w:color w:val="000000"/>
          <w:sz w:val="24"/>
          <w:szCs w:val="24"/>
        </w:rPr>
      </w:r>
      <w:r/>
    </w:p>
    <w:tbl>
      <w:tblPr>
        <w:tblW w:w="5087" w:type="pct"/>
        <w:jc w:val="center"/>
        <w:tblInd w:w="-9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59"/>
        <w:gridCol w:w="3509"/>
        <w:gridCol w:w="5564"/>
      </w:tblGrid>
      <w:tr>
        <w:trPr>
          <w:trHeight w:val="510"/>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采购要求</w:t>
            </w:r>
            <w:r>
              <w:rPr>
                <w:rFonts w:hint="eastAsia" w:ascii="宋体" w:hAnsi="宋体"/>
                <w:color w:val="000000"/>
                <w:sz w:val="24"/>
                <w:szCs w:val="24"/>
              </w:rPr>
            </w:r>
            <w:r/>
          </w:p>
        </w:tc>
      </w:tr>
      <w:tr>
        <w:trPr>
          <w:trHeight w:val="475"/>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项目经理（1人）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1人，男女不限，年龄55周岁（含）以下，大专（含）以上学历，能熟悉劳动政策法规，具有良好的组织、沟通能力及较强的综合事务处理能力；熟练操作计算机；能规范组织管理服务工作。</w:t>
            </w:r>
            <w:r>
              <w:rPr>
                <w:rFonts w:hint="eastAsia" w:ascii="宋体" w:hAnsi="宋体"/>
                <w:color w:val="000000"/>
                <w:sz w:val="24"/>
                <w:szCs w:val="24"/>
              </w:rPr>
            </w:r>
            <w:r/>
          </w:p>
        </w:tc>
      </w:tr>
      <w:tr>
        <w:trPr>
          <w:trHeight w:val="475"/>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2.2</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项目副经理（2人）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1、江宁校区：1人，男女不限，年龄55周岁（含）以下，具有较强的责任心和组织、管理、协调、沟通能力；热爱本职工作，有吃苦耐劳精神；有管理校园工作经历的优先。</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2、幕府校区：1人，男女不限，年龄55周岁（含）以下，具有较强的责任心和组织、管理、协调、沟通能力；热爱本职工作，有吃苦耐劳精神；有管理校园工作经历的优先。</w:t>
            </w:r>
            <w:r>
              <w:rPr>
                <w:rFonts w:hint="eastAsia" w:ascii="宋体" w:hAnsi="宋体"/>
                <w:color w:val="000000"/>
                <w:sz w:val="24"/>
                <w:szCs w:val="24"/>
              </w:rPr>
            </w:r>
            <w:r/>
          </w:p>
        </w:tc>
      </w:tr>
      <w:tr>
        <w:trPr>
          <w:trHeight w:val="418"/>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2.3</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办公室管理员（1人）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1人，男女不限，年龄50周岁（含）以下，大专（含）以上学历，能够熟练操作计算机，协助采购人完成部分行政管理工作。</w:t>
            </w:r>
            <w:r>
              <w:rPr>
                <w:rFonts w:hint="eastAsia" w:ascii="宋体" w:hAnsi="宋体"/>
                <w:color w:val="000000"/>
                <w:sz w:val="24"/>
                <w:szCs w:val="24"/>
              </w:rPr>
            </w:r>
            <w:r/>
          </w:p>
        </w:tc>
      </w:tr>
      <w:tr>
        <w:trPr>
          <w:trHeight w:val="418"/>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2.4</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安保主管（1人）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1人，男女不限，年龄55周岁（含）以下，大专及以上学历，具有保安员证书和应急救援专业知识。</w:t>
            </w:r>
            <w:r>
              <w:rPr>
                <w:rFonts w:hint="eastAsia" w:ascii="宋体" w:hAnsi="宋体"/>
                <w:color w:val="000000"/>
                <w:sz w:val="24"/>
                <w:szCs w:val="24"/>
              </w:rPr>
            </w:r>
            <w:r/>
          </w:p>
        </w:tc>
      </w:tr>
      <w:tr>
        <w:trPr>
          <w:trHeight w:val="1741"/>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2.5</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其他安保人员（34人）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1、江宁校区：配置人数不少于26人（含1名礼仪保安），男性，60周岁（含）以下，五官端正，形象佳，身体健康，经培训能熟练操作学校信息化管理与服务系统。</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a)崇德楼1号教学楼不少于3人；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b)崇德楼2号教学楼不少于3人；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c)勤业楼1-3号教学楼不少于3人；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d)问学楼、尚学楼、博学楼不少于3人；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e)行政楼不少于2人，其中礼仪保安1人；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f)图书馆不少于9人；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g)大学生活动中心不少于3人。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2、幕府校区：配置人数不少于8人，男性，60周岁（含）以下，五官端正，形象佳，身体健康，经培训能熟练操作学校信息化管理与服务系统。</w:t>
            </w:r>
            <w:r>
              <w:rPr>
                <w:rFonts w:hint="eastAsia" w:ascii="宋体" w:hAnsi="宋体"/>
                <w:color w:val="000000"/>
                <w:sz w:val="24"/>
                <w:szCs w:val="24"/>
              </w:rPr>
            </w:r>
            <w:r/>
          </w:p>
        </w:tc>
      </w:tr>
      <w:tr>
        <w:trPr>
          <w:trHeight w:val="187"/>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2.6</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绿化养护主管（1人）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1人，男女不限，年龄55周岁（含）以下，有绿化养护相关工作经历，具有大专及以上学历(园林绿化相关专业)优先。</w:t>
            </w:r>
            <w:r>
              <w:rPr>
                <w:rFonts w:hint="eastAsia" w:ascii="宋体" w:hAnsi="宋体"/>
                <w:color w:val="000000"/>
                <w:sz w:val="24"/>
                <w:szCs w:val="24"/>
              </w:rPr>
            </w:r>
            <w:r/>
          </w:p>
        </w:tc>
      </w:tr>
      <w:tr>
        <w:trPr>
          <w:trHeight w:val="325"/>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绿化养护人员（8人）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配置不少于8人，男女不限，女性年龄55周岁（含）以下，男性年龄60周岁（含）以下，有绿化养护基本技能。</w:t>
            </w:r>
            <w:r>
              <w:rPr>
                <w:rFonts w:hint="eastAsia" w:ascii="宋体" w:hAnsi="宋体"/>
                <w:color w:val="000000"/>
                <w:sz w:val="24"/>
                <w:szCs w:val="24"/>
              </w:rPr>
            </w:r>
            <w:r/>
          </w:p>
        </w:tc>
      </w:tr>
      <w:tr>
        <w:trPr>
          <w:trHeight w:val="325"/>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2.8</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保洁主管（1人）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1人，男女不限，年龄55周岁（含）以下，热爱本职工作，有吃苦耐劳精神。</w:t>
            </w:r>
            <w:r>
              <w:rPr>
                <w:rFonts w:hint="eastAsia" w:ascii="宋体" w:hAnsi="宋体"/>
                <w:color w:val="000000"/>
                <w:sz w:val="24"/>
                <w:szCs w:val="24"/>
              </w:rPr>
            </w:r>
            <w:r/>
          </w:p>
        </w:tc>
      </w:tr>
      <w:tr>
        <w:trPr>
          <w:trHeight w:val="90"/>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2.9</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外场保洁人员(含水环境)（10人）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配置人数外场保洁人员不少于8人，水环境保障不少于2人，男女不限，女性，年龄55周岁（含）以下，男性，年龄60周岁（含）以下，五官端正，身体健康。</w:t>
            </w:r>
            <w:r>
              <w:rPr>
                <w:rFonts w:hint="eastAsia" w:ascii="宋体" w:hAnsi="宋体"/>
                <w:color w:val="000000"/>
                <w:sz w:val="24"/>
                <w:szCs w:val="24"/>
              </w:rPr>
            </w:r>
            <w:r/>
          </w:p>
        </w:tc>
      </w:tr>
      <w:tr>
        <w:trPr>
          <w:trHeight w:val="90"/>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2.10</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内场保洁人员（47人）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1、江宁校区：配置人数不少于47人，男女不限，女性年龄55周岁（含）以下，男性年龄60周岁（含）以下，五官端正，身体健康。其中：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a)崇德楼1号教学楼不少于5人；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b)崇德楼2号教学楼不少于5人；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c)勤业楼1-3号教学楼不少于10人；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d)问学楼、尚学楼、博学楼不少于6人；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e)行政楼不少于 5 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f)图书馆不少于 8人；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g)大学生活动中心不少于 2 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2、幕府校区：配置人数不少于6人，男女不限，年龄60周岁（含）以下。</w:t>
            </w:r>
            <w:r>
              <w:rPr>
                <w:rFonts w:hint="eastAsia" w:ascii="宋体" w:hAnsi="宋体"/>
                <w:color w:val="000000"/>
                <w:sz w:val="24"/>
                <w:szCs w:val="24"/>
              </w:rPr>
            </w:r>
            <w:r/>
          </w:p>
        </w:tc>
      </w:tr>
      <w:tr>
        <w:trPr>
          <w:trHeight w:val="107"/>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2.11</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客服人员（4人）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配置人数不少于4人，其中含领班1人，女性，45周岁（含）以下，大专（含）以上学历，身高1.6米及以上，有会务经验 2 年及以上，五官端正，形象佳，身体健康。</w:t>
            </w:r>
            <w:r>
              <w:rPr>
                <w:rFonts w:hint="eastAsia" w:ascii="宋体" w:hAnsi="宋体"/>
                <w:color w:val="000000"/>
                <w:sz w:val="24"/>
                <w:szCs w:val="24"/>
              </w:rPr>
            </w:r>
            <w:r/>
          </w:p>
        </w:tc>
      </w:tr>
      <w:tr>
        <w:trPr>
          <w:trHeight w:val="1373"/>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2.12</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消防监控室值班人员（6人）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1、消防监控室领班1人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男性，年龄60周岁（含）以下，持有应急管理部门颁发的中级及以上《消防设施操作员证》。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其他消防值班人员5人，男女不限，60周岁（含）以下，持有应急管理部门颁发的中级及以上《消防设施操作员证》。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须在中标后签约前由采购人核验证书，并提供对应人员在单位缴纳社保的证明，如未能提供视为虚假应标，采购人有权取消其中标资格。</w:t>
            </w:r>
            <w:r>
              <w:rPr>
                <w:rFonts w:hint="eastAsia" w:ascii="宋体" w:hAnsi="宋体"/>
                <w:color w:val="000000"/>
                <w:sz w:val="24"/>
                <w:szCs w:val="24"/>
              </w:rPr>
            </w:r>
            <w:r/>
          </w:p>
        </w:tc>
      </w:tr>
      <w:tr>
        <w:trPr>
          <w:trHeight w:val="90"/>
        </w:trPr>
        <w:tc>
          <w:tcPr>
            <w:tcW w:w="85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2.13</w:t>
            </w:r>
            <w:r>
              <w:rPr>
                <w:rFonts w:hint="eastAsia" w:ascii="宋体" w:hAnsi="宋体"/>
                <w:color w:val="000000"/>
                <w:sz w:val="24"/>
                <w:szCs w:val="24"/>
              </w:rPr>
            </w:r>
            <w:r/>
          </w:p>
        </w:tc>
        <w:tc>
          <w:tcPr>
            <w:tcW w:w="350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水电保障人员（1人）</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1人，男性，年龄60周岁（含）以下，持有低压电工</w:t>
            </w:r>
            <w:r>
              <w:rPr>
                <w:rFonts w:hint="eastAsia" w:ascii="宋体" w:hAnsi="宋体"/>
                <w:color w:val="000000"/>
                <w:sz w:val="24"/>
                <w:szCs w:val="24"/>
                <w:lang w:val="en-US" w:eastAsia="zh-CN"/>
              </w:rPr>
              <w:t xml:space="preserve">作业操作</w:t>
            </w:r>
            <w:r>
              <w:rPr>
                <w:rFonts w:hint="eastAsia" w:ascii="宋体" w:hAnsi="宋体"/>
                <w:color w:val="000000"/>
                <w:sz w:val="24"/>
                <w:szCs w:val="24"/>
              </w:rPr>
              <w:t xml:space="preserve">证。</w:t>
            </w:r>
            <w:r>
              <w:rPr>
                <w:rFonts w:hint="eastAsia" w:ascii="宋体" w:hAnsi="宋体"/>
                <w:color w:val="000000"/>
                <w:sz w:val="24"/>
                <w:szCs w:val="24"/>
              </w:rPr>
            </w:r>
            <w:r/>
          </w:p>
        </w:tc>
      </w:tr>
      <w:tr>
        <w:trPr>
          <w:trHeight w:val="543"/>
        </w:trPr>
        <w:tc>
          <w:tcPr>
            <w:gridSpan w:val="2"/>
            <w:tcW w:w="4368"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人员配置总体要求</w:t>
            </w:r>
            <w:r>
              <w:rPr>
                <w:rFonts w:hint="eastAsia" w:ascii="宋体" w:hAnsi="宋体"/>
                <w:color w:val="000000"/>
                <w:sz w:val="24"/>
                <w:szCs w:val="24"/>
              </w:rPr>
            </w:r>
            <w:r/>
          </w:p>
        </w:tc>
        <w:tc>
          <w:tcPr>
            <w:tcW w:w="5555"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本采购包服务人员117人是采购人规定的最低配置要求，若投标供应商认为该配置人数不能满足楼宇服务要求，可在投标中自行考虑增加人员配置数量，一旦中标后，必须按照投标承诺配置相关人员；服务过程中人员需保持相对稳定，每年人员更换率不得超过 15% (特殊情况除外，如提供医院诊断书等)。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2、供应商投入人员在服务过程中不享受学校寒、暑假待遇，管理人员上班时间为8:00、下班时间为16:40。</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3、以上人员年龄不符合要求的，须经采购人面试通过后方可上岗。</w:t>
            </w:r>
            <w:r>
              <w:rPr>
                <w:rFonts w:hint="eastAsia" w:ascii="宋体" w:hAnsi="宋体"/>
                <w:color w:val="000000"/>
                <w:sz w:val="24"/>
                <w:szCs w:val="24"/>
              </w:rPr>
            </w:r>
            <w:r/>
          </w:p>
        </w:tc>
      </w:tr>
    </w:tbl>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采购包2 金陵科技学院江宁校区科技园物业管理服务项目</w:t>
      </w:r>
      <w:r>
        <w:rPr>
          <w:rFonts w:hint="eastAsia" w:ascii="宋体" w:hAnsi="宋体"/>
          <w:color w:val="000000"/>
          <w:sz w:val="24"/>
          <w:szCs w:val="24"/>
        </w:rPr>
      </w:r>
      <w:r/>
    </w:p>
    <w:tbl>
      <w:tblPr>
        <w:tblW w:w="5103"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61"/>
        <w:gridCol w:w="3520"/>
        <w:gridCol w:w="5582"/>
      </w:tblGrid>
      <w:tr>
        <w:trPr>
          <w:trHeight w:val="510"/>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采购要求</w:t>
            </w:r>
            <w:r>
              <w:rPr>
                <w:rFonts w:hint="eastAsia" w:ascii="宋体" w:hAnsi="宋体"/>
                <w:color w:val="000000"/>
                <w:sz w:val="24"/>
                <w:szCs w:val="24"/>
              </w:rPr>
            </w:r>
            <w:r/>
          </w:p>
        </w:tc>
      </w:tr>
      <w:tr>
        <w:trPr>
          <w:trHeight w:val="475"/>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项目经理（1人）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1人，男女不限，年龄55周岁（含）以下，大专（含）以上学历，能熟悉劳动政策法规，具有良好的组织、沟通能力及较强的综合事务处理能力；熟练操作计算机；能规范组织管理服务工作。</w:t>
            </w:r>
            <w:r>
              <w:rPr>
                <w:rFonts w:hint="eastAsia" w:ascii="宋体" w:hAnsi="宋体"/>
                <w:color w:val="000000"/>
                <w:sz w:val="24"/>
                <w:szCs w:val="24"/>
              </w:rPr>
            </w:r>
            <w:r/>
          </w:p>
        </w:tc>
      </w:tr>
      <w:tr>
        <w:trPr>
          <w:trHeight w:val="418"/>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2.2</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项目副经理（兼客服领班）（1人）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 1 人，女性，年龄45周岁（含）及以下，大专（含）以上学历，能熟练操作计算机办公 软件，五官端正，身体健康。</w:t>
            </w:r>
            <w:r>
              <w:rPr>
                <w:rFonts w:hint="eastAsia" w:ascii="宋体" w:hAnsi="宋体"/>
                <w:color w:val="000000"/>
                <w:sz w:val="24"/>
                <w:szCs w:val="24"/>
              </w:rPr>
            </w:r>
            <w:r/>
          </w:p>
        </w:tc>
      </w:tr>
      <w:tr>
        <w:trPr>
          <w:trHeight w:val="418"/>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2.3</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安保主管（1人）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1人，男女不限，年龄55周岁（含）以下，大专及以上学历，具有保安员证书和应急救援专业知识。</w:t>
            </w:r>
            <w:r>
              <w:rPr>
                <w:rFonts w:hint="eastAsia" w:ascii="宋体" w:hAnsi="宋体"/>
                <w:color w:val="000000"/>
                <w:sz w:val="24"/>
                <w:szCs w:val="24"/>
              </w:rPr>
            </w:r>
            <w:r/>
          </w:p>
        </w:tc>
      </w:tr>
      <w:tr>
        <w:trPr>
          <w:trHeight w:val="2922"/>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2.4</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其他安保人员（31人）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配置人数不少于 31 人(含 7 名礼仪保安)，男性， 60 周岁及以下，五官端正，形象佳，身体健康，经培训能熟练操作学校信息化管理与服务系统。</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1)科技楼1号楼不少于6人；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2)科技楼2号楼不少于6人；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3)科技楼3号楼不少于6人；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4)科技楼4号楼不少于5人；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5)崇文楼不少于2人；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6)地下停车场不少于6人。</w:t>
            </w:r>
            <w:r>
              <w:rPr>
                <w:rFonts w:hint="eastAsia" w:ascii="宋体" w:hAnsi="宋体"/>
                <w:color w:val="000000"/>
                <w:sz w:val="24"/>
                <w:szCs w:val="24"/>
              </w:rPr>
            </w:r>
            <w:r/>
          </w:p>
        </w:tc>
      </w:tr>
      <w:tr>
        <w:trPr>
          <w:trHeight w:val="90"/>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2.5</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保洁主管（1人）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1人，男女不限，年龄55周岁（含）以下，热爱本职工作，有吃苦耐劳精神。</w:t>
            </w:r>
            <w:r>
              <w:rPr>
                <w:rFonts w:hint="eastAsia" w:ascii="宋体" w:hAnsi="宋体"/>
                <w:color w:val="000000"/>
                <w:sz w:val="24"/>
                <w:szCs w:val="24"/>
              </w:rPr>
            </w:r>
            <w:r/>
          </w:p>
        </w:tc>
      </w:tr>
      <w:tr>
        <w:trPr>
          <w:trHeight w:val="1172"/>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2.6</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内场保洁人员（28人）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配置人数不少于 28 人，男女不限，女性年龄55周岁（含）以下，男性年龄60周岁（含）以下，五官端正，身体健康。</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1)科技楼1号楼不少于8人；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2)科技楼2号楼不少于3人；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3)科技楼3号楼不少于5人；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4)科技楼4号楼不少于5人：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5)玻璃清洁不少于2人；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6)地下室清洁不少于1人；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7)电梯保洁不少于 1人。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8)崇文楼不少于3人。</w:t>
            </w:r>
            <w:r>
              <w:rPr>
                <w:rFonts w:hint="eastAsia" w:ascii="宋体" w:hAnsi="宋体"/>
                <w:color w:val="000000"/>
                <w:sz w:val="24"/>
                <w:szCs w:val="24"/>
              </w:rPr>
            </w:r>
            <w:r/>
          </w:p>
        </w:tc>
      </w:tr>
      <w:tr>
        <w:trPr>
          <w:trHeight w:val="1172"/>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外场保洁人员（4人）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配置人数不少于4人，男女不限，女性年龄55周岁（含）以下，男性年龄60周岁（含）以下，五官端正，身体健康。</w:t>
            </w:r>
            <w:r>
              <w:rPr>
                <w:rFonts w:hint="eastAsia" w:ascii="宋体" w:hAnsi="宋体"/>
                <w:color w:val="000000"/>
                <w:sz w:val="24"/>
                <w:szCs w:val="24"/>
              </w:rPr>
            </w:r>
            <w:r/>
          </w:p>
        </w:tc>
      </w:tr>
      <w:tr>
        <w:trPr>
          <w:trHeight w:val="1172"/>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2.8</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绿化养护主管（1人）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1人，男女不限，年龄55周岁（含）以下，有绿化养护相关工作经历，具有大专及以上学历(园林绿化相关专业)优先。</w:t>
            </w:r>
            <w:r>
              <w:rPr>
                <w:rFonts w:hint="eastAsia" w:ascii="宋体" w:hAnsi="宋体"/>
                <w:color w:val="000000"/>
                <w:sz w:val="24"/>
                <w:szCs w:val="24"/>
              </w:rPr>
            </w:r>
            <w:r/>
          </w:p>
        </w:tc>
      </w:tr>
      <w:tr>
        <w:trPr>
          <w:trHeight w:val="325"/>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2.9</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绿化养护人员（3人）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配置人数不少于 3 人，男女不限，年龄60周岁（含）以下，五官端正，身体健康。</w:t>
            </w:r>
            <w:r>
              <w:rPr>
                <w:rFonts w:hint="eastAsia" w:ascii="宋体" w:hAnsi="宋体"/>
                <w:color w:val="000000"/>
                <w:sz w:val="24"/>
                <w:szCs w:val="24"/>
              </w:rPr>
            </w:r>
            <w:r/>
          </w:p>
        </w:tc>
      </w:tr>
      <w:tr>
        <w:trPr>
          <w:trHeight w:val="107"/>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2.10</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客服人员（6人）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配置人数不少于 6人，女性，45周岁（含）以下，大专（含）以上学历，身高1.6米及以上，有会务经验 2 年及以上，五官端正，形象佳，身体健康。</w:t>
            </w:r>
            <w:r>
              <w:rPr>
                <w:rFonts w:hint="eastAsia" w:ascii="宋体" w:hAnsi="宋体"/>
                <w:color w:val="000000"/>
                <w:sz w:val="24"/>
                <w:szCs w:val="24"/>
              </w:rPr>
            </w:r>
            <w:r/>
          </w:p>
        </w:tc>
      </w:tr>
      <w:tr>
        <w:trPr>
          <w:trHeight w:val="1373"/>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2.11</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消防监控室值班人员（9人）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1、消防监控室领班1人</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男性，年龄60周岁（含）以下，持有应急管理部门颁发的中级及以上《消防设施操作员证》。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其他消防值班人员8人（含崇文楼3人），男女不限，60周岁（含）以下，持有应急管理部门颁发的中级及以上《消防设施操作员证》。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须在中标后签约前由采购人核验证书，并提供对应人员在单位缴纳社保的证明，如未能提供视为虚假应标，采购人有权取消其中标资格。</w:t>
            </w:r>
            <w:r>
              <w:rPr>
                <w:rFonts w:hint="eastAsia" w:ascii="宋体" w:hAnsi="宋体"/>
                <w:color w:val="000000"/>
                <w:sz w:val="24"/>
                <w:szCs w:val="24"/>
              </w:rPr>
            </w:r>
            <w:r/>
          </w:p>
        </w:tc>
      </w:tr>
      <w:tr>
        <w:trPr>
          <w:trHeight w:val="1075"/>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2.12</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水电保障主管（1人）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 人(兼物业服务信息化管理员)，男性，年龄55周岁（含）及以下，能熟练掌握计算机后勤维修系统及网上报修系统的操作与使用。</w:t>
            </w:r>
            <w:r>
              <w:rPr>
                <w:rFonts w:hint="eastAsia" w:ascii="宋体" w:hAnsi="宋体"/>
                <w:color w:val="000000"/>
                <w:sz w:val="24"/>
                <w:szCs w:val="24"/>
              </w:rPr>
            </w:r>
            <w:r/>
          </w:p>
        </w:tc>
      </w:tr>
      <w:tr>
        <w:trPr>
          <w:trHeight w:val="90"/>
        </w:trPr>
        <w:tc>
          <w:tcPr>
            <w:tcW w:w="86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2.13</w:t>
            </w:r>
            <w:r>
              <w:rPr>
                <w:rFonts w:hint="eastAsia" w:ascii="宋体" w:hAnsi="宋体"/>
                <w:color w:val="000000"/>
                <w:sz w:val="24"/>
                <w:szCs w:val="24"/>
              </w:rPr>
            </w:r>
            <w:r/>
          </w:p>
        </w:tc>
        <w:tc>
          <w:tcPr>
            <w:tcW w:w="351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水电保障人员（3人）</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配置不少于 3 人，男性，年龄 60 周岁（含）及以下，具有</w:t>
            </w:r>
            <w:r>
              <w:rPr>
                <w:rFonts w:hint="eastAsia" w:ascii="宋体" w:hAnsi="宋体"/>
                <w:color w:val="000000"/>
                <w:sz w:val="24"/>
                <w:szCs w:val="24"/>
                <w:lang w:val="en-US" w:eastAsia="zh-CN"/>
              </w:rPr>
              <w:t xml:space="preserve">低压电工作业操作证</w:t>
            </w:r>
            <w:r>
              <w:rPr>
                <w:rFonts w:hint="eastAsia" w:ascii="宋体" w:hAnsi="宋体"/>
                <w:color w:val="000000"/>
                <w:sz w:val="24"/>
                <w:szCs w:val="24"/>
              </w:rPr>
              <w:t xml:space="preserve">。</w:t>
            </w:r>
            <w:r>
              <w:rPr>
                <w:rFonts w:hint="eastAsia" w:ascii="宋体" w:hAnsi="宋体"/>
                <w:color w:val="000000"/>
                <w:sz w:val="24"/>
                <w:szCs w:val="24"/>
              </w:rPr>
            </w:r>
            <w:r/>
          </w:p>
        </w:tc>
      </w:tr>
      <w:tr>
        <w:trPr>
          <w:trHeight w:val="1107"/>
        </w:trPr>
        <w:tc>
          <w:tcPr>
            <w:gridSpan w:val="2"/>
            <w:tcW w:w="4381"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人员配置总体要求</w:t>
            </w:r>
            <w:r>
              <w:rPr>
                <w:rFonts w:hint="eastAsia" w:ascii="宋体" w:hAnsi="宋体"/>
                <w:color w:val="000000"/>
                <w:sz w:val="24"/>
                <w:szCs w:val="24"/>
              </w:rPr>
            </w:r>
            <w:r/>
          </w:p>
        </w:tc>
        <w:tc>
          <w:tcPr>
            <w:tcW w:w="5573"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本采购包服务人员90人是采购人规定的最低配置要求，若投标供应商认为该配置人数不能满足楼宇服务要求，可在投标中自行考虑增加人员配置数量，一旦中标后，必须按照投标承诺配置相关人员；服务过程中人员需保持相对稳定，每年人员更换率不得超过 15% (特殊情况除外，如提供医院诊断书等)。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2、供应商投入人员在服务过程中不享受学校寒、暑假待遇，管理人员上班时间为8:00、下班时间为16:40。</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3、以上人员年龄不符合要求的，须经采购人面试通过后方可上岗。</w:t>
            </w:r>
            <w:r>
              <w:rPr>
                <w:rFonts w:hint="eastAsia" w:ascii="宋体" w:hAnsi="宋体"/>
                <w:color w:val="000000"/>
                <w:sz w:val="24"/>
                <w:szCs w:val="24"/>
              </w:rPr>
            </w:r>
            <w:r/>
          </w:p>
        </w:tc>
      </w:tr>
    </w:tbl>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3.项目实施要求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采购包1 金陵科技学院公共建筑物业管理服务项目</w:t>
      </w:r>
      <w:r>
        <w:rPr>
          <w:rFonts w:hint="eastAsia" w:ascii="宋体" w:hAnsi="宋体"/>
          <w:color w:val="000000"/>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也不得在其他项目中兼任职务。本项目服务人员调换须经采购人同意。未经采购人书面同意，本项目项目负责人不得调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3.供应商不得利用服务区域内的采购人房产、物业、水电等资源从事经营活动，不能改变其使用性质。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供应商负责配备用于物业管理服务的设备、机具、用具、易耗品（包括办公用品、安保器械、清洁耗材、工程维修用具）等，需满足服务实际需要以及采购人规定要求。采购人提供的物资材料，供应商应做好登记领用并和采购人确认。</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7.如遇采购人重大活动、重要迎查检查等，供应商应无条件配合采购人，服从采购人相关安排（包括人员配置、工作要求等）。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供应商每月均须将本项目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rPr>
                <w:rFonts w:hint="eastAsia" w:ascii="宋体" w:hAnsi="宋体"/>
                <w:color w:val="000000"/>
                <w:sz w:val="24"/>
                <w:szCs w:val="24"/>
              </w:rPr>
            </w:r>
            <w:r/>
          </w:p>
          <w:p>
            <w:pPr>
              <w:pStyle w:val="802"/>
              <w:ind w:firstLine="0"/>
              <w:rPr>
                <w:rFonts w:eastAsia="宋体"/>
                <w:color w:val="000000"/>
                <w:lang w:val="en-US" w:eastAsia="zh-CN"/>
              </w:rPr>
            </w:pPr>
            <w:r>
              <w:rPr>
                <w:rFonts w:hint="eastAsia"/>
                <w:color w:val="000000"/>
                <w:sz w:val="24"/>
                <w:szCs w:val="24"/>
                <w:lang w:val="en-US" w:eastAsia="zh-CN"/>
              </w:rPr>
              <w:t xml:space="preserve">9.供应商应具有信息化处理能力。</w:t>
            </w:r>
            <w:r>
              <w:rPr>
                <w:rFonts w:eastAsia="宋体"/>
                <w:color w:val="000000"/>
                <w:lang w:val="en-US" w:eastAsia="zh-CN"/>
              </w:rPr>
            </w:r>
            <w:r/>
          </w:p>
        </w:tc>
      </w:tr>
    </w:tbl>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采购包2 金陵科技学院江宁校区科技园物业管理服务项目</w:t>
      </w:r>
      <w:r>
        <w:rPr>
          <w:rFonts w:hint="eastAsia" w:ascii="宋体" w:hAnsi="宋体"/>
          <w:color w:val="000000"/>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也不得在其他项目中兼任职务。本项目服务人员调换须经采购人同意。未经采购人书面同意，本项目项目负责人不得调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3.供应商不得利用服务区域内的采购人房产、物业、水电等资源从事经营活动，不能改变其使用性质。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供应商负责配备用于物业管理服务的设备、机具、用具、易耗品（包括办公用品、安保器械、清洁耗材、工程维修用具）等，需满足服务实际需要以及采购人规定要求。采购人提供的物资材料，供应商应做好登记领用并和采购人确认。</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7.如遇采购人重大活动、重要迎查检查等，供应商应无条件配合采购人，服从采购人相关安排（包括人员配置、工作要求等）。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供应商每月均须将本项目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rPr>
                <w:rFonts w:hint="eastAsia" w:ascii="宋体" w:hAnsi="宋体"/>
                <w:color w:val="000000"/>
                <w:sz w:val="24"/>
                <w:szCs w:val="24"/>
              </w:rPr>
            </w:r>
            <w:r/>
          </w:p>
          <w:p>
            <w:pPr>
              <w:pStyle w:val="802"/>
              <w:ind w:firstLine="0"/>
              <w:rPr>
                <w:rFonts w:hint="eastAsia"/>
                <w:color w:val="000000"/>
              </w:rPr>
            </w:pPr>
            <w:r>
              <w:rPr>
                <w:rFonts w:hint="eastAsia"/>
                <w:color w:val="000000"/>
                <w:sz w:val="24"/>
                <w:szCs w:val="24"/>
                <w:lang w:val="en-US" w:eastAsia="zh-CN"/>
              </w:rPr>
              <w:t xml:space="preserve">9.供应商应具有信息化处理能力。</w:t>
            </w:r>
            <w:r>
              <w:rPr>
                <w:rFonts w:hint="eastAsia"/>
                <w:color w:val="000000"/>
              </w:rPr>
            </w:r>
            <w:r/>
          </w:p>
        </w:tc>
      </w:tr>
    </w:tbl>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★（二）商务要求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1.报价要求</w:t>
      </w:r>
      <w:r>
        <w:rPr>
          <w:rFonts w:hint="eastAsia" w:ascii="宋体" w:hAnsi="宋体"/>
          <w:color w:val="000000"/>
          <w:sz w:val="24"/>
          <w:szCs w:val="24"/>
        </w:rPr>
      </w:r>
      <w:r/>
    </w:p>
    <w:p>
      <w:pPr>
        <w:pStyle w:val="748"/>
        <w:rPr>
          <w:rFonts w:hint="eastAsia" w:ascii="宋体" w:hAnsi="宋体"/>
          <w:b/>
          <w:bCs/>
          <w:color w:val="000000"/>
          <w:sz w:val="24"/>
          <w:szCs w:val="24"/>
        </w:rPr>
      </w:pPr>
      <w:r>
        <w:rPr>
          <w:rFonts w:hint="eastAsia" w:ascii="宋体" w:hAnsi="宋体"/>
          <w:b/>
          <w:bCs/>
          <w:color w:val="000000"/>
          <w:sz w:val="24"/>
          <w:szCs w:val="24"/>
        </w:rPr>
        <w:t xml:space="preserve">采购包1 金陵科技学院公共建筑物业管理服务项目：</w:t>
      </w:r>
      <w:r>
        <w:rPr>
          <w:rFonts w:hint="eastAsia" w:ascii="宋体" w:hAnsi="宋体"/>
          <w:b/>
          <w:bCs/>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（1）供应商应按要求填报《投标报价明细表》（格式见第六章），报价应包括但不限于以下内容：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根据省级人社部门文件规定，最低工资不包含劳动者按下限缴存的住房公积金，由用人单位按规定另行支付，供应商须测算在公积金报价中，否则做无效投标处理。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b/>
          <w:bCs/>
          <w:color w:val="000000"/>
          <w:sz w:val="24"/>
          <w:szCs w:val="24"/>
        </w:rPr>
        <w:t xml:space="preserve">供应商为投入本项目服务人员缴纳社保和公积金的人数不得低于37人（不包含享受社保公积金减免政策人员、退休返聘人员等），供应商报价中的“社保公积金”费用测算不得低于上述要求，否则作为无效投标处理。</w:t>
      </w:r>
      <w:r>
        <w:rPr>
          <w:rFonts w:hint="eastAsia" w:ascii="宋体" w:hAnsi="宋体"/>
          <w:color w:val="000000"/>
          <w:sz w:val="24"/>
          <w:szCs w:val="24"/>
        </w:rPr>
        <w:t xml:space="preserve">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b/>
          <w:bCs/>
          <w:color w:val="000000"/>
          <w:sz w:val="24"/>
          <w:szCs w:val="24"/>
        </w:rPr>
        <w:t xml:space="preserve">本项目物业管理服务法定节假日在岗人数不少于40人，报价中的“法定节假日人员加班费”不得低于上述要求，并按照本项目合同履行期内的法定节假日天数（13天/年）进行测算，否则做无效投标处理。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④法定税费：供应商应依法缴纳税费。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⑤其他费用：供应商认为完成本项目物业管理服务可能产生的其他相关费用。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（2）报价中还应包含以下费用，在《投标报价明细表》中列明，结算时按实支付，否则做无效投标处理：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①设备、机具、用具及易耗品费用。设备、机具、用具及易耗品需满足服务实际需要以及采购人规定要求。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设备、机具至少包括：室外道路清扫车、电动垃圾清运车、洒水车等，配置要求及数量参考“服务要求-（七）室内保洁、校园环境保洁及绿化养护设备”；</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清洁耗材至少包括：扫把、地推、垃圾袋、消毒液、洁厕灵等。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②服装费。所有服务人员统一服装，所有岗位各配备春秋季两套长袖夏季两套短袖，冬季配备羽绒服一套，棉衣一套，供应商自行测算并考虑到报价中。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③办公大楼外墙清洗费。每年清洗一次，</w:t>
      </w:r>
      <w:r>
        <w:rPr>
          <w:rFonts w:hint="eastAsia" w:ascii="宋体" w:hAnsi="宋体"/>
          <w:color w:val="000000"/>
          <w:sz w:val="24"/>
          <w:szCs w:val="24"/>
          <w:lang w:val="en-US" w:eastAsia="zh-CN"/>
        </w:rPr>
        <w:t xml:space="preserve">往年预估</w:t>
      </w:r>
      <w:r>
        <w:rPr>
          <w:rFonts w:hint="eastAsia" w:ascii="宋体" w:hAnsi="宋体"/>
          <w:color w:val="000000"/>
          <w:sz w:val="24"/>
          <w:szCs w:val="24"/>
        </w:rPr>
        <w:t xml:space="preserve">费用为50000元，供应商可自行测算并考虑到报价中。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④绿化相关费用：绿化补植、补种、化肥、绿化垃圾清理以及绿化设备产生的汽油费，供应商自行测算并考虑到报价中。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供应商应充分考虑所有可能影响到报价的价格及政策等风险因素，此次合同有效期内，如遇本市有关规定调整，包括本市最低工资标准上调、社保公积金基数上调等，均由投标人自行消化，总价一律不予调整（工作日及节假日所有加班费均含在报价中，最终结算金额不超过合同总价）。</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（5）法律法规、政策文件有更新或另有规定的，从其规定。</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b/>
          <w:bCs/>
          <w:color w:val="000000"/>
          <w:sz w:val="24"/>
          <w:szCs w:val="24"/>
        </w:rPr>
      </w:pPr>
      <w:r>
        <w:rPr>
          <w:rFonts w:hint="eastAsia" w:ascii="宋体" w:hAnsi="宋体"/>
          <w:b/>
          <w:bCs/>
          <w:color w:val="000000"/>
          <w:sz w:val="24"/>
          <w:szCs w:val="24"/>
        </w:rPr>
        <w:t xml:space="preserve">采购包2 金陵科技学院江宁校区科技园物业管理服务项目：</w:t>
      </w:r>
      <w:r>
        <w:rPr>
          <w:rFonts w:hint="eastAsia" w:ascii="宋体" w:hAnsi="宋体"/>
          <w:b/>
          <w:bCs/>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（1）供应商应按要求填报《投标报价明细表》（格式见第六章），报价应包括但不限于以下内容：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根据省级人社部门文件规定，最低工资不包含劳动者按下限缴存的住房公积金，由用人单位按规定另行支付，供应商须测算在公积金报价中，否则做无效投标处理。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b/>
          <w:bCs/>
          <w:color w:val="000000"/>
          <w:sz w:val="24"/>
          <w:szCs w:val="24"/>
        </w:rPr>
        <w:t xml:space="preserve">供应商为投入本项目服务人员缴纳社保和公积金的人数不得低于45人（不包含享受社保公积金减免政策人员、退休返聘人员等），供应商报价中的“社保公积金”费用测算不得低于上述要求，否则作为无效投标处理。</w:t>
      </w:r>
      <w:r>
        <w:rPr>
          <w:rFonts w:hint="eastAsia" w:ascii="宋体" w:hAnsi="宋体"/>
          <w:color w:val="000000"/>
          <w:sz w:val="24"/>
          <w:szCs w:val="24"/>
        </w:rPr>
        <w:t xml:space="preserve">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b/>
          <w:bCs/>
          <w:color w:val="000000"/>
          <w:sz w:val="24"/>
          <w:szCs w:val="24"/>
        </w:rPr>
        <w:t xml:space="preserve">本项目物业管理服务法定节假日在岗人数不少于40人，报价中的“法定节假日人员加班费”不得低于上述要求，并按照本项目合同履行期内的法定节假日天数（13天/年）进行测算，否则做无效投标处理。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④法定税费：供应商应依法缴纳税费。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⑤其他费用：供应商认为完成本项目物业管理服务可能产生的其他相关费用。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（2）报价中还应包含以下费用，在《投标报价明细表》中列明，结算时按实支付，否则做无效投标处理：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①设备、机具、用具及易耗品费用。设备、机具、用具及易耗品需满足服务实际需要以及采购人规定要求。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设备、机具至少包括：室外道路清扫车、电动垃圾清运车、洒水车等，配置要求及数量参考“服务要求-（七）室内保洁、校园环境保洁及绿化养护设备”；</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清洁耗材至少包括：扫把、地推、垃圾袋、消毒液、洁厕灵等。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②服装费。所有服务人员统一服装，所有岗位各配备春秋季两套长袖夏季两套短袖，冬季配备羽绒服一套，棉衣一套，供应商自行测算并考虑到报价中。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③办公大楼外墙清洗费。每年清洗一次，</w:t>
      </w:r>
      <w:r>
        <w:rPr>
          <w:rFonts w:hint="eastAsia" w:ascii="宋体" w:hAnsi="宋体"/>
          <w:color w:val="000000"/>
          <w:sz w:val="24"/>
          <w:szCs w:val="24"/>
          <w:lang w:val="en-US" w:eastAsia="zh-CN"/>
        </w:rPr>
        <w:t xml:space="preserve">往年预估</w:t>
      </w:r>
      <w:r>
        <w:rPr>
          <w:rFonts w:hint="eastAsia" w:ascii="宋体" w:hAnsi="宋体"/>
          <w:color w:val="000000"/>
          <w:sz w:val="24"/>
          <w:szCs w:val="24"/>
        </w:rPr>
        <w:t xml:space="preserve">费用为50000元，供应商可自行测算并考虑到报价中。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④11部电梯维保费（含电梯年检费），</w:t>
      </w:r>
      <w:r>
        <w:rPr>
          <w:rFonts w:hint="eastAsia" w:ascii="宋体" w:hAnsi="宋体" w:cs="宋体"/>
          <w:color w:val="000000"/>
          <w:sz w:val="24"/>
          <w:szCs w:val="24"/>
        </w:rPr>
        <w:t xml:space="preserve">根据</w:t>
      </w:r>
      <w:r>
        <w:rPr>
          <w:rFonts w:hint="eastAsia" w:ascii="宋体" w:hAnsi="宋体" w:cs="宋体"/>
          <w:color w:val="000000"/>
          <w:sz w:val="24"/>
          <w:szCs w:val="24"/>
          <w:lang w:val="en-US" w:eastAsia="zh-CN"/>
        </w:rPr>
        <w:t xml:space="preserve">往年情况预估</w:t>
      </w:r>
      <w:r>
        <w:rPr>
          <w:rFonts w:hint="eastAsia" w:ascii="宋体" w:hAnsi="宋体"/>
          <w:color w:val="000000"/>
          <w:sz w:val="24"/>
          <w:szCs w:val="24"/>
        </w:rPr>
        <w:t xml:space="preserve">费用为100000元，供应商可自行测算并考虑到报价中。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⑤绿化相关费用：绿化补植、补种、化肥、绿化垃圾清理以及绿化设备产生的汽油费，供应商自行测算并考虑到报价中。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供应商应充分考虑所有可能影响到报价的价格及政策等风险因素，此次合同有效期内，如遇本市有关规定调整，包括本市最低工资标准上调、社保公积金基数上调等，均由投标人自行消化，总价一律不予调整（工作日及节假日所有加班费均含在报价中，最终结算金额不超过合同总价）。</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（5）法律法规、政策文件有更新或另有规定的，从其规定。</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2.付款条件</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以第三章合同文本内容为准。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3.服务时间和地点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（1）服务期限：合同生效之日起三年。合同一年一签，每年服务期满，采购人有权根据考核情况决定继续履行合同或终止合同。</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（2）服务地点：采购人指定地点。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4.考核要求（考核细则详见附件）</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采购人对管理范围内的供应商日常服务进行检查、考核，各类违章以文字记录确认。每季度汇总1次，不合格或未完成管理目标的，根据考核结果给予相应罚款。具体考核细则详见本章附件。</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5.其他要求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br w:type="page" w:clear="all"/>
      </w:r>
      <w:r>
        <w:rPr>
          <w:rFonts w:hint="eastAsia" w:ascii="宋体" w:hAnsi="宋体"/>
          <w:b/>
          <w:bCs/>
          <w:color w:val="000000"/>
          <w:sz w:val="24"/>
          <w:szCs w:val="24"/>
        </w:rPr>
        <w:t xml:space="preserve">附件 考核细则</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物业服务考核细则（采购包1）</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采购人对管理范围内的供应商日常服务进行检查、考核，各类违章以文字记录确认。每季度汇总1次，不合格或未完成管理目标的，根据考核结果给予相应罚款。</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考核标准</w:t>
      </w:r>
      <w:r>
        <w:rPr>
          <w:rFonts w:hint="eastAsia" w:ascii="宋体" w:hAnsi="宋体"/>
          <w:color w:val="000000"/>
          <w:sz w:val="24"/>
          <w:szCs w:val="24"/>
        </w:rPr>
      </w:r>
      <w:r/>
    </w:p>
    <w:tbl>
      <w:tblPr>
        <w:tblW w:w="93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627"/>
        <w:gridCol w:w="1664"/>
        <w:gridCol w:w="4450"/>
        <w:gridCol w:w="1686"/>
      </w:tblGrid>
      <w:tr>
        <w:trPr>
          <w:trHeight w:val="350"/>
        </w:trPr>
        <w:tc>
          <w:tcPr>
            <w:tcW w:w="90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 核</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范 围</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考核内容</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   核   要   求</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考核分值</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（总分100分）</w:t>
            </w:r>
            <w:r>
              <w:rPr>
                <w:rFonts w:hint="eastAsia" w:ascii="宋体" w:hAnsi="宋体"/>
                <w:color w:val="000000"/>
                <w:sz w:val="24"/>
                <w:szCs w:val="24"/>
              </w:rPr>
            </w:r>
            <w:r/>
          </w:p>
        </w:tc>
      </w:tr>
      <w:tr>
        <w:trPr>
          <w:trHeight w:val="23"/>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安保服务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（1）每天24小时值守，对外来人员、物资出入实施严格的登记验证制度，有严格的交接班制度和交接班记录。</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（2）对服务区域内发生的治安、火警及争吵斗殴等突发事件果断处理，及时报警和报告，并与相关部门配合处理突发事件，必要时要与公安部门联系、沟通、协调。</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（3）合理安排人员，认真做好夜间值班、巡查工作。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（4）配合采购人做好重大接待活动及其他临时性、突击性安保工作。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（5）熟练管理、维护、使用安防设备，如发生重大安全事件，及时报告后勤处领导及保卫处。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（6）负责楼宇内财产、消防安全，安排专人每天 7:30-23:30不间断全区域巡视，预防制止各类恶性事件发生。</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（7）每天教学楼7:00—22:00，每2小时巡查1次，无长明灯、长流水，整理配置教室、教师休息室桌椅，及时清除各类小张贴，做好当班日志。</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（8）24小时安保，配备必要的通讯设施，负责区域内所有设备、设施安全，如被盗按原价由供应商赔偿。</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（9）对各楼宇配备的灭火器、消火栓、消防喷淋以及烟感报警器等消防设备设施，做好每月巡查工作，并做好详细记录，备案待查。</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（10）需定期对室内消火栓、试水接口、各楼宇防火卷帘以及防火门等进行检查，发现问题及时处置和报告，并做好详细记录，备案待查。</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（11）对学校重点部位做到每日必查，并做好详细记录，备案待查。</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（12）负责物业服务区域楼宇内的鸟窝、马蜂窝、消杀等工作。</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50"/>
        </w:trPr>
        <w:tc>
          <w:tcPr>
            <w:tcW w:w="900" w:type="dxa"/>
            <w:vAlign w:val="top"/>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工作时间必须着安保工作制服，要按规定佩带安保标志。安保制服不准与便服混穿，不同季节的安保制服不准混穿。工作服应干净整洁，不准披衣、敞怀、挽袖、卷裤腿、歪戴帽子、穿拖鞋或赤足。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值勤时要仪表端正，精神饱满。不准留长头发、大鬓角和胡须。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动作规范，举止文明。工作时，不准袖手或将手插入衣袋，不准搭肩、挽臂，吃东西，抽烟，嘻笑打闹，不准随地吐痰、乱扔废弃物。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50"/>
        </w:trPr>
        <w:tc>
          <w:tcPr>
            <w:tcW w:w="900" w:type="dxa"/>
            <w:vAlign w:val="top"/>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严格按照法律的规定范围开展安保服务工作，严格履行岗位职责，不准做与安保服务无关的事情。不准脱岗、空岗、睡岗, 酒后上岗及在值班室抽烟。遵守服务单位内部的各项规章制度，对服务单位内部的机密事项，不准随意打听、记录、传播。有重要情况要妥善处理并及时上报，不准 迟报、漏报、隐瞒不报。</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50"/>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内场保洁服务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楼宇内保洁工作须在每天早上8：00前完成，每天16:40-18:00每栋楼宇需有专人维护，负责处理保洁相关工作。</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工作时间必须着保洁人员工作服。保洁工作服不准与便服混穿，不同季节的工作服不准混穿。着工作服应干净整洁，不准披衣、敞怀、挽袖、卷裤腿、歪戴帽子、穿拖鞋或赤足。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保洁时要仪表端正，精神饱满。不准留长头发、大鬓角和胡须。穿戴整洁干净，不披肩散发。</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行为动作规范，举止文明。工作时，不准吃东西，嘻笑打闹，不大声喧哗。不准随地吐痰、乱扔废弃物。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493"/>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保洁服务工作，严格履行岗位职责，不准做与保洁服务无关的事情。不准脱岗、空岗、睡岗,酒后上岗，保洁期间严禁边抽烟边工作。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校园环境保洁、水环境卫生保障服务及绿化养护</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校园环境保洁、水环境卫生标准</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主次干道、人行道无青苔、桥梁地面无垃圾；垃圾桶内垃圾日产日倒； 所辖区域内牛皮癣及时清除等。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（2）环境保洁所需水源为区域内河水及雨水井内雨水，物业单位需自行配备5吨洒水车1辆，配备抽水泵等浇灌设施和道路清扫车，严禁使用学校消防栓。</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（3）水面保洁要求所辖区域水面无漂浮物，及各种绿藻、浮萍等，保持水面干净。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（4）雨雪天气及时清扫，铲除道路积雪(冰)，至道路路牙，确保道路畅通。</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（5）自行车、汽车应停在指定位置，广场内不准机动车出入等。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（6）校园保洁工作须在每天早上8:00前完成，每天16:40-18:00需有专人维护，负责处理校园环境保洁相关工作。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（7）楼宇外墙清洗一次，保障楼宇外墙整洁。</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绿化养护标准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（1）绿化充分，植物配置合理，基本达到黄土不露天，退化的草坪及死亡的地被灌木及时补植。</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（2）园林植物达到： A.生长势：正常。生长达到该树种该规格的平均生长量。 B. 叶子正常： ①叶色、大小、薄厚正常； ② 较严重黄叶、焦叶、卷叶、带虫尿虫网灰尘的株数在 2％以下(包括 2％，以下同)；③被啃咬的叶片最严重的每株在10％以下。 C</w:t>
            </w:r>
            <w:r>
              <w:rPr>
                <w:rFonts w:hint="eastAsia" w:ascii="宋体" w:hAnsi="宋体"/>
                <w:color w:val="000000"/>
                <w:sz w:val="24"/>
                <w:szCs w:val="24"/>
              </w:rPr>
              <w:t xml:space="preserve">.枝、干正常： ①无明显枯枝、死干； ②有蛀干害虫的株数在2％以下； ③介壳虫最严重处主枝主干100平方厘米2 头活虫以下，较细枝条每尺长一段上在10头活虫以下，株数都在4％以下；④树冠基本完整：主侧枝分布均称，树冠通风透光。 D.措施：按二级以上技术措施 要求认真进行养护。 E.行道树缺株为0。 F.草坪覆盖率达 95％以上；草坪内杂草控制在20％以内；生长和颜色正常，不枯黄；每年修剪暖地型二次以上，冷地型10次以上；基本无病虫害。每年9月份，对除了马尼拉草坪的区域外，补撒黑麦草草籽，确保草坪四季常青。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（3）行道树和绿地内无死树，树木修剪基本合理，树形美观，能较好地解决树木与电线、建筑物、交通等之间的矛盾。</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（4）绿化生产垃圾要做到日产日清，绿地内无明显的废弃物，能坚持在重大节日前进行突击清理。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（5）无较重的人为损坏。对轻微或偶尔发生难以控制的人为损坏，能及时发现和处理。绿地、草坪内无堆物堆料、搭棚或侵占、无菜地等；行道树树干无明显地钉栓刻画现象，树下距树2米以内无影响树 木养护管理的堆物堆料、搭棚、圈栏等。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（6）绿化养护期内如遇苗木死亡，需要及时清理并按原规格及时补种到位，补种完至后勤管理处办理相应补种验收手续。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（7）每年12月10日起对校园树木进行刷白1次，在进行树木涂刷石灰水时，禁止在校园内挖坑化石灰水，及做好石灰水的安全防范管理工作。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（8）绿化养护过程中产生的垃圾需自行清理出校园。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（9）绿化养护所需水源为区域内河水及雨水井内雨水，物业单位需自行配备洒水车或抽水泵等浇灌设施，严禁使用学校消防栓。</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工作时间必须着统一制服，要按规定佩带标志。工作制服不准与便服混穿，不同季节的工作制服不准混穿。着工作制服应干净整洁，不准披衣、敞怀、挽袖、卷裤腿，穿拖鞋或赤足。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仪表端正，精神饱满。男保洁员工不准留长头发、大鬓角和胡须。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行为动作规范，举止文明。工作时，不准袖手或将手插入衣袋，不准搭肩、挽臂，吃东西、抽烟，嘻笑打闹，不大声喧哗。不准随地吐痰、乱扔废弃物。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（5）岗位纪律</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保洁服务工作，严格履行岗位职责，不准做与工作无关事宜。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水电保障服务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（1）本项目范围内的教学楼、办公室、报告厅、剧场、会议室等水电服务保障，配合学校完成相关活动等的水电保障服务。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（2）负责本项目范围内设施、设备的零星维修的系统报修及跟踪工作。</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（1）持有合格的特种作业操作证。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（2）着装整洁，工作期间必须穿着工作服，佩戴工号牌。</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（3）在工作中使用语言要简洁准确，文明规范，说话要有理有节。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（4）掌握安全用电基本知识和用电设备的性能。</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（5）工作期间禁止吸烟、酗酒、斗殴事件的发生。</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（6）工作期间禁止脱岗、睡岗、空岗现象的发生。</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水电保障服务工作，严格履行岗位职责，不准做与水电保障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客服保障服务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（1）客服人员提前把会议室、接待室开门卫生情况，使其始终处于完善 良好的备用状态。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（2）在岗期间，不得随意串岗、空岗，不擅离工作岗位；不得干私活，不做与本职工作无关的任何事情。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（3）不得在会议室扎堆聊天，不在岗位上吃东西。</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（4）负责会议室空调、饮水设施是否完好，有问题及时向办公室汇报。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（5）负责与相关物业保洁人员做好工作协同和配合，确保会议室内时刻保持干净整洁。</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（1）客服人员穿着必须整洁、平整，不得带有灰尘、污迹、无褶皱、开线、掉扣。</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（2）皮鞋以黑色为主，鞋袜保持协调，皮鞋保持亮洁，不能赤脚、穿拖鞋、短裤、超短裙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（3）客服人员淡妆上岗，不得涂指甲油，不佩戴饰物(手表、戒指除外)，不使用气味浓烈的香水。头发必须梳理服帖或盘结，不蓬乱或烫怪异发型。</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（4）客服人员站立时要自然大方，时刻保持面带笑容、容光焕发。</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客服服务工作，严格履行岗位职责，不准做与客服服务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消防监控室值班服务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（1）消防监控室人员要求，严格按照国家规定要求，持证上岗，实行 24 小时轮班制度，每班值班人员不少于2 人，值班人员应认真填写交接班记录，发现问题及时处置和报告。值班人员不得擅离岗位，脱岗，睡岗；严禁值班前当班中喝酒，吸烟；保持消防监控室卫生整洁。若由于以上重大过失，致使出现安全事故和安全责任，后果由供应商承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（2）消防值班人员必须熟悉消防设施设备的性能、结构、原理、 操作方式和设备状况，坚守岗位，严格执行《消防监控安全工作规程》。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（3）值班人员根据批准的值班表依次进行交接班，未经领导批准不得私自调班。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（4）为确保消防监控室的安全运行，杜绝人身设备事故的发生，不允许做与工作无关的事情，值班期间不得私自外出、饮酒等。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（5）值班人员应遵守交接班制度，准时交接班。接班人员应在交接班前准时10分钟到达消防监控室，以便及时准备，集中思想，了解情况，做好接班工作。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（6）巡视掌握消防监控室设备运行的变化情况，做好巡视检查工作。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（7）遇到恶劣天气如：台风、暴雨、打雷、大雾或设备运行异常时应进行特殊巡视。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（8）巡视检查中发现不正常情况，应详细记录，并及时处理，无法消除的缺陷要汇报上一级领导处理，并填写有关记录， 按规定要上报的缺陷问题，应按要求尽快通知有关部门。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（9）值班人员必须保持消防监控室洁卫生，每周必须彻底打扫卫生一次，消防设施设备至少每年清扫一次。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（10）消防器具要稳定可靠，放在清洁干燥处。平时要清扫，保持整洁，使用后放回原处、不得随便乱放，配合专职消防人员做好相关工作。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（11）认真履行学校下放的消防监控安全相关文件。</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工作时间必须着消防人员制服，要按规定佩带相关标志。消防人员制服不准与便服混穿，不同季节的制服不准混穿。着消防工作制服应干净整洁，不准披衣、敞怀、挽袖、卷裤腿、歪戴帽子、穿拖鞋或赤足。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仪表端正，精神饱满。不准留长头发、大鬓角和胡须。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行为动作规范，举止文明。工作时，不准袖手或将手插入衣袋，不准搭肩、挽臂，吃东西，嘻笑打闹，不大声喧哗。不准随 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消防巡查工作，严格履行岗位职责，不准做与消防巡查无关的事情。不准脱岗、空岗、睡岗,酒后上岗，上班期间不准抽烟。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bl>
    <w:p>
      <w:pPr>
        <w:pStyle w:val="748"/>
        <w:rPr>
          <w:rFonts w:hint="eastAsia" w:ascii="宋体" w:hAnsi="宋体"/>
          <w:color w:val="000000"/>
          <w:sz w:val="24"/>
          <w:szCs w:val="24"/>
        </w:rPr>
      </w:pPr>
      <w:r>
        <w:rPr>
          <w:rFonts w:hint="eastAsia" w:ascii="宋体" w:hAnsi="宋体"/>
          <w:color w:val="000000"/>
          <w:sz w:val="24"/>
          <w:szCs w:val="24"/>
        </w:rPr>
        <w:t xml:space="preserve">（三）服务考核处罚标准：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1、考核总分≥85分为合格，总分＜85分为不合格；</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2、85分以下每低1分的，扣除1000元；</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3、对出现以下情形之一的，每发生一项，扣除1000元—10000元：</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（1）因物业服务不到位导致发生有较大影响的责任事件；</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（2）未按要求期限整改完成的；</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（3）发生同样问题3次（含3次）以上的；</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（4）服务人员存在违纪违法行为，对学校造成影响的。</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4、对发生重大有影响责任事件的，扣除5000元—10000元，供应商并承担相应的责任损失，严重的依法承担相应的刑事责任。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（四）奖励：在重大事件处置、避免意外事件发生、好人好事等方面，有突出贡献的，每季度一次考核，酌情加分（1—5分）。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b/>
          <w:bCs/>
          <w:color w:val="000000"/>
          <w:sz w:val="24"/>
          <w:szCs w:val="24"/>
        </w:rPr>
      </w:pPr>
      <w:r>
        <w:rPr>
          <w:rFonts w:hint="eastAsia" w:ascii="宋体" w:hAnsi="宋体"/>
          <w:b/>
          <w:bCs/>
          <w:color w:val="000000"/>
          <w:sz w:val="24"/>
          <w:szCs w:val="24"/>
        </w:rPr>
        <w:t xml:space="preserve">物业服务考核细则（采购包2）</w:t>
      </w:r>
      <w:r>
        <w:rPr>
          <w:rFonts w:hint="eastAsia" w:ascii="宋体" w:hAnsi="宋体"/>
          <w:b/>
          <w:bCs/>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（一）采购人对管理范围内的供应商日常服务进行检查、考核，各类违章以文字记录确认。每季度汇总1次，不合格或未完成管理目标的，根据考核结果给予相应罚款。</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（二）考核标准</w:t>
      </w:r>
      <w:r>
        <w:rPr>
          <w:rFonts w:hint="eastAsia" w:ascii="宋体" w:hAnsi="宋体"/>
          <w:color w:val="000000"/>
          <w:sz w:val="24"/>
          <w:szCs w:val="24"/>
        </w:rPr>
      </w:r>
      <w:r/>
    </w:p>
    <w:tbl>
      <w:tblPr>
        <w:tblW w:w="93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627"/>
        <w:gridCol w:w="1664"/>
        <w:gridCol w:w="4450"/>
        <w:gridCol w:w="1686"/>
      </w:tblGrid>
      <w:tr>
        <w:trPr>
          <w:trHeight w:val="350"/>
        </w:trPr>
        <w:tc>
          <w:tcPr>
            <w:tcW w:w="90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 核</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范 围</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考核内容</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   核   要   求</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考核分值</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（总分100分）</w:t>
            </w:r>
            <w:r>
              <w:rPr>
                <w:rFonts w:hint="eastAsia" w:ascii="宋体" w:hAnsi="宋体"/>
                <w:color w:val="000000"/>
                <w:sz w:val="24"/>
                <w:szCs w:val="24"/>
              </w:rPr>
            </w:r>
            <w:r/>
          </w:p>
        </w:tc>
      </w:tr>
      <w:tr>
        <w:trPr>
          <w:trHeight w:val="23"/>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安保服务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（1）每天24小时值守，对外来人员、物资出入实施严格的登记验证制度，有严格的交接班制度和交接班记录。</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（2）对服务区域内发生的治安、火警及争吵斗殴等突发事件果断处理，及时报警和报告，并与相关部门配合处理突发事件，必要时要与公安部门联系、沟通、协调。</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（3）合理安排人员，认真做好夜间值班、巡查工作。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（4）配合采购人做好重大接待活动及其他临时性、突击性安保工作。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（5）熟练管理、维护、使用安防设备，如发生重大安全事件，及时报告后勤处领导及保卫处。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（6）负责楼宇内财产、消防安全，安排专人每天 7:30-23:30不间断全区域巡视，预防制止各类恶性事件发生。</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（7）每天教学楼7:00—22:00，每2小时巡查1次，无长明灯、长流水，整理配置教室、教师休息室桌椅，及时清除各类小张贴，做好当班日志。</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（8）24小时安保，配备必要的通讯设施，负责区域内所有设备、设施安全，如被盗按原价由供应商赔偿。</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（9）对各楼宇配备的灭火器、消火栓、消防喷淋以及烟感报警器等消防设备设施，做好每月巡查工作，并做好详细记录，备案待查。</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（10）需定期对室内消火栓、试水接口、各楼宇防火卷帘以及防火门等进行检查，发现问题及时处置和报告，并做好详细记录，备案待查。</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（11）对学校重点部位做到每日必查，并做好详细记录，备案待查。</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（12）负责物业服务区域楼宇内的鸟窝、马蜂窝、消杀等工作。</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50"/>
        </w:trPr>
        <w:tc>
          <w:tcPr>
            <w:tcW w:w="900" w:type="dxa"/>
            <w:vAlign w:val="top"/>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工作时间必须着安保工作制服，要按规定佩带安保标志。安保制服不准与便服混穿，不同季节的安保制服不准混穿。工作服应干净整洁，不准披衣、敞怀、挽袖、卷裤腿、歪戴帽子、穿拖鞋或赤足。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值勤时要仪表端正，精神饱满。不准留长头发、大鬓角和胡须。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动作规范，举止文明。工作时，不准袖手或将手插入衣袋，不准搭肩、挽臂，吃东西，抽烟，嘻笑打闹，不准随地吐痰、乱扔废弃物。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50"/>
        </w:trPr>
        <w:tc>
          <w:tcPr>
            <w:tcW w:w="900" w:type="dxa"/>
            <w:vAlign w:val="top"/>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严格按照法律的规定范围开展安保服务工作，严格履行岗位职责，不准做与安保服务无关的事情。不准脱岗、空岗、睡岗, 酒后上岗及在值班室抽烟。遵守服务单位内部的各项规章制度，对服务单位内部的机密事项，不准随意打听、记录、传播。有重要情况要妥善处理并及时上报，不准 迟报、漏报、隐瞒不报。</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50"/>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内场保洁服务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楼宇内保洁工作须在每天早上8:00前完成，每天16:40-18:00每栋楼宇需有专人维护，负责处理保洁相关工作。</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工作时间必须着保洁人员工作服。保洁工作服不准与便服混穿，不同季节的工作服不准混穿。着工作服应干净整洁，不准披衣、敞怀、挽袖、卷裤腿、歪戴帽子、穿拖鞋或赤足。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保洁时要仪表端正，精神饱满。不准留长头发、大鬓角和胡须。穿戴整洁干净，不披肩散发。</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行为动作规范，举止文明。工作时，不准吃东西，嘻笑打闹，不大声喧哗。不准随地吐痰、乱扔废弃物。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493"/>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保洁服务工作，严格履行岗位职责，不准做与保洁服务无关的事情。不准脱岗、空岗、睡岗,酒后上岗，保洁期间严禁边抽烟边工作。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校园环境保洁及绿化养护</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校园环境保洁</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（1）主次干道、人行道无青苔、桥梁地面无垃圾；垃圾桶内垃圾日产日倒； 所辖区域内牛皮癣及时清除等。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（2）环境保洁所需水源为区域内河水及雨水井内雨水，物业单位需自行配备5吨洒水车1辆，配备抽水泵等浇灌设施和道路清扫车，严禁使用学校消防栓。</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（3）水面保洁要求所辖区域水面无漂浮物，及各种绿藻、浮萍等，保持水面干净。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（4）雨雪天气及时清扫，铲除道路积雪(冰)，至道路路牙，确保道路畅通。</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（5）自行车、汽车应停在指定位置，广场内不准机动车出入等。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（6）校园保洁工作须在每天早上8:00前完成，每天16:40-18:00需有专人维护，负责处理校园环境保洁相关工作。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（7）楼宇外墙清洗一次，保障楼宇外墙整洁。</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绿化养护标准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（1）绿化充分，植物配置合理，基本达到黄土不露天，退化的草坪及死亡的地被灌木及时补植。</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（2）园林植物达到： A.生长势：正常。生长达到该树种该规格的平均生长量。 B. 叶子正常： ①叶色、大小、薄厚正常； ② 较严重黄叶、焦叶、卷叶、带虫尿虫网灰尘的株数在 2％以下(包括 2％，以下同)；③被啃咬的叶片最严重的每株在10％以下。 C</w:t>
            </w:r>
            <w:r>
              <w:rPr>
                <w:rFonts w:hint="eastAsia" w:ascii="宋体" w:hAnsi="宋体"/>
                <w:color w:val="000000"/>
                <w:sz w:val="24"/>
                <w:szCs w:val="24"/>
              </w:rPr>
              <w:t xml:space="preserve">.枝、干正常： ①无明显枯枝、死干； ②有蛀干害虫的株数在2％以下； ③介壳虫最严重处主枝主干100平方厘米2 头活虫以下，较细枝条每尺长一段上在10头活虫以下，株数都在4％以下；④树冠基本完整：主侧枝分布均称，树冠通风透光。 D.措施：按二级以上技术措施 要求认真进行养护。 E.行道树缺株为0。 F.草坪覆盖率达 95％以上；草坪内杂草控制在20％以内；生长和颜色正常，不枯黄；每年修剪暖地型二次以上，冷地型10次以上；基本无病虫害。每年9月份，对除了马尼拉草坪的区域外，补撒黑麦草草籽，确保草坪四季常青。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（3）行道树和绿地内无死树，树木修剪基本合理，树形美观，能较好地解决树木与电线、建筑物、交通等之间的矛盾。</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（4）绿化生产垃圾要做到日产日清，绿地内无明显的废弃物，能坚持在重大节日前进行突击清理。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（5）无较重的人为损坏。对轻微或偶尔发生难以控制的人为损坏，能及时发现和处理。绿地、草坪内无堆物堆料、搭棚或侵占、无菜地等；行道树树干无明显地钉栓刻画现象，树下距树2米以内无影响树 木养护管理的堆物堆料、搭棚、圈栏等。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（6）绿化养护期内如遇苗木死亡，需要及时清理并按原规格及时补种到位，补种完至后勤管理处办理相应补种验收手续。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（7）每年12月10日起对校园树木进行刷白1次，在进行树木涂刷石灰水时，禁止在校园内挖坑化石灰水，及做好石灰水的安全防范管理工作。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（8）绿化养护过程中产生的垃圾需自行清理出校园。</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（9）绿化养护所需水源为区域内河水及雨水井内雨水，物业单位需自行配备洒水车或抽水泵等浇灌设施，严禁使用学校消防栓。</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工作时间必须着统一制服，要按规定佩带标志。工作制服不准与便服混穿，不同季节的工作制服不准混穿。着工作制服应干净整洁，不准披衣、敞怀、挽袖、卷裤腿，穿拖鞋或赤足。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仪表端正，精神饱满。男保洁员工不准留长头发、大鬓角和胡须。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行为动作规范，举止文明。工作时，不准袖手或将手插入衣袋，不准搭肩、挽臂，吃东西、抽烟，嘻笑打闹，不大声喧哗。不准随地吐痰、乱扔废弃物。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（5）岗位纪律</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保洁服务工作，严格履行岗位职责，不准做与工作无关事宜。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水电保障服务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（1）本项目范围内的教学楼、办公室、报告厅、剧场、会议室等水电服务保障，配合学校完成相关活动等的水电保障服务。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（2）负责本项目范围内设施、设备的零星维修的系统报修及跟踪工作。</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（1）持有合格的特种作业操作证。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（2）着装整洁，工作期间必须穿着工作服，佩戴工号牌。</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（3）在工作中使用语言要简洁准确，文明规范，说话要有理有节。</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（4）掌握安全用电基本知识和用电设备的性能。</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（5）工作期间禁止吸烟、酗酒、斗殴事件的发生。</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（6）工作期间禁止脱岗、睡岗、空岗现象的发生。</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水电保障服务工作，严格履行岗位职责，不准做与水电保障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客服保障服务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（1）客服人员提前把会议室、接待室开门卫生情况，使其始终处于完善 良好的备用状态。</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（2）在岗期间，不得随意串岗、空岗，不擅离工作岗位；不得干私活，不做与本职工作无关的任何事情。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（3）不得在会议室扎堆聊天，不在岗位上吃东西。</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（4）负责会议室空调、饮水设施是否完好，有问题及时向办公室汇报。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（5）负责与相关物业保洁人员做好工作协同和配合，确保会议室内时刻保持干净整洁。</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（1）客服人员穿着必须整洁、平整，不得带有灰尘、污迹、无褶皱、开线、掉扣。</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（2）皮鞋以黑色为主，鞋袜保持协调，皮鞋保持亮洁，不能赤脚、穿拖鞋、短裤、超短裙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（3）客服人员淡妆上岗，不得涂指甲油，不佩戴饰物(手表、戒指除外)，不使用气味浓烈的香水。头发必须梳理服帖或盘结，不蓬乱或烫怪异发型。</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（4）客服人员站立时要自然大方，时刻保持面带笑容、容光焕发。</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shd w:val="clear" w:color="auto" w:fill="ffffff"/>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客服服务工作，严格履行岗位职责，不准做与客服服务无关的事情。不准脱岗、空岗、睡岗，酒后上岗。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shd w:val="clear" w:color="auto" w:fill="ffffff"/>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restart"/>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消防监控室值班服务</w:t>
            </w: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服务标准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（1）消防监控室人员要求，严格按照国家规定要求，持证上岗，实行 24 小时轮班制度，每班值班人员不少于2 人，值班人员应认真填写交接班记录，发现问题及时处置和报告。值班人员不得擅离岗位，脱岗，睡岗；严禁值班前当班中喝酒，吸烟；保持消防监控室卫生整洁。若由于以上重大过失，致使出现安全事故和安全责任，后果由供应商承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（2）消防值班人员必须熟悉消防设施设备的性能、结构、原理、 操作方式和设备状况，坚守岗位，严格执行《消防监控安全工作规程》。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（3）值班人员根据批准的值班表依次进行交接班，未经领导批准不得私自调班。 </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（4）为确保消防监控室的安全运行，杜绝人身设备事故的发生，不允许做与工作无关的事情，值班期间不得私自外出、饮酒等。</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（5）值班人员应遵守交接班制度，准时交接班。接班人员应在交接班前准时10分钟到达消防监控室，以便及时准备，集中思想，了解情况，做好接班工作。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（6）巡视掌握消防监控室设备运行的变化情况，做好巡视检查工作。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（7）遇到恶劣天气如：台风、暴雨、打雷、大雾或设备运行异常时应进行特殊巡视。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（8）巡视检查中发现不正常情况，应详细记录，并及时处理，无法消除的缺陷要汇报上一级领导处理，并填写有关记录， 按规定要上报的缺陷问题，应按要求尽快通知有关部门。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（9）值班人员必须保持消防监控室洁卫生，每周必须彻底打扫卫生一次，消防设施设备至少每年清扫一次。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（10）消防器具要稳定可靠，放在清洁干燥处。平时要清扫，保持整洁，使用后放回原处、不得随便乱放，配合专职消防人员做好相关工作。</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（11）认真履行学校下放的消防监控安全相关文件。</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未做到一项</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岗位要求</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（1）着装</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工作时间必须着消防人员制服，要按规定佩带相关标志。消防人员制服不准与便服混穿，不同季节的制服不准混穿。着消防工作制服应干净整洁，不准披衣、敞怀、挽袖、卷裤腿、歪戴帽子、穿拖鞋或赤足。</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（2）仪容仪表</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仪表端正，精神饱满。不准留长头发、大鬓角和胡须。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（3）举止</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行为动作规范，举止文明。工作时，不准袖手或将手插入衣袋，不准搭肩、挽臂，吃东西，嘻笑打闹，不大声喧哗。不准随 地吐痰、乱扔废弃物。</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（4）语言</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在工作中使用语言要简洁准确，文明规范，说话要有理有节，并讲普通话。</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r>
        <w:trPr>
          <w:trHeight w:val="368"/>
        </w:trPr>
        <w:tc>
          <w:tcPr>
            <w:tcW w:w="900" w:type="dxa"/>
            <w:vAlign w:val="center"/>
            <w:vMerge w:val="continue"/>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r>
            <w:r/>
          </w:p>
        </w:tc>
        <w:tc>
          <w:tcPr>
            <w:tcW w:w="627"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664"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岗位纪律</w:t>
            </w:r>
            <w:r>
              <w:rPr>
                <w:rFonts w:hint="eastAsia" w:ascii="宋体" w:hAnsi="宋体"/>
                <w:color w:val="000000"/>
                <w:sz w:val="24"/>
                <w:szCs w:val="24"/>
              </w:rPr>
            </w:r>
            <w:r/>
          </w:p>
        </w:tc>
        <w:tc>
          <w:tcPr>
            <w:tcW w:w="4450"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严格按照法律的规定范围开展消防巡查工作，严格履行岗位职责，不准做与消防巡查无关的事情。不准脱岗、空岗、睡岗,酒后上岗，上班期间不准抽烟。遵守服务单位内部的各项规章制度，对服务单位内部的机密事项，不准随意打听、记录、传播。有重要情况要妥善处理并及时上报，不准迟报、漏报、隐瞒不报。</w:t>
            </w:r>
            <w:r>
              <w:rPr>
                <w:rFonts w:hint="eastAsia" w:ascii="宋体" w:hAnsi="宋体"/>
                <w:color w:val="000000"/>
                <w:sz w:val="24"/>
                <w:szCs w:val="24"/>
              </w:rPr>
            </w:r>
            <w:r/>
          </w:p>
        </w:tc>
        <w:tc>
          <w:tcPr>
            <w:tcW w:w="1686" w:type="dxa"/>
            <w:vAlign w:val="center"/>
            <w:textDirection w:val="lrTb"/>
            <w:noWrap w:val="false"/>
          </w:tcPr>
          <w:p>
            <w:pPr>
              <w:pStyle w:val="748"/>
              <w:rPr>
                <w:rFonts w:hint="eastAsia" w:ascii="宋体" w:hAnsi="宋体"/>
                <w:color w:val="000000"/>
                <w:sz w:val="24"/>
                <w:szCs w:val="24"/>
              </w:rPr>
            </w:pPr>
            <w:r>
              <w:rPr>
                <w:rFonts w:hint="eastAsia" w:ascii="宋体" w:hAnsi="宋体"/>
                <w:color w:val="000000"/>
                <w:sz w:val="24"/>
                <w:szCs w:val="24"/>
              </w:rPr>
              <w:t xml:space="preserve">未做到一次</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扣1分</w:t>
            </w:r>
            <w:r>
              <w:rPr>
                <w:rFonts w:hint="eastAsia" w:ascii="宋体" w:hAnsi="宋体"/>
                <w:color w:val="000000"/>
                <w:sz w:val="24"/>
                <w:szCs w:val="24"/>
              </w:rPr>
            </w:r>
            <w:r/>
          </w:p>
        </w:tc>
      </w:tr>
    </w:tbl>
    <w:p>
      <w:pPr>
        <w:pStyle w:val="748"/>
        <w:rPr>
          <w:rFonts w:hint="eastAsia" w:ascii="宋体" w:hAnsi="宋体"/>
          <w:color w:val="000000"/>
          <w:sz w:val="24"/>
          <w:szCs w:val="24"/>
        </w:rPr>
      </w:pPr>
      <w:r>
        <w:rPr>
          <w:rFonts w:hint="eastAsia" w:ascii="宋体" w:hAnsi="宋体"/>
          <w:color w:val="000000"/>
          <w:sz w:val="24"/>
          <w:szCs w:val="24"/>
        </w:rPr>
        <w:t xml:space="preserve">（三）服务考核处罚标准：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1、考核总分≥85分为合格，总分＜85分为不合格；</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2、85分以下每低1分的，扣除1000元；</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3、对出现以下情形之一的，每发生一项，扣除1000元—10000元：</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（1）因物业服务不到位导致发生有较大影响的责任事件；</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（2）未按要求期限整改完成的；</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（3）发生同样问题3次（含3次）以上的；</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（4）服务人员存在违纪违法行为，对学校造成影响的。</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4、对发生重大有影响责任事件的，扣除5000元—10000元，供应商并承担相应的责任损失，严重的依法承担相应的刑事责任。</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（四）奖励：在重大事件处置、避免意外事件发生、好人好事等方面，有突出贡献的，每季度一次考核，酌情加分（1—5分）。</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color w:val="000000"/>
          <w:lang w:val="en-US"/>
        </w:rPr>
      </w:pPr>
      <w:r>
        <w:rPr>
          <w:rFonts w:hint="eastAsia"/>
          <w:color w:val="000000"/>
          <w:lang w:val="en-US"/>
        </w:rPr>
      </w:r>
      <w:r/>
    </w:p>
    <w:p>
      <w:pPr>
        <w:pStyle w:val="748"/>
        <w:rPr>
          <w:rFonts w:hint="eastAsia"/>
          <w:color w:val="000000"/>
        </w:rPr>
      </w:pPr>
      <w:r>
        <w:rPr>
          <w:rFonts w:hint="eastAsia"/>
          <w:color w:val="000000"/>
        </w:rPr>
      </w:r>
      <w:r/>
    </w:p>
    <w:p>
      <w:pPr>
        <w:pStyle w:val="812"/>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p>
      <w:pPr>
        <w:pStyle w:val="748"/>
        <w:rPr>
          <w:rFonts w:hint="eastAsia" w:ascii="宋体" w:hAnsi="宋体" w:cs="宋体"/>
          <w:color w:val="000000"/>
          <w:sz w:val="24"/>
          <w:szCs w:val="24"/>
        </w:rPr>
      </w:pPr>
      <w:r>
        <w:rPr>
          <w:rFonts w:hint="eastAsia" w:ascii="宋体" w:hAnsi="宋体" w:cs="宋体"/>
          <w:color w:val="000000"/>
          <w:sz w:val="24"/>
          <w:szCs w:val="24"/>
        </w:rPr>
      </w:r>
      <w:r/>
    </w:p>
    <w:p>
      <w:pPr>
        <w:pStyle w:val="802"/>
        <w:ind w:firstLine="480"/>
        <w:rPr>
          <w:rFonts w:hint="eastAsia" w:cs="宋体"/>
          <w:color w:val="000000"/>
          <w:sz w:val="24"/>
          <w:szCs w:val="24"/>
        </w:rPr>
      </w:pPr>
      <w:r>
        <w:rPr>
          <w:rFonts w:hint="eastAsia" w:cs="宋体"/>
          <w:color w:val="000000"/>
          <w:sz w:val="24"/>
          <w:szCs w:val="24"/>
        </w:rPr>
      </w:r>
      <w:r/>
    </w:p>
    <w:p>
      <w:pPr>
        <w:pStyle w:val="748"/>
        <w:rPr>
          <w:rFonts w:hint="eastAsia" w:ascii="宋体" w:hAnsi="宋体" w:cs="宋体"/>
          <w:color w:val="000000"/>
          <w:sz w:val="24"/>
          <w:szCs w:val="24"/>
        </w:rPr>
      </w:pPr>
      <w:r>
        <w:rPr>
          <w:rFonts w:hint="eastAsia" w:ascii="宋体" w:hAnsi="宋体" w:cs="宋体"/>
          <w:color w:val="000000"/>
          <w:sz w:val="24"/>
          <w:szCs w:val="24"/>
        </w:rPr>
      </w:r>
      <w:r/>
    </w:p>
    <w:p>
      <w:pPr>
        <w:pStyle w:val="802"/>
        <w:ind w:firstLine="480"/>
        <w:rPr>
          <w:rFonts w:hint="eastAsia" w:cs="宋体"/>
          <w:color w:val="000000"/>
          <w:sz w:val="24"/>
          <w:szCs w:val="24"/>
        </w:rPr>
      </w:pPr>
      <w:r>
        <w:rPr>
          <w:rFonts w:hint="eastAsia" w:cs="宋体"/>
          <w:color w:val="000000"/>
          <w:sz w:val="24"/>
          <w:szCs w:val="24"/>
        </w:rPr>
      </w:r>
      <w:r/>
    </w:p>
    <w:p>
      <w:pPr>
        <w:pStyle w:val="748"/>
        <w:rPr>
          <w:rFonts w:hint="eastAsia" w:ascii="宋体" w:hAnsi="宋体" w:cs="宋体"/>
          <w:color w:val="000000"/>
          <w:sz w:val="24"/>
          <w:szCs w:val="24"/>
        </w:rPr>
      </w:pPr>
      <w:r>
        <w:rPr>
          <w:rFonts w:hint="eastAsia" w:ascii="宋体" w:hAnsi="宋体" w:cs="宋体"/>
          <w:color w:val="000000"/>
          <w:sz w:val="24"/>
          <w:szCs w:val="24"/>
        </w:rPr>
      </w:r>
      <w:r/>
    </w:p>
    <w:p>
      <w:pPr>
        <w:pStyle w:val="802"/>
        <w:ind w:firstLine="480"/>
        <w:rPr>
          <w:rFonts w:hint="eastAsia" w:cs="宋体"/>
          <w:color w:val="000000"/>
          <w:sz w:val="24"/>
          <w:szCs w:val="24"/>
        </w:rPr>
      </w:pPr>
      <w:r>
        <w:rPr>
          <w:rFonts w:hint="eastAsia" w:cs="宋体"/>
          <w:color w:val="000000"/>
          <w:sz w:val="24"/>
          <w:szCs w:val="24"/>
        </w:rPr>
      </w:r>
      <w:r/>
    </w:p>
    <w:p>
      <w:pPr>
        <w:pStyle w:val="748"/>
        <w:rPr>
          <w:rFonts w:hint="eastAsia" w:ascii="宋体" w:hAnsi="宋体" w:cs="宋体"/>
          <w:color w:val="000000"/>
          <w:sz w:val="24"/>
          <w:szCs w:val="24"/>
        </w:rPr>
      </w:pPr>
      <w:r>
        <w:rPr>
          <w:rFonts w:hint="eastAsia" w:ascii="宋体" w:hAnsi="宋体" w:cs="宋体"/>
          <w:color w:val="000000"/>
          <w:sz w:val="24"/>
          <w:szCs w:val="24"/>
        </w:rPr>
      </w:r>
      <w:r/>
    </w:p>
    <w:p>
      <w:pPr>
        <w:pStyle w:val="802"/>
        <w:ind w:firstLine="480"/>
        <w:rPr>
          <w:rFonts w:hint="eastAsia" w:cs="宋体"/>
          <w:color w:val="000000"/>
          <w:sz w:val="24"/>
          <w:szCs w:val="24"/>
        </w:rPr>
      </w:pPr>
      <w:r>
        <w:rPr>
          <w:rFonts w:hint="eastAsia" w:cs="宋体"/>
          <w:color w:val="000000"/>
          <w:sz w:val="24"/>
          <w:szCs w:val="24"/>
        </w:rPr>
      </w:r>
      <w:r/>
    </w:p>
    <w:p>
      <w:pPr>
        <w:pStyle w:val="748"/>
        <w:rPr>
          <w:rFonts w:hint="eastAsia"/>
          <w:color w:val="000000"/>
        </w:rPr>
      </w:pPr>
      <w:r>
        <w:rPr>
          <w:rFonts w:hint="eastAsia"/>
          <w:color w:val="000000"/>
        </w:rPr>
      </w:r>
      <w:r/>
    </w:p>
    <w:p>
      <w:pPr>
        <w:pStyle w:val="748"/>
        <w:spacing w:line="240" w:lineRule="atLeast"/>
        <w:rPr>
          <w:rFonts w:ascii="宋体" w:hAnsi="宋体" w:cs="宋体"/>
          <w:color w:val="000000"/>
          <w:sz w:val="24"/>
          <w:szCs w:val="24"/>
        </w:rPr>
      </w:pPr>
      <w:r>
        <w:rPr>
          <w:rFonts w:hint="eastAsia" w:ascii="方正小标宋简体" w:hAnsi="方正小标宋简体" w:eastAsia="方正小标宋简体" w:cs="方正小标宋简体"/>
          <w:color w:val="000000"/>
          <w:sz w:val="36"/>
          <w:szCs w:val="36"/>
        </w:rPr>
        <w:br w:type="page" w:clear="all"/>
      </w:r>
      <w:r>
        <w:rPr>
          <w:rFonts w:hint="eastAsia" w:ascii="宋体" w:hAnsi="宋体" w:cs="宋体"/>
          <w:color w:val="000000"/>
          <w:sz w:val="24"/>
          <w:szCs w:val="24"/>
        </w:rPr>
        <w:t xml:space="preserve">附件</w:t>
      </w:r>
      <w:r>
        <w:rPr>
          <w:rFonts w:ascii="宋体" w:hAnsi="宋体" w:cs="宋体"/>
          <w:color w:val="000000"/>
          <w:sz w:val="24"/>
          <w:szCs w:val="24"/>
        </w:rPr>
      </w:r>
      <w:r/>
    </w:p>
    <w:p>
      <w:pPr>
        <w:pStyle w:val="748"/>
        <w:jc w:val="center"/>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szCs w:val="24"/>
        </w:rPr>
      </w:pPr>
      <w:r>
        <w:rPr>
          <w:rFonts w:hint="eastAsia" w:ascii="宋体" w:hAnsi="宋体" w:cs="宋体"/>
          <w:b/>
          <w:color w:val="000000"/>
          <w:sz w:val="24"/>
          <w:szCs w:val="24"/>
        </w:rPr>
        <w:t xml:space="preserve">乘客电梯、载货电梯日常维护保养项目（内容）和要求</w:t>
      </w:r>
      <w:r>
        <w:rPr>
          <w:rFonts w:ascii="宋体" w:hAnsi="宋体" w:cs="宋体"/>
          <w:b/>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A1半月维保（内容）和要求</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见表-1 </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表A-1半月维保项目（内容）和要求</w:t>
      </w:r>
      <w:r>
        <w:rPr>
          <w:rFonts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111"/>
        <w:gridCol w:w="4472"/>
      </w:tblGrid>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维保项目（内容）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维保基本要求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机房、滑轮间环境</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清洁，门窗完好、照明正常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手动紧急操作装置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齐全，在指定位置</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曳引机</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运行时无异常振动和异常声响</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制动器各销轴部位</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润滑，动作灵活</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制动器间隙</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打开时制动衬与制动轮不应发生摩擦</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编码器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清洁，安装牢固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限速器各销轴部位</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润滑，转动灵活；电气开关正常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轿顶</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清洁，防护栏安全可靠</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轿顶检修开关、急停开关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导靴上油杯</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吸油毛毡齐全，压板紧固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对重块及其压板</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对重块无松动，压板紧固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井道照明</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齐全、正常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轿厢照明、风扇、应急照明</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轿厢检修开关、急停开关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轿内报警装置、对讲系统</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轿内显示、指令按钮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齐全、有效</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轿门安全装置（安全触板，光幕、光电等）</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功能有效</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轿门门锁电气触点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清洁，触点接触良好，接线可靠</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轿门运行开启和关闭</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轿厢平层精度</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符合标准</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层站召唤、层楼显示</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齐全、有效</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层门地坎</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层门自动关门装置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层门门锁自动复位</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用层门钥匙打开手动开锁装置释放后，层门门锁能自动复位</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层门门锁电气触点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清洁，触点接触良好，接线可靠</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层门锁紧元件啮合长度</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不小于7mm</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底坑环境</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清洁，无渗水、积水，照明正常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底坑急停开关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bl>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A2季度维保项目（内容）和要求</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季度维保项目（内容）和要求除符合A1半月维保的项目（内容）和要求外，还应当符合A-2的项目（内容）和要求。</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表A-2季度维保项目（内容）和要求</w:t>
      </w:r>
      <w:r>
        <w:rPr>
          <w:rFonts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111"/>
        <w:gridCol w:w="4472"/>
      </w:tblGrid>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维保项目（内容）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维保基本要求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减速机润滑油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油量适宜，除蜗杆伸出端外均无渗漏</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制动衬</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清洁，磨损量不超过制造单位预算要求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位置脉冲发生器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选层器动静触点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清洁，无烧蚀</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曳引轮槽、曳引钢丝绳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清洁，无严重油腻，张力均匀</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限速器轮槽、限速钢丝绳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清洁，无严重油腻</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靴衬、滚轮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清洁，磨损量不超过制造单位要求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验证轿门关闭的电气安全装置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层门、轿门系统中传动钢丝绳、链条、胶带</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按照制造单位要求进行清洁、调整</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层门门导靴</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磨损量不超过制造单位要求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消防开关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工作正常，功能有效</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耗能缓冲器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电气安全装置功能有效，油量适宜，柱塞无锈蚀</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限速器张紧轮装置和电气安全装置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bl>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A3半年维保项目（内容）和要求</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半年维保项目（内容）和要求除符合A2季度维保的项目（内容）和要求外，还应当符合表A-3的项目（内容）和要求。</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表A-3半年维保项目（内容）和要求</w:t>
      </w:r>
      <w:r>
        <w:rPr>
          <w:rFonts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111"/>
        <w:gridCol w:w="4472"/>
      </w:tblGrid>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维保项目（内容）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维保基本要求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电动机与减速机联轴器螺栓</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无松动</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曳引轮、导向轮轴承部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无异常声，无振动，润滑良好</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曳引轮槽</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磨损量不超过制造单位要求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制动器上检测开关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工作正常，制动器动作可靠</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控制柜内各接线端子</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各接线紧固、整齐，信号齐全清晰</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控制柜各仪表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显示正确</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井道、对重、轿顶各反绳轮轴承部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无异常声，无振动，润滑良好</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曳引绳、补偿绳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磨损量、断丝数不超过要求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曳引绳绳头组合</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螺母以无松动</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限速器钢丝绳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磨损量、断丝数不超过制造单位要求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层门、轿门门扇</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门扇各相关间隙符合标准</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对重缓冲距</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符合标准</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补偿链（绳）与轿厢、对重接合处</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固定、无松动</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上下极限开关</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bl>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A4年度维保项目（内容）和要求</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年度维保项目（内容）和要求除符合A3半年维保的项目（内容）和要求外，还应当符合表A-4的项目（内容）和要求。</w:t>
      </w:r>
      <w:r>
        <w:rPr>
          <w:rFonts w:ascii="宋体" w:hAnsi="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111"/>
        <w:gridCol w:w="4472"/>
      </w:tblGrid>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维保项目（内容）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维保基本要求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减速机润滑油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按照制造单位要求适时更换，保证油质符合要求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控制柜接触器，继电器触点</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接触良好</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制动器铁心（柱塞）</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进行清洁、润滑、检查，磨损量不超过制造单位要求</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制动器制动弹簧压缩量</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符合制造单位要求，保持有足够的制动力</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导电回路绝缘性能测试</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符合标准</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限速器安全钳联动试验（每2年进行一次限速器动作度校验）</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上行超速保护装置动作试验</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工作正常</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轿顶、轿厢架、轿门及其附件安装螺栓</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紧固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轿厢和对重的导轨支架</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 无松动</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轿厢和对重的导轨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清洁，压板牢固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随行电缆</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无损伤</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层门装置和地坎</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无影响正常使用的变形，各安装螺栓紧固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轿厢称重装置</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准确有效</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安全钳钳座</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固定，无松动</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轿底各安装螺栓</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紧固</w:t>
            </w:r>
            <w:r>
              <w:rPr>
                <w:rFonts w:ascii="宋体" w:hAnsi="宋体" w:cs="宋体"/>
                <w:color w:val="000000"/>
                <w:sz w:val="24"/>
                <w:szCs w:val="24"/>
              </w:rPr>
            </w:r>
            <w:r/>
          </w:p>
        </w:tc>
      </w:tr>
      <w:tr>
        <w:trPr/>
        <w:tc>
          <w:tcPr>
            <w:tcW w:w="817"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W w:w="4111"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缓冲器</w:t>
            </w:r>
            <w:r>
              <w:rPr>
                <w:rFonts w:ascii="宋体" w:hAnsi="宋体" w:cs="宋体"/>
                <w:color w:val="000000"/>
                <w:sz w:val="24"/>
                <w:szCs w:val="24"/>
              </w:rPr>
            </w:r>
            <w:r/>
          </w:p>
        </w:tc>
        <w:tc>
          <w:tcPr>
            <w:tcW w:w="4472" w:type="dxa"/>
            <w:vAlign w:val="top"/>
            <w:textDirection w:val="lrTb"/>
            <w:noWrap w:val="false"/>
          </w:tcPr>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固定，无松动</w:t>
            </w:r>
            <w:r>
              <w:rPr>
                <w:rFonts w:ascii="宋体" w:hAnsi="宋体" w:cs="宋体"/>
                <w:color w:val="000000"/>
                <w:sz w:val="24"/>
                <w:szCs w:val="24"/>
              </w:rPr>
            </w:r>
            <w:r/>
          </w:p>
        </w:tc>
      </w:tr>
    </w:tbl>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注：（1）如果某些电梯没有表中的项目（内容），如有的电梯不含有某种部件，项目（内容）可适当进行调整。</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（2）维保项目（内容）和要求中对测试、试验有明确规定的，必须按照规定进行测试、试验，没有明确规定，一般为检查、调整、清洁和润滑。</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（3）维保基本要求，规定为“符合标准”的，有国家标准应当符合国家标准，没有国家标准的必须符合行业标准、企业标准。</w:t>
      </w:r>
      <w:r>
        <w:rPr>
          <w:rFonts w:ascii="宋体" w:hAnsi="宋体" w:cs="宋体"/>
          <w:color w:val="000000"/>
          <w:sz w:val="24"/>
          <w:szCs w:val="24"/>
        </w:rPr>
      </w:r>
      <w:r/>
    </w:p>
    <w:p>
      <w:pPr>
        <w:pStyle w:val="748"/>
        <w:jc w:val="left"/>
        <w:spacing w:line="3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（4）维保基本要求，规定为“制造单位要求”的，按照制造单位的要求，其他没有明确的“要求”，必须为安全技术规范、标准或者制造单位等的要求。</w:t>
      </w:r>
      <w:r>
        <w:rPr>
          <w:rFonts w:ascii="宋体" w:hAnsi="宋体" w:cs="宋体"/>
          <w:color w:val="000000"/>
          <w:sz w:val="24"/>
          <w:szCs w:val="24"/>
        </w:rPr>
      </w:r>
      <w:r/>
    </w:p>
    <w:p>
      <w:pPr>
        <w:pStyle w:val="748"/>
        <w:spacing w:line="240" w:lineRule="atLeast"/>
        <w:rPr>
          <w:color w:val="000000"/>
          <w:sz w:val="24"/>
          <w:szCs w:val="24"/>
        </w:rPr>
      </w:pPr>
      <w:r>
        <w:rPr>
          <w:color w:val="000000"/>
          <w:sz w:val="24"/>
          <w:szCs w:val="24"/>
        </w:rPr>
      </w:r>
      <w:r/>
    </w:p>
    <w:p>
      <w:pPr>
        <w:pStyle w:val="748"/>
        <w:spacing w:line="240" w:lineRule="atLeast"/>
        <w:rPr>
          <w:b/>
          <w:bCs/>
          <w:color w:val="000000"/>
          <w:sz w:val="24"/>
          <w:szCs w:val="24"/>
        </w:rPr>
      </w:pPr>
      <w:r>
        <w:rPr>
          <w:b/>
          <w:bCs/>
          <w:color w:val="000000"/>
          <w:sz w:val="24"/>
          <w:szCs w:val="24"/>
        </w:rPr>
      </w:r>
      <w:r/>
    </w:p>
    <w:p>
      <w:pPr>
        <w:pStyle w:val="748"/>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第五章  评标方法与评标标准（采购包1、采购包2）</w:t>
      </w:r>
      <w:r>
        <w:rPr>
          <w:rFonts w:hint="eastAsia" w:ascii="方正小标宋简体" w:hAnsi="方正小标宋简体" w:eastAsia="方正小标宋简体" w:cs="方正小标宋简体"/>
          <w:color w:val="000000"/>
          <w:sz w:val="36"/>
          <w:szCs w:val="36"/>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8"/>
        <w:ind w:firstLine="480"/>
        <w:spacing w:line="264" w:lineRule="auto"/>
        <w:rPr>
          <w:rFonts w:hint="eastAsia" w:cs="宋体"/>
          <w:color w:val="00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序排列。得分且投标报价相同的，按“三、评标标准-2.服务”得分由高到低顺序排列。在投标文件满足招标文件全部实质性要求的供应商中，按照评审得分由高到低选取3名中标候选人。</w:t>
      </w:r>
      <w:r>
        <w:rPr>
          <w:rFonts w:hint="eastAsia" w:cs="宋体"/>
          <w:color w:val="000000"/>
          <w:sz w:val="24"/>
          <w:szCs w:val="24"/>
        </w:rPr>
      </w:r>
      <w:r/>
    </w:p>
    <w:p>
      <w:pPr>
        <w:ind w:firstLine="480"/>
        <w:spacing w:line="264" w:lineRule="auto"/>
        <w:rPr>
          <w:rFonts w:hint="eastAsia" w:cs="宋体"/>
          <w:color w:val="000000"/>
          <w:sz w:val="24"/>
          <w:szCs w:val="24"/>
        </w:rPr>
      </w:pPr>
      <w:r>
        <w:rPr>
          <w:rFonts w:hint="eastAsia" w:cs="宋体"/>
          <w:b/>
          <w:bCs/>
          <w:color w:val="000000"/>
          <w:sz w:val="24"/>
          <w:szCs w:val="24"/>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cs="宋体"/>
          <w:color w:val="000000"/>
          <w:sz w:val="24"/>
          <w:szCs w:val="24"/>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4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对报价给予10%的扣除，用扣除后的价格参与评审。</w:t>
      </w:r>
      <w:r>
        <w:rPr>
          <w:rFonts w:hint="eastAsia" w:ascii="宋体" w:hAnsi="宋体" w:cs="宋体"/>
          <w:color w:val="000000"/>
          <w:sz w:val="24"/>
          <w:szCs w:val="24"/>
        </w:rPr>
      </w:r>
      <w:r/>
    </w:p>
    <w:p>
      <w:pPr>
        <w:pStyle w:val="74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hint="eastAsia" w:ascii="宋体" w:hAnsi="宋体" w:cs="宋体"/>
          <w:color w:val="000000"/>
          <w:sz w:val="24"/>
          <w:szCs w:val="24"/>
        </w:rPr>
      </w:r>
      <w:r/>
    </w:p>
    <w:p>
      <w:pPr>
        <w:pStyle w:val="74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67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1"/>
        <w:gridCol w:w="573"/>
        <w:gridCol w:w="784"/>
      </w:tblGrid>
      <w:tr>
        <w:trPr>
          <w:trHeight w:val="291"/>
          <w:tblHeade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评审因素</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评审细则</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分值</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类型</w:t>
            </w:r>
            <w:r>
              <w:rPr>
                <w:rFonts w:hint="eastAsia" w:ascii="宋体" w:hAnsi="宋体" w:cs="宋体"/>
                <w:color w:val="000000"/>
                <w:sz w:val="24"/>
                <w:szCs w:val="24"/>
              </w:rPr>
            </w:r>
            <w:r/>
          </w:p>
        </w:tc>
      </w:tr>
      <w:tr>
        <w:trPr/>
        <w:tc>
          <w:tcPr>
            <w:gridSpan w:val="5"/>
            <w:tcW w:w="9677" w:type="dxa"/>
            <w:vAlign w:val="top"/>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1.价格</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价格分</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50</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价格分</w:t>
            </w:r>
            <w:r>
              <w:rPr>
                <w:rFonts w:hint="eastAsia" w:ascii="宋体" w:hAnsi="宋体" w:cs="宋体"/>
                <w:color w:val="000000"/>
                <w:sz w:val="24"/>
                <w:szCs w:val="24"/>
              </w:rPr>
            </w:r>
            <w:r/>
          </w:p>
        </w:tc>
      </w:tr>
      <w:tr>
        <w:trPr/>
        <w:tc>
          <w:tcPr>
            <w:gridSpan w:val="5"/>
            <w:tcW w:w="9677" w:type="dxa"/>
            <w:vAlign w:val="top"/>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2.服务</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服务实施方案</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投标人提供针对本物业服务项目的服务实施方案，包括（每项内容逐条阐述）：</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1.安保服务；2.内场保洁服务；3.校园环境保洁及水环境卫生保障服务；4.水电保障服务；5.客服保障服务及消防监控室值班服务；6.节假日、寒暑假休息工作安排。</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（1）上述每项内容全面合理，质量标准具体明确，可操作性强，符合采购需求实际的，得1分；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（2）上述每项内容基本合理，质量标准基本明确，具备可操作性，基本符合采购需求实际的，得0.5分；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（3）上述每项内容不合理，质量标准不明确，缺乏可操作性，脱离采购需求实际或未提供的，不得分。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本项最高得6分。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岗位职责、工作流程及规章制度</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投标人提供针对本物业服务项目的岗位职责、工作流程及规章制度，包括（每项内容逐条阐述）：</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1.各部门岗位职责；2.各部门工作流程；3.各部门规章制度。</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（1）上述每项内容岗位设置科学、部门职责清晰、工作流程完善、制度健全，符合采购需求实际的，得1分；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（2）上述每项内容岗位设置基本科学、部门职责基本清晰、工作流程基本完善、制度基本健全，基本符合采购需求实际的，得0.5分；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（3）上述每项内容岗位设置不科学、部门职责不清晰、工作流程不完善、制度不健全，脱离采购需求实际或未提供的，不得分。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本项最高得3分。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服务设想及重难点分析 </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投标人提供针对本物业服务项目的服务设想及重难点分析，包括（每项内容逐条阐述）：</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1.服务设想；2.服务定位；3.服务重难点分析；4.应对措施。</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（1）上述每项内容服务设想及定位准确，服务重难点分析准确、细致完整，应对措施有力、科学可行，符合采购需求实际的，得1分；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（2）上述每项内容服务设想及定位基本准确，服务重难点分析基本准确完整，应对措施基本可行，基本符合采购需求实际的，得0.5分；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（3）上述每项内容服务设想及定位不准确，服务重难点分析不完整，应对措施不可行，脱离采购需求实际或未提供的，不得分。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本项最高得4分。 </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突发事件应急处理预案</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投标人提供针对本物业服务项目的突发事件应急处理预案，包括（每项内容逐条阐述）：</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1.应急管理机构及运行机制；2.应急工作队伍及应急联系方式；3.应急处置措施；4.应急处理演练计划及内容安排。</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（1）上述每项内容对各类突发事件应急处理预案内容完备，机制健全，可操作性强，符合采购需求实际的，得1分；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（2）上述每项内容对各类突发事件应急处理预案内容基本完备，机制基本健全，具备可操作性，基本符合采购需求实际的，得0.5分；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（3）上述每项内容对各类突发事件应急处理预案内容不完备，机制不健全，缺乏可操作性，脱离采购需求实际或未提供的，不得分。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本项最高得4分。  </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2.5</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进退场交接方案</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投标人提供针对本物业服务项目的进退场交接配合方案，包括（每项内容逐条阐述）：</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1.与上任服务单位的进场交接流程和计划；2.与下任服务单位的退场交接流程和计划；3.交接过程中的重难点及处理办法。</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（1）上述每项内容对交接重难点分析准确、细致完整，应对措施有力、科学可行，符合采购需求实际的，得1分；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（2）上述每项内容对交接重难点分析基本准确完整，应对措施基本可行，基本符合采购需求实际的，得0.5分；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（3）上述每项内容对交接重难点分析不完整，应对措施不可行，脱离采购需求实际或未提供的，不得分。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本项最高得3分。  </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rPr>
                <w:rFonts w:hint="eastAsia" w:ascii="宋体" w:hAnsi="宋体" w:cs="宋体"/>
                <w:color w:val="000000"/>
                <w:sz w:val="24"/>
                <w:szCs w:val="24"/>
              </w:rPr>
            </w:r>
            <w:r/>
          </w:p>
        </w:tc>
      </w:tr>
      <w:tr>
        <w:trPr/>
        <w:tc>
          <w:tcPr>
            <w:gridSpan w:val="5"/>
            <w:tcW w:w="9677"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3.业绩</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3.1</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投标人业绩</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投标人提供2022年12月1日（含）以来</w:t>
            </w:r>
            <w:r>
              <w:rPr>
                <w:rFonts w:hint="eastAsia" w:ascii="宋体" w:hAnsi="宋体" w:cs="宋体"/>
                <w:color w:val="000000"/>
                <w:sz w:val="24"/>
                <w:szCs w:val="24"/>
              </w:rPr>
              <w:t xml:space="preserve">（</w:t>
            </w:r>
            <w:r>
              <w:rPr>
                <w:rFonts w:hint="eastAsia" w:ascii="宋体" w:hAnsi="宋体" w:cs="宋体"/>
                <w:color w:val="000000"/>
                <w:sz w:val="24"/>
                <w:szCs w:val="24"/>
              </w:rPr>
              <w:t xml:space="preserve">以</w:t>
            </w:r>
            <w:r>
              <w:rPr>
                <w:rFonts w:hint="eastAsia" w:ascii="宋体" w:hAnsi="宋体" w:cs="宋体"/>
                <w:color w:val="000000"/>
                <w:sz w:val="24"/>
                <w:szCs w:val="24"/>
              </w:rPr>
              <w:t xml:space="preserve">合同</w:t>
            </w:r>
            <w:r>
              <w:rPr>
                <w:rFonts w:hint="eastAsia" w:ascii="宋体" w:hAnsi="宋体" w:cs="宋体"/>
                <w:color w:val="000000"/>
                <w:sz w:val="24"/>
                <w:szCs w:val="24"/>
              </w:rPr>
              <w:t xml:space="preserve">签订</w:t>
            </w:r>
            <w:r>
              <w:rPr>
                <w:rFonts w:hint="eastAsia" w:ascii="宋体" w:hAnsi="宋体" w:cs="宋体"/>
                <w:color w:val="000000"/>
                <w:sz w:val="24"/>
                <w:szCs w:val="24"/>
              </w:rPr>
              <w:t xml:space="preserve">时间</w:t>
            </w:r>
            <w:r>
              <w:rPr>
                <w:rFonts w:hint="eastAsia" w:ascii="宋体" w:hAnsi="宋体" w:cs="宋体"/>
                <w:color w:val="000000"/>
                <w:sz w:val="24"/>
                <w:szCs w:val="24"/>
              </w:rPr>
              <w:t xml:space="preserve">为准</w:t>
            </w:r>
            <w:r>
              <w:rPr>
                <w:rFonts w:hint="eastAsia" w:ascii="宋体" w:hAnsi="宋体" w:cs="宋体"/>
                <w:color w:val="000000"/>
                <w:sz w:val="24"/>
                <w:szCs w:val="24"/>
              </w:rPr>
              <w:t xml:space="preserve">）</w:t>
            </w:r>
            <w:r>
              <w:rPr>
                <w:rFonts w:hint="eastAsia" w:ascii="宋体" w:hAnsi="宋体" w:cs="宋体"/>
                <w:color w:val="000000"/>
                <w:sz w:val="24"/>
                <w:szCs w:val="24"/>
              </w:rPr>
              <w:t xml:space="preserve">，承接的类似物业项目（非住宅项目，服务内容不少于保安、保洁、客服（或会务）、绿化养护（或绿化管理服务）中的任意三项）业绩，并提供业主单位出具的履约优秀（或好评或满意或最高档次）评价材料。每提供一个符合上述要求的业绩得3分，最多得9分，未提供不得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（2）同一业主单位的多个业绩仅作为一个业绩，不累计得分。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gridSpan w:val="5"/>
            <w:tcW w:w="9677" w:type="dxa"/>
            <w:vAlign w:val="top"/>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4.履约能力</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4.1</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履约能力1</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投标人拟派项目经理具有5年及以上非住宅类物业项目经理工作经验的得4分。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注：提供加盖业主单位公章的工作经验证明材料（需体现人员姓名、岗位及工作年限）及投标人与其签订的劳动合同，未提供的不得分。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4.2</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履约能力2</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投标人拟投入本项目的安保主管具有3年及以上非住宅类物业安保主管工作经验，得2分。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注：提供加盖业主单位公章的工作经验证明材料（需体现人员姓名、岗位及工作年限）及投标人与其签订的劳动合同，未提供的不得分。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客观分客观分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4.3</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履约能力3</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投标人拟派保洁主管具有3年（含）以上非住宅物业项目保洁主管工作经验，得2分。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注：提供加盖业主单位公章的工作经验证明材料（需体现人员姓名、岗位及工作年限）及投标人与其签订的劳动合同，未提供的不得分。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4.4</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履约能力4</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投标人拟投入本项目的客服领班具有3年及以上非住宅类物业项目客服领班（或客服主管）工作经验，得2分。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注：提供加盖业主单位公章的工作经验证明材料（需体现人员姓名、岗位及工作年限）及投标人与其签订的劳动合同，未提供的不得分。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4.5</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履约能力5</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投标人拟派绿化主管具备园林绿化类高级专业技术职称，得2分；园林绿化类中级专业技术职称，得1分。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注：提供证书，未提供的不得分。</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rHeight w:val="90"/>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4.6</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履约能力6</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投标人拟派服务人员获得过政府部门颁发的与物业管理服务相关的荣誉称号或奖项的，每提供一人得1分，最多得3分。</w:t>
            </w:r>
            <w:r>
              <w:rPr>
                <w:rFonts w:hint="eastAsia" w:ascii="宋体" w:hAnsi="宋体" w:cs="宋体"/>
                <w:color w:val="000000"/>
                <w:sz w:val="24"/>
                <w:szCs w:val="24"/>
              </w:rPr>
            </w:r>
            <w:r/>
          </w:p>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注：上述获奖人员必须是投入本项目服务人员且不得在其他物业服务项目中重复任职，投标人提供承诺函，格式自拟。</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rHeight w:val="90"/>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4.7</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履约能力7</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承诺书格式自拟）</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rHeight w:val="90"/>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4.8</w:t>
            </w:r>
            <w:r>
              <w:rPr>
                <w:rFonts w:hint="eastAsia" w:ascii="宋体" w:hAnsi="宋体" w:cs="宋体"/>
                <w:color w:val="000000"/>
                <w:sz w:val="24"/>
                <w:szCs w:val="24"/>
              </w:rPr>
            </w:r>
            <w:r/>
          </w:p>
        </w:tc>
        <w:tc>
          <w:tcPr>
            <w:tcW w:w="117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履约能力8</w:t>
            </w:r>
            <w:r>
              <w:rPr>
                <w:rFonts w:hint="eastAsia" w:ascii="宋体" w:hAnsi="宋体" w:cs="宋体"/>
                <w:color w:val="000000"/>
                <w:sz w:val="24"/>
                <w:szCs w:val="24"/>
              </w:rPr>
            </w:r>
            <w:r/>
          </w:p>
        </w:tc>
        <w:tc>
          <w:tcPr>
            <w:tcW w:w="6616"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投标人拟投入本项目服务的物业管理软件具有设备报修、培训考核管理、服务品质管理功能，具有1项功能得1分，最多得3分。（提供承诺书，格式自拟）</w:t>
            </w:r>
            <w:r>
              <w:rPr>
                <w:rFonts w:hint="eastAsia" w:ascii="宋体" w:hAnsi="宋体" w:cs="宋体"/>
                <w:color w:val="000000"/>
                <w:sz w:val="24"/>
                <w:szCs w:val="24"/>
              </w:rPr>
            </w:r>
            <w:r/>
          </w:p>
        </w:tc>
        <w:tc>
          <w:tcPr>
            <w:tcW w:w="57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83"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tcW w:w="519"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合计</w:t>
            </w:r>
            <w:r>
              <w:rPr>
                <w:rFonts w:hint="eastAsia" w:ascii="宋体" w:hAnsi="宋体" w:cs="宋体"/>
                <w:color w:val="000000"/>
                <w:sz w:val="24"/>
                <w:szCs w:val="24"/>
              </w:rPr>
            </w:r>
            <w:r/>
          </w:p>
        </w:tc>
        <w:tc>
          <w:tcPr>
            <w:gridSpan w:val="2"/>
            <w:tcW w:w="7801"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357" w:type="dxa"/>
            <w:vAlign w:val="center"/>
            <w:textDirection w:val="lrTb"/>
            <w:noWrap w:val="false"/>
          </w:tcPr>
          <w:p>
            <w:pPr>
              <w:pStyle w:val="748"/>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100分</w:t>
            </w:r>
            <w:r>
              <w:rPr>
                <w:rFonts w:hint="eastAsia" w:ascii="宋体" w:hAnsi="宋体" w:cs="宋体"/>
                <w:color w:val="000000"/>
                <w:sz w:val="24"/>
                <w:szCs w:val="24"/>
              </w:rPr>
            </w:r>
            <w:r/>
          </w:p>
        </w:tc>
      </w:tr>
    </w:tbl>
    <w:p>
      <w:pPr>
        <w:pStyle w:val="748"/>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48"/>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4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pStyle w:val="74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pStyle w:val="748"/>
        <w:spacing w:line="264" w:lineRule="auto"/>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48"/>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48"/>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75"/>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2"/>
        <w:ind w:firstLine="560"/>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2"/>
        <w:ind w:firstLine="560"/>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2"/>
        <w:ind w:firstLine="560"/>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48"/>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2"/>
        <w:rPr>
          <w:rFonts w:hint="eastAsia"/>
          <w:color w:val="000000"/>
        </w:rPr>
      </w:pPr>
      <w:r>
        <w:rPr>
          <w:rFonts w:hint="eastAsia"/>
          <w:color w:val="000000"/>
        </w:rPr>
      </w:r>
      <w:r/>
    </w:p>
    <w:p>
      <w:pPr>
        <w:pStyle w:val="748"/>
        <w:rPr>
          <w:rFonts w:hint="eastAsia" w:ascii="宋体" w:hAnsi="宋体" w:cs="宋体"/>
          <w:b/>
          <w:bCs/>
          <w:color w:val="000000"/>
          <w:sz w:val="30"/>
          <w:szCs w:val="30"/>
          <w:highlight w:val="yellow"/>
        </w:rPr>
      </w:pPr>
      <w:r>
        <w:rPr>
          <w:rFonts w:hint="eastAsia" w:ascii="宋体" w:hAnsi="宋体" w:cs="宋体"/>
          <w:b/>
          <w:bCs/>
          <w:color w:val="000000"/>
          <w:sz w:val="30"/>
          <w:szCs w:val="30"/>
          <w:highlight w:val="yellow"/>
        </w:rPr>
      </w:r>
      <w:r/>
    </w:p>
    <w:p>
      <w:pPr>
        <w:pStyle w:val="802"/>
        <w:ind w:firstLine="602"/>
        <w:rPr>
          <w:rFonts w:hint="eastAsia" w:cs="宋体"/>
          <w:b/>
          <w:bCs/>
          <w:color w:val="000000"/>
          <w:sz w:val="30"/>
          <w:szCs w:val="30"/>
          <w:highlight w:val="yellow"/>
        </w:rPr>
      </w:pPr>
      <w:r>
        <w:rPr>
          <w:rFonts w:hint="eastAsia" w:cs="宋体"/>
          <w:b/>
          <w:bCs/>
          <w:color w:val="000000"/>
          <w:sz w:val="30"/>
          <w:szCs w:val="30"/>
          <w:highlight w:val="yellow"/>
        </w:rPr>
      </w:r>
      <w:r/>
    </w:p>
    <w:p>
      <w:pPr>
        <w:pStyle w:val="748"/>
        <w:rPr>
          <w:rFonts w:hint="eastAsia" w:ascii="宋体" w:hAnsi="宋体" w:cs="宋体"/>
          <w:b/>
          <w:bCs/>
          <w:color w:val="000000"/>
          <w:sz w:val="30"/>
          <w:szCs w:val="30"/>
          <w:highlight w:val="yellow"/>
        </w:rPr>
      </w:pPr>
      <w:r>
        <w:rPr>
          <w:rFonts w:hint="eastAsia" w:ascii="宋体" w:hAnsi="宋体" w:cs="宋体"/>
          <w:b/>
          <w:bCs/>
          <w:color w:val="000000"/>
          <w:sz w:val="30"/>
          <w:szCs w:val="30"/>
          <w:highlight w:val="yellow"/>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812"/>
        <w:rPr>
          <w:rFonts w:hint="eastAsia"/>
          <w:color w:val="000000"/>
          <w:lang w:val="en-US"/>
        </w:rPr>
      </w:pPr>
      <w:r>
        <w:rPr>
          <w:rFonts w:hint="eastAsia"/>
          <w:color w:val="000000"/>
          <w:lang w:val="en-US"/>
        </w:rPr>
      </w:r>
      <w:r/>
    </w:p>
    <w:p>
      <w:pPr>
        <w:pStyle w:val="748"/>
        <w:rPr>
          <w:rFonts w:hint="eastAsia"/>
          <w:color w:val="000000"/>
        </w:rPr>
      </w:pPr>
      <w:r>
        <w:rPr>
          <w:rFonts w:hint="eastAsia"/>
          <w:color w:val="000000"/>
        </w:rPr>
      </w:r>
      <w:r/>
    </w:p>
    <w:p>
      <w:pPr>
        <w:pStyle w:val="98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748"/>
        <w:jc w:val="center"/>
        <w:rPr>
          <w:rFonts w:hint="eastAsia" w:ascii="宋体" w:hAnsi="宋体"/>
          <w:b/>
          <w:color w:val="000000"/>
          <w:sz w:val="72"/>
        </w:rPr>
      </w:pPr>
      <w:r/>
      <w:bookmarkStart w:id="194" w:name="_Hlt26955039"/>
      <w:r/>
      <w:bookmarkEnd w:id="194"/>
      <w:r/>
      <w:bookmarkStart w:id="195" w:name="_Hlt26671244"/>
      <w:r/>
      <w:bookmarkEnd w:id="195"/>
      <w:r/>
      <w:bookmarkStart w:id="196" w:name="_Toc26554094"/>
      <w:r/>
      <w:bookmarkStart w:id="197" w:name="_Toc120614282"/>
      <w:r/>
      <w:bookmarkStart w:id="198" w:name="_Toc49090576"/>
      <w:r>
        <w:rPr>
          <w:rFonts w:hint="eastAsia" w:ascii="宋体" w:hAnsi="宋体"/>
          <w:b/>
          <w:color w:val="000000"/>
          <w:sz w:val="72"/>
        </w:rPr>
      </w:r>
      <w:r/>
    </w:p>
    <w:p>
      <w:pPr>
        <w:pStyle w:val="748"/>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48"/>
        <w:jc w:val="center"/>
        <w:rPr>
          <w:rFonts w:hint="eastAsia" w:ascii="宋体" w:hAnsi="宋体"/>
          <w:b/>
          <w:color w:val="000000"/>
          <w:sz w:val="72"/>
        </w:rPr>
      </w:pPr>
      <w:r>
        <w:rPr>
          <w:rFonts w:hint="eastAsia" w:ascii="宋体" w:hAnsi="宋体"/>
          <w:b/>
          <w:color w:val="000000"/>
          <w:sz w:val="72"/>
        </w:rPr>
      </w:r>
      <w:r/>
    </w:p>
    <w:p>
      <w:pPr>
        <w:pStyle w:val="748"/>
        <w:jc w:val="center"/>
        <w:rPr>
          <w:rFonts w:hint="eastAsia" w:ascii="宋体" w:hAnsi="宋体"/>
          <w:b/>
          <w:color w:val="000000"/>
          <w:sz w:val="72"/>
        </w:rPr>
      </w:pPr>
      <w:r>
        <w:rPr>
          <w:rFonts w:hint="eastAsia" w:ascii="宋体" w:hAnsi="宋体"/>
          <w:b/>
          <w:color w:val="000000"/>
          <w:sz w:val="72"/>
        </w:rPr>
      </w:r>
      <w:r/>
    </w:p>
    <w:p>
      <w:pPr>
        <w:pStyle w:val="748"/>
        <w:jc w:val="center"/>
        <w:rPr>
          <w:rFonts w:hint="eastAsia" w:ascii="宋体" w:hAnsi="宋体"/>
          <w:b/>
          <w:color w:val="000000"/>
          <w:sz w:val="36"/>
        </w:rPr>
      </w:pPr>
      <w:r>
        <w:rPr>
          <w:rFonts w:hint="eastAsia" w:ascii="宋体" w:hAnsi="宋体"/>
          <w:b/>
          <w:color w:val="000000"/>
          <w:sz w:val="36"/>
        </w:rPr>
      </w:r>
      <w:r/>
    </w:p>
    <w:p>
      <w:pPr>
        <w:pStyle w:val="748"/>
        <w:jc w:val="center"/>
        <w:rPr>
          <w:rFonts w:hint="eastAsia" w:ascii="宋体" w:hAnsi="宋体"/>
          <w:b/>
          <w:color w:val="000000"/>
          <w:sz w:val="36"/>
        </w:rPr>
      </w:pPr>
      <w:r>
        <w:rPr>
          <w:rFonts w:hint="eastAsia" w:ascii="宋体" w:hAnsi="宋体"/>
          <w:b/>
          <w:color w:val="000000"/>
          <w:sz w:val="36"/>
        </w:rPr>
      </w:r>
      <w:r/>
    </w:p>
    <w:p>
      <w:pPr>
        <w:pStyle w:val="748"/>
        <w:jc w:val="center"/>
        <w:rPr>
          <w:rFonts w:hint="eastAsia" w:ascii="宋体" w:hAnsi="宋体"/>
          <w:b/>
          <w:color w:val="000000"/>
          <w:sz w:val="36"/>
        </w:rPr>
      </w:pPr>
      <w:r>
        <w:rPr>
          <w:rFonts w:hint="eastAsia" w:ascii="宋体" w:hAnsi="宋体"/>
          <w:b/>
          <w:color w:val="000000"/>
          <w:sz w:val="36"/>
        </w:rPr>
      </w:r>
      <w:r/>
    </w:p>
    <w:p>
      <w:pPr>
        <w:pStyle w:val="748"/>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48"/>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48"/>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748"/>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74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48"/>
        <w:spacing w:line="440" w:lineRule="exact"/>
        <w:rPr>
          <w:rFonts w:ascii="宋体" w:hAnsi="宋体"/>
          <w:color w:val="000000"/>
        </w:rPr>
      </w:pPr>
      <w:r>
        <w:rPr>
          <w:rFonts w:ascii="宋体" w:hAnsi="宋体"/>
          <w:color w:val="000000"/>
        </w:rPr>
      </w:r>
      <w:r/>
    </w:p>
    <w:p>
      <w:pPr>
        <w:pStyle w:val="748"/>
        <w:jc w:val="center"/>
        <w:rPr>
          <w:rFonts w:hint="eastAsia" w:ascii="方正黑体_GBK" w:hAnsi="方正黑体_GBK" w:eastAsia="方正黑体_GBK" w:cs="方正黑体_GBK"/>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六、投标报价明细表</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74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748"/>
        <w:ind w:firstLine="480"/>
        <w:spacing w:line="440" w:lineRule="exact"/>
        <w:rPr>
          <w:rFonts w:ascii="宋体" w:hAnsi="宋体"/>
          <w:color w:val="000000"/>
          <w:sz w:val="24"/>
        </w:rPr>
      </w:pPr>
      <w:r>
        <w:rPr>
          <w:rFonts w:ascii="宋体" w:hAnsi="宋体"/>
          <w:color w:val="000000"/>
          <w:sz w:val="24"/>
        </w:rPr>
      </w:r>
      <w:r/>
    </w:p>
    <w:p>
      <w:pPr>
        <w:pStyle w:val="748"/>
        <w:ind w:firstLine="480"/>
        <w:spacing w:line="440" w:lineRule="exact"/>
        <w:rPr>
          <w:rFonts w:ascii="宋体" w:hAnsi="宋体"/>
          <w:color w:val="000000"/>
          <w:sz w:val="24"/>
        </w:rPr>
      </w:pPr>
      <w:r>
        <w:rPr>
          <w:rFonts w:ascii="宋体" w:hAnsi="宋体"/>
          <w:color w:val="000000"/>
          <w:sz w:val="24"/>
        </w:rPr>
      </w:r>
      <w:r/>
    </w:p>
    <w:p>
      <w:pPr>
        <w:pStyle w:val="748"/>
        <w:ind w:firstLine="480"/>
        <w:spacing w:line="440" w:lineRule="exact"/>
        <w:rPr>
          <w:rFonts w:ascii="宋体" w:hAnsi="宋体"/>
          <w:color w:val="000000"/>
          <w:sz w:val="24"/>
        </w:rPr>
      </w:pPr>
      <w:r>
        <w:rPr>
          <w:rFonts w:ascii="宋体" w:hAnsi="宋体"/>
          <w:color w:val="000000"/>
          <w:sz w:val="24"/>
        </w:rPr>
      </w:r>
      <w:r/>
    </w:p>
    <w:p>
      <w:pPr>
        <w:pStyle w:val="748"/>
        <w:ind w:firstLine="480"/>
        <w:spacing w:line="440" w:lineRule="exact"/>
        <w:rPr>
          <w:rFonts w:ascii="宋体" w:hAnsi="宋体"/>
          <w:color w:val="000000"/>
          <w:sz w:val="24"/>
        </w:rPr>
      </w:pPr>
      <w:r>
        <w:rPr>
          <w:rFonts w:ascii="宋体" w:hAnsi="宋体"/>
          <w:color w:val="000000"/>
          <w:sz w:val="24"/>
        </w:rPr>
      </w:r>
      <w:r/>
    </w:p>
    <w:p>
      <w:pPr>
        <w:pStyle w:val="748"/>
        <w:ind w:firstLine="480"/>
        <w:spacing w:line="440" w:lineRule="exact"/>
        <w:rPr>
          <w:rFonts w:ascii="宋体" w:hAnsi="宋体"/>
          <w:color w:val="000000"/>
          <w:sz w:val="24"/>
        </w:rPr>
      </w:pPr>
      <w:r>
        <w:rPr>
          <w:rFonts w:ascii="宋体" w:hAnsi="宋体"/>
          <w:color w:val="000000"/>
          <w:sz w:val="24"/>
        </w:rPr>
      </w:r>
      <w:r/>
    </w:p>
    <w:p>
      <w:pPr>
        <w:pStyle w:val="748"/>
        <w:ind w:firstLine="480"/>
        <w:spacing w:line="440" w:lineRule="exact"/>
        <w:rPr>
          <w:rFonts w:ascii="宋体" w:hAnsi="宋体"/>
          <w:color w:val="000000"/>
          <w:sz w:val="24"/>
          <w:szCs w:val="24"/>
        </w:rPr>
      </w:pPr>
      <w:r>
        <w:rPr>
          <w:rFonts w:ascii="宋体" w:hAnsi="宋体"/>
          <w:color w:val="000000"/>
          <w:sz w:val="24"/>
          <w:szCs w:val="24"/>
        </w:rPr>
      </w:r>
      <w:r/>
    </w:p>
    <w:p>
      <w:pPr>
        <w:pStyle w:val="748"/>
        <w:ind w:firstLine="480"/>
        <w:spacing w:line="440" w:lineRule="exact"/>
        <w:rPr>
          <w:rFonts w:ascii="宋体" w:hAnsi="宋体"/>
          <w:color w:val="000000"/>
          <w:sz w:val="24"/>
          <w:szCs w:val="24"/>
        </w:rPr>
      </w:pPr>
      <w:r>
        <w:rPr>
          <w:rFonts w:ascii="宋体" w:hAnsi="宋体"/>
          <w:color w:val="000000"/>
          <w:sz w:val="24"/>
          <w:szCs w:val="24"/>
        </w:rPr>
      </w:r>
      <w:r/>
    </w:p>
    <w:p>
      <w:pPr>
        <w:pStyle w:val="748"/>
        <w:ind w:firstLine="480"/>
        <w:spacing w:line="440" w:lineRule="exact"/>
        <w:rPr>
          <w:rFonts w:ascii="宋体" w:hAnsi="宋体"/>
          <w:color w:val="000000"/>
          <w:sz w:val="24"/>
          <w:szCs w:val="24"/>
        </w:rPr>
      </w:pPr>
      <w:r>
        <w:rPr>
          <w:rFonts w:ascii="宋体" w:hAnsi="宋体"/>
          <w:color w:val="000000"/>
          <w:sz w:val="24"/>
          <w:szCs w:val="24"/>
        </w:rPr>
      </w:r>
      <w:r/>
    </w:p>
    <w:p>
      <w:pPr>
        <w:pStyle w:val="748"/>
        <w:ind w:firstLine="480"/>
        <w:spacing w:line="440" w:lineRule="exact"/>
        <w:rPr>
          <w:rFonts w:ascii="宋体" w:hAnsi="宋体"/>
          <w:color w:val="000000"/>
          <w:sz w:val="24"/>
          <w:szCs w:val="24"/>
        </w:rPr>
      </w:pPr>
      <w:r>
        <w:rPr>
          <w:rFonts w:ascii="宋体" w:hAnsi="宋体"/>
          <w:color w:val="000000"/>
          <w:sz w:val="24"/>
          <w:szCs w:val="24"/>
        </w:rPr>
      </w:r>
      <w:r/>
    </w:p>
    <w:p>
      <w:pPr>
        <w:pStyle w:val="748"/>
        <w:ind w:firstLine="480"/>
        <w:spacing w:line="440" w:lineRule="exact"/>
        <w:rPr>
          <w:rFonts w:ascii="宋体" w:hAnsi="宋体"/>
          <w:color w:val="000000"/>
          <w:sz w:val="24"/>
          <w:szCs w:val="24"/>
        </w:rPr>
      </w:pPr>
      <w:r>
        <w:rPr>
          <w:rFonts w:ascii="宋体" w:hAnsi="宋体"/>
          <w:color w:val="000000"/>
          <w:sz w:val="24"/>
          <w:szCs w:val="24"/>
        </w:rPr>
      </w:r>
      <w:r/>
    </w:p>
    <w:p>
      <w:pPr>
        <w:pStyle w:val="1022"/>
        <w:rPr>
          <w:color w:val="000000"/>
          <w:sz w:val="24"/>
        </w:rPr>
      </w:pPr>
      <w:r>
        <w:rPr>
          <w:color w:val="000000"/>
          <w:sz w:val="24"/>
        </w:rPr>
      </w:r>
      <w:r/>
    </w:p>
    <w:p>
      <w:pPr>
        <w:pStyle w:val="1022"/>
        <w:rPr>
          <w:color w:val="000000"/>
          <w:sz w:val="24"/>
        </w:rPr>
      </w:pPr>
      <w:r>
        <w:rPr>
          <w:color w:val="000000"/>
          <w:sz w:val="24"/>
        </w:rPr>
      </w:r>
      <w:r/>
    </w:p>
    <w:p>
      <w:pPr>
        <w:pStyle w:val="1022"/>
        <w:rPr>
          <w:color w:val="000000"/>
          <w:sz w:val="24"/>
        </w:rPr>
      </w:pPr>
      <w:r>
        <w:rPr>
          <w:color w:val="000000"/>
          <w:sz w:val="24"/>
        </w:rPr>
      </w:r>
      <w:r/>
    </w:p>
    <w:p>
      <w:pPr>
        <w:pStyle w:val="1022"/>
        <w:rPr>
          <w:color w:val="000000"/>
          <w:sz w:val="24"/>
        </w:rPr>
      </w:pPr>
      <w:r>
        <w:rPr>
          <w:color w:val="000000"/>
          <w:sz w:val="24"/>
        </w:rPr>
      </w:r>
      <w:r/>
    </w:p>
    <w:p>
      <w:pPr>
        <w:pStyle w:val="1022"/>
        <w:rPr>
          <w:color w:val="000000"/>
          <w:sz w:val="24"/>
        </w:rPr>
      </w:pPr>
      <w:r>
        <w:rPr>
          <w:color w:val="000000"/>
          <w:sz w:val="24"/>
        </w:rPr>
      </w:r>
      <w:r/>
    </w:p>
    <w:p>
      <w:pPr>
        <w:pStyle w:val="748"/>
        <w:jc w:val="left"/>
        <w:spacing w:line="360" w:lineRule="auto"/>
        <w:rPr>
          <w:rFonts w:hint="eastAsia" w:ascii="黑体" w:hAnsi="黑体" w:eastAsia="黑体"/>
          <w:color w:val="000000"/>
          <w:sz w:val="32"/>
          <w:szCs w:val="32"/>
        </w:rPr>
      </w:pPr>
      <w:r/>
      <w:bookmarkEnd w:id="189"/>
      <w:r/>
      <w:bookmarkEnd w:id="190"/>
      <w:r/>
      <w:bookmarkEnd w:id="196"/>
      <w:r/>
      <w:bookmarkEnd w:id="197"/>
      <w:r/>
      <w:bookmarkEnd w:id="198"/>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一、供应商信用承诺函</w:t>
      </w:r>
      <w:r>
        <w:rPr>
          <w:rFonts w:hint="eastAsia" w:ascii="黑体" w:hAnsi="黑体" w:eastAsia="黑体"/>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8"/>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8"/>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8"/>
        <w:ind w:firstLine="492"/>
        <w:spacing w:line="460" w:lineRule="exact"/>
        <w:rPr>
          <w:color w:val="000000"/>
          <w:sz w:val="24"/>
          <w:szCs w:val="24"/>
        </w:rPr>
      </w:pPr>
      <w:r>
        <w:rPr>
          <w:color w:val="000000"/>
          <w:sz w:val="24"/>
          <w:szCs w:val="24"/>
        </w:rPr>
      </w:r>
      <w:r/>
    </w:p>
    <w:p>
      <w:pPr>
        <w:pStyle w:val="1059"/>
        <w:rPr>
          <w:color w:val="000000"/>
          <w:sz w:val="24"/>
          <w:szCs w:val="24"/>
        </w:rPr>
      </w:pPr>
      <w:r>
        <w:rPr>
          <w:color w:val="000000"/>
          <w:sz w:val="24"/>
          <w:szCs w:val="24"/>
        </w:rPr>
      </w:r>
      <w:r/>
    </w:p>
    <w:p>
      <w:pPr>
        <w:pStyle w:val="74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748"/>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8"/>
        <w:rPr>
          <w:color w:val="000000"/>
          <w:sz w:val="24"/>
          <w:szCs w:val="24"/>
        </w:rPr>
      </w:pPr>
      <w:r>
        <w:rPr>
          <w:color w:val="000000"/>
          <w:sz w:val="24"/>
          <w:szCs w:val="24"/>
        </w:rPr>
      </w:r>
      <w:r/>
    </w:p>
    <w:p>
      <w:pPr>
        <w:pStyle w:val="748"/>
        <w:spacing w:line="440" w:lineRule="exact"/>
        <w:rPr>
          <w:rFonts w:hint="eastAsia" w:ascii="宋体" w:hAnsi="宋体"/>
          <w:color w:val="000000"/>
          <w:sz w:val="24"/>
          <w:szCs w:val="24"/>
        </w:rPr>
      </w:pPr>
      <w:r>
        <w:rPr>
          <w:rFonts w:hint="eastAsia" w:ascii="宋体" w:hAnsi="宋体"/>
          <w:color w:val="000000"/>
          <w:sz w:val="24"/>
          <w:szCs w:val="24"/>
        </w:rPr>
      </w:r>
      <w:r/>
    </w:p>
    <w:p>
      <w:pPr>
        <w:pStyle w:val="748"/>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1021"/>
        <w:rPr>
          <w:rFonts w:hint="eastAsia" w:ascii="宋体" w:hAnsi="宋体"/>
          <w:b/>
          <w:bCs/>
          <w:color w:val="000000"/>
          <w:lang w:eastAsia="zh-CN"/>
        </w:rPr>
      </w:pPr>
      <w:r>
        <w:rPr>
          <w:rFonts w:hint="eastAsia" w:ascii="宋体" w:hAnsi="宋体"/>
          <w:b/>
          <w:bCs/>
          <w:color w:val="000000"/>
          <w:lang w:eastAsia="zh-CN"/>
        </w:rPr>
      </w:r>
      <w:r/>
    </w:p>
    <w:p>
      <w:pPr>
        <w:pStyle w:val="748"/>
        <w:rPr>
          <w:rFonts w:hint="eastAsia" w:ascii="宋体" w:hAnsi="宋体"/>
          <w:b/>
          <w:bCs/>
          <w:color w:val="000000"/>
        </w:rPr>
      </w:pPr>
      <w:r>
        <w:rPr>
          <w:rFonts w:hint="eastAsia" w:ascii="宋体" w:hAnsi="宋体"/>
          <w:b/>
          <w:bCs/>
          <w:color w:val="000000"/>
        </w:rPr>
      </w:r>
      <w:r/>
    </w:p>
    <w:p>
      <w:pPr>
        <w:pStyle w:val="802"/>
        <w:rPr>
          <w:rFonts w:hint="eastAsia"/>
          <w:color w:val="000000"/>
        </w:rPr>
      </w:pPr>
      <w:r>
        <w:rPr>
          <w:rFonts w:hint="eastAsia"/>
          <w:color w:val="000000"/>
        </w:rPr>
      </w:r>
      <w:r>
        <w:rPr>
          <w:rFonts w:hint="eastAsia"/>
          <w:color w:val="000000"/>
        </w:rPr>
      </w:r>
      <w:r/>
    </w:p>
    <w:p>
      <w:pPr>
        <w:pStyle w:val="802"/>
        <w:rPr>
          <w:rFonts w:hint="eastAsia"/>
          <w:color w:val="000000"/>
        </w:rPr>
      </w:pPr>
      <w:r>
        <w:rPr>
          <w:rFonts w:hint="eastAsia"/>
          <w:color w:val="000000"/>
        </w:rPr>
      </w:r>
      <w:r>
        <w:rPr>
          <w:rFonts w:hint="eastAsia"/>
          <w:color w:val="000000"/>
        </w:rPr>
      </w:r>
      <w:r/>
    </w:p>
    <w:p>
      <w:pPr>
        <w:pStyle w:val="802"/>
        <w:rPr>
          <w:rFonts w:hint="eastAsia"/>
          <w:color w:val="000000"/>
        </w:rPr>
      </w:pPr>
      <w:r>
        <w:rPr>
          <w:rFonts w:hint="eastAsia"/>
          <w:color w:val="000000"/>
        </w:rPr>
      </w:r>
      <w:r/>
    </w:p>
    <w:p>
      <w:pPr>
        <w:pStyle w:val="748"/>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rPr>
          <w:rFonts w:hint="eastAsia" w:ascii="黑体" w:hAnsi="黑体" w:eastAsia="黑体"/>
          <w:i/>
          <w:color w:val="000000"/>
          <w:sz w:val="32"/>
          <w:szCs w:val="32"/>
          <w:u w:val="single"/>
        </w:rPr>
      </w:r>
      <w:r/>
    </w:p>
    <w:p>
      <w:pPr>
        <w:pStyle w:val="1031"/>
        <w:ind w:firstLine="480"/>
        <w:tabs>
          <w:tab w:val="left" w:pos="360" w:leader="none"/>
        </w:tabs>
        <w:rPr>
          <w:rFonts w:hint="eastAsia"/>
          <w:color w:val="000000"/>
          <w:sz w:val="24"/>
          <w:szCs w:val="24"/>
        </w:rPr>
      </w:pPr>
      <w:r>
        <w:rPr>
          <w:rFonts w:hint="eastAsia"/>
          <w:color w:val="000000"/>
          <w:sz w:val="24"/>
          <w:szCs w:val="24"/>
        </w:rPr>
        <w:t xml:space="preserve">本项目申请人的特定资格要求中要求提供的材料。</w:t>
      </w:r>
      <w:r>
        <w:rPr>
          <w:rFonts w:hint="eastAsia"/>
          <w:color w:val="000000"/>
          <w:sz w:val="24"/>
          <w:szCs w:val="24"/>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21"/>
        <w:rPr>
          <w:rFonts w:hint="eastAsia"/>
          <w:color w:val="000000"/>
          <w:lang w:eastAsia="zh-CN"/>
        </w:rPr>
      </w:pPr>
      <w:r>
        <w:rPr>
          <w:rFonts w:hint="eastAsia"/>
          <w:color w:val="000000"/>
          <w:lang w:eastAsia="zh-CN"/>
        </w:rPr>
      </w:r>
      <w:r/>
    </w:p>
    <w:p>
      <w:pPr>
        <w:pStyle w:val="748"/>
        <w:rPr>
          <w:rFonts w:hint="eastAsia"/>
          <w:color w:val="000000"/>
        </w:rPr>
      </w:pPr>
      <w:r>
        <w:rPr>
          <w:rFonts w:hint="eastAsia"/>
          <w:color w:val="000000"/>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4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748"/>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31"/>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31"/>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31"/>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本授权书自______年____月____日起生效，特此声明。</w:t>
      </w:r>
      <w:r>
        <w:rPr>
          <w:rFonts w:hint="eastAsia"/>
          <w:color w:val="000000"/>
          <w:sz w:val="24"/>
          <w:szCs w:val="24"/>
        </w:rPr>
      </w:r>
      <w:r/>
    </w:p>
    <w:p>
      <w:pPr>
        <w:pStyle w:val="1031"/>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31"/>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r>
      <w:r/>
    </w:p>
    <w:p>
      <w:pPr>
        <w:pStyle w:val="1031"/>
        <w:ind w:firstLine="468"/>
        <w:spacing w:line="480" w:lineRule="exact"/>
        <w:tabs>
          <w:tab w:val="left" w:pos="360" w:leader="none"/>
        </w:tabs>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rPr>
          <w:color w:val="000000"/>
          <w:sz w:val="24"/>
          <w:szCs w:val="24"/>
        </w:rPr>
      </w:r>
      <w:r/>
    </w:p>
    <w:p>
      <w:pPr>
        <w:pStyle w:val="1031"/>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31"/>
        <w:ind w:firstLine="480"/>
        <w:spacing w:line="480" w:lineRule="exact"/>
        <w:tabs>
          <w:tab w:val="left" w:pos="360" w:leader="none"/>
        </w:tabs>
        <w:rPr>
          <w:rFonts w:hint="eastAsia"/>
          <w:color w:val="000000"/>
          <w:sz w:val="24"/>
          <w:szCs w:val="24"/>
        </w:rPr>
      </w:pPr>
      <w:r>
        <w:rPr>
          <w:rFonts w:hint="eastAsia"/>
          <w:color w:val="000000"/>
          <w:sz w:val="24"/>
          <w:szCs w:val="24"/>
        </w:rPr>
        <w:t xml:space="preserve">日    期：</w:t>
      </w:r>
      <w:bookmarkStart w:id="199" w:name="_Hlt26955070"/>
      <w:r/>
      <w:bookmarkEnd w:id="199"/>
      <w:r/>
      <w:bookmarkStart w:id="200" w:name="_Hlt26671380"/>
      <w:r/>
      <w:bookmarkEnd w:id="200"/>
      <w:r/>
      <w:bookmarkStart w:id="201" w:name="_格式3__银行出具的资信证明"/>
      <w:r/>
      <w:bookmarkEnd w:id="201"/>
      <w:r>
        <w:rPr>
          <w:rFonts w:hint="eastAsia"/>
          <w:color w:val="000000"/>
          <w:sz w:val="24"/>
          <w:szCs w:val="24"/>
        </w:rPr>
      </w:r>
      <w:r/>
    </w:p>
    <w:p>
      <w:pPr>
        <w:pStyle w:val="763"/>
        <w:rPr>
          <w:rFonts w:hint="eastAsia"/>
          <w:i/>
          <w:color w:val="000000"/>
          <w:sz w:val="24"/>
          <w:szCs w:val="24"/>
          <w:u w:val="single"/>
        </w:rPr>
      </w:pPr>
      <w:r>
        <w:rPr>
          <w:rFonts w:hint="eastAsia"/>
          <w:i/>
          <w:color w:val="000000"/>
          <w:sz w:val="24"/>
          <w:szCs w:val="24"/>
          <w:u w:val="single"/>
        </w:rPr>
      </w:r>
      <w:r/>
    </w:p>
    <w:p>
      <w:pPr>
        <w:pStyle w:val="763"/>
        <w:ind w:firstLine="0"/>
        <w:rPr>
          <w:rFonts w:hint="eastAsia"/>
          <w:color w:val="000000"/>
        </w:rPr>
      </w:pPr>
      <w:r>
        <w:rPr>
          <w:rFonts w:hint="eastAsia"/>
          <w:color w:val="000000"/>
        </w:rPr>
      </w:r>
      <w:r/>
    </w:p>
    <w:p>
      <w:pPr>
        <w:pStyle w:val="748"/>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748"/>
        <w:spacing w:line="460" w:lineRule="exact"/>
        <w:rPr>
          <w:rFonts w:hint="eastAsia" w:ascii="宋体" w:hAnsi="宋体"/>
          <w:bCs/>
          <w:color w:val="000000"/>
          <w:sz w:val="24"/>
        </w:rPr>
      </w:pPr>
      <w:r>
        <w:rPr>
          <w:rFonts w:hint="eastAsia" w:ascii="宋体" w:hAnsi="宋体"/>
          <w:bCs/>
          <w:color w:val="000000"/>
          <w:sz w:val="24"/>
        </w:rPr>
      </w:r>
      <w:r/>
    </w:p>
    <w:p>
      <w:pPr>
        <w:pStyle w:val="1022"/>
        <w:rPr>
          <w:rFonts w:hint="eastAsia"/>
          <w:bCs/>
          <w:color w:val="000000"/>
          <w:sz w:val="24"/>
        </w:rPr>
      </w:pPr>
      <w:r>
        <w:rPr>
          <w:rFonts w:hint="eastAsia"/>
          <w:bCs/>
          <w:color w:val="000000"/>
          <w:sz w:val="24"/>
        </w:rPr>
      </w:r>
      <w:r/>
    </w:p>
    <w:p>
      <w:pPr>
        <w:pStyle w:val="1022"/>
        <w:rPr>
          <w:rFonts w:hint="eastAsia"/>
          <w:bCs/>
          <w:color w:val="000000"/>
          <w:sz w:val="24"/>
        </w:rPr>
      </w:pPr>
      <w:r>
        <w:rPr>
          <w:rFonts w:hint="eastAsia"/>
          <w:bCs/>
          <w:color w:val="000000"/>
          <w:sz w:val="24"/>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四、投标函</w:t>
      </w:r>
      <w:r>
        <w:rPr>
          <w:rFonts w:hint="eastAsia" w:ascii="黑体" w:hAnsi="黑体" w:eastAsia="黑体"/>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748"/>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8.我方与本次投标有关信息</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33"/>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33"/>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33"/>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33"/>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748"/>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33"/>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74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4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12"/>
        <w:rPr>
          <w:rFonts w:hint="eastAsia" w:ascii="黑体" w:hAnsi="黑体" w:eastAsia="黑体" w:cs="Times New Roman"/>
          <w:i/>
          <w:color w:val="000000"/>
          <w:sz w:val="32"/>
          <w:szCs w:val="32"/>
          <w:u w:val="single"/>
          <w:lang w:val="en-US"/>
        </w:rPr>
      </w:pPr>
      <w:r>
        <w:rPr>
          <w:rFonts w:hint="eastAsia" w:ascii="黑体" w:hAnsi="黑体" w:eastAsia="黑体" w:cs="Times New Roman"/>
          <w:i/>
          <w:color w:val="000000"/>
          <w:sz w:val="32"/>
          <w:szCs w:val="32"/>
          <w:u w:val="single"/>
          <w:lang w:val="en-US"/>
        </w:rPr>
      </w:r>
      <w:r/>
    </w:p>
    <w:p>
      <w:pPr>
        <w:pStyle w:val="748"/>
        <w:rPr>
          <w:rFonts w:hint="eastAsia"/>
          <w:color w:val="000000"/>
        </w:rPr>
      </w:pPr>
      <w:r>
        <w:rPr>
          <w:rFonts w:hint="eastAsia"/>
          <w:color w:val="000000"/>
        </w:rPr>
      </w:r>
      <w:r/>
    </w:p>
    <w:p>
      <w:pPr>
        <w:pStyle w:val="74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rPr>
          <w:rFonts w:hint="eastAsia" w:ascii="黑体" w:hAnsi="黑体" w:eastAsia="黑体"/>
          <w:color w:val="000000"/>
          <w:sz w:val="32"/>
          <w:szCs w:val="32"/>
        </w:rPr>
      </w:r>
      <w:r/>
    </w:p>
    <w:p>
      <w:pPr>
        <w:pStyle w:val="748"/>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8"/>
        <w:spacing w:line="48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8"/>
        <w:spacing w:line="48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48"/>
        <w:spacing w:line="48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8"/>
              <w:jc w:val="center"/>
              <w:spacing w:line="480" w:lineRule="auto"/>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s="宋体"/>
                <w:b/>
                <w:bCs/>
                <w:color w:val="000000"/>
                <w:sz w:val="24"/>
                <w:szCs w:val="24"/>
              </w:rPr>
              <w:t xml:space="preserve">填报“三年投标总价”</w:t>
            </w:r>
            <w:r>
              <w:rPr>
                <w:rFonts w:hint="eastAsia" w:ascii="宋体" w:hAnsi="宋体"/>
                <w:color w:val="000000"/>
                <w:sz w:val="24"/>
                <w:szCs w:val="24"/>
              </w:rPr>
              <w:t xml:space="preserve">）</w:t>
            </w:r>
            <w:r>
              <w:rPr>
                <w:rFonts w:hint="eastAsia" w:ascii="宋体" w:hAnsi="宋体"/>
                <w:color w:val="000000"/>
                <w:sz w:val="24"/>
                <w:szCs w:val="24"/>
              </w:rPr>
            </w:r>
            <w:r/>
          </w:p>
        </w:tc>
      </w:tr>
      <w:tr>
        <w:trPr>
          <w:cantSplit/>
          <w:trHeight w:val="780"/>
        </w:trPr>
        <w:tc>
          <w:tcPr>
            <w:tcW w:w="9311" w:type="dxa"/>
            <w:vAlign w:val="center"/>
            <w:textDirection w:val="lrTb"/>
            <w:noWrap w:val="false"/>
          </w:tcPr>
          <w:p>
            <w:pPr>
              <w:pStyle w:val="1033"/>
              <w:ind w:firstLine="0"/>
              <w:spacing w:before="0" w:after="0" w:line="480" w:lineRule="auto"/>
              <w:rPr>
                <w:rFonts w:hint="eastAsia" w:ascii="宋体" w:hAnsi="宋体"/>
                <w:color w:val="000000"/>
                <w:szCs w:val="21"/>
              </w:rPr>
            </w:pPr>
            <w:r>
              <w:rPr>
                <w:rFonts w:hint="eastAsia" w:ascii="宋体" w:hAnsi="宋体" w:cs="宋体"/>
                <w:color w:val="000000"/>
              </w:rPr>
              <w:t xml:space="preserve">小写（元）：</w:t>
            </w:r>
            <w:r>
              <w:rPr>
                <w:rFonts w:hint="eastAsia" w:ascii="宋体" w:hAnsi="宋体"/>
                <w:color w:val="000000"/>
                <w:szCs w:val="21"/>
              </w:rPr>
            </w:r>
            <w:r/>
          </w:p>
        </w:tc>
      </w:tr>
    </w:tbl>
    <w:p>
      <w:pPr>
        <w:pStyle w:val="748"/>
        <w:spacing w:line="480" w:lineRule="auto"/>
        <w:rPr>
          <w:rFonts w:ascii="宋体" w:hAnsi="宋体"/>
          <w:color w:val="000000"/>
          <w:sz w:val="24"/>
          <w:szCs w:val="24"/>
        </w:rPr>
      </w:pPr>
      <w:r>
        <w:rPr>
          <w:rFonts w:ascii="宋体" w:hAnsi="宋体"/>
          <w:color w:val="000000"/>
          <w:sz w:val="24"/>
          <w:szCs w:val="24"/>
        </w:rPr>
      </w:r>
      <w:r/>
    </w:p>
    <w:p>
      <w:pPr>
        <w:pStyle w:val="748"/>
        <w:jc w:val="left"/>
        <w:spacing w:line="360" w:lineRule="auto"/>
        <w:rPr>
          <w:rFonts w:hint="eastAsia" w:ascii="宋体" w:hAnsi="宋体"/>
          <w:color w:val="000000"/>
          <w:sz w:val="24"/>
          <w:szCs w:val="24"/>
        </w:rPr>
      </w:pPr>
      <w:r>
        <w:rPr>
          <w:rFonts w:hint="eastAsia" w:ascii="宋体" w:hAnsi="宋体"/>
          <w:color w:val="000000"/>
          <w:sz w:val="24"/>
          <w:szCs w:val="24"/>
        </w:rPr>
        <w:t xml:space="preserve">                                              日  期：</w:t>
      </w: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ind w:firstLine="482"/>
        <w:spacing w:line="480" w:lineRule="exact"/>
        <w:rPr>
          <w:rFonts w:hint="eastAsia" w:ascii="宋体" w:hAnsi="宋体"/>
          <w:b/>
          <w:bCs/>
          <w:color w:val="000000"/>
          <w:sz w:val="24"/>
          <w:szCs w:val="24"/>
        </w:rPr>
      </w:pPr>
      <w:r>
        <w:rPr>
          <w:rFonts w:hint="eastAsia" w:ascii="宋体" w:hAnsi="宋体"/>
          <w:b/>
          <w:bCs/>
          <w:color w:val="000000"/>
          <w:sz w:val="24"/>
          <w:szCs w:val="24"/>
        </w:rPr>
        <w:t xml:space="preserve">备注：</w:t>
      </w:r>
      <w:r>
        <w:rPr>
          <w:rFonts w:hint="eastAsia" w:ascii="宋体" w:hAnsi="宋体"/>
          <w:b/>
          <w:bCs/>
          <w:color w:val="000000"/>
          <w:sz w:val="24"/>
          <w:szCs w:val="24"/>
        </w:rPr>
        <w:t xml:space="preserve">投标人报价低于采购项目预算50%，或者低于采购项目最高限价45%，或者</w:t>
      </w:r>
      <w:r>
        <w:rPr>
          <w:rFonts w:hint="eastAsia" w:ascii="宋体" w:hAnsi="宋体"/>
          <w:b/>
          <w:bCs/>
          <w:color w:val="000000"/>
          <w:sz w:val="24"/>
          <w:szCs w:val="24"/>
          <w:lang w:val="zh-CN"/>
        </w:rPr>
        <w:t xml:space="preserve">报价</w:t>
      </w:r>
      <w:r>
        <w:rPr>
          <w:rFonts w:hint="eastAsia" w:ascii="宋体" w:hAnsi="宋体"/>
          <w:b/>
          <w:bCs/>
          <w:color w:val="000000"/>
          <w:sz w:val="24"/>
          <w:szCs w:val="24"/>
        </w:rPr>
        <w:t xml:space="preserve">过低</w:t>
      </w:r>
      <w:r>
        <w:rPr>
          <w:rFonts w:hint="eastAsia" w:ascii="宋体" w:hAnsi="宋体"/>
          <w:b/>
          <w:bCs/>
          <w:color w:val="000000"/>
          <w:sz w:val="24"/>
          <w:szCs w:val="24"/>
          <w:lang w:val="zh-CN"/>
        </w:rPr>
        <w:t xml:space="preserve">，有可能影响</w:t>
      </w:r>
      <w:r>
        <w:rPr>
          <w:rFonts w:hint="eastAsia" w:ascii="宋体" w:hAnsi="宋体"/>
          <w:b/>
          <w:bCs/>
          <w:color w:val="000000"/>
          <w:sz w:val="24"/>
          <w:szCs w:val="24"/>
        </w:rPr>
        <w:t xml:space="preserve">产品或服务</w:t>
      </w:r>
      <w:r>
        <w:rPr>
          <w:rFonts w:hint="eastAsia" w:ascii="宋体" w:hAnsi="宋体"/>
          <w:b/>
          <w:bCs/>
          <w:color w:val="000000"/>
          <w:sz w:val="24"/>
          <w:szCs w:val="24"/>
          <w:lang w:val="zh-CN"/>
        </w:rPr>
        <w:t xml:space="preserve">质量或不能诚信履约的，</w:t>
      </w:r>
      <w:r>
        <w:rPr>
          <w:rFonts w:hint="eastAsia" w:ascii="宋体" w:hAnsi="宋体"/>
          <w:b/>
          <w:bCs/>
          <w:color w:val="000000"/>
          <w:sz w:val="24"/>
          <w:szCs w:val="24"/>
        </w:rPr>
        <w:t xml:space="preserve">评委会将启动异常低价投标审查机制，投标人应</w:t>
      </w:r>
      <w:r>
        <w:rPr>
          <w:rFonts w:hint="eastAsia" w:ascii="宋体" w:hAnsi="宋体"/>
          <w:b/>
          <w:bCs/>
          <w:color w:val="000000"/>
          <w:sz w:val="24"/>
          <w:szCs w:val="24"/>
          <w:lang w:val="zh-CN"/>
        </w:rPr>
        <w:t xml:space="preserve">在</w:t>
      </w:r>
      <w:r>
        <w:rPr>
          <w:rFonts w:hint="eastAsia" w:ascii="宋体" w:hAnsi="宋体"/>
          <w:b/>
          <w:bCs/>
          <w:color w:val="000000"/>
          <w:sz w:val="24"/>
          <w:szCs w:val="24"/>
        </w:rPr>
        <w:t xml:space="preserve">评委会规定的合理</w:t>
      </w:r>
      <w:r>
        <w:rPr>
          <w:rFonts w:hint="eastAsia" w:ascii="宋体" w:hAnsi="宋体"/>
          <w:b/>
          <w:bCs/>
          <w:color w:val="000000"/>
          <w:sz w:val="24"/>
          <w:szCs w:val="24"/>
          <w:lang w:val="zh-CN"/>
        </w:rPr>
        <w:t xml:space="preserve">时间内</w:t>
      </w:r>
      <w:r>
        <w:rPr>
          <w:rFonts w:hint="eastAsia" w:ascii="宋体" w:hAnsi="宋体"/>
          <w:b/>
          <w:bCs/>
          <w:color w:val="000000"/>
          <w:sz w:val="24"/>
          <w:szCs w:val="24"/>
        </w:rPr>
        <w:t xml:space="preserve">通过苏采云系统</w:t>
      </w:r>
      <w:r>
        <w:rPr>
          <w:rFonts w:hint="eastAsia" w:ascii="宋体" w:hAnsi="宋体"/>
          <w:b/>
          <w:bCs/>
          <w:color w:val="000000"/>
          <w:sz w:val="24"/>
          <w:szCs w:val="24"/>
          <w:lang w:val="zh-CN"/>
        </w:rPr>
        <w:t xml:space="preserve">提供</w:t>
      </w:r>
      <w:r>
        <w:rPr>
          <w:rFonts w:hint="eastAsia" w:ascii="宋体" w:hAnsi="宋体"/>
          <w:b/>
          <w:bCs/>
          <w:color w:val="000000"/>
          <w:sz w:val="24"/>
          <w:szCs w:val="24"/>
        </w:rPr>
        <w:t xml:space="preserve">项目具体成本测算等与报价合理性相关的书面</w:t>
      </w:r>
      <w:r>
        <w:rPr>
          <w:rFonts w:hint="eastAsia" w:ascii="宋体" w:hAnsi="宋体"/>
          <w:b/>
          <w:bCs/>
          <w:color w:val="000000"/>
          <w:sz w:val="24"/>
          <w:szCs w:val="24"/>
          <w:lang w:val="zh-CN"/>
        </w:rPr>
        <w:t xml:space="preserve">说明</w:t>
      </w:r>
      <w:r>
        <w:rPr>
          <w:rFonts w:hint="eastAsia" w:ascii="宋体" w:hAnsi="宋体"/>
          <w:b/>
          <w:bCs/>
          <w:color w:val="000000"/>
          <w:sz w:val="24"/>
          <w:szCs w:val="24"/>
        </w:rPr>
        <w:t xml:space="preserve">及相关证明材料</w:t>
      </w:r>
      <w:r>
        <w:rPr>
          <w:rFonts w:hint="eastAsia" w:ascii="宋体" w:hAnsi="宋体"/>
          <w:b/>
          <w:bCs/>
          <w:color w:val="000000"/>
          <w:sz w:val="24"/>
          <w:szCs w:val="24"/>
          <w:lang w:val="zh-CN"/>
        </w:rPr>
        <w:t xml:space="preserve">。投标人</w:t>
      </w:r>
      <w:r>
        <w:rPr>
          <w:rFonts w:hint="eastAsia" w:ascii="宋体" w:hAnsi="宋体"/>
          <w:b/>
          <w:bCs/>
          <w:color w:val="000000"/>
          <w:sz w:val="24"/>
          <w:szCs w:val="24"/>
        </w:rPr>
        <w:t xml:space="preserve">不提供书面说明及证明材料，或者书面说明、证明材料</w:t>
      </w:r>
      <w:r>
        <w:rPr>
          <w:rFonts w:hint="eastAsia" w:ascii="宋体" w:hAnsi="宋体"/>
          <w:b/>
          <w:bCs/>
          <w:color w:val="000000"/>
          <w:sz w:val="24"/>
          <w:szCs w:val="24"/>
          <w:lang w:val="zh-CN"/>
        </w:rPr>
        <w:t xml:space="preserve">不能证明其报价合理性的，将作为无效投标处理。</w:t>
      </w:r>
      <w:r>
        <w:rPr>
          <w:rFonts w:hint="eastAsia" w:ascii="宋体" w:hAnsi="宋体"/>
          <w:b/>
          <w:bCs/>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02"/>
        <w:ind w:firstLine="480"/>
        <w:rPr>
          <w:rFonts w:hint="eastAsia"/>
          <w:color w:val="000000"/>
          <w:sz w:val="24"/>
          <w:szCs w:val="24"/>
        </w:rPr>
      </w:pPr>
      <w:r>
        <w:rPr>
          <w:rFonts w:hint="eastAsia"/>
          <w:color w:val="000000"/>
          <w:sz w:val="24"/>
          <w:szCs w:val="24"/>
        </w:rPr>
      </w:r>
      <w:r/>
    </w:p>
    <w:p>
      <w:pPr>
        <w:pStyle w:val="748"/>
        <w:rPr>
          <w:rFonts w:hint="eastAsia"/>
          <w:color w:val="000000"/>
        </w:rPr>
      </w:pPr>
      <w:r>
        <w:rPr>
          <w:rFonts w:hint="eastAsia"/>
          <w:color w:val="000000"/>
        </w:rPr>
      </w:r>
      <w:r/>
    </w:p>
    <w:p>
      <w:pPr>
        <w:pStyle w:val="812"/>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812"/>
        <w:rPr>
          <w:rFonts w:hint="eastAsia"/>
          <w:color w:val="000000"/>
        </w:rPr>
      </w:pPr>
      <w:r>
        <w:rPr>
          <w:rFonts w:hint="eastAsia"/>
          <w:color w:val="000000"/>
        </w:rPr>
      </w:r>
      <w:r/>
    </w:p>
    <w:p>
      <w:pPr>
        <w:pStyle w:val="74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六、投标报价明细表</w:t>
      </w:r>
      <w:r>
        <w:rPr>
          <w:rFonts w:hint="eastAsia" w:ascii="黑体" w:hAnsi="黑体" w:eastAsia="黑体"/>
          <w:color w:val="000000"/>
          <w:sz w:val="32"/>
          <w:szCs w:val="32"/>
        </w:rPr>
      </w:r>
      <w:r/>
    </w:p>
    <w:p>
      <w:pPr>
        <w:pStyle w:val="748"/>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投标报价明细表（采购包1）</w:t>
      </w:r>
      <w:r>
        <w:rPr>
          <w:rFonts w:hint="eastAsia" w:ascii="方正小标宋简体" w:hAnsi="方正小标宋简体" w:eastAsia="方正小标宋简体" w:cs="方正小标宋简体"/>
          <w:color w:val="000000"/>
          <w:sz w:val="32"/>
          <w:szCs w:val="32"/>
        </w:rPr>
      </w:r>
      <w:r/>
    </w:p>
    <w:p>
      <w:pPr>
        <w:pStyle w:val="748"/>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8"/>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748"/>
        <w:rPr>
          <w:rFonts w:ascii="宋体" w:hAnsi="宋体"/>
          <w:color w:val="000000"/>
          <w:sz w:val="24"/>
          <w:szCs w:val="24"/>
        </w:rPr>
      </w:pPr>
      <w:r>
        <w:rPr>
          <w:rFonts w:hint="eastAsia" w:ascii="宋体" w:hAnsi="宋体"/>
          <w:color w:val="000000"/>
          <w:sz w:val="24"/>
          <w:szCs w:val="24"/>
        </w:rPr>
        <w:t xml:space="preserve">项目编号：</w:t>
      </w:r>
      <w:r>
        <w:rPr>
          <w:rFonts w:ascii="宋体" w:hAnsi="宋体"/>
          <w:color w:val="000000"/>
          <w:sz w:val="24"/>
          <w:szCs w:val="24"/>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color w:val="000000"/>
              </w:rPr>
            </w:pPr>
            <w:r>
              <w:rPr>
                <w:rFonts w:hint="eastAsia" w:ascii="宋体" w:hAnsi="宋体" w:cs="宋体"/>
                <w:b/>
                <w:bCs/>
                <w:color w:val="000000"/>
                <w:sz w:val="18"/>
                <w:szCs w:val="18"/>
              </w:rPr>
              <w:t xml:space="preserve">月数</w:t>
            </w:r>
            <w:r>
              <w:rPr>
                <w:color w:val="000000"/>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备注</w:t>
            </w:r>
            <w:r>
              <w:rPr>
                <w:rFonts w:hint="eastAsia" w:ascii="宋体" w:hAnsi="宋体" w:cs="宋体"/>
                <w:b/>
                <w:bCs/>
                <w:color w:val="000000"/>
                <w:sz w:val="18"/>
                <w:szCs w:val="18"/>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人员工资</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left"/>
              <w:widowControl/>
              <w:rPr>
                <w:rFonts w:hint="eastAsia"/>
                <w:b/>
                <w:bCs/>
                <w:color w:val="000000"/>
              </w:rPr>
            </w:pPr>
            <w:r>
              <w:rPr>
                <w:rFonts w:hint="eastAsia" w:ascii="宋体" w:hAnsi="宋体" w:cs="宋体"/>
                <w:b/>
                <w:bCs/>
                <w:color w:val="000000"/>
                <w:sz w:val="18"/>
                <w:szCs w:val="18"/>
                <w:lang w:bidi="en-US"/>
              </w:rPr>
              <w:t xml:space="preserve">拟投入的人员不得低于</w:t>
            </w:r>
            <w:r>
              <w:rPr>
                <w:rFonts w:hint="eastAsia" w:ascii="宋体" w:hAnsi="宋体" w:cs="宋体"/>
                <w:b/>
                <w:bCs/>
                <w:color w:val="000000"/>
                <w:sz w:val="18"/>
                <w:szCs w:val="18"/>
              </w:rPr>
              <w:t xml:space="preserve">117</w:t>
            </w:r>
            <w:r>
              <w:rPr>
                <w:rFonts w:hint="eastAsia" w:ascii="宋体" w:hAnsi="宋体" w:cs="宋体"/>
                <w:b/>
                <w:bCs/>
                <w:color w:val="000000"/>
                <w:sz w:val="18"/>
                <w:szCs w:val="18"/>
                <w:lang w:bidi="en-US"/>
              </w:rPr>
              <w:t xml:space="preserve">人，人员工资不得低于南京市最低工资标准，供应商须在《投标报价明细表》中按照采购需求中物业服务人员岗位分别填报员工工资，否则做无效投标处理。</w:t>
            </w:r>
            <w:r>
              <w:rPr>
                <w:rFonts w:hint="eastAsia"/>
                <w:b/>
                <w:bCs/>
                <w:color w:val="000000"/>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2</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社保公积金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b/>
                <w:bCs/>
                <w:color w:val="000000"/>
                <w:sz w:val="18"/>
                <w:szCs w:val="18"/>
              </w:rPr>
            </w:r>
            <w:r/>
          </w:p>
          <w:p>
            <w:pPr>
              <w:pStyle w:val="748"/>
              <w:jc w:val="left"/>
              <w:widowControl/>
              <w:rPr>
                <w:rFonts w:hint="eastAsia"/>
                <w:b/>
                <w:bCs/>
                <w:color w:val="000000"/>
              </w:rPr>
            </w:pPr>
            <w:r>
              <w:rPr>
                <w:rFonts w:hint="eastAsia" w:ascii="宋体" w:hAnsi="宋体" w:cs="宋体"/>
                <w:b/>
                <w:bCs/>
                <w:color w:val="000000"/>
                <w:sz w:val="18"/>
                <w:szCs w:val="18"/>
              </w:rPr>
              <w:t xml:space="preserve">供应商为投入本项目服务人员缴纳社保和公积金的人数不得低于37人（不包含享受社保公积金减免政策人员、退休返聘人员等）</w:t>
            </w:r>
            <w:r>
              <w:rPr>
                <w:rFonts w:hint="eastAsia"/>
                <w:b/>
                <w:bCs/>
                <w:color w:val="000000"/>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2.1</w:t>
            </w:r>
            <w:r>
              <w:rPr>
                <w:rFonts w:ascii="宋体" w:hAnsi="宋体" w:cs="宋体"/>
                <w:b/>
                <w:bCs/>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648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社会保险</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left"/>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社保费用不得低于南京市最低标准，否则做无效投标处理。</w:t>
            </w:r>
            <w:r>
              <w:rPr>
                <w:rFonts w:ascii="宋体" w:hAnsi="宋体" w:cs="宋体"/>
                <w:b/>
                <w:bCs/>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（3）</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2.2</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3</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法定节假日人员加班费</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ascii="宋体" w:hAnsi="宋体" w:cs="宋体"/>
                <w:color w:val="000000"/>
                <w:sz w:val="18"/>
                <w:szCs w:val="18"/>
              </w:rPr>
            </w:pPr>
            <w:r>
              <w:rPr>
                <w:rFonts w:hint="eastAsia" w:ascii="宋体" w:hAnsi="宋体" w:cs="宋体"/>
                <w:color w:val="000000"/>
                <w:sz w:val="18"/>
                <w:szCs w:val="18"/>
              </w:rPr>
              <w:t xml:space="preserve">人数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人员工资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ascii="宋体" w:hAnsi="宋体" w:cs="宋体"/>
                <w:color w:val="000000"/>
                <w:sz w:val="18"/>
                <w:szCs w:val="18"/>
              </w:rPr>
            </w:pPr>
            <w:r>
              <w:rPr>
                <w:rFonts w:hint="eastAsia" w:ascii="宋体" w:hAnsi="宋体" w:cs="宋体"/>
                <w:color w:val="000000"/>
                <w:sz w:val="18"/>
                <w:szCs w:val="18"/>
              </w:rPr>
              <w:t xml:space="preserve">法定节假日天数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rPr>
              <w:t xml:space="preserve">费用计算公式</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法定节假日安排劳动者工作的，支付不低于正常工资的百分之三百的工资报酬。本项目物业管理服务法定节假日在岗人数不少于</w:t>
            </w:r>
            <w:r>
              <w:rPr>
                <w:rFonts w:hint="eastAsia" w:ascii="宋体" w:hAnsi="宋体" w:cs="宋体"/>
                <w:b/>
                <w:bCs/>
                <w:color w:val="000000"/>
                <w:sz w:val="18"/>
                <w:szCs w:val="18"/>
              </w:rPr>
              <w:t xml:space="preserve">40</w:t>
            </w:r>
            <w:r>
              <w:rPr>
                <w:rFonts w:hint="eastAsia" w:ascii="宋体" w:hAnsi="宋体" w:cs="宋体"/>
                <w:b/>
                <w:bCs/>
                <w:color w:val="000000"/>
                <w:sz w:val="18"/>
                <w:szCs w:val="18"/>
                <w:lang w:bidi="en-US"/>
              </w:rPr>
              <w:t xml:space="preserve">人，报价中的“法定节假日人员加班费”不得低于上述要求，并按照本项目合同履行期内的法定节假日天数进行测算，否则做无效投标处理。</w:t>
            </w:r>
            <w:r>
              <w:rPr>
                <w:rFonts w:ascii="宋体" w:hAnsi="宋体" w:cs="宋体"/>
                <w:b/>
                <w:bCs/>
                <w:color w:val="000000"/>
                <w:sz w:val="18"/>
                <w:szCs w:val="18"/>
                <w:lang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48"/>
              <w:jc w:val="center"/>
              <w:widowControl/>
              <w:rPr>
                <w:rFonts w:ascii="宋体" w:hAnsi="宋体" w:cs="宋体"/>
                <w:b/>
                <w:bCs/>
                <w:color w:val="000000"/>
                <w:sz w:val="18"/>
                <w:szCs w:val="18"/>
                <w:lang w:bidi="en-US"/>
              </w:rPr>
            </w:pP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参考计算公式：人员工资÷21.75天（平均月计薪天数）×3×人数×合同履行期内法定节假日天数(13天/年）</w:t>
            </w:r>
            <w:r>
              <w:rPr>
                <w:rFonts w:hint="eastAsia" w:ascii="宋体" w:hAnsi="宋体" w:cs="宋体"/>
                <w:b/>
                <w:bCs/>
                <w:color w:val="000000"/>
                <w:sz w:val="18"/>
                <w:szCs w:val="18"/>
                <w:lang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4</w:t>
            </w:r>
            <w:r>
              <w:rPr>
                <w:rFonts w:ascii="宋体" w:hAnsi="宋体" w:cs="宋体"/>
                <w:color w:val="000000"/>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其他待遇费用</w:t>
            </w:r>
            <w:r>
              <w:rPr>
                <w:rFonts w:hint="eastAsia" w:ascii="宋体" w:hAnsi="宋体" w:cs="宋体"/>
                <w:b/>
                <w:bCs/>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人员福利</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国家强制性要求缴纳的或员工必须享有的福利待遇。</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w:t>
            </w:r>
            <w:r>
              <w:rPr>
                <w:rFonts w:hint="eastAsia" w:ascii="宋体" w:hAnsi="宋体" w:cs="宋体"/>
                <w:color w:val="000000"/>
                <w:sz w:val="18"/>
                <w:szCs w:val="18"/>
                <w:lang w:val="en-US" w:eastAsia="zh-CN" w:bidi="en-US"/>
              </w:rPr>
              <w:t xml:space="preserve">2</w:t>
            </w:r>
            <w:r>
              <w:rPr>
                <w:rFonts w:hint="eastAsia" w:ascii="宋体" w:hAnsi="宋体" w:cs="宋体"/>
                <w:color w:val="000000"/>
                <w:sz w:val="18"/>
                <w:szCs w:val="18"/>
                <w:lang w:bidi="en-US"/>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rPr>
              <w:t xml:space="preserve">服装费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5</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行政办公费</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办公用品费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培训费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交通费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通讯费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rPr>
                <w:rFonts w:hint="eastAsia" w:ascii="宋体" w:hAnsi="宋体" w:cs="宋体"/>
                <w:color w:val="000000"/>
                <w:sz w:val="18"/>
                <w:szCs w:val="18"/>
              </w:rPr>
            </w:pPr>
            <w:r>
              <w:rPr>
                <w:rFonts w:hint="eastAsia" w:ascii="宋体" w:hAnsi="宋体" w:cs="宋体"/>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6</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工具耗材及物资装备折旧费</w:t>
            </w:r>
            <w:r>
              <w:rPr>
                <w:rFonts w:hint="eastAsia" w:ascii="宋体" w:hAnsi="宋体" w:cs="宋体"/>
                <w:color w:val="000000"/>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lang w:bidi="en-US"/>
              </w:rPr>
            </w:pPr>
            <w:r>
              <w:rPr>
                <w:rFonts w:ascii="宋体" w:hAnsi="宋体" w:cs="宋体"/>
                <w:color w:val="000000"/>
                <w:sz w:val="18"/>
                <w:szCs w:val="18"/>
                <w:lang w:bidi="en-US"/>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清洁耗材费</w:t>
            </w:r>
            <w:r>
              <w:rPr>
                <w:rFonts w:hint="eastAsia" w:ascii="宋体" w:hAnsi="宋体" w:cs="宋体"/>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清洁耗材包括但不限于：扫把、地推、垃圾袋、抽纸、洗手液、厕所卷纸、消毒液、洁厕灵等。</w:t>
            </w:r>
            <w:r>
              <w:rPr>
                <w:rFonts w:hint="eastAsia" w:ascii="宋体" w:hAnsi="宋体" w:cs="宋体"/>
                <w:b/>
                <w:bCs/>
                <w:color w:val="000000"/>
                <w:sz w:val="18"/>
                <w:szCs w:val="18"/>
              </w:rPr>
              <w:t xml:space="preserve">供应商自行测算考虑到投标报价中。</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物资装备折旧费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7</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bidi="en-US"/>
              </w:rPr>
            </w:pPr>
            <w:r/>
            <w:bookmarkStart w:id="202" w:name="_GoBack"/>
            <w:r>
              <w:rPr>
                <w:rFonts w:hint="eastAsia" w:ascii="宋体" w:hAnsi="宋体" w:cs="宋体"/>
                <w:b/>
                <w:bCs/>
                <w:color w:val="000000"/>
                <w:sz w:val="18"/>
                <w:szCs w:val="18"/>
                <w:lang w:bidi="en-US"/>
              </w:rPr>
              <w:t xml:space="preserve">办公大楼外墙清洗费</w:t>
            </w:r>
            <w:bookmarkEnd w:id="202"/>
            <w:r>
              <w:rPr>
                <w:rFonts w:hint="eastAsia"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widowControl/>
              <w:rPr>
                <w:rFonts w:ascii="宋体" w:hAnsi="宋体" w:cs="宋体"/>
                <w:b/>
                <w:bCs/>
                <w:color w:val="000000"/>
                <w:sz w:val="18"/>
                <w:szCs w:val="18"/>
              </w:rPr>
            </w:pPr>
            <w:r>
              <w:rPr>
                <w:rFonts w:ascii="宋体" w:hAnsi="宋体" w:cs="宋体"/>
                <w:b/>
                <w:bCs/>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eastAsia="宋体" w:cs="宋体"/>
                <w:b/>
                <w:bCs/>
                <w:color w:val="000000"/>
                <w:sz w:val="18"/>
                <w:szCs w:val="18"/>
                <w:lang w:val="en-US" w:eastAsia="zh-CN" w:bidi="en-US"/>
              </w:rPr>
            </w:pPr>
            <w:r>
              <w:rPr>
                <w:rFonts w:hint="eastAsia" w:ascii="宋体" w:hAnsi="宋体" w:cs="宋体"/>
                <w:b/>
                <w:bCs/>
                <w:color w:val="000000"/>
                <w:sz w:val="18"/>
                <w:szCs w:val="18"/>
                <w:lang w:val="en-US" w:eastAsia="zh-CN" w:bidi="en-US"/>
              </w:rPr>
              <w:t xml:space="preserve">8</w:t>
            </w:r>
            <w:r>
              <w:rPr>
                <w:rFonts w:hint="eastAsia" w:ascii="宋体" w:hAnsi="宋体" w:eastAsia="宋体" w:cs="宋体"/>
                <w:b/>
                <w:bCs/>
                <w:color w:val="000000"/>
                <w:sz w:val="18"/>
                <w:szCs w:val="18"/>
                <w:lang w:val="en-US" w:eastAsia="zh-CN" w:bidi="en-US"/>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bidi="en-US"/>
              </w:rPr>
            </w:pPr>
            <w:r>
              <w:rPr>
                <w:rFonts w:hint="eastAsia" w:ascii="宋体" w:hAnsi="宋体" w:cs="宋体"/>
                <w:color w:val="000000"/>
                <w:sz w:val="18"/>
                <w:szCs w:val="18"/>
              </w:rPr>
              <w:t xml:space="preserve">绿化相关费用</w:t>
            </w:r>
            <w:r>
              <w:rPr>
                <w:rFonts w:hint="eastAsia"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widowControl/>
              <w:rPr>
                <w:rFonts w:ascii="宋体" w:hAnsi="宋体" w:cs="宋体"/>
                <w:b/>
                <w:bCs/>
                <w:color w:val="000000"/>
                <w:sz w:val="18"/>
                <w:szCs w:val="18"/>
              </w:rPr>
            </w:pPr>
            <w:r>
              <w:rPr>
                <w:rFonts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eastAsia="宋体" w:cs="宋体"/>
                <w:b/>
                <w:bCs/>
                <w:color w:val="000000"/>
                <w:sz w:val="18"/>
                <w:szCs w:val="18"/>
                <w:lang w:eastAsia="zh-CN" w:bidi="en-US"/>
              </w:rPr>
            </w:pPr>
            <w:r>
              <w:rPr>
                <w:rFonts w:hint="eastAsia" w:ascii="宋体" w:hAnsi="宋体" w:cs="宋体"/>
                <w:b/>
                <w:bCs/>
                <w:color w:val="000000"/>
                <w:sz w:val="18"/>
                <w:szCs w:val="18"/>
                <w:lang w:val="en-US" w:eastAsia="zh-CN" w:bidi="en-US"/>
              </w:rPr>
              <w:t xml:space="preserve">9</w:t>
            </w:r>
            <w:r>
              <w:rPr>
                <w:rFonts w:hint="eastAsia" w:ascii="宋体" w:hAnsi="宋体" w:eastAsia="宋体" w:cs="宋体"/>
                <w:b/>
                <w:bCs/>
                <w:color w:val="000000"/>
                <w:sz w:val="18"/>
                <w:szCs w:val="18"/>
                <w:lang w:eastAsia="zh-CN" w:bidi="en-US"/>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管理费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bidi="en-US"/>
              </w:rPr>
              <w:t xml:space="preserve">1</w:t>
            </w:r>
            <w:r>
              <w:rPr>
                <w:rFonts w:hint="eastAsia" w:ascii="宋体" w:hAnsi="宋体" w:cs="宋体"/>
                <w:b/>
                <w:bCs/>
                <w:color w:val="000000"/>
                <w:sz w:val="18"/>
                <w:szCs w:val="18"/>
                <w:lang w:val="en-US" w:eastAsia="zh-CN" w:bidi="en-US"/>
              </w:rPr>
              <w:t xml:space="preserve">0</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利润</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05"/>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bidi="en-US"/>
              </w:rPr>
              <w:t xml:space="preserve">1</w:t>
            </w:r>
            <w:r>
              <w:rPr>
                <w:rFonts w:hint="eastAsia" w:ascii="宋体" w:hAnsi="宋体" w:cs="宋体"/>
                <w:b/>
                <w:bCs/>
                <w:color w:val="000000"/>
                <w:sz w:val="18"/>
                <w:szCs w:val="18"/>
                <w:lang w:val="en-US" w:eastAsia="zh-CN" w:bidi="en-US"/>
              </w:rPr>
              <w:t xml:space="preserve">1</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法定税费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填报税费。</w:t>
            </w: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bidi="en-US"/>
              </w:rPr>
              <w:t xml:space="preserve">1</w:t>
            </w:r>
            <w:r>
              <w:rPr>
                <w:rFonts w:hint="eastAsia" w:ascii="宋体" w:hAnsi="宋体" w:cs="宋体"/>
                <w:b/>
                <w:bCs/>
                <w:color w:val="000000"/>
                <w:sz w:val="18"/>
                <w:szCs w:val="18"/>
                <w:lang w:val="en-US" w:eastAsia="zh-CN" w:bidi="en-US"/>
              </w:rPr>
              <w:t xml:space="preserve">2</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其他费用</w:t>
            </w:r>
            <w:r>
              <w:rPr>
                <w:rFonts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left"/>
              <w:widowControl/>
              <w:rPr>
                <w:rFonts w:hint="eastAsia" w:ascii="宋体" w:hAnsi="宋体" w:cs="宋体"/>
                <w:b/>
                <w:bCs/>
                <w:color w:val="000000"/>
                <w:sz w:val="18"/>
                <w:szCs w:val="18"/>
                <w:lang w:bidi="en-US"/>
              </w:rPr>
            </w:pPr>
            <w:r>
              <w:rPr>
                <w:rFonts w:hint="eastAsia" w:ascii="宋体" w:hAnsi="宋体" w:cs="宋体"/>
                <w:b/>
                <w:bCs/>
                <w:color w:val="000000"/>
                <w:sz w:val="18"/>
                <w:szCs w:val="18"/>
              </w:rPr>
              <w:t xml:space="preserve">供应商认为可能发生的其他费用。</w:t>
            </w:r>
            <w:r>
              <w:rPr>
                <w:rFonts w:hint="eastAsia" w:ascii="宋体" w:hAnsi="宋体" w:cs="宋体"/>
                <w:b/>
                <w:bCs/>
                <w:color w:val="000000"/>
                <w:sz w:val="18"/>
                <w:szCs w:val="18"/>
                <w:lang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3</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一年投标报价（元）</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4</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三年投标总价（元）</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8"/>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48"/>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三年投标总价”应当与《开标一览表》中“投标总报价”一致。（5）此表中所有数值保留小数点后两位进行计算。</w:t>
            </w:r>
            <w:r>
              <w:rPr>
                <w:rFonts w:ascii="宋体" w:hAnsi="宋体" w:cs="宋体"/>
                <w:b/>
                <w:bCs/>
                <w:color w:val="000000"/>
                <w:sz w:val="18"/>
                <w:szCs w:val="18"/>
              </w:rPr>
            </w:r>
            <w:r/>
          </w:p>
        </w:tc>
      </w:tr>
    </w:tbl>
    <w:p>
      <w:pPr>
        <w:pStyle w:val="748"/>
        <w:jc w:val="left"/>
        <w:spacing w:line="360" w:lineRule="auto"/>
        <w:rPr>
          <w:rFonts w:hint="eastAsia" w:ascii="宋体" w:hAnsi="宋体" w:cs="宋体"/>
          <w:b/>
          <w:bCs/>
          <w:color w:val="000000"/>
        </w:rPr>
      </w:pPr>
      <w:r>
        <w:rPr>
          <w:rFonts w:hint="eastAsia" w:ascii="宋体" w:hAnsi="宋体" w:cs="宋体"/>
          <w:b/>
          <w:bCs/>
          <w:color w:val="000000"/>
        </w:rPr>
      </w:r>
      <w:r/>
    </w:p>
    <w:p>
      <w:pPr>
        <w:pStyle w:val="80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投标报价明细表（采购包2）</w:t>
      </w:r>
      <w:r>
        <w:rPr>
          <w:rFonts w:hint="eastAsia" w:ascii="方正小标宋简体" w:hAnsi="方正小标宋简体" w:eastAsia="方正小标宋简体" w:cs="方正小标宋简体"/>
          <w:color w:val="000000"/>
          <w:sz w:val="32"/>
          <w:szCs w:val="32"/>
        </w:rPr>
      </w:r>
      <w:r/>
    </w:p>
    <w:p>
      <w:pPr>
        <w:pStyle w:val="748"/>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备注</w:t>
            </w:r>
            <w:r>
              <w:rPr>
                <w:rFonts w:hint="eastAsia" w:ascii="宋体" w:hAnsi="宋体" w:cs="宋体"/>
                <w:b/>
                <w:bCs/>
                <w:color w:val="000000"/>
                <w:sz w:val="18"/>
                <w:szCs w:val="18"/>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拟投入的人员不得低于90人，人员工资不得低于南京市最低工资标准，供应商须在《投标报价明细表》中按照采购需求中物业服务人员岗位分别填报员工工资，否则做无效投标处理。</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社保公积金</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b/>
                <w:bCs/>
                <w:color w:val="000000"/>
                <w:sz w:val="18"/>
                <w:szCs w:val="18"/>
              </w:rPr>
            </w:r>
            <w:r/>
          </w:p>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供应商为投入本项目服务人员缴纳社保和公积金的人数不得低于45人（不包含享受社保公积金减免政策人员、退休返聘人员等）</w:t>
            </w:r>
            <w:r>
              <w:rPr>
                <w:rFonts w:hint="eastAsia" w:ascii="宋体" w:hAnsi="宋体" w:cs="宋体"/>
                <w:b/>
                <w:bCs/>
                <w:color w:val="000000"/>
                <w:sz w:val="18"/>
                <w:szCs w:val="18"/>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2.1</w:t>
            </w:r>
            <w:r>
              <w:rPr>
                <w:rFonts w:hint="eastAsia" w:ascii="宋体" w:hAnsi="宋体" w:cs="宋体"/>
                <w:b/>
                <w:bCs/>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648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社会保险</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社保费用不得低于南京市最低标准，否则做无效投标处理。</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2.2</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公积金</w:t>
            </w: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法定节假日人员加班费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法定节假日天数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安排劳动者工作的，支付不低于正常工资的百分之三百的工资报酬。本项目物业管理服务法定节假日在岗人数不少于40人，报价中的“法定节假日人员加班费”不得低于上述要求，并按照本项目合同履行期内的法定节假日天数进行测算，否则做无效投标处理。</w:t>
            </w:r>
            <w:r>
              <w:rPr>
                <w:rFonts w:hint="eastAsia" w:ascii="宋体" w:hAnsi="宋体" w:cs="宋体"/>
                <w:b/>
                <w:bCs/>
                <w:color w:val="000000"/>
                <w:sz w:val="18"/>
                <w:szCs w:val="18"/>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参考计算公式：人员工资÷21.75天（平均月计薪天数）×3×人数×合同履行期内法定节假日天数(13天/年）</w:t>
            </w: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其他待遇费用</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人员福利</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国家强制性要求缴纳的或员工必须享有的福利待遇。</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服装费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5</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行政办公费</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办公用品费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培训费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交通费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通讯费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6</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工具耗材及物资装备折旧费</w:t>
            </w:r>
            <w:r>
              <w:rPr>
                <w:rFonts w:hint="eastAsia" w:ascii="宋体" w:hAnsi="宋体" w:cs="宋体"/>
                <w:b/>
                <w:bCs/>
                <w:color w:val="000000"/>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清洁耗材费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清洁耗材包括但不限于：扫把、地推、垃圾袋、抽纸、洗手液、厕所卷纸、消毒液、洁厕灵等。供应商自行测算考虑到投标报价中。</w:t>
            </w:r>
            <w:r>
              <w:rPr>
                <w:rFonts w:hint="eastAsia" w:ascii="宋体" w:hAnsi="宋体" w:cs="宋体"/>
                <w:b/>
                <w:bCs/>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物资装备折旧费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7</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办公大楼外墙清洗费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eastAsia="宋体" w:cs="宋体"/>
                <w:b/>
                <w:bCs/>
                <w:color w:val="000000"/>
                <w:sz w:val="18"/>
                <w:szCs w:val="18"/>
                <w:lang w:val="en-US" w:eastAsia="zh-CN" w:bidi="ar-SA"/>
              </w:rPr>
            </w:pPr>
            <w:r>
              <w:rPr>
                <w:rFonts w:hint="eastAsia" w:ascii="宋体" w:hAnsi="宋体" w:cs="宋体"/>
                <w:color w:val="000000"/>
                <w:sz w:val="18"/>
                <w:szCs w:val="18"/>
                <w:lang w:val="en-US" w:eastAsia="zh-CN"/>
              </w:rPr>
              <w:t xml:space="preserve">8</w:t>
            </w:r>
            <w:r>
              <w:rPr>
                <w:rFonts w:hint="eastAsia" w:ascii="宋体" w:hAnsi="宋体" w:eastAsia="宋体" w:cs="宋体"/>
                <w:b/>
                <w:bCs/>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val="en-US" w:eastAsia="zh-CN" w:bidi="ar-SA"/>
              </w:rPr>
            </w:pPr>
            <w:r>
              <w:rPr>
                <w:rFonts w:hint="eastAsia" w:ascii="宋体" w:hAnsi="宋体" w:cs="宋体"/>
                <w:color w:val="000000"/>
                <w:sz w:val="18"/>
                <w:szCs w:val="18"/>
              </w:rPr>
              <w:t xml:space="preserve">11部电梯维保费（含电梯年检费）</w:t>
            </w:r>
            <w:r>
              <w:rPr>
                <w:rFonts w:hint="eastAsia" w:ascii="宋体" w:hAnsi="宋体" w:cs="宋体"/>
                <w:b/>
                <w:bCs/>
                <w:color w:val="000000"/>
                <w:sz w:val="18"/>
                <w:szCs w:val="18"/>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b/>
                <w:bCs/>
                <w:color w:val="000000"/>
                <w:sz w:val="18"/>
                <w:szCs w:val="18"/>
                <w:lang w:val="en-US" w:eastAsia="zh-CN" w:bidi="ar-SA"/>
              </w:rPr>
            </w:pPr>
            <w:r>
              <w:rPr>
                <w:rFonts w:hint="eastAsia" w:ascii="宋体" w:hAnsi="宋体" w:cs="宋体"/>
                <w:b/>
                <w:bCs/>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lang w:val="en-US" w:eastAsia="zh-CN" w:bidi="ar-SA"/>
              </w:rPr>
            </w:pPr>
            <w:r>
              <w:rPr>
                <w:rFonts w:hint="eastAsia" w:ascii="宋体" w:hAnsi="宋体" w:cs="宋体"/>
                <w:b/>
                <w:bCs/>
                <w:color w:val="000000"/>
                <w:sz w:val="18"/>
                <w:szCs w:val="18"/>
                <w:lang w:val="en-US" w:eastAsia="zh-CN" w:bidi="ar-SA"/>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hint="eastAsia" w:ascii="宋体" w:hAnsi="宋体" w:eastAsia="宋体" w:cs="宋体"/>
                <w:b/>
                <w:bCs/>
                <w:color w:val="000000"/>
                <w:sz w:val="18"/>
                <w:szCs w:val="18"/>
                <w:lang w:val="en-US" w:eastAsia="zh-CN" w:bidi="ar-SA"/>
              </w:rPr>
            </w:pPr>
            <w:r>
              <w:rPr>
                <w:rFonts w:hint="eastAsia" w:ascii="宋体" w:hAnsi="宋体" w:cs="宋体"/>
                <w:color w:val="000000"/>
                <w:sz w:val="18"/>
                <w:szCs w:val="18"/>
                <w:lang w:val="en-US" w:eastAsia="zh-CN"/>
              </w:rPr>
              <w:t xml:space="preserve">9</w:t>
            </w:r>
            <w:r>
              <w:rPr>
                <w:rFonts w:hint="eastAsia" w:ascii="宋体" w:hAnsi="宋体" w:eastAsia="宋体" w:cs="宋体"/>
                <w:b/>
                <w:bCs/>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lang w:val="en-US" w:eastAsia="zh-CN" w:bidi="ar-SA"/>
              </w:rPr>
            </w:pPr>
            <w:r>
              <w:rPr>
                <w:rFonts w:hint="eastAsia" w:ascii="宋体" w:hAnsi="宋体" w:cs="宋体"/>
                <w:color w:val="000000"/>
                <w:sz w:val="18"/>
                <w:szCs w:val="18"/>
              </w:rPr>
              <w:t xml:space="preserve">绿化相关费用</w:t>
            </w:r>
            <w:r>
              <w:rPr>
                <w:rFonts w:hint="eastAsia" w:ascii="宋体" w:hAnsi="宋体" w:cs="宋体"/>
                <w:b/>
                <w:bCs/>
                <w:color w:val="000000"/>
                <w:sz w:val="18"/>
                <w:szCs w:val="18"/>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left"/>
              <w:widowControl/>
              <w:rPr>
                <w:rFonts w:hint="eastAsia" w:ascii="宋体" w:hAnsi="宋体" w:cs="宋体"/>
                <w:b/>
                <w:bCs/>
                <w:color w:val="000000"/>
                <w:sz w:val="18"/>
                <w:szCs w:val="18"/>
                <w:lang w:val="en-US" w:eastAsia="zh-CN" w:bidi="ar-SA"/>
              </w:rPr>
            </w:pPr>
            <w:r>
              <w:rPr>
                <w:rFonts w:hint="eastAsia" w:ascii="宋体" w:hAnsi="宋体" w:cs="宋体"/>
                <w:b/>
                <w:bCs/>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lang w:val="en-US" w:eastAsia="zh-CN" w:bidi="ar-SA"/>
              </w:rPr>
            </w:pPr>
            <w:r>
              <w:rPr>
                <w:rFonts w:hint="eastAsia" w:ascii="宋体" w:hAnsi="宋体" w:cs="宋体"/>
                <w:b/>
                <w:bCs/>
                <w:color w:val="000000"/>
                <w:sz w:val="18"/>
                <w:szCs w:val="18"/>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0</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管理费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1</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利润</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05"/>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2</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法定税费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3</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其他费用</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供应商认为可能发生的其他费用。</w:t>
            </w:r>
            <w:r>
              <w:rPr>
                <w:rFonts w:hint="eastAsia" w:ascii="宋体" w:hAnsi="宋体" w:cs="宋体"/>
                <w:b/>
                <w:bCs/>
                <w:color w:val="000000"/>
                <w:sz w:val="18"/>
                <w:szCs w:val="18"/>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4</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一年投标报价（元）</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8"/>
              <w:jc w:val="center"/>
              <w:widowControl/>
              <w:rPr>
                <w:rFonts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1</w:t>
            </w:r>
            <w:r>
              <w:rPr>
                <w:rFonts w:hint="eastAsia" w:ascii="宋体" w:hAnsi="宋体" w:cs="宋体"/>
                <w:b/>
                <w:bCs/>
                <w:color w:val="000000"/>
                <w:sz w:val="18"/>
                <w:szCs w:val="18"/>
                <w:lang w:val="en-US" w:eastAsia="zh-CN"/>
              </w:rPr>
              <w:t xml:space="preserve">5</w:t>
            </w:r>
            <w:r>
              <w:rPr>
                <w:rFonts w:ascii="宋体" w:hAnsi="宋体" w:eastAsia="宋体" w:cs="宋体"/>
                <w:b/>
                <w:bCs/>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三年投标总价（元）</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8"/>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48"/>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三年投标总价”应当与《开标一览表》中“投标总报价”一致。（5）此表中所有数值保留小数点后两位进行计算。</w:t>
            </w:r>
            <w:r>
              <w:rPr>
                <w:rFonts w:hint="eastAsia" w:ascii="宋体" w:hAnsi="宋体" w:cs="宋体"/>
                <w:b/>
                <w:bCs/>
                <w:color w:val="000000"/>
                <w:sz w:val="18"/>
                <w:szCs w:val="18"/>
              </w:rPr>
            </w:r>
            <w:r/>
          </w:p>
        </w:tc>
      </w:tr>
    </w:tbl>
    <w:p>
      <w:pPr>
        <w:pStyle w:val="802"/>
        <w:rPr>
          <w:rFonts w:hint="eastAsia"/>
          <w:color w:val="000000"/>
        </w:rPr>
      </w:pPr>
      <w:r>
        <w:rPr>
          <w:rFonts w:hint="eastAsia"/>
          <w:color w:val="000000"/>
        </w:rPr>
      </w:r>
      <w:r/>
    </w:p>
    <w:p>
      <w:pPr>
        <w:pStyle w:val="748"/>
        <w:jc w:val="left"/>
        <w:spacing w:line="360" w:lineRule="auto"/>
        <w:rPr>
          <w:rFonts w:hint="eastAsia" w:ascii="宋体" w:hAnsi="宋体" w:cs="宋体"/>
          <w:b/>
          <w:bCs/>
          <w:color w:val="000000"/>
        </w:rPr>
      </w:pPr>
      <w:r>
        <w:rPr>
          <w:rFonts w:hint="eastAsia" w:ascii="宋体" w:hAnsi="宋体" w:cs="宋体"/>
          <w:b/>
          <w:bCs/>
          <w:color w:val="000000"/>
        </w:rPr>
        <w:t xml:space="preserve">附：最低工资标准、社保及公积金相关规定</w:t>
      </w:r>
      <w:r>
        <w:rPr>
          <w:rFonts w:hint="eastAsia" w:ascii="宋体" w:hAnsi="宋体" w:cs="宋体"/>
          <w:b/>
          <w:bCs/>
          <w:color w:val="000000"/>
        </w:rPr>
      </w:r>
      <w:r/>
    </w:p>
    <w:p>
      <w:pPr>
        <w:pStyle w:val="748"/>
        <w:ind w:firstLine="422"/>
        <w:jc w:val="left"/>
        <w:spacing w:line="360" w:lineRule="auto"/>
        <w:rPr>
          <w:rFonts w:hint="eastAsia" w:ascii="宋体" w:hAnsi="宋体" w:cs="宋体"/>
          <w:color w:val="000000"/>
        </w:rPr>
      </w:pPr>
      <w:r>
        <w:rPr>
          <w:rFonts w:hint="eastAsia" w:ascii="宋体" w:hAnsi="宋体" w:cs="宋体"/>
          <w:b/>
          <w:bCs/>
          <w:color w:val="000000"/>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rPr>
          <w:rFonts w:hint="eastAsia" w:ascii="宋体" w:hAnsi="宋体" w:cs="宋体"/>
          <w:color w:val="000000"/>
        </w:rPr>
      </w:r>
      <w:r/>
    </w:p>
    <w:p>
      <w:pPr>
        <w:pStyle w:val="748"/>
        <w:jc w:val="left"/>
        <w:rPr>
          <w:rFonts w:hint="eastAsia" w:ascii="宋体" w:hAnsi="宋体" w:cs="宋体"/>
          <w:color w:val="000000"/>
          <w:sz w:val="24"/>
          <w:szCs w:val="24"/>
        </w:rPr>
      </w:pPr>
      <w:r>
        <w:rPr>
          <w:rFonts w:hint="eastAsia" w:ascii="宋体" w:hAnsi="宋体" w:cs="宋体"/>
          <w:color w:val="000000"/>
          <w:sz w:val="24"/>
          <w:szCs w:val="24"/>
        </w:rPr>
        <w:t xml:space="preserve">表1：最低工资标准、社会保险及公积金（参考）</w:t>
      </w:r>
      <w:r>
        <w:rPr>
          <w:rFonts w:hint="eastAsia" w:ascii="宋体" w:hAnsi="宋体" w:cs="宋体"/>
          <w:color w:val="000000"/>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1748" w:type="dxa"/>
            <w:vAlign w:val="center"/>
            <w:textDirection w:val="lrTb"/>
            <w:noWrap/>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名称</w:t>
            </w:r>
            <w:r>
              <w:rPr>
                <w:rFonts w:hint="eastAsia" w:ascii="宋体" w:hAnsi="宋体" w:cs="宋体"/>
                <w:b/>
                <w:bCs/>
                <w:color w:val="000000"/>
                <w:lang w:bidi="en-US"/>
              </w:rPr>
            </w:r>
            <w:r/>
          </w:p>
        </w:tc>
        <w:tc>
          <w:tcPr>
            <w:tcW w:w="4257" w:type="dxa"/>
            <w:vAlign w:val="center"/>
            <w:textDirection w:val="lrTb"/>
            <w:noWrap/>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计算公式</w:t>
            </w:r>
            <w:r>
              <w:rPr>
                <w:rFonts w:hint="eastAsia" w:ascii="宋体" w:hAnsi="宋体" w:cs="宋体"/>
                <w:b/>
                <w:bCs/>
                <w:color w:val="000000"/>
                <w:lang w:bidi="en-US"/>
              </w:rPr>
            </w:r>
            <w:r/>
          </w:p>
        </w:tc>
        <w:tc>
          <w:tcPr>
            <w:tcW w:w="1627" w:type="dxa"/>
            <w:vAlign w:val="center"/>
            <w:textDirection w:val="lrTb"/>
            <w:noWrap/>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金额（元/月）</w:t>
            </w:r>
            <w:r>
              <w:rPr>
                <w:rFonts w:hint="eastAsia" w:ascii="宋体" w:hAnsi="宋体" w:cs="宋体"/>
                <w:b/>
                <w:bCs/>
                <w:color w:val="000000"/>
                <w:lang w:bidi="en-US"/>
              </w:rPr>
            </w:r>
            <w:r/>
          </w:p>
        </w:tc>
        <w:tc>
          <w:tcPr>
            <w:tcW w:w="1537" w:type="dxa"/>
            <w:vAlign w:val="center"/>
            <w:textDirection w:val="lrTb"/>
            <w:noWrap/>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备注</w:t>
            </w:r>
            <w:r>
              <w:rPr>
                <w:rFonts w:hint="eastAsia" w:ascii="宋体" w:hAnsi="宋体" w:cs="宋体"/>
                <w:b/>
                <w:bCs/>
                <w:color w:val="000000"/>
                <w:lang w:bidi="en-US"/>
              </w:rPr>
            </w:r>
            <w:r/>
          </w:p>
        </w:tc>
      </w:tr>
      <w:tr>
        <w:trPr>
          <w:trHeight w:val="417" w:hRule="exact"/>
        </w:trPr>
        <w:tc>
          <w:tcPr>
            <w:tcW w:w="736"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1748"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最低工资标准</w:t>
            </w:r>
            <w:r>
              <w:rPr>
                <w:rFonts w:hint="eastAsia" w:ascii="宋体" w:hAnsi="宋体" w:cs="宋体"/>
                <w:color w:val="000000"/>
              </w:rPr>
            </w:r>
            <w:r/>
          </w:p>
        </w:tc>
        <w:tc>
          <w:tcPr>
            <w:tcW w:w="425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162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2660</w:t>
            </w:r>
            <w:r>
              <w:rPr>
                <w:rFonts w:hint="eastAsia" w:ascii="宋体" w:hAnsi="宋体" w:cs="宋体"/>
                <w:color w:val="000000"/>
              </w:rPr>
            </w:r>
            <w:r/>
          </w:p>
        </w:tc>
        <w:tc>
          <w:tcPr>
            <w:tcW w:w="153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r>
            <w:r/>
          </w:p>
        </w:tc>
      </w:tr>
      <w:tr>
        <w:trPr>
          <w:trHeight w:val="1073" w:hRule="exact"/>
        </w:trPr>
        <w:tc>
          <w:tcPr>
            <w:tcW w:w="736"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1748"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社保单位计提费用</w:t>
            </w:r>
            <w:r>
              <w:rPr>
                <w:rFonts w:hint="eastAsia" w:ascii="宋体" w:hAnsi="宋体" w:cs="宋体"/>
                <w:color w:val="000000"/>
              </w:rPr>
            </w:r>
            <w:r/>
          </w:p>
        </w:tc>
        <w:tc>
          <w:tcPr>
            <w:tcW w:w="425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缴费基数（≥4952）*缴费比例（≥24.7%）</w:t>
            </w:r>
            <w:r>
              <w:rPr>
                <w:rFonts w:hint="eastAsia" w:ascii="宋体" w:hAnsi="宋体" w:cs="宋体"/>
                <w:color w:val="000000"/>
              </w:rPr>
            </w:r>
            <w:r/>
          </w:p>
        </w:tc>
        <w:tc>
          <w:tcPr>
            <w:tcW w:w="1627" w:type="dxa"/>
            <w:vAlign w:val="center"/>
            <w:textDirection w:val="lrTb"/>
            <w:noWrap/>
          </w:tcPr>
          <w:p>
            <w:pPr>
              <w:pStyle w:val="748"/>
              <w:jc w:val="center"/>
              <w:rPr>
                <w:rFonts w:ascii="宋体" w:hAnsi="宋体" w:cs="宋体"/>
                <w:color w:val="000000"/>
              </w:rPr>
            </w:pPr>
            <w:r>
              <w:rPr>
                <w:rFonts w:hint="eastAsia" w:ascii="宋体" w:hAnsi="宋体" w:cs="宋体"/>
                <w:color w:val="000000"/>
              </w:rPr>
              <w:t xml:space="preserve">≥1223.144</w:t>
            </w:r>
            <w:r>
              <w:rPr>
                <w:rFonts w:ascii="宋体" w:hAnsi="宋体" w:cs="宋体"/>
                <w:color w:val="000000"/>
              </w:rPr>
            </w:r>
            <w:r/>
          </w:p>
        </w:tc>
        <w:tc>
          <w:tcPr>
            <w:tcW w:w="1537" w:type="dxa"/>
            <w:vAlign w:val="center"/>
            <w:textDirection w:val="lrTb"/>
            <w:noWrap/>
          </w:tcPr>
          <w:p>
            <w:pPr>
              <w:pStyle w:val="748"/>
              <w:jc w:val="left"/>
              <w:rPr>
                <w:rFonts w:hint="eastAsia" w:ascii="宋体" w:hAnsi="宋体" w:cs="宋体"/>
                <w:b/>
                <w:bCs/>
                <w:color w:val="000000"/>
              </w:rPr>
            </w:pPr>
            <w:r>
              <w:rPr>
                <w:rFonts w:hint="eastAsia" w:ascii="宋体" w:hAnsi="宋体" w:cs="宋体"/>
                <w:b/>
                <w:bCs/>
                <w:color w:val="000000"/>
              </w:rPr>
              <w:t xml:space="preserve">如保留小数点后两位测算，</w:t>
            </w:r>
            <w:r>
              <w:rPr>
                <w:rFonts w:hint="eastAsia" w:ascii="宋体" w:hAnsi="宋体" w:cs="宋体"/>
                <w:b/>
                <w:bCs/>
                <w:color w:val="000000"/>
              </w:rPr>
            </w:r>
            <w:r/>
          </w:p>
          <w:p>
            <w:pPr>
              <w:pStyle w:val="748"/>
              <w:jc w:val="left"/>
              <w:rPr>
                <w:rFonts w:ascii="宋体" w:hAnsi="宋体" w:cs="宋体"/>
                <w:color w:val="000000"/>
              </w:rPr>
            </w:pPr>
            <w:r>
              <w:rPr>
                <w:rFonts w:hint="eastAsia" w:ascii="宋体" w:hAnsi="宋体" w:cs="宋体"/>
                <w:b/>
                <w:bCs/>
                <w:color w:val="000000"/>
              </w:rPr>
              <w:t xml:space="preserve">金额≥1223.15</w:t>
            </w:r>
            <w:r>
              <w:rPr>
                <w:rFonts w:ascii="宋体" w:hAnsi="宋体" w:cs="宋体"/>
                <w:color w:val="000000"/>
              </w:rPr>
            </w:r>
            <w:r/>
          </w:p>
        </w:tc>
      </w:tr>
      <w:tr>
        <w:trPr>
          <w:trHeight w:val="732" w:hRule="exact"/>
        </w:trPr>
        <w:tc>
          <w:tcPr>
            <w:tcW w:w="736"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1748"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公积金单位计提费用</w:t>
            </w:r>
            <w:r>
              <w:rPr>
                <w:rFonts w:hint="eastAsia" w:ascii="宋体" w:hAnsi="宋体" w:cs="宋体"/>
                <w:color w:val="000000"/>
              </w:rPr>
            </w:r>
            <w:r/>
          </w:p>
        </w:tc>
        <w:tc>
          <w:tcPr>
            <w:tcW w:w="425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缴存基数（≥2660）*缴存比例（≥5%）</w:t>
            </w:r>
            <w:r>
              <w:rPr>
                <w:rFonts w:hint="eastAsia" w:ascii="宋体" w:hAnsi="宋体" w:cs="宋体"/>
                <w:color w:val="000000"/>
              </w:rPr>
            </w:r>
            <w:r/>
          </w:p>
        </w:tc>
        <w:tc>
          <w:tcPr>
            <w:tcW w:w="162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≥133</w:t>
            </w:r>
            <w:r/>
          </w:p>
        </w:tc>
        <w:tc>
          <w:tcPr>
            <w:tcW w:w="153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r>
            <w:r/>
          </w:p>
        </w:tc>
      </w:tr>
      <w:tr>
        <w:trPr>
          <w:trHeight w:val="1741" w:hRule="exact"/>
        </w:trPr>
        <w:tc>
          <w:tcPr>
            <w:tcW w:w="736"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1748" w:type="dxa"/>
            <w:vAlign w:val="center"/>
            <w:textDirection w:val="lrTb"/>
            <w:noWrap/>
          </w:tcPr>
          <w:p>
            <w:pPr>
              <w:pStyle w:val="748"/>
              <w:jc w:val="center"/>
              <w:rPr>
                <w:rFonts w:ascii="宋体" w:hAnsi="宋体" w:cs="宋体"/>
                <w:color w:val="000000"/>
              </w:rPr>
            </w:pPr>
            <w:r>
              <w:rPr>
                <w:rFonts w:hint="eastAsia" w:ascii="宋体" w:hAnsi="宋体" w:cs="宋体"/>
                <w:color w:val="000000"/>
              </w:rPr>
              <w:t xml:space="preserve">公积金个人计提费用</w:t>
            </w:r>
            <w:r>
              <w:rPr>
                <w:rFonts w:ascii="宋体" w:hAnsi="宋体" w:cs="宋体"/>
                <w:color w:val="000000"/>
              </w:rPr>
            </w:r>
            <w:r/>
          </w:p>
        </w:tc>
        <w:tc>
          <w:tcPr>
            <w:tcW w:w="425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缴存基数（≥2660）*缴存比例（≥5%）</w:t>
            </w:r>
            <w:r>
              <w:rPr>
                <w:rFonts w:hint="eastAsia" w:ascii="宋体" w:hAnsi="宋体" w:cs="宋体"/>
                <w:color w:val="000000"/>
              </w:rPr>
            </w:r>
            <w:r/>
          </w:p>
        </w:tc>
        <w:tc>
          <w:tcPr>
            <w:tcW w:w="162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≥133</w:t>
            </w:r>
            <w:r/>
          </w:p>
        </w:tc>
        <w:tc>
          <w:tcPr>
            <w:tcW w:w="1537" w:type="dxa"/>
            <w:vAlign w:val="center"/>
            <w:textDirection w:val="lrTb"/>
            <w:noWrap/>
          </w:tcPr>
          <w:p>
            <w:pPr>
              <w:pStyle w:val="748"/>
              <w:jc w:val="left"/>
              <w:rPr>
                <w:rFonts w:hint="eastAsia" w:ascii="宋体" w:hAnsi="宋体" w:cs="宋体"/>
                <w:color w:val="000000"/>
              </w:rPr>
            </w:pPr>
            <w:r>
              <w:rPr>
                <w:rFonts w:hint="eastAsia" w:ascii="宋体" w:hAnsi="宋体" w:cs="宋体"/>
                <w:color w:val="000000"/>
                <w:lang w:bidi="en-US"/>
              </w:rPr>
              <w:t xml:space="preserve">最低工资不包含劳动者按下限缴存的住房公积金，由用人单位按规定另行支付。</w:t>
            </w:r>
            <w:r>
              <w:rPr>
                <w:rFonts w:hint="eastAsia" w:ascii="宋体" w:hAnsi="宋体" w:cs="宋体"/>
                <w:color w:val="000000"/>
              </w:rPr>
            </w:r>
            <w:r/>
          </w:p>
        </w:tc>
      </w:tr>
      <w:tr>
        <w:trPr>
          <w:trHeight w:val="1158" w:hRule="exact"/>
        </w:trPr>
        <w:tc>
          <w:tcPr>
            <w:tcW w:w="736" w:type="dxa"/>
            <w:vAlign w:val="center"/>
            <w:vMerge w:val="restart"/>
            <w:textDirection w:val="lrTb"/>
            <w:noWrap/>
          </w:tcPr>
          <w:p>
            <w:pPr>
              <w:pStyle w:val="748"/>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1748"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企业用人成本1</w:t>
            </w:r>
            <w:r>
              <w:rPr>
                <w:rFonts w:hint="eastAsia" w:ascii="宋体" w:hAnsi="宋体" w:cs="宋体"/>
                <w:color w:val="000000"/>
              </w:rPr>
            </w:r>
            <w:r/>
          </w:p>
        </w:tc>
        <w:tc>
          <w:tcPr>
            <w:tcW w:w="425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序号1+2+3+4</w:t>
            </w:r>
            <w:r>
              <w:rPr>
                <w:rFonts w:hint="eastAsia" w:ascii="宋体" w:hAnsi="宋体" w:cs="宋体"/>
                <w:color w:val="000000"/>
              </w:rPr>
            </w:r>
            <w:r/>
          </w:p>
        </w:tc>
        <w:tc>
          <w:tcPr>
            <w:tcW w:w="16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w:t>
            </w:r>
            <w:r>
              <w:rPr>
                <w:rFonts w:ascii="SimSun" w:hAnsi="SimSun" w:eastAsia="SimSun" w:cs="SimSun"/>
                <w:color w:val="000000"/>
                <w:sz w:val="21"/>
              </w:rPr>
              <w:t xml:space="preserve">4149.144</w:t>
            </w:r>
            <w:r>
              <w:rPr>
                <w:sz w:val="21"/>
              </w:rPr>
            </w:r>
            <w:r/>
          </w:p>
        </w:tc>
        <w:tc>
          <w:tcPr>
            <w:tcW w:w="1537" w:type="dxa"/>
            <w:vAlign w:val="center"/>
            <w:textDirection w:val="lrTb"/>
            <w:noWrap/>
          </w:tcPr>
          <w:p>
            <w:pPr>
              <w:pStyle w:val="748"/>
              <w:jc w:val="left"/>
              <w:rPr>
                <w:rFonts w:hint="eastAsia" w:ascii="宋体" w:hAnsi="宋体" w:cs="宋体"/>
                <w:color w:val="000000"/>
                <w:lang w:bidi="en-US"/>
              </w:rPr>
            </w:pPr>
            <w:r>
              <w:rPr>
                <w:rFonts w:hint="eastAsia" w:ascii="宋体" w:hAnsi="宋体" w:cs="宋体"/>
                <w:color w:val="000000"/>
                <w:lang w:bidi="ar"/>
              </w:rPr>
              <w:t xml:space="preserve">普通人员</w:t>
            </w:r>
            <w:r>
              <w:rPr>
                <w:rFonts w:hint="eastAsia" w:ascii="宋体" w:hAnsi="宋体" w:cs="宋体"/>
                <w:color w:val="000000"/>
                <w:lang w:bidi="en-US"/>
              </w:rPr>
            </w:r>
            <w:r/>
          </w:p>
        </w:tc>
      </w:tr>
      <w:tr>
        <w:trPr>
          <w:trHeight w:val="1196" w:hRule="exact"/>
        </w:trPr>
        <w:tc>
          <w:tcPr>
            <w:tcW w:w="736" w:type="dxa"/>
            <w:vAlign w:val="center"/>
            <w:vMerge w:val="continue"/>
            <w:textDirection w:val="lrTb"/>
            <w:noWrap/>
          </w:tcPr>
          <w:p>
            <w:pPr>
              <w:pStyle w:val="748"/>
              <w:jc w:val="center"/>
              <w:rPr>
                <w:rFonts w:hint="eastAsia" w:ascii="宋体" w:hAnsi="宋体" w:cs="宋体"/>
                <w:color w:val="000000"/>
              </w:rPr>
            </w:pPr>
            <w:r>
              <w:rPr>
                <w:rFonts w:hint="eastAsia" w:ascii="宋体" w:hAnsi="宋体" w:cs="宋体"/>
                <w:color w:val="000000"/>
              </w:rPr>
            </w:r>
            <w:r/>
          </w:p>
        </w:tc>
        <w:tc>
          <w:tcPr>
            <w:tcW w:w="1748"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企业用人成本2</w:t>
            </w:r>
            <w:r>
              <w:rPr>
                <w:rFonts w:hint="eastAsia" w:ascii="宋体" w:hAnsi="宋体" w:cs="宋体"/>
                <w:color w:val="000000"/>
              </w:rPr>
            </w:r>
            <w:r/>
          </w:p>
        </w:tc>
        <w:tc>
          <w:tcPr>
            <w:tcW w:w="4257" w:type="dxa"/>
            <w:vAlign w:val="center"/>
            <w:textDirection w:val="lrTb"/>
            <w:noWrap/>
          </w:tcPr>
          <w:p>
            <w:pPr>
              <w:pStyle w:val="748"/>
              <w:jc w:val="center"/>
              <w:rPr>
                <w:rFonts w:hint="eastAsia" w:ascii="宋体" w:hAnsi="宋体" w:cs="宋体"/>
                <w:color w:val="000000"/>
              </w:rPr>
            </w:pPr>
            <w:r>
              <w:rPr>
                <w:rFonts w:hint="eastAsia" w:ascii="宋体" w:hAnsi="宋体" w:cs="宋体"/>
                <w:color w:val="000000"/>
              </w:rPr>
              <w:t xml:space="preserve">序号1</w:t>
            </w:r>
            <w:r>
              <w:rPr>
                <w:rFonts w:hint="eastAsia" w:ascii="宋体" w:hAnsi="宋体" w:cs="宋体"/>
                <w:color w:val="000000"/>
              </w:rPr>
            </w:r>
            <w:r/>
          </w:p>
        </w:tc>
        <w:tc>
          <w:tcPr>
            <w:tcW w:w="1627" w:type="dxa"/>
            <w:vAlign w:val="center"/>
            <w:textDirection w:val="lrTb"/>
            <w:noWrap/>
          </w:tcPr>
          <w:p>
            <w:pPr>
              <w:pStyle w:val="748"/>
              <w:ind w:firstLine="210"/>
              <w:rPr>
                <w:rFonts w:hint="eastAsia" w:ascii="宋体" w:hAnsi="宋体" w:cs="宋体"/>
                <w:color w:val="000000"/>
              </w:rPr>
            </w:pPr>
            <w:r>
              <w:rPr>
                <w:rFonts w:hint="eastAsia" w:ascii="宋体" w:hAnsi="宋体" w:cs="宋体"/>
                <w:color w:val="000000"/>
              </w:rPr>
              <w:t xml:space="preserve">≥2660</w:t>
            </w:r>
            <w:r>
              <w:rPr>
                <w:rFonts w:hint="eastAsia" w:ascii="宋体" w:hAnsi="宋体" w:cs="宋体"/>
                <w:color w:val="000000"/>
              </w:rPr>
            </w:r>
            <w:r/>
          </w:p>
        </w:tc>
        <w:tc>
          <w:tcPr>
            <w:tcW w:w="1537" w:type="dxa"/>
            <w:vAlign w:val="center"/>
            <w:textDirection w:val="lrTb"/>
            <w:noWrap/>
          </w:tcPr>
          <w:p>
            <w:pPr>
              <w:pStyle w:val="748"/>
              <w:jc w:val="left"/>
              <w:rPr>
                <w:rFonts w:hint="eastAsia" w:ascii="宋体" w:hAnsi="宋体" w:cs="宋体"/>
                <w:color w:val="000000"/>
                <w:lang w:bidi="en-US"/>
              </w:rPr>
            </w:pPr>
            <w:r>
              <w:rPr>
                <w:rFonts w:hint="eastAsia" w:ascii="宋体" w:hAnsi="宋体" w:cs="宋体"/>
                <w:color w:val="000000"/>
              </w:rPr>
              <w:t xml:space="preserve">享受社保公积金减免政策人员、退休返聘人员</w:t>
            </w:r>
            <w:r>
              <w:rPr>
                <w:rFonts w:hint="eastAsia" w:ascii="宋体" w:hAnsi="宋体" w:cs="宋体"/>
                <w:color w:val="000000"/>
                <w:lang w:bidi="en-US"/>
              </w:rPr>
            </w:r>
            <w:r/>
          </w:p>
        </w:tc>
      </w:tr>
    </w:tbl>
    <w:p>
      <w:pPr>
        <w:pStyle w:val="748"/>
        <w:ind w:firstLine="420"/>
        <w:jc w:val="left"/>
        <w:rPr>
          <w:rFonts w:hint="eastAsia" w:ascii="宋体" w:hAnsi="宋体" w:cs="宋体"/>
          <w:color w:val="000000"/>
        </w:rPr>
      </w:pPr>
      <w:r>
        <w:rPr>
          <w:rFonts w:hint="eastAsia" w:ascii="宋体" w:hAnsi="宋体" w:cs="宋体"/>
          <w:color w:val="000000"/>
        </w:rPr>
      </w:r>
      <w:r/>
    </w:p>
    <w:p>
      <w:pPr>
        <w:pStyle w:val="748"/>
        <w:jc w:val="left"/>
        <w:rPr>
          <w:rFonts w:hint="eastAsia"/>
          <w:color w:val="000000"/>
        </w:rPr>
      </w:pPr>
      <w:r>
        <w:rPr>
          <w:rFonts w:hint="eastAsia" w:ascii="宋体" w:hAnsi="宋体" w:cs="宋体"/>
          <w:color w:val="000000"/>
          <w:sz w:val="24"/>
          <w:szCs w:val="24"/>
        </w:rPr>
        <w:t xml:space="preserve">表2：社会保险最低缴费比例（参考）</w:t>
      </w:r>
      <w:r>
        <w:rPr>
          <w:rFonts w:hint="eastAsia"/>
          <w:color w:val="000000"/>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748"/>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595"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养老保险</w:t>
            </w:r>
            <w:r>
              <w:rPr>
                <w:rFonts w:hint="eastAsia" w:ascii="宋体" w:hAnsi="宋体" w:cs="宋体"/>
                <w:color w:val="000000"/>
              </w:rPr>
            </w:r>
            <w:r/>
          </w:p>
        </w:tc>
        <w:tc>
          <w:tcPr>
            <w:tcW w:w="3406"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W w:w="3074"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r>
      <w:tr>
        <w:trPr/>
        <w:tc>
          <w:tcPr>
            <w:tcW w:w="773"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595"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医疗保险</w:t>
            </w:r>
            <w:r>
              <w:rPr>
                <w:rFonts w:hint="eastAsia" w:ascii="宋体" w:hAnsi="宋体" w:cs="宋体"/>
                <w:color w:val="000000"/>
              </w:rPr>
            </w:r>
            <w:r/>
          </w:p>
        </w:tc>
        <w:tc>
          <w:tcPr>
            <w:tcW w:w="3406"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7%   </w:t>
            </w:r>
            <w:r>
              <w:rPr>
                <w:rFonts w:hint="eastAsia" w:ascii="宋体" w:hAnsi="宋体" w:cs="宋体"/>
                <w:color w:val="000000"/>
              </w:rPr>
            </w:r>
            <w:r/>
          </w:p>
        </w:tc>
        <w:tc>
          <w:tcPr>
            <w:tcW w:w="3074"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r>
      <w:tr>
        <w:trPr/>
        <w:tc>
          <w:tcPr>
            <w:tcW w:w="773"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595"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工伤保险</w:t>
            </w:r>
            <w:r>
              <w:rPr>
                <w:rFonts w:hint="eastAsia" w:ascii="宋体" w:hAnsi="宋体" w:cs="宋体"/>
                <w:color w:val="000000"/>
              </w:rPr>
            </w:r>
            <w:r/>
          </w:p>
        </w:tc>
        <w:tc>
          <w:tcPr>
            <w:tcW w:w="3406"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0.4%</w:t>
            </w:r>
            <w:r>
              <w:rPr>
                <w:rFonts w:hint="eastAsia" w:ascii="宋体" w:hAnsi="宋体" w:cs="宋体"/>
                <w:color w:val="000000"/>
              </w:rPr>
            </w:r>
            <w:r/>
          </w:p>
        </w:tc>
        <w:tc>
          <w:tcPr>
            <w:tcW w:w="3074"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r>
      <w:tr>
        <w:trPr/>
        <w:tc>
          <w:tcPr>
            <w:tcW w:w="773"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2595"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失业保险</w:t>
            </w:r>
            <w:r>
              <w:rPr>
                <w:rFonts w:hint="eastAsia" w:ascii="宋体" w:hAnsi="宋体" w:cs="宋体"/>
                <w:color w:val="000000"/>
              </w:rPr>
            </w:r>
            <w:r/>
          </w:p>
        </w:tc>
        <w:tc>
          <w:tcPr>
            <w:tcW w:w="3406"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0.5%</w:t>
            </w:r>
            <w:r>
              <w:rPr>
                <w:rFonts w:hint="eastAsia" w:ascii="宋体" w:hAnsi="宋体" w:cs="宋体"/>
                <w:color w:val="000000"/>
              </w:rPr>
            </w:r>
            <w:r/>
          </w:p>
        </w:tc>
        <w:tc>
          <w:tcPr>
            <w:tcW w:w="3074"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0.5%</w:t>
            </w:r>
            <w:r>
              <w:rPr>
                <w:rFonts w:hint="eastAsia" w:ascii="宋体" w:hAnsi="宋体" w:cs="宋体"/>
                <w:color w:val="000000"/>
              </w:rPr>
            </w:r>
            <w:r/>
          </w:p>
        </w:tc>
      </w:tr>
      <w:tr>
        <w:trPr/>
        <w:tc>
          <w:tcPr>
            <w:tcW w:w="773"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2595"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生育保险</w:t>
            </w:r>
            <w:r>
              <w:rPr>
                <w:rFonts w:hint="eastAsia" w:ascii="宋体" w:hAnsi="宋体" w:cs="宋体"/>
                <w:color w:val="000000"/>
              </w:rPr>
            </w:r>
            <w:r/>
          </w:p>
        </w:tc>
        <w:tc>
          <w:tcPr>
            <w:tcW w:w="3406"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0.8%</w:t>
            </w:r>
            <w:r>
              <w:rPr>
                <w:rFonts w:hint="eastAsia" w:ascii="宋体" w:hAnsi="宋体" w:cs="宋体"/>
                <w:color w:val="000000"/>
              </w:rPr>
            </w:r>
            <w:r/>
          </w:p>
        </w:tc>
        <w:tc>
          <w:tcPr>
            <w:tcW w:w="3074"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r>
      <w:tr>
        <w:trPr/>
        <w:tc>
          <w:tcPr>
            <w:tcW w:w="773"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2595"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大病医疗救助</w:t>
            </w:r>
            <w:r>
              <w:rPr>
                <w:rFonts w:hint="eastAsia" w:ascii="宋体" w:hAnsi="宋体" w:cs="宋体"/>
                <w:color w:val="000000"/>
              </w:rPr>
            </w:r>
            <w:r/>
          </w:p>
        </w:tc>
        <w:tc>
          <w:tcPr>
            <w:tcW w:w="3406"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3074" w:type="dxa"/>
            <w:vAlign w:val="top"/>
            <w:textDirection w:val="lrTb"/>
            <w:noWrap w:val="false"/>
          </w:tcPr>
          <w:p>
            <w:pPr>
              <w:pStyle w:val="748"/>
              <w:jc w:val="center"/>
              <w:rPr>
                <w:rFonts w:hint="eastAsia" w:ascii="宋体" w:hAnsi="宋体" w:cs="宋体"/>
                <w:color w:val="000000"/>
              </w:rPr>
            </w:pPr>
            <w:r>
              <w:rPr>
                <w:rFonts w:hint="eastAsia" w:ascii="宋体" w:hAnsi="宋体" w:cs="宋体"/>
                <w:color w:val="000000"/>
              </w:rPr>
              <w:t xml:space="preserve">10元/月</w:t>
            </w:r>
            <w:r>
              <w:rPr>
                <w:rFonts w:hint="eastAsia" w:ascii="宋体" w:hAnsi="宋体" w:cs="宋体"/>
                <w:color w:val="000000"/>
              </w:rPr>
            </w:r>
            <w:r/>
          </w:p>
        </w:tc>
      </w:tr>
    </w:tbl>
    <w:p>
      <w:pPr>
        <w:pStyle w:val="748"/>
        <w:rPr>
          <w:rFonts w:ascii="宋体" w:hAnsi="宋体"/>
          <w:color w:val="000000"/>
          <w:sz w:val="24"/>
          <w:szCs w:val="24"/>
        </w:rPr>
      </w:pPr>
      <w:r>
        <w:rPr>
          <w:rFonts w:ascii="宋体" w:hAnsi="宋体"/>
          <w:color w:val="000000"/>
          <w:sz w:val="24"/>
          <w:szCs w:val="24"/>
        </w:rPr>
      </w:r>
      <w:r/>
    </w:p>
    <w:p>
      <w:pPr>
        <w:pStyle w:val="812"/>
        <w:rPr>
          <w:rFonts w:ascii="宋体" w:hAnsi="宋体" w:eastAsia="宋体"/>
          <w:color w:val="000000"/>
          <w:sz w:val="24"/>
          <w:szCs w:val="24"/>
          <w:lang w:val="en-US"/>
        </w:rPr>
      </w:pPr>
      <w:r>
        <w:rPr>
          <w:rFonts w:ascii="宋体" w:hAnsi="宋体" w:eastAsia="宋体"/>
          <w:color w:val="000000"/>
          <w:sz w:val="24"/>
          <w:szCs w:val="24"/>
          <w:lang w:val="en-US"/>
        </w:rPr>
      </w:r>
      <w:r/>
    </w:p>
    <w:p>
      <w:pPr>
        <w:pStyle w:val="812"/>
        <w:rPr>
          <w:color w:val="000000"/>
          <w:lang w:val="en-US"/>
        </w:rPr>
      </w:pPr>
      <w:r>
        <w:rPr>
          <w:color w:val="000000"/>
          <w:lang w:val="en-US"/>
        </w:rPr>
      </w:r>
      <w:r/>
    </w:p>
    <w:p>
      <w:pPr>
        <w:pStyle w:val="748"/>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r>
      <w:r/>
    </w:p>
    <w:p>
      <w:pPr>
        <w:pStyle w:val="748"/>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r>
      <w:r/>
    </w:p>
    <w:p>
      <w:pPr>
        <w:pStyle w:val="748"/>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748"/>
        <w:ind w:firstLine="480"/>
        <w:spacing w:line="480" w:lineRule="exact"/>
        <w:rPr>
          <w:rFonts w:hint="eastAsia"/>
          <w:color w:val="000000"/>
        </w:rPr>
      </w:pPr>
      <w:r>
        <w:rPr>
          <w:rFonts w:hint="eastAsia" w:ascii="宋体" w:hAnsi="宋体"/>
          <w:color w:val="000000"/>
          <w:sz w:val="24"/>
        </w:rPr>
        <w:t xml:space="preserve">1.供应商拟投入本项目的服务人员中，依法享受社保、住房公积金等缴纳减免政策的说明材料。</w:t>
      </w:r>
      <w:r>
        <w:rPr>
          <w:rFonts w:hint="eastAsia"/>
          <w:color w:val="000000"/>
        </w:rPr>
      </w:r>
      <w:r/>
    </w:p>
    <w:p>
      <w:pPr>
        <w:pStyle w:val="748"/>
        <w:spacing w:line="480" w:lineRule="exact"/>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七、技术要求响应及偏离表</w:t>
      </w:r>
      <w:r>
        <w:rPr>
          <w:rFonts w:hint="eastAsia" w:ascii="黑体" w:hAnsi="黑体" w:eastAsia="黑体"/>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48"/>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bl>
    <w:p>
      <w:pPr>
        <w:pStyle w:val="797"/>
        <w:jc w:val="both"/>
        <w:spacing w:before="0" w:beforeAutospacing="0" w:after="0" w:afterAutospacing="0"/>
        <w:rPr>
          <w:color w:val="000000"/>
        </w:rPr>
      </w:pPr>
      <w:r>
        <w:rPr>
          <w:color w:val="000000"/>
        </w:rPr>
      </w:r>
      <w:r/>
    </w:p>
    <w:p>
      <w:pPr>
        <w:pStyle w:val="74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97"/>
        <w:ind w:firstLine="480"/>
        <w:jc w:val="both"/>
        <w:spacing w:before="0" w:beforeAutospacing="0" w:after="0" w:afterAutospacing="0" w:line="360" w:lineRule="auto"/>
        <w:rPr>
          <w:color w:val="000000"/>
        </w:rPr>
      </w:pPr>
      <w:r>
        <w:rPr>
          <w:color w:val="000000"/>
        </w:rPr>
        <w:t xml:space="preserve">备注： </w:t>
      </w:r>
      <w:r>
        <w:rPr>
          <w:color w:val="000000"/>
        </w:rPr>
      </w:r>
      <w:r/>
    </w:p>
    <w:p>
      <w:pPr>
        <w:pStyle w:val="797"/>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1.供应商须对招标文件技术要求中的实质性要求（斜体下划线内容或打“★”内容）做出明确响应，否则视为无效投标。</w:t>
      </w:r>
      <w:r>
        <w:rPr>
          <w:rFonts w:hint="eastAsia"/>
          <w:color w:val="000000"/>
        </w:rPr>
      </w:r>
      <w:r/>
    </w:p>
    <w:p>
      <w:pPr>
        <w:pStyle w:val="797"/>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rPr>
      </w:r>
      <w:r/>
    </w:p>
    <w:p>
      <w:pPr>
        <w:pStyle w:val="797"/>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748"/>
        <w:jc w:val="center"/>
        <w:rPr>
          <w:rFonts w:hint="eastAsia" w:ascii="黑体" w:hAnsi="Arial" w:eastAsia="黑体"/>
          <w:b/>
          <w:color w:val="000000"/>
          <w:sz w:val="36"/>
        </w:rPr>
      </w:pPr>
      <w:r>
        <w:rPr>
          <w:rFonts w:hint="eastAsia" w:ascii="黑体" w:hAnsi="Arial" w:eastAsia="黑体"/>
          <w:b/>
          <w:color w:val="000000"/>
          <w:sz w:val="36"/>
        </w:rPr>
      </w:r>
      <w:r/>
    </w:p>
    <w:p>
      <w:pPr>
        <w:pStyle w:val="748"/>
        <w:rPr>
          <w:rFonts w:hint="eastAsia" w:ascii="黑体" w:hAnsi="黑体" w:eastAsia="黑体"/>
          <w:iCs/>
          <w:color w:val="000000"/>
          <w:sz w:val="32"/>
          <w:szCs w:val="32"/>
        </w:rPr>
      </w:pPr>
      <w:r/>
      <w:bookmarkStart w:id="203" w:name="_Hlt26955054"/>
      <w:r/>
      <w:bookmarkEnd w:id="203"/>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8"/>
              <w:jc w:val="center"/>
              <w:rPr>
                <w:rFonts w:hint="eastAsia" w:ascii="宋体" w:hAnsi="宋体"/>
                <w:color w:val="000000"/>
                <w:sz w:val="24"/>
                <w:szCs w:val="24"/>
              </w:rPr>
            </w:pPr>
            <w:r/>
            <w:bookmarkStart w:id="204" w:name="_Hlt26955064"/>
            <w:r/>
            <w:bookmarkEnd w:id="204"/>
            <w:r/>
            <w:bookmarkStart w:id="205" w:name="_Hlt26955056"/>
            <w:r/>
            <w:bookmarkEnd w:id="205"/>
            <w:r/>
            <w:bookmarkStart w:id="206" w:name="_Hlt24879081"/>
            <w:r/>
            <w:bookmarkEnd w:id="206"/>
            <w:r/>
            <w:bookmarkStart w:id="207" w:name="_Hlt26671343"/>
            <w:r/>
            <w:bookmarkEnd w:id="207"/>
            <w:r/>
            <w:bookmarkStart w:id="208" w:name="_Hlt26782999"/>
            <w:r/>
            <w:bookmarkEnd w:id="208"/>
            <w:r/>
            <w:bookmarkStart w:id="209" w:name="_Hlt26609391"/>
            <w:r/>
            <w:bookmarkEnd w:id="209"/>
            <w:r/>
            <w:bookmarkStart w:id="210" w:name="_Hlt26580838"/>
            <w:r/>
            <w:bookmarkEnd w:id="210"/>
            <w:r/>
            <w:bookmarkStart w:id="211" w:name="_Hlt26671372"/>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48"/>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8"/>
              <w:jc w:val="center"/>
              <w:rPr>
                <w:rFonts w:hint="eastAsia" w:ascii="宋体" w:hAnsi="宋体"/>
                <w:color w:val="000000"/>
                <w:sz w:val="24"/>
                <w:szCs w:val="24"/>
              </w:rPr>
            </w:pPr>
            <w:r>
              <w:rPr>
                <w:rFonts w:hint="eastAsia" w:ascii="宋体" w:hAnsi="宋体"/>
                <w:color w:val="000000"/>
                <w:sz w:val="24"/>
                <w:szCs w:val="24"/>
              </w:rPr>
            </w:r>
            <w:r/>
          </w:p>
        </w:tc>
      </w:tr>
    </w:tbl>
    <w:p>
      <w:pPr>
        <w:pStyle w:val="797"/>
        <w:jc w:val="both"/>
        <w:spacing w:before="0" w:beforeAutospacing="0" w:after="0" w:afterAutospacing="0"/>
        <w:rPr>
          <w:color w:val="000000"/>
        </w:rPr>
      </w:pPr>
      <w:r>
        <w:rPr>
          <w:color w:val="000000"/>
        </w:rPr>
      </w:r>
      <w:r/>
    </w:p>
    <w:p>
      <w:pPr>
        <w:pStyle w:val="74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pStyle w:val="797"/>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797"/>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rPr>
          <w:color w:val="000000"/>
        </w:rPr>
      </w:r>
      <w:r/>
    </w:p>
    <w:p>
      <w:pPr>
        <w:pStyle w:val="797"/>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748"/>
        <w:rPr>
          <w:color w:val="000000"/>
        </w:rPr>
      </w:pPr>
      <w:r>
        <w:rPr>
          <w:color w:val="000000"/>
        </w:rPr>
      </w:r>
      <w:r/>
    </w:p>
    <w:p>
      <w:pPr>
        <w:pStyle w:val="748"/>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12"/>
        <w:rPr>
          <w:rFonts w:hint="eastAsia" w:ascii="宋体" w:hAnsi="宋体" w:cs="仿宋"/>
          <w:b/>
          <w:bCs/>
          <w:color w:val="000000"/>
          <w:sz w:val="32"/>
          <w:szCs w:val="32"/>
        </w:rPr>
      </w:pPr>
      <w:r>
        <w:rPr>
          <w:rFonts w:hint="eastAsia" w:ascii="宋体" w:hAnsi="宋体" w:cs="仿宋"/>
          <w:b/>
          <w:bCs/>
          <w:color w:val="000000"/>
          <w:sz w:val="32"/>
          <w:szCs w:val="32"/>
        </w:rPr>
      </w:r>
      <w:r/>
    </w:p>
    <w:p>
      <w:pPr>
        <w:pStyle w:val="748"/>
        <w:rPr>
          <w:rFonts w:hint="eastAsia" w:ascii="宋体" w:hAnsi="宋体" w:cs="仿宋"/>
          <w:b/>
          <w:bCs/>
          <w:color w:val="000000"/>
          <w:sz w:val="32"/>
          <w:szCs w:val="32"/>
        </w:rPr>
      </w:pPr>
      <w:r>
        <w:rPr>
          <w:rFonts w:hint="eastAsia" w:ascii="宋体" w:hAnsi="宋体" w:cs="仿宋"/>
          <w:b/>
          <w:b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8"/>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74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748"/>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748"/>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748"/>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4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4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12"/>
        <w:spacing w:line="360" w:lineRule="auto"/>
        <w:rPr>
          <w:rFonts w:hint="eastAsia" w:ascii="宋体" w:hAnsi="宋体"/>
          <w:color w:val="000000"/>
          <w:sz w:val="24"/>
          <w:szCs w:val="24"/>
        </w:rPr>
      </w:pPr>
      <w:r>
        <w:rPr>
          <w:rFonts w:hint="eastAsia" w:ascii="宋体" w:hAnsi="宋体"/>
          <w:color w:val="000000"/>
          <w:sz w:val="24"/>
          <w:szCs w:val="24"/>
        </w:rPr>
      </w:r>
      <w:r/>
    </w:p>
    <w:p>
      <w:pPr>
        <w:pStyle w:val="748"/>
        <w:spacing w:line="360" w:lineRule="auto"/>
        <w:rPr>
          <w:rFonts w:hint="eastAsia"/>
          <w:color w:val="000000"/>
        </w:rPr>
      </w:pPr>
      <w:r>
        <w:rPr>
          <w:rFonts w:hint="eastAsia"/>
          <w:color w:val="000000"/>
        </w:rPr>
      </w:r>
      <w:r/>
    </w:p>
    <w:p>
      <w:pPr>
        <w:pStyle w:val="748"/>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48"/>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8"/>
        <w:ind w:firstLine="480"/>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74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 w:val="24"/>
          <w:szCs w:val="24"/>
        </w:rPr>
      </w:r>
      <w:r/>
    </w:p>
    <w:p>
      <w:pPr>
        <w:pStyle w:val="748"/>
        <w:jc w:val="left"/>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812"/>
        <w:spacing w:line="360" w:lineRule="auto"/>
        <w:rPr>
          <w:rFonts w:hint="eastAsia" w:ascii="宋体" w:hAnsi="宋体"/>
          <w:color w:val="000000"/>
          <w:sz w:val="24"/>
          <w:szCs w:val="24"/>
        </w:rPr>
      </w:pPr>
      <w:r>
        <w:rPr>
          <w:rFonts w:hint="eastAsia" w:ascii="宋体" w:hAnsi="宋体"/>
          <w:color w:val="000000"/>
          <w:sz w:val="24"/>
          <w:szCs w:val="24"/>
        </w:rPr>
      </w:r>
      <w:r/>
    </w:p>
    <w:p>
      <w:pPr>
        <w:pStyle w:val="748"/>
        <w:spacing w:line="360" w:lineRule="auto"/>
        <w:rPr>
          <w:rFonts w:hint="eastAsia"/>
          <w:color w:val="000000"/>
        </w:rPr>
      </w:pPr>
      <w:r>
        <w:rPr>
          <w:rFonts w:hint="eastAsia"/>
          <w:color w:val="000000"/>
        </w:rPr>
      </w:r>
      <w:r/>
    </w:p>
    <w:p>
      <w:pPr>
        <w:pStyle w:val="748"/>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48"/>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1.投标人如不提供此声明函，价格将不作相应扣除。</w:t>
      </w:r>
      <w:r>
        <w:rPr>
          <w:rFonts w:hint="eastAsia" w:ascii="宋体" w:hAnsi="宋体"/>
          <w:color w:val="000000"/>
          <w:sz w:val="24"/>
        </w:rPr>
      </w:r>
      <w:r/>
    </w:p>
    <w:p>
      <w:pPr>
        <w:pStyle w:val="748"/>
        <w:ind w:firstLine="480"/>
        <w:spacing w:line="360" w:lineRule="auto"/>
        <w:rPr>
          <w:rFonts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rPr>
          <w:rFonts w:ascii="宋体" w:hAnsi="宋体"/>
          <w:color w:val="000000"/>
          <w:sz w:val="24"/>
        </w:rPr>
      </w:r>
      <w:r/>
    </w:p>
    <w:p>
      <w:pPr>
        <w:pStyle w:val="748"/>
        <w:ind w:firstLine="480"/>
        <w:spacing w:line="480" w:lineRule="exact"/>
        <w:rPr>
          <w:rFonts w:ascii="宋体" w:hAnsi="宋体"/>
          <w:color w:val="000000"/>
          <w:sz w:val="24"/>
        </w:rPr>
      </w:pPr>
      <w:r>
        <w:rPr>
          <w:rFonts w:ascii="宋体" w:hAnsi="宋体"/>
          <w:color w:val="000000"/>
          <w:sz w:val="24"/>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48"/>
        <w:jc w:val="left"/>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十一、联合体协议</w:t>
      </w:r>
      <w:r>
        <w:rPr>
          <w:rFonts w:hint="eastAsia" w:ascii="黑体" w:hAnsi="黑体" w:eastAsia="黑体"/>
          <w:iCs/>
          <w:color w:val="000000"/>
          <w:sz w:val="32"/>
          <w:szCs w:val="32"/>
        </w:rPr>
      </w:r>
      <w:r/>
    </w:p>
    <w:p>
      <w:pPr>
        <w:pStyle w:val="74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748"/>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48"/>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rPr>
          <w:rFonts w:ascii="宋体" w:hAnsi="宋体"/>
          <w:color w:val="000000"/>
          <w:sz w:val="24"/>
        </w:rPr>
      </w:r>
      <w:r/>
    </w:p>
    <w:p>
      <w:pPr>
        <w:pStyle w:val="748"/>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748"/>
        <w:ind w:firstLine="48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748"/>
        <w:ind w:firstLine="645"/>
        <w:spacing w:line="360" w:lineRule="auto"/>
        <w:rPr>
          <w:rFonts w:hint="eastAsia" w:ascii="宋体" w:hAnsi="宋体"/>
          <w:color w:val="000000"/>
          <w:sz w:val="24"/>
        </w:rPr>
      </w:pPr>
      <w:r>
        <w:rPr>
          <w:rFonts w:hint="eastAsia" w:ascii="宋体" w:hAnsi="宋体"/>
          <w:color w:val="000000"/>
          <w:sz w:val="24"/>
        </w:rPr>
      </w:r>
      <w:r/>
    </w:p>
    <w:p>
      <w:pPr>
        <w:pStyle w:val="748"/>
        <w:ind w:firstLine="645"/>
        <w:spacing w:line="360" w:lineRule="auto"/>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748"/>
        <w:ind w:firstLine="645"/>
        <w:jc w:val="right"/>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748"/>
        <w:ind w:firstLine="528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1.牵头单位必须为联合体成员。</w:t>
      </w:r>
      <w:r>
        <w:rPr>
          <w:rFonts w:hint="eastAsia" w:ascii="宋体" w:hAnsi="宋体"/>
          <w:color w:val="000000"/>
          <w:sz w:val="24"/>
        </w:rPr>
      </w:r>
      <w:r/>
    </w:p>
    <w:p>
      <w:pPr>
        <w:pStyle w:val="74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48"/>
        <w:ind w:firstLine="480"/>
        <w:spacing w:line="360" w:lineRule="auto"/>
        <w:rPr>
          <w:rFonts w:hint="eastAsia" w:ascii="宋体" w:hAnsi="宋体"/>
          <w:color w:val="000000"/>
          <w:sz w:val="24"/>
        </w:rPr>
      </w:pPr>
      <w:r>
        <w:rPr>
          <w:rFonts w:hint="eastAsia" w:ascii="宋体" w:hAnsi="宋体"/>
          <w:color w:val="000000"/>
          <w:sz w:val="24"/>
        </w:rPr>
        <w:t xml:space="preserve">3.除另有说明外，本招标文件要求加盖电子公章之处，加盖牵头单位的电子公章即可。</w:t>
      </w:r>
      <w:r>
        <w:rPr>
          <w:rFonts w:hint="eastAsia" w:ascii="宋体" w:hAnsi="宋体"/>
          <w:color w:val="000000"/>
          <w:sz w:val="24"/>
        </w:rPr>
      </w:r>
      <w:r/>
    </w:p>
    <w:p>
      <w:pPr>
        <w:pStyle w:val="802"/>
        <w:ind w:firstLine="480"/>
        <w:rPr>
          <w:rFonts w:hint="eastAsia"/>
          <w:color w:val="000000"/>
          <w:sz w:val="24"/>
        </w:rPr>
      </w:pPr>
      <w:r>
        <w:rPr>
          <w:rFonts w:hint="eastAsia"/>
          <w:color w:val="000000"/>
          <w:sz w:val="24"/>
        </w:rPr>
      </w:r>
      <w:r/>
    </w:p>
    <w:p>
      <w:pPr>
        <w:pStyle w:val="748"/>
        <w:rPr>
          <w:rFonts w:hint="eastAsia"/>
          <w:color w:val="000000"/>
        </w:rPr>
      </w:pPr>
      <w:r>
        <w:rPr>
          <w:rFonts w:hint="eastAsia"/>
          <w:color w:val="000000"/>
        </w:rPr>
      </w:r>
      <w:r/>
    </w:p>
    <w:p>
      <w:pPr>
        <w:pStyle w:val="748"/>
        <w:ind w:firstLine="645"/>
        <w:spacing w:line="560" w:lineRule="exact"/>
        <w:rPr>
          <w:rFonts w:ascii="宋体" w:hAnsi="宋体"/>
          <w:color w:val="000000"/>
          <w:sz w:val="24"/>
        </w:rPr>
      </w:pPr>
      <w:r>
        <w:rPr>
          <w:rFonts w:ascii="宋体" w:hAnsi="宋体"/>
          <w:color w:val="000000"/>
          <w:sz w:val="24"/>
        </w:rPr>
      </w:r>
      <w:r/>
    </w:p>
    <w:p>
      <w:pPr>
        <w:pStyle w:val="748"/>
        <w:ind w:firstLine="645"/>
        <w:spacing w:line="560" w:lineRule="exact"/>
        <w:rPr>
          <w:rFonts w:hint="eastAsia" w:ascii="宋体" w:hAnsi="宋体"/>
          <w:color w:val="000000"/>
          <w:sz w:val="24"/>
        </w:rPr>
      </w:pPr>
      <w:r>
        <w:rPr>
          <w:rFonts w:hint="eastAsia" w:ascii="宋体" w:hAnsi="宋体"/>
          <w:color w:val="000000"/>
          <w:sz w:val="24"/>
        </w:rPr>
      </w:r>
      <w:r/>
    </w:p>
    <w:p>
      <w:pPr>
        <w:pStyle w:val="812"/>
        <w:rPr>
          <w:rFonts w:hint="eastAsia" w:ascii="宋体" w:hAnsi="宋体"/>
          <w:color w:val="000000"/>
          <w:sz w:val="24"/>
        </w:rPr>
      </w:pPr>
      <w:r>
        <w:rPr>
          <w:rFonts w:hint="eastAsia" w:ascii="宋体" w:hAnsi="宋体"/>
          <w:color w:val="000000"/>
          <w:sz w:val="24"/>
        </w:rPr>
      </w:r>
      <w:r/>
    </w:p>
    <w:p>
      <w:pPr>
        <w:pStyle w:val="748"/>
        <w:rPr>
          <w:rFonts w:hint="eastAsia" w:ascii="宋体" w:hAnsi="宋体"/>
          <w:color w:val="000000"/>
          <w:sz w:val="24"/>
        </w:rPr>
      </w:pPr>
      <w:r>
        <w:rPr>
          <w:rFonts w:hint="eastAsia" w:ascii="宋体" w:hAnsi="宋体"/>
          <w:color w:val="000000"/>
          <w:sz w:val="24"/>
        </w:rPr>
      </w:r>
      <w:r/>
    </w:p>
    <w:p>
      <w:pPr>
        <w:pStyle w:val="80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748"/>
        <w:rPr>
          <w:rFonts w:hint="eastAsia"/>
          <w:color w:val="000000"/>
        </w:rPr>
      </w:pPr>
      <w:r>
        <w:rPr>
          <w:rFonts w:hint="eastAsia"/>
          <w:color w:val="000000"/>
        </w:rPr>
      </w:r>
      <w:r/>
    </w:p>
    <w:p>
      <w:pPr>
        <w:pStyle w:val="748"/>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r>
      <w:r/>
    </w:p>
    <w:p>
      <w:pPr>
        <w:pStyle w:val="748"/>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748"/>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748"/>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8"/>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48"/>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74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8"/>
        <w:rPr>
          <w:rFonts w:hint="eastAsia" w:ascii="宋体" w:hAnsi="宋体"/>
          <w:color w:val="000000"/>
          <w:sz w:val="24"/>
          <w:szCs w:val="24"/>
        </w:rPr>
      </w:pPr>
      <w:r>
        <w:rPr>
          <w:rFonts w:hint="eastAsia" w:ascii="宋体" w:hAnsi="宋体"/>
          <w:color w:val="000000"/>
          <w:sz w:val="24"/>
          <w:szCs w:val="24"/>
        </w:rPr>
      </w:r>
      <w:r/>
    </w:p>
    <w:p>
      <w:pPr>
        <w:pStyle w:val="748"/>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748"/>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748"/>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4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4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4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48"/>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rPr>
          <w:rFonts w:hint="eastAsia" w:ascii="宋体" w:hAnsi="宋体" w:cs="仿宋"/>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74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rPr>
        <w:rStyle w:val="1017"/>
        <w:rFonts w:ascii="宋体" w:hAnsi="宋体"/>
      </w:rPr>
      <w:framePr w:wrap="around" w:vAnchor="text" w:hAnchor="margin" w:xAlign="center" w:y="1"/>
    </w:pPr>
    <w:r>
      <w:rPr>
        <w:rFonts w:ascii="宋体" w:hAnsi="宋体"/>
      </w:rPr>
      <w:fldChar w:fldCharType="begin"/>
    </w:r>
    <w:r>
      <w:rPr>
        <w:rStyle w:val="1017"/>
        <w:rFonts w:ascii="宋体" w:hAnsi="宋体"/>
      </w:rPr>
      <w:instrText xml:space="preserve">PAGE  </w:instrText>
    </w:r>
    <w:r>
      <w:rPr>
        <w:rFonts w:ascii="宋体" w:hAnsi="宋体"/>
      </w:rPr>
      <w:fldChar w:fldCharType="separate"/>
    </w:r>
    <w:r>
      <w:rPr>
        <w:rStyle w:val="1017"/>
        <w:rFonts w:ascii="宋体" w:hAnsi="宋体"/>
      </w:rPr>
      <w:t xml:space="preserve">３５</w:t>
    </w:r>
    <w:r>
      <w:rPr>
        <w:rFonts w:ascii="宋体" w:hAnsi="宋体"/>
      </w:rPr>
      <w:fldChar w:fldCharType="end"/>
    </w:r>
    <w:r>
      <w:rPr>
        <w:rStyle w:val="1017"/>
        <w:rFonts w:ascii="宋体" w:hAnsi="宋体"/>
      </w:rPr>
    </w:r>
    <w:r/>
  </w:p>
  <w:p>
    <w:pPr>
      <w:pStyle w:val="99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rPr>
        <w:rStyle w:val="1017"/>
      </w:rPr>
      <w:framePr w:wrap="around" w:vAnchor="text" w:hAnchor="margin" w:xAlign="center" w:y="1"/>
    </w:pPr>
    <w:r>
      <w:fldChar w:fldCharType="begin"/>
    </w:r>
    <w:r>
      <w:rPr>
        <w:rStyle w:val="1017"/>
      </w:rPr>
      <w:instrText xml:space="preserve">PAGE  </w:instrText>
    </w:r>
    <w:r>
      <w:fldChar w:fldCharType="separate"/>
    </w:r>
    <w:r>
      <w:rPr>
        <w:rStyle w:val="1017"/>
      </w:rPr>
      <w:t xml:space="preserve">1</w:t>
    </w:r>
    <w:r>
      <w:fldChar w:fldCharType="end"/>
    </w:r>
    <w:r>
      <w:rPr>
        <w:rStyle w:val="1017"/>
      </w:rPr>
    </w:r>
    <w:r/>
  </w:p>
  <w:p>
    <w:pPr>
      <w:pStyle w:val="9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4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4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3">
    <w:multiLevelType w:val="hybridMultilevel"/>
    <w:lvl w:ilvl="0">
      <w:start w:val="1"/>
      <w:numFmt w:val="upperLetter"/>
      <w:pStyle w:val="1025"/>
      <w:isLgl w:val="false"/>
      <w:suff w:val="tab"/>
      <w:lvlText w:val="附录%1."/>
      <w:lvlJc w:val="left"/>
      <w:pPr>
        <w:pStyle w:val="748"/>
        <w:ind w:left="907" w:hanging="907"/>
        <w:tabs>
          <w:tab w:val="num" w:pos="907" w:leader="none"/>
        </w:tabs>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48"/>
        <w:ind w:left="0" w:firstLine="0"/>
      </w:pPr>
      <w:rPr>
        <w:rFonts w:hint="eastAsia"/>
      </w:rPr>
    </w:lvl>
    <w:lvl w:ilvl="1">
      <w:start w:val="1"/>
      <w:numFmt w:val="decimal"/>
      <w:isLgl w:val="false"/>
      <w:suff w:val="nothing"/>
      <w:lvlText w:val="%2、"/>
      <w:lvlJc w:val="left"/>
      <w:pPr>
        <w:pStyle w:val="748"/>
        <w:ind w:left="0" w:firstLine="0"/>
      </w:pPr>
      <w:rPr>
        <w:rFonts w:hint="eastAsia"/>
      </w:rPr>
    </w:lvl>
    <w:lvl w:ilvl="2">
      <w:start w:val="1"/>
      <w:numFmt w:val="decimal"/>
      <w:isLgl w:val="false"/>
      <w:suff w:val="nothing"/>
      <w:lvlText w:val="%2.%3 "/>
      <w:lvlJc w:val="left"/>
      <w:pPr>
        <w:pStyle w:val="748"/>
        <w:ind w:left="0" w:firstLine="0"/>
      </w:pPr>
      <w:rPr>
        <w:rFonts w:hint="eastAsia"/>
      </w:rPr>
    </w:lvl>
    <w:lvl w:ilvl="3">
      <w:start w:val="1"/>
      <w:numFmt w:val="decimal"/>
      <w:isLgl w:val="false"/>
      <w:suff w:val="nothing"/>
      <w:lvlText w:val="%2.%3.%4 "/>
      <w:lvlJc w:val="left"/>
      <w:pPr>
        <w:pStyle w:val="748"/>
        <w:ind w:left="0" w:firstLine="0"/>
      </w:pPr>
      <w:rPr>
        <w:rFonts w:hint="eastAsia"/>
      </w:rPr>
    </w:lvl>
    <w:lvl w:ilvl="4">
      <w:start w:val="1"/>
      <w:numFmt w:val="decimal"/>
      <w:isLgl w:val="false"/>
      <w:suff w:val="nothing"/>
      <w:lvlText w:val="%2.%3.%4.%5 "/>
      <w:lvlJc w:val="left"/>
      <w:pPr>
        <w:pStyle w:val="748"/>
        <w:ind w:left="0" w:firstLine="0"/>
      </w:pPr>
      <w:rPr>
        <w:rFonts w:hint="eastAsia"/>
      </w:rPr>
    </w:lvl>
    <w:lvl w:ilvl="5">
      <w:start w:val="1"/>
      <w:numFmt w:val="decimal"/>
      <w:pStyle w:val="958"/>
      <w:isLgl w:val="false"/>
      <w:suff w:val="nothing"/>
      <w:lvlText w:val=""/>
      <w:lvlJc w:val="left"/>
      <w:pPr>
        <w:pStyle w:val="748"/>
        <w:ind w:left="0" w:firstLine="0"/>
      </w:pPr>
      <w:rPr>
        <w:rFonts w:hint="eastAsia"/>
      </w:rPr>
    </w:lvl>
    <w:lvl w:ilvl="6">
      <w:start w:val="1"/>
      <w:numFmt w:val="decimal"/>
      <w:pStyle w:val="960"/>
      <w:isLgl w:val="false"/>
      <w:suff w:val="nothing"/>
      <w:lvlText w:val=""/>
      <w:lvlJc w:val="left"/>
      <w:pPr>
        <w:pStyle w:val="748"/>
        <w:ind w:left="0" w:firstLine="0"/>
      </w:pPr>
      <w:rPr>
        <w:rFonts w:hint="eastAsia"/>
      </w:rPr>
    </w:lvl>
    <w:lvl w:ilvl="7">
      <w:start w:val="1"/>
      <w:numFmt w:val="decimal"/>
      <w:pStyle w:val="962"/>
      <w:isLgl w:val="false"/>
      <w:suff w:val="nothing"/>
      <w:lvlText w:val=""/>
      <w:lvlJc w:val="left"/>
      <w:pPr>
        <w:pStyle w:val="748"/>
        <w:ind w:left="0" w:firstLine="0"/>
      </w:pPr>
      <w:rPr>
        <w:rFonts w:hint="eastAsia"/>
      </w:rPr>
    </w:lvl>
    <w:lvl w:ilvl="8">
      <w:start w:val="1"/>
      <w:numFmt w:val="decimal"/>
      <w:pStyle w:val="964"/>
      <w:isLgl w:val="false"/>
      <w:suff w:val="nothing"/>
      <w:lvlText w:val=""/>
      <w:lvlJc w:val="left"/>
      <w:pPr>
        <w:pStyle w:val="748"/>
        <w:ind w:left="0" w:firstLine="0"/>
      </w:pPr>
      <w:rPr>
        <w:rFonts w:hint="eastAsia"/>
      </w:rPr>
    </w:lvl>
  </w:abstractNum>
  <w:abstractNum w:abstractNumId="5">
    <w:multiLevelType w:val="hybridMultilevel"/>
    <w:lvl w:ilvl="0">
      <w:start w:val="3"/>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2"/>
      <w:isLgl w:val="false"/>
      <w:suff w:val="tab"/>
      <w:lvlText w:val="%1."/>
      <w:lvlJc w:val="left"/>
      <w:pPr>
        <w:pStyle w:val="748"/>
        <w:ind w:left="709" w:hanging="709"/>
        <w:tabs>
          <w:tab w:val="num" w:pos="709" w:leader="none"/>
        </w:tabs>
      </w:pPr>
      <w:rPr>
        <w:rFonts w:hint="eastAsia"/>
      </w:rPr>
    </w:lvl>
    <w:lvl w:ilvl="1">
      <w:start w:val="1"/>
      <w:numFmt w:val="decimal"/>
      <w:isLgl w:val="false"/>
      <w:suff w:val="tab"/>
      <w:lvlText w:val="%1.%2"/>
      <w:lvlJc w:val="left"/>
      <w:pPr>
        <w:pStyle w:val="748"/>
        <w:ind w:left="709" w:hanging="709"/>
        <w:tabs>
          <w:tab w:val="num" w:pos="709" w:leader="none"/>
        </w:tabs>
      </w:pPr>
      <w:rPr>
        <w:rFonts w:hint="eastAsia"/>
      </w:rPr>
    </w:lvl>
    <w:lvl w:ilvl="2">
      <w:start w:val="1"/>
      <w:numFmt w:val="decimal"/>
      <w:isLgl w:val="false"/>
      <w:suff w:val="tab"/>
      <w:lvlText w:val="%1.%2.%3."/>
      <w:lvlJc w:val="left"/>
      <w:pPr>
        <w:pStyle w:val="748"/>
        <w:ind w:left="425" w:hanging="425"/>
        <w:tabs>
          <w:tab w:val="num" w:pos="425" w:leader="none"/>
        </w:tabs>
      </w:pPr>
      <w:rPr>
        <w:rFonts w:hint="eastAsia"/>
      </w:rPr>
    </w:lvl>
    <w:lvl w:ilvl="3">
      <w:start w:val="1"/>
      <w:numFmt w:val="decimal"/>
      <w:isLgl w:val="false"/>
      <w:suff w:val="tab"/>
      <w:lvlText w:val="%1.%2.%3.%4."/>
      <w:lvlJc w:val="left"/>
      <w:pPr>
        <w:pStyle w:val="748"/>
        <w:ind w:left="851" w:hanging="851"/>
        <w:tabs>
          <w:tab w:val="num" w:pos="851" w:leader="none"/>
        </w:tabs>
      </w:pPr>
      <w:rPr>
        <w:rFonts w:hint="eastAsia"/>
      </w:rPr>
    </w:lvl>
    <w:lvl w:ilvl="4">
      <w:start w:val="1"/>
      <w:numFmt w:val="decimal"/>
      <w:isLgl w:val="false"/>
      <w:suff w:val="tab"/>
      <w:lvlText w:val="%1.%2.%3.%4.%5."/>
      <w:lvlJc w:val="left"/>
      <w:pPr>
        <w:pStyle w:val="748"/>
        <w:ind w:left="992" w:hanging="992"/>
        <w:tabs>
          <w:tab w:val="num" w:pos="992" w:leader="none"/>
        </w:tabs>
      </w:pPr>
      <w:rPr>
        <w:rFonts w:hint="eastAsia"/>
      </w:rPr>
    </w:lvl>
    <w:lvl w:ilvl="5">
      <w:start w:val="1"/>
      <w:numFmt w:val="decimal"/>
      <w:isLgl w:val="false"/>
      <w:suff w:val="tab"/>
      <w:lvlText w:val="%1.%2.%3.%4.%5.%6."/>
      <w:lvlJc w:val="left"/>
      <w:pPr>
        <w:pStyle w:val="748"/>
        <w:ind w:left="1134" w:hanging="1134"/>
        <w:tabs>
          <w:tab w:val="num" w:pos="1134" w:leader="none"/>
        </w:tabs>
      </w:pPr>
      <w:rPr>
        <w:rFonts w:hint="eastAsia"/>
      </w:rPr>
    </w:lvl>
    <w:lvl w:ilvl="6">
      <w:start w:val="1"/>
      <w:numFmt w:val="decimal"/>
      <w:isLgl w:val="false"/>
      <w:suff w:val="tab"/>
      <w:lvlText w:val="%1.%2.%3.%4.%5.%6.%7."/>
      <w:lvlJc w:val="left"/>
      <w:pPr>
        <w:pStyle w:val="748"/>
        <w:ind w:left="1276" w:hanging="1276"/>
        <w:tabs>
          <w:tab w:val="num" w:pos="1276" w:leader="none"/>
        </w:tabs>
      </w:pPr>
      <w:rPr>
        <w:rFonts w:hint="eastAsia"/>
      </w:rPr>
    </w:lvl>
    <w:lvl w:ilvl="7">
      <w:start w:val="1"/>
      <w:numFmt w:val="decimal"/>
      <w:isLgl w:val="false"/>
      <w:suff w:val="tab"/>
      <w:lvlText w:val="%1.%2.%3.%4.%5.%6.%7.%8."/>
      <w:lvlJc w:val="left"/>
      <w:pPr>
        <w:pStyle w:val="748"/>
        <w:ind w:left="1418" w:hanging="1418"/>
        <w:tabs>
          <w:tab w:val="num" w:pos="1418" w:leader="none"/>
        </w:tabs>
      </w:pPr>
      <w:rPr>
        <w:rFonts w:hint="eastAsia"/>
      </w:rPr>
    </w:lvl>
    <w:lvl w:ilvl="8">
      <w:start w:val="1"/>
      <w:numFmt w:val="decimal"/>
      <w:isLgl w:val="false"/>
      <w:suff w:val="tab"/>
      <w:lvlText w:val="%1.%2.%3.%4.%5.%6.%7.%8.%9."/>
      <w:lvlJc w:val="left"/>
      <w:pPr>
        <w:pStyle w:val="748"/>
        <w:ind w:left="1559" w:hanging="1559"/>
        <w:tabs>
          <w:tab w:val="num" w:pos="1559" w:leader="none"/>
        </w:tabs>
      </w:pPr>
      <w:rPr>
        <w:rFonts w:hint="eastAsia"/>
      </w:rPr>
    </w:lvl>
  </w:abstractNum>
  <w:num w:numId="1">
    <w:abstractNumId w:val="4"/>
  </w:num>
  <w:num w:numId="2">
    <w:abstractNumId w:val="3"/>
  </w:num>
  <w:num w:numId="3">
    <w:abstractNumId w:val="6"/>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748"/>
    <w:next w:val="748"/>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748"/>
    <w:next w:val="748"/>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748"/>
    <w:next w:val="748"/>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748"/>
    <w:next w:val="748"/>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748"/>
    <w:next w:val="748"/>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748"/>
    <w:next w:val="748"/>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748"/>
    <w:next w:val="748"/>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748"/>
    <w:next w:val="748"/>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748"/>
    <w:next w:val="748"/>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748"/>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748"/>
    <w:next w:val="748"/>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748"/>
    <w:next w:val="748"/>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748"/>
    <w:next w:val="748"/>
    <w:link w:val="722"/>
    <w:uiPriority w:val="29"/>
    <w:qFormat/>
    <w:pPr>
      <w:ind w:left="720" w:right="720"/>
    </w:pPr>
    <w:rPr>
      <w:i/>
    </w:rPr>
  </w:style>
  <w:style w:type="character" w:styleId="722">
    <w:name w:val="Quote Char"/>
    <w:link w:val="721"/>
    <w:uiPriority w:val="29"/>
    <w:rPr>
      <w:i/>
    </w:rPr>
  </w:style>
  <w:style w:type="paragraph" w:styleId="723">
    <w:name w:val="Intense Quote"/>
    <w:basedOn w:val="748"/>
    <w:next w:val="74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748"/>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748"/>
    <w:link w:val="729"/>
    <w:uiPriority w:val="99"/>
    <w:unhideWhenUsed/>
    <w:pPr>
      <w:spacing w:after="0" w:line="240" w:lineRule="auto"/>
      <w:tabs>
        <w:tab w:val="center" w:pos="7143" w:leader="none"/>
        <w:tab w:val="right" w:pos="14287" w:leader="none"/>
      </w:tabs>
    </w:pPr>
  </w:style>
  <w:style w:type="paragraph" w:styleId="728">
    <w:name w:val="Caption"/>
    <w:basedOn w:val="748"/>
    <w:next w:val="748"/>
    <w:uiPriority w:val="35"/>
    <w:semiHidden/>
    <w:unhideWhenUsed/>
    <w:qFormat/>
    <w:pPr>
      <w:spacing w:line="276" w:lineRule="auto"/>
    </w:pPr>
    <w:rPr>
      <w:b/>
      <w:bCs/>
      <w:color w:val="4f81bd" w:themeColor="accent1"/>
      <w:sz w:val="18"/>
      <w:szCs w:val="18"/>
    </w:rPr>
  </w:style>
  <w:style w:type="character" w:styleId="729">
    <w:name w:val="Caption Char"/>
    <w:basedOn w:val="728"/>
    <w:link w:val="727"/>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Hyperlink"/>
    <w:uiPriority w:val="99"/>
    <w:unhideWhenUsed/>
    <w:rPr>
      <w:color w:val="0000ff" w:themeColor="hyperlink"/>
      <w:u w:val="single"/>
    </w:rPr>
  </w:style>
  <w:style w:type="paragraph" w:styleId="732">
    <w:name w:val="footnote text"/>
    <w:basedOn w:val="748"/>
    <w:link w:val="733"/>
    <w:uiPriority w:val="99"/>
    <w:semiHidden/>
    <w:unhideWhenUsed/>
    <w:pPr>
      <w:spacing w:after="40" w:line="240" w:lineRule="auto"/>
    </w:pPr>
    <w:rPr>
      <w:sz w:val="18"/>
    </w:rPr>
  </w:style>
  <w:style w:type="character" w:styleId="733">
    <w:name w:val="Footnote Text Char"/>
    <w:link w:val="732"/>
    <w:uiPriority w:val="99"/>
    <w:rPr>
      <w:sz w:val="18"/>
    </w:rPr>
  </w:style>
  <w:style w:type="character" w:styleId="734">
    <w:name w:val="footnote reference"/>
    <w:uiPriority w:val="99"/>
    <w:unhideWhenUsed/>
    <w:rPr>
      <w:vertAlign w:val="superscript"/>
    </w:rPr>
  </w:style>
  <w:style w:type="paragraph" w:styleId="735">
    <w:name w:val="endnote text"/>
    <w:basedOn w:val="748"/>
    <w:link w:val="736"/>
    <w:uiPriority w:val="99"/>
    <w:semiHidden/>
    <w:unhideWhenUsed/>
    <w:pPr>
      <w:spacing w:after="0" w:line="240" w:lineRule="auto"/>
    </w:pPr>
    <w:rPr>
      <w:sz w:val="20"/>
    </w:rPr>
  </w:style>
  <w:style w:type="character" w:styleId="736">
    <w:name w:val="Endnote Text Char"/>
    <w:link w:val="735"/>
    <w:uiPriority w:val="99"/>
    <w:rPr>
      <w:sz w:val="20"/>
    </w:rPr>
  </w:style>
  <w:style w:type="character" w:styleId="737">
    <w:name w:val="endnote reference"/>
    <w:uiPriority w:val="99"/>
    <w:semiHidden/>
    <w:unhideWhenUsed/>
    <w:rPr>
      <w:vertAlign w:val="superscript"/>
    </w:rPr>
  </w:style>
  <w:style w:type="paragraph" w:styleId="738">
    <w:name w:val="toc 1"/>
    <w:basedOn w:val="748"/>
    <w:next w:val="748"/>
    <w:uiPriority w:val="39"/>
    <w:unhideWhenUsed/>
    <w:pPr>
      <w:ind w:left="0" w:right="0" w:firstLine="0"/>
      <w:spacing w:after="57"/>
    </w:pPr>
  </w:style>
  <w:style w:type="paragraph" w:styleId="739">
    <w:name w:val="toc 2"/>
    <w:basedOn w:val="748"/>
    <w:next w:val="748"/>
    <w:uiPriority w:val="39"/>
    <w:unhideWhenUsed/>
    <w:pPr>
      <w:ind w:left="283" w:right="0" w:firstLine="0"/>
      <w:spacing w:after="57"/>
    </w:pPr>
  </w:style>
  <w:style w:type="paragraph" w:styleId="740">
    <w:name w:val="toc 3"/>
    <w:basedOn w:val="748"/>
    <w:next w:val="748"/>
    <w:uiPriority w:val="39"/>
    <w:unhideWhenUsed/>
    <w:pPr>
      <w:ind w:left="567" w:right="0" w:firstLine="0"/>
      <w:spacing w:after="57"/>
    </w:pPr>
  </w:style>
  <w:style w:type="paragraph" w:styleId="741">
    <w:name w:val="toc 4"/>
    <w:basedOn w:val="748"/>
    <w:next w:val="748"/>
    <w:uiPriority w:val="39"/>
    <w:unhideWhenUsed/>
    <w:pPr>
      <w:ind w:left="850" w:right="0" w:firstLine="0"/>
      <w:spacing w:after="57"/>
    </w:pPr>
  </w:style>
  <w:style w:type="paragraph" w:styleId="742">
    <w:name w:val="toc 5"/>
    <w:basedOn w:val="748"/>
    <w:next w:val="748"/>
    <w:uiPriority w:val="39"/>
    <w:unhideWhenUsed/>
    <w:pPr>
      <w:ind w:left="1134" w:right="0" w:firstLine="0"/>
      <w:spacing w:after="57"/>
    </w:pPr>
  </w:style>
  <w:style w:type="paragraph" w:styleId="743">
    <w:name w:val="toc 6"/>
    <w:basedOn w:val="748"/>
    <w:next w:val="748"/>
    <w:uiPriority w:val="39"/>
    <w:unhideWhenUsed/>
    <w:pPr>
      <w:ind w:left="1417" w:right="0" w:firstLine="0"/>
      <w:spacing w:after="57"/>
    </w:pPr>
  </w:style>
  <w:style w:type="paragraph" w:styleId="744">
    <w:name w:val="toc 7"/>
    <w:basedOn w:val="748"/>
    <w:next w:val="748"/>
    <w:uiPriority w:val="39"/>
    <w:unhideWhenUsed/>
    <w:pPr>
      <w:ind w:left="1701" w:right="0" w:firstLine="0"/>
      <w:spacing w:after="57"/>
    </w:pPr>
  </w:style>
  <w:style w:type="paragraph" w:styleId="745">
    <w:name w:val="toc 8"/>
    <w:basedOn w:val="748"/>
    <w:next w:val="748"/>
    <w:uiPriority w:val="39"/>
    <w:unhideWhenUsed/>
    <w:pPr>
      <w:ind w:left="1984" w:right="0" w:firstLine="0"/>
      <w:spacing w:after="57"/>
    </w:pPr>
  </w:style>
  <w:style w:type="paragraph" w:styleId="746">
    <w:name w:val="toc 9"/>
    <w:basedOn w:val="748"/>
    <w:next w:val="748"/>
    <w:uiPriority w:val="39"/>
    <w:unhideWhenUsed/>
    <w:pPr>
      <w:ind w:left="2268" w:right="0" w:firstLine="0"/>
      <w:spacing w:after="57"/>
    </w:pPr>
  </w:style>
  <w:style w:type="paragraph" w:styleId="747">
    <w:name w:val="table of figures"/>
    <w:basedOn w:val="748"/>
    <w:next w:val="748"/>
    <w:uiPriority w:val="99"/>
    <w:unhideWhenUsed/>
    <w:pPr>
      <w:spacing w:after="0" w:afterAutospacing="0"/>
    </w:pPr>
  </w:style>
  <w:style w:type="paragraph" w:styleId="748" w:default="1">
    <w:name w:val="Normal"/>
    <w:next w:val="748"/>
    <w:link w:val="748"/>
    <w:qFormat/>
    <w:pPr>
      <w:jc w:val="both"/>
      <w:widowControl w:val="off"/>
    </w:pPr>
    <w:rPr>
      <w:sz w:val="21"/>
      <w:szCs w:val="21"/>
      <w:lang w:val="en-US" w:eastAsia="zh-CN" w:bidi="ar-SA"/>
    </w:rPr>
  </w:style>
  <w:style w:type="paragraph" w:styleId="749">
    <w:name w:val="标题 1"/>
    <w:basedOn w:val="748"/>
    <w:next w:val="748"/>
    <w:link w:val="760"/>
    <w:uiPriority w:val="9"/>
    <w:qFormat/>
    <w:pPr>
      <w:keepLines/>
      <w:keepNext/>
      <w:spacing w:before="480" w:after="200"/>
      <w:outlineLvl w:val="0"/>
    </w:pPr>
    <w:rPr>
      <w:rFonts w:ascii="Arial" w:hAnsi="Arial" w:eastAsia="Arial" w:cs="Arial"/>
      <w:sz w:val="40"/>
      <w:szCs w:val="40"/>
    </w:rPr>
  </w:style>
  <w:style w:type="paragraph" w:styleId="750">
    <w:name w:val="标题 2"/>
    <w:basedOn w:val="748"/>
    <w:next w:val="748"/>
    <w:link w:val="761"/>
    <w:uiPriority w:val="9"/>
    <w:qFormat/>
    <w:pPr>
      <w:keepLines/>
      <w:keepNext/>
      <w:spacing w:before="360" w:after="200"/>
      <w:outlineLvl w:val="1"/>
    </w:pPr>
    <w:rPr>
      <w:rFonts w:ascii="Arial" w:hAnsi="Arial" w:eastAsia="Arial" w:cs="Arial"/>
      <w:sz w:val="34"/>
    </w:rPr>
  </w:style>
  <w:style w:type="paragraph" w:styleId="751">
    <w:name w:val="标题 3"/>
    <w:basedOn w:val="748"/>
    <w:next w:val="763"/>
    <w:link w:val="762"/>
    <w:uiPriority w:val="9"/>
    <w:qFormat/>
    <w:pPr>
      <w:keepLines/>
      <w:keepNext/>
      <w:spacing w:before="320" w:after="200"/>
      <w:outlineLvl w:val="2"/>
    </w:pPr>
    <w:rPr>
      <w:rFonts w:ascii="Arial" w:hAnsi="Arial" w:eastAsia="Arial" w:cs="Arial"/>
      <w:sz w:val="30"/>
      <w:szCs w:val="30"/>
    </w:rPr>
  </w:style>
  <w:style w:type="paragraph" w:styleId="752">
    <w:name w:val="标题 4"/>
    <w:basedOn w:val="748"/>
    <w:next w:val="763"/>
    <w:link w:val="764"/>
    <w:uiPriority w:val="9"/>
    <w:qFormat/>
    <w:pPr>
      <w:keepLines/>
      <w:keepNext/>
      <w:spacing w:before="320" w:after="200"/>
      <w:outlineLvl w:val="3"/>
    </w:pPr>
    <w:rPr>
      <w:rFonts w:ascii="Arial" w:hAnsi="Arial" w:eastAsia="Arial" w:cs="Arial"/>
      <w:b/>
      <w:bCs/>
      <w:sz w:val="26"/>
      <w:szCs w:val="26"/>
    </w:rPr>
  </w:style>
  <w:style w:type="paragraph" w:styleId="753">
    <w:name w:val="标题 5"/>
    <w:basedOn w:val="748"/>
    <w:next w:val="748"/>
    <w:link w:val="765"/>
    <w:uiPriority w:val="9"/>
    <w:qFormat/>
    <w:pPr>
      <w:keepLines/>
      <w:keepNext/>
      <w:spacing w:before="320" w:after="200"/>
      <w:outlineLvl w:val="4"/>
    </w:pPr>
    <w:rPr>
      <w:rFonts w:ascii="Arial" w:hAnsi="Arial" w:eastAsia="Arial" w:cs="Arial"/>
      <w:b/>
      <w:bCs/>
      <w:sz w:val="24"/>
      <w:szCs w:val="24"/>
    </w:rPr>
  </w:style>
  <w:style w:type="paragraph" w:styleId="754">
    <w:name w:val="标题 6"/>
    <w:basedOn w:val="748"/>
    <w:next w:val="748"/>
    <w:link w:val="766"/>
    <w:uiPriority w:val="9"/>
    <w:qFormat/>
    <w:pPr>
      <w:keepLines/>
      <w:keepNext/>
      <w:spacing w:before="320" w:after="200"/>
      <w:outlineLvl w:val="5"/>
    </w:pPr>
    <w:rPr>
      <w:rFonts w:ascii="Arial" w:hAnsi="Arial" w:eastAsia="Arial" w:cs="Arial"/>
      <w:b/>
      <w:bCs/>
      <w:sz w:val="22"/>
      <w:szCs w:val="22"/>
    </w:rPr>
  </w:style>
  <w:style w:type="paragraph" w:styleId="755">
    <w:name w:val="标题 7"/>
    <w:basedOn w:val="748"/>
    <w:next w:val="748"/>
    <w:link w:val="767"/>
    <w:uiPriority w:val="9"/>
    <w:qFormat/>
    <w:pPr>
      <w:keepLines/>
      <w:keepNext/>
      <w:spacing w:before="320" w:after="200"/>
      <w:outlineLvl w:val="6"/>
    </w:pPr>
    <w:rPr>
      <w:rFonts w:ascii="Arial" w:hAnsi="Arial" w:eastAsia="Arial" w:cs="Arial"/>
      <w:b/>
      <w:bCs/>
      <w:i/>
      <w:iCs/>
      <w:sz w:val="22"/>
      <w:szCs w:val="22"/>
    </w:rPr>
  </w:style>
  <w:style w:type="paragraph" w:styleId="756">
    <w:name w:val="标题 8"/>
    <w:basedOn w:val="748"/>
    <w:next w:val="748"/>
    <w:link w:val="768"/>
    <w:uiPriority w:val="9"/>
    <w:qFormat/>
    <w:pPr>
      <w:keepLines/>
      <w:keepNext/>
      <w:spacing w:before="320" w:after="200"/>
      <w:outlineLvl w:val="7"/>
    </w:pPr>
    <w:rPr>
      <w:rFonts w:ascii="Arial" w:hAnsi="Arial" w:eastAsia="Arial" w:cs="Arial"/>
      <w:i/>
      <w:iCs/>
      <w:sz w:val="22"/>
      <w:szCs w:val="22"/>
    </w:rPr>
  </w:style>
  <w:style w:type="paragraph" w:styleId="757">
    <w:name w:val="标题 9"/>
    <w:basedOn w:val="748"/>
    <w:next w:val="748"/>
    <w:link w:val="769"/>
    <w:uiPriority w:val="9"/>
    <w:qFormat/>
    <w:pPr>
      <w:keepLines/>
      <w:keepNext/>
      <w:spacing w:before="320" w:after="200"/>
      <w:outlineLvl w:val="8"/>
    </w:pPr>
    <w:rPr>
      <w:rFonts w:ascii="Arial" w:hAnsi="Arial" w:eastAsia="Arial" w:cs="Arial"/>
      <w:i/>
      <w:iCs/>
      <w:sz w:val="21"/>
      <w:szCs w:val="21"/>
    </w:rPr>
  </w:style>
  <w:style w:type="character" w:styleId="758">
    <w:name w:val="默认段落字体"/>
    <w:next w:val="758"/>
    <w:link w:val="748"/>
    <w:uiPriority w:val="1"/>
    <w:unhideWhenUsed/>
    <w:qFormat/>
  </w:style>
  <w:style w:type="table" w:styleId="759">
    <w:name w:val="普通表格"/>
    <w:next w:val="759"/>
    <w:link w:val="748"/>
    <w:uiPriority w:val="99"/>
    <w:unhideWhenUsed/>
    <w:qFormat/>
    <w:tblPr/>
  </w:style>
  <w:style w:type="character" w:styleId="760">
    <w:name w:val="标题 1 字符"/>
    <w:next w:val="760"/>
    <w:link w:val="749"/>
    <w:uiPriority w:val="9"/>
    <w:qFormat/>
    <w:rPr>
      <w:rFonts w:ascii="Arial" w:hAnsi="Arial" w:eastAsia="Arial" w:cs="Arial"/>
      <w:sz w:val="40"/>
      <w:szCs w:val="40"/>
    </w:rPr>
  </w:style>
  <w:style w:type="character" w:styleId="761">
    <w:name w:val="标题 2 字符"/>
    <w:next w:val="761"/>
    <w:link w:val="750"/>
    <w:uiPriority w:val="9"/>
    <w:qFormat/>
    <w:rPr>
      <w:rFonts w:ascii="Arial" w:hAnsi="Arial" w:eastAsia="Arial" w:cs="Arial"/>
      <w:sz w:val="34"/>
    </w:rPr>
  </w:style>
  <w:style w:type="character" w:styleId="762">
    <w:name w:val="标题 3 字符"/>
    <w:next w:val="762"/>
    <w:link w:val="751"/>
    <w:uiPriority w:val="9"/>
    <w:qFormat/>
    <w:rPr>
      <w:rFonts w:ascii="Arial" w:hAnsi="Arial" w:eastAsia="Arial" w:cs="Arial"/>
      <w:sz w:val="30"/>
      <w:szCs w:val="30"/>
    </w:rPr>
  </w:style>
  <w:style w:type="paragraph" w:styleId="763">
    <w:name w:val="正文缩进"/>
    <w:basedOn w:val="748"/>
    <w:next w:val="763"/>
    <w:link w:val="748"/>
    <w:qFormat/>
    <w:pPr>
      <w:ind w:firstLine="420"/>
    </w:pPr>
  </w:style>
  <w:style w:type="character" w:styleId="764">
    <w:name w:val="标题 4 字符"/>
    <w:next w:val="764"/>
    <w:link w:val="752"/>
    <w:uiPriority w:val="9"/>
    <w:qFormat/>
    <w:rPr>
      <w:rFonts w:ascii="Arial" w:hAnsi="Arial" w:eastAsia="Arial" w:cs="Arial"/>
      <w:b/>
      <w:bCs/>
      <w:sz w:val="26"/>
      <w:szCs w:val="26"/>
    </w:rPr>
  </w:style>
  <w:style w:type="character" w:styleId="765">
    <w:name w:val="标题 5 字符"/>
    <w:next w:val="765"/>
    <w:link w:val="753"/>
    <w:uiPriority w:val="9"/>
    <w:qFormat/>
    <w:rPr>
      <w:rFonts w:ascii="Arial" w:hAnsi="Arial" w:eastAsia="Arial" w:cs="Arial"/>
      <w:b/>
      <w:bCs/>
      <w:sz w:val="24"/>
      <w:szCs w:val="24"/>
    </w:rPr>
  </w:style>
  <w:style w:type="character" w:styleId="766">
    <w:name w:val="标题 6 字符"/>
    <w:next w:val="766"/>
    <w:link w:val="754"/>
    <w:uiPriority w:val="9"/>
    <w:qFormat/>
    <w:rPr>
      <w:rFonts w:ascii="Arial" w:hAnsi="Arial" w:eastAsia="Arial" w:cs="Arial"/>
      <w:b/>
      <w:bCs/>
      <w:sz w:val="22"/>
      <w:szCs w:val="22"/>
    </w:rPr>
  </w:style>
  <w:style w:type="character" w:styleId="767">
    <w:name w:val="标题 7 字符"/>
    <w:next w:val="767"/>
    <w:link w:val="755"/>
    <w:uiPriority w:val="9"/>
    <w:qFormat/>
    <w:rPr>
      <w:rFonts w:ascii="Arial" w:hAnsi="Arial" w:eastAsia="Arial" w:cs="Arial"/>
      <w:b/>
      <w:bCs/>
      <w:i/>
      <w:iCs/>
      <w:sz w:val="22"/>
      <w:szCs w:val="22"/>
    </w:rPr>
  </w:style>
  <w:style w:type="character" w:styleId="768">
    <w:name w:val="标题 8 字符"/>
    <w:next w:val="768"/>
    <w:link w:val="756"/>
    <w:uiPriority w:val="9"/>
    <w:qFormat/>
    <w:rPr>
      <w:rFonts w:ascii="Arial" w:hAnsi="Arial" w:eastAsia="Arial" w:cs="Arial"/>
      <w:i/>
      <w:iCs/>
      <w:sz w:val="22"/>
      <w:szCs w:val="22"/>
    </w:rPr>
  </w:style>
  <w:style w:type="character" w:styleId="769">
    <w:name w:val="标题 9 字符"/>
    <w:next w:val="769"/>
    <w:link w:val="757"/>
    <w:uiPriority w:val="9"/>
    <w:qFormat/>
    <w:rPr>
      <w:rFonts w:ascii="Arial" w:hAnsi="Arial" w:eastAsia="Arial" w:cs="Arial"/>
      <w:i/>
      <w:iCs/>
      <w:sz w:val="21"/>
      <w:szCs w:val="21"/>
    </w:rPr>
  </w:style>
  <w:style w:type="paragraph" w:styleId="770">
    <w:name w:val="目录 7"/>
    <w:basedOn w:val="748"/>
    <w:next w:val="748"/>
    <w:link w:val="748"/>
    <w:uiPriority w:val="39"/>
    <w:unhideWhenUsed/>
    <w:qFormat/>
    <w:pPr>
      <w:ind w:left="1701" w:right="0" w:firstLine="0"/>
      <w:spacing w:after="57"/>
    </w:pPr>
  </w:style>
  <w:style w:type="paragraph" w:styleId="771">
    <w:name w:val="题注"/>
    <w:basedOn w:val="748"/>
    <w:next w:val="748"/>
    <w:link w:val="748"/>
    <w:uiPriority w:val="35"/>
    <w:qFormat/>
    <w:pPr>
      <w:spacing w:line="276" w:lineRule="auto"/>
    </w:pPr>
    <w:rPr>
      <w:b/>
      <w:bCs/>
      <w:color w:val="4f81bd"/>
      <w:sz w:val="18"/>
      <w:szCs w:val="18"/>
    </w:rPr>
  </w:style>
  <w:style w:type="paragraph" w:styleId="772">
    <w:name w:val="批注文字"/>
    <w:basedOn w:val="748"/>
    <w:next w:val="772"/>
    <w:link w:val="773"/>
    <w:uiPriority w:val="99"/>
    <w:unhideWhenUsed/>
    <w:qFormat/>
    <w:pPr>
      <w:jc w:val="left"/>
    </w:pPr>
  </w:style>
  <w:style w:type="character" w:styleId="773">
    <w:name w:val="批注文字 字符"/>
    <w:next w:val="773"/>
    <w:link w:val="772"/>
    <w:uiPriority w:val="99"/>
    <w:rPr>
      <w:sz w:val="21"/>
      <w:szCs w:val="21"/>
    </w:rPr>
  </w:style>
  <w:style w:type="paragraph" w:styleId="774">
    <w:name w:val="正文文本"/>
    <w:basedOn w:val="748"/>
    <w:next w:val="774"/>
    <w:link w:val="748"/>
    <w:uiPriority w:val="1"/>
    <w:qFormat/>
    <w:pPr>
      <w:ind w:left="120"/>
    </w:pPr>
    <w:rPr>
      <w:rFonts w:ascii="宋体" w:hAnsi="宋体" w:eastAsia="宋体" w:cs="宋体"/>
      <w:sz w:val="21"/>
      <w:szCs w:val="21"/>
      <w:lang w:val="zh-CN" w:eastAsia="zh-CN" w:bidi="zh-CN"/>
    </w:rPr>
  </w:style>
  <w:style w:type="paragraph" w:styleId="775">
    <w:name w:val="正文文本缩进"/>
    <w:basedOn w:val="748"/>
    <w:next w:val="776"/>
    <w:link w:val="748"/>
    <w:unhideWhenUsed/>
    <w:qFormat/>
    <w:pPr>
      <w:ind w:left="420"/>
      <w:spacing w:after="120"/>
    </w:pPr>
  </w:style>
  <w:style w:type="paragraph" w:styleId="776">
    <w:name w:val="寄信人地址"/>
    <w:basedOn w:val="748"/>
    <w:next w:val="776"/>
    <w:link w:val="748"/>
    <w:qFormat/>
    <w:rPr>
      <w:rFonts w:ascii="Arial" w:hAnsi="Arial" w:eastAsia="宋体" w:cs="宋体"/>
    </w:rPr>
  </w:style>
  <w:style w:type="paragraph" w:styleId="777">
    <w:name w:val="目录 5"/>
    <w:basedOn w:val="748"/>
    <w:next w:val="748"/>
    <w:link w:val="748"/>
    <w:uiPriority w:val="39"/>
    <w:unhideWhenUsed/>
    <w:qFormat/>
    <w:pPr>
      <w:ind w:left="1134" w:right="0" w:firstLine="0"/>
      <w:spacing w:after="57"/>
    </w:pPr>
  </w:style>
  <w:style w:type="paragraph" w:styleId="778">
    <w:name w:val="目录 3"/>
    <w:basedOn w:val="748"/>
    <w:next w:val="748"/>
    <w:link w:val="748"/>
    <w:uiPriority w:val="39"/>
    <w:unhideWhenUsed/>
    <w:qFormat/>
    <w:pPr>
      <w:ind w:left="567" w:right="0" w:firstLine="0"/>
      <w:spacing w:after="57"/>
    </w:pPr>
  </w:style>
  <w:style w:type="paragraph" w:styleId="779">
    <w:name w:val="纯文本"/>
    <w:basedOn w:val="748"/>
    <w:next w:val="779"/>
    <w:link w:val="748"/>
    <w:qFormat/>
    <w:rPr>
      <w:rFonts w:ascii="宋体" w:hAnsi="Courier New" w:cs="Courier New"/>
    </w:rPr>
  </w:style>
  <w:style w:type="paragraph" w:styleId="780">
    <w:name w:val="目录 8"/>
    <w:basedOn w:val="748"/>
    <w:next w:val="748"/>
    <w:link w:val="748"/>
    <w:uiPriority w:val="39"/>
    <w:unhideWhenUsed/>
    <w:qFormat/>
    <w:pPr>
      <w:ind w:left="1984" w:right="0" w:firstLine="0"/>
      <w:spacing w:after="57"/>
    </w:pPr>
  </w:style>
  <w:style w:type="paragraph" w:styleId="781">
    <w:name w:val="尾注文本"/>
    <w:basedOn w:val="748"/>
    <w:next w:val="781"/>
    <w:link w:val="782"/>
    <w:uiPriority w:val="99"/>
    <w:unhideWhenUsed/>
    <w:qFormat/>
    <w:pPr>
      <w:spacing w:after="0" w:line="240" w:lineRule="auto"/>
    </w:pPr>
    <w:rPr>
      <w:sz w:val="20"/>
    </w:rPr>
  </w:style>
  <w:style w:type="character" w:styleId="782">
    <w:name w:val="尾注文本 字符"/>
    <w:next w:val="782"/>
    <w:link w:val="781"/>
    <w:uiPriority w:val="99"/>
    <w:qFormat/>
    <w:rPr>
      <w:sz w:val="20"/>
    </w:rPr>
  </w:style>
  <w:style w:type="paragraph" w:styleId="783">
    <w:name w:val="页脚"/>
    <w:basedOn w:val="748"/>
    <w:next w:val="783"/>
    <w:link w:val="784"/>
    <w:uiPriority w:val="99"/>
    <w:unhideWhenUsed/>
    <w:qFormat/>
    <w:pPr>
      <w:spacing w:after="0" w:line="240" w:lineRule="auto"/>
      <w:tabs>
        <w:tab w:val="center" w:pos="7143" w:leader="none"/>
        <w:tab w:val="right" w:pos="14287" w:leader="none"/>
      </w:tabs>
    </w:pPr>
  </w:style>
  <w:style w:type="character" w:styleId="784">
    <w:name w:val="Footer Char"/>
    <w:next w:val="784"/>
    <w:link w:val="783"/>
    <w:uiPriority w:val="99"/>
    <w:qFormat/>
  </w:style>
  <w:style w:type="paragraph" w:styleId="785">
    <w:name w:val="页眉"/>
    <w:basedOn w:val="748"/>
    <w:next w:val="785"/>
    <w:link w:val="786"/>
    <w:uiPriority w:val="99"/>
    <w:unhideWhenUsed/>
    <w:qFormat/>
    <w:pPr>
      <w:spacing w:after="0" w:line="240" w:lineRule="auto"/>
      <w:tabs>
        <w:tab w:val="center" w:pos="7143" w:leader="none"/>
        <w:tab w:val="right" w:pos="14287" w:leader="none"/>
      </w:tabs>
    </w:pPr>
  </w:style>
  <w:style w:type="character" w:styleId="786">
    <w:name w:val="页眉 字符"/>
    <w:next w:val="786"/>
    <w:link w:val="785"/>
    <w:uiPriority w:val="99"/>
    <w:qFormat/>
  </w:style>
  <w:style w:type="paragraph" w:styleId="787">
    <w:name w:val="目录 1"/>
    <w:basedOn w:val="748"/>
    <w:next w:val="748"/>
    <w:link w:val="748"/>
    <w:uiPriority w:val="39"/>
    <w:unhideWhenUsed/>
    <w:qFormat/>
    <w:pPr>
      <w:ind w:left="0" w:right="0" w:firstLine="0"/>
      <w:spacing w:after="57"/>
    </w:pPr>
  </w:style>
  <w:style w:type="paragraph" w:styleId="788">
    <w:name w:val="目录 4"/>
    <w:basedOn w:val="748"/>
    <w:next w:val="748"/>
    <w:link w:val="748"/>
    <w:uiPriority w:val="39"/>
    <w:unhideWhenUsed/>
    <w:qFormat/>
    <w:pPr>
      <w:ind w:left="850" w:right="0" w:firstLine="0"/>
      <w:spacing w:after="57"/>
    </w:pPr>
  </w:style>
  <w:style w:type="paragraph" w:styleId="789">
    <w:name w:val="副标题"/>
    <w:basedOn w:val="748"/>
    <w:next w:val="748"/>
    <w:link w:val="790"/>
    <w:uiPriority w:val="11"/>
    <w:qFormat/>
    <w:pPr>
      <w:spacing w:before="200" w:after="200"/>
    </w:pPr>
    <w:rPr>
      <w:sz w:val="24"/>
      <w:szCs w:val="24"/>
    </w:rPr>
  </w:style>
  <w:style w:type="character" w:styleId="790">
    <w:name w:val="副标题 字符"/>
    <w:next w:val="790"/>
    <w:link w:val="789"/>
    <w:uiPriority w:val="11"/>
    <w:qFormat/>
    <w:rPr>
      <w:sz w:val="24"/>
      <w:szCs w:val="24"/>
    </w:rPr>
  </w:style>
  <w:style w:type="paragraph" w:styleId="791">
    <w:name w:val="脚注文本"/>
    <w:basedOn w:val="748"/>
    <w:next w:val="791"/>
    <w:link w:val="792"/>
    <w:uiPriority w:val="99"/>
    <w:unhideWhenUsed/>
    <w:qFormat/>
    <w:pPr>
      <w:spacing w:after="40" w:line="240" w:lineRule="auto"/>
    </w:pPr>
    <w:rPr>
      <w:sz w:val="18"/>
    </w:rPr>
  </w:style>
  <w:style w:type="character" w:styleId="792">
    <w:name w:val="脚注文本 字符"/>
    <w:next w:val="792"/>
    <w:link w:val="791"/>
    <w:uiPriority w:val="99"/>
    <w:qFormat/>
    <w:rPr>
      <w:sz w:val="18"/>
    </w:rPr>
  </w:style>
  <w:style w:type="paragraph" w:styleId="793">
    <w:name w:val="目录 6"/>
    <w:basedOn w:val="748"/>
    <w:next w:val="748"/>
    <w:link w:val="748"/>
    <w:uiPriority w:val="39"/>
    <w:unhideWhenUsed/>
    <w:qFormat/>
    <w:pPr>
      <w:ind w:left="1417" w:right="0" w:firstLine="0"/>
      <w:spacing w:after="57"/>
    </w:pPr>
  </w:style>
  <w:style w:type="paragraph" w:styleId="794">
    <w:name w:val="图表目录"/>
    <w:basedOn w:val="748"/>
    <w:next w:val="748"/>
    <w:link w:val="748"/>
    <w:uiPriority w:val="99"/>
    <w:unhideWhenUsed/>
    <w:qFormat/>
    <w:pPr>
      <w:spacing w:after="0" w:afterAutospacing="0"/>
    </w:pPr>
  </w:style>
  <w:style w:type="paragraph" w:styleId="795">
    <w:name w:val="目录 2"/>
    <w:basedOn w:val="748"/>
    <w:next w:val="748"/>
    <w:link w:val="748"/>
    <w:uiPriority w:val="39"/>
    <w:unhideWhenUsed/>
    <w:qFormat/>
    <w:pPr>
      <w:ind w:left="283" w:right="0" w:firstLine="0"/>
      <w:spacing w:after="57"/>
    </w:pPr>
  </w:style>
  <w:style w:type="paragraph" w:styleId="796">
    <w:name w:val="目录 9"/>
    <w:basedOn w:val="748"/>
    <w:next w:val="748"/>
    <w:link w:val="748"/>
    <w:uiPriority w:val="39"/>
    <w:unhideWhenUsed/>
    <w:qFormat/>
    <w:pPr>
      <w:ind w:left="2268" w:right="0" w:firstLine="0"/>
      <w:spacing w:after="57"/>
    </w:pPr>
  </w:style>
  <w:style w:type="paragraph" w:styleId="797">
    <w:name w:val="普通(网站)"/>
    <w:basedOn w:val="748"/>
    <w:next w:val="797"/>
    <w:link w:val="748"/>
    <w:uiPriority w:val="99"/>
    <w:qFormat/>
    <w:pPr>
      <w:jc w:val="left"/>
      <w:spacing w:before="100" w:beforeAutospacing="1" w:after="100" w:afterAutospacing="1"/>
      <w:widowControl/>
    </w:pPr>
    <w:rPr>
      <w:rFonts w:ascii="宋体" w:hAnsi="宋体" w:cs="宋体"/>
      <w:sz w:val="24"/>
      <w:szCs w:val="24"/>
    </w:rPr>
  </w:style>
  <w:style w:type="paragraph" w:styleId="798">
    <w:name w:val="标题"/>
    <w:basedOn w:val="748"/>
    <w:next w:val="748"/>
    <w:link w:val="799"/>
    <w:uiPriority w:val="10"/>
    <w:qFormat/>
    <w:pPr>
      <w:contextualSpacing/>
      <w:spacing w:before="300" w:after="200"/>
    </w:pPr>
    <w:rPr>
      <w:sz w:val="48"/>
      <w:szCs w:val="48"/>
    </w:rPr>
  </w:style>
  <w:style w:type="character" w:styleId="799">
    <w:name w:val="标题 字符"/>
    <w:next w:val="799"/>
    <w:link w:val="798"/>
    <w:uiPriority w:val="10"/>
    <w:qFormat/>
    <w:rPr>
      <w:sz w:val="48"/>
      <w:szCs w:val="48"/>
    </w:rPr>
  </w:style>
  <w:style w:type="paragraph" w:styleId="800">
    <w:name w:val="批注主题"/>
    <w:basedOn w:val="772"/>
    <w:next w:val="772"/>
    <w:link w:val="801"/>
    <w:uiPriority w:val="99"/>
    <w:unhideWhenUsed/>
    <w:rPr>
      <w:b/>
      <w:bCs/>
    </w:rPr>
  </w:style>
  <w:style w:type="character" w:styleId="801">
    <w:name w:val="批注主题 字符"/>
    <w:next w:val="801"/>
    <w:link w:val="800"/>
    <w:uiPriority w:val="99"/>
    <w:semiHidden/>
    <w:rPr>
      <w:b/>
      <w:bCs/>
      <w:sz w:val="21"/>
      <w:szCs w:val="21"/>
    </w:rPr>
  </w:style>
  <w:style w:type="paragraph" w:styleId="802">
    <w:name w:val="正文首行缩进 2"/>
    <w:basedOn w:val="775"/>
    <w:next w:val="748"/>
    <w:link w:val="748"/>
    <w:qFormat/>
    <w:pPr>
      <w:ind w:left="0" w:firstLine="420"/>
      <w:spacing w:after="0" w:line="360" w:lineRule="auto"/>
    </w:pPr>
    <w:rPr>
      <w:rFonts w:ascii="宋体" w:hAnsi="宋体" w:eastAsia="宋体" w:cs="Times New Roman"/>
      <w:szCs w:val="20"/>
    </w:rPr>
  </w:style>
  <w:style w:type="table" w:styleId="803">
    <w:name w:val="网格型"/>
    <w:next w:val="803"/>
    <w:link w:val="748"/>
    <w:uiPriority w:val="59"/>
    <w:qFormat/>
    <w:rPr>
      <w:lang w:val="en-US" w:eastAsia="zh-CN" w:bidi="ar-SA"/>
    </w:rPr>
    <w:tblPr/>
  </w:style>
  <w:style w:type="character" w:styleId="804">
    <w:name w:val="要点"/>
    <w:basedOn w:val="758"/>
    <w:next w:val="804"/>
    <w:link w:val="748"/>
    <w:uiPriority w:val="22"/>
    <w:qFormat/>
    <w:rPr>
      <w:b/>
    </w:rPr>
  </w:style>
  <w:style w:type="character" w:styleId="805">
    <w:name w:val="尾注引用"/>
    <w:next w:val="805"/>
    <w:link w:val="748"/>
    <w:uiPriority w:val="99"/>
    <w:unhideWhenUsed/>
    <w:qFormat/>
    <w:rPr>
      <w:vertAlign w:val="superscript"/>
    </w:rPr>
  </w:style>
  <w:style w:type="character" w:styleId="806">
    <w:name w:val="页码"/>
    <w:next w:val="806"/>
    <w:link w:val="748"/>
    <w:qFormat/>
  </w:style>
  <w:style w:type="character" w:styleId="807">
    <w:name w:val="已访问的超链接"/>
    <w:next w:val="807"/>
    <w:link w:val="748"/>
    <w:qFormat/>
    <w:rPr>
      <w:color w:val="800080"/>
      <w:u w:val="single"/>
    </w:rPr>
  </w:style>
  <w:style w:type="character" w:styleId="808">
    <w:name w:val="超链接"/>
    <w:next w:val="808"/>
    <w:link w:val="748"/>
    <w:uiPriority w:val="99"/>
    <w:unhideWhenUsed/>
    <w:qFormat/>
    <w:rPr>
      <w:color w:val="0000ff"/>
      <w:u w:val="single"/>
    </w:rPr>
  </w:style>
  <w:style w:type="character" w:styleId="809">
    <w:name w:val="批注引用"/>
    <w:next w:val="809"/>
    <w:link w:val="748"/>
    <w:uiPriority w:val="99"/>
    <w:unhideWhenUsed/>
    <w:rPr>
      <w:sz w:val="21"/>
      <w:szCs w:val="21"/>
    </w:rPr>
  </w:style>
  <w:style w:type="character" w:styleId="810">
    <w:name w:val="脚注引用"/>
    <w:next w:val="810"/>
    <w:link w:val="748"/>
    <w:uiPriority w:val="99"/>
    <w:unhideWhenUsed/>
    <w:qFormat/>
    <w:rPr>
      <w:vertAlign w:val="superscript"/>
    </w:rPr>
  </w:style>
  <w:style w:type="character" w:styleId="811">
    <w:name w:val="页脚 字符"/>
    <w:next w:val="811"/>
    <w:link w:val="783"/>
    <w:uiPriority w:val="99"/>
    <w:qFormat/>
  </w:style>
  <w:style w:type="paragraph" w:styleId="812">
    <w:name w:val="索引 41"/>
    <w:basedOn w:val="748"/>
    <w:next w:val="748"/>
    <w:link w:val="748"/>
    <w:semiHidden/>
    <w:qFormat/>
    <w:pPr>
      <w:ind w:left="1260"/>
    </w:pPr>
    <w:rPr>
      <w:rFonts w:ascii="Calibri" w:hAnsi="Calibri" w:eastAsia="Calibri" w:cs="宋体"/>
      <w:sz w:val="20"/>
      <w:lang w:val="zh-CN"/>
    </w:rPr>
  </w:style>
  <w:style w:type="paragraph" w:styleId="813">
    <w:name w:val="正文文本121"/>
    <w:basedOn w:val="748"/>
    <w:next w:val="813"/>
    <w:link w:val="748"/>
    <w:qFormat/>
    <w:pPr>
      <w:ind w:left="120"/>
    </w:pPr>
    <w:rPr>
      <w:rFonts w:ascii="宋体" w:eastAsia="宋体" w:cs="宋体"/>
      <w:sz w:val="21"/>
      <w:szCs w:val="21"/>
      <w:lang w:val="zh-CN" w:eastAsia="zh-CN" w:bidi="zh-CN"/>
    </w:rPr>
  </w:style>
  <w:style w:type="paragraph" w:styleId="814">
    <w:name w:val="列表段落"/>
    <w:basedOn w:val="748"/>
    <w:next w:val="814"/>
    <w:link w:val="748"/>
    <w:uiPriority w:val="34"/>
    <w:qFormat/>
    <w:pPr>
      <w:contextualSpacing/>
      <w:ind w:left="720"/>
    </w:pPr>
  </w:style>
  <w:style w:type="paragraph" w:styleId="815">
    <w:name w:val="无间隔"/>
    <w:next w:val="815"/>
    <w:link w:val="748"/>
    <w:uiPriority w:val="1"/>
    <w:qFormat/>
    <w:rPr>
      <w:lang w:val="en-US" w:eastAsia="zh-CN" w:bidi="ar-SA"/>
    </w:rPr>
  </w:style>
  <w:style w:type="paragraph" w:styleId="816">
    <w:name w:val="引用"/>
    <w:basedOn w:val="748"/>
    <w:next w:val="748"/>
    <w:link w:val="817"/>
    <w:uiPriority w:val="29"/>
    <w:qFormat/>
    <w:pPr>
      <w:ind w:left="720" w:right="720"/>
    </w:pPr>
    <w:rPr>
      <w:i/>
    </w:rPr>
  </w:style>
  <w:style w:type="character" w:styleId="817">
    <w:name w:val="引用 字符"/>
    <w:next w:val="817"/>
    <w:link w:val="816"/>
    <w:uiPriority w:val="29"/>
    <w:qFormat/>
    <w:rPr>
      <w:i/>
    </w:rPr>
  </w:style>
  <w:style w:type="paragraph" w:styleId="818">
    <w:name w:val="明显引用"/>
    <w:basedOn w:val="748"/>
    <w:next w:val="74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明显引用 字符"/>
    <w:next w:val="819"/>
    <w:link w:val="818"/>
    <w:uiPriority w:val="30"/>
    <w:qFormat/>
    <w:rPr>
      <w:i/>
    </w:rPr>
  </w:style>
  <w:style w:type="table" w:styleId="820">
    <w:name w:val="Table Grid Light"/>
    <w:next w:val="820"/>
    <w:link w:val="748"/>
    <w:uiPriority w:val="59"/>
    <w:qFormat/>
    <w:rPr>
      <w:lang w:val="en-US" w:eastAsia="zh-CN" w:bidi="ar-SA"/>
    </w:rPr>
    <w:tblPr/>
  </w:style>
  <w:style w:type="table" w:styleId="821">
    <w:name w:val="Plain Table 1"/>
    <w:next w:val="821"/>
    <w:link w:val="748"/>
    <w:uiPriority w:val="59"/>
    <w:qFormat/>
    <w:rPr>
      <w:lang w:val="en-US" w:eastAsia="zh-CN" w:bidi="ar-SA"/>
    </w:rPr>
    <w:tblPr/>
  </w:style>
  <w:style w:type="table" w:styleId="822">
    <w:name w:val="Plain Table 2"/>
    <w:next w:val="822"/>
    <w:link w:val="748"/>
    <w:uiPriority w:val="59"/>
    <w:qFormat/>
    <w:rPr>
      <w:lang w:val="en-US" w:eastAsia="zh-CN" w:bidi="ar-SA"/>
    </w:rPr>
    <w:tblPr/>
  </w:style>
  <w:style w:type="table" w:styleId="823">
    <w:name w:val="Plain Table 3"/>
    <w:next w:val="823"/>
    <w:link w:val="748"/>
    <w:uiPriority w:val="99"/>
    <w:qFormat/>
    <w:rPr>
      <w:lang w:val="en-US" w:eastAsia="zh-CN" w:bidi="ar-SA"/>
    </w:rPr>
    <w:tblPr/>
  </w:style>
  <w:style w:type="table" w:styleId="824">
    <w:name w:val="Plain Table 4"/>
    <w:next w:val="824"/>
    <w:link w:val="748"/>
    <w:uiPriority w:val="99"/>
    <w:qFormat/>
    <w:rPr>
      <w:lang w:val="en-US" w:eastAsia="zh-CN" w:bidi="ar-SA"/>
    </w:rPr>
    <w:tblPr/>
  </w:style>
  <w:style w:type="table" w:styleId="825">
    <w:name w:val="Plain Table 5"/>
    <w:next w:val="825"/>
    <w:link w:val="748"/>
    <w:uiPriority w:val="99"/>
    <w:qFormat/>
    <w:rPr>
      <w:lang w:val="en-US" w:eastAsia="zh-CN" w:bidi="ar-SA"/>
    </w:rPr>
    <w:tblPr/>
  </w:style>
  <w:style w:type="table" w:styleId="826">
    <w:name w:val="Grid Table 1 Light"/>
    <w:next w:val="826"/>
    <w:link w:val="748"/>
    <w:uiPriority w:val="99"/>
    <w:qFormat/>
    <w:rPr>
      <w:lang w:val="en-US" w:eastAsia="zh-CN" w:bidi="ar-SA"/>
    </w:rPr>
    <w:tblPr/>
  </w:style>
  <w:style w:type="table" w:styleId="827">
    <w:name w:val="Grid Table 1 Light - Accent 1"/>
    <w:next w:val="827"/>
    <w:link w:val="748"/>
    <w:uiPriority w:val="99"/>
    <w:qFormat/>
    <w:rPr>
      <w:lang w:val="en-US" w:eastAsia="zh-CN" w:bidi="ar-SA"/>
    </w:rPr>
    <w:tblPr/>
  </w:style>
  <w:style w:type="table" w:styleId="828">
    <w:name w:val="Grid Table 1 Light - Accent 2"/>
    <w:next w:val="828"/>
    <w:link w:val="748"/>
    <w:uiPriority w:val="99"/>
    <w:qFormat/>
    <w:rPr>
      <w:lang w:val="en-US" w:eastAsia="zh-CN" w:bidi="ar-SA"/>
    </w:rPr>
    <w:tblPr/>
  </w:style>
  <w:style w:type="table" w:styleId="829">
    <w:name w:val="Grid Table 1 Light - Accent 3"/>
    <w:next w:val="829"/>
    <w:link w:val="748"/>
    <w:uiPriority w:val="99"/>
    <w:qFormat/>
    <w:rPr>
      <w:lang w:val="en-US" w:eastAsia="zh-CN" w:bidi="ar-SA"/>
    </w:rPr>
    <w:tblPr/>
  </w:style>
  <w:style w:type="table" w:styleId="830">
    <w:name w:val="Grid Table 1 Light - Accent 4"/>
    <w:next w:val="830"/>
    <w:link w:val="748"/>
    <w:uiPriority w:val="99"/>
    <w:qFormat/>
    <w:rPr>
      <w:lang w:val="en-US" w:eastAsia="zh-CN" w:bidi="ar-SA"/>
    </w:rPr>
    <w:tblPr/>
  </w:style>
  <w:style w:type="table" w:styleId="831">
    <w:name w:val="Grid Table 1 Light - Accent 5"/>
    <w:next w:val="831"/>
    <w:link w:val="748"/>
    <w:uiPriority w:val="99"/>
    <w:qFormat/>
    <w:rPr>
      <w:lang w:val="en-US" w:eastAsia="zh-CN" w:bidi="ar-SA"/>
    </w:rPr>
    <w:tblPr/>
  </w:style>
  <w:style w:type="table" w:styleId="832">
    <w:name w:val="Grid Table 1 Light - Accent 6"/>
    <w:next w:val="832"/>
    <w:link w:val="748"/>
    <w:uiPriority w:val="99"/>
    <w:qFormat/>
    <w:rPr>
      <w:lang w:val="en-US" w:eastAsia="zh-CN" w:bidi="ar-SA"/>
    </w:rPr>
    <w:tblPr/>
  </w:style>
  <w:style w:type="table" w:styleId="833">
    <w:name w:val="Grid Table 2"/>
    <w:next w:val="833"/>
    <w:link w:val="748"/>
    <w:uiPriority w:val="99"/>
    <w:qFormat/>
    <w:rPr>
      <w:lang w:val="en-US" w:eastAsia="zh-CN" w:bidi="ar-SA"/>
    </w:rPr>
    <w:tblPr/>
  </w:style>
  <w:style w:type="table" w:styleId="834">
    <w:name w:val="Grid Table 2 - Accent 1"/>
    <w:next w:val="834"/>
    <w:link w:val="748"/>
    <w:uiPriority w:val="99"/>
    <w:qFormat/>
    <w:rPr>
      <w:lang w:val="en-US" w:eastAsia="zh-CN" w:bidi="ar-SA"/>
    </w:rPr>
    <w:tblPr/>
  </w:style>
  <w:style w:type="table" w:styleId="835">
    <w:name w:val="Grid Table 2 - Accent 2"/>
    <w:next w:val="835"/>
    <w:link w:val="748"/>
    <w:uiPriority w:val="99"/>
    <w:qFormat/>
    <w:rPr>
      <w:lang w:val="en-US" w:eastAsia="zh-CN" w:bidi="ar-SA"/>
    </w:rPr>
    <w:tblPr/>
  </w:style>
  <w:style w:type="table" w:styleId="836">
    <w:name w:val="Grid Table 2 - Accent 3"/>
    <w:next w:val="836"/>
    <w:link w:val="748"/>
    <w:uiPriority w:val="99"/>
    <w:qFormat/>
    <w:rPr>
      <w:lang w:val="en-US" w:eastAsia="zh-CN" w:bidi="ar-SA"/>
    </w:rPr>
    <w:tblPr/>
  </w:style>
  <w:style w:type="table" w:styleId="837">
    <w:name w:val="Grid Table 2 - Accent 4"/>
    <w:next w:val="837"/>
    <w:link w:val="748"/>
    <w:uiPriority w:val="99"/>
    <w:qFormat/>
    <w:rPr>
      <w:lang w:val="en-US" w:eastAsia="zh-CN" w:bidi="ar-SA"/>
    </w:rPr>
    <w:tblPr/>
  </w:style>
  <w:style w:type="table" w:styleId="838">
    <w:name w:val="Grid Table 2 - Accent 5"/>
    <w:next w:val="838"/>
    <w:link w:val="748"/>
    <w:uiPriority w:val="99"/>
    <w:qFormat/>
    <w:rPr>
      <w:lang w:val="en-US" w:eastAsia="zh-CN" w:bidi="ar-SA"/>
    </w:rPr>
    <w:tblPr/>
  </w:style>
  <w:style w:type="table" w:styleId="839">
    <w:name w:val="Grid Table 2 - Accent 6"/>
    <w:next w:val="839"/>
    <w:link w:val="748"/>
    <w:uiPriority w:val="99"/>
    <w:qFormat/>
    <w:rPr>
      <w:lang w:val="en-US" w:eastAsia="zh-CN" w:bidi="ar-SA"/>
    </w:rPr>
    <w:tblPr/>
  </w:style>
  <w:style w:type="table" w:styleId="840">
    <w:name w:val="Grid Table 3"/>
    <w:next w:val="840"/>
    <w:link w:val="748"/>
    <w:uiPriority w:val="99"/>
    <w:qFormat/>
    <w:rPr>
      <w:lang w:val="en-US" w:eastAsia="zh-CN" w:bidi="ar-SA"/>
    </w:rPr>
    <w:tblPr/>
  </w:style>
  <w:style w:type="table" w:styleId="841">
    <w:name w:val="Grid Table 3 - Accent 1"/>
    <w:next w:val="841"/>
    <w:link w:val="748"/>
    <w:uiPriority w:val="99"/>
    <w:qFormat/>
    <w:rPr>
      <w:lang w:val="en-US" w:eastAsia="zh-CN" w:bidi="ar-SA"/>
    </w:rPr>
    <w:tblPr/>
  </w:style>
  <w:style w:type="table" w:styleId="842">
    <w:name w:val="Grid Table 3 - Accent 2"/>
    <w:next w:val="842"/>
    <w:link w:val="748"/>
    <w:uiPriority w:val="99"/>
    <w:qFormat/>
    <w:rPr>
      <w:lang w:val="en-US" w:eastAsia="zh-CN" w:bidi="ar-SA"/>
    </w:rPr>
    <w:tblPr/>
  </w:style>
  <w:style w:type="table" w:styleId="843">
    <w:name w:val="Grid Table 3 - Accent 3"/>
    <w:next w:val="843"/>
    <w:link w:val="748"/>
    <w:uiPriority w:val="99"/>
    <w:qFormat/>
    <w:rPr>
      <w:lang w:val="en-US" w:eastAsia="zh-CN" w:bidi="ar-SA"/>
    </w:rPr>
    <w:tblPr/>
  </w:style>
  <w:style w:type="table" w:styleId="844">
    <w:name w:val="Grid Table 3 - Accent 4"/>
    <w:next w:val="844"/>
    <w:link w:val="748"/>
    <w:uiPriority w:val="99"/>
    <w:qFormat/>
    <w:rPr>
      <w:lang w:val="en-US" w:eastAsia="zh-CN" w:bidi="ar-SA"/>
    </w:rPr>
    <w:tblPr/>
  </w:style>
  <w:style w:type="table" w:styleId="845">
    <w:name w:val="Grid Table 3 - Accent 5"/>
    <w:next w:val="845"/>
    <w:link w:val="748"/>
    <w:uiPriority w:val="99"/>
    <w:qFormat/>
    <w:rPr>
      <w:lang w:val="en-US" w:eastAsia="zh-CN" w:bidi="ar-SA"/>
    </w:rPr>
    <w:tblPr/>
  </w:style>
  <w:style w:type="table" w:styleId="846">
    <w:name w:val="Grid Table 3 - Accent 6"/>
    <w:next w:val="846"/>
    <w:link w:val="748"/>
    <w:uiPriority w:val="99"/>
    <w:qFormat/>
    <w:rPr>
      <w:lang w:val="en-US" w:eastAsia="zh-CN" w:bidi="ar-SA"/>
    </w:rPr>
    <w:tblPr/>
  </w:style>
  <w:style w:type="table" w:styleId="847">
    <w:name w:val="Grid Table 4"/>
    <w:next w:val="847"/>
    <w:link w:val="748"/>
    <w:uiPriority w:val="59"/>
    <w:qFormat/>
    <w:rPr>
      <w:lang w:val="en-US" w:eastAsia="zh-CN" w:bidi="ar-SA"/>
    </w:rPr>
    <w:tblPr/>
  </w:style>
  <w:style w:type="table" w:styleId="848">
    <w:name w:val="Grid Table 4 - Accent 1"/>
    <w:next w:val="848"/>
    <w:link w:val="748"/>
    <w:uiPriority w:val="59"/>
    <w:qFormat/>
    <w:rPr>
      <w:lang w:val="en-US" w:eastAsia="zh-CN" w:bidi="ar-SA"/>
    </w:rPr>
    <w:tblPr/>
  </w:style>
  <w:style w:type="table" w:styleId="849">
    <w:name w:val="Grid Table 4 - Accent 2"/>
    <w:next w:val="849"/>
    <w:link w:val="748"/>
    <w:uiPriority w:val="59"/>
    <w:qFormat/>
    <w:rPr>
      <w:lang w:val="en-US" w:eastAsia="zh-CN" w:bidi="ar-SA"/>
    </w:rPr>
    <w:tblPr/>
  </w:style>
  <w:style w:type="table" w:styleId="850">
    <w:name w:val="Grid Table 4 - Accent 3"/>
    <w:next w:val="850"/>
    <w:link w:val="748"/>
    <w:uiPriority w:val="59"/>
    <w:qFormat/>
    <w:rPr>
      <w:lang w:val="en-US" w:eastAsia="zh-CN" w:bidi="ar-SA"/>
    </w:rPr>
    <w:tblPr/>
  </w:style>
  <w:style w:type="table" w:styleId="851">
    <w:name w:val="Grid Table 4 - Accent 4"/>
    <w:next w:val="851"/>
    <w:link w:val="748"/>
    <w:uiPriority w:val="59"/>
    <w:qFormat/>
    <w:rPr>
      <w:lang w:val="en-US" w:eastAsia="zh-CN" w:bidi="ar-SA"/>
    </w:rPr>
    <w:tblPr/>
  </w:style>
  <w:style w:type="table" w:styleId="852">
    <w:name w:val="Grid Table 4 - Accent 5"/>
    <w:next w:val="852"/>
    <w:link w:val="748"/>
    <w:uiPriority w:val="59"/>
    <w:qFormat/>
    <w:rPr>
      <w:lang w:val="en-US" w:eastAsia="zh-CN" w:bidi="ar-SA"/>
    </w:rPr>
    <w:tblPr/>
  </w:style>
  <w:style w:type="table" w:styleId="853">
    <w:name w:val="Grid Table 4 - Accent 6"/>
    <w:next w:val="853"/>
    <w:link w:val="748"/>
    <w:uiPriority w:val="59"/>
    <w:qFormat/>
    <w:rPr>
      <w:lang w:val="en-US" w:eastAsia="zh-CN" w:bidi="ar-SA"/>
    </w:rPr>
    <w:tblPr/>
  </w:style>
  <w:style w:type="table" w:styleId="854">
    <w:name w:val="Grid Table 5 Dark"/>
    <w:next w:val="854"/>
    <w:link w:val="748"/>
    <w:uiPriority w:val="99"/>
    <w:qFormat/>
    <w:rPr>
      <w:lang w:val="en-US" w:eastAsia="zh-CN" w:bidi="ar-SA"/>
    </w:rPr>
    <w:tblPr/>
  </w:style>
  <w:style w:type="table" w:styleId="855">
    <w:name w:val="Grid Table 5 Dark- Accent 1"/>
    <w:next w:val="855"/>
    <w:link w:val="748"/>
    <w:uiPriority w:val="99"/>
    <w:qFormat/>
    <w:rPr>
      <w:lang w:val="en-US" w:eastAsia="zh-CN" w:bidi="ar-SA"/>
    </w:rPr>
    <w:tblPr/>
  </w:style>
  <w:style w:type="table" w:styleId="856">
    <w:name w:val="Grid Table 5 Dark - Accent 2"/>
    <w:next w:val="856"/>
    <w:link w:val="748"/>
    <w:uiPriority w:val="99"/>
    <w:qFormat/>
    <w:rPr>
      <w:lang w:val="en-US" w:eastAsia="zh-CN" w:bidi="ar-SA"/>
    </w:rPr>
    <w:tblPr/>
  </w:style>
  <w:style w:type="table" w:styleId="857">
    <w:name w:val="Grid Table 5 Dark - Accent 3"/>
    <w:next w:val="857"/>
    <w:link w:val="748"/>
    <w:uiPriority w:val="99"/>
    <w:qFormat/>
    <w:rPr>
      <w:lang w:val="en-US" w:eastAsia="zh-CN" w:bidi="ar-SA"/>
    </w:rPr>
    <w:tblPr/>
  </w:style>
  <w:style w:type="table" w:styleId="858">
    <w:name w:val="Grid Table 5 Dark- Accent 4"/>
    <w:next w:val="858"/>
    <w:link w:val="748"/>
    <w:uiPriority w:val="99"/>
    <w:qFormat/>
    <w:rPr>
      <w:lang w:val="en-US" w:eastAsia="zh-CN" w:bidi="ar-SA"/>
    </w:rPr>
    <w:tblPr/>
  </w:style>
  <w:style w:type="table" w:styleId="859">
    <w:name w:val="Grid Table 5 Dark - Accent 5"/>
    <w:next w:val="859"/>
    <w:link w:val="748"/>
    <w:uiPriority w:val="99"/>
    <w:qFormat/>
    <w:rPr>
      <w:lang w:val="en-US" w:eastAsia="zh-CN" w:bidi="ar-SA"/>
    </w:rPr>
    <w:tblPr/>
  </w:style>
  <w:style w:type="table" w:styleId="860">
    <w:name w:val="Grid Table 5 Dark - Accent 6"/>
    <w:next w:val="860"/>
    <w:link w:val="748"/>
    <w:uiPriority w:val="99"/>
    <w:qFormat/>
    <w:rPr>
      <w:lang w:val="en-US" w:eastAsia="zh-CN" w:bidi="ar-SA"/>
    </w:rPr>
    <w:tblPr/>
  </w:style>
  <w:style w:type="table" w:styleId="861">
    <w:name w:val="Grid Table 6 Colorful"/>
    <w:next w:val="861"/>
    <w:link w:val="748"/>
    <w:uiPriority w:val="99"/>
    <w:qFormat/>
    <w:rPr>
      <w:lang w:val="en-US" w:eastAsia="zh-CN" w:bidi="ar-SA"/>
    </w:rPr>
    <w:tblPr/>
  </w:style>
  <w:style w:type="table" w:styleId="862">
    <w:name w:val="Grid Table 6 Colorful - Accent 1"/>
    <w:next w:val="862"/>
    <w:link w:val="748"/>
    <w:uiPriority w:val="99"/>
    <w:qFormat/>
    <w:rPr>
      <w:lang w:val="en-US" w:eastAsia="zh-CN" w:bidi="ar-SA"/>
    </w:rPr>
    <w:tblPr/>
  </w:style>
  <w:style w:type="table" w:styleId="863">
    <w:name w:val="Grid Table 6 Colorful - Accent 2"/>
    <w:next w:val="863"/>
    <w:link w:val="748"/>
    <w:uiPriority w:val="99"/>
    <w:qFormat/>
    <w:rPr>
      <w:lang w:val="en-US" w:eastAsia="zh-CN" w:bidi="ar-SA"/>
    </w:rPr>
    <w:tblPr/>
  </w:style>
  <w:style w:type="table" w:styleId="864">
    <w:name w:val="Grid Table 6 Colorful - Accent 3"/>
    <w:next w:val="864"/>
    <w:link w:val="748"/>
    <w:uiPriority w:val="99"/>
    <w:qFormat/>
    <w:rPr>
      <w:lang w:val="en-US" w:eastAsia="zh-CN" w:bidi="ar-SA"/>
    </w:rPr>
    <w:tblPr/>
  </w:style>
  <w:style w:type="table" w:styleId="865">
    <w:name w:val="Grid Table 6 Colorful - Accent 4"/>
    <w:next w:val="865"/>
    <w:link w:val="748"/>
    <w:uiPriority w:val="99"/>
    <w:qFormat/>
    <w:rPr>
      <w:lang w:val="en-US" w:eastAsia="zh-CN" w:bidi="ar-SA"/>
    </w:rPr>
    <w:tblPr/>
  </w:style>
  <w:style w:type="table" w:styleId="866">
    <w:name w:val="Grid Table 6 Colorful - Accent 5"/>
    <w:next w:val="866"/>
    <w:link w:val="748"/>
    <w:uiPriority w:val="99"/>
    <w:qFormat/>
    <w:rPr>
      <w:lang w:val="en-US" w:eastAsia="zh-CN" w:bidi="ar-SA"/>
    </w:rPr>
    <w:tblPr/>
  </w:style>
  <w:style w:type="table" w:styleId="867">
    <w:name w:val="Grid Table 6 Colorful - Accent 6"/>
    <w:next w:val="867"/>
    <w:link w:val="748"/>
    <w:uiPriority w:val="99"/>
    <w:qFormat/>
    <w:rPr>
      <w:lang w:val="en-US" w:eastAsia="zh-CN" w:bidi="ar-SA"/>
    </w:rPr>
    <w:tblPr/>
  </w:style>
  <w:style w:type="table" w:styleId="868">
    <w:name w:val="Grid Table 7 Colorful"/>
    <w:next w:val="868"/>
    <w:link w:val="748"/>
    <w:uiPriority w:val="99"/>
    <w:qFormat/>
    <w:rPr>
      <w:lang w:val="en-US" w:eastAsia="zh-CN" w:bidi="ar-SA"/>
    </w:rPr>
    <w:tblPr/>
  </w:style>
  <w:style w:type="table" w:styleId="869">
    <w:name w:val="Grid Table 7 Colorful - Accent 1"/>
    <w:next w:val="869"/>
    <w:link w:val="748"/>
    <w:uiPriority w:val="99"/>
    <w:qFormat/>
    <w:rPr>
      <w:lang w:val="en-US" w:eastAsia="zh-CN" w:bidi="ar-SA"/>
    </w:rPr>
    <w:tblPr/>
  </w:style>
  <w:style w:type="table" w:styleId="870">
    <w:name w:val="Grid Table 7 Colorful - Accent 2"/>
    <w:next w:val="870"/>
    <w:link w:val="748"/>
    <w:uiPriority w:val="99"/>
    <w:qFormat/>
    <w:rPr>
      <w:lang w:val="en-US" w:eastAsia="zh-CN" w:bidi="ar-SA"/>
    </w:rPr>
    <w:tblPr/>
  </w:style>
  <w:style w:type="table" w:styleId="871">
    <w:name w:val="Grid Table 7 Colorful - Accent 3"/>
    <w:next w:val="871"/>
    <w:link w:val="748"/>
    <w:uiPriority w:val="99"/>
    <w:qFormat/>
    <w:rPr>
      <w:lang w:val="en-US" w:eastAsia="zh-CN" w:bidi="ar-SA"/>
    </w:rPr>
    <w:tblPr/>
  </w:style>
  <w:style w:type="table" w:styleId="872">
    <w:name w:val="Grid Table 7 Colorful - Accent 4"/>
    <w:next w:val="872"/>
    <w:link w:val="748"/>
    <w:uiPriority w:val="99"/>
    <w:qFormat/>
    <w:rPr>
      <w:lang w:val="en-US" w:eastAsia="zh-CN" w:bidi="ar-SA"/>
    </w:rPr>
    <w:tblPr/>
  </w:style>
  <w:style w:type="table" w:styleId="873">
    <w:name w:val="Grid Table 7 Colorful - Accent 5"/>
    <w:next w:val="873"/>
    <w:link w:val="748"/>
    <w:uiPriority w:val="99"/>
    <w:qFormat/>
    <w:rPr>
      <w:lang w:val="en-US" w:eastAsia="zh-CN" w:bidi="ar-SA"/>
    </w:rPr>
    <w:tblPr/>
  </w:style>
  <w:style w:type="table" w:styleId="874">
    <w:name w:val="Grid Table 7 Colorful - Accent 6"/>
    <w:next w:val="874"/>
    <w:link w:val="748"/>
    <w:uiPriority w:val="99"/>
    <w:qFormat/>
    <w:rPr>
      <w:lang w:val="en-US" w:eastAsia="zh-CN" w:bidi="ar-SA"/>
    </w:rPr>
    <w:tblPr/>
  </w:style>
  <w:style w:type="table" w:styleId="875">
    <w:name w:val="List Table 1 Light"/>
    <w:next w:val="875"/>
    <w:link w:val="748"/>
    <w:uiPriority w:val="99"/>
    <w:qFormat/>
    <w:rPr>
      <w:lang w:val="en-US" w:eastAsia="zh-CN" w:bidi="ar-SA"/>
    </w:rPr>
    <w:tblPr/>
  </w:style>
  <w:style w:type="table" w:styleId="876">
    <w:name w:val="List Table 1 Light - Accent 1"/>
    <w:next w:val="876"/>
    <w:link w:val="748"/>
    <w:uiPriority w:val="99"/>
    <w:qFormat/>
    <w:rPr>
      <w:lang w:val="en-US" w:eastAsia="zh-CN" w:bidi="ar-SA"/>
    </w:rPr>
    <w:tblPr/>
  </w:style>
  <w:style w:type="table" w:styleId="877">
    <w:name w:val="List Table 1 Light - Accent 2"/>
    <w:next w:val="877"/>
    <w:link w:val="748"/>
    <w:uiPriority w:val="99"/>
    <w:qFormat/>
    <w:rPr>
      <w:lang w:val="en-US" w:eastAsia="zh-CN" w:bidi="ar-SA"/>
    </w:rPr>
    <w:tblPr/>
  </w:style>
  <w:style w:type="table" w:styleId="878">
    <w:name w:val="List Table 1 Light - Accent 3"/>
    <w:next w:val="878"/>
    <w:link w:val="748"/>
    <w:uiPriority w:val="99"/>
    <w:qFormat/>
    <w:rPr>
      <w:lang w:val="en-US" w:eastAsia="zh-CN" w:bidi="ar-SA"/>
    </w:rPr>
    <w:tblPr/>
  </w:style>
  <w:style w:type="table" w:styleId="879">
    <w:name w:val="List Table 1 Light - Accent 4"/>
    <w:next w:val="879"/>
    <w:link w:val="748"/>
    <w:uiPriority w:val="99"/>
    <w:qFormat/>
    <w:rPr>
      <w:lang w:val="en-US" w:eastAsia="zh-CN" w:bidi="ar-SA"/>
    </w:rPr>
    <w:tblPr/>
  </w:style>
  <w:style w:type="table" w:styleId="880">
    <w:name w:val="List Table 1 Light - Accent 5"/>
    <w:next w:val="880"/>
    <w:link w:val="748"/>
    <w:uiPriority w:val="99"/>
    <w:qFormat/>
    <w:rPr>
      <w:lang w:val="en-US" w:eastAsia="zh-CN" w:bidi="ar-SA"/>
    </w:rPr>
    <w:tblPr/>
  </w:style>
  <w:style w:type="table" w:styleId="881">
    <w:name w:val="List Table 1 Light - Accent 6"/>
    <w:next w:val="881"/>
    <w:link w:val="748"/>
    <w:uiPriority w:val="99"/>
    <w:qFormat/>
    <w:rPr>
      <w:lang w:val="en-US" w:eastAsia="zh-CN" w:bidi="ar-SA"/>
    </w:rPr>
    <w:tblPr/>
  </w:style>
  <w:style w:type="table" w:styleId="882">
    <w:name w:val="List Table 2"/>
    <w:next w:val="882"/>
    <w:link w:val="748"/>
    <w:uiPriority w:val="99"/>
    <w:qFormat/>
    <w:rPr>
      <w:lang w:val="en-US" w:eastAsia="zh-CN" w:bidi="ar-SA"/>
    </w:rPr>
    <w:tblPr/>
  </w:style>
  <w:style w:type="table" w:styleId="883">
    <w:name w:val="List Table 2 - Accent 1"/>
    <w:next w:val="883"/>
    <w:link w:val="748"/>
    <w:uiPriority w:val="99"/>
    <w:qFormat/>
    <w:rPr>
      <w:lang w:val="en-US" w:eastAsia="zh-CN" w:bidi="ar-SA"/>
    </w:rPr>
    <w:tblPr/>
  </w:style>
  <w:style w:type="table" w:styleId="884">
    <w:name w:val="List Table 2 - Accent 2"/>
    <w:next w:val="884"/>
    <w:link w:val="748"/>
    <w:uiPriority w:val="99"/>
    <w:qFormat/>
    <w:rPr>
      <w:lang w:val="en-US" w:eastAsia="zh-CN" w:bidi="ar-SA"/>
    </w:rPr>
    <w:tblPr/>
  </w:style>
  <w:style w:type="table" w:styleId="885">
    <w:name w:val="List Table 2 - Accent 3"/>
    <w:next w:val="885"/>
    <w:link w:val="748"/>
    <w:uiPriority w:val="99"/>
    <w:qFormat/>
    <w:rPr>
      <w:lang w:val="en-US" w:eastAsia="zh-CN" w:bidi="ar-SA"/>
    </w:rPr>
    <w:tblPr/>
  </w:style>
  <w:style w:type="table" w:styleId="886">
    <w:name w:val="List Table 2 - Accent 4"/>
    <w:next w:val="886"/>
    <w:link w:val="748"/>
    <w:uiPriority w:val="99"/>
    <w:qFormat/>
    <w:rPr>
      <w:lang w:val="en-US" w:eastAsia="zh-CN" w:bidi="ar-SA"/>
    </w:rPr>
    <w:tblPr/>
  </w:style>
  <w:style w:type="table" w:styleId="887">
    <w:name w:val="List Table 2 - Accent 5"/>
    <w:next w:val="887"/>
    <w:link w:val="748"/>
    <w:uiPriority w:val="99"/>
    <w:qFormat/>
    <w:rPr>
      <w:lang w:val="en-US" w:eastAsia="zh-CN" w:bidi="ar-SA"/>
    </w:rPr>
    <w:tblPr/>
  </w:style>
  <w:style w:type="table" w:styleId="888">
    <w:name w:val="List Table 2 - Accent 6"/>
    <w:next w:val="888"/>
    <w:link w:val="748"/>
    <w:uiPriority w:val="99"/>
    <w:qFormat/>
    <w:rPr>
      <w:lang w:val="en-US" w:eastAsia="zh-CN" w:bidi="ar-SA"/>
    </w:rPr>
    <w:tblPr/>
  </w:style>
  <w:style w:type="table" w:styleId="889">
    <w:name w:val="List Table 3"/>
    <w:next w:val="889"/>
    <w:link w:val="748"/>
    <w:uiPriority w:val="99"/>
    <w:qFormat/>
    <w:rPr>
      <w:lang w:val="en-US" w:eastAsia="zh-CN" w:bidi="ar-SA"/>
    </w:rPr>
    <w:tblPr/>
  </w:style>
  <w:style w:type="table" w:styleId="890">
    <w:name w:val="List Table 3 - Accent 1"/>
    <w:next w:val="890"/>
    <w:link w:val="748"/>
    <w:uiPriority w:val="99"/>
    <w:qFormat/>
    <w:rPr>
      <w:lang w:val="en-US" w:eastAsia="zh-CN" w:bidi="ar-SA"/>
    </w:rPr>
    <w:tblPr/>
  </w:style>
  <w:style w:type="table" w:styleId="891">
    <w:name w:val="List Table 3 - Accent 2"/>
    <w:next w:val="891"/>
    <w:link w:val="748"/>
    <w:uiPriority w:val="99"/>
    <w:qFormat/>
    <w:rPr>
      <w:lang w:val="en-US" w:eastAsia="zh-CN" w:bidi="ar-SA"/>
    </w:rPr>
    <w:tblPr/>
  </w:style>
  <w:style w:type="table" w:styleId="892">
    <w:name w:val="List Table 3 - Accent 3"/>
    <w:next w:val="892"/>
    <w:link w:val="748"/>
    <w:uiPriority w:val="99"/>
    <w:qFormat/>
    <w:rPr>
      <w:lang w:val="en-US" w:eastAsia="zh-CN" w:bidi="ar-SA"/>
    </w:rPr>
    <w:tblPr/>
  </w:style>
  <w:style w:type="table" w:styleId="893">
    <w:name w:val="List Table 3 - Accent 4"/>
    <w:next w:val="893"/>
    <w:link w:val="748"/>
    <w:uiPriority w:val="99"/>
    <w:qFormat/>
    <w:rPr>
      <w:lang w:val="en-US" w:eastAsia="zh-CN" w:bidi="ar-SA"/>
    </w:rPr>
    <w:tblPr/>
  </w:style>
  <w:style w:type="table" w:styleId="894">
    <w:name w:val="List Table 3 - Accent 5"/>
    <w:next w:val="894"/>
    <w:link w:val="748"/>
    <w:uiPriority w:val="99"/>
    <w:qFormat/>
    <w:rPr>
      <w:lang w:val="en-US" w:eastAsia="zh-CN" w:bidi="ar-SA"/>
    </w:rPr>
    <w:tblPr/>
  </w:style>
  <w:style w:type="table" w:styleId="895">
    <w:name w:val="List Table 3 - Accent 6"/>
    <w:next w:val="895"/>
    <w:link w:val="748"/>
    <w:uiPriority w:val="99"/>
    <w:qFormat/>
    <w:rPr>
      <w:lang w:val="en-US" w:eastAsia="zh-CN" w:bidi="ar-SA"/>
    </w:rPr>
    <w:tblPr/>
  </w:style>
  <w:style w:type="table" w:styleId="896">
    <w:name w:val="List Table 4"/>
    <w:next w:val="896"/>
    <w:link w:val="748"/>
    <w:uiPriority w:val="99"/>
    <w:qFormat/>
    <w:rPr>
      <w:lang w:val="en-US" w:eastAsia="zh-CN" w:bidi="ar-SA"/>
    </w:rPr>
    <w:tblPr/>
  </w:style>
  <w:style w:type="table" w:styleId="897">
    <w:name w:val="List Table 4 - Accent 1"/>
    <w:next w:val="897"/>
    <w:link w:val="748"/>
    <w:uiPriority w:val="99"/>
    <w:qFormat/>
    <w:rPr>
      <w:lang w:val="en-US" w:eastAsia="zh-CN" w:bidi="ar-SA"/>
    </w:rPr>
    <w:tblPr/>
  </w:style>
  <w:style w:type="table" w:styleId="898">
    <w:name w:val="List Table 4 - Accent 2"/>
    <w:next w:val="898"/>
    <w:link w:val="748"/>
    <w:uiPriority w:val="99"/>
    <w:qFormat/>
    <w:rPr>
      <w:lang w:val="en-US" w:eastAsia="zh-CN" w:bidi="ar-SA"/>
    </w:rPr>
    <w:tblPr/>
  </w:style>
  <w:style w:type="table" w:styleId="899">
    <w:name w:val="List Table 4 - Accent 3"/>
    <w:next w:val="899"/>
    <w:link w:val="748"/>
    <w:uiPriority w:val="99"/>
    <w:qFormat/>
    <w:rPr>
      <w:lang w:val="en-US" w:eastAsia="zh-CN" w:bidi="ar-SA"/>
    </w:rPr>
    <w:tblPr/>
  </w:style>
  <w:style w:type="table" w:styleId="900">
    <w:name w:val="List Table 4 - Accent 4"/>
    <w:next w:val="900"/>
    <w:link w:val="748"/>
    <w:uiPriority w:val="99"/>
    <w:qFormat/>
    <w:rPr>
      <w:lang w:val="en-US" w:eastAsia="zh-CN" w:bidi="ar-SA"/>
    </w:rPr>
    <w:tblPr/>
  </w:style>
  <w:style w:type="table" w:styleId="901">
    <w:name w:val="List Table 4 - Accent 5"/>
    <w:next w:val="901"/>
    <w:link w:val="748"/>
    <w:uiPriority w:val="99"/>
    <w:qFormat/>
    <w:rPr>
      <w:lang w:val="en-US" w:eastAsia="zh-CN" w:bidi="ar-SA"/>
    </w:rPr>
    <w:tblPr/>
  </w:style>
  <w:style w:type="table" w:styleId="902">
    <w:name w:val="List Table 4 - Accent 6"/>
    <w:next w:val="902"/>
    <w:link w:val="748"/>
    <w:uiPriority w:val="99"/>
    <w:qFormat/>
    <w:rPr>
      <w:lang w:val="en-US" w:eastAsia="zh-CN" w:bidi="ar-SA"/>
    </w:rPr>
    <w:tblPr/>
  </w:style>
  <w:style w:type="table" w:styleId="903">
    <w:name w:val="List Table 5 Dark"/>
    <w:next w:val="903"/>
    <w:link w:val="748"/>
    <w:uiPriority w:val="99"/>
    <w:qFormat/>
    <w:rPr>
      <w:lang w:val="en-US" w:eastAsia="zh-CN" w:bidi="ar-SA"/>
    </w:rPr>
    <w:tblPr/>
  </w:style>
  <w:style w:type="table" w:styleId="904">
    <w:name w:val="List Table 5 Dark - Accent 1"/>
    <w:next w:val="904"/>
    <w:link w:val="748"/>
    <w:uiPriority w:val="99"/>
    <w:qFormat/>
    <w:rPr>
      <w:lang w:val="en-US" w:eastAsia="zh-CN" w:bidi="ar-SA"/>
    </w:rPr>
    <w:tblPr/>
  </w:style>
  <w:style w:type="table" w:styleId="905">
    <w:name w:val="List Table 5 Dark - Accent 2"/>
    <w:next w:val="905"/>
    <w:link w:val="748"/>
    <w:uiPriority w:val="99"/>
    <w:qFormat/>
    <w:rPr>
      <w:lang w:val="en-US" w:eastAsia="zh-CN" w:bidi="ar-SA"/>
    </w:rPr>
    <w:tblPr/>
  </w:style>
  <w:style w:type="table" w:styleId="906">
    <w:name w:val="List Table 5 Dark - Accent 3"/>
    <w:next w:val="906"/>
    <w:link w:val="748"/>
    <w:uiPriority w:val="99"/>
    <w:qFormat/>
    <w:rPr>
      <w:lang w:val="en-US" w:eastAsia="zh-CN" w:bidi="ar-SA"/>
    </w:rPr>
    <w:tblPr/>
  </w:style>
  <w:style w:type="table" w:styleId="907">
    <w:name w:val="List Table 5 Dark - Accent 4"/>
    <w:next w:val="907"/>
    <w:link w:val="748"/>
    <w:uiPriority w:val="99"/>
    <w:qFormat/>
    <w:rPr>
      <w:lang w:val="en-US" w:eastAsia="zh-CN" w:bidi="ar-SA"/>
    </w:rPr>
    <w:tblPr/>
  </w:style>
  <w:style w:type="table" w:styleId="908">
    <w:name w:val="List Table 5 Dark - Accent 5"/>
    <w:next w:val="908"/>
    <w:link w:val="748"/>
    <w:uiPriority w:val="99"/>
    <w:qFormat/>
    <w:rPr>
      <w:lang w:val="en-US" w:eastAsia="zh-CN" w:bidi="ar-SA"/>
    </w:rPr>
    <w:tblPr/>
  </w:style>
  <w:style w:type="table" w:styleId="909">
    <w:name w:val="List Table 5 Dark - Accent 6"/>
    <w:next w:val="909"/>
    <w:link w:val="748"/>
    <w:uiPriority w:val="99"/>
    <w:qFormat/>
    <w:rPr>
      <w:lang w:val="en-US" w:eastAsia="zh-CN" w:bidi="ar-SA"/>
    </w:rPr>
    <w:tblPr/>
  </w:style>
  <w:style w:type="table" w:styleId="910">
    <w:name w:val="List Table 6 Colorful"/>
    <w:next w:val="910"/>
    <w:link w:val="748"/>
    <w:uiPriority w:val="99"/>
    <w:qFormat/>
    <w:rPr>
      <w:lang w:val="en-US" w:eastAsia="zh-CN" w:bidi="ar-SA"/>
    </w:rPr>
    <w:tblPr/>
  </w:style>
  <w:style w:type="table" w:styleId="911">
    <w:name w:val="List Table 6 Colorful - Accent 1"/>
    <w:next w:val="911"/>
    <w:link w:val="748"/>
    <w:uiPriority w:val="99"/>
    <w:qFormat/>
    <w:rPr>
      <w:lang w:val="en-US" w:eastAsia="zh-CN" w:bidi="ar-SA"/>
    </w:rPr>
    <w:tblPr/>
  </w:style>
  <w:style w:type="table" w:styleId="912">
    <w:name w:val="List Table 6 Colorful - Accent 2"/>
    <w:next w:val="912"/>
    <w:link w:val="748"/>
    <w:uiPriority w:val="99"/>
    <w:qFormat/>
    <w:rPr>
      <w:lang w:val="en-US" w:eastAsia="zh-CN" w:bidi="ar-SA"/>
    </w:rPr>
    <w:tblPr/>
  </w:style>
  <w:style w:type="table" w:styleId="913">
    <w:name w:val="List Table 6 Colorful - Accent 3"/>
    <w:next w:val="913"/>
    <w:link w:val="748"/>
    <w:uiPriority w:val="99"/>
    <w:qFormat/>
    <w:rPr>
      <w:lang w:val="en-US" w:eastAsia="zh-CN" w:bidi="ar-SA"/>
    </w:rPr>
    <w:tblPr/>
  </w:style>
  <w:style w:type="table" w:styleId="914">
    <w:name w:val="List Table 6 Colorful - Accent 4"/>
    <w:next w:val="914"/>
    <w:link w:val="748"/>
    <w:uiPriority w:val="99"/>
    <w:qFormat/>
    <w:rPr>
      <w:lang w:val="en-US" w:eastAsia="zh-CN" w:bidi="ar-SA"/>
    </w:rPr>
    <w:tblPr/>
  </w:style>
  <w:style w:type="table" w:styleId="915">
    <w:name w:val="List Table 6 Colorful - Accent 5"/>
    <w:next w:val="915"/>
    <w:link w:val="748"/>
    <w:uiPriority w:val="99"/>
    <w:qFormat/>
    <w:rPr>
      <w:lang w:val="en-US" w:eastAsia="zh-CN" w:bidi="ar-SA"/>
    </w:rPr>
    <w:tblPr/>
  </w:style>
  <w:style w:type="table" w:styleId="916">
    <w:name w:val="List Table 6 Colorful - Accent 6"/>
    <w:next w:val="916"/>
    <w:link w:val="748"/>
    <w:uiPriority w:val="99"/>
    <w:qFormat/>
    <w:rPr>
      <w:lang w:val="en-US" w:eastAsia="zh-CN" w:bidi="ar-SA"/>
    </w:rPr>
    <w:tblPr/>
  </w:style>
  <w:style w:type="table" w:styleId="917">
    <w:name w:val="List Table 7 Colorful"/>
    <w:next w:val="917"/>
    <w:link w:val="748"/>
    <w:uiPriority w:val="99"/>
    <w:qFormat/>
    <w:rPr>
      <w:lang w:val="en-US" w:eastAsia="zh-CN" w:bidi="ar-SA"/>
    </w:rPr>
    <w:tblPr/>
  </w:style>
  <w:style w:type="table" w:styleId="918">
    <w:name w:val="List Table 7 Colorful - Accent 1"/>
    <w:next w:val="918"/>
    <w:link w:val="748"/>
    <w:uiPriority w:val="99"/>
    <w:qFormat/>
    <w:rPr>
      <w:lang w:val="en-US" w:eastAsia="zh-CN" w:bidi="ar-SA"/>
    </w:rPr>
    <w:tblPr/>
  </w:style>
  <w:style w:type="table" w:styleId="919">
    <w:name w:val="List Table 7 Colorful - Accent 2"/>
    <w:next w:val="919"/>
    <w:link w:val="748"/>
    <w:uiPriority w:val="99"/>
    <w:qFormat/>
    <w:rPr>
      <w:lang w:val="en-US" w:eastAsia="zh-CN" w:bidi="ar-SA"/>
    </w:rPr>
    <w:tblPr/>
  </w:style>
  <w:style w:type="table" w:styleId="920">
    <w:name w:val="List Table 7 Colorful - Accent 3"/>
    <w:next w:val="920"/>
    <w:link w:val="748"/>
    <w:uiPriority w:val="99"/>
    <w:qFormat/>
    <w:rPr>
      <w:lang w:val="en-US" w:eastAsia="zh-CN" w:bidi="ar-SA"/>
    </w:rPr>
    <w:tblPr/>
  </w:style>
  <w:style w:type="table" w:styleId="921">
    <w:name w:val="List Table 7 Colorful - Accent 4"/>
    <w:next w:val="921"/>
    <w:link w:val="748"/>
    <w:uiPriority w:val="99"/>
    <w:qFormat/>
    <w:rPr>
      <w:lang w:val="en-US" w:eastAsia="zh-CN" w:bidi="ar-SA"/>
    </w:rPr>
    <w:tblPr/>
  </w:style>
  <w:style w:type="table" w:styleId="922">
    <w:name w:val="List Table 7 Colorful - Accent 5"/>
    <w:next w:val="922"/>
    <w:link w:val="748"/>
    <w:uiPriority w:val="99"/>
    <w:qFormat/>
    <w:rPr>
      <w:lang w:val="en-US" w:eastAsia="zh-CN" w:bidi="ar-SA"/>
    </w:rPr>
    <w:tblPr/>
  </w:style>
  <w:style w:type="table" w:styleId="923">
    <w:name w:val="List Table 7 Colorful - Accent 6"/>
    <w:next w:val="923"/>
    <w:link w:val="748"/>
    <w:uiPriority w:val="99"/>
    <w:qFormat/>
    <w:rPr>
      <w:lang w:val="en-US" w:eastAsia="zh-CN" w:bidi="ar-SA"/>
    </w:rPr>
    <w:tblPr/>
  </w:style>
  <w:style w:type="table" w:styleId="924">
    <w:name w:val="Lined - Accent"/>
    <w:next w:val="924"/>
    <w:link w:val="748"/>
    <w:uiPriority w:val="99"/>
    <w:qFormat/>
    <w:rPr>
      <w:color w:val="404040"/>
      <w:lang w:val="en-US" w:eastAsia="zh-CN" w:bidi="ar-SA"/>
    </w:rPr>
    <w:tblPr/>
  </w:style>
  <w:style w:type="table" w:styleId="925">
    <w:name w:val="Lined - Accent 1"/>
    <w:next w:val="925"/>
    <w:link w:val="748"/>
    <w:uiPriority w:val="99"/>
    <w:qFormat/>
    <w:rPr>
      <w:color w:val="404040"/>
      <w:lang w:val="en-US" w:eastAsia="zh-CN" w:bidi="ar-SA"/>
    </w:rPr>
    <w:tblPr/>
  </w:style>
  <w:style w:type="table" w:styleId="926">
    <w:name w:val="Lined - Accent 2"/>
    <w:next w:val="926"/>
    <w:link w:val="748"/>
    <w:uiPriority w:val="99"/>
    <w:qFormat/>
    <w:rPr>
      <w:color w:val="404040"/>
      <w:lang w:val="en-US" w:eastAsia="zh-CN" w:bidi="ar-SA"/>
    </w:rPr>
    <w:tblPr/>
  </w:style>
  <w:style w:type="table" w:styleId="927">
    <w:name w:val="Lined - Accent 3"/>
    <w:next w:val="927"/>
    <w:link w:val="748"/>
    <w:uiPriority w:val="99"/>
    <w:qFormat/>
    <w:rPr>
      <w:color w:val="404040"/>
      <w:lang w:val="en-US" w:eastAsia="zh-CN" w:bidi="ar-SA"/>
    </w:rPr>
    <w:tblPr/>
  </w:style>
  <w:style w:type="table" w:styleId="928">
    <w:name w:val="Lined - Accent 4"/>
    <w:next w:val="928"/>
    <w:link w:val="748"/>
    <w:uiPriority w:val="99"/>
    <w:qFormat/>
    <w:rPr>
      <w:color w:val="404040"/>
      <w:lang w:val="en-US" w:eastAsia="zh-CN" w:bidi="ar-SA"/>
    </w:rPr>
    <w:tblPr/>
  </w:style>
  <w:style w:type="table" w:styleId="929">
    <w:name w:val="Lined - Accent 5"/>
    <w:next w:val="929"/>
    <w:link w:val="748"/>
    <w:uiPriority w:val="99"/>
    <w:qFormat/>
    <w:rPr>
      <w:color w:val="404040"/>
      <w:lang w:val="en-US" w:eastAsia="zh-CN" w:bidi="ar-SA"/>
    </w:rPr>
    <w:tblPr/>
  </w:style>
  <w:style w:type="table" w:styleId="930">
    <w:name w:val="Lined - Accent 6"/>
    <w:next w:val="930"/>
    <w:link w:val="748"/>
    <w:uiPriority w:val="99"/>
    <w:qFormat/>
    <w:rPr>
      <w:color w:val="404040"/>
      <w:lang w:val="en-US" w:eastAsia="zh-CN" w:bidi="ar-SA"/>
    </w:rPr>
    <w:tblPr/>
  </w:style>
  <w:style w:type="table" w:styleId="931">
    <w:name w:val="Bordered &amp; Lined - Accent"/>
    <w:next w:val="931"/>
    <w:link w:val="748"/>
    <w:uiPriority w:val="99"/>
    <w:qFormat/>
    <w:rPr>
      <w:color w:val="404040"/>
      <w:lang w:val="en-US" w:eastAsia="zh-CN" w:bidi="ar-SA"/>
    </w:rPr>
    <w:tblPr/>
  </w:style>
  <w:style w:type="table" w:styleId="932">
    <w:name w:val="Bordered &amp; Lined - Accent 1"/>
    <w:next w:val="932"/>
    <w:link w:val="748"/>
    <w:uiPriority w:val="99"/>
    <w:qFormat/>
    <w:rPr>
      <w:color w:val="404040"/>
      <w:lang w:val="en-US" w:eastAsia="zh-CN" w:bidi="ar-SA"/>
    </w:rPr>
    <w:tblPr/>
  </w:style>
  <w:style w:type="table" w:styleId="933">
    <w:name w:val="Bordered &amp; Lined - Accent 2"/>
    <w:next w:val="933"/>
    <w:link w:val="748"/>
    <w:uiPriority w:val="99"/>
    <w:qFormat/>
    <w:rPr>
      <w:color w:val="404040"/>
      <w:lang w:val="en-US" w:eastAsia="zh-CN" w:bidi="ar-SA"/>
    </w:rPr>
    <w:tblPr/>
  </w:style>
  <w:style w:type="table" w:styleId="934">
    <w:name w:val="Bordered &amp; Lined - Accent 3"/>
    <w:next w:val="934"/>
    <w:link w:val="748"/>
    <w:uiPriority w:val="99"/>
    <w:qFormat/>
    <w:rPr>
      <w:color w:val="404040"/>
      <w:lang w:val="en-US" w:eastAsia="zh-CN" w:bidi="ar-SA"/>
    </w:rPr>
    <w:tblPr/>
  </w:style>
  <w:style w:type="table" w:styleId="935">
    <w:name w:val="Bordered &amp; Lined - Accent 4"/>
    <w:next w:val="935"/>
    <w:link w:val="748"/>
    <w:uiPriority w:val="99"/>
    <w:qFormat/>
    <w:rPr>
      <w:color w:val="404040"/>
      <w:lang w:val="en-US" w:eastAsia="zh-CN" w:bidi="ar-SA"/>
    </w:rPr>
    <w:tblPr/>
  </w:style>
  <w:style w:type="table" w:styleId="936">
    <w:name w:val="Bordered &amp; Lined - Accent 5"/>
    <w:next w:val="936"/>
    <w:link w:val="748"/>
    <w:uiPriority w:val="99"/>
    <w:qFormat/>
    <w:rPr>
      <w:color w:val="404040"/>
      <w:lang w:val="en-US" w:eastAsia="zh-CN" w:bidi="ar-SA"/>
    </w:rPr>
    <w:tblPr/>
  </w:style>
  <w:style w:type="table" w:styleId="937">
    <w:name w:val="Bordered &amp; Lined - Accent 6"/>
    <w:next w:val="937"/>
    <w:link w:val="748"/>
    <w:uiPriority w:val="99"/>
    <w:qFormat/>
    <w:rPr>
      <w:color w:val="404040"/>
      <w:lang w:val="en-US" w:eastAsia="zh-CN" w:bidi="ar-SA"/>
    </w:rPr>
    <w:tblPr/>
  </w:style>
  <w:style w:type="table" w:styleId="938">
    <w:name w:val="Bordered"/>
    <w:next w:val="938"/>
    <w:link w:val="748"/>
    <w:uiPriority w:val="99"/>
    <w:qFormat/>
    <w:rPr>
      <w:lang w:val="en-US" w:eastAsia="zh-CN" w:bidi="ar-SA"/>
    </w:rPr>
    <w:tblPr/>
  </w:style>
  <w:style w:type="table" w:styleId="939">
    <w:name w:val="Bordered - Accent 1"/>
    <w:next w:val="939"/>
    <w:link w:val="748"/>
    <w:uiPriority w:val="99"/>
    <w:qFormat/>
    <w:rPr>
      <w:lang w:val="en-US" w:eastAsia="zh-CN" w:bidi="ar-SA"/>
    </w:rPr>
    <w:tblPr/>
  </w:style>
  <w:style w:type="table" w:styleId="940">
    <w:name w:val="Bordered - Accent 2"/>
    <w:next w:val="940"/>
    <w:link w:val="748"/>
    <w:uiPriority w:val="99"/>
    <w:qFormat/>
    <w:rPr>
      <w:lang w:val="en-US" w:eastAsia="zh-CN" w:bidi="ar-SA"/>
    </w:rPr>
    <w:tblPr/>
  </w:style>
  <w:style w:type="table" w:styleId="941">
    <w:name w:val="Bordered - Accent 3"/>
    <w:next w:val="941"/>
    <w:link w:val="748"/>
    <w:uiPriority w:val="99"/>
    <w:qFormat/>
    <w:rPr>
      <w:lang w:val="en-US" w:eastAsia="zh-CN" w:bidi="ar-SA"/>
    </w:rPr>
    <w:tblPr/>
  </w:style>
  <w:style w:type="table" w:styleId="942">
    <w:name w:val="Bordered - Accent 4"/>
    <w:next w:val="942"/>
    <w:link w:val="748"/>
    <w:uiPriority w:val="99"/>
    <w:qFormat/>
    <w:rPr>
      <w:lang w:val="en-US" w:eastAsia="zh-CN" w:bidi="ar-SA"/>
    </w:rPr>
    <w:tblPr/>
  </w:style>
  <w:style w:type="table" w:styleId="943">
    <w:name w:val="Bordered - Accent 5"/>
    <w:next w:val="943"/>
    <w:link w:val="748"/>
    <w:uiPriority w:val="99"/>
    <w:qFormat/>
    <w:rPr>
      <w:lang w:val="en-US" w:eastAsia="zh-CN" w:bidi="ar-SA"/>
    </w:rPr>
    <w:tblPr/>
  </w:style>
  <w:style w:type="table" w:styleId="944">
    <w:name w:val="Bordered - Accent 6"/>
    <w:next w:val="944"/>
    <w:link w:val="748"/>
    <w:uiPriority w:val="99"/>
    <w:qFormat/>
    <w:rPr>
      <w:lang w:val="en-US" w:eastAsia="zh-CN" w:bidi="ar-SA"/>
    </w:rPr>
    <w:tblPr/>
  </w:style>
  <w:style w:type="paragraph" w:styleId="945">
    <w:name w:val="TOC Heading"/>
    <w:next w:val="945"/>
    <w:link w:val="748"/>
    <w:uiPriority w:val="39"/>
    <w:unhideWhenUsed/>
    <w:qFormat/>
    <w:rPr>
      <w:lang w:val="en-US" w:eastAsia="zh-CN" w:bidi="ar-SA"/>
    </w:rPr>
  </w:style>
  <w:style w:type="paragraph" w:styleId="946">
    <w:name w:val="标题 11"/>
    <w:basedOn w:val="748"/>
    <w:next w:val="748"/>
    <w:link w:val="947"/>
    <w:qFormat/>
    <w:pPr>
      <w:jc w:val="center"/>
      <w:keepNext/>
      <w:outlineLvl w:val="0"/>
    </w:pPr>
    <w:rPr>
      <w:rFonts w:ascii="楷体_GB2312" w:eastAsia="楷体_GB2312"/>
      <w:sz w:val="28"/>
      <w:szCs w:val="28"/>
    </w:rPr>
  </w:style>
  <w:style w:type="character" w:styleId="947">
    <w:name w:val="标题 1 Char"/>
    <w:next w:val="947"/>
    <w:link w:val="946"/>
    <w:qFormat/>
    <w:rPr>
      <w:rFonts w:ascii="楷体_GB2312" w:hAnsi="Times New Roman" w:eastAsia="楷体_GB2312" w:cs="Times New Roman"/>
      <w:sz w:val="28"/>
      <w:szCs w:val="28"/>
    </w:rPr>
  </w:style>
  <w:style w:type="paragraph" w:styleId="948">
    <w:name w:val="标题 21"/>
    <w:basedOn w:val="748"/>
    <w:next w:val="950"/>
    <w:link w:val="949"/>
    <w:qFormat/>
    <w:pPr>
      <w:jc w:val="center"/>
      <w:keepLines/>
      <w:keepNext/>
      <w:spacing w:before="260" w:after="260" w:line="416" w:lineRule="auto"/>
      <w:outlineLvl w:val="1"/>
    </w:pPr>
    <w:rPr>
      <w:rFonts w:ascii="Arial" w:hAnsi="Arial" w:eastAsia="幼圆" w:cs="Arial"/>
      <w:b/>
      <w:bCs/>
      <w:sz w:val="44"/>
      <w:szCs w:val="44"/>
    </w:rPr>
  </w:style>
  <w:style w:type="character" w:styleId="949">
    <w:name w:val="标题 2 Char"/>
    <w:next w:val="949"/>
    <w:link w:val="948"/>
    <w:qFormat/>
    <w:rPr>
      <w:rFonts w:ascii="Arial" w:hAnsi="Arial" w:eastAsia="幼圆" w:cs="Arial"/>
      <w:b/>
      <w:bCs/>
      <w:sz w:val="44"/>
      <w:szCs w:val="44"/>
    </w:rPr>
  </w:style>
  <w:style w:type="paragraph" w:styleId="950">
    <w:name w:val="正文缩进11"/>
    <w:basedOn w:val="748"/>
    <w:next w:val="950"/>
    <w:link w:val="951"/>
    <w:qFormat/>
    <w:pPr>
      <w:ind w:firstLine="420"/>
    </w:pPr>
  </w:style>
  <w:style w:type="character" w:styleId="951">
    <w:name w:val="正文缩进 Char"/>
    <w:next w:val="951"/>
    <w:link w:val="950"/>
    <w:qFormat/>
    <w:rPr>
      <w:rFonts w:ascii="Times New Roman" w:hAnsi="Times New Roman" w:eastAsia="宋体" w:cs="Times New Roman"/>
      <w:szCs w:val="21"/>
    </w:rPr>
  </w:style>
  <w:style w:type="paragraph" w:styleId="952">
    <w:name w:val="标题 311"/>
    <w:basedOn w:val="748"/>
    <w:next w:val="950"/>
    <w:link w:val="953"/>
    <w:qFormat/>
    <w:pPr>
      <w:keepLines/>
      <w:keepNext/>
      <w:spacing w:before="260" w:after="260" w:line="416" w:lineRule="auto"/>
      <w:outlineLvl w:val="2"/>
    </w:pPr>
    <w:rPr>
      <w:b/>
      <w:bCs/>
      <w:sz w:val="32"/>
      <w:szCs w:val="32"/>
    </w:rPr>
  </w:style>
  <w:style w:type="character" w:styleId="953">
    <w:name w:val="标题 3 Char"/>
    <w:next w:val="953"/>
    <w:link w:val="952"/>
    <w:qFormat/>
    <w:rPr>
      <w:rFonts w:ascii="Times New Roman" w:hAnsi="Times New Roman" w:eastAsia="宋体" w:cs="Times New Roman"/>
      <w:b/>
      <w:bCs/>
      <w:sz w:val="32"/>
      <w:szCs w:val="32"/>
    </w:rPr>
  </w:style>
  <w:style w:type="paragraph" w:styleId="954">
    <w:name w:val="标题 41"/>
    <w:basedOn w:val="748"/>
    <w:next w:val="950"/>
    <w:link w:val="955"/>
    <w:qFormat/>
    <w:pPr>
      <w:keepLines/>
      <w:keepNext/>
      <w:spacing w:before="280" w:after="290" w:line="376" w:lineRule="auto"/>
      <w:outlineLvl w:val="3"/>
    </w:pPr>
    <w:rPr>
      <w:rFonts w:ascii="Arial" w:hAnsi="Arial" w:eastAsia="黑体" w:cs="Arial"/>
      <w:b/>
      <w:bCs/>
      <w:sz w:val="28"/>
      <w:szCs w:val="28"/>
    </w:rPr>
  </w:style>
  <w:style w:type="character" w:styleId="955">
    <w:name w:val="标题 4 Char"/>
    <w:next w:val="955"/>
    <w:link w:val="954"/>
    <w:qFormat/>
    <w:rPr>
      <w:rFonts w:ascii="Arial" w:hAnsi="Arial" w:eastAsia="黑体" w:cs="Arial"/>
      <w:b/>
      <w:bCs/>
      <w:sz w:val="28"/>
      <w:szCs w:val="28"/>
    </w:rPr>
  </w:style>
  <w:style w:type="paragraph" w:styleId="956">
    <w:name w:val="标题 51"/>
    <w:basedOn w:val="748"/>
    <w:next w:val="950"/>
    <w:link w:val="957"/>
    <w:qFormat/>
    <w:pPr>
      <w:keepNext/>
      <w:outlineLvl w:val="4"/>
    </w:pPr>
    <w:rPr>
      <w:rFonts w:ascii="宋体"/>
      <w:color w:val="000000"/>
      <w:sz w:val="28"/>
      <w:szCs w:val="28"/>
    </w:rPr>
  </w:style>
  <w:style w:type="character" w:styleId="957">
    <w:name w:val="标题 5 Char"/>
    <w:next w:val="957"/>
    <w:link w:val="956"/>
    <w:qFormat/>
    <w:rPr>
      <w:rFonts w:ascii="宋体" w:hAnsi="Times New Roman" w:eastAsia="宋体" w:cs="Times New Roman"/>
      <w:color w:val="000000"/>
      <w:sz w:val="28"/>
      <w:szCs w:val="28"/>
    </w:rPr>
  </w:style>
  <w:style w:type="paragraph" w:styleId="958">
    <w:name w:val="标题 61"/>
    <w:basedOn w:val="748"/>
    <w:next w:val="748"/>
    <w:link w:val="959"/>
    <w:qFormat/>
    <w:pPr>
      <w:numPr>
        <w:ilvl w:val="5"/>
        <w:numId w:val="1"/>
      </w:numPr>
      <w:keepLines/>
      <w:keepNext/>
      <w:spacing w:before="240" w:after="64" w:line="320" w:lineRule="auto"/>
      <w:outlineLvl w:val="5"/>
    </w:pPr>
    <w:rPr>
      <w:rFonts w:ascii="Arial" w:hAnsi="Arial" w:eastAsia="黑体"/>
      <w:b/>
      <w:bCs/>
      <w:sz w:val="24"/>
      <w:szCs w:val="24"/>
    </w:rPr>
  </w:style>
  <w:style w:type="character" w:styleId="959">
    <w:name w:val="标题 6 Char"/>
    <w:next w:val="959"/>
    <w:link w:val="958"/>
    <w:qFormat/>
    <w:rPr>
      <w:rFonts w:ascii="Arial" w:hAnsi="Arial" w:eastAsia="黑体" w:cs="Times New Roman"/>
      <w:b/>
      <w:bCs/>
      <w:sz w:val="24"/>
      <w:szCs w:val="24"/>
    </w:rPr>
  </w:style>
  <w:style w:type="paragraph" w:styleId="960">
    <w:name w:val="标题 71"/>
    <w:basedOn w:val="748"/>
    <w:next w:val="748"/>
    <w:link w:val="961"/>
    <w:qFormat/>
    <w:pPr>
      <w:numPr>
        <w:ilvl w:val="6"/>
        <w:numId w:val="1"/>
      </w:numPr>
      <w:keepLines/>
      <w:keepNext/>
      <w:spacing w:before="240" w:after="64" w:line="320" w:lineRule="auto"/>
      <w:outlineLvl w:val="6"/>
    </w:pPr>
    <w:rPr>
      <w:b/>
      <w:bCs/>
      <w:sz w:val="24"/>
      <w:szCs w:val="24"/>
    </w:rPr>
  </w:style>
  <w:style w:type="character" w:styleId="961">
    <w:name w:val="标题 7 Char"/>
    <w:next w:val="961"/>
    <w:link w:val="960"/>
    <w:qFormat/>
    <w:rPr>
      <w:rFonts w:ascii="Times New Roman" w:hAnsi="Times New Roman" w:eastAsia="宋体" w:cs="Times New Roman"/>
      <w:b/>
      <w:bCs/>
      <w:sz w:val="24"/>
      <w:szCs w:val="24"/>
    </w:rPr>
  </w:style>
  <w:style w:type="paragraph" w:styleId="962">
    <w:name w:val="标题 81"/>
    <w:basedOn w:val="748"/>
    <w:next w:val="748"/>
    <w:link w:val="963"/>
    <w:qFormat/>
    <w:pPr>
      <w:numPr>
        <w:ilvl w:val="7"/>
        <w:numId w:val="1"/>
      </w:numPr>
      <w:keepLines/>
      <w:keepNext/>
      <w:spacing w:before="240" w:after="64" w:line="320" w:lineRule="auto"/>
      <w:outlineLvl w:val="7"/>
    </w:pPr>
    <w:rPr>
      <w:rFonts w:ascii="Arial" w:hAnsi="Arial" w:eastAsia="黑体"/>
      <w:sz w:val="24"/>
      <w:szCs w:val="24"/>
    </w:rPr>
  </w:style>
  <w:style w:type="character" w:styleId="963">
    <w:name w:val="标题 8 Char"/>
    <w:next w:val="963"/>
    <w:link w:val="962"/>
    <w:qFormat/>
    <w:rPr>
      <w:rFonts w:ascii="Arial" w:hAnsi="Arial" w:eastAsia="黑体" w:cs="Times New Roman"/>
      <w:sz w:val="24"/>
      <w:szCs w:val="24"/>
    </w:rPr>
  </w:style>
  <w:style w:type="paragraph" w:styleId="964">
    <w:name w:val="标题 91"/>
    <w:basedOn w:val="748"/>
    <w:next w:val="748"/>
    <w:link w:val="965"/>
    <w:qFormat/>
    <w:pPr>
      <w:numPr>
        <w:ilvl w:val="8"/>
        <w:numId w:val="1"/>
      </w:numPr>
      <w:keepLines/>
      <w:keepNext/>
      <w:spacing w:before="240" w:after="64" w:line="320" w:lineRule="auto"/>
      <w:outlineLvl w:val="8"/>
    </w:pPr>
    <w:rPr>
      <w:rFonts w:ascii="Arial" w:hAnsi="Arial" w:eastAsia="黑体"/>
    </w:rPr>
  </w:style>
  <w:style w:type="character" w:styleId="965">
    <w:name w:val="标题 9 Char"/>
    <w:next w:val="965"/>
    <w:link w:val="964"/>
    <w:qFormat/>
    <w:rPr>
      <w:rFonts w:ascii="Arial" w:hAnsi="Arial" w:eastAsia="黑体" w:cs="Times New Roman"/>
      <w:szCs w:val="21"/>
    </w:rPr>
  </w:style>
  <w:style w:type="character" w:styleId="966">
    <w:name w:val="默认段落字体1"/>
    <w:next w:val="966"/>
    <w:link w:val="748"/>
    <w:uiPriority w:val="1"/>
    <w:unhideWhenUsed/>
    <w:qFormat/>
  </w:style>
  <w:style w:type="table" w:styleId="967">
    <w:name w:val="普通表格11"/>
    <w:next w:val="967"/>
    <w:link w:val="748"/>
    <w:uiPriority w:val="99"/>
    <w:unhideWhenUsed/>
    <w:qFormat/>
    <w:rPr>
      <w:lang w:val="en-US" w:eastAsia="zh-CN" w:bidi="ar-SA"/>
    </w:rPr>
    <w:tblPr/>
  </w:style>
  <w:style w:type="paragraph" w:styleId="968">
    <w:name w:val="列表 31"/>
    <w:basedOn w:val="748"/>
    <w:next w:val="968"/>
    <w:link w:val="748"/>
    <w:qFormat/>
    <w:pPr>
      <w:ind w:left="100" w:hanging="200"/>
    </w:pPr>
  </w:style>
  <w:style w:type="paragraph" w:styleId="969">
    <w:name w:val="目录 71"/>
    <w:basedOn w:val="748"/>
    <w:next w:val="748"/>
    <w:link w:val="748"/>
    <w:semiHidden/>
    <w:qFormat/>
    <w:pPr>
      <w:ind w:left="1260"/>
      <w:jc w:val="left"/>
    </w:pPr>
  </w:style>
  <w:style w:type="paragraph" w:styleId="970">
    <w:name w:val="文档结构图1"/>
    <w:basedOn w:val="748"/>
    <w:next w:val="970"/>
    <w:link w:val="971"/>
    <w:semiHidden/>
    <w:qFormat/>
    <w:pPr>
      <w:shd w:val="clear" w:color="auto" w:fill="000080"/>
    </w:pPr>
  </w:style>
  <w:style w:type="character" w:styleId="971">
    <w:name w:val="文档结构图 Char"/>
    <w:next w:val="971"/>
    <w:link w:val="970"/>
    <w:semiHidden/>
    <w:qFormat/>
    <w:rPr>
      <w:rFonts w:ascii="Times New Roman" w:hAnsi="Times New Roman" w:eastAsia="宋体" w:cs="Times New Roman"/>
      <w:szCs w:val="21"/>
      <w:shd w:val="clear" w:color="auto" w:fill="000080"/>
    </w:rPr>
  </w:style>
  <w:style w:type="paragraph" w:styleId="972">
    <w:name w:val="批注文字1"/>
    <w:basedOn w:val="748"/>
    <w:next w:val="972"/>
    <w:link w:val="973"/>
    <w:semiHidden/>
    <w:qFormat/>
    <w:pPr>
      <w:jc w:val="left"/>
    </w:pPr>
  </w:style>
  <w:style w:type="character" w:styleId="973">
    <w:name w:val="批注文字 Char"/>
    <w:next w:val="973"/>
    <w:link w:val="972"/>
    <w:semiHidden/>
    <w:qFormat/>
    <w:rPr>
      <w:rFonts w:ascii="Times New Roman" w:hAnsi="Times New Roman" w:eastAsia="宋体" w:cs="Times New Roman"/>
      <w:szCs w:val="21"/>
    </w:rPr>
  </w:style>
  <w:style w:type="paragraph" w:styleId="974">
    <w:name w:val="正文文本 31"/>
    <w:basedOn w:val="748"/>
    <w:next w:val="974"/>
    <w:link w:val="975"/>
    <w:qFormat/>
    <w:rPr>
      <w:rFonts w:ascii="仿宋_GB2312" w:hAnsi="Arial" w:eastAsia="仿宋_GB2312"/>
      <w:sz w:val="32"/>
      <w:szCs w:val="32"/>
    </w:rPr>
  </w:style>
  <w:style w:type="character" w:styleId="975">
    <w:name w:val="正文文本 3 Char"/>
    <w:next w:val="975"/>
    <w:link w:val="974"/>
    <w:qFormat/>
    <w:rPr>
      <w:rFonts w:ascii="仿宋_GB2312" w:hAnsi="Arial" w:eastAsia="仿宋_GB2312" w:cs="Times New Roman"/>
      <w:sz w:val="32"/>
      <w:szCs w:val="32"/>
    </w:rPr>
  </w:style>
  <w:style w:type="paragraph" w:styleId="976">
    <w:name w:val="正文文本11"/>
    <w:basedOn w:val="748"/>
    <w:next w:val="976"/>
    <w:link w:val="977"/>
    <w:qFormat/>
    <w:rPr>
      <w:rFonts w:ascii="楷体_GB2312" w:hAnsi="Arial" w:eastAsia="楷体_GB2312"/>
      <w:sz w:val="28"/>
      <w:szCs w:val="28"/>
    </w:rPr>
  </w:style>
  <w:style w:type="character" w:styleId="977">
    <w:name w:val="正文文本 Char"/>
    <w:next w:val="977"/>
    <w:link w:val="976"/>
    <w:qFormat/>
    <w:rPr>
      <w:rFonts w:ascii="楷体_GB2312" w:hAnsi="Arial" w:eastAsia="楷体_GB2312" w:cs="Times New Roman"/>
      <w:sz w:val="28"/>
      <w:szCs w:val="28"/>
    </w:rPr>
  </w:style>
  <w:style w:type="paragraph" w:styleId="978">
    <w:name w:val="正文文本缩进1"/>
    <w:basedOn w:val="748"/>
    <w:next w:val="978"/>
    <w:link w:val="979"/>
    <w:qFormat/>
    <w:pPr>
      <w:ind w:firstLine="645"/>
    </w:pPr>
    <w:rPr>
      <w:rFonts w:ascii="楷体_GB2312" w:eastAsia="楷体_GB2312"/>
      <w:sz w:val="32"/>
      <w:szCs w:val="32"/>
    </w:rPr>
  </w:style>
  <w:style w:type="character" w:styleId="979">
    <w:name w:val="正文文本缩进 Char"/>
    <w:next w:val="979"/>
    <w:link w:val="978"/>
    <w:qFormat/>
    <w:rPr>
      <w:rFonts w:ascii="楷体_GB2312" w:hAnsi="Times New Roman" w:eastAsia="楷体_GB2312" w:cs="Times New Roman"/>
      <w:sz w:val="32"/>
      <w:szCs w:val="32"/>
    </w:rPr>
  </w:style>
  <w:style w:type="paragraph" w:styleId="980">
    <w:name w:val="列表 21"/>
    <w:basedOn w:val="748"/>
    <w:next w:val="980"/>
    <w:link w:val="748"/>
    <w:qFormat/>
    <w:pPr>
      <w:ind w:left="100" w:hanging="200"/>
    </w:pPr>
  </w:style>
  <w:style w:type="paragraph" w:styleId="981">
    <w:name w:val="目录 51"/>
    <w:basedOn w:val="748"/>
    <w:next w:val="748"/>
    <w:link w:val="748"/>
    <w:semiHidden/>
    <w:qFormat/>
    <w:pPr>
      <w:ind w:left="840"/>
      <w:jc w:val="left"/>
    </w:pPr>
  </w:style>
  <w:style w:type="paragraph" w:styleId="982">
    <w:name w:val="目录 31"/>
    <w:basedOn w:val="748"/>
    <w:next w:val="748"/>
    <w:link w:val="748"/>
    <w:semiHidden/>
    <w:qFormat/>
    <w:pPr>
      <w:ind w:left="420"/>
      <w:jc w:val="left"/>
    </w:pPr>
    <w:rPr>
      <w:i/>
      <w:iCs/>
      <w:szCs w:val="24"/>
    </w:rPr>
  </w:style>
  <w:style w:type="paragraph" w:styleId="983">
    <w:name w:val="纯文本1"/>
    <w:basedOn w:val="748"/>
    <w:next w:val="983"/>
    <w:link w:val="984"/>
    <w:qFormat/>
    <w:rPr>
      <w:rFonts w:ascii="宋体" w:hAnsi="Courier New" w:cs="Courier New"/>
    </w:rPr>
  </w:style>
  <w:style w:type="character" w:styleId="984">
    <w:name w:val="纯文本 Char"/>
    <w:next w:val="984"/>
    <w:link w:val="983"/>
    <w:qFormat/>
    <w:rPr>
      <w:rFonts w:ascii="宋体" w:hAnsi="Courier New" w:eastAsia="宋体" w:cs="Courier New"/>
      <w:szCs w:val="21"/>
    </w:rPr>
  </w:style>
  <w:style w:type="paragraph" w:styleId="985">
    <w:name w:val="目录 81"/>
    <w:basedOn w:val="748"/>
    <w:next w:val="748"/>
    <w:link w:val="748"/>
    <w:semiHidden/>
    <w:qFormat/>
    <w:pPr>
      <w:ind w:left="1470"/>
      <w:jc w:val="left"/>
    </w:pPr>
  </w:style>
  <w:style w:type="paragraph" w:styleId="986">
    <w:name w:val="日期1"/>
    <w:basedOn w:val="748"/>
    <w:next w:val="748"/>
    <w:link w:val="987"/>
    <w:qFormat/>
    <w:rPr>
      <w:sz w:val="24"/>
      <w:szCs w:val="24"/>
    </w:rPr>
  </w:style>
  <w:style w:type="character" w:styleId="987">
    <w:name w:val="日期 Char"/>
    <w:next w:val="987"/>
    <w:link w:val="986"/>
    <w:qFormat/>
    <w:rPr>
      <w:rFonts w:ascii="Times New Roman" w:hAnsi="Times New Roman" w:eastAsia="宋体" w:cs="Times New Roman"/>
      <w:sz w:val="24"/>
      <w:szCs w:val="24"/>
    </w:rPr>
  </w:style>
  <w:style w:type="paragraph" w:styleId="988">
    <w:name w:val="正文文本缩进 21"/>
    <w:basedOn w:val="748"/>
    <w:next w:val="988"/>
    <w:link w:val="989"/>
    <w:qFormat/>
    <w:pPr>
      <w:ind w:left="630" w:firstLine="645"/>
    </w:pPr>
    <w:rPr>
      <w:rFonts w:ascii="Arial" w:hAnsi="Arial" w:eastAsia="仿宋_GB2312" w:cs="Arial"/>
      <w:sz w:val="32"/>
      <w:szCs w:val="32"/>
    </w:rPr>
  </w:style>
  <w:style w:type="character" w:styleId="989">
    <w:name w:val="正文文本缩进 2 Char"/>
    <w:next w:val="989"/>
    <w:link w:val="988"/>
    <w:qFormat/>
    <w:rPr>
      <w:rFonts w:ascii="Arial" w:hAnsi="Arial" w:eastAsia="仿宋_GB2312" w:cs="Arial"/>
      <w:sz w:val="32"/>
      <w:szCs w:val="32"/>
    </w:rPr>
  </w:style>
  <w:style w:type="paragraph" w:styleId="990">
    <w:name w:val="批注框文本1"/>
    <w:basedOn w:val="748"/>
    <w:next w:val="990"/>
    <w:link w:val="991"/>
    <w:semiHidden/>
    <w:qFormat/>
    <w:rPr>
      <w:sz w:val="18"/>
      <w:szCs w:val="18"/>
    </w:rPr>
  </w:style>
  <w:style w:type="character" w:styleId="991">
    <w:name w:val="批注框文本 Char"/>
    <w:next w:val="991"/>
    <w:link w:val="990"/>
    <w:semiHidden/>
    <w:qFormat/>
    <w:rPr>
      <w:rFonts w:ascii="Times New Roman" w:hAnsi="Times New Roman" w:eastAsia="宋体" w:cs="Times New Roman"/>
      <w:sz w:val="18"/>
      <w:szCs w:val="18"/>
    </w:rPr>
  </w:style>
  <w:style w:type="paragraph" w:styleId="992">
    <w:name w:val="页脚1"/>
    <w:basedOn w:val="748"/>
    <w:next w:val="992"/>
    <w:link w:val="993"/>
    <w:qFormat/>
    <w:pPr>
      <w:jc w:val="left"/>
      <w:tabs>
        <w:tab w:val="center" w:pos="4153" w:leader="none"/>
        <w:tab w:val="right" w:pos="8306" w:leader="none"/>
      </w:tabs>
    </w:pPr>
    <w:rPr>
      <w:sz w:val="18"/>
      <w:szCs w:val="18"/>
    </w:rPr>
  </w:style>
  <w:style w:type="character" w:styleId="993">
    <w:name w:val="页脚 Char"/>
    <w:next w:val="993"/>
    <w:link w:val="992"/>
    <w:qFormat/>
    <w:rPr>
      <w:rFonts w:ascii="Times New Roman" w:hAnsi="Times New Roman" w:eastAsia="宋体" w:cs="Times New Roman"/>
      <w:sz w:val="18"/>
      <w:szCs w:val="18"/>
    </w:rPr>
  </w:style>
  <w:style w:type="paragraph" w:styleId="994">
    <w:name w:val="页眉1"/>
    <w:basedOn w:val="748"/>
    <w:next w:val="994"/>
    <w:link w:val="995"/>
    <w:qFormat/>
    <w:pPr>
      <w:jc w:val="center"/>
      <w:tabs>
        <w:tab w:val="center" w:pos="4153" w:leader="none"/>
        <w:tab w:val="right" w:pos="8306" w:leader="none"/>
      </w:tabs>
      <w:pBdr>
        <w:bottom w:val="single" w:color="000000" w:sz="6" w:space="1"/>
      </w:pBdr>
    </w:pPr>
    <w:rPr>
      <w:sz w:val="18"/>
      <w:szCs w:val="18"/>
    </w:rPr>
  </w:style>
  <w:style w:type="character" w:styleId="995">
    <w:name w:val="页眉 Char"/>
    <w:next w:val="995"/>
    <w:link w:val="994"/>
    <w:qFormat/>
    <w:rPr>
      <w:rFonts w:ascii="Times New Roman" w:hAnsi="Times New Roman" w:eastAsia="宋体" w:cs="Times New Roman"/>
      <w:sz w:val="18"/>
      <w:szCs w:val="18"/>
    </w:rPr>
  </w:style>
  <w:style w:type="paragraph" w:styleId="996">
    <w:name w:val="目录 11"/>
    <w:basedOn w:val="748"/>
    <w:next w:val="748"/>
    <w:link w:val="748"/>
    <w:semiHidden/>
    <w:qFormat/>
    <w:pPr>
      <w:jc w:val="left"/>
      <w:spacing w:before="120" w:after="120" w:line="400" w:lineRule="exact"/>
      <w:tabs>
        <w:tab w:val="right" w:pos="8720" w:leader="dot"/>
      </w:tabs>
    </w:pPr>
    <w:rPr>
      <w:rFonts w:ascii="宋体" w:hAnsi="宋体"/>
      <w:caps/>
      <w:sz w:val="24"/>
      <w:szCs w:val="24"/>
    </w:rPr>
  </w:style>
  <w:style w:type="paragraph" w:styleId="997">
    <w:name w:val="目录 41"/>
    <w:basedOn w:val="748"/>
    <w:next w:val="748"/>
    <w:link w:val="748"/>
    <w:semiHidden/>
    <w:qFormat/>
    <w:pPr>
      <w:ind w:left="630"/>
      <w:jc w:val="left"/>
    </w:pPr>
  </w:style>
  <w:style w:type="paragraph" w:styleId="998">
    <w:name w:val="列表1"/>
    <w:basedOn w:val="748"/>
    <w:next w:val="998"/>
    <w:link w:val="748"/>
    <w:qFormat/>
    <w:pPr>
      <w:ind w:left="200" w:hanging="200"/>
    </w:pPr>
  </w:style>
  <w:style w:type="paragraph" w:styleId="999">
    <w:name w:val="目录 61"/>
    <w:basedOn w:val="748"/>
    <w:next w:val="748"/>
    <w:link w:val="748"/>
    <w:semiHidden/>
    <w:qFormat/>
    <w:pPr>
      <w:ind w:left="1050"/>
      <w:jc w:val="left"/>
    </w:pPr>
  </w:style>
  <w:style w:type="paragraph" w:styleId="1000">
    <w:name w:val="正文文本缩进 31"/>
    <w:basedOn w:val="748"/>
    <w:next w:val="1000"/>
    <w:link w:val="1001"/>
    <w:qFormat/>
    <w:pPr>
      <w:ind w:left="645" w:firstLine="645"/>
    </w:pPr>
    <w:rPr>
      <w:rFonts w:ascii="Arial" w:hAnsi="Arial" w:eastAsia="仿宋_GB2312" w:cs="Arial"/>
      <w:color w:val="ffff00"/>
      <w:sz w:val="32"/>
      <w:szCs w:val="32"/>
    </w:rPr>
  </w:style>
  <w:style w:type="character" w:styleId="1001">
    <w:name w:val="正文文本缩进 3 Char"/>
    <w:next w:val="1001"/>
    <w:link w:val="1000"/>
    <w:qFormat/>
    <w:rPr>
      <w:rFonts w:ascii="Arial" w:hAnsi="Arial" w:eastAsia="仿宋_GB2312" w:cs="Arial"/>
      <w:color w:val="ffff00"/>
      <w:sz w:val="32"/>
      <w:szCs w:val="32"/>
    </w:rPr>
  </w:style>
  <w:style w:type="paragraph" w:styleId="1002">
    <w:name w:val="图表目录1"/>
    <w:basedOn w:val="748"/>
    <w:next w:val="748"/>
    <w:link w:val="748"/>
    <w:semiHidden/>
    <w:qFormat/>
    <w:pPr>
      <w:ind w:left="840" w:hanging="420"/>
    </w:pPr>
  </w:style>
  <w:style w:type="paragraph" w:styleId="1003">
    <w:name w:val="目录 21"/>
    <w:basedOn w:val="748"/>
    <w:next w:val="748"/>
    <w:link w:val="748"/>
    <w:semiHidden/>
    <w:qFormat/>
    <w:pPr>
      <w:ind w:left="210"/>
      <w:jc w:val="left"/>
    </w:pPr>
    <w:rPr>
      <w:smallCaps/>
      <w:szCs w:val="24"/>
    </w:rPr>
  </w:style>
  <w:style w:type="paragraph" w:styleId="1004">
    <w:name w:val="目录 91"/>
    <w:basedOn w:val="748"/>
    <w:next w:val="748"/>
    <w:link w:val="748"/>
    <w:semiHidden/>
    <w:qFormat/>
    <w:pPr>
      <w:ind w:left="1680"/>
      <w:jc w:val="left"/>
    </w:pPr>
  </w:style>
  <w:style w:type="paragraph" w:styleId="1005">
    <w:name w:val="正文文本 21"/>
    <w:basedOn w:val="748"/>
    <w:next w:val="1005"/>
    <w:link w:val="1006"/>
    <w:qFormat/>
    <w:pPr>
      <w:jc w:val="center"/>
      <w:widowControl/>
    </w:pPr>
    <w:rPr>
      <w:rFonts w:ascii="楷体_GB2312" w:eastAsia="楷体_GB2312"/>
      <w:sz w:val="28"/>
      <w:szCs w:val="28"/>
    </w:rPr>
  </w:style>
  <w:style w:type="character" w:styleId="1006">
    <w:name w:val="正文文本 2 Char"/>
    <w:next w:val="1006"/>
    <w:link w:val="1005"/>
    <w:qFormat/>
    <w:rPr>
      <w:rFonts w:ascii="楷体_GB2312" w:hAnsi="Times New Roman" w:eastAsia="楷体_GB2312" w:cs="Times New Roman"/>
      <w:sz w:val="28"/>
      <w:szCs w:val="28"/>
    </w:rPr>
  </w:style>
  <w:style w:type="paragraph" w:styleId="1007">
    <w:name w:val="普通(网站)1"/>
    <w:basedOn w:val="748"/>
    <w:next w:val="1007"/>
    <w:link w:val="748"/>
    <w:uiPriority w:val="99"/>
    <w:qFormat/>
    <w:pPr>
      <w:jc w:val="left"/>
      <w:spacing w:before="100" w:beforeAutospacing="1" w:after="100" w:afterAutospacing="1"/>
      <w:widowControl/>
    </w:pPr>
    <w:rPr>
      <w:rFonts w:ascii="宋体" w:hAnsi="宋体" w:cs="宋体"/>
      <w:sz w:val="24"/>
      <w:szCs w:val="24"/>
    </w:rPr>
  </w:style>
  <w:style w:type="paragraph" w:styleId="1008">
    <w:name w:val="索引 11"/>
    <w:basedOn w:val="748"/>
    <w:next w:val="748"/>
    <w:link w:val="748"/>
    <w:semiHidden/>
    <w:qFormat/>
    <w:pPr>
      <w:spacing w:line="240" w:lineRule="atLeast"/>
    </w:pPr>
    <w:rPr>
      <w:b/>
      <w:bCs/>
    </w:rPr>
  </w:style>
  <w:style w:type="paragraph" w:styleId="1009">
    <w:name w:val="批注主题1"/>
    <w:basedOn w:val="972"/>
    <w:next w:val="972"/>
    <w:link w:val="1010"/>
    <w:semiHidden/>
    <w:qFormat/>
    <w:rPr>
      <w:b/>
      <w:bCs/>
    </w:rPr>
  </w:style>
  <w:style w:type="character" w:styleId="1010">
    <w:name w:val="批注主题 Char"/>
    <w:next w:val="1010"/>
    <w:link w:val="1009"/>
    <w:semiHidden/>
    <w:qFormat/>
    <w:rPr>
      <w:rFonts w:ascii="Times New Roman" w:hAnsi="Times New Roman" w:eastAsia="宋体" w:cs="Times New Roman"/>
      <w:b/>
      <w:bCs/>
      <w:szCs w:val="21"/>
    </w:rPr>
  </w:style>
  <w:style w:type="paragraph" w:styleId="1011">
    <w:name w:val="正文首行缩进1"/>
    <w:basedOn w:val="748"/>
    <w:next w:val="1011"/>
    <w:link w:val="1012"/>
    <w:qFormat/>
    <w:pPr>
      <w:ind w:firstLine="200"/>
      <w:spacing w:line="360" w:lineRule="auto"/>
    </w:pPr>
    <w:rPr>
      <w:rFonts w:ascii="仿宋_GB2312" w:eastAsia="仿宋_GB2312"/>
      <w:sz w:val="30"/>
      <w:szCs w:val="30"/>
    </w:rPr>
  </w:style>
  <w:style w:type="character" w:styleId="1012">
    <w:name w:val="正文首行缩进 Char"/>
    <w:next w:val="1012"/>
    <w:link w:val="1011"/>
    <w:qFormat/>
    <w:rPr>
      <w:rFonts w:ascii="仿宋_GB2312" w:hAnsi="Times New Roman" w:eastAsia="仿宋_GB2312" w:cs="Times New Roman"/>
      <w:sz w:val="30"/>
      <w:szCs w:val="30"/>
    </w:rPr>
  </w:style>
  <w:style w:type="paragraph" w:styleId="1013">
    <w:name w:val="正文首行缩进 21"/>
    <w:basedOn w:val="978"/>
    <w:next w:val="1013"/>
    <w:link w:val="1014"/>
    <w:qFormat/>
    <w:pPr>
      <w:ind w:firstLine="420"/>
      <w:spacing w:line="360" w:lineRule="auto"/>
    </w:pPr>
    <w:rPr>
      <w:rFonts w:ascii="宋体" w:hAnsi="宋体" w:eastAsia="宋体"/>
      <w:sz w:val="21"/>
      <w:szCs w:val="20"/>
    </w:rPr>
  </w:style>
  <w:style w:type="character" w:styleId="1014">
    <w:name w:val="正文首行缩进 2 Char"/>
    <w:next w:val="1014"/>
    <w:link w:val="1013"/>
    <w:qFormat/>
    <w:rPr>
      <w:rFonts w:ascii="宋体" w:hAnsi="宋体" w:eastAsia="宋体" w:cs="Times New Roman"/>
      <w:sz w:val="32"/>
      <w:szCs w:val="20"/>
    </w:rPr>
  </w:style>
  <w:style w:type="table" w:styleId="1015">
    <w:name w:val="网格型11"/>
    <w:basedOn w:val="967"/>
    <w:next w:val="1015"/>
    <w:link w:val="748"/>
    <w:qFormat/>
    <w:pPr>
      <w:jc w:val="both"/>
      <w:widowControl w:val="off"/>
    </w:pPr>
    <w:rPr>
      <w:rFonts w:ascii="Times New Roman" w:hAnsi="Times New Roman" w:eastAsia="宋体" w:cs="Times New Roman"/>
      <w:sz w:val="20"/>
      <w:szCs w:val="20"/>
    </w:rPr>
    <w:tblPr/>
  </w:style>
  <w:style w:type="character" w:styleId="1016">
    <w:name w:val="要点1"/>
    <w:next w:val="1016"/>
    <w:link w:val="748"/>
    <w:qFormat/>
    <w:rPr>
      <w:b/>
      <w:bCs/>
    </w:rPr>
  </w:style>
  <w:style w:type="character" w:styleId="1017">
    <w:name w:val="页码1"/>
    <w:next w:val="1017"/>
    <w:link w:val="748"/>
    <w:qFormat/>
  </w:style>
  <w:style w:type="character" w:styleId="1018">
    <w:name w:val="已访问的超链接1"/>
    <w:next w:val="1018"/>
    <w:link w:val="748"/>
    <w:qFormat/>
    <w:rPr>
      <w:color w:val="800080"/>
      <w:u w:val="single"/>
    </w:rPr>
  </w:style>
  <w:style w:type="character" w:styleId="1019">
    <w:name w:val="超链接1"/>
    <w:next w:val="1019"/>
    <w:link w:val="748"/>
    <w:qFormat/>
    <w:rPr>
      <w:color w:val="0000ff"/>
      <w:u w:val="single"/>
    </w:rPr>
  </w:style>
  <w:style w:type="character" w:styleId="1020">
    <w:name w:val="批注引用1"/>
    <w:next w:val="1020"/>
    <w:link w:val="748"/>
    <w:semiHidden/>
    <w:qFormat/>
    <w:rPr>
      <w:sz w:val="21"/>
      <w:szCs w:val="21"/>
    </w:rPr>
  </w:style>
  <w:style w:type="paragraph" w:styleId="1021">
    <w:name w:val="正文文本1"/>
    <w:basedOn w:val="748"/>
    <w:next w:val="748"/>
    <w:link w:val="748"/>
    <w:semiHidden/>
    <w:qFormat/>
    <w:rPr>
      <w:rFonts w:ascii="Arial" w:hAnsi="Arial" w:eastAsia="Arial" w:cs="Arial"/>
      <w:sz w:val="21"/>
      <w:szCs w:val="21"/>
      <w:lang w:val="en-US" w:eastAsia="en-US" w:bidi="ar-SA"/>
    </w:rPr>
  </w:style>
  <w:style w:type="paragraph" w:styleId="1022">
    <w:name w:val="正文文本12"/>
    <w:basedOn w:val="748"/>
    <w:next w:val="1022"/>
    <w:link w:val="748"/>
    <w:uiPriority w:val="1"/>
    <w:qFormat/>
    <w:pPr>
      <w:ind w:left="120"/>
    </w:pPr>
    <w:rPr>
      <w:rFonts w:ascii="宋体" w:hAnsi="宋体" w:eastAsia="宋体" w:cs="宋体"/>
      <w:sz w:val="21"/>
      <w:szCs w:val="21"/>
      <w:lang w:val="zh-CN" w:eastAsia="zh-CN" w:bidi="zh-CN"/>
    </w:rPr>
  </w:style>
  <w:style w:type="character" w:styleId="1023">
    <w:name w:val="font5 Char"/>
    <w:next w:val="1023"/>
    <w:link w:val="748"/>
    <w:qFormat/>
    <w:rPr>
      <w:rFonts w:ascii="宋体" w:hAnsi="宋体" w:eastAsia="宋体"/>
      <w:sz w:val="28"/>
      <w:szCs w:val="28"/>
      <w:lang w:val="en-US" w:eastAsia="zh-CN" w:bidi="ar-SA"/>
    </w:rPr>
  </w:style>
  <w:style w:type="character" w:styleId="1024">
    <w:name w:val="二级目录 Char"/>
    <w:next w:val="1024"/>
    <w:link w:val="1025"/>
    <w:qFormat/>
    <w:rPr>
      <w:b/>
      <w:sz w:val="30"/>
      <w:szCs w:val="28"/>
    </w:rPr>
  </w:style>
  <w:style w:type="paragraph" w:styleId="1025">
    <w:name w:val="二级目录"/>
    <w:next w:val="748"/>
    <w:link w:val="1024"/>
    <w:qFormat/>
    <w:pPr>
      <w:numPr>
        <w:ilvl w:val="0"/>
        <w:numId w:val="2"/>
      </w:numPr>
      <w:tabs>
        <w:tab w:val="left" w:pos="907" w:leader="none"/>
        <w:tab w:val="left" w:pos="1145" w:leader="none"/>
      </w:tabs>
      <w:outlineLvl w:val="1"/>
    </w:pPr>
    <w:rPr>
      <w:b/>
      <w:sz w:val="30"/>
      <w:szCs w:val="28"/>
      <w:lang w:val="en-US" w:eastAsia="zh-CN" w:bidi="ar-SA"/>
    </w:rPr>
  </w:style>
  <w:style w:type="character" w:styleId="1026">
    <w:name w:val="列出段落 Char"/>
    <w:next w:val="1026"/>
    <w:link w:val="1027"/>
    <w:qFormat/>
    <w:rPr>
      <w:rFonts w:ascii="Calibri" w:hAnsi="Calibri"/>
      <w:sz w:val="24"/>
      <w:szCs w:val="24"/>
      <w:lang w:eastAsia="en-US" w:bidi="en-US"/>
    </w:rPr>
  </w:style>
  <w:style w:type="paragraph" w:styleId="1027">
    <w:name w:val="列出段落1"/>
    <w:basedOn w:val="748"/>
    <w:next w:val="1027"/>
    <w:link w:val="1026"/>
    <w:qFormat/>
    <w:pPr>
      <w:contextualSpacing/>
      <w:ind w:left="720"/>
      <w:jc w:val="left"/>
      <w:widowControl/>
    </w:pPr>
    <w:rPr>
      <w:rFonts w:ascii="Calibri" w:hAnsi="Calibri" w:eastAsia="宋体" w:cs="Times New Roman"/>
      <w:sz w:val="24"/>
      <w:szCs w:val="24"/>
      <w:lang w:eastAsia="en-US" w:bidi="en-US"/>
    </w:rPr>
  </w:style>
  <w:style w:type="paragraph" w:styleId="1028">
    <w:name w:val="Body Text(ch)"/>
    <w:basedOn w:val="748"/>
    <w:next w:val="976"/>
    <w:link w:val="748"/>
    <w:qFormat/>
    <w:pPr>
      <w:spacing w:after="120"/>
    </w:pPr>
    <w:rPr>
      <w:rFonts w:ascii="宋体" w:hAnsi="Arial"/>
      <w:bCs/>
      <w:iCs/>
      <w:szCs w:val="24"/>
    </w:rPr>
  </w:style>
  <w:style w:type="paragraph" w:styleId="1029">
    <w:name w:val="xl27"/>
    <w:basedOn w:val="748"/>
    <w:next w:val="1029"/>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xl26"/>
    <w:basedOn w:val="748"/>
    <w:next w:val="1030"/>
    <w:link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name w:val="Char"/>
    <w:basedOn w:val="748"/>
    <w:next w:val="1031"/>
    <w:link w:val="748"/>
    <w:qFormat/>
    <w:pPr>
      <w:ind w:firstLine="200"/>
      <w:tabs>
        <w:tab w:val="left" w:pos="360" w:leader="none"/>
      </w:tabs>
    </w:pPr>
    <w:rPr>
      <w:sz w:val="28"/>
      <w:szCs w:val="30"/>
    </w:rPr>
  </w:style>
  <w:style w:type="paragraph" w:styleId="1032">
    <w:name w:val=" Char"/>
    <w:basedOn w:val="970"/>
    <w:next w:val="1032"/>
    <w:link w:val="748"/>
    <w:qFormat/>
    <w:rPr>
      <w:rFonts w:ascii="Tahoma" w:hAnsi="Tahoma"/>
      <w:sz w:val="24"/>
      <w:szCs w:val="24"/>
    </w:rPr>
  </w:style>
  <w:style w:type="paragraph" w:styleId="1033">
    <w:name w:val="普通正文"/>
    <w:basedOn w:val="748"/>
    <w:next w:val="1033"/>
    <w:link w:val="748"/>
    <w:qFormat/>
    <w:pPr>
      <w:ind w:firstLine="480"/>
      <w:jc w:val="left"/>
      <w:spacing w:before="120" w:after="120" w:line="360" w:lineRule="auto"/>
    </w:pPr>
    <w:rPr>
      <w:rFonts w:ascii="Arial" w:hAnsi="Arial"/>
      <w:sz w:val="24"/>
      <w:szCs w:val="24"/>
    </w:rPr>
  </w:style>
  <w:style w:type="paragraph" w:styleId="1034">
    <w:name w:val="table_lines"/>
    <w:basedOn w:val="748"/>
    <w:next w:val="1034"/>
    <w:link w:val="748"/>
    <w:qFormat/>
    <w:pPr>
      <w:jc w:val="left"/>
      <w:widowControl/>
    </w:pPr>
    <w:rPr>
      <w:sz w:val="20"/>
      <w:szCs w:val="20"/>
      <w:lang w:val="de-DE" w:eastAsia="de-DE"/>
    </w:rPr>
  </w:style>
  <w:style w:type="paragraph" w:styleId="1035">
    <w:name w:val="附录1"/>
    <w:next w:val="1035"/>
    <w:link w:val="748"/>
    <w:qFormat/>
    <w:pPr>
      <w:numPr>
        <w:ilvl w:val="0"/>
        <w:numId w:val="2"/>
      </w:numPr>
      <w:spacing w:before="240" w:line="600" w:lineRule="atLeast"/>
      <w:tabs>
        <w:tab w:val="left" w:pos="907" w:leader="none"/>
      </w:tabs>
    </w:pPr>
    <w:rPr>
      <w:b/>
      <w:i/>
      <w:sz w:val="28"/>
      <w:lang w:val="en-US" w:eastAsia="zh-CN" w:bidi="ar-SA"/>
    </w:rPr>
  </w:style>
  <w:style w:type="paragraph" w:styleId="1036">
    <w:name w:val="font7"/>
    <w:basedOn w:val="748"/>
    <w:next w:val="1036"/>
    <w:link w:val="748"/>
    <w:qFormat/>
    <w:pPr>
      <w:jc w:val="left"/>
      <w:spacing w:before="100" w:beforeAutospacing="1" w:after="100" w:afterAutospacing="1"/>
      <w:widowControl/>
    </w:pPr>
    <w:rPr>
      <w:rFonts w:hint="eastAsia" w:ascii="宋体" w:hAnsi="宋体"/>
      <w:sz w:val="18"/>
      <w:szCs w:val="18"/>
    </w:rPr>
  </w:style>
  <w:style w:type="paragraph" w:styleId="1037">
    <w:name w:val=" Char Char Char Char"/>
    <w:basedOn w:val="970"/>
    <w:next w:val="1037"/>
    <w:link w:val="748"/>
    <w:qFormat/>
    <w:pPr>
      <w:spacing w:line="360" w:lineRule="auto"/>
    </w:pPr>
    <w:rPr>
      <w:rFonts w:ascii="Tahoma" w:hAnsi="Tahoma"/>
      <w:sz w:val="24"/>
      <w:szCs w:val="24"/>
    </w:rPr>
  </w:style>
  <w:style w:type="paragraph" w:styleId="1038">
    <w:name w:val="列出段落"/>
    <w:basedOn w:val="748"/>
    <w:next w:val="1038"/>
    <w:link w:val="748"/>
    <w:qFormat/>
    <w:pPr>
      <w:contextualSpacing/>
      <w:ind w:left="720"/>
      <w:jc w:val="left"/>
      <w:widowControl/>
    </w:pPr>
    <w:rPr>
      <w:rFonts w:ascii="Calibri" w:hAnsi="Calibri"/>
      <w:sz w:val="24"/>
      <w:szCs w:val="24"/>
      <w:lang w:eastAsia="en-US" w:bidi="en-US"/>
    </w:rPr>
  </w:style>
  <w:style w:type="paragraph" w:styleId="1039">
    <w:name w:val="4"/>
    <w:basedOn w:val="748"/>
    <w:next w:val="1000"/>
    <w:link w:val="748"/>
    <w:qFormat/>
    <w:pPr>
      <w:ind w:firstLine="420"/>
      <w:spacing w:line="360" w:lineRule="auto"/>
    </w:pPr>
    <w:rPr>
      <w:color w:val="ff0000"/>
      <w:sz w:val="24"/>
      <w:szCs w:val="24"/>
    </w:rPr>
  </w:style>
  <w:style w:type="paragraph" w:styleId="1040">
    <w:name w:val="普通 (Web)"/>
    <w:basedOn w:val="748"/>
    <w:next w:val="1040"/>
    <w:link w:val="748"/>
    <w:qFormat/>
    <w:pPr>
      <w:jc w:val="left"/>
      <w:spacing w:before="100" w:beforeAutospacing="1" w:after="100" w:afterAutospacing="1"/>
      <w:widowControl/>
    </w:pPr>
    <w:rPr>
      <w:rFonts w:ascii="宋体" w:hAnsi="宋体"/>
      <w:sz w:val="24"/>
      <w:szCs w:val="24"/>
    </w:rPr>
  </w:style>
  <w:style w:type="paragraph" w:styleId="1041">
    <w:name w:val=" Char Char Char Char Char Char Char Char Char Char"/>
    <w:basedOn w:val="748"/>
    <w:next w:val="1041"/>
    <w:link w:val="748"/>
    <w:qFormat/>
    <w:pPr>
      <w:spacing w:line="360" w:lineRule="auto"/>
    </w:pPr>
    <w:rPr>
      <w:sz w:val="24"/>
      <w:szCs w:val="20"/>
    </w:rPr>
  </w:style>
  <w:style w:type="paragraph" w:styleId="1042">
    <w:name w:val="样式1"/>
    <w:basedOn w:val="748"/>
    <w:next w:val="1042"/>
    <w:link w:val="748"/>
    <w:qFormat/>
    <w:pPr>
      <w:numPr>
        <w:ilvl w:val="0"/>
        <w:numId w:val="3"/>
      </w:numPr>
      <w:tabs>
        <w:tab w:val="left" w:pos="709" w:leader="none"/>
      </w:tabs>
    </w:pPr>
    <w:rPr>
      <w:rFonts w:ascii="宋体" w:hAnsi="宋体"/>
    </w:rPr>
  </w:style>
  <w:style w:type="paragraph" w:styleId="1043">
    <w:name w:val="font6"/>
    <w:basedOn w:val="748"/>
    <w:next w:val="1043"/>
    <w:link w:val="748"/>
    <w:qFormat/>
    <w:pPr>
      <w:jc w:val="left"/>
      <w:spacing w:before="100" w:beforeAutospacing="1" w:after="100" w:afterAutospacing="1"/>
      <w:widowControl/>
    </w:pPr>
    <w:rPr>
      <w:rFonts w:hint="eastAsia" w:ascii="宋体" w:hAnsi="宋体"/>
      <w:sz w:val="28"/>
      <w:szCs w:val="28"/>
      <w:u w:val="single"/>
    </w:rPr>
  </w:style>
  <w:style w:type="paragraph" w:styleId="1044">
    <w:name w:val="xl25"/>
    <w:basedOn w:val="748"/>
    <w:next w:val="1044"/>
    <w:link w:val="74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name w:val="图标"/>
    <w:basedOn w:val="748"/>
    <w:next w:val="748"/>
    <w:link w:val="74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name w:val="标题3"/>
    <w:basedOn w:val="748"/>
    <w:next w:val="748"/>
    <w:link w:val="748"/>
    <w:qFormat/>
    <w:pPr>
      <w:ind w:firstLine="624"/>
      <w:spacing w:line="590" w:lineRule="atLeast"/>
    </w:pPr>
    <w:rPr>
      <w:rFonts w:ascii="方正黑体_GBK" w:eastAsia="方正黑体_GBK"/>
      <w:sz w:val="32"/>
      <w:szCs w:val="32"/>
    </w:rPr>
  </w:style>
  <w:style w:type="paragraph" w:styleId="1047">
    <w:name w:val="xl24"/>
    <w:basedOn w:val="748"/>
    <w:next w:val="1047"/>
    <w:link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name w:val="xl29"/>
    <w:basedOn w:val="748"/>
    <w:next w:val="1048"/>
    <w:link w:val="74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9">
    <w:name w:val="Char Char Char Char Char Char Char Char"/>
    <w:basedOn w:val="748"/>
    <w:next w:val="1049"/>
    <w:link w:val="748"/>
    <w:qFormat/>
    <w:pPr>
      <w:jc w:val="left"/>
      <w:spacing w:after="160" w:line="240" w:lineRule="exact"/>
      <w:widowControl/>
    </w:pPr>
    <w:rPr>
      <w:rFonts w:ascii="Verdana" w:hAnsi="Verdana"/>
      <w:sz w:val="20"/>
      <w:szCs w:val="20"/>
      <w:lang w:eastAsia="en-US"/>
    </w:rPr>
  </w:style>
  <w:style w:type="paragraph" w:styleId="1050">
    <w:name w:val="xl28"/>
    <w:basedOn w:val="748"/>
    <w:next w:val="1050"/>
    <w:link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1">
    <w:name w:val=" Char Char Char Char Char Char Char Char"/>
    <w:basedOn w:val="748"/>
    <w:next w:val="1051"/>
    <w:link w:val="748"/>
    <w:qFormat/>
    <w:pPr>
      <w:jc w:val="left"/>
      <w:spacing w:after="160" w:line="240" w:lineRule="exact"/>
      <w:widowControl/>
    </w:pPr>
    <w:rPr>
      <w:rFonts w:ascii="Verdana" w:hAnsi="Verdana"/>
      <w:sz w:val="20"/>
      <w:szCs w:val="20"/>
      <w:lang w:eastAsia="en-US"/>
    </w:rPr>
  </w:style>
  <w:style w:type="paragraph" w:styleId="1052">
    <w:name w:val="xl30"/>
    <w:basedOn w:val="748"/>
    <w:next w:val="1052"/>
    <w:link w:val="748"/>
    <w:qFormat/>
    <w:pPr>
      <w:jc w:val="center"/>
      <w:spacing w:before="100" w:beforeAutospacing="1" w:after="100" w:afterAutospacing="1"/>
      <w:widowControl/>
    </w:pPr>
    <w:rPr>
      <w:rFonts w:ascii="宋体" w:hAnsi="宋体"/>
      <w:b/>
      <w:bCs/>
      <w:sz w:val="36"/>
      <w:szCs w:val="36"/>
    </w:rPr>
  </w:style>
  <w:style w:type="paragraph" w:styleId="1053">
    <w:name w:val="Char Char Char Char"/>
    <w:basedOn w:val="970"/>
    <w:next w:val="1053"/>
    <w:link w:val="748"/>
    <w:qFormat/>
    <w:pPr>
      <w:spacing w:line="360" w:lineRule="auto"/>
    </w:pPr>
    <w:rPr>
      <w:rFonts w:ascii="Tahoma" w:hAnsi="Tahoma"/>
      <w:sz w:val="24"/>
      <w:szCs w:val="24"/>
    </w:rPr>
  </w:style>
  <w:style w:type="paragraph" w:styleId="1054">
    <w:name w:val="table_1stline"/>
    <w:basedOn w:val="748"/>
    <w:next w:val="1054"/>
    <w:link w:val="748"/>
    <w:qFormat/>
    <w:pPr>
      <w:jc w:val="left"/>
      <w:spacing w:before="120"/>
      <w:widowControl/>
    </w:pPr>
    <w:rPr>
      <w:bCs/>
      <w:sz w:val="20"/>
      <w:szCs w:val="20"/>
      <w:lang w:val="de-DE" w:eastAsia="de-DE"/>
    </w:rPr>
  </w:style>
  <w:style w:type="paragraph" w:styleId="1055">
    <w:name w:val="font5"/>
    <w:basedOn w:val="748"/>
    <w:next w:val="1055"/>
    <w:link w:val="748"/>
    <w:qFormat/>
    <w:pPr>
      <w:jc w:val="left"/>
      <w:spacing w:before="100" w:beforeAutospacing="1" w:after="100" w:afterAutospacing="1"/>
      <w:widowControl/>
    </w:pPr>
    <w:rPr>
      <w:rFonts w:hint="eastAsia" w:ascii="宋体" w:hAnsi="宋体"/>
      <w:sz w:val="28"/>
      <w:szCs w:val="28"/>
    </w:rPr>
  </w:style>
  <w:style w:type="paragraph" w:styleId="1056">
    <w:name w:val="标题1"/>
    <w:basedOn w:val="748"/>
    <w:next w:val="748"/>
    <w:link w:val="7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name w:val="修订"/>
    <w:next w:val="1057"/>
    <w:link w:val="748"/>
    <w:uiPriority w:val="99"/>
    <w:semiHidden/>
    <w:qFormat/>
    <w:rPr>
      <w:sz w:val="21"/>
      <w:szCs w:val="21"/>
      <w:lang w:val="en-US" w:eastAsia="zh-CN" w:bidi="ar-SA"/>
    </w:rPr>
  </w:style>
  <w:style w:type="paragraph" w:styleId="1058">
    <w:name w:val="无间隔1"/>
    <w:next w:val="1058"/>
    <w:link w:val="748"/>
    <w:uiPriority w:val="99"/>
    <w:qFormat/>
    <w:pPr>
      <w:jc w:val="both"/>
      <w:widowControl w:val="off"/>
    </w:pPr>
    <w:rPr>
      <w:sz w:val="21"/>
      <w:szCs w:val="21"/>
      <w:lang w:val="en-US" w:eastAsia="zh-CN" w:bidi="ar-SA"/>
    </w:rPr>
  </w:style>
  <w:style w:type="paragraph" w:styleId="1059">
    <w:name w:val="正文文本 211"/>
    <w:basedOn w:val="748"/>
    <w:next w:val="1059"/>
    <w:link w:val="748"/>
    <w:uiPriority w:val="99"/>
    <w:qFormat/>
    <w:pPr>
      <w:jc w:val="center"/>
    </w:pPr>
    <w:rPr>
      <w:b/>
      <w:bCs/>
      <w:sz w:val="20"/>
      <w:szCs w:val="20"/>
    </w:rPr>
  </w:style>
  <w:style w:type="table" w:styleId="1060">
    <w:name w:val="Table Normal_0"/>
    <w:next w:val="1060"/>
    <w:link w:val="748"/>
    <w:qFormat/>
    <w:rPr>
      <w:lang w:val="en-US" w:eastAsia="zh-CN" w:bidi="ar-SA"/>
    </w:rPr>
    <w:tblPr/>
  </w:style>
  <w:style w:type="character" w:styleId="1061">
    <w:name w:val="font71"/>
    <w:next w:val="1061"/>
    <w:link w:val="748"/>
    <w:qFormat/>
    <w:rPr>
      <w:rFonts w:hint="eastAsia" w:ascii="仿宋" w:hAnsi="仿宋" w:eastAsia="仿宋" w:cs="仿宋"/>
      <w:color w:val="000000"/>
      <w:sz w:val="24"/>
      <w:szCs w:val="24"/>
      <w:u w:val="single"/>
    </w:rPr>
  </w:style>
  <w:style w:type="character" w:styleId="1062">
    <w:name w:val="font41"/>
    <w:next w:val="1062"/>
    <w:link w:val="748"/>
    <w:qFormat/>
    <w:rPr>
      <w:rFonts w:hint="eastAsia" w:ascii="仿宋" w:hAnsi="仿宋" w:eastAsia="仿宋" w:cs="仿宋"/>
      <w:color w:val="000000"/>
      <w:sz w:val="24"/>
      <w:szCs w:val="24"/>
      <w:u w:val="none"/>
    </w:rPr>
  </w:style>
  <w:style w:type="character" w:styleId="1063">
    <w:name w:val="font81"/>
    <w:next w:val="1063"/>
    <w:link w:val="748"/>
    <w:qFormat/>
    <w:rPr>
      <w:rFonts w:hint="eastAsia" w:ascii="宋体" w:hAnsi="宋体" w:eastAsia="宋体" w:cs="宋体"/>
      <w:color w:val="000000"/>
      <w:sz w:val="24"/>
      <w:szCs w:val="24"/>
      <w:u w:val="single"/>
    </w:rPr>
  </w:style>
  <w:style w:type="paragraph" w:styleId="1064">
    <w:name w:val="Table Paragraph"/>
    <w:basedOn w:val="748"/>
    <w:next w:val="1064"/>
    <w:link w:val="748"/>
    <w:uiPriority w:val="1"/>
    <w:qFormat/>
    <w:pPr>
      <w:jc w:val="left"/>
    </w:pPr>
    <w:rPr>
      <w:rFonts w:ascii="宋体" w:hAnsi="宋体" w:eastAsia="宋体" w:cs="宋体"/>
      <w:sz w:val="22"/>
      <w:szCs w:val="22"/>
      <w:lang w:val="zh-CN" w:bidi="zh-CN"/>
    </w:rPr>
  </w:style>
  <w:style w:type="table" w:styleId="1065">
    <w:name w:val="网格型1"/>
    <w:basedOn w:val="1066"/>
    <w:next w:val="1065"/>
    <w:link w:val="748"/>
    <w:qFormat/>
    <w:pPr>
      <w:jc w:val="both"/>
      <w:widowControl w:val="off"/>
    </w:pPr>
    <w:tblPr/>
  </w:style>
  <w:style w:type="table" w:styleId="1066">
    <w:name w:val="普通表格1"/>
    <w:next w:val="1066"/>
    <w:link w:val="748"/>
    <w:semiHidden/>
    <w:qFormat/>
    <w:rPr>
      <w:lang w:val="en-US" w:eastAsia="zh-CN" w:bidi="ar-SA"/>
    </w:rPr>
    <w:tblPr/>
  </w:style>
  <w:style w:type="paragraph" w:styleId="1067">
    <w:name w:val="首行缩进"/>
    <w:basedOn w:val="748"/>
    <w:next w:val="1067"/>
    <w:link w:val="748"/>
    <w:qFormat/>
    <w:pPr>
      <w:ind w:firstLine="480"/>
    </w:pPr>
    <w:rPr>
      <w:lang w:val="zh-CN"/>
    </w:rPr>
  </w:style>
  <w:style w:type="paragraph" w:styleId="1068">
    <w:name w:val="标题 31"/>
    <w:basedOn w:val="748"/>
    <w:next w:val="748"/>
    <w:link w:val="748"/>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9">
    <w:name w:val="正文缩进1"/>
    <w:basedOn w:val="748"/>
    <w:next w:val="1069"/>
    <w:link w:val="748"/>
    <w:qFormat/>
    <w:pPr>
      <w:ind w:firstLine="420"/>
      <w:spacing w:line="360" w:lineRule="auto"/>
    </w:pPr>
    <w:rPr>
      <w:sz w:val="24"/>
    </w:rPr>
  </w:style>
  <w:style w:type="table" w:styleId="1070">
    <w:name w:val="Table Normal"/>
    <w:next w:val="1070"/>
    <w:link w:val="748"/>
    <w:qFormat/>
    <w:rPr>
      <w:lang w:val="en-US" w:eastAsia="zh-CN" w:bidi="ar-SA"/>
    </w:rPr>
    <w:tblPr/>
  </w:style>
  <w:style w:type="paragraph" w:styleId="1071">
    <w:name w:val="批注文字11"/>
    <w:basedOn w:val="748"/>
    <w:next w:val="1071"/>
    <w:link w:val="748"/>
    <w:uiPriority w:val="99"/>
    <w:unhideWhenUsed/>
    <w:qFormat/>
    <w:pPr>
      <w:jc w:val="left"/>
    </w:pPr>
  </w:style>
  <w:style w:type="character" w:styleId="1072">
    <w:name w:val="默认段落字体11"/>
    <w:next w:val="1072"/>
    <w:link w:val="748"/>
    <w:uiPriority w:val="1"/>
    <w:unhideWhenUsed/>
    <w:qFormat/>
    <w:rPr>
      <w:rFonts w:ascii="Times New Roman" w:hAnsi="Times New Roman" w:eastAsia="宋体" w:cs="Times New Roman"/>
      <w:sz w:val="21"/>
      <w:szCs w:val="21"/>
      <w:lang w:val="en-US" w:eastAsia="zh-CN" w:bidi="ar-SA"/>
    </w:rPr>
  </w:style>
  <w:style w:type="paragraph" w:styleId="1073">
    <w:name w:val="正文文本缩进11"/>
    <w:basedOn w:val="748"/>
    <w:next w:val="1074"/>
    <w:link w:val="748"/>
    <w:unhideWhenUsed/>
    <w:qFormat/>
    <w:pPr>
      <w:ind w:left="420"/>
      <w:spacing w:after="120"/>
    </w:pPr>
  </w:style>
  <w:style w:type="paragraph" w:styleId="1074">
    <w:name w:val="正文首行缩进 211"/>
    <w:basedOn w:val="1073"/>
    <w:next w:val="1074"/>
    <w:link w:val="748"/>
    <w:qFormat/>
    <w:pPr>
      <w:ind w:left="0" w:firstLine="420"/>
      <w:spacing w:after="0" w:line="360" w:lineRule="auto"/>
    </w:pPr>
    <w:rPr>
      <w:rFonts w:ascii="宋体" w:hAnsi="宋体" w:eastAsia="宋体" w:cs="Times New Roman"/>
      <w:szCs w:val="20"/>
    </w:rPr>
  </w:style>
  <w:style w:type="paragraph" w:styleId="1075">
    <w:name w:val="Table Text"/>
    <w:basedOn w:val="748"/>
    <w:next w:val="1075"/>
    <w:link w:val="748"/>
    <w:semiHidden/>
    <w:qFormat/>
    <w:rPr>
      <w:rFonts w:ascii="宋体" w:hAnsi="宋体" w:eastAsia="宋体" w:cs="宋体"/>
      <w:sz w:val="21"/>
      <w:szCs w:val="21"/>
      <w:lang w:val="en-US" w:eastAsia="en-US" w:bidi="ar-SA"/>
    </w:rPr>
  </w:style>
  <w:style w:type="character" w:styleId="1076" w:default="1">
    <w:name w:val="Default Paragraph Font"/>
    <w:uiPriority w:val="1"/>
    <w:semiHidden/>
    <w:unhideWhenUsed/>
  </w:style>
  <w:style w:type="numbering" w:styleId="1077" w:default="1">
    <w:name w:val="No List"/>
    <w:uiPriority w:val="99"/>
    <w:semiHidden/>
    <w:unhideWhenUsed/>
  </w:style>
  <w:style w:type="table" w:styleId="10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徐振新</cp:lastModifiedBy>
  <cp:revision>11</cp:revision>
  <dcterms:created xsi:type="dcterms:W3CDTF">2025-12-02T10:13:00Z</dcterms:created>
  <dcterms:modified xsi:type="dcterms:W3CDTF">2025-12-31T07:50:26Z</dcterms:modified>
</cp:coreProperties>
</file>