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cs="宋体" w:asciiTheme="minorEastAsia" w:hAnsiTheme="minorEastAsia" w:eastAsiaTheme="minorEastAsia"/>
          <w:b/>
          <w:bCs/>
          <w:sz w:val="84"/>
          <w:szCs w:val="84"/>
        </w:rPr>
      </w:pPr>
      <w:r>
        <w:rPr>
          <w:rFonts w:cs="宋体" w:asciiTheme="minorEastAsia" w:hAnsiTheme="minorEastAsia" w:eastAsiaTheme="minorEastAsia"/>
          <w:b/>
          <w:bCs/>
          <w:sz w:val="84"/>
          <w:szCs w:val="84"/>
        </w:rPr>
      </w:r>
      <w:r/>
    </w:p>
    <w:p>
      <w:pPr>
        <w:jc w:val="center"/>
        <w:rPr>
          <w:rFonts w:cs="宋体" w:asciiTheme="minorEastAsia" w:hAnsiTheme="minorEastAsia" w:eastAsiaTheme="minorEastAsia"/>
          <w:b/>
          <w:bCs/>
          <w:sz w:val="84"/>
          <w:szCs w:val="84"/>
        </w:rPr>
      </w:pPr>
      <w:r>
        <w:rPr>
          <w:rFonts w:cs="宋体" w:asciiTheme="minorEastAsia" w:hAnsiTheme="minorEastAsia" w:eastAsiaTheme="minorEastAsia"/>
          <w:b/>
          <w:bCs/>
          <w:sz w:val="84"/>
          <w:szCs w:val="84"/>
        </w:rPr>
      </w:r>
      <w:r/>
    </w:p>
    <w:p>
      <w:pPr>
        <w:jc w:val="center"/>
        <w:rPr>
          <w:rFonts w:cs="宋体" w:asciiTheme="minorEastAsia" w:hAnsiTheme="minorEastAsia" w:eastAsiaTheme="minorEastAsia"/>
          <w:b/>
          <w:bCs/>
          <w:sz w:val="84"/>
          <w:szCs w:val="84"/>
        </w:rPr>
      </w:pPr>
      <w:r>
        <w:rPr>
          <w:rFonts w:hint="eastAsia" w:cs="宋体" w:asciiTheme="minorEastAsia" w:hAnsiTheme="minorEastAsia" w:eastAsiaTheme="minorEastAsia"/>
          <w:b/>
          <w:bCs/>
          <w:sz w:val="84"/>
          <w:szCs w:val="84"/>
        </w:rPr>
        <w:t xml:space="preserve">招 标 文 件</w:t>
      </w:r>
      <w:r/>
    </w:p>
    <w:p>
      <w:pPr>
        <w:jc w:val="center"/>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rPr>
          <w:rFonts w:cs="宋体" w:asciiTheme="minorEastAsia" w:hAnsiTheme="minorEastAsia" w:eastAsiaTheme="minorEastAsia"/>
          <w:sz w:val="36"/>
          <w:szCs w:val="36"/>
        </w:rPr>
      </w:pPr>
      <w:r>
        <w:rPr>
          <w:rFonts w:cs="宋体" w:asciiTheme="minorEastAsia" w:hAnsiTheme="minorEastAsia" w:eastAsiaTheme="minorEastAsia"/>
          <w:sz w:val="36"/>
          <w:szCs w:val="36"/>
        </w:rPr>
      </w:r>
      <w:r/>
    </w:p>
    <w:p>
      <w:pPr>
        <w:pStyle w:val="691"/>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项目名称：</w:t>
      </w:r>
      <w:bookmarkStart w:id="0" w:name="OLE_LINK1"/>
      <w:r>
        <w:rPr>
          <w:rFonts w:hint="eastAsia" w:cs="宋体" w:asciiTheme="minorEastAsia" w:hAnsiTheme="minorEastAsia" w:eastAsiaTheme="minorEastAsia"/>
          <w:b/>
          <w:sz w:val="32"/>
          <w:szCs w:val="32"/>
        </w:rPr>
        <w:t xml:space="preserve">盐城经济技术开发区新城街道2024年改善农民群众住房条件项目</w:t>
      </w:r>
      <w:bookmarkEnd w:id="0"/>
      <w:r/>
      <w:r/>
    </w:p>
    <w:p>
      <w:pPr>
        <w:spacing w:line="360" w:lineRule="auto"/>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jc w:val="center"/>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项目编号：</w:t>
      </w:r>
      <w:r>
        <w:rPr>
          <w:rFonts w:cs="宋体" w:asciiTheme="minorEastAsia" w:hAnsiTheme="minorEastAsia" w:eastAsiaTheme="minorEastAsia"/>
          <w:b/>
          <w:sz w:val="32"/>
          <w:szCs w:val="32"/>
        </w:rPr>
        <w:t xml:space="preserve">JSZC-320991-RHZX-G2024-0021</w:t>
      </w:r>
      <w:r/>
    </w:p>
    <w:p>
      <w:pPr>
        <w:jc w:val="center"/>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jc w:val="center"/>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jc w:val="center"/>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pStyle w:val="937"/>
        <w:ind w:firstLine="420"/>
        <w:rPr>
          <w:rFonts w:cs="宋体" w:asciiTheme="minorEastAsia" w:hAnsiTheme="minorEastAsia" w:eastAsiaTheme="minorEastAsia"/>
        </w:rPr>
      </w:pPr>
      <w:r>
        <w:rPr>
          <w:rFonts w:cs="宋体" w:asciiTheme="minorEastAsia" w:hAnsiTheme="minorEastAsia" w:eastAsiaTheme="minorEastAsia"/>
        </w:rPr>
      </w:r>
      <w:r/>
    </w:p>
    <w:p>
      <w:pPr>
        <w:pStyle w:val="937"/>
        <w:ind w:firstLine="0"/>
        <w:rPr>
          <w:rFonts w:cs="宋体" w:asciiTheme="minorEastAsia" w:hAnsiTheme="minorEastAsia" w:eastAsiaTheme="minorEastAsia"/>
        </w:rPr>
      </w:pPr>
      <w:r>
        <w:rPr>
          <w:rFonts w:cs="宋体" w:asciiTheme="minorEastAsia" w:hAnsiTheme="minorEastAsia" w:eastAsiaTheme="minorEastAsia"/>
        </w:rPr>
      </w:r>
      <w:r/>
    </w:p>
    <w:p>
      <w:pPr>
        <w:ind w:firstLine="1285"/>
        <w:spacing w:line="360" w:lineRule="auto"/>
        <w:rPr>
          <w:rFonts w:cs="宋体" w:asciiTheme="minorEastAsia" w:hAnsiTheme="minorEastAsia" w:eastAsiaTheme="minorEastAsia"/>
          <w:b/>
          <w:bCs/>
          <w:sz w:val="32"/>
          <w:szCs w:val="32"/>
        </w:rPr>
      </w:pPr>
      <w:r>
        <w:rPr>
          <w:rFonts w:cs="宋体" w:asciiTheme="minorEastAsia" w:hAnsiTheme="minorEastAsia" w:eastAsiaTheme="minorEastAsia"/>
          <w:b/>
          <w:bCs/>
          <w:sz w:val="32"/>
          <w:szCs w:val="32"/>
        </w:rPr>
      </w:r>
      <w:r/>
    </w:p>
    <w:p>
      <w:pPr>
        <w:ind w:firstLine="1285"/>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1285"/>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sz w:val="32"/>
          <w:szCs w:val="32"/>
        </w:rPr>
        <w:t xml:space="preserve">招 标 人：盐城经济技术开发区住房保障和建设局</w:t>
      </w:r>
      <w:r/>
    </w:p>
    <w:p>
      <w:pPr>
        <w:jc w:val="center"/>
        <w:spacing w:line="360" w:lineRule="auto"/>
        <w:rPr>
          <w:rFonts w:asciiTheme="minorEastAsia" w:hAnsiTheme="minorEastAsia" w:eastAsiaTheme="minorEastAsia"/>
          <w:b/>
          <w:bCs/>
          <w:sz w:val="30"/>
          <w:szCs w:val="30"/>
        </w:rPr>
      </w:pPr>
      <w:r>
        <w:rPr>
          <w:rFonts w:hint="eastAsia" w:cs="宋体" w:asciiTheme="minorEastAsia" w:hAnsiTheme="minorEastAsia" w:eastAsiaTheme="minorEastAsia"/>
          <w:b/>
          <w:sz w:val="32"/>
          <w:szCs w:val="32"/>
        </w:rPr>
        <w:t xml:space="preserve">2024</w:t>
      </w:r>
      <w:r>
        <w:rPr>
          <w:rFonts w:cs="宋体" w:asciiTheme="minorEastAsia" w:hAnsiTheme="minorEastAsia" w:eastAsiaTheme="minorEastAsia"/>
          <w:b/>
          <w:sz w:val="32"/>
          <w:szCs w:val="32"/>
        </w:rPr>
        <w:t xml:space="preserve">年</w:t>
      </w:r>
      <w:r>
        <w:rPr>
          <w:rFonts w:hint="eastAsia" w:cs="宋体" w:asciiTheme="minorEastAsia" w:hAnsiTheme="minorEastAsia" w:eastAsiaTheme="minorEastAsia"/>
          <w:b/>
          <w:sz w:val="32"/>
          <w:szCs w:val="32"/>
        </w:rPr>
        <w:t xml:space="preserve">1</w:t>
      </w:r>
      <w:r>
        <w:rPr>
          <w:rFonts w:hint="eastAsia" w:cs="宋体" w:asciiTheme="minorEastAsia" w:hAnsiTheme="minorEastAsia" w:eastAsiaTheme="minorEastAsia"/>
          <w:b/>
          <w:sz w:val="32"/>
          <w:szCs w:val="32"/>
        </w:rPr>
        <w:t xml:space="preserve">1</w:t>
      </w:r>
      <w:r>
        <w:rPr>
          <w:rFonts w:cs="宋体" w:asciiTheme="minorEastAsia" w:hAnsiTheme="minorEastAsia" w:eastAsiaTheme="minorEastAsia"/>
          <w:b/>
          <w:sz w:val="32"/>
          <w:szCs w:val="32"/>
        </w:rPr>
        <w:t xml:space="preserve">月</w:t>
      </w:r>
      <w:r/>
    </w:p>
    <w:p>
      <w:pPr>
        <w:spacing w:line="576" w:lineRule="exact"/>
        <w:rPr>
          <w:rFonts w:cs="宋体" w:asciiTheme="minorEastAsia" w:hAnsiTheme="minorEastAsia" w:eastAsiaTheme="minorEastAsia"/>
          <w:sz w:val="44"/>
          <w:szCs w:val="44"/>
        </w:rPr>
      </w:pPr>
      <w:r>
        <w:rPr>
          <w:rFonts w:cs="宋体" w:asciiTheme="minorEastAsia" w:hAnsiTheme="minorEastAsia" w:eastAsiaTheme="minorEastAsia"/>
          <w:sz w:val="44"/>
          <w:szCs w:val="44"/>
        </w:rPr>
      </w:r>
      <w:r/>
    </w:p>
    <w:p>
      <w:pPr>
        <w:jc w:val="left"/>
        <w:spacing w:line="576" w:lineRule="exact"/>
        <w:tabs>
          <w:tab w:val="left" w:pos="7474" w:leader="none"/>
        </w:tabs>
        <w:rPr>
          <w:rFonts w:cs="宋体" w:asciiTheme="minorEastAsia" w:hAnsiTheme="minorEastAsia" w:eastAsiaTheme="minorEastAsia"/>
          <w:sz w:val="44"/>
          <w:szCs w:val="44"/>
        </w:rPr>
      </w:pPr>
      <w:r>
        <w:rPr>
          <w:rFonts w:asciiTheme="minorEastAsia" w:hAnsiTheme="minorEastAsia" w:eastAsiaTheme="minorEastAsia"/>
        </w:rPr>
        <w:tab/>
      </w:r>
      <w:r/>
    </w:p>
    <w:p>
      <w:pPr>
        <w:jc w:val="center"/>
        <w:spacing w:line="576" w:lineRule="exact"/>
        <w:rPr>
          <w:rFonts w:cs="宋体" w:asciiTheme="minorEastAsia" w:hAnsiTheme="minorEastAsia" w:eastAsiaTheme="minorEastAsia"/>
          <w:sz w:val="44"/>
          <w:szCs w:val="44"/>
        </w:rPr>
      </w:pPr>
      <w:r>
        <w:rPr>
          <w:rFonts w:cs="宋体" w:asciiTheme="minorEastAsia" w:hAnsiTheme="minorEastAsia" w:eastAsiaTheme="minorEastAsia"/>
          <w:sz w:val="44"/>
          <w:szCs w:val="44"/>
        </w:rPr>
      </w:r>
      <w:r/>
    </w:p>
    <w:p>
      <w:pPr>
        <w:jc w:val="center"/>
        <w:spacing w:line="576" w:lineRule="exact"/>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目  录</w:t>
      </w:r>
      <w:r/>
    </w:p>
    <w:p>
      <w:pPr>
        <w:jc w:val="left"/>
        <w:spacing w:line="576"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第一部分  投标公告……</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3</w:t>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第二部分  投标人须知……</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7</w:t>
      </w:r>
      <w:r/>
    </w:p>
    <w:p>
      <w:pPr>
        <w:jc w:val="left"/>
        <w:spacing w:line="720" w:lineRule="auto"/>
        <w:rPr>
          <w:rStyle w:val="915"/>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第三部分  合同文本 ……</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1</w:t>
      </w:r>
      <w:r>
        <w:rPr>
          <w:rFonts w:hint="eastAsia" w:cs="宋体" w:asciiTheme="minorEastAsia" w:hAnsiTheme="minorEastAsia" w:eastAsiaTheme="minorEastAsia"/>
          <w:sz w:val="30"/>
          <w:szCs w:val="30"/>
        </w:rPr>
        <w:t xml:space="preserve">6</w:t>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第四部分  采购需求 ……</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25</w:t>
      </w:r>
      <w:r>
        <w:rPr>
          <w:rFonts w:hint="eastAsia" w:cs="宋体" w:asciiTheme="minorEastAsia" w:hAnsiTheme="minorEastAsia" w:eastAsiaTheme="minorEastAsia"/>
          <w:sz w:val="30"/>
          <w:szCs w:val="30"/>
        </w:rPr>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第五部分  评标方式与评标标准……</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28</w:t>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第六部分  投标文件格式……</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32</w:t>
      </w:r>
      <w:r/>
    </w:p>
    <w:p>
      <w:pPr>
        <w:jc w:val="center"/>
        <w:spacing w:line="360" w:lineRule="auto"/>
        <w:rPr>
          <w:rFonts w:cs="宋体" w:asciiTheme="minorEastAsia" w:hAnsiTheme="minorEastAsia" w:eastAsiaTheme="minorEastAsia"/>
          <w:b/>
          <w:bCs/>
          <w:sz w:val="32"/>
          <w:szCs w:val="32"/>
        </w:rPr>
        <w:outlineLvl w:val="0"/>
      </w:pPr>
      <w:r>
        <w:rPr>
          <w:rFonts w:hint="eastAsia" w:cs="宋体" w:asciiTheme="minorEastAsia" w:hAnsiTheme="minorEastAsia" w:eastAsiaTheme="minorEastAsia"/>
          <w:sz w:val="28"/>
          <w:szCs w:val="28"/>
        </w:rPr>
        <w:br w:type="page" w:clear="all"/>
      </w:r>
      <w:r>
        <w:rPr>
          <w:rFonts w:hint="eastAsia" w:cs="宋体" w:asciiTheme="minorEastAsia" w:hAnsiTheme="minorEastAsia" w:eastAsiaTheme="minorEastAsia"/>
          <w:b/>
          <w:bCs/>
          <w:sz w:val="32"/>
          <w:szCs w:val="32"/>
        </w:rPr>
        <w:t xml:space="preserve">第一部分  招标公告</w:t>
      </w:r>
      <w:r/>
    </w:p>
    <w:p>
      <w:pPr>
        <w:spacing w:line="360" w:lineRule="auto"/>
        <w:rPr>
          <w:rFonts w:cs="宋体" w:asciiTheme="minorEastAsia" w:hAnsiTheme="minorEastAsia" w:eastAsiaTheme="minorEastAsia"/>
          <w:sz w:val="24"/>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rPr>
        <w:t xml:space="preserve">项目概况</w:t>
      </w:r>
      <w:r/>
    </w:p>
    <w:p>
      <w:pPr>
        <w:ind w:firstLine="480"/>
        <w:spacing w:line="360" w:lineRule="auto"/>
        <w:rPr>
          <w:rFonts w:cs="宋体" w:asciiTheme="minorEastAsia" w:hAnsiTheme="minorEastAsia" w:eastAsiaTheme="minorEastAsia"/>
          <w:sz w:val="24"/>
        </w:rPr>
        <w:pBdr>
          <w:top w:val="single" w:color="000000" w:sz="4" w:space="0"/>
          <w:left w:val="single" w:color="000000" w:sz="4" w:space="3"/>
          <w:bottom w:val="single" w:color="000000" w:sz="4" w:space="0"/>
          <w:right w:val="single" w:color="000000" w:sz="4" w:space="3"/>
        </w:pBdr>
      </w:pPr>
      <w:r>
        <w:rPr>
          <w:rFonts w:hint="eastAsia" w:cs="宋体" w:asciiTheme="minorEastAsia" w:hAnsiTheme="minorEastAsia" w:eastAsiaTheme="minorEastAsia"/>
          <w:sz w:val="24"/>
          <w:u w:val="single"/>
        </w:rPr>
      </w:r>
      <w:r>
        <w:rPr>
          <w:rFonts w:hint="eastAsia" w:cs="宋体" w:asciiTheme="minorEastAsia" w:hAnsiTheme="minorEastAsia" w:eastAsiaTheme="minorEastAsia"/>
          <w:sz w:val="24"/>
          <w:szCs w:val="24"/>
          <w:u w:val="single"/>
        </w:rPr>
        <w:t xml:space="preserve">盐城经济技术开发区新城街道2024年改善农民群众住房条件项目 JSZC-320991-RHZX-G2024-0021 招标项目的潜在投标人应在“苏采云”系统内免费下载（投标人必须在苏采云系统中获取采购文件，方能参与政府采购项目） 获取招标文件，并于2024-12-16 09:00 （北京时间）前递交投标文件</w:t>
      </w:r>
      <w:r>
        <w:rPr>
          <w:rFonts w:hint="eastAsia" w:cs="宋体" w:asciiTheme="minorEastAsia" w:hAnsiTheme="minorEastAsia" w:eastAsiaTheme="minorEastAsia"/>
          <w:sz w:val="24"/>
          <w:u w:val="single"/>
        </w:rPr>
        <w:t xml:space="preserve">。</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一、项目基本情况</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rPr>
          <w:rFonts w:hint="eastAsia" w:cs="宋体" w:asciiTheme="minorEastAsia" w:hAnsiTheme="minorEastAsia" w:eastAsiaTheme="minorEastAsia"/>
          <w:sz w:val="24"/>
        </w:rPr>
        <w:t xml:space="preserve">盐城经济技术开发区新城街道2024年改善农民群众住房条件项目</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rPr>
          <w:rFonts w:cs="宋体" w:asciiTheme="minorEastAsia" w:hAnsiTheme="minorEastAsia" w:eastAsiaTheme="minorEastAsia"/>
          <w:sz w:val="24"/>
        </w:rPr>
        <w:t xml:space="preserve">JSZC-320991-RHZX-G2024-0021</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项目预算金额：人民币</w:t>
      </w:r>
      <w:r>
        <w:rPr>
          <w:rFonts w:hint="eastAsia" w:cs="宋体" w:asciiTheme="minorEastAsia" w:hAnsiTheme="minorEastAsia" w:eastAsiaTheme="minorEastAsia"/>
          <w:sz w:val="24"/>
        </w:rPr>
        <w:t xml:space="preserve">62700</w:t>
      </w:r>
      <w:r>
        <w:rPr>
          <w:rFonts w:hint="eastAsia" w:cs="宋体" w:asciiTheme="minorEastAsia" w:hAnsiTheme="minorEastAsia" w:eastAsiaTheme="minorEastAsia"/>
          <w:sz w:val="24"/>
        </w:rPr>
        <w:t xml:space="preserve">万元。</w:t>
      </w:r>
      <w:r/>
    </w:p>
    <w:p>
      <w:pPr>
        <w:ind w:firstLine="480"/>
        <w:spacing w:line="440" w:lineRule="exact"/>
        <w:rPr>
          <w:rFonts w:asciiTheme="minorEastAsia" w:hAnsiTheme="minorEastAsia" w:eastAsiaTheme="minorEastAsia"/>
          <w:b/>
          <w:bCs/>
          <w:sz w:val="24"/>
          <w:shd w:val="clear" w:color="auto" w:fill="ffffff"/>
        </w:rPr>
      </w:pPr>
      <w:r>
        <w:rPr>
          <w:rFonts w:hint="eastAsia" w:cs="宋体" w:asciiTheme="minorEastAsia" w:hAnsiTheme="minorEastAsia" w:eastAsiaTheme="minorEastAsia"/>
          <w:sz w:val="24"/>
        </w:rPr>
        <w:t xml:space="preserve">最高限价：人民币</w:t>
      </w:r>
      <w:r>
        <w:rPr>
          <w:rFonts w:hint="eastAsia" w:cs="宋体" w:asciiTheme="minorEastAsia" w:hAnsiTheme="minorEastAsia" w:eastAsiaTheme="minorEastAsia"/>
          <w:sz w:val="24"/>
        </w:rPr>
        <w:t xml:space="preserve">62700</w:t>
      </w:r>
      <w:r>
        <w:rPr>
          <w:rFonts w:hint="eastAsia" w:cs="宋体" w:asciiTheme="minorEastAsia" w:hAnsiTheme="minorEastAsia" w:eastAsiaTheme="minorEastAsia"/>
          <w:sz w:val="24"/>
        </w:rPr>
        <w:t xml:space="preserve">万元</w:t>
      </w:r>
      <w:r>
        <w:rPr>
          <w:rFonts w:hint="eastAsia" w:asciiTheme="minorEastAsia" w:hAnsiTheme="minorEastAsia" w:eastAsiaTheme="minorEastAsia"/>
          <w:sz w:val="24"/>
          <w:shd w:val="clear" w:color="auto" w:fill="ffffff"/>
        </w:rPr>
        <w:t xml:space="preserve">，</w:t>
      </w:r>
      <w:r>
        <w:rPr>
          <w:rFonts w:hint="eastAsia" w:asciiTheme="minorEastAsia" w:hAnsiTheme="minorEastAsia" w:eastAsiaTheme="minorEastAsia"/>
          <w:sz w:val="24"/>
          <w:shd w:val="clear" w:color="auto" w:fill="ffffff"/>
        </w:rPr>
        <w:t xml:space="preserve">超过预算价为无效报价，</w:t>
      </w:r>
      <w:r>
        <w:rPr>
          <w:rFonts w:hint="eastAsia" w:asciiTheme="minorEastAsia" w:hAnsiTheme="minorEastAsia" w:eastAsiaTheme="minorEastAsia"/>
          <w:sz w:val="24"/>
          <w:shd w:val="clear" w:color="auto" w:fill="ffffff"/>
        </w:rPr>
        <w:t xml:space="preserve">项目</w:t>
      </w:r>
      <w:r>
        <w:rPr>
          <w:rFonts w:hint="eastAsia" w:asciiTheme="minorEastAsia" w:hAnsiTheme="minorEastAsia" w:eastAsiaTheme="minorEastAsia"/>
          <w:sz w:val="24"/>
          <w:shd w:val="clear" w:color="auto" w:fill="ffffff"/>
        </w:rPr>
        <w:t xml:space="preserve">搬迁补偿费包括宅基补偿、房屋拆除补偿</w:t>
      </w:r>
      <w:r>
        <w:rPr>
          <w:rFonts w:hint="eastAsia" w:asciiTheme="minorEastAsia" w:hAnsiTheme="minorEastAsia" w:eastAsiaTheme="minorEastAsia"/>
          <w:sz w:val="24"/>
          <w:shd w:val="clear" w:color="auto" w:fill="ffffff"/>
        </w:rPr>
        <w:t xml:space="preserve">、装修及附属设施补偿、临时安置补助、搬迁补助、提前签约奖励和提前搬迁奖励</w:t>
      </w:r>
      <w:r>
        <w:rPr>
          <w:rFonts w:hint="eastAsia" w:asciiTheme="minorEastAsia" w:hAnsiTheme="minorEastAsia" w:eastAsiaTheme="minorEastAsia"/>
          <w:sz w:val="24"/>
          <w:shd w:val="clear" w:color="auto" w:fill="ffffff"/>
        </w:rPr>
        <w:t xml:space="preserve">、进城入镇购房补贴及购房奖励和优惠等费用，对于四类对象</w:t>
      </w:r>
      <w:r>
        <w:rPr>
          <w:rFonts w:hint="eastAsia" w:asciiTheme="minorEastAsia" w:hAnsiTheme="minorEastAsia" w:eastAsiaTheme="minorEastAsia"/>
          <w:sz w:val="24"/>
          <w:shd w:val="clear" w:color="auto" w:fill="ffffff"/>
        </w:rPr>
        <w:t xml:space="preserve">户按照</w:t>
      </w:r>
      <w:r>
        <w:rPr>
          <w:rFonts w:hint="eastAsia" w:asciiTheme="minorEastAsia" w:hAnsiTheme="minorEastAsia" w:eastAsiaTheme="minorEastAsia"/>
          <w:sz w:val="24"/>
          <w:shd w:val="clear" w:color="auto" w:fill="ffffff"/>
        </w:rPr>
        <w:t xml:space="preserve">相应标准和条件，其补偿不足部分，由</w:t>
      </w:r>
      <w:r>
        <w:rPr>
          <w:rFonts w:hint="eastAsia" w:asciiTheme="minorEastAsia" w:hAnsiTheme="minorEastAsia" w:eastAsiaTheme="minorEastAsia"/>
          <w:sz w:val="24"/>
          <w:shd w:val="clear" w:color="auto" w:fill="ffffff"/>
        </w:rPr>
        <w:t xml:space="preserve">街道</w:t>
      </w:r>
      <w:r>
        <w:rPr>
          <w:rFonts w:hint="eastAsia" w:asciiTheme="minorEastAsia" w:hAnsiTheme="minorEastAsia" w:eastAsiaTheme="minorEastAsia"/>
          <w:sz w:val="24"/>
          <w:shd w:val="clear" w:color="auto" w:fill="ffffff"/>
        </w:rPr>
        <w:t xml:space="preserve">财政托底。由具有相应资质的房地产价格评估机构按照房屋征收评估办法以及土地征用相关规定说明评估确定。</w:t>
      </w:r>
      <w:r>
        <w:rPr>
          <w:rFonts w:hint="eastAsia" w:asciiTheme="minorEastAsia" w:hAnsiTheme="minorEastAsia" w:eastAsiaTheme="minorEastAsia"/>
          <w:b/>
          <w:bCs/>
          <w:sz w:val="24"/>
        </w:rPr>
        <w:t xml:space="preserve">搬迁补偿总费用为：</w:t>
      </w:r>
      <w:r>
        <w:rPr>
          <w:rFonts w:asciiTheme="minorEastAsia" w:hAnsiTheme="minorEastAsia" w:eastAsiaTheme="minorEastAsia"/>
          <w:b/>
          <w:bCs/>
          <w:sz w:val="24"/>
        </w:rPr>
        <w:t xml:space="preserve">46906.71</w:t>
      </w:r>
      <w:r>
        <w:rPr>
          <w:rFonts w:hint="eastAsia" w:asciiTheme="minorEastAsia" w:hAnsiTheme="minorEastAsia" w:eastAsiaTheme="minorEastAsia"/>
          <w:b/>
          <w:bCs/>
          <w:sz w:val="24"/>
        </w:rPr>
        <w:t xml:space="preserve">万元（该费用为固定价格、不可竞争费用，投标人不得改变此价格，否则按无效标处理），后期根据项目实施和拆迁补偿政策上下浮动，结算时以实际支出为准</w:t>
      </w:r>
      <w:r>
        <w:rPr>
          <w:rFonts w:hint="eastAsia" w:asciiTheme="minorEastAsia" w:hAnsiTheme="minorEastAsia" w:eastAsiaTheme="minorEastAsia"/>
          <w:b/>
          <w:bCs/>
          <w:sz w:val="24"/>
          <w:shd w:val="clear" w:color="auto" w:fill="ffffff"/>
        </w:rPr>
        <w:t xml:space="preserve">。</w:t>
      </w:r>
      <w:r/>
    </w:p>
    <w:p>
      <w:pPr>
        <w:ind w:firstLine="480"/>
        <w:spacing w:line="440" w:lineRule="exact"/>
        <w:rPr>
          <w:rFonts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采购需求：</w:t>
      </w:r>
      <w:r>
        <w:rPr>
          <w:rFonts w:hint="eastAsia" w:asciiTheme="minorEastAsia" w:hAnsiTheme="minorEastAsia" w:eastAsiaTheme="minorEastAsia"/>
          <w:sz w:val="24"/>
          <w:shd w:val="clear" w:color="auto" w:fill="ffffff"/>
        </w:rPr>
        <w:t xml:space="preserve">本项目涉及新城街道7个村</w:t>
      </w:r>
      <w:r>
        <w:rPr>
          <w:rFonts w:asciiTheme="minorEastAsia" w:hAnsiTheme="minorEastAsia" w:eastAsiaTheme="minorEastAsia"/>
          <w:sz w:val="24"/>
          <w:shd w:val="clear" w:color="auto" w:fill="ffffff"/>
        </w:rPr>
        <w:t xml:space="preserve">，</w:t>
      </w:r>
      <w:r>
        <w:rPr>
          <w:rFonts w:hint="eastAsia" w:asciiTheme="minorEastAsia" w:hAnsiTheme="minorEastAsia" w:eastAsiaTheme="minorEastAsia"/>
          <w:sz w:val="24"/>
          <w:shd w:val="clear" w:color="auto" w:fill="ffffff"/>
        </w:rPr>
        <w:t xml:space="preserve">改善</w:t>
      </w:r>
      <w:r>
        <w:rPr>
          <w:rFonts w:asciiTheme="minorEastAsia" w:hAnsiTheme="minorEastAsia" w:eastAsiaTheme="minorEastAsia"/>
          <w:sz w:val="24"/>
          <w:shd w:val="clear" w:color="auto" w:fill="ffffff"/>
        </w:rPr>
        <w:t xml:space="preserve">总户数为1825户；</w:t>
      </w:r>
      <w:r>
        <w:rPr>
          <w:rFonts w:hint="eastAsia" w:asciiTheme="minorEastAsia" w:hAnsiTheme="minorEastAsia" w:eastAsiaTheme="minorEastAsia"/>
          <w:sz w:val="24"/>
          <w:shd w:val="clear" w:color="auto" w:fill="ffffff"/>
        </w:rPr>
        <w:t xml:space="preserve">改善</w:t>
      </w:r>
      <w:r>
        <w:rPr>
          <w:rFonts w:asciiTheme="minorEastAsia" w:hAnsiTheme="minorEastAsia" w:eastAsiaTheme="minorEastAsia"/>
          <w:sz w:val="24"/>
          <w:shd w:val="clear" w:color="auto" w:fill="ffffff"/>
        </w:rPr>
        <w:t xml:space="preserve">房屋总面积</w:t>
      </w:r>
      <w:r>
        <w:rPr>
          <w:rFonts w:hint="eastAsia" w:asciiTheme="minorEastAsia" w:hAnsiTheme="minorEastAsia" w:eastAsiaTheme="minorEastAsia"/>
          <w:sz w:val="24"/>
          <w:shd w:val="clear" w:color="auto" w:fill="ffffff"/>
        </w:rPr>
        <w:t xml:space="preserve">约</w:t>
      </w:r>
      <w:r>
        <w:rPr>
          <w:rFonts w:asciiTheme="minorEastAsia" w:hAnsiTheme="minorEastAsia" w:eastAsiaTheme="minorEastAsia"/>
          <w:sz w:val="24"/>
          <w:shd w:val="clear" w:color="auto" w:fill="ffffff"/>
        </w:rPr>
        <w:t xml:space="preserve">20</w:t>
      </w:r>
      <w:r>
        <w:rPr>
          <w:rFonts w:hint="eastAsia" w:asciiTheme="minorEastAsia" w:hAnsiTheme="minorEastAsia" w:eastAsiaTheme="minorEastAsia"/>
          <w:sz w:val="24"/>
          <w:shd w:val="clear" w:color="auto" w:fill="ffffff"/>
        </w:rPr>
        <w:t xml:space="preserve">万</w:t>
      </w:r>
      <w:r>
        <w:rPr>
          <w:rFonts w:asciiTheme="minorEastAsia" w:hAnsiTheme="minorEastAsia" w:eastAsiaTheme="minorEastAsia"/>
          <w:sz w:val="24"/>
          <w:shd w:val="clear" w:color="auto" w:fill="ffffff"/>
        </w:rPr>
        <w:t xml:space="preserve">平方米，其中：土地综合整治1800亩，新增耕地面积1800</w:t>
      </w:r>
      <w:r>
        <w:rPr>
          <w:rFonts w:hint="eastAsia" w:asciiTheme="minorEastAsia" w:hAnsiTheme="minorEastAsia" w:eastAsiaTheme="minorEastAsia"/>
          <w:sz w:val="24"/>
          <w:shd w:val="clear" w:color="auto" w:fill="ffffff"/>
        </w:rPr>
        <w:t xml:space="preserve"> </w:t>
      </w:r>
      <w:r>
        <w:rPr>
          <w:rFonts w:asciiTheme="minorEastAsia" w:hAnsiTheme="minorEastAsia" w:eastAsiaTheme="minorEastAsia"/>
          <w:sz w:val="24"/>
          <w:shd w:val="clear" w:color="auto" w:fill="ffffff"/>
        </w:rPr>
        <w:t xml:space="preserve">亩。</w:t>
      </w:r>
      <w:r>
        <w:rPr>
          <w:rFonts w:hint="eastAsia" w:asciiTheme="minorEastAsia" w:hAnsiTheme="minorEastAsia" w:eastAsiaTheme="minorEastAsia"/>
          <w:sz w:val="24"/>
          <w:shd w:val="clear" w:color="auto" w:fill="ffffff"/>
        </w:rPr>
        <w:t xml:space="preserve">盐城经济技术开发区充分尊重农民意愿，坚持高起点规划、高质量建设、高标准配套，拟在盐城经济技术开发区新城街道</w:t>
      </w:r>
      <w:r>
        <w:rPr>
          <w:rFonts w:hint="eastAsia" w:asciiTheme="minorEastAsia" w:hAnsiTheme="minorEastAsia" w:eastAsiaTheme="minorEastAsia"/>
          <w:sz w:val="24"/>
          <w:shd w:val="clear" w:color="auto" w:fill="ffffff"/>
        </w:rPr>
        <w:t xml:space="preserve">蔡</w:t>
      </w:r>
      <w:r>
        <w:rPr>
          <w:rFonts w:hint="eastAsia" w:asciiTheme="minorEastAsia" w:hAnsiTheme="minorEastAsia" w:eastAsiaTheme="minorEastAsia"/>
          <w:sz w:val="24"/>
          <w:shd w:val="clear" w:color="auto" w:fill="ffffff"/>
        </w:rPr>
        <w:t xml:space="preserve">墩村、民生村、南舍村、</w:t>
      </w:r>
      <w:r>
        <w:rPr>
          <w:rFonts w:hint="eastAsia" w:asciiTheme="minorEastAsia" w:hAnsiTheme="minorEastAsia" w:eastAsiaTheme="minorEastAsia"/>
          <w:sz w:val="24"/>
          <w:shd w:val="clear" w:color="auto" w:fill="ffffff"/>
        </w:rPr>
        <w:t xml:space="preserve">北舍村</w:t>
      </w:r>
      <w:r>
        <w:rPr>
          <w:rFonts w:hint="eastAsia" w:asciiTheme="minorEastAsia" w:hAnsiTheme="minorEastAsia" w:eastAsiaTheme="minorEastAsia"/>
          <w:sz w:val="24"/>
          <w:shd w:val="clear" w:color="auto" w:fill="ffffff"/>
        </w:rPr>
        <w:t xml:space="preserve">、东滩村、</w:t>
      </w:r>
      <w:r>
        <w:rPr>
          <w:rFonts w:hint="eastAsia" w:asciiTheme="minorEastAsia" w:hAnsiTheme="minorEastAsia" w:eastAsiaTheme="minorEastAsia"/>
          <w:sz w:val="24"/>
          <w:shd w:val="clear" w:color="auto" w:fill="ffffff"/>
        </w:rPr>
        <w:t xml:space="preserve">正丰村</w:t>
      </w:r>
      <w:r>
        <w:rPr>
          <w:rFonts w:hint="eastAsia" w:asciiTheme="minorEastAsia" w:hAnsiTheme="minorEastAsia" w:eastAsiaTheme="minorEastAsia"/>
          <w:sz w:val="24"/>
          <w:shd w:val="clear" w:color="auto" w:fill="ffffff"/>
        </w:rPr>
        <w:t xml:space="preserve">、</w:t>
      </w:r>
      <w:r>
        <w:rPr>
          <w:rFonts w:hint="eastAsia" w:asciiTheme="minorEastAsia" w:hAnsiTheme="minorEastAsia" w:eastAsiaTheme="minorEastAsia"/>
          <w:sz w:val="24"/>
          <w:shd w:val="clear" w:color="auto" w:fill="ffffff"/>
        </w:rPr>
        <w:t xml:space="preserve">中舍村</w:t>
      </w:r>
      <w:r>
        <w:rPr>
          <w:rFonts w:hint="eastAsia" w:asciiTheme="minorEastAsia" w:hAnsiTheme="minorEastAsia" w:eastAsiaTheme="minorEastAsia"/>
          <w:sz w:val="24"/>
          <w:shd w:val="clear" w:color="auto" w:fill="ffffff"/>
        </w:rPr>
        <w:t xml:space="preserve">等7个村内进行农房改善。</w:t>
      </w:r>
      <w:r>
        <w:rPr>
          <w:rFonts w:hint="eastAsia" w:asciiTheme="minorEastAsia" w:hAnsiTheme="minorEastAsia" w:eastAsiaTheme="minorEastAsia"/>
          <w:sz w:val="24"/>
          <w:shd w:val="clear" w:color="auto" w:fill="ffffff"/>
        </w:rPr>
        <w:t xml:space="preserve">具体内容及要求详见招标文件。</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合同履行期限：</w:t>
      </w:r>
      <w:r>
        <w:rPr>
          <w:rFonts w:hint="eastAsia" w:cs="宋体" w:asciiTheme="minorEastAsia" w:hAnsiTheme="minorEastAsia" w:eastAsiaTheme="minorEastAsia"/>
          <w:sz w:val="24"/>
        </w:rPr>
        <w:t xml:space="preserve">自合同生效之日起12个月</w:t>
      </w:r>
      <w:r>
        <w:rPr>
          <w:rFonts w:hint="eastAsia" w:cs="宋体" w:asciiTheme="minorEastAsia" w:hAnsiTheme="minorEastAsia" w:eastAsiaTheme="minorEastAsia"/>
          <w:sz w:val="24"/>
        </w:rPr>
        <w:t xml:space="preserve">。</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本项目（是/否）接受联合体投标：否。</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二、申请人资格要求</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（一）满足《中华人民共和国政府采购法》第二十二条规定，并提供下列材料：</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1.法人或者其他组织的营业执照等证明文件，自然人的身份证明。</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2.上一年度的财务状况报表（成立不满一年无需提供）。</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3.具备履行合同所必需的设备和专业技术能力的书面声明。</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4.依法缴纳税收和社会保障资金的相关材料（提供提交投标文件截止时间前一年内至少一个月依法缴纳税收及缴纳社会保障资金的证明材料。供应</w:t>
      </w:r>
      <w:r>
        <w:rPr>
          <w:rFonts w:hint="eastAsia" w:cs="宋体" w:asciiTheme="minorEastAsia" w:hAnsiTheme="minorEastAsia" w:eastAsiaTheme="minorEastAsia"/>
          <w:sz w:val="24"/>
        </w:rPr>
        <w:t xml:space="preserve">商依法</w:t>
      </w:r>
      <w:r>
        <w:rPr>
          <w:rFonts w:hint="eastAsia" w:cs="宋体" w:asciiTheme="minorEastAsia" w:hAnsiTheme="minorEastAsia" w:eastAsiaTheme="minorEastAsia"/>
          <w:sz w:val="24"/>
        </w:rPr>
        <w:t xml:space="preserve">享受缓缴、免缴税收、社会保障资金的提供证明材料。）</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5.参加政府采购活动前3年内在经营活动中没有重大违法记录的书面声明。</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6.法律、行政法规规定的其他条件。</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（二）落实政府采购政策需满足的资格要求：</w:t>
      </w:r>
      <w:r>
        <w:rPr>
          <w:rFonts w:hint="eastAsia" w:cs="宋体" w:asciiTheme="minorEastAsia" w:hAnsiTheme="minorEastAsia" w:eastAsiaTheme="minorEastAsia"/>
          <w:bCs/>
          <w:sz w:val="24"/>
          <w:szCs w:val="20"/>
        </w:rPr>
        <w:t xml:space="preserve">/</w:t>
      </w:r>
      <w:r>
        <w:rPr>
          <w:rFonts w:hint="eastAsia" w:cs="宋体" w:asciiTheme="minorEastAsia" w:hAnsiTheme="minorEastAsia" w:eastAsiaTheme="minorEastAsia"/>
          <w:bCs/>
          <w:sz w:val="24"/>
          <w:szCs w:val="20"/>
        </w:rPr>
        <w:t xml:space="preserve">。</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（三）本项目其他特定资格条件：</w:t>
      </w:r>
      <w:r/>
    </w:p>
    <w:p>
      <w:pPr>
        <w:ind w:firstLine="480"/>
        <w:spacing w:line="440" w:lineRule="exact"/>
        <w:rPr>
          <w:rFonts w:asciiTheme="minorEastAsia" w:hAnsiTheme="minorEastAsia" w:eastAsiaTheme="minorEastAsia"/>
        </w:rPr>
      </w:pPr>
      <w:r>
        <w:rPr>
          <w:rFonts w:hint="eastAsia" w:cs="宋体" w:asciiTheme="minorEastAsia" w:hAnsiTheme="minorEastAsia" w:eastAsiaTheme="minorEastAsia"/>
          <w:sz w:val="24"/>
        </w:rPr>
        <w:t xml:space="preserve">1.在“信用中国”网站查询，无被列入失信被执行人、重大税收违法案件当事人名单、政府采购严重失信行为记录名单及其他不符合《中华人民共和国政府采购法》第二十二条规定条件的信用记录。（</w:t>
      </w:r>
      <w:r>
        <w:rPr>
          <w:rFonts w:hint="eastAsia"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文件中无需提供证明材料）。</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sz w:val="24"/>
        </w:rPr>
        <w:t xml:space="preserve">2.单位负责人为同一人或者存在直接控股、管理关系的不同供应商，不得参加同一合同项下的政府采购活动。</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w:t>
      </w:r>
      <w:r>
        <w:rPr>
          <w:rFonts w:hint="eastAsia" w:cs="宋体" w:asciiTheme="minorEastAsia" w:hAnsiTheme="minorEastAsia" w:eastAsiaTheme="minorEastAsia"/>
          <w:b/>
          <w:sz w:val="24"/>
        </w:rPr>
        <w:t xml:space="preserve">获取招标文件</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1.时间：</w:t>
      </w:r>
      <w:r>
        <w:rPr>
          <w:rFonts w:hint="eastAsia" w:cs="宋体" w:asciiTheme="minorEastAsia" w:hAnsiTheme="minorEastAsia" w:eastAsiaTheme="minorEastAsia"/>
          <w:sz w:val="24"/>
        </w:rPr>
        <w:t xml:space="preserve">自招标文件公告发布之日起5个工作日</w:t>
      </w:r>
      <w:r>
        <w:rPr>
          <w:rFonts w:hint="eastAsia" w:cs="宋体" w:asciiTheme="minorEastAsia" w:hAnsiTheme="minorEastAsia" w:eastAsiaTheme="minorEastAsia"/>
          <w:sz w:val="24"/>
        </w:rPr>
        <w:t xml:space="preserve">。</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2.地点：“苏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”系统内免费下载（投标人必须在苏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系统中获取采购文件，方能参与政府采购项目）；</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3.方式：本项目采用网上注册登记方式。</w:t>
      </w:r>
      <w:r>
        <w:rPr>
          <w:rFonts w:ascii="SimSun" w:hAnsi="SimSun" w:eastAsia="SimSun" w:cs="SimSun"/>
          <w:color w:val="000000"/>
          <w:sz w:val="24"/>
        </w:rPr>
        <w:t xml:space="preserve">3.1 潜在供应商访问电子招标响应交易平台的网络地址和方法： “苏采云”系统用户注册--获取“CA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ascii="SimSun" w:hAnsi="SimSun" w:eastAsia="SimSun" w:cs="SimSun"/>
          <w:color w:val="000000"/>
          <w:sz w:val="24"/>
        </w:rPr>
        <w:t xml:space="preserve">3.2潜在投标人访问“苏采云”系统方法：江苏省政府采购网首页-“苏采云”链接。</w:t>
      </w:r>
      <w:r>
        <w:rPr>
          <w:rFonts w:ascii="SimSun" w:hAnsi="SimSun" w:eastAsia="SimSun" w:cs="SimSun"/>
          <w:color w:val="000000"/>
          <w:sz w:val="24"/>
        </w:rPr>
        <w:t xml:space="preserve">3.3 采购文件（后缀名为“.kedt”）、供应商操作手册及政府采购客户端 工具可通过“苏采云”系统相应链接进行下载。</w:t>
      </w:r>
      <w:r>
        <w:rPr>
          <w:rFonts w:ascii="SimSun" w:hAnsi="SimSun" w:eastAsia="SimSun" w:cs="SimSun"/>
          <w:color w:val="000000"/>
          <w:sz w:val="24"/>
        </w:rPr>
        <w:t xml:space="preserve">3.4 采购代理机构将数据电文形式的采购文件加载至“苏采云”系统，供潜在供应商下载或者查阅。</w:t>
      </w:r>
      <w:r>
        <w:rPr>
          <w:rFonts w:ascii="SimSun" w:hAnsi="SimSun" w:eastAsia="SimSun" w:cs="SimSun"/>
          <w:color w:val="000000"/>
          <w:sz w:val="24"/>
        </w:rPr>
        <w:t xml:space="preserve">3.5 请潜在投标单位提前安装相应的控件（详见《“苏采云”系统供应商操作手册》）并使用谷歌浏览器登录“苏采云”系统参与不见面开评标。如潜在投标人未按上述要求操作，将自行承担所产生的风险。</w:t>
      </w:r>
      <w:r>
        <w:rPr>
          <w:rFonts w:hint="eastAsia" w:cs="宋体" w:asciiTheme="minorEastAsia" w:hAnsiTheme="minorEastAsia" w:eastAsiaTheme="minorEastAsia"/>
          <w:sz w:val="24"/>
        </w:rPr>
        <w:t xml:space="preserve">如潜在投标人未按上述要求操作，将自行承担所产生的风险。</w:t>
      </w:r>
      <w:r>
        <w:rPr>
          <w:rFonts w:cs="宋体" w:asciiTheme="minorEastAsia" w:hAnsiTheme="minorEastAsia" w:eastAsiaTheme="minorEastAsia"/>
          <w:sz w:val="24"/>
        </w:rPr>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4.文件售价：免费</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
          <w:bCs/>
          <w:sz w:val="24"/>
        </w:rPr>
        <w:t xml:space="preserve">四、提交投标文件截止时间、开标时间和地点</w:t>
      </w:r>
      <w:r/>
    </w:p>
    <w:p>
      <w:pPr>
        <w:ind w:firstLine="480"/>
        <w:spacing w:line="440" w:lineRule="exact"/>
        <w:shd w:val="clear" w:color="auto" w:fill="ffffff"/>
        <w:widowControl/>
        <w:rPr>
          <w:rFonts w:cs="宋体" w:asciiTheme="minorEastAsia" w:hAnsiTheme="minorEastAsia" w:eastAsiaTheme="minorEastAsia"/>
          <w:sz w:val="24"/>
        </w:rPr>
      </w:pPr>
      <w:r>
        <w:rPr>
          <w:rFonts w:cs="宋体" w:asciiTheme="minorEastAsia" w:hAnsiTheme="minorEastAsia" w:eastAsiaTheme="minorEastAsia"/>
          <w:sz w:val="24"/>
        </w:rPr>
        <w:t xml:space="preserve">2024-</w:t>
      </w:r>
      <w:r>
        <w:rPr>
          <w:rFonts w:hint="eastAsia" w:cs="宋体" w:asciiTheme="minorEastAsia" w:hAnsiTheme="minorEastAsia" w:eastAsiaTheme="minorEastAsia"/>
          <w:sz w:val="24"/>
        </w:rPr>
        <w:t xml:space="preserve">12</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16</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9</w:t>
      </w:r>
      <w:bookmarkStart w:id="1" w:name="_GoBack"/>
      <w:r/>
      <w:bookmarkEnd w:id="1"/>
      <w:r>
        <w:rPr>
          <w:rFonts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（北京时间） </w:t>
      </w:r>
      <w:r/>
    </w:p>
    <w:p>
      <w:pPr>
        <w:ind w:firstLine="480"/>
        <w:spacing w:line="440" w:lineRule="exact"/>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shd w:val="clear" w:color="auto" w:fill="ffffff"/>
        </w:rPr>
        <w:t xml:space="preserve">地点：</w:t>
      </w:r>
      <w:r>
        <w:rPr>
          <w:rFonts w:hint="eastAsia" w:cs="宋体" w:asciiTheme="minorEastAsia" w:hAnsiTheme="minorEastAsia" w:eastAsiaTheme="minorEastAsia"/>
          <w:sz w:val="24"/>
          <w:shd w:val="clear" w:color="auto" w:fill="ffffff"/>
        </w:rPr>
        <w:t xml:space="preserve">“苏</w:t>
      </w:r>
      <w:r>
        <w:rPr>
          <w:rFonts w:hint="eastAsia" w:cs="宋体" w:asciiTheme="minorEastAsia" w:hAnsiTheme="minorEastAsia" w:eastAsiaTheme="minorEastAsia"/>
          <w:sz w:val="24"/>
          <w:shd w:val="clear" w:color="auto" w:fill="ffffff"/>
        </w:rPr>
        <w:t xml:space="preserve">采云</w:t>
      </w:r>
      <w:r>
        <w:rPr>
          <w:rFonts w:hint="eastAsia" w:cs="宋体" w:asciiTheme="minorEastAsia" w:hAnsiTheme="minorEastAsia" w:eastAsiaTheme="minorEastAsia"/>
          <w:sz w:val="24"/>
          <w:shd w:val="clear" w:color="auto" w:fill="ffffff"/>
        </w:rPr>
        <w:t xml:space="preserve">”系统中的“开标大厅”</w:t>
      </w:r>
      <w:r>
        <w:rPr>
          <w:rFonts w:hint="eastAsia" w:cs="宋体" w:asciiTheme="minorEastAsia" w:hAnsiTheme="minorEastAsia" w:eastAsiaTheme="minorEastAsia"/>
          <w:sz w:val="24"/>
        </w:rPr>
        <w:t xml:space="preserve">。</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五、公告期限</w:t>
      </w:r>
      <w:r/>
    </w:p>
    <w:p>
      <w:pPr>
        <w:ind w:firstLine="480"/>
        <w:spacing w:line="440" w:lineRule="exact"/>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自本公告发布之日起5个工作日。</w:t>
      </w:r>
      <w:r/>
    </w:p>
    <w:p>
      <w:pPr>
        <w:ind w:firstLine="482"/>
        <w:spacing w:line="440" w:lineRule="exact"/>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b/>
          <w:bCs/>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3.投标人不得提供虚假材料谋取中标成交的或采取不正当手段诋毁、排挤其他供应商。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4.投标人存在串通投标、以他人名义投标、弄虚作假等违法违规行为，或者无正当理由放弃投标、中标资格，造成项目招标失败的，不得参加该项目重新招标的投标。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5.因供应商的系统环境、操作等原因导致项目参与、开评标过程中出现问题由供应商自行承担负责。</w:t>
      </w:r>
      <w:r/>
    </w:p>
    <w:p>
      <w:pPr>
        <w:ind w:firstLine="480"/>
        <w:spacing w:line="440" w:lineRule="exact"/>
        <w:rPr>
          <w:rFonts w:cs="宋体" w:asciiTheme="minorEastAsia" w:hAnsiTheme="minorEastAsia" w:eastAsiaTheme="minorEastAsia"/>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6.本次招标不收取投标保证金，不收取质量保证金。</w:t>
      </w:r>
      <w:r>
        <w:rPr>
          <w:rFonts w:hint="eastAsia" w:cs="宋体" w:asciiTheme="minorEastAsia" w:hAnsiTheme="minorEastAsia" w:eastAsiaTheme="minorEastAsia"/>
          <w:sz w:val="24"/>
        </w:rPr>
      </w:r>
      <w:r/>
    </w:p>
    <w:p>
      <w:pPr>
        <w:ind w:firstLine="482"/>
        <w:spacing w:line="440" w:lineRule="exact"/>
        <w:tabs>
          <w:tab w:val="left" w:pos="900" w:leader="none"/>
        </w:tabs>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七、本次采购联系方式</w:t>
      </w:r>
      <w:r/>
    </w:p>
    <w:p>
      <w:pPr>
        <w:ind w:firstLine="480"/>
        <w:spacing w:line="440" w:lineRule="exact"/>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1.采购人信息</w:t>
      </w:r>
      <w:r/>
    </w:p>
    <w:p>
      <w:pPr>
        <w:ind w:firstLine="480"/>
        <w:spacing w:line="440" w:lineRule="exact"/>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采购包1</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名    称：盐城经济技术开发区住房保障和建设局</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地    址：盐城经济技术开发区松江路18号</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联 系 人：</w:t>
      </w:r>
      <w:r>
        <w:rPr>
          <w:rFonts w:hint="eastAsia" w:cs="宋体" w:asciiTheme="minorEastAsia" w:hAnsiTheme="minorEastAsia" w:eastAsiaTheme="minorEastAsia"/>
          <w:bCs/>
          <w:sz w:val="24"/>
        </w:rPr>
        <w:t xml:space="preserve">陆先生</w:t>
      </w:r>
      <w:r>
        <w:rPr>
          <w:rFonts w:cs="宋体" w:asciiTheme="minorEastAsia" w:hAnsiTheme="minorEastAsia" w:eastAsiaTheme="minorEastAsia"/>
          <w:bCs/>
          <w:sz w:val="24"/>
        </w:rPr>
        <w:t xml:space="preserve"> </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联系电话：</w:t>
      </w:r>
      <w:r>
        <w:rPr>
          <w:rFonts w:cs="宋体" w:asciiTheme="minorEastAsia" w:hAnsiTheme="minorEastAsia" w:eastAsiaTheme="minorEastAsia"/>
          <w:bCs/>
          <w:sz w:val="24"/>
        </w:rPr>
        <w:t xml:space="preserve">0515-68820912</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2.采购代理机构信息（如有）</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名    称：江苏</w:t>
      </w:r>
      <w:r>
        <w:rPr>
          <w:rFonts w:hint="eastAsia" w:cs="宋体" w:asciiTheme="minorEastAsia" w:hAnsiTheme="minorEastAsia" w:eastAsiaTheme="minorEastAsia"/>
          <w:bCs/>
          <w:sz w:val="24"/>
        </w:rPr>
        <w:t xml:space="preserve">仁禾中衡工程</w:t>
      </w:r>
      <w:r>
        <w:rPr>
          <w:rFonts w:hint="eastAsia" w:cs="宋体" w:asciiTheme="minorEastAsia" w:hAnsiTheme="minorEastAsia" w:eastAsiaTheme="minorEastAsia"/>
          <w:bCs/>
          <w:sz w:val="24"/>
        </w:rPr>
        <w:t xml:space="preserve">咨询房地产估价有限公司</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地　  址：盐城市</w:t>
      </w:r>
      <w:r>
        <w:rPr>
          <w:rFonts w:hint="eastAsia" w:cs="宋体" w:asciiTheme="minorEastAsia" w:hAnsiTheme="minorEastAsia" w:eastAsiaTheme="minorEastAsia"/>
          <w:bCs/>
          <w:sz w:val="24"/>
        </w:rPr>
        <w:t xml:space="preserve">盐城经济技术开发区</w:t>
      </w:r>
      <w:r>
        <w:rPr>
          <w:rFonts w:hint="eastAsia" w:cs="宋体" w:asciiTheme="minorEastAsia" w:hAnsiTheme="minorEastAsia" w:eastAsiaTheme="minorEastAsia"/>
          <w:bCs/>
          <w:sz w:val="24"/>
        </w:rPr>
        <w:t xml:space="preserve">世纪大道1188号服务大厦二十楼2007室</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联 系 人：张先生</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联系电话：0515-68661818</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3.项目联系方式</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联 系 人：张先生</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联系电话：0515-68661818</w:t>
      </w:r>
      <w:r/>
    </w:p>
    <w:p>
      <w:pPr>
        <w:jc w:val="center"/>
        <w:spacing w:line="480" w:lineRule="exact"/>
        <w:rPr>
          <w:rFonts w:cs="宋体" w:asciiTheme="minorEastAsia" w:hAnsiTheme="minorEastAsia" w:eastAsiaTheme="minorEastAsia"/>
          <w:b/>
          <w:bCs/>
          <w:sz w:val="32"/>
          <w:szCs w:val="32"/>
        </w:rPr>
      </w:pPr>
      <w:r>
        <w:rPr>
          <w:rFonts w:cs="宋体" w:asciiTheme="minorEastAsia" w:hAnsiTheme="minorEastAsia" w:eastAsiaTheme="minorEastAsia"/>
          <w:b/>
          <w:bCs/>
          <w:sz w:val="32"/>
          <w:szCs w:val="32"/>
        </w:rPr>
        <w:br w:type="page" w:clear="all"/>
      </w:r>
      <w:r>
        <w:rPr>
          <w:rFonts w:hint="eastAsia" w:cs="宋体" w:asciiTheme="minorEastAsia" w:hAnsiTheme="minorEastAsia" w:eastAsiaTheme="minorEastAsia"/>
          <w:b/>
          <w:bCs/>
          <w:sz w:val="32"/>
          <w:szCs w:val="32"/>
        </w:rPr>
        <w:t xml:space="preserve">第二部分  投标人须知</w:t>
      </w:r>
      <w:r/>
    </w:p>
    <w:p>
      <w:pPr>
        <w:pStyle w:val="912"/>
        <w:ind w:firstLine="498"/>
        <w:jc w:val="both"/>
        <w:keepLines/>
        <w:keepNext/>
        <w:spacing w:before="145" w:beforeAutospacing="0" w:after="145" w:afterAutospacing="0" w:line="360" w:lineRule="auto"/>
        <w:rPr>
          <w:rFonts w:asciiTheme="minorEastAsia" w:hAnsiTheme="minorEastAsia" w:eastAsiaTheme="minorEastAsia"/>
        </w:rPr>
      </w:pPr>
      <w:r/>
      <w:bookmarkStart w:id="2" w:name="_Toc20823275"/>
      <w:r/>
      <w:bookmarkStart w:id="3" w:name="_Toc16938519"/>
      <w:r/>
      <w:bookmarkStart w:id="4" w:name="_Toc120614214"/>
      <w:r/>
      <w:bookmarkStart w:id="5" w:name="_Toc513029203"/>
      <w:r>
        <w:rPr>
          <w:rFonts w:asciiTheme="minorEastAsia" w:hAnsiTheme="minorEastAsia" w:eastAsiaTheme="minorEastAsia"/>
          <w:b/>
          <w:sz w:val="32"/>
          <w:szCs w:val="32"/>
        </w:rPr>
        <w:t xml:space="preserve">一、总则</w:t>
      </w:r>
      <w:bookmarkEnd w:id="2"/>
      <w:r/>
      <w:bookmarkEnd w:id="3"/>
      <w:r/>
      <w:bookmarkEnd w:id="4"/>
      <w:r/>
      <w:bookmarkEnd w:id="5"/>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6" w:name="_Toc16938520"/>
      <w:r/>
      <w:bookmarkStart w:id="7" w:name="_Toc458694821"/>
      <w:r/>
      <w:bookmarkStart w:id="8" w:name="_Toc513029204"/>
      <w:r/>
      <w:bookmarkStart w:id="9" w:name="_Toc20823276"/>
      <w:r>
        <w:rPr>
          <w:rFonts w:cs="Arial" w:asciiTheme="minorEastAsia" w:hAnsiTheme="minorEastAsia" w:eastAsiaTheme="minorEastAsia"/>
          <w:b/>
          <w:sz w:val="28"/>
          <w:szCs w:val="28"/>
        </w:rPr>
        <w:t xml:space="preserve">1</w:t>
      </w:r>
      <w:bookmarkEnd w:id="6"/>
      <w:r>
        <w:rPr>
          <w:rFonts w:cs="Arial" w:asciiTheme="minorEastAsia" w:hAnsiTheme="minorEastAsia" w:eastAsiaTheme="minorEastAsia"/>
          <w:b/>
          <w:sz w:val="28"/>
          <w:szCs w:val="28"/>
        </w:rPr>
        <w:t xml:space="preserve">、招标方式</w:t>
      </w:r>
      <w:bookmarkEnd w:id="7"/>
      <w:r/>
      <w:bookmarkEnd w:id="8"/>
      <w:r/>
      <w:bookmarkEnd w:id="9"/>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1.1本次招标采取公开招标方式，本招标文件仅适用于招标公告中所述项目。</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10" w:name="_Toc513029205"/>
      <w:r/>
      <w:bookmarkStart w:id="11" w:name="_Toc20823277"/>
      <w:r/>
      <w:bookmarkStart w:id="12" w:name="_Toc16938521"/>
      <w:r>
        <w:rPr>
          <w:rFonts w:cs="Arial" w:asciiTheme="minorEastAsia" w:hAnsiTheme="minorEastAsia" w:eastAsiaTheme="minorEastAsia"/>
          <w:b/>
          <w:sz w:val="28"/>
          <w:szCs w:val="28"/>
        </w:rPr>
        <w:t xml:space="preserve">2、合格的投标人</w:t>
      </w:r>
      <w:bookmarkEnd w:id="10"/>
      <w:r/>
      <w:bookmarkEnd w:id="11"/>
      <w:r/>
      <w:bookmarkEnd w:id="12"/>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2.1满足招标公告中供应商的资格要求的规定。</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2.2满足本文件实质性要求和条件的规定。</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13" w:name="_Toc20823278"/>
      <w:r/>
      <w:bookmarkStart w:id="14" w:name="_Toc16938522"/>
      <w:r/>
      <w:bookmarkStart w:id="15" w:name="_Toc513029206"/>
      <w:r>
        <w:rPr>
          <w:rFonts w:cs="Arial" w:asciiTheme="minorEastAsia" w:hAnsiTheme="minorEastAsia" w:eastAsiaTheme="minorEastAsia"/>
          <w:b/>
          <w:sz w:val="28"/>
          <w:szCs w:val="28"/>
        </w:rPr>
        <w:t xml:space="preserve">3、适用法律</w:t>
      </w:r>
      <w:bookmarkEnd w:id="13"/>
      <w:r/>
      <w:bookmarkEnd w:id="14"/>
      <w:r/>
      <w:bookmarkEnd w:id="15"/>
      <w:r/>
      <w:r/>
    </w:p>
    <w:p>
      <w:pPr>
        <w:pStyle w:val="912"/>
        <w:ind w:firstLine="42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3.1本次招标及由此产生的合同受中华人民共和国有关的法律法规制约和保护。</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16" w:name="_Toc20823279"/>
      <w:r/>
      <w:bookmarkStart w:id="17" w:name="_Toc513029207"/>
      <w:r/>
      <w:bookmarkStart w:id="18" w:name="_Toc16938523"/>
      <w:r/>
      <w:bookmarkStart w:id="19" w:name="_Toc462564067"/>
      <w:r>
        <w:rPr>
          <w:rFonts w:cs="Arial" w:asciiTheme="minorEastAsia" w:hAnsiTheme="minorEastAsia" w:eastAsiaTheme="minorEastAsia"/>
          <w:b/>
          <w:sz w:val="28"/>
          <w:szCs w:val="28"/>
        </w:rPr>
        <w:t xml:space="preserve">4、投标费用</w:t>
      </w:r>
      <w:bookmarkEnd w:id="16"/>
      <w:r/>
      <w:bookmarkEnd w:id="17"/>
      <w:r/>
      <w:bookmarkEnd w:id="18"/>
      <w:r/>
      <w:bookmarkEnd w:id="19"/>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4.1投标人应自行承担所有与参加投标有关的费用，无论投标过程中的做法和结果如何，</w:t>
      </w:r>
      <w:r>
        <w:rPr>
          <w:rFonts w:hint="eastAsia" w:asciiTheme="minorEastAsia" w:hAnsiTheme="minorEastAsia" w:eastAsiaTheme="minorEastAsia"/>
          <w:szCs w:val="21"/>
        </w:rPr>
        <w:t xml:space="preserve">采购人及</w:t>
      </w:r>
      <w:r>
        <w:rPr>
          <w:rFonts w:hint="eastAsia" w:asciiTheme="minorEastAsia" w:hAnsiTheme="minorEastAsia" w:eastAsiaTheme="minorEastAsia"/>
          <w:szCs w:val="21"/>
        </w:rPr>
        <w:t xml:space="preserve">采购代理机构</w:t>
      </w:r>
      <w:r>
        <w:rPr>
          <w:rFonts w:hint="eastAsia" w:asciiTheme="minorEastAsia" w:hAnsiTheme="minorEastAsia" w:eastAsiaTheme="minorEastAsia"/>
        </w:rPr>
        <w:t xml:space="preserve">（以下简称</w:t>
      </w:r>
      <w:r>
        <w:rPr>
          <w:rFonts w:hint="eastAsia" w:asciiTheme="minorEastAsia" w:hAnsiTheme="minorEastAsia" w:eastAsiaTheme="minorEastAsia"/>
          <w:szCs w:val="21"/>
        </w:rPr>
        <w:t xml:space="preserve">代理机构</w:t>
      </w:r>
      <w:r>
        <w:rPr>
          <w:rFonts w:hint="eastAsia" w:asciiTheme="minorEastAsia" w:hAnsiTheme="minorEastAsia" w:eastAsiaTheme="minorEastAsia"/>
        </w:rPr>
        <w:t xml:space="preserve">）在任何情况下均无义务和责任承担这些费用。</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4.2本次招标采购人不收取标书工本费与中标服务费。</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4.3</w:t>
      </w:r>
      <w:r>
        <w:rPr>
          <w:rFonts w:asciiTheme="minorEastAsia" w:hAnsiTheme="minorEastAsia" w:eastAsiaTheme="minorEastAsia"/>
        </w:rPr>
        <w:t xml:space="preserve">招标代理服务费：</w:t>
      </w:r>
      <w:r>
        <w:rPr>
          <w:rFonts w:asciiTheme="minorEastAsia" w:hAnsiTheme="minorEastAsia" w:eastAsiaTheme="minorEastAsia"/>
        </w:rPr>
        <w:t xml:space="preserve">招标代理费为人民币玖万元整，由中标单位向代理机构支付</w:t>
      </w:r>
      <w:r>
        <w:rPr>
          <w:rFonts w:asciiTheme="minorEastAsia" w:hAnsiTheme="minorEastAsia" w:eastAsiaTheme="minorEastAsia"/>
        </w:rPr>
        <w:t xml:space="preserve">。投标人投标</w:t>
      </w:r>
      <w:r>
        <w:rPr>
          <w:rFonts w:asciiTheme="minorEastAsia" w:hAnsiTheme="minorEastAsia" w:eastAsiaTheme="minorEastAsia"/>
        </w:rPr>
        <w:t xml:space="preserve">时综合</w:t>
      </w:r>
      <w:r>
        <w:rPr>
          <w:rFonts w:asciiTheme="minorEastAsia" w:hAnsiTheme="minorEastAsia" w:eastAsiaTheme="minorEastAsia"/>
        </w:rPr>
        <w:t xml:space="preserve">考虑进报价中，此项费用不得单列。中标后由中标单位在领取中标通知书前直接向招标</w:t>
      </w:r>
      <w:r>
        <w:rPr>
          <w:rFonts w:asciiTheme="minorEastAsia" w:hAnsiTheme="minorEastAsia" w:eastAsiaTheme="minorEastAsia"/>
        </w:rPr>
        <w:t xml:space="preserve">代理机构</w:t>
      </w:r>
      <w:r>
        <w:rPr>
          <w:rFonts w:asciiTheme="minorEastAsia" w:hAnsiTheme="minorEastAsia" w:eastAsiaTheme="minorEastAsia"/>
        </w:rPr>
        <w:t xml:space="preserve">一次性付清。</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5、招标文件的约束力</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5.1投标人一旦参加本项目采购活动，即被认为接受了本招标文件的规定和约束。</w:t>
      </w:r>
      <w:r/>
    </w:p>
    <w:p>
      <w:pPr>
        <w:pStyle w:val="912"/>
        <w:ind w:firstLine="321"/>
        <w:jc w:val="both"/>
        <w:keepLines/>
        <w:keepNext/>
        <w:spacing w:before="145" w:beforeAutospacing="0" w:after="145" w:afterAutospacing="0" w:line="360" w:lineRule="auto"/>
        <w:rPr>
          <w:rFonts w:asciiTheme="minorEastAsia" w:hAnsiTheme="minorEastAsia" w:eastAsiaTheme="minorEastAsia"/>
        </w:rPr>
      </w:pPr>
      <w:r/>
      <w:bookmarkStart w:id="20" w:name="_Toc20823281"/>
      <w:r/>
      <w:bookmarkStart w:id="21" w:name="_Toc16938525"/>
      <w:r/>
      <w:bookmarkStart w:id="22" w:name="_Toc513029209"/>
      <w:r/>
      <w:bookmarkStart w:id="23" w:name="_Toc120614215"/>
      <w:r>
        <w:rPr>
          <w:rFonts w:asciiTheme="minorEastAsia" w:hAnsiTheme="minorEastAsia" w:eastAsiaTheme="minorEastAsia"/>
          <w:b/>
          <w:sz w:val="32"/>
          <w:szCs w:val="32"/>
        </w:rPr>
        <w:t xml:space="preserve">二、招标文件</w:t>
      </w:r>
      <w:bookmarkEnd w:id="20"/>
      <w:r/>
      <w:bookmarkEnd w:id="21"/>
      <w:r/>
      <w:bookmarkEnd w:id="22"/>
      <w:r/>
      <w:bookmarkEnd w:id="23"/>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24" w:name="_Toc513029210"/>
      <w:r/>
      <w:bookmarkStart w:id="25" w:name="_Toc16938526"/>
      <w:r/>
      <w:bookmarkStart w:id="26" w:name="_Toc20823282"/>
      <w:r>
        <w:rPr>
          <w:rFonts w:cs="Arial" w:asciiTheme="minorEastAsia" w:hAnsiTheme="minorEastAsia" w:eastAsiaTheme="minorEastAsia"/>
          <w:b/>
          <w:sz w:val="28"/>
          <w:szCs w:val="28"/>
        </w:rPr>
        <w:t xml:space="preserve">6、招标文件构成</w:t>
      </w:r>
      <w:bookmarkEnd w:id="24"/>
      <w:r/>
      <w:bookmarkEnd w:id="25"/>
      <w:r/>
      <w:bookmarkEnd w:id="26"/>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6.1 招标文件由以下部分组成：</w:t>
      </w:r>
      <w:r/>
    </w:p>
    <w:p>
      <w:pPr>
        <w:pStyle w:val="912"/>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（1）招标公告</w:t>
      </w:r>
      <w:r/>
    </w:p>
    <w:p>
      <w:pPr>
        <w:pStyle w:val="912"/>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（2）投标人须知</w:t>
      </w:r>
      <w:r/>
    </w:p>
    <w:p>
      <w:pPr>
        <w:pStyle w:val="912"/>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（3）合同文本</w:t>
      </w:r>
      <w:r/>
    </w:p>
    <w:p>
      <w:pPr>
        <w:pStyle w:val="912"/>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（4）采购需求</w:t>
      </w:r>
      <w:r/>
    </w:p>
    <w:p>
      <w:pPr>
        <w:pStyle w:val="912"/>
        <w:ind w:firstLine="360"/>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评标方法与评标标准</w:t>
      </w:r>
      <w:r/>
    </w:p>
    <w:p>
      <w:pPr>
        <w:pStyle w:val="912"/>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（6）投标文件格式</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请仔细检查招标文件是否齐全，如有</w:t>
      </w:r>
      <w:r>
        <w:rPr>
          <w:rFonts w:hint="eastAsia" w:asciiTheme="minorEastAsia" w:hAnsiTheme="minorEastAsia" w:eastAsiaTheme="minorEastAsia"/>
        </w:rPr>
        <w:t xml:space="preserve">缺漏请</w:t>
      </w:r>
      <w:r>
        <w:rPr>
          <w:rFonts w:hint="eastAsia" w:asciiTheme="minorEastAsia" w:hAnsiTheme="minorEastAsia" w:eastAsiaTheme="minorEastAsia"/>
        </w:rPr>
        <w:t xml:space="preserve">立即与</w:t>
      </w:r>
      <w:r>
        <w:rPr>
          <w:rFonts w:hint="eastAsia" w:asciiTheme="minorEastAsia" w:hAnsiTheme="minorEastAsia" w:eastAsiaTheme="minorEastAsia"/>
          <w:szCs w:val="21"/>
        </w:rPr>
        <w:t xml:space="preserve">采购人或</w:t>
      </w:r>
      <w:r>
        <w:rPr>
          <w:rFonts w:hint="eastAsia" w:asciiTheme="minorEastAsia" w:hAnsiTheme="minorEastAsia" w:eastAsiaTheme="minorEastAsia"/>
          <w:szCs w:val="21"/>
        </w:rPr>
        <w:t xml:space="preserve">代理机构</w:t>
      </w:r>
      <w:r>
        <w:rPr>
          <w:rFonts w:hint="eastAsia" w:asciiTheme="minorEastAsia" w:hAnsiTheme="minorEastAsia" w:eastAsiaTheme="minorEastAsia"/>
        </w:rPr>
        <w:t xml:space="preserve">联系解决。</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实质性响应，否则其风险由投标人自行承担。</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27" w:name="_Toc513029211"/>
      <w:r/>
      <w:bookmarkStart w:id="28" w:name="_Toc16938527"/>
      <w:r/>
      <w:bookmarkStart w:id="29" w:name="_Toc20823283"/>
      <w:r/>
      <w:bookmarkStart w:id="30" w:name="_Toc462564070"/>
      <w:r>
        <w:rPr>
          <w:rFonts w:cs="Arial" w:asciiTheme="minorEastAsia" w:hAnsiTheme="minorEastAsia" w:eastAsiaTheme="minorEastAsia"/>
          <w:b/>
          <w:sz w:val="28"/>
          <w:szCs w:val="28"/>
        </w:rPr>
        <w:t xml:space="preserve">7、招标文件的澄清</w:t>
      </w:r>
      <w:bookmarkEnd w:id="27"/>
      <w:r/>
      <w:bookmarkEnd w:id="28"/>
      <w:r/>
      <w:bookmarkEnd w:id="29"/>
      <w:r/>
      <w:bookmarkEnd w:id="30"/>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7.1任何要求对招标文件进行澄清的投标人，应在投标截止期</w:t>
      </w:r>
      <w:r>
        <w:rPr>
          <w:rFonts w:cs="仿宋_GB2312" w:asciiTheme="minorEastAsia" w:hAnsiTheme="minorEastAsia" w:eastAsiaTheme="minorEastAsia"/>
          <w:b/>
        </w:rPr>
        <w:t xml:space="preserve">十日</w:t>
      </w:r>
      <w:r>
        <w:rPr>
          <w:rFonts w:cs="仿宋_GB2312" w:asciiTheme="minorEastAsia" w:hAnsiTheme="minorEastAsia" w:eastAsiaTheme="minorEastAsia"/>
        </w:rPr>
        <w:t xml:space="preserve">前</w:t>
      </w:r>
      <w:r>
        <w:rPr>
          <w:rFonts w:hint="eastAsia" w:asciiTheme="minorEastAsia" w:hAnsiTheme="minorEastAsia" w:eastAsiaTheme="minorEastAsia"/>
        </w:rPr>
        <w:t xml:space="preserve">按招标公告中的通讯地址，以书面形式通知</w:t>
      </w:r>
      <w:r>
        <w:rPr>
          <w:rFonts w:hint="eastAsia" w:asciiTheme="minorEastAsia" w:hAnsiTheme="minorEastAsia" w:eastAsiaTheme="minorEastAsia"/>
          <w:szCs w:val="21"/>
        </w:rPr>
        <w:t xml:space="preserve">采购人或</w:t>
      </w:r>
      <w:r>
        <w:rPr>
          <w:rFonts w:hint="eastAsia" w:asciiTheme="minorEastAsia" w:hAnsiTheme="minorEastAsia" w:eastAsiaTheme="minorEastAsia"/>
          <w:szCs w:val="21"/>
        </w:rPr>
        <w:t xml:space="preserve">代理机构</w:t>
      </w:r>
      <w:r>
        <w:rPr>
          <w:rFonts w:hint="eastAsia" w:asciiTheme="minorEastAsia" w:hAnsiTheme="minorEastAsia" w:eastAsiaTheme="minorEastAsia"/>
        </w:rPr>
        <w:t xml:space="preserve">。</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31" w:name="_Toc513029212"/>
      <w:r/>
      <w:bookmarkStart w:id="32" w:name="_Toc462564071"/>
      <w:r/>
      <w:bookmarkStart w:id="33" w:name="_Toc16938528"/>
      <w:r/>
      <w:bookmarkStart w:id="34" w:name="_Toc20823284"/>
      <w:r>
        <w:rPr>
          <w:rFonts w:cs="Arial" w:asciiTheme="minorEastAsia" w:hAnsiTheme="minorEastAsia" w:eastAsiaTheme="minorEastAsia"/>
          <w:b/>
          <w:sz w:val="28"/>
          <w:szCs w:val="28"/>
        </w:rPr>
        <w:t xml:space="preserve">8、招标文件的修改</w:t>
      </w:r>
      <w:bookmarkEnd w:id="31"/>
      <w:r/>
      <w:bookmarkEnd w:id="32"/>
      <w:r/>
      <w:bookmarkEnd w:id="33"/>
      <w:r/>
      <w:bookmarkEnd w:id="34"/>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8.1在投标截止时间</w:t>
      </w:r>
      <w:r>
        <w:rPr>
          <w:rFonts w:cs="仿宋_GB2312" w:asciiTheme="minorEastAsia" w:hAnsiTheme="minorEastAsia" w:eastAsiaTheme="minorEastAsia"/>
        </w:rPr>
        <w:t xml:space="preserve">前</w:t>
      </w:r>
      <w:r>
        <w:rPr>
          <w:rFonts w:hint="eastAsia" w:asciiTheme="minorEastAsia" w:hAnsiTheme="minorEastAsia" w:eastAsiaTheme="minorEastAsia"/>
        </w:rPr>
        <w:t xml:space="preserve">，采购人可以对招标文件进行修改。</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8.2采购人有权按照法定的要求推迟投标截止日期和开标日期。</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8.3招标文件的修改将在“中国政府采购网”、“江苏政府采购网”、“盐城市政府采购网”公布，补充文件将作为招标文件的组成部分，并对投标人具有约束力。</w:t>
      </w:r>
      <w:r/>
    </w:p>
    <w:p>
      <w:pPr>
        <w:pStyle w:val="912"/>
        <w:ind w:firstLine="482"/>
        <w:jc w:val="both"/>
        <w:keepLines/>
        <w:keepNext/>
        <w:spacing w:before="145" w:beforeAutospacing="0" w:after="145" w:afterAutospacing="0" w:line="360" w:lineRule="auto"/>
        <w:rPr>
          <w:rFonts w:asciiTheme="minorEastAsia" w:hAnsiTheme="minorEastAsia" w:eastAsiaTheme="minorEastAsia"/>
        </w:rPr>
      </w:pPr>
      <w:r/>
      <w:bookmarkStart w:id="35" w:name="_Toc513029213"/>
      <w:r/>
      <w:bookmarkStart w:id="36" w:name="_Toc20823285"/>
      <w:r/>
      <w:bookmarkStart w:id="37" w:name="_Toc462564072"/>
      <w:r/>
      <w:bookmarkStart w:id="38" w:name="_Toc120614216"/>
      <w:r/>
      <w:bookmarkStart w:id="39" w:name="_Toc16938529"/>
      <w:r>
        <w:rPr>
          <w:rFonts w:asciiTheme="minorEastAsia" w:hAnsiTheme="minorEastAsia" w:eastAsiaTheme="minorEastAsia"/>
          <w:b/>
          <w:sz w:val="32"/>
          <w:szCs w:val="32"/>
        </w:rPr>
        <w:t xml:space="preserve">三、投标文件的编制</w:t>
      </w:r>
      <w:bookmarkEnd w:id="35"/>
      <w:r/>
      <w:bookmarkEnd w:id="36"/>
      <w:r/>
      <w:bookmarkEnd w:id="37"/>
      <w:r/>
      <w:bookmarkEnd w:id="38"/>
      <w:r/>
      <w:bookmarkEnd w:id="39"/>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40" w:name="_Toc513029214"/>
      <w:r/>
      <w:bookmarkStart w:id="41" w:name="_Toc16938530"/>
      <w:r/>
      <w:bookmarkStart w:id="42" w:name="_Toc462564073"/>
      <w:r/>
      <w:bookmarkStart w:id="43" w:name="_Toc20823286"/>
      <w:r>
        <w:rPr>
          <w:rFonts w:cs="Arial" w:asciiTheme="minorEastAsia" w:hAnsiTheme="minorEastAsia" w:eastAsiaTheme="minorEastAsia"/>
          <w:b/>
          <w:sz w:val="28"/>
          <w:szCs w:val="28"/>
        </w:rPr>
        <w:t xml:space="preserve">9、投标文件的语言及度量衡单位</w:t>
      </w:r>
      <w:bookmarkEnd w:id="40"/>
      <w:r/>
      <w:bookmarkEnd w:id="41"/>
      <w:r/>
      <w:bookmarkEnd w:id="42"/>
      <w:r/>
      <w:bookmarkEnd w:id="43"/>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9.1投标人提交的投标文件以及投标人与</w:t>
      </w:r>
      <w:r>
        <w:rPr>
          <w:rFonts w:hint="eastAsia" w:asciiTheme="minorEastAsia" w:hAnsiTheme="minorEastAsia" w:eastAsiaTheme="minorEastAsia"/>
          <w:szCs w:val="21"/>
        </w:rPr>
        <w:t xml:space="preserve">采购人（或</w:t>
      </w:r>
      <w:r>
        <w:rPr>
          <w:rFonts w:hint="eastAsia" w:asciiTheme="minorEastAsia" w:hAnsiTheme="minorEastAsia" w:eastAsiaTheme="minorEastAsia"/>
          <w:szCs w:val="21"/>
        </w:rPr>
        <w:t xml:space="preserve">代理机构</w:t>
      </w:r>
      <w:r>
        <w:rPr>
          <w:rFonts w:hint="eastAsia" w:asciiTheme="minorEastAsia" w:hAnsiTheme="minorEastAsia" w:eastAsiaTheme="minorEastAsia"/>
          <w:szCs w:val="21"/>
        </w:rPr>
        <w:t xml:space="preserve">）</w:t>
      </w:r>
      <w:r>
        <w:rPr>
          <w:rFonts w:hint="eastAsia" w:asciiTheme="minorEastAsia" w:hAnsiTheme="minorEastAsia" w:eastAsiaTheme="minorEastAsia"/>
        </w:rPr>
        <w:t xml:space="preserve">就有关投标的所有来往通知、函件和文件均应使用</w:t>
      </w:r>
      <w:r>
        <w:rPr>
          <w:rFonts w:hint="eastAsia" w:asciiTheme="minorEastAsia" w:hAnsiTheme="minorEastAsia" w:eastAsiaTheme="minorEastAsia"/>
          <w:b/>
        </w:rPr>
        <w:t xml:space="preserve">简体中文</w:t>
      </w:r>
      <w:r>
        <w:rPr>
          <w:rFonts w:hint="eastAsia" w:asciiTheme="minorEastAsia" w:hAnsiTheme="minorEastAsia" w:eastAsiaTheme="minorEastAsia"/>
        </w:rPr>
        <w:t xml:space="preserve">。</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9.2除技术性能另有规定外，投标文件所使用的度量衡单位，均须采用国家法定计量单位。</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44" w:name="_Toc513029215"/>
      <w:r/>
      <w:bookmarkStart w:id="45" w:name="_Toc16938531"/>
      <w:r/>
      <w:bookmarkStart w:id="46" w:name="_Toc462564074"/>
      <w:r/>
      <w:bookmarkStart w:id="47" w:name="_Toc20823287"/>
      <w:r>
        <w:rPr>
          <w:rFonts w:cs="Arial" w:asciiTheme="minorEastAsia" w:hAnsiTheme="minorEastAsia" w:eastAsiaTheme="minorEastAsia"/>
          <w:b/>
          <w:sz w:val="28"/>
          <w:szCs w:val="28"/>
        </w:rPr>
        <w:t xml:space="preserve">10、投标文件构成</w:t>
      </w:r>
      <w:bookmarkEnd w:id="44"/>
      <w:r/>
      <w:bookmarkEnd w:id="45"/>
      <w:r/>
      <w:bookmarkEnd w:id="46"/>
      <w:r/>
      <w:bookmarkEnd w:id="47"/>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12"/>
        <w:ind w:firstLine="420"/>
        <w:jc w:val="both"/>
        <w:keepLines/>
        <w:keepNext/>
        <w:spacing w:beforeAutospacing="0" w:afterAutospacing="0"/>
        <w:rPr>
          <w:rFonts w:asciiTheme="minorEastAsia" w:hAnsiTheme="minorEastAsia" w:eastAsiaTheme="minorEastAsia"/>
        </w:rPr>
      </w:pPr>
      <w:r/>
      <w:bookmarkStart w:id="48" w:name="_Toc49090509"/>
      <w:r/>
      <w:bookmarkStart w:id="49" w:name="_Toc513029216"/>
      <w:r/>
      <w:bookmarkStart w:id="50" w:name="_Toc513029219"/>
      <w:r/>
      <w:bookmarkStart w:id="51" w:name="_Toc49090507"/>
      <w:r/>
      <w:bookmarkStart w:id="52" w:name="_Toc14577357"/>
      <w:r/>
      <w:bookmarkStart w:id="53" w:name="_Toc14577354"/>
      <w:r>
        <w:rPr>
          <w:rFonts w:cs="Arial" w:asciiTheme="minorEastAsia" w:hAnsiTheme="minorEastAsia" w:eastAsiaTheme="minorEastAsia"/>
          <w:b/>
          <w:sz w:val="28"/>
          <w:szCs w:val="28"/>
        </w:rPr>
        <w:t xml:space="preserve">11、证明投标人及投标标的符合招标文件规定的文件</w:t>
      </w:r>
      <w:bookmarkStart w:id="54" w:name="_Toc14577355"/>
      <w:r/>
      <w:bookmarkStart w:id="55" w:name="_Toc49090508"/>
      <w:r/>
      <w:bookmarkEnd w:id="48"/>
      <w:r/>
      <w:bookmarkEnd w:id="49"/>
      <w:r/>
      <w:bookmarkEnd w:id="50"/>
      <w:r/>
      <w:bookmarkEnd w:id="51"/>
      <w:r/>
      <w:bookmarkEnd w:id="52"/>
      <w:r/>
      <w:bookmarkEnd w:id="53"/>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11.1投标人应按照法律、法规、规章和规范性文件以及招标文件要求提交证明文件，证明其及投标标的符合招标文件规定。</w:t>
      </w:r>
      <w:bookmarkEnd w:id="54"/>
      <w:r/>
      <w:bookmarkEnd w:id="55"/>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11.2招标文件对证明文件无明确形式要求的，证明文件可以以文字资料、图纸和数据等形式提交。</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12、投标分项报价表</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12.1投标人应按照招标文件规定格式填报投标分项报价表。</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12.2投标货币。投标文件中的单价和总价无特殊规定的采用人民币报价，以元为单位标注。招标文件中另有规定的按规定执行。</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b/>
        </w:rPr>
        <w:t xml:space="preserve">12.3投标人在投标报价中</w:t>
      </w:r>
      <w:r>
        <w:rPr>
          <w:rFonts w:hint="eastAsia" w:asciiTheme="minorEastAsia" w:hAnsiTheme="minorEastAsia" w:eastAsiaTheme="minorEastAsia"/>
          <w:b/>
        </w:rPr>
        <w:t xml:space="preserve">须综合</w:t>
      </w:r>
      <w:r>
        <w:rPr>
          <w:rFonts w:hint="eastAsia" w:asciiTheme="minorEastAsia" w:hAnsiTheme="minorEastAsia" w:eastAsiaTheme="minorEastAsia"/>
          <w:b/>
        </w:rPr>
        <w:t xml:space="preserve">考虑项目前期及实施过程中发生的一切费用，项目实施过程中所有事宜须由中标单位自行协调解决。</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13、技术要求响应及偏离表、商务要求响应及偏离表</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13.1投标人需对招标文件中的技术要求与商务要求逐项</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响应或偏离，并说明原因。</w:t>
      </w:r>
      <w:r/>
    </w:p>
    <w:p>
      <w:pPr>
        <w:pStyle w:val="912"/>
        <w:ind w:firstLine="480"/>
        <w:jc w:val="both"/>
        <w:spacing w:beforeAutospacing="0" w:afterAutospacing="0" w:line="0" w:lineRule="atLeast"/>
        <w:tabs>
          <w:tab w:val="left" w:pos="1036" w:leader="none"/>
        </w:tabs>
        <w:rPr>
          <w:rFonts w:asciiTheme="minorEastAsia" w:hAnsiTheme="minorEastAsia" w:eastAsiaTheme="minorEastAsia"/>
        </w:rPr>
      </w:pPr>
      <w:r>
        <w:rPr>
          <w:rFonts w:hint="eastAsia" w:asciiTheme="minorEastAsia" w:hAnsiTheme="minorEastAsia" w:eastAsiaTheme="minorEastAsia"/>
        </w:rPr>
        <w:t xml:space="preserve">13.2投标人可在投标文件中提供认为需要的其他技术文件或说明。</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56" w:name="_Toc14577359"/>
      <w:r/>
      <w:bookmarkStart w:id="57" w:name="_Toc49090510"/>
      <w:r>
        <w:rPr>
          <w:rFonts w:cs="Arial" w:asciiTheme="minorEastAsia" w:hAnsiTheme="minorEastAsia" w:eastAsiaTheme="minorEastAsia"/>
          <w:b/>
          <w:sz w:val="28"/>
          <w:szCs w:val="28"/>
        </w:rPr>
        <w:t xml:space="preserve">14、投标函和开标一览表</w:t>
      </w:r>
      <w:bookmarkEnd w:id="56"/>
      <w:r/>
      <w:bookmarkEnd w:id="57"/>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14.1投标人应按照招标文件中提供的格式完整、正确填写投标函、开标一览表。</w:t>
      </w:r>
      <w:r/>
    </w:p>
    <w:p>
      <w:pPr>
        <w:pStyle w:val="912"/>
        <w:ind w:firstLine="480"/>
        <w:jc w:val="both"/>
        <w:spacing w:beforeAutospacing="0" w:afterAutospacing="0" w:line="0" w:lineRule="atLeast"/>
        <w:rPr>
          <w:rFonts w:asciiTheme="minorEastAsia" w:hAnsiTheme="minorEastAsia" w:eastAsiaTheme="minorEastAsia"/>
          <w:b/>
        </w:rPr>
      </w:pPr>
      <w:r>
        <w:rPr>
          <w:rFonts w:hint="eastAsia" w:asciiTheme="minorEastAsia" w:hAnsiTheme="minorEastAsia" w:eastAsiaTheme="min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b/>
        </w:rPr>
        <w:t xml:space="preserve">。</w:t>
      </w:r>
      <w:r/>
    </w:p>
    <w:p>
      <w:pPr>
        <w:ind w:firstLine="462"/>
        <w:spacing w:line="360" w:lineRule="auto"/>
        <w:rPr>
          <w:rFonts w:cs="宋体" w:asciiTheme="minorEastAsia" w:hAnsiTheme="minorEastAsia" w:eastAsiaTheme="minorEastAsia"/>
          <w:b/>
        </w:rPr>
      </w:pPr>
      <w:r>
        <w:rPr>
          <w:rFonts w:hint="eastAsia" w:asciiTheme="minorEastAsia" w:hAnsiTheme="minorEastAsia" w:eastAsiaTheme="minorEastAsia"/>
          <w:sz w:val="24"/>
        </w:rPr>
        <w:t xml:space="preserve">14.3投标文件的大写金额和小写金额不一致的，以大写金额为准；对不同文字文本投标的解释发生异议的，以中文文本为准。</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58" w:name="_Toc14577360"/>
      <w:r/>
      <w:bookmarkStart w:id="59" w:name="_Toc49090511"/>
      <w:r>
        <w:rPr>
          <w:rFonts w:cs="Arial" w:asciiTheme="minorEastAsia" w:hAnsiTheme="minorEastAsia" w:eastAsiaTheme="minorEastAsia"/>
          <w:b/>
          <w:sz w:val="28"/>
          <w:szCs w:val="28"/>
        </w:rPr>
        <w:t xml:space="preserve">15、投标有效期</w:t>
      </w:r>
      <w:bookmarkEnd w:id="58"/>
      <w:r/>
      <w:bookmarkEnd w:id="59"/>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15.1投标有效期为采购人规定的开标之日后</w:t>
      </w:r>
      <w:r>
        <w:rPr>
          <w:rFonts w:cs="仿宋_GB2312" w:asciiTheme="minorEastAsia" w:hAnsiTheme="minorEastAsia" w:eastAsiaTheme="minorEastAsia"/>
          <w:b/>
          <w:u w:val="single"/>
        </w:rPr>
        <w:t xml:space="preserve">六十（</w:t>
      </w:r>
      <w:r>
        <w:rPr>
          <w:rFonts w:hint="eastAsia" w:asciiTheme="minorEastAsia" w:hAnsiTheme="minorEastAsia" w:eastAsiaTheme="minorEastAsia"/>
          <w:b/>
          <w:u w:val="single"/>
        </w:rPr>
        <w:t xml:space="preserve">60</w:t>
      </w:r>
      <w:r>
        <w:rPr>
          <w:rFonts w:cs="仿宋_GB2312" w:asciiTheme="minorEastAsia" w:hAnsiTheme="minorEastAsia" w:eastAsiaTheme="minorEastAsia"/>
          <w:b/>
          <w:u w:val="single"/>
        </w:rPr>
        <w:t xml:space="preserve">）天</w:t>
      </w:r>
      <w:r>
        <w:rPr>
          <w:rFonts w:hint="eastAsia" w:asciiTheme="minorEastAsia" w:hAnsiTheme="minorEastAsia" w:eastAsiaTheme="minorEastAsia"/>
        </w:rPr>
        <w:t xml:space="preserve">。投标有效期比规定短的将被视为未实质性响应招标文件而予以拒绝。</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16、投标有效期的延长</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912"/>
        <w:ind w:firstLine="482"/>
        <w:jc w:val="both"/>
        <w:keepLines/>
        <w:keepNext/>
        <w:spacing w:before="145" w:beforeAutospacing="0" w:after="145" w:afterAutospacing="0" w:line="360" w:lineRule="auto"/>
        <w:rPr>
          <w:rFonts w:asciiTheme="minorEastAsia" w:hAnsiTheme="minorEastAsia" w:eastAsiaTheme="minorEastAsia"/>
        </w:rPr>
      </w:pPr>
      <w:r/>
      <w:bookmarkStart w:id="60" w:name="_Toc20823296"/>
      <w:r/>
      <w:bookmarkStart w:id="61" w:name="_Toc513029224"/>
      <w:r/>
      <w:bookmarkStart w:id="62" w:name="_Toc120614217"/>
      <w:r/>
      <w:bookmarkStart w:id="63" w:name="_Toc16938540"/>
      <w:r>
        <w:rPr>
          <w:rFonts w:asciiTheme="minorEastAsia" w:hAnsiTheme="minorEastAsia" w:eastAsiaTheme="minorEastAsia"/>
          <w:b/>
          <w:sz w:val="32"/>
          <w:szCs w:val="32"/>
        </w:rPr>
        <w:t xml:space="preserve">四、投标文件的递交</w:t>
      </w:r>
      <w:bookmarkEnd w:id="60"/>
      <w:r/>
      <w:bookmarkEnd w:id="61"/>
      <w:r/>
      <w:bookmarkEnd w:id="62"/>
      <w:r/>
      <w:bookmarkEnd w:id="63"/>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64" w:name="_Toc20823297"/>
      <w:r/>
      <w:bookmarkStart w:id="65" w:name="_Toc513029225"/>
      <w:r/>
      <w:bookmarkStart w:id="66" w:name="_Toc462564084"/>
      <w:r/>
      <w:bookmarkStart w:id="67" w:name="_Toc16938541"/>
      <w:r>
        <w:rPr>
          <w:rFonts w:cs="Arial" w:asciiTheme="minorEastAsia" w:hAnsiTheme="minorEastAsia" w:eastAsiaTheme="minorEastAsia"/>
          <w:b/>
          <w:sz w:val="28"/>
          <w:szCs w:val="28"/>
        </w:rPr>
        <w:t xml:space="preserve">17、</w:t>
      </w:r>
      <w:r>
        <w:rPr>
          <w:rFonts w:hint="eastAsia" w:cs="Arial" w:asciiTheme="minorEastAsia" w:hAnsiTheme="minorEastAsia" w:eastAsiaTheme="minorEastAsia"/>
          <w:b/>
          <w:sz w:val="28"/>
          <w:szCs w:val="28"/>
        </w:rPr>
        <w:t xml:space="preserve">投标文件</w:t>
      </w:r>
      <w:bookmarkEnd w:id="64"/>
      <w:r/>
      <w:bookmarkEnd w:id="65"/>
      <w:r/>
      <w:bookmarkEnd w:id="66"/>
      <w:r/>
      <w:bookmarkEnd w:id="67"/>
      <w:r>
        <w:rPr>
          <w:rFonts w:hint="eastAsia" w:cs="Arial" w:asciiTheme="minorEastAsia" w:hAnsiTheme="minorEastAsia" w:eastAsiaTheme="minorEastAsia"/>
          <w:b/>
          <w:sz w:val="28"/>
          <w:szCs w:val="28"/>
        </w:rPr>
        <w:t xml:space="preserve">的递交</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17.1 电子投标文件的递交</w:t>
      </w:r>
      <w:r/>
    </w:p>
    <w:p>
      <w:pPr>
        <w:pStyle w:val="912"/>
        <w:ind w:left="525"/>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投标人应当按照《操作手册》规定，在投标截止时间</w:t>
      </w:r>
      <w:r>
        <w:rPr>
          <w:rFonts w:hint="eastAsia" w:asciiTheme="minorEastAsia" w:hAnsiTheme="minorEastAsia" w:eastAsiaTheme="minorEastAsia"/>
        </w:rPr>
        <w:t xml:space="preserve">前制作</w:t>
      </w:r>
      <w:r>
        <w:rPr>
          <w:rFonts w:hint="eastAsia" w:asciiTheme="minorEastAsia" w:hAnsiTheme="minorEastAsia" w:eastAsiaTheme="minorEastAsia"/>
        </w:rPr>
        <w:t xml:space="preserve">并上传电子投标文件。</w:t>
      </w:r>
      <w:bookmarkStart w:id="68" w:name="_Toc16938542"/>
      <w:r/>
      <w:bookmarkStart w:id="69" w:name="_Toc20823298"/>
      <w:r/>
      <w:bookmarkEnd w:id="68"/>
      <w:r/>
      <w:bookmarkEnd w:id="69"/>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18、投标截止时间</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i/>
          <w:u w:val="single"/>
        </w:rPr>
        <w:t xml:space="preserve">18.1投标人上传电子投标文件的时间不得迟于招标公告中规定的投标截止时间。</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投标人应充分考虑到网络环境、网络带宽等风险因素，如因投标人自身原因造成的电子投标文件上传不成功的按照本招标文件第二章第26.1.2条 规定做无效投标处理。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18.2采购人可以按照规定，通过修改招标文件酌情延长投标截止时间，在此情况下，投标人的所有权利和义务以及投标人受制的截止时间均应以延长后新的截止时间为准。</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70" w:name="_Toc20823299"/>
      <w:r/>
      <w:bookmarkStart w:id="71" w:name="_Toc513029227"/>
      <w:r/>
      <w:bookmarkStart w:id="72" w:name="_Toc16938543"/>
      <w:r>
        <w:rPr>
          <w:rFonts w:cs="Arial" w:asciiTheme="minorEastAsia" w:hAnsiTheme="minorEastAsia" w:eastAsiaTheme="minorEastAsia"/>
          <w:b/>
          <w:sz w:val="28"/>
          <w:szCs w:val="28"/>
        </w:rPr>
        <w:t xml:space="preserve">19、投标文件</w:t>
      </w:r>
      <w:bookmarkEnd w:id="70"/>
      <w:r/>
      <w:bookmarkEnd w:id="71"/>
      <w:r/>
      <w:bookmarkEnd w:id="72"/>
      <w:r>
        <w:rPr>
          <w:rFonts w:cs="Arial" w:asciiTheme="minorEastAsia" w:hAnsiTheme="minorEastAsia" w:eastAsiaTheme="minorEastAsia"/>
          <w:b/>
          <w:sz w:val="28"/>
          <w:szCs w:val="28"/>
        </w:rPr>
        <w:t xml:space="preserve">的拒收</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19.1采购人拒绝接收在其规定的投标截止时间后上传的任何投标文件。</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73" w:name="_Toc16938544"/>
      <w:r/>
      <w:bookmarkStart w:id="74" w:name="_Toc513029228"/>
      <w:r/>
      <w:bookmarkStart w:id="75" w:name="_Toc20823300"/>
      <w:r>
        <w:rPr>
          <w:rFonts w:cs="Arial" w:asciiTheme="minorEastAsia" w:hAnsiTheme="minorEastAsia" w:eastAsiaTheme="minorEastAsia"/>
          <w:b/>
          <w:sz w:val="28"/>
          <w:szCs w:val="28"/>
        </w:rPr>
        <w:t xml:space="preserve">20、投标文件的撤回和修改</w:t>
      </w:r>
      <w:bookmarkEnd w:id="73"/>
      <w:r/>
      <w:bookmarkEnd w:id="74"/>
      <w:r/>
      <w:bookmarkEnd w:id="75"/>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20.1投标文件的撤回</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21.1.1电子投标文件的撤回</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投标人可在投标截止时间前，撤回其电子投标文件，具体操作方法见《操作手册》。</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21.1.2投标人撤回电子投标文件，则认为其不再参与本项目投标活动。</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20.2 投标文件的修改</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20.2.1投标人可在投标截止时间前，对其电子投标文件进行修改，具体操作方法见《操作手册》。</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20.2.2在投标截止时间之后，投标人不得对其电子投标文件作任何修改。</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20.3在投标截止时间至招标文件中规定的投标有效期满之间的这段时间内，投标人不得撤回其投标。</w:t>
      </w:r>
      <w:r/>
    </w:p>
    <w:p>
      <w:pPr>
        <w:pStyle w:val="912"/>
        <w:ind w:firstLine="482"/>
        <w:jc w:val="both"/>
        <w:keepLines/>
        <w:keepNext/>
        <w:spacing w:before="145" w:beforeAutospacing="0" w:after="145" w:afterAutospacing="0" w:line="360" w:lineRule="auto"/>
        <w:rPr>
          <w:rFonts w:asciiTheme="minorEastAsia" w:hAnsiTheme="minorEastAsia" w:eastAsiaTheme="minorEastAsia"/>
        </w:rPr>
      </w:pPr>
      <w:r/>
      <w:bookmarkStart w:id="76" w:name="_Toc120614218"/>
      <w:r/>
      <w:bookmarkStart w:id="77" w:name="_Toc16938545"/>
      <w:r/>
      <w:bookmarkStart w:id="78" w:name="_Toc513029229"/>
      <w:r/>
      <w:bookmarkStart w:id="79" w:name="_Toc20823301"/>
      <w:r>
        <w:rPr>
          <w:rFonts w:asciiTheme="minorEastAsia" w:hAnsiTheme="minorEastAsia" w:eastAsiaTheme="minorEastAsia"/>
          <w:b/>
          <w:sz w:val="32"/>
          <w:szCs w:val="32"/>
        </w:rPr>
        <w:t xml:space="preserve">五、开标与评标</w:t>
      </w:r>
      <w:bookmarkEnd w:id="76"/>
      <w:r/>
      <w:bookmarkEnd w:id="77"/>
      <w:r/>
      <w:bookmarkEnd w:id="78"/>
      <w:r/>
      <w:bookmarkEnd w:id="79"/>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80" w:name="_Toc20823302"/>
      <w:r/>
      <w:bookmarkStart w:id="81" w:name="_Toc16938546"/>
      <w:r/>
      <w:bookmarkStart w:id="82" w:name="_Toc513029230"/>
      <w:r>
        <w:rPr>
          <w:rFonts w:cs="Arial" w:asciiTheme="minorEastAsia" w:hAnsiTheme="minorEastAsia" w:eastAsiaTheme="minorEastAsia"/>
          <w:b/>
          <w:sz w:val="28"/>
          <w:szCs w:val="28"/>
        </w:rPr>
        <w:t xml:space="preserve">21、开标</w:t>
      </w:r>
      <w:bookmarkEnd w:id="80"/>
      <w:r/>
      <w:bookmarkEnd w:id="81"/>
      <w:r/>
      <w:bookmarkEnd w:id="82"/>
      <w:r/>
      <w:r/>
    </w:p>
    <w:p>
      <w:pPr>
        <w:pStyle w:val="912"/>
        <w:ind w:firstLine="360"/>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21.1采购人将在招标公告中规定的时间和地点组织公开开标。投标人应当按照《操作手册》规定，参加开标活动和在苏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系统规定的时间内对投标文件进行解密。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21.2开标仪式由采购人或代理机构组织。苏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系统将自动对项目进行开标，并宣布各投标人名称和投标价格。</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21.3投标人在开标过程中涉及到的投标文件解密、开标结果确认等工作，应按照《操作手册》规定执行。</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21.4投标人如果对开标过程和开标记录有疑义，应当根据《操作手册》规定提出，如苏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系统中《开标记录表》宣布后5分钟内未提出的，视同认可开标结果。</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83" w:name="_Toc513029231"/>
      <w:r/>
      <w:bookmarkStart w:id="84" w:name="_Toc16938547"/>
      <w:r/>
      <w:bookmarkStart w:id="85" w:name="_Toc20823303"/>
      <w:r>
        <w:rPr>
          <w:rFonts w:cs="Arial" w:asciiTheme="minorEastAsia" w:hAnsiTheme="minorEastAsia" w:eastAsiaTheme="minorEastAsia"/>
          <w:b/>
          <w:sz w:val="28"/>
          <w:szCs w:val="28"/>
        </w:rPr>
        <w:t xml:space="preserve">22、评标委员会</w:t>
      </w:r>
      <w:bookmarkEnd w:id="83"/>
      <w:r/>
      <w:bookmarkEnd w:id="84"/>
      <w:r/>
      <w:bookmarkEnd w:id="85"/>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22.1开标后，采购人将立即组织评标委员会（以下简称评委会）进行评标。</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22.2评委会由采购人代表和有关技术、经济等方面的专家组成，</w:t>
      </w:r>
      <w:r>
        <w:rPr>
          <w:rFonts w:hint="eastAsia" w:asciiTheme="minorEastAsia" w:hAnsiTheme="minorEastAsia" w:eastAsiaTheme="minorEastAsia"/>
        </w:rPr>
        <w:t xml:space="preserve">且人员</w:t>
      </w:r>
      <w:r>
        <w:rPr>
          <w:rFonts w:hint="eastAsia" w:asciiTheme="minorEastAsia" w:hAnsiTheme="minorEastAsia" w:eastAsiaTheme="minorEastAsia"/>
        </w:rPr>
        <w:t xml:space="preserve">构成符合政府采购有关规定。</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22.3评委会独立工作，负责评审所有投标文件并确定中标</w:t>
      </w:r>
      <w:r>
        <w:rPr>
          <w:rFonts w:hint="eastAsia" w:asciiTheme="minorEastAsia" w:hAnsiTheme="minorEastAsia" w:eastAsiaTheme="minorEastAsia"/>
        </w:rPr>
        <w:t xml:space="preserve">侯选人</w:t>
      </w:r>
      <w:r>
        <w:rPr>
          <w:rFonts w:hint="eastAsia" w:asciiTheme="minorEastAsia" w:hAnsiTheme="minorEastAsia" w:eastAsiaTheme="minorEastAsia"/>
        </w:rPr>
        <w:t xml:space="preserve">。</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23、评标过程的保密与公正</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23.1凡是与审查、澄清、评价和比较投标的有关资料以及授标建议等，采购人、评委、</w:t>
      </w:r>
      <w:r>
        <w:rPr>
          <w:rFonts w:hint="eastAsia" w:asciiTheme="minorEastAsia" w:hAnsiTheme="minorEastAsia" w:eastAsiaTheme="minorEastAsia"/>
        </w:rPr>
        <w:t xml:space="preserve">代理机构</w:t>
      </w:r>
      <w:r>
        <w:rPr>
          <w:rFonts w:hint="eastAsia" w:asciiTheme="minorEastAsia" w:hAnsiTheme="minorEastAsia" w:eastAsiaTheme="minorEastAsia"/>
        </w:rPr>
        <w:t xml:space="preserve">均不得向投标人或与评标无关的其他人员透露。</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23.2在评标过程中，投标人不得以任何行为影响评标过程，否则其投标文件将被作为无效投标文件。</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23.3</w:t>
      </w:r>
      <w:r>
        <w:rPr>
          <w:rFonts w:hint="eastAsia" w:asciiTheme="minorEastAsia" w:hAnsiTheme="minorEastAsia" w:eastAsiaTheme="minorEastAsia"/>
          <w:szCs w:val="21"/>
        </w:rPr>
        <w:t xml:space="preserve">采购人、</w:t>
      </w:r>
      <w:r>
        <w:rPr>
          <w:rFonts w:hint="eastAsia" w:asciiTheme="minorEastAsia" w:hAnsiTheme="minorEastAsia" w:eastAsiaTheme="minorEastAsia"/>
          <w:szCs w:val="21"/>
        </w:rPr>
        <w:t xml:space="preserve">代理机构</w:t>
      </w:r>
      <w:r>
        <w:rPr>
          <w:rFonts w:hint="eastAsia" w:asciiTheme="minorEastAsia" w:hAnsiTheme="minorEastAsia" w:eastAsiaTheme="minorEastAsia"/>
        </w:rPr>
        <w:t xml:space="preserve">和评标委员会不向未中标的投标人解释未中标原因，也不公布评标过程中的相关细节。</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23.4采用综合评分法的项目，未中标的投标人可于中标结果公告期限届满之日起通过苏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系统查看自己的评审得分及排序情况。</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86" w:name="_Toc20823304"/>
      <w:r/>
      <w:bookmarkStart w:id="87" w:name="_Toc513029232"/>
      <w:r/>
      <w:bookmarkStart w:id="88" w:name="_Toc16938548"/>
      <w:r>
        <w:rPr>
          <w:rFonts w:cs="Arial" w:asciiTheme="minorEastAsia" w:hAnsiTheme="minorEastAsia" w:eastAsiaTheme="minorEastAsia"/>
          <w:b/>
          <w:sz w:val="28"/>
          <w:szCs w:val="28"/>
        </w:rPr>
        <w:t xml:space="preserve">24、投标文件的澄清</w:t>
      </w:r>
      <w:bookmarkEnd w:id="86"/>
      <w:r/>
      <w:bookmarkEnd w:id="87"/>
      <w:r/>
      <w:bookmarkEnd w:id="88"/>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24.1评标期间，评委会对投标文件中含义不明确、同类问题表述不一致或者有明显文字和计算错误的内容 ，有权要求投标人</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必要的澄清、说明或者补正。</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投标人的澄清、说明或者补正不得超出投标文件的范围或者改变投标文件的实质性内容。</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评标委员会并非对每个投标人都做澄清要求。</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24.2需要供应商进行澄清、说明和补正的，评委会将通过苏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系统向供应商发出“澄清要求函”，接到“澄清要求函”的投标人应当按照要求在苏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系统中提交“澄清响应函”并加盖CA电子公章。澄清、说明和补正的内容作为投标文件的补充部分，具体操作方式见《操作手册》。</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24.3接到评委会澄清、说明和补正要求的投标人如未按规定做出澄清、说明和补正，其风险由投标人自行承担。</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89" w:name="_Toc20823305"/>
      <w:r/>
      <w:bookmarkStart w:id="90" w:name="_Toc16938549"/>
      <w:r/>
      <w:bookmarkStart w:id="91" w:name="_Toc513029233"/>
      <w:r>
        <w:rPr>
          <w:rFonts w:cs="Arial" w:asciiTheme="minorEastAsia" w:hAnsiTheme="minorEastAsia" w:eastAsiaTheme="minorEastAsia"/>
          <w:b/>
          <w:sz w:val="28"/>
          <w:szCs w:val="28"/>
        </w:rPr>
        <w:t xml:space="preserve">25、对投标文件的初审</w:t>
      </w:r>
      <w:bookmarkEnd w:id="89"/>
      <w:r/>
      <w:bookmarkEnd w:id="90"/>
      <w:r/>
      <w:bookmarkEnd w:id="91"/>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25.1投标文件初审分为资格审查和符合性审查。</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25.1.1资格审查：依据法律法规和招标文件的规定，由采购人对投标文件中的资格证明文件进行审查。资格审查的结论，采购人以书面形式向评委会进行反馈。</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采购人在进行资格性审查的同时，将在“信用中国”网站（www.creditchina.gov.cn）查询投标人的信用记录，以确定投标人是否具备投标资格,查询结果留存并归档。</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25.1.2符合性审查：依据招标文件的规定，由评委会从投标文件的有效性、完整性和对招标文件的响应程度进行审查，以确定是否对招标文件的实质性要求</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响应。</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25.1.3未通过资格审查或符合性审查的投标人，采购人将在苏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系统中告知未通过资格审查或符合性审查的原因，评标结束后，采购人将不再告知未通过资格审查和符合性审查的原因。</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结论。评委决定投标文件的</w:t>
      </w:r>
      <w:r>
        <w:rPr>
          <w:rFonts w:hint="eastAsia" w:asciiTheme="minorEastAsia" w:hAnsiTheme="minorEastAsia" w:eastAsiaTheme="minorEastAsia"/>
        </w:rPr>
        <w:t xml:space="preserve">响应性只根据</w:t>
      </w:r>
      <w:r>
        <w:rPr>
          <w:rFonts w:hint="eastAsia" w:asciiTheme="minorEastAsia" w:hAnsiTheme="minorEastAsia" w:eastAsiaTheme="minorEastAsia"/>
        </w:rPr>
        <w:t xml:space="preserve">投标文件本身的内容，而不寻求外部的证据。</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25.3如果投标文件实质上没有响应招标文件的要求，评委会将予以拒绝，投标人不得通过修改或撤销不合要求的偏离或保留而使其投标成为实质性响应的投标。</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25.4评委会将对确定为实质性响应的投标进行进一步审核，确定其是否有计算上或累加上的算术错误，修正错误的原则如下：</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同时出现两种以上错误的，按照前款规定的顺序修正。</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25.5评委会将按上述修正错误的方法调整投标文件中的投标报价，并通过苏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系统告知投标人，调整后的价格应对投标人具有约束力。如果投标人不接受修正后的价格，则其投标将被拒绝。</w:t>
      </w:r>
      <w:r/>
    </w:p>
    <w:p>
      <w:pPr>
        <w:pStyle w:val="912"/>
        <w:ind w:firstLine="472"/>
        <w:jc w:val="both"/>
        <w:spacing w:beforeAutospacing="0" w:afterAutospacing="0" w:line="0" w:lineRule="atLeast"/>
        <w:rPr>
          <w:rFonts w:asciiTheme="minorEastAsia" w:hAnsiTheme="minorEastAsia" w:eastAsiaTheme="minorEastAsia"/>
        </w:rPr>
      </w:pPr>
      <w:r/>
      <w:bookmarkStart w:id="92" w:name="_Toc16938550"/>
      <w:r/>
      <w:bookmarkStart w:id="93" w:name="_Toc513029234"/>
      <w:r/>
      <w:bookmarkStart w:id="94" w:name="_Toc20823306"/>
      <w:r>
        <w:rPr>
          <w:rFonts w:hint="eastAsia" w:asciiTheme="minorEastAsia" w:hAnsiTheme="minorEastAsia" w:eastAsiaTheme="minorEastAsia"/>
        </w:rPr>
        <w:t xml:space="preserve">25.6投标人在开、评标全过程中应保持通讯畅通，及时登录苏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系统查阅、答复相关信息，并安排专人与采购人及评标委员会联系。</w:t>
      </w:r>
      <w:bookmarkEnd w:id="92"/>
      <w:r/>
      <w:bookmarkEnd w:id="93"/>
      <w:r/>
      <w:bookmarkEnd w:id="94"/>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26、无效投标条款</w:t>
      </w:r>
      <w:r>
        <w:rPr>
          <w:rFonts w:cs="Arial" w:asciiTheme="minorEastAsia" w:hAnsiTheme="minorEastAsia" w:eastAsiaTheme="minorEastAsia"/>
          <w:b/>
          <w:sz w:val="28"/>
          <w:szCs w:val="28"/>
        </w:rPr>
        <w:t xml:space="preserve">和废标条款</w:t>
      </w:r>
      <w:r/>
    </w:p>
    <w:p>
      <w:pPr>
        <w:pStyle w:val="912"/>
        <w:ind w:left="479"/>
        <w:jc w:val="both"/>
        <w:spacing w:beforeAutospacing="0" w:afterAutospacing="0" w:line="0" w:lineRule="atLeast"/>
        <w:rPr>
          <w:rFonts w:asciiTheme="minorEastAsia" w:hAnsiTheme="minorEastAsia" w:eastAsiaTheme="minorEastAsia"/>
        </w:rPr>
      </w:pPr>
      <w:r/>
      <w:bookmarkStart w:id="95" w:name="_Toc16938551"/>
      <w:r/>
      <w:bookmarkStart w:id="96" w:name="_Toc20823307"/>
      <w:r/>
      <w:bookmarkStart w:id="97" w:name="_Toc513029235"/>
      <w:r>
        <w:rPr>
          <w:rFonts w:hint="eastAsia" w:asciiTheme="minorEastAsia" w:hAnsiTheme="minorEastAsia" w:eastAsiaTheme="minorEastAsia"/>
        </w:rPr>
        <w:t xml:space="preserve">26.1无效投标条款</w:t>
      </w:r>
      <w:bookmarkEnd w:id="95"/>
      <w:r/>
      <w:bookmarkEnd w:id="96"/>
      <w:r/>
      <w:bookmarkEnd w:id="97"/>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26.1.1投标人在苏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系统规定的时间内未成功解密电子投标文件的。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26.1.2投标人未按照招标文件要求上传电子投标文件的。</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26.1.3同一投标人提交两个（含两个）以上不同的投标报价的。</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26.1.4投标人不具备招标文件中规定资格要求的。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26.1.5投标人的报价超过了采购预算或最高限价的。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26.1.6未通过符合性审查的。</w:t>
      </w:r>
      <w:r/>
    </w:p>
    <w:p>
      <w:pPr>
        <w:pStyle w:val="912"/>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26.1.7不符合招标文件中规定的实质性要求和条件的（</w:t>
      </w:r>
      <w:r>
        <w:rPr>
          <w:rFonts w:hint="eastAsia" w:asciiTheme="minorEastAsia" w:hAnsiTheme="minorEastAsia" w:eastAsiaTheme="minorEastAsia"/>
          <w:i/>
          <w:u w:val="single"/>
        </w:rPr>
        <w:t xml:space="preserve">本招标文件中斜体且有下划线部分为实质性要求和条件）。</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26.1.9投标文件含有采购人不能接受的附加条件的。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26.1.10评标委员会认为投标人的报价明显低于其他通过符合性审查投标人的报价，有可能影响产品质量或者不能诚信履约的，将通过苏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系统要求其在合理的时间内提供说明，必要时提交相关证明材料；投标人不能证明其报价合理性的，评标委员会应当将其作为无效投标处理。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26.1.11投标文件未按照招标文件要求加盖CA电子公章的。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26.1.12其他法律、法规及本招标文件规定的属无效投标的情形。</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w:t>
      </w:r>
      <w:r>
        <w:rPr>
          <w:rFonts w:hint="eastAsia" w:asciiTheme="minorEastAsia" w:hAnsiTheme="minorEastAsia" w:eastAsiaTheme="minorEastAsia"/>
        </w:rPr>
        <w:t xml:space="preserve">废标条款</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26.2.1符合专业条件的供应商或者对招标文件作实质响应的供应商不足三家的。</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26.2.2出现影响采购公正的违法、违规行为的。</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26.2.3因重大变故，采购任务取消的。</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26.2.4评标委员会认定招标文件存在歧义、重大缺陷导致评审工作无法进行。</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26.2.5因苏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系统系统故障原因造成开标不成功的。</w:t>
      </w:r>
      <w:r/>
    </w:p>
    <w:p>
      <w:pPr>
        <w:pStyle w:val="912"/>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26.3 投标截止时间结束后参加投标的供应商不足三家的处理：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26.3.1如出现投标截止时间结束后参加投标的供应商或者在评标期间对招标文件做出实质响应的供应商不足三家情况，按政府采购相关规定执行。</w:t>
      </w:r>
      <w:r/>
    </w:p>
    <w:p>
      <w:pPr>
        <w:pStyle w:val="912"/>
        <w:ind w:firstLine="482"/>
        <w:jc w:val="both"/>
        <w:keepLines/>
        <w:keepNext/>
        <w:spacing w:before="145" w:beforeAutospacing="0" w:after="145" w:afterAutospacing="0" w:line="360" w:lineRule="auto"/>
        <w:rPr>
          <w:rFonts w:asciiTheme="minorEastAsia" w:hAnsiTheme="minorEastAsia" w:eastAsiaTheme="minorEastAsia"/>
        </w:rPr>
      </w:pPr>
      <w:r/>
      <w:bookmarkStart w:id="98" w:name="_Toc120614219"/>
      <w:r>
        <w:rPr>
          <w:rFonts w:asciiTheme="minorEastAsia" w:hAnsiTheme="minorEastAsia" w:eastAsiaTheme="minorEastAsia"/>
          <w:b/>
          <w:sz w:val="32"/>
          <w:szCs w:val="32"/>
        </w:rPr>
        <w:t xml:space="preserve">六、定标</w:t>
      </w:r>
      <w:bookmarkEnd w:id="98"/>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99" w:name="_Toc20823310"/>
      <w:r/>
      <w:bookmarkStart w:id="100" w:name="_Toc513029238"/>
      <w:r/>
      <w:bookmarkStart w:id="101" w:name="_Toc16938554"/>
      <w:r>
        <w:rPr>
          <w:rFonts w:hint="eastAsia" w:cs="Arial" w:asciiTheme="minorEastAsia" w:hAnsiTheme="minorEastAsia" w:eastAsiaTheme="minorEastAsia"/>
          <w:b/>
          <w:sz w:val="28"/>
          <w:szCs w:val="28"/>
        </w:rPr>
        <w:t xml:space="preserve">27、</w:t>
      </w:r>
      <w:bookmarkEnd w:id="99"/>
      <w:r>
        <w:rPr>
          <w:rFonts w:hint="eastAsia" w:cs="Arial" w:asciiTheme="minorEastAsia" w:hAnsiTheme="minorEastAsia" w:eastAsiaTheme="minorEastAsia"/>
          <w:b/>
          <w:sz w:val="28"/>
          <w:szCs w:val="28"/>
        </w:rPr>
        <w:t xml:space="preserve">确定</w:t>
      </w:r>
      <w:bookmarkEnd w:id="100"/>
      <w:r/>
      <w:bookmarkEnd w:id="101"/>
      <w:r>
        <w:rPr>
          <w:rFonts w:hint="eastAsia" w:cs="Arial" w:asciiTheme="minorEastAsia" w:hAnsiTheme="minorEastAsia" w:eastAsiaTheme="minorEastAsia"/>
          <w:b/>
          <w:sz w:val="28"/>
          <w:szCs w:val="28"/>
        </w:rPr>
        <w:t xml:space="preserve">中标单位</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27.1中标候选人的选取原则和数量见招标文件第五章规定。 </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27.2采购人应根据评委会推荐的中标候选人确定中标人。</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27.3采购人将在“中国政府采购网”、“江苏政府采购网”、“盐城市政府采购网”发布中标公告，公告期限为1个工作日。</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27.4若有充分证据证明，中标人出现下列情况之一的，一经查实，将被取消中标资格：</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27.4.1提供虚假材料谋取中标的。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27.4.2向采购人、代理机构行贿或者提供其他不正当利益的。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27.4.3属于本文件规定的无效条件，但在评标过程中又未被评委会发现的。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27.4.4与采购人或者其他供应商恶意串通的。</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27.4.5采取不正当手段诋毁、排挤其他供应商的。</w:t>
      </w:r>
      <w:r/>
    </w:p>
    <w:p>
      <w:pPr>
        <w:pStyle w:val="912"/>
        <w:ind w:firstLine="480"/>
        <w:jc w:val="both"/>
        <w:spacing w:beforeAutospacing="0" w:afterAutospacing="0" w:line="0" w:lineRule="atLeast"/>
        <w:rPr>
          <w:rFonts w:asciiTheme="minorEastAsia" w:hAnsiTheme="minorEastAsia" w:eastAsiaTheme="minorEastAsia"/>
        </w:rPr>
      </w:pPr>
      <w:r/>
      <w:bookmarkStart w:id="102" w:name="_Toc200451960"/>
      <w:r>
        <w:rPr>
          <w:rFonts w:hint="eastAsia" w:asciiTheme="minorEastAsia" w:hAnsiTheme="minorEastAsia" w:eastAsiaTheme="minorEastAsia"/>
        </w:rPr>
        <w:t xml:space="preserve">27.5 </w:t>
      </w:r>
      <w:r>
        <w:rPr>
          <w:rFonts w:asciiTheme="minorEastAsia" w:hAnsiTheme="minorEastAsia" w:eastAsiaTheme="minorEastAsia"/>
        </w:rPr>
        <w:t xml:space="preserve">有下列情形之一的，视为投标人串通投标，投标无效：</w:t>
      </w:r>
      <w:bookmarkEnd w:id="102"/>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27.5.1不同投标人的投标文件由同一单位或者个人编制。</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27.5.2不同投标人委托同一单位或者个人办理投标事宜。</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27.5.3不同投标人的投标文件载明的项目管理成员或者联系人员为同一人。</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27.5.4不同投标人的投标文件异常一致或者投标报价呈规律性差异。</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28、质疑处理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28.1提出质疑的供应商应当是参与所质疑项目采购活动的供应商。潜在供应</w:t>
      </w:r>
      <w:r>
        <w:rPr>
          <w:rFonts w:hint="eastAsia" w:asciiTheme="minorEastAsia" w:hAnsiTheme="minorEastAsia" w:eastAsiaTheme="minorEastAsia"/>
        </w:rPr>
        <w:t xml:space="preserve">商依法</w:t>
      </w:r>
      <w:r>
        <w:rPr>
          <w:rFonts w:hint="eastAsia" w:asciiTheme="minorEastAsia" w:hAnsiTheme="minorEastAsia" w:eastAsiaTheme="minorEastAsia"/>
        </w:rPr>
        <w:t xml:space="preserve">获取其可质疑的采购文件的，可以对采购文件提出质疑。</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28.2供应商认为采购文件、采购过程和采购结果使自己的权益受到损害的，可以在知道或应知其权益受到损害之日起七个工作日内，以书面形式向</w:t>
      </w:r>
      <w:r>
        <w:rPr>
          <w:rFonts w:hint="eastAsia" w:asciiTheme="minorEastAsia" w:hAnsiTheme="minorEastAsia" w:eastAsiaTheme="minorEastAsia"/>
          <w:szCs w:val="21"/>
        </w:rPr>
        <w:t xml:space="preserve">采购人或</w:t>
      </w:r>
      <w:r>
        <w:rPr>
          <w:rFonts w:hint="eastAsia" w:asciiTheme="minorEastAsia" w:hAnsiTheme="minorEastAsia" w:eastAsiaTheme="minorEastAsia"/>
          <w:szCs w:val="21"/>
        </w:rPr>
        <w:t xml:space="preserve">代理机构</w:t>
      </w:r>
      <w:r>
        <w:rPr>
          <w:rFonts w:hint="eastAsia" w:asciiTheme="minorEastAsia" w:hAnsiTheme="minorEastAsia" w:eastAsiaTheme="minorEastAsia"/>
        </w:rPr>
        <w:t xml:space="preserve">提出质疑。上述应知其权益受到损害之日，是指：</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28.2.1</w:t>
      </w:r>
      <w:r>
        <w:rPr>
          <w:rFonts w:asciiTheme="minorEastAsia" w:hAnsiTheme="minorEastAsia" w:eastAsiaTheme="minorEastAsia"/>
        </w:rPr>
        <w:t xml:space="preserve">对可以质疑的采购文件提出质疑的，为收到采购文件之日或者采购文件公告期限届满之日；</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28.2.2</w:t>
      </w:r>
      <w:r>
        <w:rPr>
          <w:rFonts w:asciiTheme="minorEastAsia" w:hAnsiTheme="minorEastAsia" w:eastAsiaTheme="minorEastAsia"/>
        </w:rPr>
        <w:t xml:space="preserve">对采购过程提出质疑的，为各采购程序环节结束之日；</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28.2.3</w:t>
      </w:r>
      <w:r>
        <w:rPr>
          <w:rFonts w:asciiTheme="minorEastAsia" w:hAnsiTheme="minorEastAsia" w:eastAsiaTheme="minorEastAsia"/>
        </w:rPr>
        <w:t xml:space="preserve">对中标或者成交结果提出质疑的，为中标或者成交结果公告期限届满之日。</w:t>
      </w:r>
      <w:r/>
    </w:p>
    <w:p>
      <w:pPr>
        <w:pStyle w:val="912"/>
        <w:ind w:firstLine="480"/>
        <w:jc w:val="both"/>
        <w:spacing w:beforeAutospacing="0" w:afterAutospacing="0" w:line="0" w:lineRule="atLeast"/>
        <w:rPr>
          <w:rFonts w:asciiTheme="minorEastAsia" w:hAnsiTheme="minorEastAsia" w:eastAsiaTheme="minorEastAsia"/>
        </w:rPr>
      </w:pPr>
      <w:r>
        <w:rPr>
          <w:rFonts w:asciiTheme="minorEastAsia" w:hAnsiTheme="minorEastAsia" w:eastAsiaTheme="minorEastAsia"/>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Cs w:val="21"/>
        </w:rPr>
        <w:t xml:space="preserve">采购人、</w:t>
      </w:r>
      <w:r>
        <w:rPr>
          <w:rFonts w:hint="eastAsia" w:asciiTheme="minorEastAsia" w:hAnsiTheme="minorEastAsia" w:eastAsiaTheme="minorEastAsia"/>
          <w:szCs w:val="21"/>
        </w:rPr>
        <w:t xml:space="preserve">代理机构</w:t>
      </w:r>
      <w:r>
        <w:rPr>
          <w:rFonts w:asciiTheme="minorEastAsia" w:hAnsiTheme="minorEastAsia" w:eastAsiaTheme="minorEastAsia"/>
        </w:rPr>
        <w:t xml:space="preserve">将只对供应商第一次质疑</w:t>
      </w:r>
      <w:r>
        <w:rPr>
          <w:rFonts w:asciiTheme="minorEastAsia" w:hAnsiTheme="minorEastAsia" w:eastAsiaTheme="minorEastAsia"/>
        </w:rPr>
        <w:t xml:space="preserve">作出</w:t>
      </w:r>
      <w:r>
        <w:rPr>
          <w:rFonts w:asciiTheme="minorEastAsia" w:hAnsiTheme="minorEastAsia" w:eastAsiaTheme="minorEastAsia"/>
        </w:rPr>
        <w:t xml:space="preserve">答复。</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28.3质疑</w:t>
      </w:r>
      <w:r>
        <w:rPr>
          <w:rFonts w:hint="eastAsia" w:asciiTheme="minorEastAsia" w:hAnsiTheme="minorEastAsia" w:eastAsiaTheme="minorEastAsia"/>
        </w:rPr>
        <w:t xml:space="preserve">函必须</w:t>
      </w:r>
      <w:r>
        <w:rPr>
          <w:rFonts w:hint="eastAsia" w:asciiTheme="minorEastAsia" w:hAnsiTheme="minorEastAsia" w:eastAsiaTheme="minorEastAsia"/>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 以下情形的质疑不予受理</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28.4.1内容不符合《政府采购质疑和投诉办法》第十二条规定的质疑。</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28.4.2超出政府采购法定期限的质疑。</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28.4.3以传真、电子邮件等方式递交的非原件形式的质疑。</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28.4.4未参加投标活动的供应商或在投标活动中自身权益未受到损害的供应商所提出的质疑。</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28.4.5供应商组成联合体参加投标，联合体中任何一方或多方未按要求签字、盖章、加盖公章的质疑。</w:t>
      </w:r>
      <w:r/>
    </w:p>
    <w:p>
      <w:pPr>
        <w:pStyle w:val="912"/>
        <w:ind w:firstLine="600"/>
        <w:jc w:val="both"/>
        <w:keepLines/>
        <w:keepNext/>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29、中标通知书</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29.l中标结果确定后，采购人将向中标人发出中标通知书。请中标人在中标结果公告届满之日起30日内,使用CA数字证书登录苏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系统及时下载中标通知书。因系统存储空间有限，自中标结果公告届满之日起30日后，苏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系统不再保证提供下载中标通知书服务,因未及时下载而造成的不利后果由中标人自行承担。</w:t>
      </w:r>
      <w:r/>
    </w:p>
    <w:p>
      <w:pPr>
        <w:pStyle w:val="912"/>
        <w:ind w:firstLine="60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912"/>
        <w:jc w:val="both"/>
        <w:keepLines/>
        <w:keepNext/>
        <w:spacing w:before="145" w:beforeAutospacing="0" w:after="145" w:afterAutospacing="0" w:line="360" w:lineRule="auto"/>
        <w:rPr>
          <w:rFonts w:asciiTheme="minorEastAsia" w:hAnsiTheme="minorEastAsia" w:eastAsiaTheme="minorEastAsia"/>
        </w:rPr>
      </w:pPr>
      <w:r/>
      <w:bookmarkStart w:id="103" w:name="_Toc120614220"/>
      <w:r/>
      <w:bookmarkStart w:id="104" w:name="_Toc20823308"/>
      <w:r/>
      <w:bookmarkStart w:id="105" w:name="_Toc513029236"/>
      <w:r/>
      <w:bookmarkStart w:id="106" w:name="_Toc16938552"/>
      <w:r>
        <w:rPr>
          <w:rFonts w:asciiTheme="minorEastAsia" w:hAnsiTheme="minorEastAsia" w:eastAsiaTheme="minorEastAsia"/>
          <w:b/>
          <w:sz w:val="32"/>
          <w:szCs w:val="32"/>
        </w:rPr>
        <w:t xml:space="preserve">七、授予合同</w:t>
      </w:r>
      <w:bookmarkEnd w:id="103"/>
      <w:r/>
      <w:bookmarkEnd w:id="104"/>
      <w:r/>
      <w:bookmarkEnd w:id="105"/>
      <w:r/>
      <w:bookmarkEnd w:id="106"/>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107" w:name="_Toc513029237"/>
      <w:r/>
      <w:bookmarkStart w:id="108" w:name="_Toc20823309"/>
      <w:r/>
      <w:bookmarkStart w:id="109" w:name="_Toc16938553"/>
      <w:r>
        <w:rPr>
          <w:rFonts w:hint="eastAsia" w:cs="Arial" w:asciiTheme="minorEastAsia" w:hAnsiTheme="minorEastAsia" w:eastAsiaTheme="minorEastAsia"/>
          <w:b/>
          <w:sz w:val="28"/>
          <w:szCs w:val="28"/>
        </w:rPr>
        <w:t xml:space="preserve">30.签订合同</w:t>
      </w:r>
      <w:bookmarkEnd w:id="107"/>
      <w:r/>
      <w:bookmarkEnd w:id="108"/>
      <w:r/>
      <w:bookmarkEnd w:id="109"/>
      <w:r/>
      <w:r/>
    </w:p>
    <w:p>
      <w:pPr>
        <w:pStyle w:val="912"/>
        <w:ind w:firstLine="60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30.l中标人应当在中标通知书发出之日起三十日内，按照招标文件确定的事项与采购人签订政府采购合同。</w:t>
      </w:r>
      <w:r/>
    </w:p>
    <w:p>
      <w:pPr>
        <w:pStyle w:val="912"/>
        <w:ind w:firstLine="60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30.2招标文件、中标人的投标文件及招标过程中有关澄清、承诺文件均应作为合同附件。</w:t>
      </w:r>
      <w:r/>
    </w:p>
    <w:p>
      <w:pPr>
        <w:pStyle w:val="912"/>
        <w:ind w:firstLine="60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30.3签订合同后，</w:t>
      </w:r>
      <w:r>
        <w:rPr>
          <w:rFonts w:hint="eastAsia" w:asciiTheme="minorEastAsia" w:hAnsiTheme="minorEastAsia" w:eastAsiaTheme="minorEastAsia"/>
          <w:i/>
          <w:u w:val="single"/>
        </w:rPr>
        <w:t xml:space="preserve">中标人不得将合同标的进行转包</w:t>
      </w:r>
      <w:r>
        <w:rPr>
          <w:rFonts w:hint="eastAsia" w:asciiTheme="minorEastAsia" w:hAnsiTheme="minorEastAsia" w:eastAsiaTheme="minorEastAsia"/>
        </w:rPr>
        <w:t xml:space="preserve">。未经采购人同意，中标人也不得采用分包的形式履行合同，否则采购人有权终止合同。转包或分包造成采购人损失的，中标人应承担相应赔偿责任。</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31、服务（包含与服务相关的货物）的追加</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2"/>
        <w:ind w:firstLine="420"/>
        <w:jc w:val="both"/>
        <w:keepLines/>
        <w:keepNext/>
        <w:spacing w:beforeAutospacing="0" w:afterAutospacing="0"/>
        <w:rPr>
          <w:rFonts w:cs="Arial" w:asciiTheme="minorEastAsia" w:hAnsiTheme="minorEastAsia" w:eastAsiaTheme="minorEastAsia"/>
          <w:b/>
          <w:sz w:val="28"/>
          <w:szCs w:val="28"/>
        </w:rPr>
      </w:pPr>
      <w:r/>
      <w:bookmarkStart w:id="110" w:name="_Toc20823314"/>
      <w:r/>
      <w:bookmarkStart w:id="111" w:name="_Toc120614221"/>
      <w:r/>
      <w:bookmarkStart w:id="112" w:name="_Toc16938558"/>
      <w:r/>
      <w:bookmarkStart w:id="113" w:name="_Toc479757207"/>
      <w:r/>
      <w:bookmarkStart w:id="114" w:name="_Toc513029242"/>
      <w:r>
        <w:rPr>
          <w:rFonts w:hint="eastAsia" w:cs="Arial" w:asciiTheme="minorEastAsia" w:hAnsiTheme="minorEastAsia" w:eastAsiaTheme="minorEastAsia"/>
          <w:b/>
          <w:sz w:val="28"/>
          <w:szCs w:val="28"/>
        </w:rPr>
        <w:t xml:space="preserve">32、</w:t>
      </w:r>
      <w:bookmarkEnd w:id="110"/>
      <w:r/>
      <w:bookmarkEnd w:id="111"/>
      <w:r/>
      <w:bookmarkEnd w:id="112"/>
      <w:r/>
      <w:bookmarkEnd w:id="113"/>
      <w:r/>
      <w:bookmarkEnd w:id="114"/>
      <w:r>
        <w:rPr>
          <w:rFonts w:hint="eastAsia" w:cs="Arial" w:asciiTheme="minorEastAsia" w:hAnsiTheme="minorEastAsia" w:eastAsiaTheme="minorEastAsia"/>
          <w:b/>
          <w:sz w:val="28"/>
          <w:szCs w:val="28"/>
        </w:rPr>
        <w:t xml:space="preserve">政府</w:t>
      </w:r>
      <w:r>
        <w:rPr>
          <w:rFonts w:hint="eastAsia" w:cs="Arial" w:asciiTheme="minorEastAsia" w:hAnsiTheme="minorEastAsia" w:eastAsiaTheme="minorEastAsia"/>
          <w:b/>
          <w:sz w:val="28"/>
          <w:szCs w:val="28"/>
        </w:rPr>
        <w:t xml:space="preserve">采购线上合同</w:t>
      </w:r>
      <w:r>
        <w:rPr>
          <w:rFonts w:hint="eastAsia" w:cs="Arial" w:asciiTheme="minorEastAsia" w:hAnsiTheme="minorEastAsia" w:eastAsiaTheme="minorEastAsia"/>
          <w:b/>
          <w:sz w:val="28"/>
          <w:szCs w:val="28"/>
        </w:rPr>
        <w:t xml:space="preserve">信用融资政策</w:t>
      </w:r>
      <w:r/>
    </w:p>
    <w:p>
      <w:pPr>
        <w:pStyle w:val="912"/>
        <w:ind w:firstLine="472"/>
        <w:keepNext/>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根据《转发江苏省财政厅 中国人民银行南京分行&lt;关于深入推进政府采购线上合同信用融资工作的通知&gt;的通知》（</w:t>
      </w:r>
      <w:r>
        <w:rPr>
          <w:rFonts w:hint="eastAsia" w:asciiTheme="minorEastAsia" w:hAnsiTheme="minorEastAsia" w:eastAsiaTheme="minorEastAsia"/>
        </w:rPr>
        <w:t xml:space="preserve">盐财购</w:t>
      </w:r>
      <w:r>
        <w:rPr>
          <w:rFonts w:hint="eastAsia" w:asciiTheme="minorEastAsia" w:hAnsiTheme="minorEastAsia" w:eastAsiaTheme="minorEastAsia"/>
        </w:rPr>
        <w:t xml:space="preserve">〔2021〕20号）规定，中标供应商如有融资需求，可持政府采购合同在线向相关金融机构（具体信息详见盐城市政府采购网“政采贷”栏目）申请贷款，相关金融机构按照双方自愿的原则提供便捷、优惠的贷款服务；具体操作流程请参考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系统中供应商操作手册</w:t>
      </w:r>
      <w:r>
        <w:rPr>
          <w:rFonts w:asciiTheme="minorEastAsia" w:hAnsiTheme="minorEastAsia" w:eastAsiaTheme="minorEastAsia"/>
        </w:rPr>
        <w:t xml:space="preserve">。</w:t>
      </w:r>
      <w:r/>
    </w:p>
    <w:p>
      <w:pPr>
        <w:pStyle w:val="912"/>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33、其他</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33.1供应商对于投标产品的商品包装、快递包装应按照</w:t>
      </w:r>
      <w:r>
        <w:rPr>
          <w:rFonts w:hint="eastAsia" w:asciiTheme="minorEastAsia" w:hAnsiTheme="minorEastAsia" w:eastAsiaTheme="minorEastAsia"/>
        </w:rPr>
        <w:t xml:space="preserve">《</w:t>
      </w:r>
      <w:r>
        <w:rPr>
          <w:rFonts w:hint="eastAsia" w:asciiTheme="minorEastAsia" w:hAnsiTheme="minorEastAsia" w:eastAsiaTheme="minorEastAsia"/>
        </w:rPr>
        <w:t xml:space="preserve">关于印发</w:t>
      </w:r>
      <w:r>
        <w:rPr>
          <w:rFonts w:hint="eastAsia" w:asciiTheme="minorEastAsia" w:hAnsiTheme="minorEastAsia" w:eastAsiaTheme="minorEastAsia"/>
        </w:rPr>
        <w:t xml:space="preserve">《</w:t>
      </w:r>
      <w:r>
        <w:rPr>
          <w:rFonts w:hint="eastAsia" w:asciiTheme="minorEastAsia" w:hAnsiTheme="minorEastAsia" w:eastAsiaTheme="minorEastAsia"/>
        </w:rPr>
        <w:t xml:space="preserve">商品包装政府采购需求标准（试行）</w:t>
      </w:r>
      <w:r>
        <w:rPr>
          <w:rFonts w:hint="eastAsia" w:asciiTheme="minorEastAsia" w:hAnsiTheme="minorEastAsia" w:eastAsiaTheme="minorEastAsia"/>
        </w:rPr>
        <w:t xml:space="preserve">》</w:t>
      </w:r>
      <w:r>
        <w:rPr>
          <w:rFonts w:hint="eastAsia" w:asciiTheme="minorEastAsia" w:hAnsiTheme="minorEastAsia" w:eastAsiaTheme="minorEastAsia"/>
        </w:rPr>
        <w:t xml:space="preserve">、《快递包装政府采购需求标准（试行）》的通知</w:t>
      </w:r>
      <w:r>
        <w:rPr>
          <w:rFonts w:hint="eastAsia" w:asciiTheme="minorEastAsia" w:hAnsiTheme="minorEastAsia" w:eastAsiaTheme="minorEastAsia"/>
        </w:rPr>
        <w:t xml:space="preserve">》</w:t>
      </w:r>
      <w:r>
        <w:rPr>
          <w:rFonts w:hint="eastAsia" w:asciiTheme="minorEastAsia" w:hAnsiTheme="minorEastAsia" w:eastAsiaTheme="minorEastAsia"/>
        </w:rPr>
        <w:t xml:space="preserve">（财办库〔2020〕123号）执行。</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33.2本文件中若涉及到数据中心采购，应按照《&lt;绿色数据中心政府采购需求标准（试行）&gt;的通知》（财库〔2023〕7号）执行。</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33.3本项目落实预付款制度，预付款比例为30%。在签订合同时，中标、成交供应商明确书面表示无需预付款或者主动要求降低预付款比例的，采购人可就预付款比例作相应调整。</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33.4 确需收取履约保证金的，履约保证金的缴纳形式：</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如以履约保函（保险）形式缴纳履约保证金，供应商可通过政府采购电子履约保函（保险）平台（www.jsdzbh.com）在线申请履约保函（保险）。</w:t>
      </w:r>
      <w:r/>
    </w:p>
    <w:p>
      <w:pPr>
        <w:pStyle w:val="912"/>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履约保证金</w:t>
      </w:r>
      <w:r>
        <w:rPr>
          <w:rFonts w:hint="eastAsia" w:asciiTheme="minorEastAsia" w:hAnsiTheme="minorEastAsia" w:eastAsiaTheme="minorEastAsia"/>
        </w:rPr>
        <w:t xml:space="preserve">为</w:t>
      </w:r>
      <w:r>
        <w:rPr>
          <w:rFonts w:hint="eastAsia" w:asciiTheme="minorEastAsia" w:hAnsiTheme="minorEastAsia" w:eastAsiaTheme="minorEastAsia"/>
        </w:rPr>
        <w:t xml:space="preserve">合同金额的</w:t>
      </w:r>
      <w:r>
        <w:rPr>
          <w:rFonts w:hint="eastAsia" w:asciiTheme="minorEastAsia" w:hAnsiTheme="minorEastAsia" w:eastAsiaTheme="minorEastAsia"/>
        </w:rPr>
        <w:t xml:space="preserve">1</w:t>
      </w:r>
      <w:r>
        <w:rPr>
          <w:rFonts w:hint="eastAsia" w:asciiTheme="minorEastAsia" w:hAnsiTheme="minorEastAsia" w:eastAsiaTheme="minorEastAsia"/>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numPr>
          <w:ilvl w:val="0"/>
          <w:numId w:val="3"/>
        </w:numPr>
        <w:ind w:firstLine="422"/>
        <w:jc w:val="center"/>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Cs w:val="21"/>
        </w:rPr>
        <w:br w:type="page" w:clear="all"/>
      </w:r>
      <w:r>
        <w:rPr>
          <w:rFonts w:hint="eastAsia" w:cs="宋体" w:asciiTheme="minorEastAsia" w:hAnsiTheme="minorEastAsia" w:eastAsiaTheme="minorEastAsia"/>
          <w:b/>
          <w:bCs/>
          <w:sz w:val="32"/>
          <w:szCs w:val="32"/>
        </w:rPr>
        <w:t xml:space="preserve"> 合同文本</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以下为中标后</w:t>
      </w:r>
      <w:r>
        <w:rPr>
          <w:rStyle w:val="956"/>
          <w:rFonts w:hint="eastAsia" w:asciiTheme="minorEastAsia" w:hAnsiTheme="minorEastAsia" w:eastAsiaTheme="minorEastAsia"/>
          <w:sz w:val="24"/>
        </w:rPr>
        <w:t xml:space="preserve">签定</w:t>
      </w:r>
      <w:r>
        <w:rPr>
          <w:rStyle w:val="956"/>
          <w:rFonts w:hint="eastAsia" w:asciiTheme="minorEastAsia" w:hAnsiTheme="minorEastAsia" w:eastAsiaTheme="minorEastAsia"/>
          <w:sz w:val="24"/>
        </w:rPr>
        <w:t xml:space="preserve">本项目合同的通用条款，中标人不得提出实质性的修改，关于专用条款将由采购人与中标人结合本项目具体情况协商后签订。</w:t>
      </w:r>
      <w:r/>
    </w:p>
    <w:p>
      <w:pPr>
        <w:ind w:firstLine="480"/>
        <w:jc w:val="center"/>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政府采购合同（合同编号）</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项目编号：                             </w:t>
      </w:r>
      <w:r/>
    </w:p>
    <w:p>
      <w:pPr>
        <w:pStyle w:val="901"/>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项目名称：</w:t>
      </w:r>
      <w:r>
        <w:rPr>
          <w:rFonts w:hint="eastAsia" w:asciiTheme="minorEastAsia" w:hAnsiTheme="minorEastAsia" w:eastAsiaTheme="minorEastAsia"/>
          <w:sz w:val="24"/>
          <w:u w:val="single"/>
        </w:rPr>
        <w:t xml:space="preserve">盐城经济技术开发区新城街道2024年改善农民群众住房条件项目</w:t>
      </w:r>
      <w:r/>
    </w:p>
    <w:p>
      <w:pPr>
        <w:pStyle w:val="901"/>
        <w:ind w:firstLine="480"/>
        <w:spacing w:line="360" w:lineRule="auto"/>
        <w:rPr>
          <w:rFonts w:asciiTheme="minorEastAsia" w:hAnsiTheme="minorEastAsia" w:eastAsiaTheme="minorEastAsia"/>
          <w:sz w:val="24"/>
          <w:u w:val="single"/>
        </w:rPr>
      </w:pPr>
      <w:r>
        <w:rPr>
          <w:rFonts w:asciiTheme="minorEastAsia" w:hAnsiTheme="minorEastAsia" w:eastAsiaTheme="minorEastAsia"/>
          <w:sz w:val="24"/>
        </w:rPr>
        <w:t xml:space="preserve">甲方：</w:t>
      </w:r>
      <w:r>
        <w:rPr>
          <w:rFonts w:hint="eastAsia" w:asciiTheme="minorEastAsia" w:hAnsiTheme="minorEastAsia" w:eastAsiaTheme="minorEastAsia"/>
          <w:sz w:val="24"/>
          <w:u w:val="single"/>
        </w:rPr>
        <w:t xml:space="preserve">                              </w:t>
      </w:r>
      <w:r/>
    </w:p>
    <w:p>
      <w:pPr>
        <w:pStyle w:val="901"/>
        <w:ind w:firstLine="48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p>
    <w:p>
      <w:pPr>
        <w:pStyle w:val="901"/>
        <w:ind w:firstLine="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甲、乙双方根据</w:t>
      </w:r>
      <w:r>
        <w:rPr>
          <w:rFonts w:hint="eastAsia" w:asciiTheme="minorEastAsia" w:hAnsiTheme="minorEastAsia" w:eastAsiaTheme="minorEastAsia"/>
          <w:sz w:val="24"/>
          <w:u w:val="single"/>
        </w:rPr>
        <w:t xml:space="preserve">盐城经济技术开发区新城街道2024年改善农民群众住房条件项目</w:t>
      </w:r>
      <w:r>
        <w:rPr>
          <w:rFonts w:hint="eastAsia" w:asciiTheme="minorEastAsia" w:hAnsiTheme="minorEastAsia" w:eastAsiaTheme="minorEastAsia"/>
          <w:sz w:val="24"/>
        </w:rPr>
        <w:t xml:space="preserve">公开招标的结果，签署本合同。</w:t>
      </w:r>
      <w:r/>
    </w:p>
    <w:p>
      <w:pPr>
        <w:pStyle w:val="901"/>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一、服务内容</w:t>
      </w:r>
      <w:r/>
    </w:p>
    <w:p>
      <w:pPr>
        <w:pStyle w:val="901"/>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1.服务名称：</w:t>
      </w:r>
      <w:r>
        <w:rPr>
          <w:rFonts w:hint="eastAsia" w:asciiTheme="minorEastAsia" w:hAnsiTheme="minorEastAsia" w:eastAsiaTheme="minorEastAsia"/>
          <w:sz w:val="24"/>
          <w:u w:val="single"/>
        </w:rPr>
        <w:t xml:space="preserve">盐城经济技术开发区新城街道2024年改善农民群众住房条件项目</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2.服务内容：</w:t>
      </w:r>
      <w:r/>
    </w:p>
    <w:p>
      <w:pPr>
        <w:pStyle w:val="912"/>
        <w:ind w:firstLine="480"/>
        <w:jc w:val="both"/>
        <w:spacing w:before="0" w:beforeAutospacing="0" w:after="0" w:afterAutospacing="0" w:line="360" w:lineRule="auto"/>
        <w:rPr>
          <w:rFonts w:asciiTheme="minorEastAsia" w:hAnsiTheme="minorEastAsia" w:eastAsiaTheme="minorEastAsia"/>
          <w:shd w:val="clear" w:color="auto" w:fill="ffffff"/>
        </w:rPr>
      </w:pPr>
      <w:r>
        <w:rPr>
          <w:rFonts w:hint="eastAsia" w:asciiTheme="minorEastAsia" w:hAnsiTheme="minorEastAsia" w:eastAsiaTheme="minorEastAsia"/>
        </w:rPr>
        <w:t xml:space="preserve">3.履行时间</w:t>
      </w:r>
      <w:r>
        <w:rPr>
          <w:rFonts w:hint="eastAsia" w:asciiTheme="minorEastAsia" w:hAnsiTheme="minorEastAsia" w:eastAsiaTheme="minorEastAsia"/>
        </w:rPr>
        <w:t xml:space="preserve">（期限）：</w:t>
      </w:r>
      <w:r>
        <w:rPr>
          <w:rFonts w:hint="eastAsia" w:asciiTheme="minorEastAsia" w:hAnsiTheme="minorEastAsia" w:eastAsiaTheme="minorEastAsia"/>
          <w:shd w:val="clear" w:color="auto" w:fill="ffffff"/>
        </w:rPr>
        <w:t xml:space="preserve">自合同生效之日起12个月。</w:t>
      </w:r>
      <w:r/>
    </w:p>
    <w:p>
      <w:pPr>
        <w:pStyle w:val="912"/>
        <w:ind w:firstLine="480"/>
        <w:jc w:val="both"/>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4.履行地点：</w:t>
      </w:r>
      <w:r>
        <w:rPr>
          <w:rFonts w:hint="eastAsia" w:asciiTheme="minorEastAsia" w:hAnsiTheme="minorEastAsia" w:eastAsiaTheme="minorEastAsia"/>
        </w:rPr>
        <w:t xml:space="preserve">位于盐城经济技术开发区新城街道</w:t>
      </w:r>
      <w:r>
        <w:rPr>
          <w:rFonts w:hint="eastAsia" w:asciiTheme="minorEastAsia" w:hAnsiTheme="minorEastAsia" w:eastAsiaTheme="minorEastAsia"/>
        </w:rPr>
        <w:t xml:space="preserve">蔡</w:t>
      </w:r>
      <w:r>
        <w:rPr>
          <w:rFonts w:hint="eastAsia" w:asciiTheme="minorEastAsia" w:hAnsiTheme="minorEastAsia" w:eastAsiaTheme="minorEastAsia"/>
        </w:rPr>
        <w:t xml:space="preserve">墩村、民生村、南舍村、</w:t>
      </w:r>
      <w:r>
        <w:rPr>
          <w:rFonts w:hint="eastAsia" w:asciiTheme="minorEastAsia" w:hAnsiTheme="minorEastAsia" w:eastAsiaTheme="minorEastAsia"/>
        </w:rPr>
        <w:t xml:space="preserve">北舍村</w:t>
      </w:r>
      <w:r>
        <w:rPr>
          <w:rFonts w:hint="eastAsia" w:asciiTheme="minorEastAsia" w:hAnsiTheme="minorEastAsia" w:eastAsiaTheme="minorEastAsia"/>
        </w:rPr>
        <w:t xml:space="preserve">、东滩村、</w:t>
      </w:r>
      <w:r>
        <w:rPr>
          <w:rFonts w:hint="eastAsia" w:asciiTheme="minorEastAsia" w:hAnsiTheme="minorEastAsia" w:eastAsiaTheme="minorEastAsia"/>
        </w:rPr>
        <w:t xml:space="preserve">正丰村</w:t>
      </w:r>
      <w:r>
        <w:rPr>
          <w:rFonts w:hint="eastAsia" w:asciiTheme="minorEastAsia" w:hAnsiTheme="minorEastAsia" w:eastAsiaTheme="minorEastAsia"/>
        </w:rPr>
        <w:t xml:space="preserve">、</w:t>
      </w:r>
      <w:r>
        <w:rPr>
          <w:rFonts w:hint="eastAsia" w:asciiTheme="minorEastAsia" w:hAnsiTheme="minorEastAsia" w:eastAsiaTheme="minorEastAsia"/>
        </w:rPr>
        <w:t xml:space="preserve">中舍村</w:t>
      </w:r>
      <w:r>
        <w:rPr>
          <w:rFonts w:hint="eastAsia" w:asciiTheme="minorEastAsia" w:hAnsiTheme="minorEastAsia" w:eastAsiaTheme="minorEastAsia"/>
        </w:rPr>
        <w:t xml:space="preserve">等7个村内，具体地点以甲方指定为准。</w:t>
      </w:r>
      <w:r/>
    </w:p>
    <w:p>
      <w:pPr>
        <w:pStyle w:val="912"/>
        <w:ind w:firstLine="480"/>
        <w:jc w:val="both"/>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5.履行方式：到甲方指定地点并通过甲方审查。</w:t>
      </w:r>
      <w:r/>
    </w:p>
    <w:p>
      <w:pPr>
        <w:pStyle w:val="901"/>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二、合同金额</w:t>
      </w:r>
      <w:r/>
    </w:p>
    <w:p>
      <w:pPr>
        <w:ind w:firstLine="48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本合同金额为：人民币（大写）</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圆整（¥</w:t>
      </w:r>
      <w:r>
        <w:rPr>
          <w:rFonts w:hint="eastAsia" w:asciiTheme="minorEastAsia" w:hAnsiTheme="minorEastAsia" w:eastAsiaTheme="minorEastAsia"/>
          <w:sz w:val="24"/>
          <w:u w:val="single"/>
        </w:rPr>
        <w:t xml:space="preserve">         元</w:t>
      </w:r>
      <w:r>
        <w:rPr>
          <w:rFonts w:hint="eastAsia" w:asciiTheme="minorEastAsia" w:hAnsiTheme="minorEastAsia" w:eastAsiaTheme="minorEastAsia"/>
          <w:sz w:val="24"/>
        </w:rPr>
        <w:t xml:space="preserve">）。</w:t>
      </w:r>
      <w:r>
        <w:rPr>
          <w:rFonts w:hint="eastAsia"/>
          <w:sz w:val="24"/>
          <w:shd w:val="clear" w:color="auto" w:fill="ffffff"/>
        </w:rPr>
        <w:t xml:space="preserve">项目</w:t>
      </w:r>
      <w:r>
        <w:rPr>
          <w:rFonts w:hint="eastAsia"/>
          <w:sz w:val="24"/>
          <w:shd w:val="clear" w:color="auto" w:fill="ffffff"/>
        </w:rPr>
        <w:t xml:space="preserve">搬迁补偿费包括宅基补偿、房屋拆除补偿</w:t>
      </w:r>
      <w:r>
        <w:rPr>
          <w:rFonts w:hint="eastAsia"/>
          <w:sz w:val="24"/>
          <w:shd w:val="clear" w:color="auto" w:fill="ffffff"/>
        </w:rPr>
        <w:t xml:space="preserve">、装修及附属设施补偿、临时安置补助、搬迁补助、提前签约奖励和提前搬迁奖励</w:t>
      </w:r>
      <w:r>
        <w:rPr>
          <w:rFonts w:hint="eastAsia"/>
          <w:sz w:val="24"/>
          <w:shd w:val="clear" w:color="auto" w:fill="ffffff"/>
        </w:rPr>
        <w:t xml:space="preserve">、进城入镇购房补贴及购房奖励和优惠等费用，对于四类对象</w:t>
      </w:r>
      <w:r>
        <w:rPr>
          <w:rFonts w:hint="eastAsia"/>
          <w:sz w:val="24"/>
          <w:shd w:val="clear" w:color="auto" w:fill="ffffff"/>
        </w:rPr>
        <w:t xml:space="preserve">户按照</w:t>
      </w:r>
      <w:r>
        <w:rPr>
          <w:rFonts w:hint="eastAsia"/>
          <w:sz w:val="24"/>
          <w:shd w:val="clear" w:color="auto" w:fill="ffffff"/>
        </w:rPr>
        <w:t xml:space="preserve">相应标准和条件，其补偿不足部分，由</w:t>
      </w:r>
      <w:r>
        <w:rPr>
          <w:rFonts w:hint="eastAsia"/>
          <w:sz w:val="24"/>
          <w:shd w:val="clear" w:color="auto" w:fill="ffffff"/>
        </w:rPr>
        <w:t xml:space="preserve">街道</w:t>
      </w:r>
      <w:r>
        <w:rPr>
          <w:rFonts w:hint="eastAsia"/>
          <w:sz w:val="24"/>
          <w:shd w:val="clear" w:color="auto" w:fill="ffffff"/>
        </w:rPr>
        <w:t xml:space="preserve">财政托底。由具有相应资质的房地产价格评估机构按照房屋征收评估办法以及土地征用相关规定说明评估确定。</w:t>
      </w:r>
      <w:r>
        <w:rPr>
          <w:rFonts w:hint="eastAsia" w:asciiTheme="minorEastAsia" w:hAnsiTheme="minorEastAsia" w:eastAsiaTheme="minorEastAsia"/>
          <w:b/>
          <w:bCs/>
          <w:sz w:val="24"/>
        </w:rPr>
        <w:t xml:space="preserve">搬迁补偿总费用为：</w:t>
      </w:r>
      <w:r>
        <w:rPr>
          <w:rFonts w:asciiTheme="minorEastAsia" w:hAnsiTheme="minorEastAsia" w:eastAsiaTheme="minorEastAsia"/>
          <w:b/>
          <w:bCs/>
          <w:sz w:val="24"/>
        </w:rPr>
        <w:t xml:space="preserve">46906.71</w:t>
      </w:r>
      <w:r>
        <w:rPr>
          <w:rFonts w:hint="eastAsia" w:asciiTheme="minorEastAsia" w:hAnsiTheme="minorEastAsia" w:eastAsiaTheme="minorEastAsia"/>
          <w:b/>
          <w:bCs/>
          <w:sz w:val="24"/>
        </w:rPr>
        <w:t xml:space="preserve">万元（该费用为固定价格、不可竞争费用，投标人不得改变此价格，否则按无效标处理），后期根据项目实施和拆迁补偿政策上下浮动，结算时以实际支出为准</w:t>
      </w:r>
      <w:r>
        <w:rPr>
          <w:rFonts w:hint="eastAsia" w:asciiTheme="minorEastAsia" w:hAnsiTheme="minorEastAsia" w:eastAsiaTheme="minorEastAsia"/>
          <w:b/>
          <w:bCs/>
          <w:sz w:val="24"/>
          <w:shd w:val="clear" w:color="auto" w:fill="ffffff"/>
        </w:rPr>
        <w:t xml:space="preserve">。</w:t>
      </w:r>
      <w:r/>
    </w:p>
    <w:p>
      <w:pPr>
        <w:pStyle w:val="901"/>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三、技术资料</w:t>
      </w:r>
      <w:r/>
    </w:p>
    <w:p>
      <w:pPr>
        <w:pStyle w:val="901"/>
        <w:numPr>
          <w:ilvl w:val="0"/>
          <w:numId w:val="8"/>
        </w:numPr>
        <w:spacing w:line="360" w:lineRule="auto"/>
        <w:tabs>
          <w:tab w:val="left" w:pos="454" w:leader="none"/>
        </w:tabs>
        <w:rPr>
          <w:rFonts w:asciiTheme="minorEastAsia" w:hAnsiTheme="minorEastAsia" w:eastAsiaTheme="minorEastAsia"/>
          <w:b/>
          <w:sz w:val="24"/>
        </w:rPr>
      </w:pPr>
      <w:r>
        <w:rPr>
          <w:rFonts w:hint="eastAsia" w:asciiTheme="minorEastAsia" w:hAnsiTheme="minorEastAsia" w:eastAsiaTheme="minorEastAsia"/>
          <w:sz w:val="24"/>
        </w:rPr>
        <w:t xml:space="preserve">乙方应按招标文件规定的时间向甲方提供</w:t>
      </w:r>
      <w:r>
        <w:rPr>
          <w:rFonts w:hint="eastAsia" w:asciiTheme="minorEastAsia" w:hAnsiTheme="minorEastAsia" w:eastAsiaTheme="minorEastAsia"/>
          <w:sz w:val="24"/>
        </w:rPr>
        <w:t xml:space="preserve">服务</w:t>
      </w:r>
      <w:r>
        <w:rPr>
          <w:rFonts w:hint="eastAsia" w:asciiTheme="minorEastAsia" w:hAnsiTheme="minorEastAsia" w:eastAsiaTheme="minorEastAsia"/>
          <w:sz w:val="24"/>
        </w:rPr>
        <w:t xml:space="preserve">的有关技术资料。</w:t>
      </w:r>
      <w:r/>
    </w:p>
    <w:p>
      <w:pPr>
        <w:pStyle w:val="901"/>
        <w:numPr>
          <w:ilvl w:val="0"/>
          <w:numId w:val="8"/>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没有甲方事先书面同意，乙方不得将由甲方提供的有关合同或任何合同条文、规格、计划、图纸、样品或资料提供给与履行本合同无关的任何其他人。即使</w:t>
      </w:r>
      <w:r>
        <w:rPr>
          <w:rFonts w:hint="eastAsia" w:asciiTheme="minorEastAsia" w:hAnsiTheme="minorEastAsia" w:eastAsiaTheme="minorEastAsia"/>
          <w:sz w:val="24"/>
        </w:rPr>
        <w:t xml:space="preserve">向履行</w:t>
      </w:r>
      <w:r>
        <w:rPr>
          <w:rFonts w:hint="eastAsia" w:asciiTheme="minorEastAsia" w:hAnsiTheme="minorEastAsia" w:eastAsiaTheme="minorEastAsia"/>
          <w:sz w:val="24"/>
        </w:rPr>
        <w:t xml:space="preserve">本合同有关的人员提供，也应注意保密并限于履行合同的必需范围。</w:t>
      </w:r>
      <w:r/>
    </w:p>
    <w:p>
      <w:pPr>
        <w:pStyle w:val="901"/>
        <w:ind w:left="409"/>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四、知识产权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乙方应保证甲方在使用、接受本合同货物和服务或其任何一部分时不受第三方提出侵犯其专利权、版权、商标权和工业设计权等知识产权的起诉。一旦出现侵权，由乙方负全部责任。</w:t>
      </w:r>
      <w:r/>
    </w:p>
    <w:p>
      <w:pPr>
        <w:pStyle w:val="901"/>
        <w:ind w:firstLine="482"/>
        <w:spacing w:line="360" w:lineRule="auto"/>
        <w:rPr>
          <w:rFonts w:asciiTheme="minorEastAsia" w:hAnsiTheme="minorEastAsia" w:eastAsiaTheme="minorEastAsia"/>
          <w:sz w:val="24"/>
          <w:u w:val="single"/>
        </w:rPr>
      </w:pPr>
      <w:r>
        <w:rPr>
          <w:rFonts w:hint="eastAsia" w:asciiTheme="minorEastAsia" w:hAnsiTheme="minorEastAsia" w:eastAsiaTheme="minorEastAsia"/>
          <w:b/>
          <w:sz w:val="24"/>
        </w:rPr>
        <w:t xml:space="preserve">五、产权担保</w:t>
      </w:r>
      <w:r/>
    </w:p>
    <w:p>
      <w:pPr>
        <w:pStyle w:val="901"/>
        <w:ind w:firstLine="48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乙方保证所交付的成果的所有权完全属于</w:t>
      </w:r>
      <w:r>
        <w:rPr>
          <w:rFonts w:hint="eastAsia" w:asciiTheme="minorEastAsia" w:hAnsiTheme="minorEastAsia" w:eastAsiaTheme="minorEastAsia"/>
          <w:sz w:val="24"/>
        </w:rPr>
        <w:t xml:space="preserve">乙方且</w:t>
      </w:r>
      <w:r>
        <w:rPr>
          <w:rFonts w:hint="eastAsia" w:asciiTheme="minorEastAsia" w:hAnsiTheme="minorEastAsia" w:eastAsiaTheme="minorEastAsia"/>
          <w:sz w:val="24"/>
        </w:rPr>
        <w:t xml:space="preserve">无任何抵押、查封等产权瑕疵。</w:t>
      </w:r>
      <w:r/>
    </w:p>
    <w:p>
      <w:pPr>
        <w:pStyle w:val="901"/>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六、履约保证金</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6.1乙方交纳人民币_________元作为本合同的履约保证金。</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（合同金额的1%，甲方对AA评级及以上政府采购供应商（需提供信用管理部门备案的第三方信用报告）免收履约保证金。）</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6.2确需收取履约保证金的，履约保证金的缴纳形式：</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6.2.2 如以履约保函（保险）形式缴纳履约保证金，供应商可通过政府采购电子履约保函（保险）平台（www.jsdzbh.com）在线申请履约保函（保险）。</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6.3合同履行结束后，甲方应及时退还交纳的履约保证金。</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6.4履约保证金的退还：</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6.4.1方式：无息退还至投标人缴纳履约保证金的账户。如为保函，在到期时自行失效。</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6.4.2时间：验收合格且采购人收到发票后30日内。</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6.4.3条件：按合同要求全部履约完成并经采购人验收合格，且采购人收到中标人出具的发票。</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6.4.4不予退还情形：</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除不可抗力情况外，投标人出现下列情形之一的，其履约保证金，招标人将视情节决定不予退还或部分不予退还。</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（1）中标人无正当理由拒绝签订合同的，或者在签订合同时向采购人提出附加条件或者更改合同实质性内容要求的；</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（2）中标人不履行与采购人订立的合同的；</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（3）中标人所供货物或服务不符合招标文件规定要求的；</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（4）中标人采取欺骗、弄虚作假方式投标的或与其它投标人串通投标的；</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（5）中标人将合同内容转包、违法分包的；</w:t>
      </w:r>
      <w:r/>
    </w:p>
    <w:p>
      <w:pPr>
        <w:ind w:firstLine="480"/>
        <w:spacing w:line="360" w:lineRule="auto"/>
        <w:rPr>
          <w:rStyle w:val="956"/>
          <w:rFonts w:asciiTheme="minorEastAsia" w:hAnsiTheme="minorEastAsia" w:eastAsiaTheme="minorEastAsia"/>
          <w:sz w:val="24"/>
        </w:rPr>
      </w:pPr>
      <w:r>
        <w:rPr>
          <w:rStyle w:val="956"/>
          <w:rFonts w:hint="eastAsia" w:asciiTheme="minorEastAsia" w:hAnsiTheme="minorEastAsia" w:eastAsiaTheme="minorEastAsia"/>
          <w:sz w:val="24"/>
        </w:rPr>
        <w:t xml:space="preserve">（6）中标人故意捏造事实或伪造证明材料，进行虚假恶意投诉或反映的。</w:t>
      </w:r>
      <w:r/>
    </w:p>
    <w:p>
      <w:pPr>
        <w:ind w:firstLine="480"/>
        <w:spacing w:before="120" w:after="120" w:line="360" w:lineRule="auto"/>
        <w:rPr>
          <w:rFonts w:cs="宋体" w:asciiTheme="minorEastAsia" w:hAnsiTheme="minorEastAsia" w:eastAsiaTheme="minorEastAsia"/>
          <w:sz w:val="24"/>
        </w:rPr>
      </w:pPr>
      <w:r>
        <w:rPr>
          <w:rStyle w:val="956"/>
          <w:rFonts w:hint="eastAsia" w:asciiTheme="minorEastAsia" w:hAnsiTheme="minorEastAsia" w:eastAsiaTheme="minorEastAsia"/>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20" w:after="120"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七、合同转包或分包</w:t>
      </w:r>
      <w:r/>
    </w:p>
    <w:p>
      <w:pPr>
        <w:pStyle w:val="901"/>
        <w:numPr>
          <w:ilvl w:val="0"/>
          <w:numId w:val="9"/>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乙方不得将合同标的转包给他人履行。</w:t>
      </w:r>
      <w:r/>
    </w:p>
    <w:p>
      <w:pPr>
        <w:pStyle w:val="901"/>
        <w:numPr>
          <w:ilvl w:val="0"/>
          <w:numId w:val="9"/>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除非得到甲方的书面同意，乙方不得部分分包给他人供应。</w:t>
      </w:r>
      <w:r/>
    </w:p>
    <w:p>
      <w:pPr>
        <w:pStyle w:val="901"/>
        <w:numPr>
          <w:ilvl w:val="0"/>
          <w:numId w:val="9"/>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乙方如有转包或未经甲方同意的分包行为，甲方有权解除合同。</w:t>
      </w:r>
      <w:r/>
    </w:p>
    <w:p>
      <w:pPr>
        <w:pStyle w:val="901"/>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八、付款方式</w:t>
      </w:r>
      <w:r/>
    </w:p>
    <w:p>
      <w:pPr>
        <w:pStyle w:val="901"/>
        <w:ind w:left="420"/>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szCs w:val="21"/>
        </w:rPr>
        <w:t xml:space="preserve">1.付款方式</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甲、乙双方商定，同意按以下时点支付结算项目工程款：</w:t>
      </w:r>
      <w:r/>
    </w:p>
    <w:p>
      <w:pPr>
        <w:pStyle w:val="901"/>
        <w:ind w:firstLine="480"/>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2.合同签订生效后甲方向乙方支付合同总金额30%预付款，乙方完成改造后，经甲方审查验收认可后，甲方支付至合同总金额的50%，项目满两年后经甲方审查合格后，甲方一次性支付剩余款项。</w:t>
      </w:r>
      <w:r/>
    </w:p>
    <w:p>
      <w:pPr>
        <w:ind w:firstLine="480"/>
        <w:spacing w:before="120" w:after="120"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在签订合同时，供应商明确表示无需预付款或者主动要求降低预付款比例的，采购人可无需支付预付款。</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3.如需向与财政部门签署融资合作协议的银行办理授信申请的,需在协作银行开立结算户作为回款专用户,作为该笔合同唯一的收款</w:t>
      </w:r>
      <w:r>
        <w:rPr>
          <w:rFonts w:hint="eastAsia" w:cs="宋体" w:asciiTheme="minorEastAsia" w:hAnsiTheme="minorEastAsia" w:eastAsiaTheme="minorEastAsia"/>
          <w:bCs/>
          <w:sz w:val="24"/>
        </w:rPr>
        <w:t xml:space="preserve">帐户</w:t>
      </w:r>
      <w:r>
        <w:rPr>
          <w:rFonts w:hint="eastAsia" w:cs="宋体" w:asciiTheme="minorEastAsia" w:hAnsiTheme="minorEastAsia" w:eastAsiaTheme="minorEastAsia"/>
          <w:bCs/>
          <w:sz w:val="24"/>
        </w:rPr>
        <w:t xml:space="preserve">，供货结束货款结算时，财政部门将政府采购款项直接支付到该账户。</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根据《关于进一步提高政府采购透明度和采购效率相关事项的通知》财办库〔2023〕243号），对于满足合同约定支付条件的，甲方应当自收到发票后10个工作日内将资金支付到合同约定的供应商账户，鼓励甲方完善内部流程，自收到发票后1个工作日内完成资金支付事宜。</w:t>
      </w:r>
      <w:r/>
    </w:p>
    <w:p>
      <w:pPr>
        <w:ind w:firstLine="482"/>
        <w:spacing w:before="120" w:after="120"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九、税费</w:t>
      </w:r>
      <w:r/>
    </w:p>
    <w:p>
      <w:pPr>
        <w:ind w:firstLine="480"/>
        <w:spacing w:before="120" w:after="12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本合同执行中相关的一切税费均由乙方负担。</w:t>
      </w:r>
      <w:r/>
    </w:p>
    <w:p>
      <w:pPr>
        <w:ind w:firstLine="482"/>
        <w:spacing w:before="120" w:after="120" w:line="360" w:lineRule="auto"/>
        <w:rPr>
          <w:rFonts w:cs="宋体" w:asciiTheme="minorEastAsia" w:hAnsiTheme="minorEastAsia" w:eastAsiaTheme="minorEastAsia"/>
          <w:b/>
          <w:sz w:val="24"/>
        </w:rPr>
      </w:pPr>
      <w:r>
        <w:rPr>
          <w:rFonts w:hint="eastAsia" w:asciiTheme="minorEastAsia" w:hAnsiTheme="minorEastAsia" w:eastAsiaTheme="minorEastAsia"/>
          <w:b/>
          <w:sz w:val="24"/>
        </w:rPr>
        <w:t xml:space="preserve">十、</w:t>
      </w:r>
      <w:r>
        <w:rPr>
          <w:rFonts w:cs="宋体" w:asciiTheme="minorEastAsia" w:hAnsiTheme="minorEastAsia" w:eastAsiaTheme="minorEastAsia"/>
          <w:b/>
          <w:sz w:val="24"/>
        </w:rPr>
        <w:t xml:space="preserve">工程质量及保障措施</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（一）</w:t>
      </w:r>
      <w:r>
        <w:rPr>
          <w:rFonts w:cs="宋体" w:asciiTheme="minorEastAsia" w:hAnsiTheme="minorEastAsia" w:eastAsiaTheme="minorEastAsia"/>
          <w:bCs/>
          <w:sz w:val="24"/>
        </w:rPr>
        <w:t xml:space="preserve">乙方提供各项工程的质量标准应依据下述顺序确定</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cs="宋体" w:asciiTheme="minorEastAsia" w:hAnsiTheme="minorEastAsia" w:eastAsiaTheme="minorEastAsia"/>
          <w:bCs/>
          <w:sz w:val="24"/>
        </w:rPr>
        <w:t xml:space="preserve">国家质量控制标准；</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2、没有国家标准的，应适用行业质量标准；</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3、没有国家或行业质量标准的应适用省级质量标准；</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w:t>
      </w:r>
      <w:r>
        <w:rPr>
          <w:rFonts w:cs="宋体" w:asciiTheme="minorEastAsia" w:hAnsiTheme="minorEastAsia" w:eastAsiaTheme="minorEastAsia"/>
          <w:bCs/>
          <w:sz w:val="24"/>
        </w:rPr>
        <w:t xml:space="preserve">没有国家</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省级</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行业质量标准的，甲乙双方应协商确定可以适用的工程质量标准，</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cs="宋体" w:asciiTheme="minorEastAsia" w:hAnsiTheme="minorEastAsia" w:eastAsiaTheme="minorEastAsia"/>
          <w:bCs/>
          <w:sz w:val="24"/>
        </w:rPr>
        <w:t xml:space="preserve">乙方应在工程施工前向甲方提供适用于相关工程质量标准的相关文件</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甲方在接到乙方提供的工程施工标准后应就该项标准的适用性及完备程度予以审核并提供书面意见</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该质量标准经甲乙双方协商签字确认后应作为未来</w:t>
      </w:r>
      <w:r>
        <w:rPr>
          <w:rFonts w:hint="eastAsia" w:cs="宋体" w:asciiTheme="minorEastAsia" w:hAnsiTheme="minorEastAsia" w:eastAsiaTheme="minorEastAsia"/>
          <w:bCs/>
          <w:sz w:val="24"/>
        </w:rPr>
        <w:t xml:space="preserve">本</w:t>
      </w:r>
      <w:r>
        <w:rPr>
          <w:rFonts w:cs="宋体" w:asciiTheme="minorEastAsia" w:hAnsiTheme="minorEastAsia" w:eastAsiaTheme="minorEastAsia"/>
          <w:bCs/>
          <w:sz w:val="24"/>
        </w:rPr>
        <w:t xml:space="preserve">合同项下相关工程质量的验收依据。</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（三）</w:t>
      </w:r>
      <w:r>
        <w:rPr>
          <w:rFonts w:cs="宋体" w:asciiTheme="minorEastAsia" w:hAnsiTheme="minorEastAsia" w:eastAsiaTheme="minorEastAsia"/>
          <w:bCs/>
          <w:sz w:val="24"/>
        </w:rPr>
        <w:t xml:space="preserve">乙方应在项目进程中采取一切必要措施保障其所提供的工程质量符合有关标准。如果由于不可抗力等特殊原因不能保障工程质量的</w:t>
      </w:r>
      <w:r>
        <w:rPr>
          <w:rFonts w:hint="eastAsia" w:cs="宋体" w:asciiTheme="minorEastAsia" w:hAnsiTheme="minorEastAsia" w:eastAsiaTheme="minorEastAsia"/>
          <w:bCs/>
          <w:sz w:val="24"/>
        </w:rPr>
        <w:t xml:space="preserve">，乙方</w:t>
      </w:r>
      <w:r>
        <w:rPr>
          <w:rFonts w:cs="宋体" w:asciiTheme="minorEastAsia" w:hAnsiTheme="minorEastAsia" w:eastAsiaTheme="minorEastAsia"/>
          <w:bCs/>
          <w:sz w:val="24"/>
        </w:rPr>
        <w:t xml:space="preserve">应书面通知甲方</w:t>
      </w:r>
      <w:r>
        <w:rPr>
          <w:rFonts w:hint="eastAsia" w:cs="宋体" w:asciiTheme="minorEastAsia" w:hAnsiTheme="minorEastAsia" w:eastAsiaTheme="minorEastAsia"/>
          <w:bCs/>
          <w:sz w:val="24"/>
        </w:rPr>
        <w:t xml:space="preserve">。</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（四）</w:t>
      </w:r>
      <w:r>
        <w:rPr>
          <w:rFonts w:cs="宋体" w:asciiTheme="minorEastAsia" w:hAnsiTheme="minorEastAsia" w:eastAsiaTheme="minorEastAsia"/>
          <w:bCs/>
          <w:sz w:val="24"/>
        </w:rPr>
        <w:t xml:space="preserve">甲方有权在乙方工程施工过程中，在不影响乙方正常运营的前提下，对乙方的工程质量及相关质量保障措施予以检查。甲方应及时组织相关部门，按照本合同规定的质量标准，对乙方交付的工程进行验收。如因甲方原因导致验收时间推迟的，乙方履行本合同义务期限应予顺延。</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（五）</w:t>
      </w:r>
      <w:r>
        <w:rPr>
          <w:rFonts w:cs="宋体" w:asciiTheme="minorEastAsia" w:hAnsiTheme="minorEastAsia" w:eastAsiaTheme="minorEastAsia"/>
          <w:bCs/>
          <w:sz w:val="24"/>
        </w:rPr>
        <w:t xml:space="preserve">甲方对工程各个施工节点检查的结果应以书面形式通知乙方</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乙方如果对甲方的检查结果有异议</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应在3个工作日内向甲方提出书面说明。甲方有权依据工程施工节点检查结果通知乙方停止履行本合同规定的其他义务。如果甲方没有通知乙方停止履行合同义务，乙方应继续向甲方提供所规定的其他服务，甲方也应按照本合同规定履行相应义务。双方有关独立节点检查结果的争议由双方协商解决。协商不成的可以按照本合同规定的争议解决方式解决。</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（六）</w:t>
      </w:r>
      <w:r>
        <w:rPr>
          <w:rFonts w:cs="宋体" w:asciiTheme="minorEastAsia" w:hAnsiTheme="minorEastAsia" w:eastAsiaTheme="minorEastAsia"/>
          <w:bCs/>
          <w:sz w:val="24"/>
        </w:rPr>
        <w:t xml:space="preserve">如果甲方因一个或多个检查结果书面通知乙方停止提供本合同规定的相关服务</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甲乙双方应按照本合同规定的争议解决方式及同解除程序处理合同解除事宜。</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（七）</w:t>
      </w:r>
      <w:r>
        <w:rPr>
          <w:rFonts w:cs="宋体" w:asciiTheme="minorEastAsia" w:hAnsiTheme="minorEastAsia" w:eastAsiaTheme="minorEastAsia"/>
          <w:bCs/>
          <w:sz w:val="24"/>
        </w:rPr>
        <w:t xml:space="preserve">乙方对其提供的工程质量应按照国家规定承担相应的产品维修，消费者保护及缺陷修复、质量赔偿责任。</w:t>
      </w:r>
      <w:r/>
    </w:p>
    <w:p>
      <w:pPr>
        <w:ind w:firstLine="482"/>
        <w:spacing w:before="120" w:after="12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十一、</w:t>
      </w:r>
      <w:r>
        <w:rPr>
          <w:rFonts w:cs="宋体" w:asciiTheme="minorEastAsia" w:hAnsiTheme="minorEastAsia" w:eastAsiaTheme="minorEastAsia"/>
          <w:b/>
          <w:sz w:val="24"/>
        </w:rPr>
        <w:t xml:space="preserve">项目交付</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乙方应在项目交付日向甲方移交下述资产及项目有关的信息资料，包括但不限于工程档案、投融资资料、资产清单、设备仪表清单、维修操作手册、质量保证书等。</w:t>
      </w:r>
      <w:r/>
    </w:p>
    <w:p>
      <w:pPr>
        <w:ind w:firstLine="482"/>
        <w:spacing w:before="120" w:after="12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十二、</w:t>
      </w:r>
      <w:r>
        <w:rPr>
          <w:rFonts w:cs="宋体" w:asciiTheme="minorEastAsia" w:hAnsiTheme="minorEastAsia" w:eastAsiaTheme="minorEastAsia"/>
          <w:b/>
          <w:sz w:val="24"/>
        </w:rPr>
        <w:t xml:space="preserve">甲方的陈述和保证</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甲方负查采购</w:t>
      </w:r>
      <w:r>
        <w:rPr>
          <w:rFonts w:cs="宋体" w:asciiTheme="minorEastAsia" w:hAnsiTheme="minorEastAsia" w:eastAsiaTheme="minorEastAsia"/>
          <w:bCs/>
          <w:sz w:val="24"/>
        </w:rPr>
        <w:t xml:space="preserve">本合同所规定的各项服务内容与</w:t>
      </w:r>
      <w:r>
        <w:rPr>
          <w:rFonts w:cs="宋体" w:asciiTheme="minorEastAsia" w:hAnsiTheme="minorEastAsia" w:eastAsiaTheme="minorEastAsia"/>
          <w:bCs/>
          <w:sz w:val="24"/>
        </w:rPr>
        <w:t xml:space="preserve">乙方签署</w:t>
      </w:r>
      <w:r>
        <w:rPr>
          <w:rFonts w:cs="宋体" w:asciiTheme="minorEastAsia" w:hAnsiTheme="minorEastAsia" w:eastAsiaTheme="minorEastAsia"/>
          <w:bCs/>
          <w:sz w:val="24"/>
        </w:rPr>
        <w:t xml:space="preserve">本合同。</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在本合同期内，甲方保证按照本合同约定时间支付对应采购款项。</w:t>
      </w:r>
      <w:r/>
    </w:p>
    <w:p>
      <w:pPr>
        <w:ind w:firstLine="482"/>
        <w:spacing w:before="120" w:after="12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十三、</w:t>
      </w:r>
      <w:r>
        <w:rPr>
          <w:rFonts w:cs="宋体" w:asciiTheme="minorEastAsia" w:hAnsiTheme="minorEastAsia" w:eastAsiaTheme="minorEastAsia"/>
          <w:b/>
          <w:sz w:val="24"/>
        </w:rPr>
        <w:t xml:space="preserve">乙方的陈述和保证</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（一）</w:t>
      </w:r>
      <w:r>
        <w:rPr>
          <w:rFonts w:cs="宋体" w:asciiTheme="minorEastAsia" w:hAnsiTheme="minorEastAsia" w:eastAsiaTheme="minorEastAsia"/>
          <w:bCs/>
          <w:sz w:val="24"/>
        </w:rPr>
        <w:t xml:space="preserve">乙方为依法设立、具有独立承担民事责任能力的法人。</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cs="宋体" w:asciiTheme="minorEastAsia" w:hAnsiTheme="minorEastAsia" w:eastAsiaTheme="minorEastAsia"/>
          <w:bCs/>
          <w:sz w:val="24"/>
        </w:rPr>
        <w:t xml:space="preserve">乙方确认其已获得签署本合同的足够信息。乙方如因误解与工程内容及标准要求有关的任何事实或本合同的任何规定</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而导致其自身承担任何法律责任</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乙方将不会获得任何额外补偿或就承担有关法律责任获得任何豁免。乙方进一步确认其签署并履行本合同不会违反其已有的任何其他合同或与其冲突。</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（三）</w:t>
      </w:r>
      <w:r>
        <w:rPr>
          <w:rFonts w:cs="宋体" w:asciiTheme="minorEastAsia" w:hAnsiTheme="minorEastAsia" w:eastAsiaTheme="minorEastAsia"/>
          <w:bCs/>
          <w:sz w:val="24"/>
        </w:rPr>
        <w:t xml:space="preserve">乙方的各项财务记录真实可靠。除已经向甲方说明的违约记录</w:t>
      </w:r>
      <w:r>
        <w:rPr>
          <w:rFonts w:hint="eastAsia" w:cs="宋体" w:asciiTheme="minorEastAsia" w:hAnsiTheme="minorEastAsia" w:eastAsiaTheme="minorEastAsia"/>
          <w:bCs/>
          <w:sz w:val="24"/>
        </w:rPr>
        <w:t xml:space="preserve">（如有）</w:t>
      </w:r>
      <w:r>
        <w:rPr>
          <w:rFonts w:cs="宋体" w:asciiTheme="minorEastAsia" w:hAnsiTheme="minorEastAsia" w:eastAsiaTheme="minorEastAsia"/>
          <w:bCs/>
          <w:sz w:val="24"/>
        </w:rPr>
        <w:t xml:space="preserve">外，乙方不存在任何违约事项，未被列入经营异常名录或者严重违法企业名单</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且其签署并履行本合同不会违反其已有的任何其他合同或与其冲突。</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（四）</w:t>
      </w:r>
      <w:r>
        <w:rPr>
          <w:rFonts w:cs="宋体" w:asciiTheme="minorEastAsia" w:hAnsiTheme="minorEastAsia" w:eastAsiaTheme="minorEastAsia"/>
          <w:bCs/>
          <w:sz w:val="24"/>
        </w:rPr>
        <w:t xml:space="preserve">乙方获取及保持为履行本合同所需的</w:t>
      </w:r>
      <w:r>
        <w:rPr>
          <w:rFonts w:hint="eastAsia" w:cs="宋体" w:asciiTheme="minorEastAsia" w:hAnsiTheme="minorEastAsia" w:eastAsiaTheme="minorEastAsia"/>
          <w:bCs/>
          <w:sz w:val="24"/>
        </w:rPr>
        <w:t xml:space="preserve">一</w:t>
      </w:r>
      <w:r>
        <w:rPr>
          <w:rFonts w:cs="宋体" w:asciiTheme="minorEastAsia" w:hAnsiTheme="minorEastAsia" w:eastAsiaTheme="minorEastAsia"/>
          <w:bCs/>
          <w:sz w:val="24"/>
        </w:rPr>
        <w:t xml:space="preserve">切政府授权、批准、许可证或特许，并须承担因获取和保持许可证及特许而可能产生的所有费用、收费及开支。</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（五）</w:t>
      </w:r>
      <w:r>
        <w:rPr>
          <w:rFonts w:cs="宋体" w:asciiTheme="minorEastAsia" w:hAnsiTheme="minorEastAsia" w:eastAsiaTheme="minorEastAsia"/>
          <w:bCs/>
          <w:sz w:val="24"/>
        </w:rPr>
        <w:t xml:space="preserve">乙方自行缴付所有税项、费用、收费及款项。</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（六）</w:t>
      </w:r>
      <w:r>
        <w:rPr>
          <w:rFonts w:cs="宋体" w:asciiTheme="minorEastAsia" w:hAnsiTheme="minorEastAsia" w:eastAsiaTheme="minorEastAsia"/>
          <w:bCs/>
          <w:sz w:val="24"/>
        </w:rPr>
        <w:t xml:space="preserve">乙方向甲方提供的所有文件资料真实、准确、完整，向甲方</w:t>
      </w:r>
      <w:r>
        <w:rPr>
          <w:rFonts w:cs="宋体" w:asciiTheme="minorEastAsia" w:hAnsiTheme="minorEastAsia" w:eastAsiaTheme="minorEastAsia"/>
          <w:bCs/>
          <w:sz w:val="24"/>
        </w:rPr>
        <w:t xml:space="preserve">作出</w:t>
      </w:r>
      <w:r>
        <w:rPr>
          <w:rFonts w:cs="宋体" w:asciiTheme="minorEastAsia" w:hAnsiTheme="minorEastAsia" w:eastAsiaTheme="minorEastAsia"/>
          <w:bCs/>
          <w:sz w:val="24"/>
        </w:rPr>
        <w:t xml:space="preserve">的所有陈述和保证在本合同有效期</w:t>
      </w:r>
      <w:r>
        <w:rPr>
          <w:rFonts w:cs="宋体" w:asciiTheme="minorEastAsia" w:hAnsiTheme="minorEastAsia" w:eastAsiaTheme="minorEastAsia"/>
          <w:bCs/>
          <w:sz w:val="24"/>
        </w:rPr>
        <w:t xml:space="preserve">内真实</w:t>
      </w:r>
      <w:r>
        <w:rPr>
          <w:rFonts w:cs="宋体" w:asciiTheme="minorEastAsia" w:hAnsiTheme="minorEastAsia" w:eastAsiaTheme="minorEastAsia"/>
          <w:bCs/>
          <w:sz w:val="24"/>
        </w:rPr>
        <w:t xml:space="preserve">有效。</w:t>
      </w:r>
      <w:r/>
    </w:p>
    <w:p>
      <w:pPr>
        <w:ind w:firstLine="482"/>
        <w:spacing w:before="120" w:after="12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十四、</w:t>
      </w:r>
      <w:r>
        <w:rPr>
          <w:rFonts w:cs="宋体" w:asciiTheme="minorEastAsia" w:hAnsiTheme="minorEastAsia" w:eastAsiaTheme="minorEastAsia"/>
          <w:b/>
          <w:sz w:val="24"/>
        </w:rPr>
        <w:t xml:space="preserve">甲方的权利和义务</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（一）</w:t>
      </w:r>
      <w:r>
        <w:rPr>
          <w:rFonts w:cs="宋体" w:asciiTheme="minorEastAsia" w:hAnsiTheme="minorEastAsia" w:eastAsiaTheme="minorEastAsia"/>
          <w:bCs/>
          <w:sz w:val="24"/>
        </w:rPr>
        <w:t xml:space="preserve">甲方的权利</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cs="宋体" w:asciiTheme="minorEastAsia" w:hAnsiTheme="minorEastAsia" w:eastAsiaTheme="minorEastAsia"/>
          <w:bCs/>
          <w:sz w:val="24"/>
        </w:rPr>
        <w:t xml:space="preserve">甲方有权随时向乙方了解项目进度并要求乙方提供项目相关资料，</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rPr>
          <w:rFonts w:cs="宋体" w:asciiTheme="minorEastAsia" w:hAnsiTheme="minorEastAsia" w:eastAsiaTheme="minorEastAsia"/>
          <w:bCs/>
          <w:sz w:val="24"/>
        </w:rPr>
        <w:t xml:space="preserve">甲方有权按照本合同的约定及有关法律法规和政府管理的相关职能规定</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对本项目的建设进行监督和检查；但甲方并不因行使该等监督和检查权而承担任何责任，也并不因此减轻或免除乙方根据本合同或相关法律法规的要求而应承担的任何义务或责任。</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w:t>
      </w:r>
      <w:r>
        <w:rPr>
          <w:rFonts w:cs="宋体" w:asciiTheme="minorEastAsia" w:hAnsiTheme="minorEastAsia" w:eastAsiaTheme="minorEastAsia"/>
          <w:bCs/>
          <w:sz w:val="24"/>
        </w:rPr>
        <w:t xml:space="preserve">甲方有权对乙方就本项目注资和融资情况实施监督管理。</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cs="宋体" w:asciiTheme="minorEastAsia" w:hAnsiTheme="minorEastAsia" w:eastAsiaTheme="minorEastAsia"/>
          <w:bCs/>
          <w:sz w:val="24"/>
        </w:rPr>
        <w:t xml:space="preserve">甲方的义务</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cs="宋体" w:asciiTheme="minorEastAsia" w:hAnsiTheme="minorEastAsia" w:eastAsiaTheme="minorEastAsia"/>
          <w:bCs/>
          <w:sz w:val="24"/>
        </w:rPr>
        <w:t xml:space="preserve">甲方应负</w:t>
      </w:r>
      <w:r>
        <w:rPr>
          <w:rFonts w:hint="eastAsia" w:cs="宋体" w:asciiTheme="minorEastAsia" w:hAnsiTheme="minorEastAsia" w:eastAsiaTheme="minorEastAsia"/>
          <w:bCs/>
          <w:sz w:val="24"/>
        </w:rPr>
        <w:t xml:space="preserve">责</w:t>
      </w:r>
      <w:r>
        <w:rPr>
          <w:rFonts w:cs="宋体" w:asciiTheme="minorEastAsia" w:hAnsiTheme="minorEastAsia" w:eastAsiaTheme="minorEastAsia"/>
          <w:bCs/>
          <w:sz w:val="24"/>
        </w:rPr>
        <w:t xml:space="preserve">协调将采购</w:t>
      </w:r>
      <w:r>
        <w:rPr>
          <w:rFonts w:hint="eastAsia" w:cs="宋体" w:asciiTheme="minorEastAsia" w:hAnsiTheme="minorEastAsia" w:eastAsiaTheme="minorEastAsia"/>
          <w:bCs/>
          <w:sz w:val="24"/>
        </w:rPr>
        <w:t xml:space="preserve">项目</w:t>
      </w:r>
      <w:r>
        <w:rPr>
          <w:rFonts w:cs="宋体" w:asciiTheme="minorEastAsia" w:hAnsiTheme="minorEastAsia" w:eastAsiaTheme="minorEastAsia"/>
          <w:bCs/>
          <w:sz w:val="24"/>
        </w:rPr>
        <w:t xml:space="preserve">资金纳入政府财政预算和管理，并按照本合同约定向乙方支付</w:t>
      </w:r>
      <w:r>
        <w:rPr>
          <w:rFonts w:hint="eastAsia" w:cs="宋体" w:asciiTheme="minorEastAsia" w:hAnsiTheme="minorEastAsia" w:eastAsiaTheme="minorEastAsia"/>
          <w:bCs/>
          <w:sz w:val="24"/>
        </w:rPr>
        <w:t xml:space="preserve">合同</w:t>
      </w:r>
      <w:r>
        <w:rPr>
          <w:rFonts w:cs="宋体" w:asciiTheme="minorEastAsia" w:hAnsiTheme="minorEastAsia" w:eastAsiaTheme="minorEastAsia"/>
          <w:bCs/>
          <w:sz w:val="24"/>
        </w:rPr>
        <w:t xml:space="preserve">价款。</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甲方应及时向乙方提供与履行本合同相关的所有必须的文件、资科。</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甲方应按本合同约定完成由其落实的审批事项，提供合同实施条件。</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甲方应为乙方在合同履行过程中与其职能部门及其他第三方的沟通、协调提供必要的协助。</w:t>
      </w:r>
      <w:r/>
    </w:p>
    <w:p>
      <w:pPr>
        <w:ind w:firstLine="482"/>
        <w:spacing w:before="120" w:after="12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十五、</w:t>
      </w:r>
      <w:r>
        <w:rPr>
          <w:rFonts w:cs="宋体" w:asciiTheme="minorEastAsia" w:hAnsiTheme="minorEastAsia" w:eastAsiaTheme="minorEastAsia"/>
          <w:b/>
          <w:sz w:val="24"/>
        </w:rPr>
        <w:t xml:space="preserve">乙方的权利和义务</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（一）</w:t>
      </w:r>
      <w:r>
        <w:rPr>
          <w:rFonts w:cs="宋体" w:asciiTheme="minorEastAsia" w:hAnsiTheme="minorEastAsia" w:eastAsiaTheme="minorEastAsia"/>
          <w:bCs/>
          <w:sz w:val="24"/>
        </w:rPr>
        <w:t xml:space="preserve">乙方的权利</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cs="宋体" w:asciiTheme="minorEastAsia" w:hAnsiTheme="minorEastAsia" w:eastAsiaTheme="minorEastAsia"/>
          <w:bCs/>
          <w:sz w:val="24"/>
        </w:rPr>
        <w:t xml:space="preserve">乙方有权按照本合同约定向甲方收取项目采购价款。</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rPr>
          <w:rFonts w:cs="宋体" w:asciiTheme="minorEastAsia" w:hAnsiTheme="minorEastAsia" w:eastAsiaTheme="minorEastAsia"/>
          <w:bCs/>
          <w:sz w:val="24"/>
        </w:rPr>
        <w:t xml:space="preserve">乙方有权自甲方处获得与提供本合同项</w:t>
      </w:r>
      <w:r>
        <w:rPr>
          <w:rFonts w:cs="宋体" w:asciiTheme="minorEastAsia" w:hAnsiTheme="minorEastAsia" w:eastAsiaTheme="minorEastAsia"/>
          <w:bCs/>
          <w:sz w:val="24"/>
        </w:rPr>
        <w:t xml:space="preserve">下项目</w:t>
      </w:r>
      <w:r>
        <w:rPr>
          <w:rFonts w:cs="宋体" w:asciiTheme="minorEastAsia" w:hAnsiTheme="minorEastAsia" w:eastAsiaTheme="minorEastAsia"/>
          <w:bCs/>
          <w:sz w:val="24"/>
        </w:rPr>
        <w:t xml:space="preserve">相关的所有必需的文件、资料。</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3、乙方依法享有的本合同项下全部权益及收益但不限于请求甲方支付各种资金的权利及其收益</w:t>
      </w:r>
      <w:r>
        <w:rPr>
          <w:rFonts w:hint="eastAsia" w:cs="宋体" w:asciiTheme="minorEastAsia" w:hAnsiTheme="minorEastAsia" w:eastAsiaTheme="minorEastAsia"/>
          <w:bCs/>
          <w:sz w:val="24"/>
        </w:rPr>
        <w:t xml:space="preserve">等。</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cs="宋体" w:asciiTheme="minorEastAsia" w:hAnsiTheme="minorEastAsia" w:eastAsiaTheme="minorEastAsia"/>
          <w:bCs/>
          <w:sz w:val="24"/>
        </w:rPr>
        <w:t xml:space="preserve">乙方的义务</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cs="宋体" w:asciiTheme="minorEastAsia" w:hAnsiTheme="minorEastAsia" w:eastAsiaTheme="minorEastAsia"/>
          <w:bCs/>
          <w:sz w:val="24"/>
        </w:rPr>
        <w:t xml:space="preserve">乙方应按照本合同约定时间落实政府审批事项并按照各项审批文件要求完成项目。</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rPr>
          <w:rFonts w:cs="宋体" w:asciiTheme="minorEastAsia" w:hAnsiTheme="minorEastAsia" w:eastAsiaTheme="minorEastAsia"/>
          <w:bCs/>
          <w:sz w:val="24"/>
        </w:rPr>
        <w:t xml:space="preserve">乙方应全面履行本项目建设管理中的相关安全生产管理职责，避免发生安全生产事故。因乙方</w:t>
      </w:r>
      <w:r>
        <w:rPr>
          <w:rFonts w:hint="eastAsia" w:cs="宋体" w:asciiTheme="minorEastAsia" w:hAnsiTheme="minorEastAsia" w:eastAsiaTheme="minorEastAsia"/>
          <w:bCs/>
          <w:sz w:val="24"/>
        </w:rPr>
        <w:t xml:space="preserve">未</w:t>
      </w:r>
      <w:r>
        <w:rPr>
          <w:rFonts w:cs="宋体" w:asciiTheme="minorEastAsia" w:hAnsiTheme="minorEastAsia" w:eastAsiaTheme="minorEastAsia"/>
          <w:bCs/>
          <w:sz w:val="24"/>
        </w:rPr>
        <w:t xml:space="preserve">尽管</w:t>
      </w:r>
      <w:r>
        <w:rPr>
          <w:rFonts w:cs="宋体" w:asciiTheme="minorEastAsia" w:hAnsiTheme="minorEastAsia" w:eastAsiaTheme="minorEastAsia"/>
          <w:bCs/>
          <w:sz w:val="24"/>
        </w:rPr>
        <w:t xml:space="preserve">理职责发生安全生产事故的，由乙方承担相应的法律贵任。</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3、乙方应配备具有相应资质、特定经验并受到适当培训的工作人员</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乙方应采用招标方式选择本项目的环评、设计、施工及监理等单位，相关招标方案及合同文件应当报甲方予以确认。</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4、乙方为本项目依据本合同签订的相关文件</w:t>
      </w:r>
      <w:r>
        <w:rPr>
          <w:rFonts w:hint="eastAsia" w:cs="宋体" w:asciiTheme="minorEastAsia" w:hAnsiTheme="minorEastAsia" w:eastAsiaTheme="minorEastAsia"/>
          <w:bCs/>
          <w:sz w:val="24"/>
        </w:rPr>
        <w:t xml:space="preserve">（包括但不限于工程文件、融资文件等）</w:t>
      </w:r>
      <w:r>
        <w:rPr>
          <w:rFonts w:cs="宋体" w:asciiTheme="minorEastAsia" w:hAnsiTheme="minorEastAsia" w:eastAsiaTheme="minorEastAsia"/>
          <w:bCs/>
          <w:sz w:val="24"/>
        </w:rPr>
        <w:t xml:space="preserve">应当符合本合同的要求。</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5、乙方</w:t>
      </w:r>
      <w:r>
        <w:rPr>
          <w:rFonts w:cs="宋体" w:asciiTheme="minorEastAsia" w:hAnsiTheme="minorEastAsia" w:eastAsiaTheme="minorEastAsia"/>
          <w:bCs/>
          <w:sz w:val="24"/>
        </w:rPr>
        <w:t xml:space="preserve">应接受并配合</w:t>
      </w:r>
      <w:r>
        <w:rPr>
          <w:rFonts w:cs="宋体" w:asciiTheme="minorEastAsia" w:hAnsiTheme="minorEastAsia" w:eastAsiaTheme="minorEastAsia"/>
          <w:bCs/>
          <w:sz w:val="24"/>
        </w:rPr>
        <w:t xml:space="preserve">甲方或甲方组织的对本合同履行情况的监督与检查，对于甲方指出的问题应及时做出合理解释或予以纠正。</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6、乙方应采取有效的措施保证本项目的融资按计划进度执行，不会影响到项目实施。且所有融资均用于本项目</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并合理安排资金使用计划，确保项目得到顺利实施。</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7、乙方应对项目资金进行规范的财务管理和会计核算，加强自身监督，确保资金规范管理和使用。</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8、乙方应建立工程施工台账，记录相关文件、工作计划方案、项目和资金批复、项目进展和资金支付，工作汇报总结、重大活动和其它有关资料信息，以配合甲方及甲方组织的监督检验绩效评价。</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9、乙方应建立健全财务报告制度，按要求向甲方提供资金的使用情况</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项目执行情况</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成果总结等材料。</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10、乙方应根据甲方要求，无条件接受和配合甲方或甲方委托的会计师事务所进行的与本合同相关的审计，乙方应保存与本合同相关的记录和账目，保存期限为本合同终止后5年，经提前通知甲方或甲方委托的会计师事务所有权检查并复制该等记录和账目。</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11、项目交付后，乙方应无条件返还甲方向其提供的文件、资料并向甲方移交项目资料，同时乙方应当自留一份完整的项目档案并予以妥善保管</w:t>
      </w:r>
      <w:r>
        <w:rPr>
          <w:rFonts w:hint="eastAsia" w:cs="宋体" w:asciiTheme="minorEastAsia" w:hAnsiTheme="minorEastAsia" w:eastAsiaTheme="minorEastAsia"/>
          <w:bCs/>
          <w:sz w:val="24"/>
        </w:rPr>
        <w:t xml:space="preserve">。</w:t>
      </w:r>
      <w:r/>
    </w:p>
    <w:p>
      <w:pPr>
        <w:ind w:firstLine="482"/>
        <w:spacing w:before="120" w:after="12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十六、违约</w:t>
      </w:r>
      <w:r>
        <w:rPr>
          <w:rFonts w:cs="宋体" w:asciiTheme="minorEastAsia" w:hAnsiTheme="minorEastAsia" w:eastAsiaTheme="minorEastAsia"/>
          <w:b/>
          <w:sz w:val="24"/>
        </w:rPr>
        <w:t xml:space="preserve">责任</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1、因乙方原因造成服务期限延误，逾期违约金的计算方法为：因乙方原因延误的，乙方应承担违约责任，按每拖延一天向甲方支付合同价</w:t>
      </w:r>
      <w:r>
        <w:rPr>
          <w:rFonts w:hint="eastAsia" w:cs="宋体" w:asciiTheme="minorEastAsia" w:hAnsiTheme="minorEastAsia" w:eastAsiaTheme="minorEastAsia"/>
          <w:b/>
          <w:bCs/>
          <w:sz w:val="24"/>
        </w:rPr>
        <w:t xml:space="preserve">万分之一</w:t>
      </w:r>
      <w:r>
        <w:rPr>
          <w:rFonts w:hint="eastAsia" w:cs="宋体" w:asciiTheme="minorEastAsia" w:hAnsiTheme="minorEastAsia" w:eastAsiaTheme="minorEastAsia"/>
          <w:bCs/>
          <w:sz w:val="24"/>
        </w:rPr>
        <w:t xml:space="preserve">的违约金。因甲方原因并且符合工程工期顺延的情况，经签证确认后顺延。</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因乙方原因造成服务期限延误，逾期违约金的上限：</w:t>
      </w:r>
      <w:r>
        <w:rPr>
          <w:rFonts w:hint="eastAsia" w:cs="宋体" w:asciiTheme="minorEastAsia" w:hAnsiTheme="minorEastAsia" w:eastAsiaTheme="minorEastAsia"/>
          <w:b/>
          <w:bCs/>
          <w:sz w:val="24"/>
        </w:rPr>
        <w:t xml:space="preserve">不超过签约合同价的1%，超过1%</w:t>
      </w:r>
      <w:r>
        <w:rPr>
          <w:rFonts w:hint="eastAsia" w:cs="宋体" w:asciiTheme="minorEastAsia" w:hAnsiTheme="minorEastAsia" w:eastAsiaTheme="minorEastAsia"/>
          <w:bCs/>
          <w:sz w:val="24"/>
        </w:rPr>
        <w:t xml:space="preserve">时甲方有权终止合同，扣除乙方的全部履约保证金，并对因供应商延期造成的所有损失进行依法追偿。</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乙方拟派项目负责人未经批准，擅自离开现场的违约责任：</w:t>
      </w:r>
      <w:r>
        <w:rPr>
          <w:rFonts w:hint="eastAsia" w:cs="宋体" w:asciiTheme="minorEastAsia" w:hAnsiTheme="minorEastAsia" w:eastAsiaTheme="minorEastAsia"/>
          <w:bCs/>
          <w:sz w:val="24"/>
        </w:rPr>
        <w:t xml:space="preserve">中途项目</w:t>
      </w:r>
      <w:r>
        <w:rPr>
          <w:rFonts w:hint="eastAsia" w:cs="宋体" w:asciiTheme="minorEastAsia" w:hAnsiTheme="minorEastAsia" w:eastAsiaTheme="minorEastAsia"/>
          <w:bCs/>
          <w:sz w:val="24"/>
        </w:rPr>
        <w:t xml:space="preserve">负责人需离岗必须履行书面请假手续并经甲方同意。若未经甲方同意而擅自离岗的，将处以每天5000.00元的违约金，在支付合同款时从应付款中扣除。若擅自离岗连续达2天以上的，经甲方提出仍未改正的，甲方有权终止合同，因此给甲方造成损失的，甲方将依法追偿。</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主要项目管理人员擅自离开现场的违约责任：若未经甲方同意而擅自离岗的，将处以每人每天 3000.00 元的违约金，在支付合同款时从应付款中扣除。</w:t>
      </w:r>
      <w:r/>
    </w:p>
    <w:p>
      <w:pPr>
        <w:ind w:firstLine="482"/>
        <w:spacing w:before="120" w:after="12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十七、</w:t>
      </w:r>
      <w:r>
        <w:rPr>
          <w:rFonts w:cs="宋体" w:asciiTheme="minorEastAsia" w:hAnsiTheme="minorEastAsia" w:eastAsiaTheme="minorEastAsia"/>
          <w:b/>
          <w:sz w:val="24"/>
        </w:rPr>
        <w:t xml:space="preserve">指定人员及联系人</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1、甲方指定</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作为甲方代表，负责与乙方的联络沟通及本合同履行中的各项事宜。</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乙方指定</w:t>
      </w: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作为乙方代表，负责与甲方的联络沟通及本合同履行中的</w:t>
      </w:r>
      <w:r>
        <w:rPr>
          <w:rFonts w:cs="宋体" w:asciiTheme="minorEastAsia" w:hAnsiTheme="minorEastAsia" w:eastAsiaTheme="minorEastAsia"/>
          <w:bCs/>
          <w:sz w:val="24"/>
        </w:rPr>
        <w:t xml:space="preserve">各项事宣</w:t>
      </w:r>
      <w:r>
        <w:rPr>
          <w:rFonts w:cs="宋体" w:asciiTheme="minorEastAsia" w:hAnsiTheme="minorEastAsia" w:eastAsiaTheme="minorEastAsia"/>
          <w:bCs/>
          <w:sz w:val="24"/>
        </w:rPr>
        <w:t xml:space="preserve">。</w:t>
      </w:r>
      <w:r/>
    </w:p>
    <w:p>
      <w:pPr>
        <w:ind w:firstLine="480"/>
        <w:spacing w:before="120" w:after="120" w:line="360" w:lineRule="auto"/>
        <w:rPr>
          <w:rFonts w:cs="宋体" w:asciiTheme="minorEastAsia" w:hAnsiTheme="minorEastAsia" w:eastAsiaTheme="minorEastAsia"/>
          <w:bCs/>
          <w:sz w:val="24"/>
        </w:rPr>
      </w:pPr>
      <w:r>
        <w:rPr>
          <w:rFonts w:cs="宋体" w:asciiTheme="minorEastAsia" w:hAnsiTheme="minorEastAsia" w:eastAsiaTheme="minorEastAsia"/>
          <w:bCs/>
          <w:sz w:val="24"/>
        </w:rPr>
        <w:t xml:space="preserve">除非双方另有明确约定，任何一方根据本合同向另一方提供资料和发送通知的联系入和联系方式如下：</w:t>
      </w:r>
      <w:r/>
    </w:p>
    <w:tbl>
      <w:tblPr>
        <w:tblStyle w:val="740"/>
        <w:tblpPr w:horzAnchor="page" w:tblpX="1830" w:vertAnchor="text" w:tblpY="318" w:leftFromText="180" w:topFromText="0" w:rightFromText="180" w:bottomFromText="0"/>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61"/>
        <w:gridCol w:w="4261"/>
      </w:tblGrid>
      <w:tr>
        <w:trPr/>
        <w:tc>
          <w:tcPr>
            <w:tcW w:w="4261" w:type="dxa"/>
            <w:vAlign w:val="center"/>
            <w:textDirection w:val="lrTb"/>
            <w:noWrap w:val="false"/>
          </w:tcPr>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甲方联系人：***</w:t>
            </w:r>
            <w:r/>
          </w:p>
        </w:tc>
        <w:tc>
          <w:tcPr>
            <w:tcW w:w="4261" w:type="dxa"/>
            <w:vAlign w:val="center"/>
            <w:textDirection w:val="lrTb"/>
            <w:noWrap w:val="false"/>
          </w:tcPr>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乙方联系人：***</w:t>
            </w:r>
            <w:r/>
          </w:p>
        </w:tc>
      </w:tr>
      <w:tr>
        <w:trPr/>
        <w:tc>
          <w:tcPr>
            <w:tcW w:w="4261" w:type="dxa"/>
            <w:vAlign w:val="center"/>
            <w:textDirection w:val="lrTb"/>
            <w:noWrap w:val="false"/>
          </w:tcPr>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电话：***********</w:t>
            </w:r>
            <w:r/>
          </w:p>
        </w:tc>
        <w:tc>
          <w:tcPr>
            <w:tcW w:w="4261" w:type="dxa"/>
            <w:vAlign w:val="center"/>
            <w:textDirection w:val="lrTb"/>
            <w:noWrap w:val="false"/>
          </w:tcPr>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电话：***********</w:t>
            </w:r>
            <w:r/>
          </w:p>
        </w:tc>
      </w:tr>
    </w:tbl>
    <w:p>
      <w:pPr>
        <w:ind w:firstLine="482"/>
        <w:spacing w:before="120" w:after="120"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sz w:val="24"/>
          <w:highlight w:val="none"/>
        </w:rPr>
      </w:r>
      <w:r>
        <w:rPr>
          <w:rFonts w:hint="eastAsia" w:cs="宋体" w:asciiTheme="minorEastAsia" w:hAnsiTheme="minorEastAsia" w:eastAsiaTheme="minorEastAsia"/>
          <w:b/>
          <w:sz w:val="24"/>
          <w:highlight w:val="none"/>
        </w:rPr>
      </w:r>
      <w:r/>
    </w:p>
    <w:p>
      <w:pPr>
        <w:ind w:firstLine="482"/>
        <w:spacing w:before="120" w:after="120" w:line="360" w:lineRule="auto"/>
        <w:rPr>
          <w:rFonts w:hint="eastAsia" w:cs="宋体" w:asciiTheme="minorEastAsia" w:hAnsiTheme="minorEastAsia" w:eastAsiaTheme="minorEastAsia"/>
          <w:b/>
          <w:bCs/>
          <w:sz w:val="24"/>
          <w:szCs w:val="24"/>
          <w:highlight w:val="none"/>
        </w:rPr>
      </w:pPr>
      <w:r>
        <w:rPr>
          <w:rFonts w:hint="eastAsia" w:cs="宋体" w:asciiTheme="minorEastAsia" w:hAnsiTheme="minorEastAsia" w:eastAsiaTheme="minorEastAsia"/>
          <w:b/>
          <w:sz w:val="24"/>
          <w:highlight w:val="none"/>
        </w:rPr>
      </w:r>
      <w:r>
        <w:rPr>
          <w:rFonts w:hint="eastAsia" w:cs="宋体" w:asciiTheme="minorEastAsia" w:hAnsiTheme="minorEastAsia" w:eastAsiaTheme="minorEastAsia"/>
          <w:b/>
          <w:sz w:val="24"/>
          <w:highlight w:val="none"/>
        </w:rPr>
      </w:r>
      <w:r/>
    </w:p>
    <w:p>
      <w:pPr>
        <w:ind w:firstLine="482"/>
        <w:spacing w:before="120" w:after="120" w:line="360" w:lineRule="auto"/>
        <w:rPr>
          <w:rFonts w:hint="eastAsia" w:cs="宋体" w:asciiTheme="minorEastAsia" w:hAnsiTheme="minorEastAsia" w:eastAsiaTheme="minorEastAsia"/>
          <w:b/>
          <w:bCs/>
          <w:sz w:val="24"/>
          <w:szCs w:val="24"/>
          <w:highlight w:val="none"/>
        </w:rPr>
      </w:pPr>
      <w:r>
        <w:rPr>
          <w:rFonts w:hint="eastAsia" w:cs="宋体" w:asciiTheme="minorEastAsia" w:hAnsiTheme="minorEastAsia" w:eastAsiaTheme="minorEastAsia"/>
          <w:b/>
          <w:sz w:val="24"/>
        </w:rPr>
        <w:t xml:space="preserve">十八、保密</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（一）乙方及乙方工作人员在本合同履行过程中所获得的甲方、甲方所代表之政府以项目的所有信息和与提供本合同项目工程相关的记录、数据、报告等资料均属甲方之保密信息。</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（二）乙方应对该保密信息采取保密措施，且仅得为本合同之目的使用该保密信息。</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（三）未经甲方书面同意，乙方不得披露、使用、转让、复制或允许第三方使用上述保密信息，为本合同之履行需要向其工作人员、代理人、贷款银行及其工作人员等披露的除外。</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（四）乙方应保证其工作人员、代理人等遵守本条有关保密的约定，且该约定不因本合同终止或者解除而失效。</w:t>
      </w:r>
      <w:r/>
    </w:p>
    <w:p>
      <w:pPr>
        <w:ind w:firstLine="482"/>
        <w:spacing w:before="120" w:after="12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十九、不可抗力</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（一）如果乙方因不可抗力而导致合同</w:t>
      </w:r>
      <w:r>
        <w:rPr>
          <w:rFonts w:hint="eastAsia" w:cs="宋体" w:asciiTheme="minorEastAsia" w:hAnsiTheme="minorEastAsia" w:eastAsiaTheme="minorEastAsia"/>
          <w:bCs/>
          <w:sz w:val="24"/>
        </w:rPr>
        <w:t xml:space="preserve">覆行</w:t>
      </w:r>
      <w:r>
        <w:rPr>
          <w:rFonts w:hint="eastAsia" w:cs="宋体" w:asciiTheme="minorEastAsia" w:hAnsiTheme="minorEastAsia" w:eastAsiaTheme="minorEastAsia"/>
          <w:bCs/>
          <w:sz w:val="24"/>
        </w:rPr>
        <w:t xml:space="preserve">延误或不能履行合同义务，不应承担赔偿或终止合同的责任。</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（二）本条所述的“不可抗力”系指不能预见、不能避免并不能克服的客观情况，包括但不限于：战争、严重火灾、洪水，台风地震等，不包括乙方的违约或疏忽。</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（三）在不可抗力事件发生后，受到不可抗力影响的一方应尽快以书面形式将不可抗力的情况和原因通知对方，并尽最大努力减轻不可抗力对合同履行之影响。</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（四）如果任何不可抗力事件阻止一方履行其义务的时间持续超过10个工作日，双方应协商决定继续履行本合同。</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（五）如果</w:t>
      </w:r>
      <w:r>
        <w:rPr>
          <w:rFonts w:hint="eastAsia" w:cs="宋体" w:asciiTheme="minorEastAsia" w:hAnsiTheme="minorEastAsia" w:eastAsiaTheme="minorEastAsia"/>
          <w:bCs/>
          <w:sz w:val="24"/>
        </w:rPr>
        <w:t xml:space="preserve">自任何</w:t>
      </w:r>
      <w:r>
        <w:rPr>
          <w:rFonts w:hint="eastAsia" w:cs="宋体" w:asciiTheme="minorEastAsia" w:hAnsiTheme="minorEastAsia" w:eastAsiaTheme="minorEastAsia"/>
          <w:bCs/>
          <w:sz w:val="24"/>
        </w:rPr>
        <w:t xml:space="preserve">不可抗力事件发生后10个工作日内双方不能根据上述第四项之规定就继续履行本合同的条件或终止本合同达成一致意见的，任何一方有权限根据本合同的约定单方面通知对方提前终止本合同。</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（六）在合同有效期内，任何一方因不可抗力事件导致不能履行合同，则合同履行期可延长，其延长期与不可抗力影响期相同。</w:t>
      </w:r>
      <w:r/>
    </w:p>
    <w:p>
      <w:pPr>
        <w:ind w:firstLine="480"/>
        <w:spacing w:before="120" w:after="120"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（七）不可抗力事件发生后，应立即通知对方，并寄送有关权威机构出具的证明。</w:t>
      </w:r>
      <w:r/>
    </w:p>
    <w:p>
      <w:pPr>
        <w:ind w:firstLine="480"/>
        <w:spacing w:before="120" w:after="120"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（八）不可抗力事件延续120天以上，双方应通过友好协商，确定是否继续履行合同。</w:t>
      </w:r>
      <w:r/>
    </w:p>
    <w:p>
      <w:pPr>
        <w:pStyle w:val="901"/>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二十、诉讼</w:t>
      </w:r>
      <w:r/>
    </w:p>
    <w:p>
      <w:pPr>
        <w:ind w:firstLine="480"/>
        <w:spacing w:before="120" w:after="12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双方在签订、履行合同中所发生的一切争议，应通过友好协商解决。如协商不成，由甲方住所地人民法院管辖。</w:t>
      </w:r>
      <w:r/>
    </w:p>
    <w:p>
      <w:pPr>
        <w:pStyle w:val="901"/>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二十一、合同生效及其它</w:t>
      </w:r>
      <w:r/>
    </w:p>
    <w:p>
      <w:pPr>
        <w:pStyle w:val="901"/>
        <w:numPr>
          <w:ilvl w:val="0"/>
          <w:numId w:val="10"/>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合同经双方法定代表人或授权委托代表人签字并加盖单位公章后生效。</w:t>
      </w:r>
      <w:r/>
    </w:p>
    <w:p>
      <w:pPr>
        <w:pStyle w:val="901"/>
        <w:numPr>
          <w:ilvl w:val="0"/>
          <w:numId w:val="10"/>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本合同未尽事宜，遵照《中华人民共和国民法典》、《政府采购法》有关条文执行。</w:t>
      </w:r>
      <w:r/>
    </w:p>
    <w:p>
      <w:pPr>
        <w:pStyle w:val="901"/>
        <w:numPr>
          <w:ilvl w:val="0"/>
          <w:numId w:val="10"/>
        </w:num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本合同一式陆份，甲方执叁份，乙方执叁份，自甲乙双方签字、盖章之日起生效。</w:t>
      </w:r>
      <w:r/>
    </w:p>
    <w:p>
      <w:pPr>
        <w:pStyle w:val="901"/>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901"/>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甲方：                                    乙方：</w:t>
      </w:r>
      <w:r/>
    </w:p>
    <w:p>
      <w:pPr>
        <w:pStyle w:val="901"/>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地址：                                    地址：</w:t>
      </w:r>
      <w:r/>
    </w:p>
    <w:p>
      <w:pPr>
        <w:pStyle w:val="901"/>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法定代表人或授权代表：                    法定代表人或授权代表：</w:t>
      </w:r>
      <w:r/>
    </w:p>
    <w:p>
      <w:pPr>
        <w:pStyle w:val="901"/>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联系电话：                                联系电话：</w:t>
      </w:r>
      <w:r/>
    </w:p>
    <w:p>
      <w:pPr>
        <w:ind w:firstLine="480"/>
        <w:spacing w:line="360" w:lineRule="auto"/>
        <w:rPr>
          <w:rStyle w:val="956"/>
          <w:rFonts w:asciiTheme="minorEastAsia" w:hAnsiTheme="minorEastAsia" w:eastAsiaTheme="minorEastAsia"/>
          <w:sz w:val="24"/>
        </w:rPr>
      </w:pPr>
      <w:r>
        <w:rPr>
          <w:rFonts w:hint="eastAsia" w:asciiTheme="minorEastAsia" w:hAnsiTheme="minorEastAsia" w:eastAsiaTheme="minorEastAsia"/>
          <w:sz w:val="24"/>
        </w:rPr>
        <w:t xml:space="preserve">    年   月   日                              年   月   日</w:t>
      </w:r>
      <w:r/>
    </w:p>
    <w:p>
      <w:pPr>
        <w:pStyle w:val="913"/>
        <w:ind w:firstLine="0"/>
        <w:rPr>
          <w:rFonts w:cs="宋体" w:asciiTheme="minorEastAsia" w:hAnsiTheme="minorEastAsia" w:eastAsiaTheme="minorEastAsia"/>
          <w:b/>
          <w:szCs w:val="28"/>
        </w:rPr>
      </w:pPr>
      <w:r>
        <w:rPr>
          <w:rFonts w:cs="宋体" w:asciiTheme="minorEastAsia" w:hAnsiTheme="minorEastAsia" w:eastAsiaTheme="minorEastAsia"/>
          <w:b/>
          <w:szCs w:val="28"/>
        </w:rPr>
        <w:br w:type="page" w:clear="all"/>
      </w:r>
      <w:r/>
    </w:p>
    <w:p>
      <w:pPr>
        <w:numPr>
          <w:ilvl w:val="0"/>
          <w:numId w:val="3"/>
        </w:numPr>
        <w:ind w:firstLine="643"/>
        <w:jc w:val="center"/>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采购需求</w:t>
      </w:r>
      <w:r/>
    </w:p>
    <w:p>
      <w:pPr>
        <w:pStyle w:val="912"/>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项目属性：服务类项目</w:t>
      </w:r>
      <w:r/>
    </w:p>
    <w:p>
      <w:pPr>
        <w:ind w:firstLine="482"/>
        <w:spacing w:line="360" w:lineRule="auto"/>
        <w:rPr>
          <w:rFonts w:asciiTheme="minorEastAsia" w:hAnsiTheme="minorEastAsia" w:eastAsiaTheme="minorEastAsia"/>
          <w:b/>
          <w:bCs/>
          <w:sz w:val="24"/>
          <w:shd w:val="clear" w:color="auto" w:fill="ffffff"/>
        </w:rPr>
      </w:pPr>
      <w:r>
        <w:rPr>
          <w:rFonts w:hint="eastAsia" w:asciiTheme="minorEastAsia" w:hAnsiTheme="minorEastAsia" w:eastAsiaTheme="minorEastAsia"/>
          <w:b/>
          <w:bCs/>
          <w:sz w:val="24"/>
          <w:shd w:val="clear" w:color="auto" w:fill="ffffff"/>
        </w:rPr>
        <w:t xml:space="preserve">一、项目背景</w:t>
      </w:r>
      <w:r/>
    </w:p>
    <w:p>
      <w:pPr>
        <w:ind w:firstLine="480"/>
        <w:spacing w:line="360" w:lineRule="auto"/>
        <w:rPr>
          <w:rFonts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中共中央、国务院连续多年发布中央一号文件等政策文件，对新阶段优先发展农业农村、保障居民住房、全面推进乡村振兴</w:t>
      </w:r>
      <w:r>
        <w:rPr>
          <w:rFonts w:hint="eastAsia" w:asciiTheme="minorEastAsia" w:hAnsiTheme="minorEastAsia" w:eastAsiaTheme="minorEastAsia"/>
          <w:sz w:val="24"/>
          <w:shd w:val="clear" w:color="auto" w:fill="ffffff"/>
        </w:rPr>
        <w:t xml:space="preserve">作出</w:t>
      </w:r>
      <w:r>
        <w:rPr>
          <w:rFonts w:hint="eastAsia" w:asciiTheme="minorEastAsia" w:hAnsiTheme="minorEastAsia" w:eastAsiaTheme="minorEastAsia"/>
          <w:sz w:val="24"/>
          <w:shd w:val="clear" w:color="auto" w:fill="ffffff"/>
        </w:rPr>
        <w:t xml:space="preserve">总体部署，为做好当前和今后“三农”工作指明了方向。</w:t>
      </w:r>
      <w:r>
        <w:rPr>
          <w:rFonts w:asciiTheme="minorEastAsia" w:hAnsiTheme="minorEastAsia" w:eastAsiaTheme="minorEastAsia"/>
          <w:sz w:val="24"/>
          <w:shd w:val="clear" w:color="auto" w:fill="ffffff"/>
        </w:rPr>
        <w:t xml:space="preserve">2022年5月中共中央办公厅国务院办公厅印发《乡村建设行动实施方案》，确保乡村振兴战略的落实落地。党的二十大报告指出：全面建设社会主义现代化国家，最艰巨最繁重的任务仍然在农村。提出坚持农业农村优先发展，坚持城乡融合发展，畅通城乡要素流动。加快建设农业强国，扎实推动乡村产业、人才、文化、生态、组织振兴。2023年2月13日，21世纪以来第20个指导“三农”工作</w:t>
      </w:r>
      <w:r>
        <w:rPr>
          <w:rFonts w:hint="eastAsia" w:asciiTheme="minorEastAsia" w:hAnsiTheme="minorEastAsia" w:eastAsiaTheme="minorEastAsia"/>
          <w:sz w:val="24"/>
          <w:shd w:val="clear" w:color="auto" w:fill="ffffff"/>
        </w:rPr>
        <w:t xml:space="preserve">的中央一号文件发布，文件通过九方面部署全面推进乡村振兴，迈向农业农村现代化。</w:t>
      </w:r>
      <w:r/>
    </w:p>
    <w:p>
      <w:pPr>
        <w:ind w:firstLine="480"/>
        <w:spacing w:line="360" w:lineRule="auto"/>
        <w:rPr>
          <w:rFonts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农民住房是乡村振兴战略的重要组成部分，也是农民幸福生活的基石。推动乡村振兴，良好住房保障是关键。改善苏北农民群众住房条件，补齐苏北农村住房短板，是省委省政府推动乡村振兴的一个标志性工程。近年来，</w:t>
      </w:r>
      <w:r>
        <w:rPr>
          <w:rFonts w:hint="eastAsia" w:asciiTheme="minorEastAsia" w:hAnsiTheme="minorEastAsia" w:eastAsiaTheme="minorEastAsia"/>
          <w:sz w:val="24"/>
          <w:shd w:val="clear" w:color="auto" w:fill="ffffff"/>
        </w:rPr>
        <w:t xml:space="preserve">盐城经济技术开发区</w:t>
      </w:r>
      <w:r>
        <w:rPr>
          <w:rFonts w:hint="eastAsia" w:asciiTheme="minorEastAsia" w:hAnsiTheme="minorEastAsia" w:eastAsiaTheme="minorEastAsia"/>
          <w:sz w:val="24"/>
          <w:shd w:val="clear" w:color="auto" w:fill="ffffff"/>
        </w:rPr>
        <w:t xml:space="preserve">坚持把住房改善作为推动乡村振兴的重要工程系统推进，高质量、高标准抓好安置房建设，让更多农民告别“旧农房”，</w:t>
      </w:r>
      <w:r>
        <w:rPr>
          <w:rFonts w:asciiTheme="minorEastAsia" w:hAnsiTheme="minorEastAsia" w:eastAsiaTheme="minorEastAsia"/>
          <w:sz w:val="24"/>
          <w:shd w:val="clear" w:color="auto" w:fill="ffffff"/>
        </w:rPr>
        <w:t xml:space="preserve">切实改善农民住房条件</w:t>
      </w:r>
      <w:r>
        <w:rPr>
          <w:rFonts w:hint="eastAsia" w:asciiTheme="minorEastAsia" w:hAnsiTheme="minorEastAsia" w:eastAsiaTheme="minorEastAsia"/>
          <w:sz w:val="24"/>
          <w:shd w:val="clear" w:color="auto" w:fill="ffffff"/>
        </w:rPr>
        <w:t xml:space="preserve">，</w:t>
      </w:r>
      <w:r>
        <w:rPr>
          <w:rFonts w:asciiTheme="minorEastAsia" w:hAnsiTheme="minorEastAsia" w:eastAsiaTheme="minorEastAsia"/>
          <w:sz w:val="24"/>
          <w:shd w:val="clear" w:color="auto" w:fill="ffffff"/>
        </w:rPr>
        <w:t xml:space="preserve">全力推进</w:t>
      </w:r>
      <w:r>
        <w:rPr>
          <w:rFonts w:hint="eastAsia" w:asciiTheme="minorEastAsia" w:hAnsiTheme="minorEastAsia" w:eastAsiaTheme="minorEastAsia"/>
          <w:sz w:val="24"/>
          <w:shd w:val="clear" w:color="auto" w:fill="ffffff"/>
        </w:rPr>
        <w:t xml:space="preserve">住房</w:t>
      </w:r>
      <w:r>
        <w:rPr>
          <w:rFonts w:asciiTheme="minorEastAsia" w:hAnsiTheme="minorEastAsia" w:eastAsiaTheme="minorEastAsia"/>
          <w:sz w:val="24"/>
          <w:shd w:val="clear" w:color="auto" w:fill="ffffff"/>
        </w:rPr>
        <w:t xml:space="preserve">改善工作</w:t>
      </w:r>
      <w:r>
        <w:rPr>
          <w:rFonts w:hint="eastAsia" w:asciiTheme="minorEastAsia" w:hAnsiTheme="minorEastAsia" w:eastAsiaTheme="minorEastAsia"/>
          <w:sz w:val="24"/>
          <w:shd w:val="clear" w:color="auto" w:fill="ffffff"/>
        </w:rPr>
        <w:t xml:space="preserve">，</w:t>
      </w:r>
      <w:r>
        <w:rPr>
          <w:rFonts w:asciiTheme="minorEastAsia" w:hAnsiTheme="minorEastAsia" w:eastAsiaTheme="minorEastAsia"/>
          <w:sz w:val="24"/>
          <w:shd w:val="clear" w:color="auto" w:fill="ffffff"/>
        </w:rPr>
        <w:t xml:space="preserve">不断增强群众的幸福感和获得感。</w:t>
      </w:r>
      <w:r/>
    </w:p>
    <w:p>
      <w:pPr>
        <w:ind w:firstLine="480"/>
        <w:spacing w:line="360" w:lineRule="auto"/>
        <w:rPr>
          <w:rFonts w:asciiTheme="minorEastAsia" w:hAnsiTheme="minorEastAsia" w:eastAsiaTheme="minorEastAsia"/>
          <w:szCs w:val="28"/>
        </w:rPr>
      </w:pPr>
      <w:r>
        <w:rPr>
          <w:rFonts w:hint="eastAsia" w:asciiTheme="minorEastAsia" w:hAnsiTheme="minorEastAsia" w:eastAsiaTheme="minorEastAsia"/>
          <w:sz w:val="24"/>
          <w:shd w:val="clear" w:color="auto" w:fill="ffffff"/>
        </w:rPr>
        <w:t xml:space="preserve">改善农民住房条件，根本目的在于让群众住得好过得好。对此，盐城经济技术开发区充分尊重农民意愿，坚持高起点规划、高质量建设、高标准配套，拟在</w:t>
      </w:r>
      <w:r>
        <w:rPr>
          <w:rFonts w:hint="eastAsia" w:asciiTheme="minorEastAsia" w:hAnsiTheme="minorEastAsia" w:eastAsiaTheme="minorEastAsia"/>
          <w:sz w:val="24"/>
          <w:shd w:val="clear" w:color="auto" w:fill="ffffff"/>
        </w:rPr>
        <w:t xml:space="preserve">新城街道</w:t>
      </w:r>
      <w:r>
        <w:rPr>
          <w:rFonts w:hint="eastAsia" w:asciiTheme="minorEastAsia" w:hAnsiTheme="minorEastAsia" w:eastAsiaTheme="minorEastAsia"/>
          <w:sz w:val="24"/>
          <w:shd w:val="clear" w:color="auto" w:fill="ffffff"/>
        </w:rPr>
        <w:t xml:space="preserve">进行农房改善。该区域的民房建设年代早、标准低，部分房屋破损严重，公建和配套不完善，农民居住环境亟待改善。项目的建设是当地新农村建设的重要组成部分，进一步优化了盐城经济技术开发区空间布局，改善城镇人居环境，推动民生和公共事业发展。</w:t>
      </w:r>
      <w:r/>
    </w:p>
    <w:p>
      <w:pPr>
        <w:ind w:firstLine="482"/>
        <w:spacing w:line="360" w:lineRule="auto"/>
        <w:rPr>
          <w:rFonts w:asciiTheme="minorEastAsia" w:hAnsiTheme="minorEastAsia" w:eastAsiaTheme="minorEastAsia"/>
          <w:b/>
          <w:bCs/>
          <w:sz w:val="24"/>
          <w:shd w:val="clear" w:color="auto" w:fill="ffffff"/>
        </w:rPr>
      </w:pPr>
      <w:r>
        <w:rPr>
          <w:rFonts w:hint="eastAsia" w:asciiTheme="minorEastAsia" w:hAnsiTheme="minorEastAsia" w:eastAsiaTheme="minorEastAsia"/>
          <w:b/>
          <w:bCs/>
          <w:sz w:val="24"/>
          <w:shd w:val="clear" w:color="auto" w:fill="ffffff"/>
        </w:rPr>
        <w:t xml:space="preserve">二、项目概述</w:t>
      </w:r>
      <w:r/>
    </w:p>
    <w:p>
      <w:pPr>
        <w:ind w:firstLine="480"/>
        <w:spacing w:line="360" w:lineRule="auto"/>
        <w:rPr>
          <w:rFonts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1、项目名称：盐城经济技术开发区新城街道2024年改善农民群众住房条件项目</w:t>
      </w:r>
      <w:r/>
    </w:p>
    <w:p>
      <w:pPr>
        <w:ind w:firstLine="480"/>
        <w:spacing w:line="360" w:lineRule="auto"/>
        <w:rPr>
          <w:rFonts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2、采购需求：</w:t>
      </w:r>
      <w:r>
        <w:rPr>
          <w:rFonts w:hint="eastAsia" w:asciiTheme="minorEastAsia" w:hAnsiTheme="minorEastAsia" w:eastAsiaTheme="minorEastAsia"/>
          <w:sz w:val="24"/>
          <w:shd w:val="clear" w:color="auto" w:fill="ffffff"/>
        </w:rPr>
        <w:t xml:space="preserve">本项目涉及新城街道7个村</w:t>
      </w:r>
      <w:r>
        <w:rPr>
          <w:rFonts w:asciiTheme="minorEastAsia" w:hAnsiTheme="minorEastAsia" w:eastAsiaTheme="minorEastAsia"/>
          <w:sz w:val="24"/>
          <w:shd w:val="clear" w:color="auto" w:fill="ffffff"/>
        </w:rPr>
        <w:t xml:space="preserve">，</w:t>
      </w:r>
      <w:r>
        <w:rPr>
          <w:rFonts w:hint="eastAsia" w:asciiTheme="minorEastAsia" w:hAnsiTheme="minorEastAsia" w:eastAsiaTheme="minorEastAsia"/>
          <w:sz w:val="24"/>
          <w:shd w:val="clear" w:color="auto" w:fill="ffffff"/>
        </w:rPr>
        <w:t xml:space="preserve">改善</w:t>
      </w:r>
      <w:r>
        <w:rPr>
          <w:rFonts w:asciiTheme="minorEastAsia" w:hAnsiTheme="minorEastAsia" w:eastAsiaTheme="minorEastAsia"/>
          <w:sz w:val="24"/>
          <w:shd w:val="clear" w:color="auto" w:fill="ffffff"/>
        </w:rPr>
        <w:t xml:space="preserve">总户数为1825户；</w:t>
      </w:r>
      <w:r>
        <w:rPr>
          <w:rFonts w:hint="eastAsia" w:asciiTheme="minorEastAsia" w:hAnsiTheme="minorEastAsia" w:eastAsiaTheme="minorEastAsia"/>
          <w:sz w:val="24"/>
          <w:shd w:val="clear" w:color="auto" w:fill="ffffff"/>
        </w:rPr>
        <w:t xml:space="preserve">改善</w:t>
      </w:r>
      <w:r>
        <w:rPr>
          <w:rFonts w:asciiTheme="minorEastAsia" w:hAnsiTheme="minorEastAsia" w:eastAsiaTheme="minorEastAsia"/>
          <w:sz w:val="24"/>
          <w:shd w:val="clear" w:color="auto" w:fill="ffffff"/>
        </w:rPr>
        <w:t xml:space="preserve">房屋总面积</w:t>
      </w:r>
      <w:r>
        <w:rPr>
          <w:rFonts w:hint="eastAsia" w:asciiTheme="minorEastAsia" w:hAnsiTheme="minorEastAsia" w:eastAsiaTheme="minorEastAsia"/>
          <w:sz w:val="24"/>
          <w:shd w:val="clear" w:color="auto" w:fill="ffffff"/>
        </w:rPr>
        <w:t xml:space="preserve">约</w:t>
      </w:r>
      <w:r>
        <w:rPr>
          <w:rFonts w:asciiTheme="minorEastAsia" w:hAnsiTheme="minorEastAsia" w:eastAsiaTheme="minorEastAsia"/>
          <w:sz w:val="24"/>
          <w:shd w:val="clear" w:color="auto" w:fill="ffffff"/>
        </w:rPr>
        <w:t xml:space="preserve">20</w:t>
      </w:r>
      <w:r>
        <w:rPr>
          <w:rFonts w:hint="eastAsia" w:asciiTheme="minorEastAsia" w:hAnsiTheme="minorEastAsia" w:eastAsiaTheme="minorEastAsia"/>
          <w:sz w:val="24"/>
          <w:shd w:val="clear" w:color="auto" w:fill="ffffff"/>
        </w:rPr>
        <w:t xml:space="preserve">万</w:t>
      </w:r>
      <w:r>
        <w:rPr>
          <w:rFonts w:asciiTheme="minorEastAsia" w:hAnsiTheme="minorEastAsia" w:eastAsiaTheme="minorEastAsia"/>
          <w:sz w:val="24"/>
          <w:shd w:val="clear" w:color="auto" w:fill="ffffff"/>
        </w:rPr>
        <w:t xml:space="preserve">平方米，其中：土地综合整治1800亩，新增耕地面积1800</w:t>
      </w:r>
      <w:r>
        <w:rPr>
          <w:rFonts w:hint="eastAsia" w:asciiTheme="minorEastAsia" w:hAnsiTheme="minorEastAsia" w:eastAsiaTheme="minorEastAsia"/>
          <w:sz w:val="24"/>
          <w:shd w:val="clear" w:color="auto" w:fill="ffffff"/>
        </w:rPr>
        <w:t xml:space="preserve"> </w:t>
      </w:r>
      <w:r>
        <w:rPr>
          <w:rFonts w:asciiTheme="minorEastAsia" w:hAnsiTheme="minorEastAsia" w:eastAsiaTheme="minorEastAsia"/>
          <w:sz w:val="24"/>
          <w:shd w:val="clear" w:color="auto" w:fill="ffffff"/>
        </w:rPr>
        <w:t xml:space="preserve">亩。</w:t>
      </w:r>
      <w:r>
        <w:rPr>
          <w:rFonts w:hint="eastAsia" w:asciiTheme="minorEastAsia" w:hAnsiTheme="minorEastAsia" w:eastAsiaTheme="minorEastAsia"/>
          <w:sz w:val="24"/>
          <w:shd w:val="clear" w:color="auto" w:fill="ffffff"/>
        </w:rPr>
        <w:t xml:space="preserve">盐城经济技术开发区充分尊重农民意愿，坚持高起点规划、高质量建设、高标准配套，拟在盐城经济技术开发区新城街道</w:t>
      </w:r>
      <w:r>
        <w:rPr>
          <w:rFonts w:hint="eastAsia" w:asciiTheme="minorEastAsia" w:hAnsiTheme="minorEastAsia" w:eastAsiaTheme="minorEastAsia"/>
          <w:sz w:val="24"/>
          <w:shd w:val="clear" w:color="auto" w:fill="ffffff"/>
        </w:rPr>
        <w:t xml:space="preserve">蔡</w:t>
      </w:r>
      <w:r>
        <w:rPr>
          <w:rFonts w:hint="eastAsia" w:asciiTheme="minorEastAsia" w:hAnsiTheme="minorEastAsia" w:eastAsiaTheme="minorEastAsia"/>
          <w:sz w:val="24"/>
          <w:shd w:val="clear" w:color="auto" w:fill="ffffff"/>
        </w:rPr>
        <w:t xml:space="preserve">墩村、民生村、南舍村、</w:t>
      </w:r>
      <w:r>
        <w:rPr>
          <w:rFonts w:hint="eastAsia" w:asciiTheme="minorEastAsia" w:hAnsiTheme="minorEastAsia" w:eastAsiaTheme="minorEastAsia"/>
          <w:sz w:val="24"/>
          <w:shd w:val="clear" w:color="auto" w:fill="ffffff"/>
        </w:rPr>
        <w:t xml:space="preserve">北舍村</w:t>
      </w:r>
      <w:r>
        <w:rPr>
          <w:rFonts w:hint="eastAsia" w:asciiTheme="minorEastAsia" w:hAnsiTheme="minorEastAsia" w:eastAsiaTheme="minorEastAsia"/>
          <w:sz w:val="24"/>
          <w:shd w:val="clear" w:color="auto" w:fill="ffffff"/>
        </w:rPr>
        <w:t xml:space="preserve">、东滩村、</w:t>
      </w:r>
      <w:r>
        <w:rPr>
          <w:rFonts w:hint="eastAsia" w:asciiTheme="minorEastAsia" w:hAnsiTheme="minorEastAsia" w:eastAsiaTheme="minorEastAsia"/>
          <w:sz w:val="24"/>
          <w:shd w:val="clear" w:color="auto" w:fill="ffffff"/>
        </w:rPr>
        <w:t xml:space="preserve">正丰村</w:t>
      </w:r>
      <w:r>
        <w:rPr>
          <w:rFonts w:hint="eastAsia" w:asciiTheme="minorEastAsia" w:hAnsiTheme="minorEastAsia" w:eastAsiaTheme="minorEastAsia"/>
          <w:sz w:val="24"/>
          <w:shd w:val="clear" w:color="auto" w:fill="ffffff"/>
        </w:rPr>
        <w:t xml:space="preserve">、</w:t>
      </w:r>
      <w:r>
        <w:rPr>
          <w:rFonts w:hint="eastAsia" w:asciiTheme="minorEastAsia" w:hAnsiTheme="minorEastAsia" w:eastAsiaTheme="minorEastAsia"/>
          <w:sz w:val="24"/>
          <w:shd w:val="clear" w:color="auto" w:fill="ffffff"/>
        </w:rPr>
        <w:t xml:space="preserve">中舍村</w:t>
      </w:r>
      <w:r>
        <w:rPr>
          <w:rFonts w:hint="eastAsia" w:asciiTheme="minorEastAsia" w:hAnsiTheme="minorEastAsia" w:eastAsiaTheme="minorEastAsia"/>
          <w:sz w:val="24"/>
          <w:shd w:val="clear" w:color="auto" w:fill="ffffff"/>
        </w:rPr>
        <w:t xml:space="preserve">等7个村内进行农房改善。</w:t>
      </w:r>
      <w:r/>
    </w:p>
    <w:p>
      <w:pPr>
        <w:ind w:firstLine="482"/>
        <w:spacing w:line="360" w:lineRule="auto"/>
        <w:rPr>
          <w:rFonts w:asciiTheme="minorEastAsia" w:hAnsiTheme="minorEastAsia" w:eastAsiaTheme="minorEastAsia"/>
          <w:b/>
          <w:sz w:val="24"/>
          <w:shd w:val="clear" w:color="auto" w:fill="ffffff"/>
        </w:rPr>
      </w:pPr>
      <w:r>
        <w:rPr>
          <w:rFonts w:hint="eastAsia" w:asciiTheme="minorEastAsia" w:hAnsiTheme="minorEastAsia" w:eastAsiaTheme="minorEastAsia"/>
          <w:b/>
          <w:sz w:val="24"/>
          <w:shd w:val="clear" w:color="auto" w:fill="ffffff"/>
        </w:rPr>
        <w:t xml:space="preserve">本项目前期费用须中标单位垫付，项目实施过程中所有事宜须由中标单位自行协调解决。</w:t>
      </w:r>
      <w:r/>
    </w:p>
    <w:p>
      <w:pPr>
        <w:ind w:firstLine="480"/>
        <w:spacing w:line="360" w:lineRule="auto"/>
        <w:rPr>
          <w:rFonts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采购资金为财政资金，已落实。</w:t>
      </w:r>
      <w:r/>
    </w:p>
    <w:p>
      <w:pPr>
        <w:ind w:firstLine="480"/>
        <w:spacing w:line="360" w:lineRule="auto"/>
        <w:rPr>
          <w:rFonts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3、项目地点：本项目位于</w:t>
      </w:r>
      <w:r>
        <w:rPr>
          <w:rFonts w:hint="eastAsia" w:asciiTheme="minorEastAsia" w:hAnsiTheme="minorEastAsia" w:eastAsiaTheme="minorEastAsia"/>
          <w:sz w:val="24"/>
          <w:shd w:val="clear" w:color="auto" w:fill="ffffff"/>
        </w:rPr>
        <w:t xml:space="preserve">盐城经济技术开发区新城街道</w:t>
      </w:r>
      <w:r>
        <w:rPr>
          <w:rFonts w:hint="eastAsia" w:asciiTheme="minorEastAsia" w:hAnsiTheme="minorEastAsia" w:eastAsiaTheme="minorEastAsia"/>
          <w:sz w:val="24"/>
          <w:shd w:val="clear" w:color="auto" w:fill="ffffff"/>
        </w:rPr>
        <w:t xml:space="preserve">蔡</w:t>
      </w:r>
      <w:r>
        <w:rPr>
          <w:rFonts w:hint="eastAsia" w:asciiTheme="minorEastAsia" w:hAnsiTheme="minorEastAsia" w:eastAsiaTheme="minorEastAsia"/>
          <w:sz w:val="24"/>
          <w:shd w:val="clear" w:color="auto" w:fill="ffffff"/>
        </w:rPr>
        <w:t xml:space="preserve">墩村、民生村、南舍村、</w:t>
      </w:r>
      <w:r>
        <w:rPr>
          <w:rFonts w:hint="eastAsia" w:asciiTheme="minorEastAsia" w:hAnsiTheme="minorEastAsia" w:eastAsiaTheme="minorEastAsia"/>
          <w:sz w:val="24"/>
          <w:shd w:val="clear" w:color="auto" w:fill="ffffff"/>
        </w:rPr>
        <w:t xml:space="preserve">北舍</w:t>
      </w:r>
      <w:r>
        <w:rPr>
          <w:rFonts w:hint="eastAsia" w:asciiTheme="minorEastAsia" w:hAnsiTheme="minorEastAsia" w:eastAsiaTheme="minorEastAsia"/>
          <w:sz w:val="24"/>
          <w:shd w:val="clear" w:color="auto" w:fill="ffffff"/>
        </w:rPr>
        <w:t xml:space="preserve">村</w:t>
      </w:r>
      <w:r>
        <w:rPr>
          <w:rFonts w:hint="eastAsia" w:asciiTheme="minorEastAsia" w:hAnsiTheme="minorEastAsia" w:eastAsiaTheme="minorEastAsia"/>
          <w:sz w:val="24"/>
          <w:shd w:val="clear" w:color="auto" w:fill="ffffff"/>
        </w:rPr>
        <w:t xml:space="preserve">、东滩村、</w:t>
      </w:r>
      <w:r>
        <w:rPr>
          <w:rFonts w:hint="eastAsia" w:asciiTheme="minorEastAsia" w:hAnsiTheme="minorEastAsia" w:eastAsiaTheme="minorEastAsia"/>
          <w:sz w:val="24"/>
          <w:shd w:val="clear" w:color="auto" w:fill="ffffff"/>
        </w:rPr>
        <w:t xml:space="preserve">正丰村</w:t>
      </w:r>
      <w:r>
        <w:rPr>
          <w:rFonts w:hint="eastAsia" w:asciiTheme="minorEastAsia" w:hAnsiTheme="minorEastAsia" w:eastAsiaTheme="minorEastAsia"/>
          <w:sz w:val="24"/>
          <w:shd w:val="clear" w:color="auto" w:fill="ffffff"/>
        </w:rPr>
        <w:t xml:space="preserve">、</w:t>
      </w:r>
      <w:r>
        <w:rPr>
          <w:rFonts w:hint="eastAsia" w:asciiTheme="minorEastAsia" w:hAnsiTheme="minorEastAsia" w:eastAsiaTheme="minorEastAsia"/>
          <w:sz w:val="24"/>
          <w:shd w:val="clear" w:color="auto" w:fill="ffffff"/>
        </w:rPr>
        <w:t xml:space="preserve">中舍村</w:t>
      </w:r>
      <w:r>
        <w:rPr>
          <w:rFonts w:hint="eastAsia" w:asciiTheme="minorEastAsia" w:hAnsiTheme="minorEastAsia" w:eastAsiaTheme="minorEastAsia"/>
          <w:sz w:val="24"/>
          <w:shd w:val="clear" w:color="auto" w:fill="ffffff"/>
        </w:rPr>
        <w:t xml:space="preserve">等7个村内。</w:t>
      </w:r>
      <w:r/>
    </w:p>
    <w:p>
      <w:pPr>
        <w:ind w:firstLine="480"/>
        <w:spacing w:line="360" w:lineRule="auto"/>
        <w:rPr>
          <w:rFonts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4、合同履行期限：自合同生效之日起12个月。</w:t>
      </w:r>
      <w:r/>
    </w:p>
    <w:p>
      <w:pPr>
        <w:ind w:firstLine="480"/>
        <w:jc w:val="left"/>
        <w:spacing w:line="360" w:lineRule="auto"/>
        <w:widowControl/>
        <w:rPr>
          <w:rFonts w:asciiTheme="minorEastAsia" w:hAnsiTheme="minorEastAsia" w:eastAsiaTheme="minorEastAsia"/>
          <w:b/>
          <w:bCs/>
          <w:sz w:val="24"/>
          <w:shd w:val="clear" w:color="auto" w:fill="ffffff"/>
        </w:rPr>
      </w:pPr>
      <w:r>
        <w:rPr>
          <w:rFonts w:hint="eastAsia" w:asciiTheme="minorEastAsia" w:hAnsiTheme="minorEastAsia" w:eastAsiaTheme="minorEastAsia"/>
          <w:sz w:val="24"/>
          <w:shd w:val="clear" w:color="auto" w:fill="ffffff"/>
        </w:rPr>
        <w:t xml:space="preserve">5、项目预算：</w:t>
      </w:r>
      <w:r>
        <w:rPr>
          <w:rFonts w:hint="eastAsia" w:asciiTheme="minorEastAsia" w:hAnsiTheme="minorEastAsia" w:eastAsiaTheme="minorEastAsia"/>
          <w:sz w:val="24"/>
          <w:shd w:val="clear" w:color="auto" w:fill="ffffff"/>
        </w:rPr>
        <w:t xml:space="preserve">62700</w:t>
      </w:r>
      <w:r>
        <w:rPr>
          <w:rFonts w:hint="eastAsia" w:asciiTheme="minorEastAsia" w:hAnsiTheme="minorEastAsia" w:eastAsiaTheme="minorEastAsia"/>
          <w:sz w:val="24"/>
          <w:shd w:val="clear" w:color="auto" w:fill="ffffff"/>
        </w:rPr>
        <w:t xml:space="preserve">万元，超过预算价为无效报价，</w:t>
      </w:r>
      <w:r>
        <w:rPr>
          <w:rFonts w:hint="eastAsia"/>
          <w:sz w:val="24"/>
          <w:shd w:val="clear" w:color="auto" w:fill="ffffff"/>
        </w:rPr>
        <w:t xml:space="preserve">项目</w:t>
      </w:r>
      <w:r>
        <w:rPr>
          <w:rFonts w:hint="eastAsia"/>
          <w:sz w:val="24"/>
          <w:shd w:val="clear" w:color="auto" w:fill="ffffff"/>
        </w:rPr>
        <w:t xml:space="preserve">搬迁补偿费包括宅基补偿、房屋拆除补偿</w:t>
      </w:r>
      <w:r>
        <w:rPr>
          <w:rFonts w:hint="eastAsia"/>
          <w:sz w:val="24"/>
          <w:shd w:val="clear" w:color="auto" w:fill="ffffff"/>
        </w:rPr>
        <w:t xml:space="preserve">、装修及附属设施补偿、临时安置补助、搬迁补助、提前签约奖励和提前搬迁奖励</w:t>
      </w:r>
      <w:r>
        <w:rPr>
          <w:rFonts w:hint="eastAsia"/>
          <w:sz w:val="24"/>
          <w:shd w:val="clear" w:color="auto" w:fill="ffffff"/>
        </w:rPr>
        <w:t xml:space="preserve">、进城入镇购房补贴及购房奖励和优惠等费用，对于四类对象</w:t>
      </w:r>
      <w:r>
        <w:rPr>
          <w:rFonts w:hint="eastAsia"/>
          <w:sz w:val="24"/>
          <w:shd w:val="clear" w:color="auto" w:fill="ffffff"/>
        </w:rPr>
        <w:t xml:space="preserve">户按照</w:t>
      </w:r>
      <w:r>
        <w:rPr>
          <w:rFonts w:hint="eastAsia"/>
          <w:sz w:val="24"/>
          <w:shd w:val="clear" w:color="auto" w:fill="ffffff"/>
        </w:rPr>
        <w:t xml:space="preserve">相应标准和条件，其补偿不足部分，由</w:t>
      </w:r>
      <w:r>
        <w:rPr>
          <w:rFonts w:hint="eastAsia"/>
          <w:sz w:val="24"/>
          <w:shd w:val="clear" w:color="auto" w:fill="ffffff"/>
        </w:rPr>
        <w:t xml:space="preserve">街道</w:t>
      </w:r>
      <w:r>
        <w:rPr>
          <w:rFonts w:hint="eastAsia"/>
          <w:sz w:val="24"/>
          <w:shd w:val="clear" w:color="auto" w:fill="ffffff"/>
        </w:rPr>
        <w:t xml:space="preserve">财政托底。由具有相应资质的房地产价</w:t>
      </w:r>
      <w:r>
        <w:rPr>
          <w:rFonts w:hint="eastAsia"/>
          <w:sz w:val="24"/>
          <w:shd w:val="clear" w:color="auto" w:fill="ffffff"/>
        </w:rPr>
        <w:t xml:space="preserve">格评估机构按照房屋征收评估办法以及土地征用相关规定说明评估确定</w:t>
      </w:r>
      <w:r>
        <w:rPr>
          <w:rFonts w:hint="eastAsia" w:asciiTheme="minorEastAsia" w:hAnsiTheme="minorEastAsia" w:eastAsiaTheme="minorEastAsia"/>
          <w:sz w:val="24"/>
          <w:shd w:val="clear" w:color="auto" w:fill="ffffff"/>
        </w:rPr>
        <w:t xml:space="preserve">。</w:t>
      </w:r>
      <w:r>
        <w:rPr>
          <w:rFonts w:hint="eastAsia" w:asciiTheme="minorEastAsia" w:hAnsiTheme="minorEastAsia" w:eastAsiaTheme="minorEastAsia"/>
          <w:b/>
          <w:bCs/>
          <w:sz w:val="24"/>
        </w:rPr>
        <w:t xml:space="preserve">搬迁补偿总费用为：</w:t>
      </w:r>
      <w:r>
        <w:rPr>
          <w:rFonts w:asciiTheme="minorEastAsia" w:hAnsiTheme="minorEastAsia" w:eastAsiaTheme="minorEastAsia"/>
          <w:b/>
          <w:bCs/>
          <w:sz w:val="24"/>
        </w:rPr>
        <w:t xml:space="preserve">46906.71</w:t>
      </w:r>
      <w:r>
        <w:rPr>
          <w:rFonts w:hint="eastAsia" w:asciiTheme="minorEastAsia" w:hAnsiTheme="minorEastAsia" w:eastAsiaTheme="minorEastAsia"/>
          <w:b/>
          <w:bCs/>
          <w:sz w:val="24"/>
        </w:rPr>
        <w:t xml:space="preserve">万元（该费用为固定价格、不可竞争费用，投标人不得改变此价格，否则按无效标处理），后期根据项目实施和拆迁补偿政策上下浮动，结算时以实际支出为准</w:t>
      </w:r>
      <w:r>
        <w:rPr>
          <w:rFonts w:hint="eastAsia" w:asciiTheme="minorEastAsia" w:hAnsiTheme="minorEastAsia" w:eastAsiaTheme="minorEastAsia"/>
          <w:b/>
          <w:bCs/>
          <w:sz w:val="24"/>
          <w:shd w:val="clear" w:color="auto" w:fill="ffffff"/>
        </w:rPr>
        <w:t xml:space="preserve">。</w:t>
      </w:r>
      <w:bookmarkStart w:id="115" w:name="_Toc149047553"/>
      <w:r/>
      <w:r/>
    </w:p>
    <w:p>
      <w:pPr>
        <w:ind w:firstLine="482"/>
        <w:spacing w:line="360" w:lineRule="auto"/>
        <w:rPr>
          <w:b/>
          <w:bCs/>
          <w:sz w:val="24"/>
          <w:shd w:val="clear" w:color="auto" w:fill="ffffff"/>
        </w:rPr>
      </w:pPr>
      <w:r>
        <w:rPr>
          <w:rFonts w:hint="eastAsia"/>
          <w:b/>
          <w:bCs/>
          <w:sz w:val="24"/>
          <w:shd w:val="clear" w:color="auto" w:fill="ffffff"/>
        </w:rPr>
        <w:t xml:space="preserve">三、建设项目标准及要求</w:t>
      </w:r>
      <w:r/>
    </w:p>
    <w:p>
      <w:pPr>
        <w:ind w:firstLine="480"/>
        <w:spacing w:line="360" w:lineRule="auto"/>
        <w:rPr>
          <w:sz w:val="24"/>
          <w:shd w:val="clear" w:color="auto" w:fill="ffffff"/>
        </w:rPr>
      </w:pPr>
      <w:r>
        <w:rPr>
          <w:rFonts w:hint="eastAsia"/>
          <w:sz w:val="24"/>
          <w:shd w:val="clear" w:color="auto" w:fill="ffffff"/>
        </w:rPr>
        <w:t xml:space="preserve">1</w:t>
      </w:r>
      <w:r>
        <w:rPr>
          <w:rFonts w:hint="eastAsia"/>
          <w:sz w:val="24"/>
          <w:shd w:val="clear" w:color="auto" w:fill="ffffff"/>
        </w:rPr>
        <w:t xml:space="preserve">、搬迁房屋认定及要求</w:t>
      </w:r>
      <w:r/>
    </w:p>
    <w:p>
      <w:pPr>
        <w:ind w:firstLine="480"/>
        <w:spacing w:line="360" w:lineRule="auto"/>
        <w:rPr>
          <w:sz w:val="24"/>
          <w:shd w:val="clear" w:color="auto" w:fill="ffffff"/>
        </w:rPr>
      </w:pPr>
      <w:r>
        <w:rPr>
          <w:rFonts w:hint="eastAsia"/>
          <w:sz w:val="24"/>
          <w:shd w:val="clear" w:color="auto" w:fill="ffffff"/>
        </w:rPr>
        <w:t xml:space="preserve">以《集体土地使用证》和《房屋所有权证》的记载为准，两证不全的，以建房报告或有关部门核定的面积为准。《土地管理法》实施前的建房按有关规定执行。</w:t>
      </w:r>
      <w:r/>
    </w:p>
    <w:p>
      <w:pPr>
        <w:ind w:firstLine="480"/>
        <w:spacing w:line="360" w:lineRule="auto"/>
        <w:rPr>
          <w:sz w:val="24"/>
          <w:shd w:val="clear" w:color="auto" w:fill="ffffff"/>
        </w:rPr>
      </w:pPr>
      <w:r>
        <w:rPr>
          <w:rFonts w:hint="eastAsia"/>
          <w:sz w:val="24"/>
          <w:shd w:val="clear" w:color="auto" w:fill="ffffff"/>
        </w:rPr>
        <w:t xml:space="preserve">2</w:t>
      </w:r>
      <w:r>
        <w:rPr>
          <w:rFonts w:hint="eastAsia"/>
          <w:sz w:val="24"/>
          <w:shd w:val="clear" w:color="auto" w:fill="ffffff"/>
        </w:rPr>
        <w:t xml:space="preserve">、搬迁安置基本原则</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1</w:t>
      </w:r>
      <w:r>
        <w:rPr>
          <w:rFonts w:hint="eastAsia"/>
          <w:sz w:val="24"/>
          <w:shd w:val="clear" w:color="auto" w:fill="ffffff"/>
        </w:rPr>
        <w:t xml:space="preserve">）节约集约用地原则。搬迁户不在项目区内安排宅基地建设进行安置，采用集中安置的形式，提高土地利用率。</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2</w:t>
      </w:r>
      <w:r>
        <w:rPr>
          <w:rFonts w:hint="eastAsia"/>
          <w:sz w:val="24"/>
          <w:shd w:val="clear" w:color="auto" w:fill="ffffff"/>
        </w:rPr>
        <w:t xml:space="preserve">）鼓励集中居住原则。搬迁安置点统一集中到集镇或中心村安置。</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3</w:t>
      </w:r>
      <w:r>
        <w:rPr>
          <w:rFonts w:hint="eastAsia"/>
          <w:sz w:val="24"/>
          <w:shd w:val="clear" w:color="auto" w:fill="ffffff"/>
        </w:rPr>
        <w:t xml:space="preserve">）保障项目区内农民原有生活水平不降低原则，切实维护项目区内农民权益。</w:t>
      </w:r>
      <w:r/>
    </w:p>
    <w:p>
      <w:pPr>
        <w:ind w:firstLine="480"/>
        <w:spacing w:line="360" w:lineRule="auto"/>
        <w:rPr>
          <w:sz w:val="24"/>
          <w:shd w:val="clear" w:color="auto" w:fill="ffffff"/>
        </w:rPr>
      </w:pPr>
      <w:r>
        <w:rPr>
          <w:rFonts w:hint="eastAsia"/>
          <w:sz w:val="24"/>
          <w:shd w:val="clear" w:color="auto" w:fill="ffffff"/>
        </w:rPr>
        <w:t xml:space="preserve">3</w:t>
      </w:r>
      <w:r>
        <w:rPr>
          <w:rFonts w:hint="eastAsia"/>
          <w:sz w:val="24"/>
          <w:shd w:val="clear" w:color="auto" w:fill="ffffff"/>
        </w:rPr>
        <w:t xml:space="preserve">、搬迁补偿费用</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项目</w:t>
      </w:r>
      <w:r>
        <w:rPr>
          <w:rFonts w:hint="eastAsia"/>
          <w:sz w:val="24"/>
          <w:shd w:val="clear" w:color="auto" w:fill="ffffff"/>
        </w:rPr>
        <w:t xml:space="preserve">搬迁补偿费包括宅基补偿、房屋拆除补偿</w:t>
      </w:r>
      <w:r>
        <w:rPr>
          <w:rFonts w:hint="eastAsia"/>
          <w:sz w:val="24"/>
          <w:shd w:val="clear" w:color="auto" w:fill="ffffff"/>
        </w:rPr>
        <w:t xml:space="preserve">、装修及附属设施补偿、临时安置补助、搬迁补助、提前签约奖励和提前搬迁奖励</w:t>
      </w:r>
      <w:r>
        <w:rPr>
          <w:rFonts w:hint="eastAsia"/>
          <w:sz w:val="24"/>
          <w:shd w:val="clear" w:color="auto" w:fill="ffffff"/>
        </w:rPr>
        <w:t xml:space="preserve">、进城入镇购房补贴及购房奖励和优惠等费用，对于四类对象</w:t>
      </w:r>
      <w:r>
        <w:rPr>
          <w:rFonts w:hint="eastAsia"/>
          <w:sz w:val="24"/>
          <w:shd w:val="clear" w:color="auto" w:fill="ffffff"/>
        </w:rPr>
        <w:t xml:space="preserve">户按照</w:t>
      </w:r>
      <w:r>
        <w:rPr>
          <w:rFonts w:hint="eastAsia"/>
          <w:sz w:val="24"/>
          <w:shd w:val="clear" w:color="auto" w:fill="ffffff"/>
        </w:rPr>
        <w:t xml:space="preserve">相应标准和条件，其补偿不足部分，由</w:t>
      </w:r>
      <w:r>
        <w:rPr>
          <w:rFonts w:hint="eastAsia"/>
          <w:sz w:val="24"/>
          <w:shd w:val="clear" w:color="auto" w:fill="ffffff"/>
        </w:rPr>
        <w:t xml:space="preserve">街道</w:t>
      </w:r>
      <w:r>
        <w:rPr>
          <w:rFonts w:hint="eastAsia"/>
          <w:sz w:val="24"/>
          <w:shd w:val="clear" w:color="auto" w:fill="ffffff"/>
        </w:rPr>
        <w:t xml:space="preserve">财政托底。由具有相应资质的房地产价格评估机构按照房屋征收评估办法以及土地征用相关规定说明评估确定。</w:t>
      </w:r>
      <w:r/>
    </w:p>
    <w:p>
      <w:pPr>
        <w:ind w:firstLine="480"/>
        <w:spacing w:line="360" w:lineRule="auto"/>
        <w:rPr>
          <w:sz w:val="24"/>
          <w:shd w:val="clear" w:color="auto" w:fill="ffffff"/>
        </w:rPr>
      </w:pPr>
      <w:r>
        <w:rPr>
          <w:rFonts w:hint="eastAsia"/>
          <w:sz w:val="24"/>
          <w:shd w:val="clear" w:color="auto" w:fill="ffffff"/>
        </w:rPr>
        <w:t xml:space="preserve">4</w:t>
      </w:r>
      <w:r>
        <w:rPr>
          <w:rFonts w:hint="eastAsia"/>
          <w:sz w:val="24"/>
          <w:shd w:val="clear" w:color="auto" w:fill="ffffff"/>
        </w:rPr>
        <w:t xml:space="preserve">、政府主导与市场运作相结合。政府在制定和调整规划、拆除安置、市政基础设施建设、争取政策和资金支持方面充分发挥主体职能作用的同时，对农村</w:t>
      </w:r>
      <w:r>
        <w:rPr>
          <w:rFonts w:hint="eastAsia"/>
          <w:sz w:val="24"/>
          <w:shd w:val="clear" w:color="auto" w:fill="ffffff"/>
        </w:rPr>
        <w:t xml:space="preserve">危旧房屋户实施</w:t>
      </w:r>
      <w:r>
        <w:rPr>
          <w:rFonts w:hint="eastAsia"/>
          <w:sz w:val="24"/>
          <w:shd w:val="clear" w:color="auto" w:fill="ffffff"/>
        </w:rPr>
        <w:t xml:space="preserve">拆除安置，采取自主开发和市场化运作相结合的方式，积极推进土地综合整治。</w:t>
      </w:r>
      <w:r/>
    </w:p>
    <w:p>
      <w:pPr>
        <w:ind w:firstLine="480"/>
        <w:spacing w:line="360" w:lineRule="auto"/>
        <w:rPr>
          <w:sz w:val="24"/>
          <w:shd w:val="clear" w:color="auto" w:fill="ffffff"/>
        </w:rPr>
      </w:pPr>
      <w:r>
        <w:rPr>
          <w:rFonts w:hint="eastAsia"/>
          <w:sz w:val="24"/>
          <w:shd w:val="clear" w:color="auto" w:fill="ffffff"/>
        </w:rPr>
        <w:t xml:space="preserve">5</w:t>
      </w:r>
      <w:r>
        <w:rPr>
          <w:rFonts w:hint="eastAsia"/>
          <w:sz w:val="24"/>
          <w:shd w:val="clear" w:color="auto" w:fill="ffffff"/>
        </w:rPr>
        <w:t xml:space="preserve">、统筹规划与科学定位相结合。根据盐城经济开发区土地综合整治推进的实际情况，分阶段科学合理地调整控制性规划，坚持做到统一规划，合理布局。</w:t>
      </w:r>
      <w:r/>
    </w:p>
    <w:p>
      <w:pPr>
        <w:ind w:firstLine="480"/>
        <w:spacing w:line="360" w:lineRule="auto"/>
        <w:rPr>
          <w:sz w:val="24"/>
          <w:shd w:val="clear" w:color="auto" w:fill="ffffff"/>
        </w:rPr>
      </w:pPr>
      <w:r>
        <w:rPr>
          <w:rFonts w:hint="eastAsia"/>
          <w:sz w:val="24"/>
          <w:shd w:val="clear" w:color="auto" w:fill="ffffff"/>
        </w:rPr>
        <w:t xml:space="preserve">6</w:t>
      </w:r>
      <w:r>
        <w:rPr>
          <w:rFonts w:hint="eastAsia"/>
          <w:sz w:val="24"/>
          <w:shd w:val="clear" w:color="auto" w:fill="ffffff"/>
        </w:rPr>
        <w:t xml:space="preserve">、安置方案</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和谐搬迁与妥善安置相结合。按照先安置、后拆除的原则，制订科学合理的拆除补偿安置</w:t>
      </w:r>
      <w:r>
        <w:rPr>
          <w:rFonts w:hint="eastAsia"/>
          <w:sz w:val="24"/>
          <w:shd w:val="clear" w:color="auto" w:fill="ffffff"/>
        </w:rPr>
        <w:t xml:space="preserve">方案。坚持以人为本的理念，妥善安置农村</w:t>
      </w:r>
      <w:r>
        <w:rPr>
          <w:rFonts w:hint="eastAsia"/>
          <w:sz w:val="24"/>
          <w:shd w:val="clear" w:color="auto" w:fill="ffffff"/>
        </w:rPr>
        <w:t xml:space="preserve">危旧房屋户居民</w:t>
      </w:r>
      <w:r>
        <w:rPr>
          <w:rFonts w:hint="eastAsia"/>
          <w:sz w:val="24"/>
          <w:shd w:val="clear" w:color="auto" w:fill="ffffff"/>
        </w:rPr>
        <w:t xml:space="preserve">。在安置过程中对搬迁农户采用自主选择的原则，可以选择到集中安置点安置，也可以选择全部货币补偿。</w:t>
      </w:r>
      <w:r/>
    </w:p>
    <w:p>
      <w:pPr>
        <w:ind w:firstLine="480"/>
        <w:spacing w:line="360" w:lineRule="auto"/>
        <w:rPr>
          <w:sz w:val="24"/>
          <w:shd w:val="clear" w:color="auto" w:fill="ffffff"/>
        </w:rPr>
      </w:pPr>
      <w:r>
        <w:rPr>
          <w:rFonts w:hint="eastAsia"/>
          <w:sz w:val="24"/>
          <w:shd w:val="clear" w:color="auto" w:fill="ffffff"/>
        </w:rPr>
        <w:t xml:space="preserve">7</w:t>
      </w:r>
      <w:r>
        <w:rPr>
          <w:rFonts w:hint="eastAsia"/>
          <w:sz w:val="24"/>
          <w:shd w:val="clear" w:color="auto" w:fill="ffffff"/>
        </w:rPr>
        <w:t xml:space="preserve">、土地复垦</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土地复垦应当符合土地利用总体规划和土地复垦规划的要求。土地利用总体规划规定土地复垦的要求和复垦后的基本用途。土地复垦应当根据土地利用总体规划确定的用途和条件进行。在制定土地复垦规划时，应当根据经济合理的原则和自然条件以及土地破坏状态，确定复垦后的具体土地有利于项目实施。编制土地复垦方案，实施土地复垦项目，进行土地复垦验收等活动，应当遵守土地复垦国家标准，没有国家标准的，应当遵守土地复垦行业标准。</w:t>
      </w:r>
      <w:r/>
    </w:p>
    <w:p>
      <w:pPr>
        <w:ind w:firstLine="482"/>
        <w:spacing w:line="360" w:lineRule="auto"/>
        <w:rPr>
          <w:b/>
          <w:bCs/>
          <w:sz w:val="24"/>
          <w:shd w:val="clear" w:color="auto" w:fill="ffffff"/>
        </w:rPr>
      </w:pPr>
      <w:r>
        <w:rPr>
          <w:rFonts w:hint="eastAsia"/>
          <w:b/>
          <w:bCs/>
          <w:sz w:val="24"/>
          <w:shd w:val="clear" w:color="auto" w:fill="ffffff"/>
        </w:rPr>
        <w:t xml:space="preserve">四、特别说明</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1</w:t>
      </w:r>
      <w:r>
        <w:rPr>
          <w:rFonts w:hint="eastAsia"/>
          <w:sz w:val="24"/>
          <w:shd w:val="clear" w:color="auto" w:fill="ffffff"/>
        </w:rPr>
        <w:t xml:space="preserve">）</w:t>
      </w:r>
      <w:r>
        <w:rPr>
          <w:rFonts w:hint="eastAsia"/>
          <w:sz w:val="24"/>
          <w:shd w:val="clear" w:color="auto" w:fill="ffffff"/>
        </w:rPr>
        <w:t xml:space="preserve">本标不允许</w:t>
      </w:r>
      <w:r>
        <w:rPr>
          <w:rFonts w:hint="eastAsia"/>
          <w:sz w:val="24"/>
          <w:shd w:val="clear" w:color="auto" w:fill="ffffff"/>
        </w:rPr>
        <w:t xml:space="preserve">分包、转包，否则不作为中候选人或中标资格被取消。</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2</w:t>
      </w:r>
      <w:r>
        <w:rPr>
          <w:rFonts w:hint="eastAsia"/>
          <w:sz w:val="24"/>
          <w:shd w:val="clear" w:color="auto" w:fill="ffffff"/>
        </w:rPr>
        <w:t xml:space="preserve">）本项目报价</w:t>
      </w:r>
      <w:r>
        <w:rPr>
          <w:rFonts w:hint="eastAsia"/>
          <w:sz w:val="24"/>
          <w:shd w:val="clear" w:color="auto" w:fill="ffffff"/>
        </w:rPr>
        <w:t xml:space="preserve">含完成</w:t>
      </w:r>
      <w:r>
        <w:rPr>
          <w:rFonts w:hint="eastAsia"/>
          <w:sz w:val="24"/>
          <w:shd w:val="clear" w:color="auto" w:fill="ffffff"/>
        </w:rPr>
        <w:t xml:space="preserve">项目内容的一切费用，供应商应综合考虑在报价中。</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3</w:t>
      </w:r>
      <w:r>
        <w:rPr>
          <w:rFonts w:hint="eastAsia"/>
          <w:sz w:val="24"/>
          <w:shd w:val="clear" w:color="auto" w:fill="ffffff"/>
        </w:rPr>
        <w:t xml:space="preserve">）本次招标不接受选择性报价。</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4</w:t>
      </w:r>
      <w:r>
        <w:rPr>
          <w:rFonts w:hint="eastAsia"/>
          <w:sz w:val="24"/>
          <w:shd w:val="clear" w:color="auto" w:fill="ffffff"/>
        </w:rPr>
        <w:t xml:space="preserve">）资格后审：在评审时，对供应商的响应文件中资格性、符合性进行审查，确定供应商是否具备资格以及是否具备成交资格。</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5</w:t>
      </w:r>
      <w:r>
        <w:rPr>
          <w:rFonts w:hint="eastAsia"/>
          <w:sz w:val="24"/>
          <w:shd w:val="clear" w:color="auto" w:fill="ffffff"/>
        </w:rPr>
        <w:t xml:space="preserve">）供应商如未能在承诺时间内提供服务，采购人有权没收其履约保证金作为预定的损害赔偿而非罚款。</w:t>
      </w:r>
      <w:r/>
    </w:p>
    <w:p>
      <w:pPr>
        <w:ind w:firstLine="480"/>
        <w:spacing w:line="360" w:lineRule="auto"/>
        <w:rPr>
          <w:rFonts w:asciiTheme="minorEastAsia" w:hAnsiTheme="minorEastAsia" w:eastAsiaTheme="minorEastAsia"/>
          <w:sz w:val="24"/>
          <w:shd w:val="clear" w:color="auto" w:fill="ffffff"/>
        </w:rPr>
      </w:pPr>
      <w:r>
        <w:rPr>
          <w:rFonts w:hint="eastAsia"/>
          <w:sz w:val="24"/>
          <w:shd w:val="clear" w:color="auto" w:fill="ffffff"/>
        </w:rPr>
        <w:t xml:space="preserve">（</w:t>
      </w:r>
      <w:r>
        <w:rPr>
          <w:rFonts w:hint="eastAsia"/>
          <w:sz w:val="24"/>
          <w:shd w:val="clear" w:color="auto" w:fill="ffffff"/>
        </w:rPr>
        <w:t xml:space="preserve">6</w:t>
      </w:r>
      <w:r>
        <w:rPr>
          <w:rFonts w:hint="eastAsia"/>
          <w:sz w:val="24"/>
          <w:shd w:val="clear" w:color="auto" w:fill="ffffff"/>
        </w:rPr>
        <w:t xml:space="preserve">）对本项目供应商资格要求、项目需求、评分标准等的质疑由采购单位负责答复；采购单位具有项目的解释权，质疑函和答复须同时报采购代理机构备案管理。</w:t>
      </w:r>
      <w:bookmarkEnd w:id="115"/>
      <w:r/>
      <w:r/>
    </w:p>
    <w:p>
      <w:pPr>
        <w:ind w:firstLine="480"/>
        <w:spacing w:line="360" w:lineRule="auto"/>
        <w:rPr>
          <w:rFonts w:asciiTheme="minorEastAsia" w:hAnsiTheme="minorEastAsia" w:eastAsiaTheme="minorEastAsia"/>
          <w:sz w:val="24"/>
          <w:shd w:val="clear" w:color="auto" w:fill="ffffff"/>
        </w:rPr>
      </w:pPr>
      <w:r>
        <w:rPr>
          <w:rFonts w:asciiTheme="minorEastAsia" w:hAnsiTheme="minorEastAsia" w:eastAsiaTheme="minorEastAsia"/>
          <w:sz w:val="24"/>
          <w:shd w:val="clear" w:color="auto" w:fill="ffffff"/>
        </w:rPr>
      </w:r>
      <w:r/>
    </w:p>
    <w:p>
      <w:pPr>
        <w:pStyle w:val="912"/>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采购标的对应的中小企业划分标准所属行业一览表</w:t>
      </w:r>
      <w:r/>
    </w:p>
    <w:tbl>
      <w:tblPr>
        <w:tblW w:w="7707" w:type="dxa"/>
        <w:jc w:val="center"/>
        <w:tblCellSpacing w:w="0" w:type="dxa"/>
        <w:tblLayout w:type="fixed"/>
        <w:tblLook w:val="04A0" w:firstRow="1" w:lastRow="0" w:firstColumn="1" w:lastColumn="0" w:noHBand="0" w:noVBand="1"/>
      </w:tblPr>
      <w:tblGrid>
        <w:gridCol w:w="909"/>
        <w:gridCol w:w="3946"/>
        <w:gridCol w:w="2852"/>
      </w:tblGrid>
      <w:tr>
        <w:trPr>
          <w:jc w:val="center"/>
          <w:tblCellSpacing w:w="0" w:type="dxa"/>
          <w:trHeight w:val="908"/>
        </w:trPr>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12"/>
              <w:jc w:val="center"/>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46" w:type="dxa"/>
            <w:vAlign w:val="center"/>
            <w:textDirection w:val="lrTb"/>
            <w:noWrap w:val="false"/>
          </w:tcPr>
          <w:p>
            <w:pPr>
              <w:pStyle w:val="912"/>
              <w:jc w:val="center"/>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912"/>
              <w:jc w:val="center"/>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12"/>
              <w:jc w:val="center"/>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6" w:type="dxa"/>
            <w:vAlign w:val="center"/>
            <w:textDirection w:val="lrTb"/>
            <w:noWrap w:val="false"/>
          </w:tcPr>
          <w:p>
            <w:pPr>
              <w:pStyle w:val="912"/>
              <w:jc w:val="center"/>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盐城经济技术开发区新城街道2024年改善农民群众住房条件项目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912"/>
              <w:jc w:val="center"/>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其他未列明行业</w:t>
            </w:r>
            <w:r/>
          </w:p>
        </w:tc>
      </w:tr>
    </w:tbl>
    <w:p>
      <w:pPr>
        <w:ind w:firstLine="480"/>
        <w:spacing w:line="360" w:lineRule="auto"/>
        <w:rPr>
          <w:rFonts w:asciiTheme="minorEastAsia" w:hAnsiTheme="minorEastAsia" w:eastAsiaTheme="minorEastAsia"/>
          <w:sz w:val="24"/>
          <w:shd w:val="clear" w:color="auto" w:fill="ffffff"/>
        </w:rPr>
      </w:pPr>
      <w:r>
        <w:rPr>
          <w:rFonts w:asciiTheme="minorEastAsia" w:hAnsiTheme="minorEastAsia" w:eastAsiaTheme="minorEastAsia"/>
          <w:sz w:val="24"/>
          <w:shd w:val="clear" w:color="auto" w:fill="ffffff"/>
        </w:rPr>
      </w:r>
      <w:r/>
    </w:p>
    <w:p>
      <w:pPr>
        <w:jc w:val="center"/>
        <w:pageBreakBefore/>
        <w:spacing w:line="420" w:lineRule="atLeast"/>
        <w:rPr>
          <w:rFonts w:asciiTheme="minorEastAsia" w:hAnsiTheme="minorEastAsia" w:eastAsiaTheme="minorEastAsia"/>
          <w:sz w:val="32"/>
          <w:szCs w:val="32"/>
        </w:rPr>
      </w:pPr>
      <w:r>
        <w:rPr>
          <w:rFonts w:asciiTheme="minorEastAsia" w:hAnsiTheme="minorEastAsia" w:eastAsiaTheme="minorEastAsia"/>
          <w:b/>
          <w:bCs/>
          <w:sz w:val="32"/>
          <w:szCs w:val="32"/>
        </w:rPr>
        <w:t xml:space="preserve">第</w:t>
      </w:r>
      <w:r>
        <w:rPr>
          <w:rFonts w:hint="eastAsia" w:asciiTheme="minorEastAsia" w:hAnsiTheme="minorEastAsia" w:eastAsiaTheme="minorEastAsia"/>
          <w:b/>
          <w:bCs/>
          <w:sz w:val="32"/>
          <w:szCs w:val="32"/>
        </w:rPr>
        <w:t xml:space="preserve">五</w:t>
      </w:r>
      <w:r>
        <w:rPr>
          <w:rFonts w:asciiTheme="minorEastAsia" w:hAnsiTheme="minorEastAsia" w:eastAsiaTheme="minorEastAsia"/>
          <w:b/>
          <w:bCs/>
          <w:sz w:val="32"/>
          <w:szCs w:val="32"/>
        </w:rPr>
        <w:t xml:space="preserve">部分  评标方法与评标标准</w:t>
      </w:r>
      <w:r/>
    </w:p>
    <w:p>
      <w:pPr>
        <w:ind w:firstLine="482"/>
        <w:spacing w:line="500" w:lineRule="exact"/>
        <w:rPr>
          <w:rFonts w:cs="Courier New" w:asciiTheme="minorEastAsia" w:hAnsiTheme="minorEastAsia" w:eastAsiaTheme="minorEastAsia"/>
          <w:b/>
          <w:bCs/>
          <w:sz w:val="24"/>
        </w:rPr>
      </w:pPr>
      <w:r>
        <w:rPr>
          <w:rFonts w:hint="eastAsia" w:cs="Courier New" w:asciiTheme="minorEastAsia" w:hAnsiTheme="minorEastAsia" w:eastAsiaTheme="minorEastAsia"/>
          <w:b/>
          <w:bCs/>
          <w:sz w:val="24"/>
        </w:rPr>
        <w:t xml:space="preserve">一、评标方法与定标原则</w:t>
      </w:r>
      <w:r/>
    </w:p>
    <w:p>
      <w:pPr>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cs="Arial" w:asciiTheme="minorEastAsia" w:hAnsiTheme="minorEastAsia" w:eastAsiaTheme="minorEastAsia"/>
          <w:sz w:val="24"/>
        </w:rPr>
      </w:pPr>
      <w:r>
        <w:rPr>
          <w:rFonts w:hint="eastAsia" w:asciiTheme="minorEastAsia" w:hAnsiTheme="minorEastAsia" w:eastAsiaTheme="minorEastAsia"/>
          <w:sz w:val="24"/>
          <w:szCs w:val="20"/>
        </w:rPr>
        <w:t xml:space="preserve">采</w:t>
      </w:r>
      <w:r>
        <w:rPr>
          <w:rFonts w:hint="eastAsia" w:cs="宋体" w:asciiTheme="minorEastAsia" w:hAnsiTheme="minorEastAsia" w:eastAsiaTheme="minorEastAsia"/>
          <w:sz w:val="24"/>
          <w:szCs w:val="20"/>
        </w:rPr>
        <w:t xml:space="preserve">采用</w:t>
      </w:r>
      <w:r>
        <w:rPr>
          <w:rFonts w:hint="eastAsia" w:cs="宋体" w:asciiTheme="minorEastAsia" w:hAnsiTheme="minorEastAsia" w:eastAsiaTheme="minorEastAsia"/>
          <w:sz w:val="24"/>
          <w:szCs w:val="20"/>
        </w:rPr>
        <w:t xml:space="preserve">综合评分法的，评标结果按评审得分由高到低顺序排列。得分相同的，按投标报价由低到高顺序排列，得分和投标报价均相同的并列，投标文件满足招标文件全部实质性要求，</w:t>
      </w:r>
      <w:r>
        <w:rPr>
          <w:rFonts w:hint="eastAsia" w:cs="宋体" w:asciiTheme="minorEastAsia" w:hAnsiTheme="minorEastAsia" w:eastAsiaTheme="minorEastAsia"/>
          <w:sz w:val="24"/>
          <w:szCs w:val="20"/>
        </w:rPr>
        <w:t xml:space="preserve">且按照</w:t>
      </w:r>
      <w:r>
        <w:rPr>
          <w:rFonts w:hint="eastAsia" w:cs="宋体" w:asciiTheme="minorEastAsia" w:hAnsiTheme="minorEastAsia" w:eastAsiaTheme="minorEastAsia"/>
          <w:sz w:val="24"/>
          <w:szCs w:val="20"/>
        </w:rPr>
        <w:t xml:space="preserve">评审因素的量化指标评审得分最高的投标人为中标候选人。本项目选取</w:t>
      </w:r>
      <w:r>
        <w:rPr>
          <w:rFonts w:hint="eastAsia" w:asciiTheme="minorEastAsia" w:hAnsiTheme="minorEastAsia" w:eastAsiaTheme="minorEastAsia"/>
          <w:sz w:val="24"/>
          <w:szCs w:val="20"/>
        </w:rPr>
        <w:t xml:space="preserve"> 1</w:t>
      </w:r>
      <w:r>
        <w:rPr>
          <w:rFonts w:hint="eastAsia" w:cs="宋体" w:asciiTheme="minorEastAsia" w:hAnsiTheme="minorEastAsia" w:eastAsiaTheme="minorEastAsia"/>
          <w:sz w:val="24"/>
          <w:szCs w:val="20"/>
        </w:rPr>
        <w:t xml:space="preserve">家中标候选人</w:t>
      </w:r>
      <w:r>
        <w:rPr>
          <w:rFonts w:hint="eastAsia" w:cs="Arial" w:asciiTheme="minorEastAsia" w:hAnsiTheme="minorEastAsia" w:eastAsiaTheme="minorEastAsia"/>
          <w:sz w:val="24"/>
        </w:rPr>
        <w:t xml:space="preserve">。</w:t>
      </w:r>
      <w:r/>
    </w:p>
    <w:p>
      <w:pPr>
        <w:pStyle w:val="691"/>
        <w:ind w:firstLine="482"/>
        <w:spacing w:before="0" w:after="0"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二、对投标文件的初审</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投标文件初审分为资格审查和符合性审查。</w:t>
      </w:r>
      <w:r/>
    </w:p>
    <w:p>
      <w:pPr>
        <w:ind w:firstLine="482"/>
        <w:spacing w:line="5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资格审查</w:t>
      </w:r>
      <w:r/>
    </w:p>
    <w:p>
      <w:pPr>
        <w:ind w:firstLine="482"/>
        <w:spacing w:line="5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开标结束后，采购人或者采购代理机构依法对投标人的资格进行审查。</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审查投标文件中的资格、资信证明文件等，以确定投标人是否具备投标资格。（资格审查需提供的材料详见《资格信誉等证明文件要求》）</w:t>
      </w:r>
      <w:r/>
    </w:p>
    <w:p>
      <w:pPr>
        <w:ind w:firstLine="482"/>
        <w:spacing w:line="5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符合性审查</w:t>
      </w:r>
      <w:r/>
    </w:p>
    <w:p>
      <w:pPr>
        <w:ind w:firstLine="482"/>
        <w:spacing w:line="5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评标委员会对符合资格的投标人的投标文件进行符合性审查。</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依据招标文件的规定，从投标文件的有效性、完整性和对招标文件的响应程度进行审查，以确定其是否满足招标文件的实质性要求。</w:t>
      </w:r>
      <w:r/>
    </w:p>
    <w:p>
      <w:pPr>
        <w:ind w:firstLine="480"/>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明确响应的投标应该是与招标文件要求的全部条款、条件和规格相符，没有重大偏离或保留的投标。</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结论。认定</w:t>
      </w:r>
      <w:r>
        <w:rPr>
          <w:rFonts w:hint="eastAsia" w:asciiTheme="minorEastAsia" w:hAnsiTheme="minorEastAsia" w:eastAsiaTheme="minorEastAsia"/>
          <w:bCs/>
          <w:sz w:val="24"/>
        </w:rPr>
        <w:t xml:space="preserve">评委决定投标文件的</w:t>
      </w:r>
      <w:r>
        <w:rPr>
          <w:rFonts w:hint="eastAsia" w:asciiTheme="minorEastAsia" w:hAnsiTheme="minorEastAsia" w:eastAsiaTheme="minorEastAsia"/>
          <w:bCs/>
          <w:sz w:val="24"/>
        </w:rPr>
        <w:t xml:space="preserve">响应性只根据</w:t>
      </w:r>
      <w:r>
        <w:rPr>
          <w:rFonts w:hint="eastAsia" w:asciiTheme="minorEastAsia" w:hAnsiTheme="minorEastAsia" w:eastAsiaTheme="minorEastAsia"/>
          <w:bCs/>
          <w:sz w:val="24"/>
        </w:rPr>
        <w:t xml:space="preserve">投标文件本身的内容，而不寻求外部的证据。</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评标委员会将对确定为明确响应的投标进行进一步审核，</w:t>
      </w:r>
      <w:r>
        <w:rPr>
          <w:rFonts w:hint="eastAsia" w:cs="Arial" w:asciiTheme="minorEastAsia" w:hAnsiTheme="minorEastAsia" w:eastAsiaTheme="minorEastAsia"/>
          <w:sz w:val="24"/>
        </w:rPr>
        <w:t xml:space="preserve">投标文件报价出现前后不一致的，除招标文件另有规定外，按照下列规定修正：</w:t>
      </w:r>
      <w:r/>
    </w:p>
    <w:p>
      <w:pPr>
        <w:ind w:firstLine="480"/>
        <w:spacing w:line="360" w:lineRule="auto"/>
        <w:rPr>
          <w:rFonts w:cs="Arial" w:asciiTheme="minorEastAsia" w:hAnsiTheme="minorEastAsia" w:eastAsiaTheme="minorEastAsia"/>
          <w:sz w:val="24"/>
        </w:rPr>
      </w:pP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投标文件中开标一览表内容与投标文件中相应内容不一致的，以开标一览表为准；</w:t>
      </w:r>
      <w:r/>
    </w:p>
    <w:p>
      <w:pPr>
        <w:ind w:firstLine="480"/>
        <w:spacing w:line="360" w:lineRule="auto"/>
        <w:rPr>
          <w:rFonts w:cs="Arial" w:asciiTheme="minorEastAsia" w:hAnsiTheme="minorEastAsia" w:eastAsiaTheme="minorEastAsia"/>
          <w:sz w:val="24"/>
        </w:rPr>
      </w:pPr>
      <w:r>
        <w:rPr>
          <w:rFonts w:cs="Arial" w:asciiTheme="minorEastAsia" w:hAnsiTheme="minorEastAsia" w:eastAsiaTheme="minorEastAsia"/>
          <w:sz w:val="24"/>
        </w:rPr>
        <w:t xml:space="preserve">2.</w:t>
      </w:r>
      <w:r>
        <w:rPr>
          <w:rFonts w:hint="eastAsia" w:cs="Arial" w:asciiTheme="minorEastAsia" w:hAnsiTheme="minorEastAsia" w:eastAsiaTheme="minorEastAsia"/>
          <w:sz w:val="24"/>
        </w:rPr>
        <w:t xml:space="preserve">大写金额和小写金额不一致的，以大写金额为准；</w:t>
      </w:r>
      <w:r/>
    </w:p>
    <w:p>
      <w:pPr>
        <w:ind w:firstLine="480"/>
        <w:spacing w:line="360" w:lineRule="auto"/>
        <w:rPr>
          <w:rFonts w:cs="Arial" w:asciiTheme="minorEastAsia" w:hAnsiTheme="minorEastAsia" w:eastAsiaTheme="minorEastAsia"/>
          <w:sz w:val="24"/>
        </w:rPr>
      </w:pPr>
      <w:r>
        <w:rPr>
          <w:rFonts w:cs="Arial" w:asciiTheme="minorEastAsia" w:hAnsiTheme="minorEastAsia" w:eastAsiaTheme="minorEastAsia"/>
          <w:sz w:val="24"/>
        </w:rPr>
        <w:t xml:space="preserve">3.</w:t>
      </w:r>
      <w:r>
        <w:rPr>
          <w:rFonts w:hint="eastAsia" w:cs="Arial" w:asciiTheme="minorEastAsia" w:hAnsiTheme="minorEastAsia" w:eastAsiaTheme="minorEastAsia"/>
          <w:sz w:val="24"/>
        </w:rPr>
        <w:t xml:space="preserve">单价金额小数点或者百分比有明显错位的，以开标一览表的总价为准，并修改单价；</w:t>
      </w:r>
      <w:r/>
    </w:p>
    <w:p>
      <w:pPr>
        <w:ind w:firstLine="480"/>
        <w:spacing w:line="360" w:lineRule="auto"/>
        <w:rPr>
          <w:rFonts w:cs="Arial" w:asciiTheme="minorEastAsia" w:hAnsiTheme="minorEastAsia" w:eastAsiaTheme="minorEastAsia"/>
          <w:sz w:val="24"/>
        </w:rPr>
      </w:pPr>
      <w:r>
        <w:rPr>
          <w:rFonts w:cs="Arial" w:asciiTheme="minorEastAsia" w:hAnsiTheme="minorEastAsia" w:eastAsiaTheme="minorEastAsia"/>
          <w:sz w:val="24"/>
        </w:rPr>
        <w:t xml:space="preserve">4.</w:t>
      </w:r>
      <w:r>
        <w:rPr>
          <w:rFonts w:hint="eastAsia" w:cs="Arial" w:asciiTheme="minorEastAsia" w:hAnsiTheme="minorEastAsia" w:eastAsiaTheme="minorEastAsia"/>
          <w:sz w:val="24"/>
        </w:rPr>
        <w:t xml:space="preserve">总价金额与按单价汇总金额不一致的，以单价金额计算结果为准。</w:t>
      </w:r>
      <w:r/>
    </w:p>
    <w:p>
      <w:pPr>
        <w:ind w:firstLine="480"/>
        <w:spacing w:line="360" w:lineRule="auto"/>
        <w:rPr>
          <w:rFonts w:cs="Arial" w:asciiTheme="minorEastAsia" w:hAnsiTheme="minorEastAsia" w:eastAsiaTheme="minorEastAsia"/>
          <w:sz w:val="24"/>
        </w:rPr>
      </w:pPr>
      <w:r>
        <w:rPr>
          <w:rFonts w:hint="eastAsia" w:asciiTheme="minorEastAsia" w:hAnsiTheme="minorEastAsia" w:eastAsiaTheme="minorEastAsia"/>
          <w:bCs/>
          <w:sz w:val="24"/>
        </w:rPr>
        <w:t xml:space="preserve">评标委员会将按上述修正错误的方法调整投标文件中的投标报价，</w:t>
      </w:r>
      <w:r>
        <w:rPr>
          <w:rFonts w:hint="eastAsia" w:cs="Arial" w:asciiTheme="minorEastAsia" w:hAnsiTheme="minorEastAsia" w:eastAsiaTheme="minorEastAsia"/>
          <w:sz w:val="24"/>
        </w:rPr>
        <w:t xml:space="preserve">修正后的报价应当采用书面形式，并加盖公章，或者由法定代表人或其授权的代表签字，经投标人确认后产生约束力，投标人不确认的，其投标无效。</w:t>
      </w:r>
      <w:r/>
    </w:p>
    <w:p>
      <w:pPr>
        <w:ind w:firstLine="480"/>
        <w:spacing w:line="360" w:lineRule="auto"/>
        <w:rPr>
          <w:rFonts w:cs="Arial" w:asciiTheme="minorEastAsia" w:hAnsiTheme="minorEastAsia" w:eastAsiaTheme="minorEastAsia"/>
          <w:sz w:val="24"/>
        </w:rPr>
      </w:pPr>
      <w:r>
        <w:rPr>
          <w:rFonts w:hint="eastAsia" w:cs="Arial" w:asciiTheme="minorEastAsia" w:hAnsiTheme="minorEastAsia" w:eastAsiaTheme="minorEastAsia"/>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cs="Courier New" w:asciiTheme="minorEastAsia" w:hAnsiTheme="minorEastAsia" w:eastAsiaTheme="minorEastAsia"/>
          <w:b/>
          <w:bCs/>
          <w:sz w:val="24"/>
        </w:rPr>
      </w:pPr>
      <w:r>
        <w:rPr>
          <w:rFonts w:hint="eastAsia" w:cs="Courier New" w:asciiTheme="minorEastAsia" w:hAnsiTheme="minorEastAsia" w:eastAsiaTheme="minorEastAsia"/>
          <w:b/>
          <w:bCs/>
          <w:sz w:val="24"/>
        </w:rPr>
        <w:t xml:space="preserve">三、评分标准</w:t>
      </w:r>
      <w:r/>
    </w:p>
    <w:p>
      <w:pPr>
        <w:ind w:firstLine="482"/>
        <w:spacing w:line="360" w:lineRule="auto"/>
        <w:rPr>
          <w:rFonts w:cs="Courier New" w:asciiTheme="minorEastAsia" w:hAnsiTheme="minorEastAsia" w:eastAsiaTheme="minorEastAsia"/>
          <w:b/>
          <w:bCs/>
          <w:sz w:val="24"/>
        </w:rPr>
      </w:pPr>
      <w:r>
        <w:rPr>
          <w:rFonts w:hint="eastAsia" w:cs="Courier New" w:asciiTheme="minorEastAsia" w:hAnsiTheme="minorEastAsia" w:eastAsiaTheme="minorEastAsia"/>
          <w:b/>
          <w:bCs/>
          <w:sz w:val="24"/>
        </w:rPr>
        <w:t xml:space="preserve">（一）政府采购政策功能落实</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1、小微型企业价格扣除</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（1）本项目对小型和微型企业产品给予20%的价格扣除，用扣除后的价格参与评审。</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（2）供应商需按照采购文件的要求提供相应的《小微企业声明函》。</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（3）企业标准请参照《关于印发中小企业划型标准规定的通知》（工信部联企业[2011]300号）文件规定自行填写。</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2、残疾人福利单位价格扣除</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（1）本项目对残疾人福利性单位视同小型、微型企业，给予20%的价格扣除。</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（2）残疾人福利单位需按照采购文件的要求提供《残疾人福利性单位声明函》。</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（3）残疾人福利单位标准请参照《关于促进残疾人就业政府采购政策的通知》（财库〔2017〕141号）。</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3、监狱和戒毒企业价格扣除</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（1）本项目对监狱和戒毒企业（简称监狱企业）视同小型、微型企业，给予20%的价格扣除。</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（3）监狱企业标准请参照《关于政府采购支持监狱企业发展有关问题的通知》（财库[2014]68号）。</w:t>
      </w:r>
      <w:r/>
    </w:p>
    <w:p>
      <w:pPr>
        <w:pStyle w:val="912"/>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4、残疾人福利单位、监狱企业属于小型、微型企业的，不重复享受政策。</w:t>
      </w:r>
      <w:r/>
    </w:p>
    <w:p>
      <w:pPr>
        <w:ind w:firstLine="480"/>
        <w:spacing w:line="276" w:lineRule="auto"/>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eastAsiaTheme="minorEastAsia"/>
          <w:b/>
          <w:i/>
          <w:sz w:val="24"/>
        </w:rPr>
        <w:t xml:space="preserve">如属政</w:t>
      </w:r>
      <w:r>
        <w:rPr>
          <w:rFonts w:hint="eastAsia" w:cs="宋体" w:asciiTheme="minorEastAsia" w:hAnsiTheme="minorEastAsia" w:eastAsiaTheme="minorEastAsia"/>
          <w:b/>
          <w:i/>
          <w:sz w:val="24"/>
        </w:rPr>
        <w:t xml:space="preserve">府强制采购产品未提供认证证书的或认证证书提供不全的将视为未实质性响应采购要求</w:t>
      </w:r>
      <w:r>
        <w:rPr>
          <w:rFonts w:hint="eastAsia" w:cs="宋体" w:asciiTheme="minorEastAsia" w:hAnsiTheme="minorEastAsia" w:eastAsiaTheme="minorEastAsia"/>
          <w:i/>
          <w:sz w:val="24"/>
        </w:rPr>
        <w:t xml:space="preserve">。</w:t>
      </w:r>
      <w:r>
        <w:rPr>
          <w:rFonts w:hint="eastAsia" w:cs="宋体" w:asciiTheme="minorEastAsia" w:hAnsiTheme="minorEastAsia" w:eastAsiaTheme="minorEastAsia"/>
          <w:sz w:val="24"/>
        </w:rPr>
        <w:t xml:space="preserve">其他条件相同情况下，应当优先采购节能产品、环境标志产品。</w:t>
      </w:r>
      <w:r/>
    </w:p>
    <w:p>
      <w:pPr>
        <w:pStyle w:val="912"/>
        <w:ind w:firstLine="363"/>
        <w:spacing w:before="120" w:beforeAutospacing="0" w:after="120" w:afterAutospacing="0" w:line="400" w:lineRule="atLeast"/>
        <w:widowControl w:val="off"/>
        <w:rPr>
          <w:rFonts w:asciiTheme="minorEastAsia" w:hAnsiTheme="minorEastAsia" w:eastAsiaTheme="minorEastAsia"/>
        </w:rPr>
      </w:pPr>
      <w:r>
        <w:rPr>
          <w:rFonts w:asciiTheme="minorEastAsia" w:hAnsiTheme="minorEastAsia" w:eastAsiaTheme="minorEastAsia"/>
        </w:rPr>
        <w:t xml:space="preserve">6</w:t>
      </w:r>
      <w:r>
        <w:rPr>
          <w:rFonts w:hint="eastAsia" w:asciiTheme="minorEastAsia" w:hAnsiTheme="minorEastAsia" w:eastAsiaTheme="minorEastAsia"/>
        </w:rPr>
        <w:t xml:space="preserve">、根据《江苏省政府采购信用管理暂行办法》的规定，供应商信用评价结果为三星的扣2分，评价结果为二星的扣3分，评价结果为一星的扣4分。</w:t>
      </w:r>
      <w:r/>
    </w:p>
    <w:p>
      <w:pPr>
        <w:pStyle w:val="912"/>
        <w:ind w:firstLine="363"/>
        <w:spacing w:before="120" w:beforeAutospacing="0" w:after="120" w:afterAutospacing="0" w:line="400" w:lineRule="atLeast"/>
        <w:widowControl w:val="off"/>
        <w:rPr>
          <w:rFonts w:asciiTheme="minorEastAsia" w:hAnsiTheme="minorEastAsia" w:eastAsiaTheme="minorEastAsia"/>
        </w:rPr>
      </w:pPr>
      <w:r>
        <w:rPr>
          <w:rFonts w:hint="eastAsia" w:cs="Courier New" w:asciiTheme="minorEastAsia" w:hAnsiTheme="minorEastAsia" w:eastAsiaTheme="minorEastAsia"/>
          <w:b/>
          <w:bCs/>
        </w:rPr>
        <w:t xml:space="preserve">（二）本项目</w:t>
      </w:r>
      <w:r>
        <w:rPr>
          <w:rFonts w:hint="eastAsia" w:cs="Courier New" w:asciiTheme="minorEastAsia" w:hAnsiTheme="minorEastAsia" w:eastAsiaTheme="minorEastAsia"/>
          <w:b/>
          <w:bCs/>
        </w:rPr>
        <w:t xml:space="preserve">评分总分值</w:t>
      </w:r>
      <w:r>
        <w:rPr>
          <w:rFonts w:hint="eastAsia" w:cs="Courier New" w:asciiTheme="minorEastAsia" w:hAnsiTheme="minorEastAsia" w:eastAsiaTheme="minorEastAsia"/>
          <w:b/>
          <w:bCs/>
        </w:rPr>
        <w:t xml:space="preserve">为</w:t>
      </w:r>
      <w:r>
        <w:rPr>
          <w:rFonts w:cs="Courier New" w:asciiTheme="minorEastAsia" w:hAnsiTheme="minorEastAsia" w:eastAsiaTheme="minorEastAsia"/>
          <w:b/>
          <w:bCs/>
        </w:rPr>
        <w:t xml:space="preserve">100</w:t>
      </w:r>
      <w:r>
        <w:rPr>
          <w:rFonts w:hint="eastAsia" w:cs="Courier New" w:asciiTheme="minorEastAsia" w:hAnsiTheme="minorEastAsia" w:eastAsiaTheme="minorEastAsia"/>
          <w:b/>
          <w:bCs/>
        </w:rPr>
        <w:t xml:space="preserve">分。</w:t>
      </w:r>
      <w:r/>
    </w:p>
    <w:tbl>
      <w:tblPr>
        <w:tblW w:w="9667"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8"/>
        <w:gridCol w:w="1518"/>
        <w:gridCol w:w="7491"/>
      </w:tblGrid>
      <w:tr>
        <w:trPr>
          <w:trHeight w:val="758"/>
        </w:trPr>
        <w:tc>
          <w:tcPr>
            <w:tcW w:w="658" w:type="dxa"/>
            <w:vAlign w:val="center"/>
            <w:textDirection w:val="lrTb"/>
            <w:noWrap w:val="false"/>
          </w:tcPr>
          <w:p>
            <w:pPr>
              <w:jc w:val="center"/>
              <w:spacing w:line="360" w:lineRule="auto"/>
              <w:rPr>
                <w:rFonts w:cs="黑体" w:asciiTheme="minorEastAsia" w:hAnsiTheme="minorEastAsia" w:eastAsiaTheme="minorEastAsia"/>
                <w:sz w:val="22"/>
              </w:rPr>
            </w:pPr>
            <w:r>
              <w:rPr>
                <w:rFonts w:hint="eastAsia" w:cs="黑体" w:asciiTheme="minorEastAsia" w:hAnsiTheme="minorEastAsia" w:eastAsiaTheme="minorEastAsia"/>
                <w:sz w:val="22"/>
              </w:rPr>
              <w:t xml:space="preserve">序号</w:t>
            </w:r>
            <w:r/>
          </w:p>
        </w:tc>
        <w:tc>
          <w:tcPr>
            <w:tcW w:w="1518" w:type="dxa"/>
            <w:vAlign w:val="center"/>
            <w:textDirection w:val="lrTb"/>
            <w:noWrap w:val="false"/>
          </w:tcPr>
          <w:p>
            <w:pPr>
              <w:jc w:val="center"/>
              <w:spacing w:line="360" w:lineRule="auto"/>
              <w:rPr>
                <w:rFonts w:cs="黑体" w:asciiTheme="minorEastAsia" w:hAnsiTheme="minorEastAsia" w:eastAsiaTheme="minorEastAsia"/>
                <w:sz w:val="22"/>
              </w:rPr>
            </w:pPr>
            <w:r>
              <w:rPr>
                <w:rFonts w:hint="eastAsia" w:cs="黑体" w:asciiTheme="minorEastAsia" w:hAnsiTheme="minorEastAsia" w:eastAsiaTheme="minorEastAsia"/>
                <w:sz w:val="22"/>
              </w:rPr>
              <w:t xml:space="preserve">评审因素</w:t>
            </w:r>
            <w:r/>
          </w:p>
        </w:tc>
        <w:tc>
          <w:tcPr>
            <w:tcW w:w="7491" w:type="dxa"/>
            <w:vAlign w:val="center"/>
            <w:textDirection w:val="lrTb"/>
            <w:noWrap w:val="false"/>
          </w:tcPr>
          <w:p>
            <w:pPr>
              <w:jc w:val="center"/>
              <w:spacing w:line="360" w:lineRule="auto"/>
              <w:rPr>
                <w:rFonts w:cs="黑体" w:asciiTheme="minorEastAsia" w:hAnsiTheme="minorEastAsia" w:eastAsiaTheme="minorEastAsia"/>
                <w:sz w:val="22"/>
              </w:rPr>
            </w:pPr>
            <w:r>
              <w:rPr>
                <w:rFonts w:hint="eastAsia" w:cs="黑体" w:asciiTheme="minorEastAsia" w:hAnsiTheme="minorEastAsia" w:eastAsiaTheme="minorEastAsia"/>
                <w:sz w:val="22"/>
              </w:rPr>
              <w:t xml:space="preserve">评审标准</w:t>
            </w:r>
            <w:r/>
          </w:p>
        </w:tc>
      </w:tr>
      <w:tr>
        <w:trPr>
          <w:trHeight w:val="1177"/>
        </w:trPr>
        <w:tc>
          <w:tcPr>
            <w:tcW w:w="658" w:type="dxa"/>
            <w:vAlign w:val="center"/>
            <w:textDirection w:val="lrTb"/>
            <w:noWrap w:val="false"/>
          </w:tcPr>
          <w:p>
            <w:pPr>
              <w:jc w:val="cente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518" w:type="dxa"/>
            <w:vAlign w:val="center"/>
            <w:textDirection w:val="lrTb"/>
            <w:noWrap w:val="false"/>
          </w:tcPr>
          <w:p>
            <w:pPr>
              <w:jc w:val="cente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投标报价</w:t>
            </w:r>
            <w:r/>
          </w:p>
          <w:p>
            <w:pPr>
              <w:jc w:val="cente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（10分）</w:t>
            </w:r>
            <w:r/>
          </w:p>
        </w:tc>
        <w:tc>
          <w:tcPr>
            <w:tcW w:w="7491" w:type="dxa"/>
            <w:textDirection w:val="lrTb"/>
            <w:noWrap w:val="false"/>
          </w:tcPr>
          <w:p>
            <w:pPr>
              <w:ind w:firstLine="420"/>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满足招标文件要求且投标价格最低的投标报价为评标基准价，其价格分为满分。其他投标人的价格分，统一按照下列公式计算：</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投标报价得分=(评标基准价／投标报价)×10（该结果四舍五入，保留两位小数）</w:t>
            </w:r>
            <w:r/>
          </w:p>
        </w:tc>
      </w:tr>
      <w:tr>
        <w:trPr>
          <w:trHeight w:val="1277"/>
        </w:trPr>
        <w:tc>
          <w:tcPr>
            <w:tcW w:w="658" w:type="dxa"/>
            <w:vAlign w:val="center"/>
            <w:textDirection w:val="lrTb"/>
            <w:noWrap w:val="false"/>
          </w:tcPr>
          <w:p>
            <w:pPr>
              <w:jc w:val="cente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1518" w:type="dxa"/>
            <w:vAlign w:val="center"/>
            <w:textDirection w:val="lrTb"/>
            <w:noWrap w:val="false"/>
          </w:tcPr>
          <w:p>
            <w:pPr>
              <w:jc w:val="cente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项目实施方案(90分)</w:t>
            </w:r>
            <w:r/>
          </w:p>
        </w:tc>
        <w:tc>
          <w:tcPr>
            <w:tcW w:w="7491" w:type="dxa"/>
            <w:textDirection w:val="lrTb"/>
            <w:noWrap w:val="false"/>
          </w:tcPr>
          <w:p>
            <w:pPr>
              <w:ind w:firstLine="422"/>
              <w:spacing w:line="360" w:lineRule="auto"/>
              <w:rPr>
                <w:rFonts w:ascii="宋体" w:hAnsi="宋体" w:cs="宋体"/>
                <w:b/>
                <w:bCs/>
                <w:szCs w:val="21"/>
              </w:rPr>
            </w:pPr>
            <w:r>
              <w:rPr>
                <w:rFonts w:hint="eastAsia" w:ascii="宋体" w:hAnsi="宋体" w:cs="宋体"/>
                <w:b/>
                <w:bCs/>
                <w:szCs w:val="21"/>
              </w:rPr>
              <w:t xml:space="preserve">1、总体项目理解分析</w:t>
            </w:r>
            <w:r/>
          </w:p>
          <w:p>
            <w:pPr>
              <w:ind w:firstLine="420"/>
              <w:spacing w:line="360" w:lineRule="auto"/>
              <w:rPr>
                <w:rFonts w:ascii="宋体" w:hAnsi="宋体" w:cs="宋体"/>
                <w:szCs w:val="21"/>
              </w:rPr>
            </w:pPr>
            <w:r>
              <w:rPr>
                <w:rFonts w:hint="eastAsia" w:ascii="宋体" w:hAnsi="宋体" w:cs="宋体"/>
                <w:szCs w:val="21"/>
              </w:rPr>
              <w:t xml:space="preserve">考察各投标人是否能正确理解本项目设立背景、研究主要内容及相关政策，对项目的重点、难点的理解及如何采用合理的措施保证项目的顺利完成。评标委员会根据上述内容进行评分。优于项目需求、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ind w:firstLine="422"/>
              <w:spacing w:line="360" w:lineRule="auto"/>
              <w:rPr>
                <w:rFonts w:ascii="宋体" w:hAnsi="宋体" w:cs="宋体"/>
                <w:b/>
                <w:bCs/>
                <w:szCs w:val="21"/>
              </w:rPr>
            </w:pPr>
            <w:r>
              <w:rPr>
                <w:rFonts w:hint="eastAsia" w:ascii="宋体" w:hAnsi="宋体" w:cs="宋体"/>
                <w:b/>
                <w:bCs/>
                <w:szCs w:val="21"/>
              </w:rPr>
              <w:t xml:space="preserve">2、项目建设管理方案</w:t>
            </w:r>
            <w:r/>
          </w:p>
          <w:p>
            <w:pPr>
              <w:ind w:firstLine="420"/>
              <w:spacing w:line="360" w:lineRule="auto"/>
              <w:rPr>
                <w:rFonts w:ascii="宋体" w:hAnsi="宋体" w:cs="宋体"/>
                <w:b/>
                <w:bCs/>
                <w:szCs w:val="21"/>
              </w:rPr>
            </w:pPr>
            <w:r>
              <w:rPr>
                <w:rFonts w:hint="eastAsia" w:ascii="宋体" w:hAnsi="宋体" w:cs="宋体"/>
                <w:szCs w:val="21"/>
              </w:rPr>
              <w:t xml:space="preserve">项目建设管理方案但不限于（1、编制依据、原则、工程概况等；2、总体布置及工期安排、技术方案等；3、搬迁、安置计划方案等）；评标委员会根据上述内容进行评分。优于项目需求、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numPr>
                <w:ilvl w:val="0"/>
                <w:numId w:val="6"/>
              </w:numPr>
              <w:ind w:firstLine="422"/>
              <w:spacing w:line="360" w:lineRule="auto"/>
              <w:rPr>
                <w:rFonts w:ascii="宋体" w:hAnsi="宋体" w:cs="宋体"/>
                <w:szCs w:val="21"/>
              </w:rPr>
            </w:pPr>
            <w:r>
              <w:rPr>
                <w:rFonts w:hint="eastAsia" w:ascii="宋体" w:hAnsi="宋体" w:cs="宋体"/>
                <w:b/>
                <w:bCs/>
                <w:szCs w:val="21"/>
              </w:rPr>
              <w:t xml:space="preserve">人员培训方案</w:t>
            </w:r>
            <w:r/>
          </w:p>
          <w:p>
            <w:pPr>
              <w:ind w:firstLine="420"/>
              <w:spacing w:line="360" w:lineRule="auto"/>
              <w:rPr>
                <w:rFonts w:ascii="宋体" w:hAnsi="宋体" w:cs="宋体"/>
                <w:szCs w:val="21"/>
              </w:rPr>
            </w:pPr>
            <w:r>
              <w:rPr>
                <w:rFonts w:hint="eastAsia" w:ascii="宋体" w:hAnsi="宋体" w:cs="宋体"/>
                <w:szCs w:val="21"/>
              </w:rPr>
              <w:t xml:space="preserve">培训方案包络但不限于（1、安全保证体系、健全的安全管理制度及安全技术交底措施等；2、人员的安全管理措施、安全操作规程等；3、人员安全教育培训措施等）；评标委员会根据上述内容进行评分。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ind w:firstLine="422"/>
              <w:spacing w:line="360" w:lineRule="auto"/>
              <w:rPr>
                <w:rFonts w:ascii="宋体" w:hAnsi="宋体" w:cs="宋体"/>
                <w:b/>
                <w:bCs/>
                <w:szCs w:val="21"/>
              </w:rPr>
            </w:pPr>
            <w:r>
              <w:rPr>
                <w:rFonts w:hint="eastAsia" w:ascii="宋体" w:hAnsi="宋体" w:cs="宋体"/>
                <w:b/>
                <w:bCs/>
                <w:szCs w:val="21"/>
              </w:rPr>
              <w:t xml:space="preserve">4、进度计划</w:t>
            </w:r>
            <w:r/>
          </w:p>
          <w:p>
            <w:pPr>
              <w:ind w:firstLine="420"/>
              <w:spacing w:line="360" w:lineRule="auto"/>
              <w:rPr>
                <w:rFonts w:ascii="宋体" w:hAnsi="宋体" w:cs="宋体"/>
                <w:szCs w:val="21"/>
              </w:rPr>
            </w:pPr>
            <w:r>
              <w:rPr>
                <w:rFonts w:hint="eastAsia" w:ascii="宋体" w:hAnsi="宋体" w:cs="宋体"/>
                <w:szCs w:val="21"/>
              </w:rPr>
              <w:t xml:space="preserve">进度计划方案包络但不限于（1、计划总体说明，计划进度目标等；2、项目总进度计划表（图），分期（分批）实施计划等；3、实施计划、实施日期及里程碑节点等）；评标委员会根据上述内容进行评分。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w:t>
            </w:r>
            <w:r>
              <w:rPr>
                <w:rFonts w:hint="eastAsia" w:asciiTheme="minorEastAsia" w:hAnsiTheme="minorEastAsia" w:cstheme="minorEastAsia"/>
                <w:bCs/>
                <w:szCs w:val="21"/>
              </w:rPr>
              <w:t xml:space="preserve">本全面</w:t>
            </w:r>
            <w:r>
              <w:rPr>
                <w:rFonts w:hint="eastAsia" w:ascii="宋体" w:hAnsi="宋体" w:cs="宋体"/>
                <w:szCs w:val="21"/>
              </w:rPr>
              <w:t xml:space="preserve">的得8分；不满足或未提供的不得分。</w:t>
            </w:r>
            <w:r/>
          </w:p>
          <w:p>
            <w:pPr>
              <w:ind w:firstLine="422"/>
              <w:spacing w:line="360" w:lineRule="auto"/>
              <w:rPr>
                <w:rFonts w:ascii="宋体" w:hAnsi="宋体" w:cs="宋体"/>
                <w:szCs w:val="21"/>
              </w:rPr>
            </w:pPr>
            <w:r>
              <w:rPr>
                <w:rFonts w:hint="eastAsia" w:ascii="宋体" w:hAnsi="宋体" w:cs="宋体"/>
                <w:b/>
                <w:bCs/>
                <w:szCs w:val="21"/>
              </w:rPr>
              <w:t xml:space="preserve">5、土地复垦方案</w:t>
            </w:r>
            <w:r/>
          </w:p>
          <w:p>
            <w:pPr>
              <w:ind w:firstLine="420"/>
              <w:spacing w:line="360" w:lineRule="auto"/>
              <w:rPr>
                <w:rFonts w:ascii="宋体" w:hAnsi="宋体" w:cs="宋体"/>
                <w:szCs w:val="21"/>
              </w:rPr>
            </w:pPr>
            <w:r>
              <w:rPr>
                <w:rFonts w:hint="eastAsia" w:ascii="宋体" w:hAnsi="宋体" w:cs="宋体"/>
                <w:szCs w:val="21"/>
              </w:rPr>
              <w:t xml:space="preserve">土地复垦方案包络但不限于：1、人员安排（人员名单及联系电话等）；2、队伍管理（管理人员名单及联系电话、办公设备等）；3、工作措施（材料审批、管理等工作流程及土地复垦现场车辆的施工管理、信息化管理等）；评标委员会根据上述内容进行评分。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numPr>
                <w:ilvl w:val="0"/>
                <w:numId w:val="7"/>
              </w:numPr>
              <w:ind w:firstLine="422"/>
              <w:spacing w:line="360" w:lineRule="auto"/>
              <w:rPr>
                <w:rFonts w:ascii="宋体" w:hAnsi="宋体" w:cs="宋体"/>
                <w:b/>
                <w:bCs/>
                <w:szCs w:val="21"/>
              </w:rPr>
            </w:pPr>
            <w:r>
              <w:rPr>
                <w:rFonts w:hint="eastAsia" w:ascii="宋体" w:hAnsi="宋体" w:cs="宋体"/>
                <w:b/>
                <w:bCs/>
                <w:szCs w:val="21"/>
              </w:rPr>
              <w:t xml:space="preserve">安全应急事件处理预案 </w:t>
            </w:r>
            <w:r/>
          </w:p>
          <w:p>
            <w:pPr>
              <w:ind w:firstLine="420"/>
              <w:spacing w:line="360" w:lineRule="auto"/>
              <w:rPr>
                <w:rFonts w:ascii="宋体" w:hAnsi="宋体" w:cs="宋体"/>
                <w:b/>
                <w:bCs/>
                <w:szCs w:val="21"/>
              </w:rPr>
            </w:pPr>
            <w:r>
              <w:rPr>
                <w:rFonts w:hint="eastAsia" w:ascii="宋体" w:hAnsi="宋体" w:cs="宋体"/>
                <w:szCs w:val="21"/>
              </w:rPr>
              <w:t xml:space="preserve">安全应急事件处理预案包络但不限于：1、应急事件处理预案总则（说明编制预案的目的、工作原则、编制依据、适用范围等）；2、应急响应（信息共享和处理，通讯，指挥和协调，紧急处置，应急人员的安全防护，群众的安全防护，社会力量动员与参与，事故调查分析、检测与后果评估等）；3、队伍管理（应急人员名单及联系电话、应急设备车辆等）；评标委员会根据上述内容进行评分。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ind w:firstLine="422"/>
              <w:spacing w:line="360" w:lineRule="auto"/>
              <w:rPr>
                <w:rFonts w:ascii="宋体" w:hAnsi="宋体" w:cs="宋体"/>
                <w:b/>
                <w:bCs/>
                <w:szCs w:val="21"/>
              </w:rPr>
            </w:pPr>
            <w:r>
              <w:rPr>
                <w:rFonts w:hint="eastAsia" w:ascii="宋体" w:hAnsi="宋体" w:cs="宋体"/>
                <w:b/>
                <w:bCs/>
                <w:szCs w:val="21"/>
              </w:rPr>
              <w:t xml:space="preserve">7、成果质量保障和后续服务保障</w:t>
            </w:r>
            <w:r/>
          </w:p>
          <w:p>
            <w:pPr>
              <w:ind w:firstLine="420"/>
              <w:spacing w:line="360" w:lineRule="auto"/>
              <w:rPr>
                <w:rFonts w:asciiTheme="minorEastAsia" w:hAnsiTheme="minorEastAsia" w:eastAsiaTheme="minorEastAsia"/>
              </w:rPr>
            </w:pPr>
            <w:r>
              <w:rPr>
                <w:rFonts w:hint="eastAsia" w:ascii="宋体" w:hAnsi="宋体" w:cs="宋体"/>
                <w:szCs w:val="21"/>
              </w:rPr>
              <w:t xml:space="preserve">针对本项目制定后续服务方案（如后期保修及技术服务计划、质量回访措施等），方案完善、详细、服务体系完整性、响应速度进行综合评审。评标委员会根据上述内容进行评分。优于项目需求、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的得12分；基本满足项目需求、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的得7分；不满足或未提供的不得分。</w:t>
            </w:r>
            <w:r/>
          </w:p>
        </w:tc>
      </w:tr>
    </w:tbl>
    <w:p>
      <w:pPr>
        <w:ind w:firstLine="420"/>
        <w:spacing w:line="440" w:lineRule="exact"/>
        <w:rPr>
          <w:rFonts w:asciiTheme="minorEastAsia" w:hAnsiTheme="minorEastAsia" w:eastAsiaTheme="minorEastAsia"/>
        </w:rPr>
        <w:outlineLvl w:val="0"/>
      </w:pPr>
      <w:r>
        <w:rPr>
          <w:rFonts w:asciiTheme="minorEastAsia" w:hAnsiTheme="minorEastAsia" w:eastAsiaTheme="minorEastAsia"/>
        </w:rPr>
      </w:r>
      <w:r/>
    </w:p>
    <w:p>
      <w:pPr>
        <w:jc w:val="center"/>
        <w:pageBreakBefore/>
        <w:spacing w:line="42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第六部分  投标文件格式</w:t>
      </w:r>
      <w:r/>
    </w:p>
    <w:p>
      <w:pPr>
        <w:jc w:val="center"/>
        <w:rPr>
          <w:rFonts w:cs="宋体" w:asciiTheme="minorEastAsia" w:hAnsiTheme="minorEastAsia" w:eastAsiaTheme="minorEastAsia"/>
          <w:sz w:val="40"/>
          <w:szCs w:val="30"/>
        </w:rPr>
      </w:pPr>
      <w:r>
        <w:rPr>
          <w:rFonts w:cs="宋体" w:asciiTheme="minorEastAsia" w:hAnsiTheme="minorEastAsia" w:eastAsiaTheme="minorEastAsia"/>
          <w:sz w:val="40"/>
          <w:szCs w:val="30"/>
        </w:rPr>
      </w:r>
      <w:r/>
    </w:p>
    <w:p>
      <w:pPr>
        <w:jc w:val="center"/>
        <w:rPr>
          <w:rFonts w:asciiTheme="minorEastAsia" w:hAnsiTheme="minorEastAsia" w:eastAsiaTheme="minorEastAsia"/>
          <w:sz w:val="84"/>
          <w:szCs w:val="84"/>
        </w:rPr>
      </w:pPr>
      <w:r>
        <w:rPr>
          <w:rFonts w:asciiTheme="minorEastAsia" w:hAnsiTheme="minorEastAsia" w:eastAsiaTheme="minorEastAsia"/>
          <w:sz w:val="84"/>
          <w:szCs w:val="84"/>
        </w:rPr>
      </w:r>
      <w:r/>
    </w:p>
    <w:p>
      <w:pPr>
        <w:jc w:val="center"/>
        <w:rPr>
          <w:rFonts w:cs="宋体" w:asciiTheme="minorEastAsia" w:hAnsiTheme="minorEastAsia" w:eastAsiaTheme="minorEastAsia"/>
          <w:b/>
          <w:bCs/>
          <w:sz w:val="72"/>
          <w:szCs w:val="72"/>
        </w:rPr>
      </w:pPr>
      <w:r>
        <w:rPr>
          <w:rFonts w:hint="eastAsia" w:cs="宋体" w:asciiTheme="minorEastAsia" w:hAnsiTheme="minorEastAsia" w:eastAsiaTheme="minorEastAsia"/>
          <w:b/>
          <w:bCs/>
          <w:sz w:val="72"/>
          <w:szCs w:val="72"/>
        </w:rPr>
        <w:t xml:space="preserve">投  标  文  件</w:t>
      </w:r>
      <w:r/>
    </w:p>
    <w:p>
      <w:pPr>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1440"/>
        <w:jc w:val="left"/>
        <w:rPr>
          <w:rFonts w:asciiTheme="minorEastAsia" w:hAnsiTheme="minorEastAsia" w:eastAsiaTheme="minorEastAsia"/>
          <w:sz w:val="36"/>
          <w:szCs w:val="36"/>
        </w:rPr>
      </w:pPr>
      <w:r>
        <w:rPr>
          <w:rFonts w:asciiTheme="minorEastAsia" w:hAnsiTheme="minorEastAsia" w:eastAsiaTheme="minorEastAsia"/>
          <w:sz w:val="36"/>
          <w:szCs w:val="36"/>
        </w:rPr>
        <w:t xml:space="preserve">项 目 名 称：</w:t>
      </w:r>
      <w:r>
        <w:rPr>
          <w:rFonts w:asciiTheme="minorEastAsia" w:hAnsiTheme="minorEastAsia" w:eastAsiaTheme="minorEastAsia"/>
          <w:sz w:val="36"/>
          <w:szCs w:val="36"/>
          <w:u w:val="single"/>
        </w:rPr>
        <w:t xml:space="preserve">                </w:t>
      </w:r>
      <w:r/>
    </w:p>
    <w:p>
      <w:pPr>
        <w:ind w:firstLine="1440"/>
        <w:jc w:val="left"/>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w:t>
      </w:r>
      <w:r>
        <w:rPr>
          <w:rFonts w:asciiTheme="minorEastAsia" w:hAnsiTheme="minorEastAsia" w:eastAsiaTheme="minorEastAsia"/>
          <w:sz w:val="36"/>
          <w:szCs w:val="36"/>
        </w:rPr>
        <w:t xml:space="preserve"> </w:t>
      </w:r>
      <w:r>
        <w:rPr>
          <w:rFonts w:hint="eastAsia" w:asciiTheme="minorEastAsia" w:hAnsiTheme="minorEastAsia" w:eastAsiaTheme="minorEastAsia"/>
          <w:sz w:val="36"/>
          <w:szCs w:val="36"/>
        </w:rPr>
        <w:t xml:space="preserve">目</w:t>
      </w:r>
      <w:r>
        <w:rPr>
          <w:rFonts w:asciiTheme="minorEastAsia" w:hAnsiTheme="minorEastAsia" w:eastAsiaTheme="minorEastAsia"/>
          <w:sz w:val="36"/>
          <w:szCs w:val="36"/>
        </w:rPr>
        <w:t xml:space="preserve"> 编 号：</w:t>
      </w:r>
      <w:r>
        <w:rPr>
          <w:rFonts w:asciiTheme="minorEastAsia" w:hAnsiTheme="minorEastAsia" w:eastAsiaTheme="minorEastAsia"/>
          <w:sz w:val="36"/>
          <w:szCs w:val="36"/>
          <w:u w:val="single"/>
        </w:rPr>
        <w:t xml:space="preserve">                </w:t>
      </w:r>
      <w:r/>
    </w:p>
    <w:p>
      <w:pPr>
        <w:ind w:firstLine="1440"/>
        <w:spacing w:line="480" w:lineRule="auto"/>
        <w:rPr>
          <w:rFonts w:asciiTheme="minorEastAsia" w:hAnsiTheme="minorEastAsia" w:eastAsiaTheme="minorEastAsia"/>
          <w:sz w:val="36"/>
          <w:szCs w:val="36"/>
        </w:rPr>
      </w:pPr>
      <w:r>
        <w:rPr>
          <w:rFonts w:asciiTheme="minorEastAsia" w:hAnsiTheme="minorEastAsia" w:eastAsiaTheme="minorEastAsia"/>
          <w:sz w:val="36"/>
          <w:szCs w:val="36"/>
        </w:rPr>
        <w:t xml:space="preserve">投标人名称 ：</w:t>
      </w:r>
      <w:r>
        <w:rPr>
          <w:rFonts w:asciiTheme="minorEastAsia" w:hAnsiTheme="minorEastAsia" w:eastAsiaTheme="minorEastAsia"/>
          <w:sz w:val="36"/>
          <w:szCs w:val="36"/>
          <w:u w:val="single"/>
        </w:rPr>
        <w:t xml:space="preserve">             </w:t>
      </w:r>
      <w:r>
        <w:rPr>
          <w:rFonts w:hint="eastAsia" w:asciiTheme="minorEastAsia" w:hAnsiTheme="minorEastAsia" w:eastAsiaTheme="minorEastAsia"/>
          <w:b/>
          <w:sz w:val="36"/>
          <w:szCs w:val="36"/>
          <w:u w:val="single"/>
        </w:rPr>
        <w:t xml:space="preserve">（加盖CA电子公章）</w:t>
      </w:r>
      <w:r/>
    </w:p>
    <w:p>
      <w:pPr>
        <w:ind w:firstLine="1440"/>
        <w:jc w:val="left"/>
        <w:rPr>
          <w:rFonts w:asciiTheme="minorEastAsia" w:hAnsiTheme="minorEastAsia" w:eastAsiaTheme="minorEastAsia"/>
          <w:sz w:val="36"/>
          <w:szCs w:val="36"/>
          <w:u w:val="single"/>
        </w:rPr>
      </w:pPr>
      <w:r>
        <w:rPr>
          <w:rFonts w:asciiTheme="minorEastAsia" w:hAnsiTheme="minorEastAsia" w:eastAsiaTheme="minorEastAsia"/>
          <w:sz w:val="36"/>
          <w:szCs w:val="36"/>
        </w:rPr>
        <w:t xml:space="preserve">日      期 ：</w:t>
      </w:r>
      <w:r>
        <w:rPr>
          <w:rFonts w:asciiTheme="minorEastAsia" w:hAnsiTheme="minorEastAsia" w:eastAsiaTheme="minorEastAsia"/>
          <w:sz w:val="36"/>
          <w:szCs w:val="36"/>
          <w:u w:val="single"/>
        </w:rPr>
        <w:t xml:space="preserve">                </w:t>
      </w:r>
      <w:r/>
    </w:p>
    <w:p>
      <w:pPr>
        <w:ind w:firstLine="880"/>
        <w:jc w:val="center"/>
        <w:spacing w:line="500" w:lineRule="exact"/>
        <w:rPr>
          <w:rFonts w:asciiTheme="minorEastAsia" w:hAnsiTheme="minorEastAsia" w:eastAsiaTheme="minorEastAsia"/>
          <w:bCs/>
        </w:rPr>
      </w:pPr>
      <w:r>
        <w:rPr>
          <w:rFonts w:asciiTheme="minorEastAsia" w:hAnsiTheme="minorEastAsia" w:eastAsiaTheme="minorEastAsia"/>
          <w:sz w:val="44"/>
          <w:szCs w:val="44"/>
        </w:rPr>
        <w:br w:type="page" w:clear="all"/>
      </w:r>
      <w:r/>
    </w:p>
    <w:p>
      <w:pPr>
        <w:pStyle w:val="912"/>
        <w:jc w:val="center"/>
        <w:spacing w:before="0" w:beforeAutospacing="0" w:after="0" w:afterAutospacing="0" w:line="0" w:lineRule="atLeast"/>
        <w:widowControl w:val="off"/>
        <w:rPr>
          <w:rFonts w:asciiTheme="minorEastAsia" w:hAnsiTheme="minorEastAsia" w:eastAsiaTheme="minorEastAsia"/>
        </w:rPr>
      </w:pPr>
      <w:r>
        <w:rPr>
          <w:rFonts w:hint="eastAsia" w:asciiTheme="minorEastAsia" w:hAnsiTheme="minorEastAsia" w:eastAsiaTheme="minorEastAsia"/>
          <w:b/>
          <w:sz w:val="32"/>
          <w:szCs w:val="32"/>
        </w:rPr>
        <w:t xml:space="preserve">投标文件目录</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ind w:left="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一、法人或者其他组织的营业执照等证明文件，自然人的身份证明</w:t>
      </w:r>
      <w:r/>
    </w:p>
    <w:p>
      <w:pPr>
        <w:ind w:firstLine="480"/>
        <w:jc w:val="left"/>
        <w:spacing w:line="276" w:lineRule="auto"/>
        <w:tabs>
          <w:tab w:val="left" w:pos="1331" w:leader="none"/>
        </w:tabs>
        <w:rPr>
          <w:rFonts w:cs="宋体" w:asciiTheme="minorEastAsia" w:hAnsiTheme="minorEastAsia" w:eastAsiaTheme="minorEastAsia"/>
          <w:bCs/>
          <w:i/>
          <w:sz w:val="24"/>
          <w:u w:val="single"/>
        </w:rPr>
      </w:pPr>
      <w:r>
        <w:rPr>
          <w:rFonts w:hint="eastAsia" w:cs="宋体" w:asciiTheme="minorEastAsia" w:hAnsiTheme="minorEastAsia" w:eastAsiaTheme="minorEastAsia"/>
          <w:i/>
          <w:sz w:val="24"/>
          <w:u w:val="single"/>
        </w:rPr>
        <w:t xml:space="preserve">二、上一年度的财务状况报表</w:t>
      </w:r>
      <w:r>
        <w:rPr>
          <w:rFonts w:hint="eastAsia" w:cs="宋体" w:asciiTheme="minorEastAsia" w:hAnsiTheme="minorEastAsia" w:eastAsiaTheme="minorEastAsia"/>
          <w:i/>
          <w:iCs/>
          <w:sz w:val="24"/>
          <w:u w:val="single"/>
        </w:rPr>
        <w:t xml:space="preserve">（至少提供资产负债表、利润表、现金流量表，投标人成立不满一年无需提供）</w:t>
      </w:r>
      <w:r/>
    </w:p>
    <w:p>
      <w:pPr>
        <w:pStyle w:val="912"/>
        <w:ind w:left="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三、具备履行合同所必需的设备和专业技术能力的书面声明</w:t>
      </w:r>
      <w:r/>
    </w:p>
    <w:p>
      <w:pPr>
        <w:pStyle w:val="912"/>
        <w:ind w:firstLine="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12"/>
        <w:ind w:left="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五、参加政府采购活动前 3 年内在经营活动中没有重大违法记录的书面声明</w:t>
      </w:r>
      <w:r/>
    </w:p>
    <w:p>
      <w:pPr>
        <w:pStyle w:val="912"/>
        <w:ind w:firstLine="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六、单位负责人为同一人或者存在直接控股、管理关系的不同供应商，不得参加同一合同项下的政府采购活动的书面声明。</w:t>
      </w:r>
      <w:r/>
    </w:p>
    <w:p>
      <w:pPr>
        <w:pStyle w:val="912"/>
        <w:ind w:left="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七、法人授权书</w:t>
      </w:r>
      <w:r/>
    </w:p>
    <w:p>
      <w:pPr>
        <w:pStyle w:val="912"/>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i/>
          <w:u w:val="single"/>
        </w:rPr>
        <w:t xml:space="preserve">八</w:t>
      </w:r>
      <w:r>
        <w:rPr>
          <w:rFonts w:hint="eastAsia" w:asciiTheme="minorEastAsia" w:hAnsiTheme="minorEastAsia" w:eastAsiaTheme="minorEastAsia"/>
          <w:i/>
          <w:u w:val="single"/>
        </w:rPr>
        <w:t xml:space="preserve">、投标函</w:t>
      </w:r>
      <w:r/>
    </w:p>
    <w:p>
      <w:pPr>
        <w:pStyle w:val="912"/>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九</w:t>
      </w:r>
      <w:r>
        <w:rPr>
          <w:rFonts w:hint="eastAsia" w:asciiTheme="minorEastAsia" w:hAnsiTheme="minorEastAsia" w:eastAsiaTheme="minorEastAsia"/>
        </w:rPr>
        <w:t xml:space="preserve">、中小企业声明函（服务）、残疾人福利性单位声明函</w:t>
      </w:r>
      <w:r/>
    </w:p>
    <w:p>
      <w:pPr>
        <w:pStyle w:val="912"/>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w:t>
      </w:r>
      <w:r>
        <w:rPr>
          <w:rFonts w:hint="eastAsia" w:asciiTheme="minorEastAsia" w:hAnsiTheme="minorEastAsia" w:eastAsiaTheme="minorEastAsia"/>
        </w:rPr>
        <w:t xml:space="preserve">、投标分项报价表</w:t>
      </w:r>
      <w:r/>
    </w:p>
    <w:p>
      <w:pPr>
        <w:pStyle w:val="912"/>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w:t>
      </w:r>
      <w:r>
        <w:rPr>
          <w:rFonts w:hint="eastAsia" w:asciiTheme="minorEastAsia" w:hAnsiTheme="minorEastAsia" w:eastAsiaTheme="minorEastAsia"/>
        </w:rPr>
        <w:t xml:space="preserve">一</w:t>
      </w:r>
      <w:r>
        <w:rPr>
          <w:rFonts w:hint="eastAsia" w:asciiTheme="minorEastAsia" w:hAnsiTheme="minorEastAsia" w:eastAsiaTheme="minorEastAsia"/>
        </w:rPr>
        <w:t xml:space="preserve">、技术要求响应及偏离表</w:t>
      </w:r>
      <w:r/>
    </w:p>
    <w:p>
      <w:pPr>
        <w:pStyle w:val="912"/>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w:t>
      </w:r>
      <w:r>
        <w:rPr>
          <w:rFonts w:hint="eastAsia" w:asciiTheme="minorEastAsia" w:hAnsiTheme="minorEastAsia" w:eastAsiaTheme="minorEastAsia"/>
        </w:rPr>
        <w:t xml:space="preserve">二</w:t>
      </w:r>
      <w:r>
        <w:rPr>
          <w:rFonts w:hint="eastAsia" w:asciiTheme="minorEastAsia" w:hAnsiTheme="minorEastAsia" w:eastAsiaTheme="minorEastAsia"/>
        </w:rPr>
        <w:t xml:space="preserve">、商务要求响应及偏离表</w:t>
      </w:r>
      <w:r/>
    </w:p>
    <w:p>
      <w:pPr>
        <w:pStyle w:val="912"/>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w:t>
      </w:r>
      <w:r>
        <w:rPr>
          <w:rFonts w:hint="eastAsia" w:asciiTheme="minorEastAsia" w:hAnsiTheme="minorEastAsia" w:eastAsiaTheme="minorEastAsia"/>
        </w:rPr>
        <w:t xml:space="preserve">三</w:t>
      </w:r>
      <w:r>
        <w:rPr>
          <w:rFonts w:hint="eastAsia" w:asciiTheme="minorEastAsia" w:hAnsiTheme="minorEastAsia" w:eastAsiaTheme="minorEastAsia"/>
        </w:rPr>
        <w:t xml:space="preserve">、开标一览表</w:t>
      </w:r>
      <w:r/>
    </w:p>
    <w:p>
      <w:pPr>
        <w:pStyle w:val="912"/>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w:t>
      </w:r>
      <w:r>
        <w:rPr>
          <w:rFonts w:hint="eastAsia" w:asciiTheme="minorEastAsia" w:hAnsiTheme="minorEastAsia" w:eastAsiaTheme="minorEastAsia"/>
        </w:rPr>
        <w:t xml:space="preserve">四</w:t>
      </w:r>
      <w:r>
        <w:rPr>
          <w:rFonts w:hint="eastAsia" w:asciiTheme="minorEastAsia" w:hAnsiTheme="minorEastAsia" w:eastAsiaTheme="minorEastAsia"/>
        </w:rPr>
        <w:t xml:space="preserve">、盐城经济技术开发区政府采购事前信用承诺书</w:t>
      </w:r>
      <w:r/>
    </w:p>
    <w:p>
      <w:pPr>
        <w:pStyle w:val="912"/>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w:t>
      </w:r>
      <w:r>
        <w:rPr>
          <w:rFonts w:hint="eastAsia" w:asciiTheme="minorEastAsia" w:hAnsiTheme="minorEastAsia" w:eastAsiaTheme="minorEastAsia"/>
        </w:rPr>
        <w:t xml:space="preserve">五</w:t>
      </w:r>
      <w:r>
        <w:rPr>
          <w:rFonts w:hint="eastAsia" w:asciiTheme="minorEastAsia" w:hAnsiTheme="minorEastAsia" w:eastAsiaTheme="minorEastAsia"/>
        </w:rPr>
        <w:t xml:space="preserve">、投标人认为需要提供的其他材料</w:t>
      </w:r>
      <w:r/>
    </w:p>
    <w:p>
      <w:pPr>
        <w:spacing w:before="50" w:after="50"/>
        <w:rPr>
          <w:rFonts w:cs="黑体" w:asciiTheme="minorEastAsia" w:hAnsiTheme="minorEastAsia" w:eastAsiaTheme="minorEastAsia"/>
          <w:i/>
          <w:sz w:val="32"/>
          <w:szCs w:val="32"/>
          <w:u w:val="single"/>
        </w:rPr>
      </w:pPr>
      <w:r>
        <w:rPr>
          <w:rFonts w:cs="黑体" w:asciiTheme="minorEastAsia" w:hAnsiTheme="minorEastAsia" w:eastAsiaTheme="minorEastAsia"/>
          <w:i/>
          <w:sz w:val="32"/>
          <w:szCs w:val="32"/>
          <w:u w:val="single"/>
        </w:rPr>
      </w:r>
      <w:r/>
    </w:p>
    <w:p>
      <w:pPr>
        <w:ind w:firstLine="480"/>
        <w:jc w:val="left"/>
        <w:spacing w:before="50" w:after="156"/>
        <w:widowControl/>
        <w:rPr>
          <w:rFonts w:asciiTheme="minorEastAsia" w:hAnsiTheme="minorEastAsia" w:eastAsiaTheme="minorEastAsia"/>
        </w:rPr>
      </w:pPr>
      <w:r>
        <w:rPr>
          <w:rFonts w:cs="黑体" w:asciiTheme="minorEastAsia" w:hAnsiTheme="minorEastAsia" w:eastAsiaTheme="minorEastAsia"/>
          <w:i/>
          <w:sz w:val="32"/>
          <w:szCs w:val="32"/>
          <w:u w:val="single"/>
        </w:rPr>
        <w:br w:type="page" w:clear="all"/>
      </w:r>
      <w:r>
        <w:rPr>
          <w:rFonts w:hint="eastAsia" w:cs="黑体" w:asciiTheme="minorEastAsia" w:hAnsiTheme="minorEastAsia" w:eastAsiaTheme="minorEastAsia"/>
          <w:i/>
          <w:sz w:val="32"/>
          <w:szCs w:val="32"/>
          <w:u w:val="single"/>
        </w:rPr>
        <w:t xml:space="preserve">一、法人或者其他组织的营业执照等证明文件，自然人的身份证明</w:t>
      </w:r>
      <w:r/>
    </w:p>
    <w:p>
      <w:pPr>
        <w:pStyle w:val="912"/>
        <w:ind w:firstLine="480"/>
        <w:jc w:val="both"/>
        <w:spacing w:beforeAutospacing="0" w:afterAutospacing="0" w:line="0" w:lineRule="atLeast"/>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Autospacing="0" w:afterAutospacing="0"/>
        <w:rPr>
          <w:rFonts w:cs="黑体" w:asciiTheme="minorEastAsia" w:hAnsiTheme="minorEastAsia" w:eastAsiaTheme="minorEastAsia"/>
          <w:i/>
          <w:sz w:val="32"/>
          <w:szCs w:val="32"/>
          <w:u w:val="single"/>
        </w:rPr>
      </w:pPr>
      <w:r>
        <w:rPr>
          <w:rFonts w:cs="黑体" w:asciiTheme="minorEastAsia" w:hAnsiTheme="minorEastAsia" w:eastAsiaTheme="minorEastAsia"/>
          <w:i/>
          <w:sz w:val="32"/>
          <w:szCs w:val="32"/>
          <w:u w:val="single"/>
        </w:rPr>
        <w:br w:type="page" w:clear="all"/>
      </w:r>
      <w:r>
        <w:rPr>
          <w:rFonts w:hint="eastAsia" w:cs="黑体" w:asciiTheme="minorEastAsia" w:hAnsiTheme="minorEastAsia" w:eastAsiaTheme="minorEastAsia"/>
          <w:i/>
          <w:sz w:val="32"/>
          <w:szCs w:val="32"/>
          <w:u w:val="single"/>
        </w:rPr>
        <w:t xml:space="preserve">二、上一年度的财务状况报表</w:t>
      </w:r>
      <w:r/>
    </w:p>
    <w:p>
      <w:pPr>
        <w:pStyle w:val="912"/>
        <w:ind w:firstLine="480"/>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至少提供资产负债表、利润表、现金流量表，投标人成立不满一年无需提供</w:t>
      </w:r>
      <w:r/>
    </w:p>
    <w:p>
      <w:pPr>
        <w:pStyle w:val="912"/>
        <w:jc w:val="both"/>
        <w:spacing w:beforeAutospacing="0" w:afterAutospacing="0"/>
        <w:rPr>
          <w:rFonts w:asciiTheme="minorEastAsia" w:hAnsiTheme="minorEastAsia" w:eastAsiaTheme="minorEastAsia"/>
        </w:rPr>
      </w:pPr>
      <w:r>
        <w:rPr>
          <w:rFonts w:asciiTheme="minorEastAsia" w:hAnsiTheme="minorEastAsia" w:eastAsiaTheme="minorEastAsia"/>
        </w:rPr>
      </w:r>
      <w:r/>
    </w:p>
    <w:p>
      <w:pPr>
        <w:pStyle w:val="912"/>
        <w:jc w:val="both"/>
        <w:spacing w:beforeAutospacing="0" w:afterAutospacing="0"/>
        <w:rPr>
          <w:rFonts w:asciiTheme="minorEastAsia" w:hAnsiTheme="minorEastAsia" w:eastAsiaTheme="minorEastAsia"/>
        </w:rPr>
      </w:pPr>
      <w:r>
        <w:rPr>
          <w:rFonts w:cs="黑体" w:asciiTheme="minorEastAsia" w:hAnsiTheme="minorEastAsia" w:eastAsiaTheme="minorEastAsia"/>
          <w:i/>
          <w:sz w:val="32"/>
          <w:szCs w:val="32"/>
          <w:u w:val="single"/>
        </w:rPr>
        <w:br w:type="page" w:clear="all"/>
      </w:r>
      <w:r>
        <w:rPr>
          <w:rFonts w:hint="eastAsia" w:cs="黑体" w:asciiTheme="minorEastAsia" w:hAnsiTheme="minorEastAsia" w:eastAsiaTheme="minorEastAsia"/>
          <w:i/>
          <w:sz w:val="32"/>
          <w:szCs w:val="32"/>
          <w:u w:val="single"/>
        </w:rPr>
        <w:t xml:space="preserve">三、具备履行合同所必需的设备和专业技术能力的书面声明</w:t>
      </w:r>
      <w:r/>
    </w:p>
    <w:p>
      <w:pPr>
        <w:pStyle w:val="912"/>
        <w:ind w:firstLine="492"/>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我单位郑重声明：我单位具备履行本项采购合同所必需的设备和专业技术能力，为履行本项采购合同我公司具备如下主要设备和主要专业技术能力：</w:t>
      </w:r>
      <w:r/>
    </w:p>
    <w:p>
      <w:pPr>
        <w:pStyle w:val="912"/>
        <w:ind w:firstLine="492"/>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主要设备有：</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pStyle w:val="912"/>
        <w:ind w:firstLine="480"/>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主要专业技术能力有：</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pStyle w:val="912"/>
        <w:ind w:firstLine="480"/>
        <w:jc w:val="both"/>
        <w:spacing w:beforeAutospacing="0" w:afterAutospacing="0"/>
        <w:rPr>
          <w:rFonts w:asciiTheme="minorEastAsia" w:hAnsiTheme="minorEastAsia" w:eastAsiaTheme="minorEastAsia"/>
        </w:rPr>
      </w:pPr>
      <w:r>
        <w:rPr>
          <w:rFonts w:asciiTheme="minorEastAsia" w:hAnsiTheme="minorEastAsia" w:eastAsiaTheme="minorEastAsia"/>
        </w:rPr>
      </w:r>
      <w:r/>
    </w:p>
    <w:p>
      <w:pPr>
        <w:spacing w:line="480" w:lineRule="auto"/>
        <w:rPr>
          <w:rFonts w:cs="宋体" w:asciiTheme="minorEastAsia" w:hAnsiTheme="minorEastAsia" w:eastAsiaTheme="minorEastAsia"/>
          <w:bCs/>
          <w:sz w:val="24"/>
        </w:rPr>
      </w:pPr>
      <w:r>
        <w:rPr>
          <w:rFonts w:hint="eastAsia" w:cs="宋体" w:asciiTheme="minorEastAsia" w:hAnsiTheme="minorEastAsia" w:eastAsiaTheme="minorEastAsia"/>
          <w:iCs/>
          <w:sz w:val="24"/>
        </w:rPr>
        <w:t xml:space="preserve">                                     </w:t>
      </w:r>
      <w:r>
        <w:rPr>
          <w:rFonts w:hint="eastAsia" w:cs="宋体" w:asciiTheme="minorEastAsia" w:hAnsiTheme="minorEastAsia" w:eastAsiaTheme="minorEastAsia"/>
          <w:bCs/>
          <w:sz w:val="24"/>
        </w:rPr>
        <w:t xml:space="preserve">供应商名称（公章）：</w:t>
      </w:r>
      <w:r>
        <w:rPr>
          <w:rFonts w:hint="eastAsia" w:cs="宋体" w:asciiTheme="minorEastAsia" w:hAnsiTheme="minorEastAsia" w:eastAsiaTheme="minorEastAsia"/>
          <w:b/>
          <w:i/>
          <w:iCs/>
          <w:sz w:val="24"/>
          <w:u w:val="single"/>
        </w:rPr>
        <w:t xml:space="preserve">（加盖CA电子公章）</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w:t>
      </w:r>
      <w:r>
        <w:rPr>
          <w:rFonts w:hint="eastAsia" w:cs="宋体" w:asciiTheme="minorEastAsia" w:hAnsiTheme="minorEastAsia" w:eastAsiaTheme="minorEastAsia"/>
          <w:sz w:val="24"/>
        </w:rPr>
        <w:t xml:space="preserve">法定代表人或授权代表（签字或盖章）：</w:t>
      </w:r>
      <w:r/>
    </w:p>
    <w:p>
      <w:pPr>
        <w:pStyle w:val="912"/>
        <w:ind w:firstLine="480"/>
        <w:jc w:val="both"/>
        <w:spacing w:beforeAutospacing="0" w:afterAutospacing="0"/>
        <w:rPr>
          <w:rFonts w:asciiTheme="minorEastAsia" w:hAnsiTheme="minorEastAsia" w:eastAsiaTheme="minorEastAsia"/>
        </w:rPr>
      </w:pPr>
      <w:r>
        <w:rPr>
          <w:rFonts w:hint="eastAsia" w:asciiTheme="minorEastAsia" w:hAnsiTheme="minorEastAsia" w:eastAsiaTheme="minorEastAsia"/>
          <w:bCs/>
        </w:rPr>
        <w:t xml:space="preserve">                                      日期：</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年</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月</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日</w:t>
      </w:r>
      <w:r/>
    </w:p>
    <w:p>
      <w:pPr>
        <w:pStyle w:val="912"/>
        <w:jc w:val="both"/>
        <w:spacing w:beforeAutospacing="0" w:afterAutospacing="0"/>
        <w:rPr>
          <w:rFonts w:asciiTheme="minorEastAsia" w:hAnsiTheme="minorEastAsia" w:eastAsiaTheme="minorEastAsia"/>
        </w:rPr>
      </w:pPr>
      <w:r>
        <w:rPr>
          <w:rFonts w:cs="黑体" w:asciiTheme="minorEastAsia" w:hAnsiTheme="minorEastAsia" w:eastAsiaTheme="minorEastAsia"/>
          <w:i/>
          <w:sz w:val="32"/>
          <w:szCs w:val="32"/>
          <w:u w:val="single"/>
        </w:rPr>
        <w:br w:type="page" w:clear="all"/>
      </w:r>
      <w:r>
        <w:rPr>
          <w:rFonts w:hint="eastAsia" w:cs="黑体" w:asciiTheme="minorEastAsia" w:hAnsiTheme="minorEastAsia" w:eastAsiaTheme="minorEastAsia"/>
          <w:i/>
          <w:sz w:val="32"/>
          <w:szCs w:val="32"/>
          <w:u w:val="single"/>
        </w:rPr>
        <w:t xml:space="preserve">四、依法缴纳税收和社会保障资金的相关材料</w:t>
      </w:r>
      <w:r/>
    </w:p>
    <w:p>
      <w:pPr>
        <w:pStyle w:val="912"/>
        <w:ind w:firstLine="480"/>
        <w:jc w:val="both"/>
        <w:spacing w:beforeAutospacing="0" w:afterAutospacing="0"/>
        <w:rPr>
          <w:rFonts w:asciiTheme="minorEastAsia" w:hAnsiTheme="minorEastAsia" w:eastAsiaTheme="minorEastAsia"/>
        </w:rPr>
      </w:pPr>
      <w:r/>
      <w:bookmarkStart w:id="116" w:name="_Toc120614284"/>
      <w:r>
        <w:rPr>
          <w:rFonts w:hint="eastAsia" w:asciiTheme="minorEastAsia" w:hAnsiTheme="minorEastAsia" w:eastAsiaTheme="minorEastAsia"/>
        </w:rPr>
        <w:t xml:space="preserve">提供提交投标文件截止时间前一年内至少一个月依法缴纳税收及缴纳社会保障资金的证明材料。投标人依法享受缓缴、免缴税收、社会保障资金的提供证明材料。</w:t>
      </w:r>
      <w:bookmarkEnd w:id="116"/>
      <w:r/>
      <w:r/>
    </w:p>
    <w:p>
      <w:pPr>
        <w:pStyle w:val="912"/>
        <w:jc w:val="both"/>
        <w:spacing w:beforeAutospacing="0" w:afterAutospacing="0"/>
        <w:rPr>
          <w:rFonts w:asciiTheme="minorEastAsia" w:hAnsiTheme="minorEastAsia" w:eastAsiaTheme="minorEastAsia"/>
        </w:rPr>
      </w:pPr>
      <w:r>
        <w:rPr>
          <w:rFonts w:cs="黑体" w:asciiTheme="minorEastAsia" w:hAnsiTheme="minorEastAsia" w:eastAsiaTheme="minorEastAsia"/>
          <w:i/>
          <w:sz w:val="32"/>
          <w:szCs w:val="32"/>
          <w:u w:val="single"/>
        </w:rPr>
        <w:br w:type="page" w:clear="all"/>
      </w:r>
      <w:r>
        <w:rPr>
          <w:rFonts w:hint="eastAsia" w:cs="黑体" w:asciiTheme="minorEastAsia" w:hAnsiTheme="minorEastAsia" w:eastAsiaTheme="minorEastAsia"/>
          <w:i/>
          <w:sz w:val="32"/>
          <w:szCs w:val="32"/>
          <w:u w:val="single"/>
        </w:rPr>
        <w:t xml:space="preserve">五、参加政府采购活动前 3 年内在经营活动中没有重大违法记录的书面声明</w:t>
      </w:r>
      <w:r/>
    </w:p>
    <w:p>
      <w:pPr>
        <w:pStyle w:val="912"/>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b/>
          <w:sz w:val="44"/>
          <w:szCs w:val="44"/>
        </w:rPr>
        <w:t xml:space="preserve">       声  明</w:t>
      </w:r>
      <w:r/>
    </w:p>
    <w:p>
      <w:pPr>
        <w:pStyle w:val="912"/>
        <w:jc w:val="both"/>
        <w:spacing w:before="0" w:beforeAutospacing="0" w:after="0" w:afterAutospacing="0"/>
        <w:widowControl w:val="off"/>
        <w:rPr>
          <w:rFonts w:asciiTheme="minorEastAsia" w:hAnsiTheme="minorEastAsia" w:eastAsiaTheme="minorEastAsia"/>
          <w:bCs/>
        </w:rPr>
      </w:pPr>
      <w:r>
        <w:rPr>
          <w:rFonts w:hint="eastAsia" w:asciiTheme="minorEastAsia" w:hAnsiTheme="minorEastAsia" w:eastAsiaTheme="minorEastAsia"/>
          <w:b/>
        </w:rPr>
        <w:t xml:space="preserve">    </w:t>
      </w:r>
      <w:r>
        <w:rPr>
          <w:rFonts w:hint="eastAsia" w:asciiTheme="minorEastAsia" w:hAnsiTheme="minorEastAsia" w:eastAsia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912"/>
        <w:ind w:firstLine="848"/>
        <w:jc w:val="both"/>
        <w:spacing w:before="0" w:beforeAutospacing="0" w:after="0" w:afterAutospacing="0" w:line="0" w:lineRule="atLeast"/>
        <w:widowControl w:val="off"/>
        <w:rPr>
          <w:rFonts w:asciiTheme="minorEastAsia" w:hAnsiTheme="minorEastAsia" w:eastAsiaTheme="minorEastAsia"/>
          <w:iCs/>
        </w:rPr>
      </w:pPr>
      <w:r>
        <w:rPr>
          <w:rFonts w:asciiTheme="minorEastAsia" w:hAnsiTheme="minorEastAsia" w:eastAsiaTheme="minorEastAsia"/>
          <w:iCs/>
        </w:rPr>
      </w:r>
      <w:r/>
    </w:p>
    <w:p>
      <w:pPr>
        <w:pStyle w:val="912"/>
        <w:jc w:val="both"/>
        <w:spacing w:before="0" w:beforeAutospacing="0" w:after="0" w:afterAutospacing="0"/>
        <w:widowControl w:val="off"/>
        <w:rPr>
          <w:rFonts w:asciiTheme="minorEastAsia" w:hAnsiTheme="minorEastAsia" w:eastAsiaTheme="minorEastAsia"/>
          <w:iCs/>
        </w:rPr>
      </w:pPr>
      <w:r>
        <w:rPr>
          <w:rFonts w:asciiTheme="minorEastAsia" w:hAnsiTheme="minorEastAsia" w:eastAsiaTheme="minorEastAsia"/>
          <w:iCs/>
        </w:rPr>
        <w:t xml:space="preserve"> </w:t>
      </w:r>
      <w:r/>
    </w:p>
    <w:p>
      <w:pPr>
        <w:ind w:firstLine="4560"/>
        <w:spacing w:line="48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供应商名称（公章）：</w:t>
      </w:r>
      <w:r>
        <w:rPr>
          <w:rFonts w:hint="eastAsia" w:cs="宋体" w:asciiTheme="minorEastAsia" w:hAnsiTheme="minorEastAsia" w:eastAsiaTheme="minorEastAsia"/>
          <w:b/>
          <w:i/>
          <w:iCs/>
          <w:sz w:val="24"/>
          <w:u w:val="single"/>
        </w:rPr>
        <w:t xml:space="preserve">（加盖CA电子公章）</w:t>
      </w:r>
      <w:r/>
    </w:p>
    <w:p>
      <w:pPr>
        <w:spacing w:line="4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w:t>
      </w:r>
      <w:r>
        <w:rPr>
          <w:rFonts w:hint="eastAsia" w:cs="宋体" w:asciiTheme="minorEastAsia" w:hAnsiTheme="minorEastAsia" w:eastAsiaTheme="minorEastAsia"/>
          <w:sz w:val="24"/>
        </w:rPr>
        <w:t xml:space="preserve">法定代表人或授权代表（签字或盖章）：</w:t>
      </w:r>
      <w:r/>
    </w:p>
    <w:p>
      <w:pPr>
        <w:pStyle w:val="912"/>
        <w:jc w:val="both"/>
        <w:spacing w:before="0" w:beforeAutospacing="0" w:after="0" w:afterAutospacing="0"/>
        <w:widowControl w:val="off"/>
        <w:rPr>
          <w:rFonts w:asciiTheme="minorEastAsia" w:hAnsiTheme="minorEastAsia" w:eastAsiaTheme="minorEastAsia"/>
          <w:iCs/>
        </w:rPr>
      </w:pPr>
      <w:r>
        <w:rPr>
          <w:rFonts w:hint="eastAsia" w:asciiTheme="minorEastAsia" w:hAnsiTheme="minorEastAsia" w:eastAsiaTheme="minorEastAsia"/>
          <w:bCs/>
        </w:rPr>
        <w:t xml:space="preserve">                                      日期：</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年</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月</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日</w:t>
      </w:r>
      <w:r/>
    </w:p>
    <w:p>
      <w:pPr>
        <w:jc w:val="left"/>
        <w:widowControl/>
        <w:rPr>
          <w:rFonts w:cs="宋体" w:asciiTheme="minorEastAsia" w:hAnsiTheme="minorEastAsia" w:eastAsiaTheme="minorEastAsia"/>
          <w:b/>
          <w:bCs/>
          <w:iCs/>
          <w:sz w:val="28"/>
          <w:szCs w:val="28"/>
          <w:u w:val="single"/>
        </w:rPr>
      </w:pPr>
      <w:r>
        <w:rPr>
          <w:rFonts w:asciiTheme="minorEastAsia" w:hAnsiTheme="minorEastAsia" w:eastAsiaTheme="minorEastAsia"/>
          <w:b/>
          <w:bCs/>
          <w:iCs/>
          <w:sz w:val="28"/>
          <w:szCs w:val="28"/>
          <w:u w:val="single"/>
        </w:rPr>
        <w:br w:type="page" w:clear="all"/>
      </w:r>
      <w:r/>
    </w:p>
    <w:p>
      <w:pPr>
        <w:pStyle w:val="912"/>
        <w:jc w:val="both"/>
        <w:spacing w:beforeAutospacing="0" w:afterAutospacing="0"/>
        <w:rPr>
          <w:rFonts w:cs="黑体" w:asciiTheme="minorEastAsia" w:hAnsiTheme="minorEastAsia" w:eastAsiaTheme="minorEastAsia"/>
          <w:i/>
          <w:sz w:val="32"/>
          <w:szCs w:val="32"/>
          <w:u w:val="single"/>
        </w:rPr>
      </w:pPr>
      <w:r>
        <w:rPr>
          <w:rFonts w:hint="eastAsia" w:cs="黑体" w:asciiTheme="minorEastAsia" w:hAnsiTheme="minorEastAsia" w:eastAsiaTheme="minorEastAsia"/>
          <w:i/>
          <w:sz w:val="32"/>
          <w:szCs w:val="32"/>
          <w:u w:val="single"/>
        </w:rPr>
        <w:t xml:space="preserve">六、单位负责人为同一人或者存在直接控股、管理关系的不同供应商，不得参加同一合同项下的政府采购活动的书面声明。</w:t>
      </w:r>
      <w:r/>
    </w:p>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pStyle w:val="912"/>
        <w:jc w:val="center"/>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b/>
          <w:sz w:val="44"/>
          <w:szCs w:val="44"/>
        </w:rPr>
        <w:t xml:space="preserve">声  明</w:t>
      </w:r>
      <w:r/>
    </w:p>
    <w:p>
      <w:pPr>
        <w:pStyle w:val="912"/>
        <w:rPr>
          <w:rFonts w:asciiTheme="minorEastAsia" w:hAnsiTheme="minorEastAsia" w:eastAsiaTheme="minorEastAsia"/>
        </w:rPr>
      </w:pPr>
      <w:r>
        <w:rPr>
          <w:rFonts w:hint="eastAsia" w:asciiTheme="minorEastAsia" w:hAnsiTheme="minorEastAsia" w:eastAsiaTheme="minorEastAsia"/>
          <w:b/>
        </w:rPr>
        <w:t xml:space="preserve">    </w:t>
      </w:r>
      <w:r>
        <w:rPr>
          <w:rFonts w:hint="eastAsia" w:asciiTheme="minorEastAsia" w:hAnsiTheme="minorEastAsia" w:eastAsiaTheme="minorEastAsia"/>
        </w:rPr>
        <w:t xml:space="preserve">我单位郑重声明：在参加本次政府采购活动不存在与参加本项目的其它供应商单位负责人为同一人或者存在直接控股、管理关系。本单位对上述承诺的真实性负责。如有虚假，将依法承担相应责任。</w:t>
      </w:r>
      <w:r/>
    </w:p>
    <w:p>
      <w:pPr>
        <w:pStyle w:val="912"/>
        <w:ind w:firstLine="848"/>
        <w:jc w:val="both"/>
        <w:spacing w:before="0" w:beforeAutospacing="0" w:after="0" w:afterAutospacing="0" w:line="0" w:lineRule="atLeast"/>
        <w:widowControl w:val="off"/>
        <w:rPr>
          <w:rFonts w:asciiTheme="minorEastAsia" w:hAnsiTheme="minorEastAsia" w:eastAsiaTheme="minorEastAsia"/>
          <w:iCs/>
        </w:rPr>
      </w:pPr>
      <w:r>
        <w:rPr>
          <w:rFonts w:asciiTheme="minorEastAsia" w:hAnsiTheme="minorEastAsia" w:eastAsiaTheme="minorEastAsia"/>
          <w:iCs/>
        </w:rPr>
      </w:r>
      <w:r/>
    </w:p>
    <w:p>
      <w:pPr>
        <w:pStyle w:val="912"/>
        <w:jc w:val="both"/>
        <w:spacing w:before="0" w:beforeAutospacing="0" w:after="0" w:afterAutospacing="0"/>
        <w:widowControl w:val="off"/>
        <w:rPr>
          <w:rFonts w:asciiTheme="minorEastAsia" w:hAnsiTheme="minorEastAsia" w:eastAsiaTheme="minorEastAsia"/>
          <w:iCs/>
        </w:rPr>
      </w:pPr>
      <w:r>
        <w:rPr>
          <w:rFonts w:asciiTheme="minorEastAsia" w:hAnsiTheme="minorEastAsia" w:eastAsiaTheme="minorEastAsia"/>
          <w:iCs/>
        </w:rPr>
        <w:t xml:space="preserve"> </w:t>
      </w:r>
      <w:r/>
    </w:p>
    <w:p>
      <w:pPr>
        <w:ind w:firstLine="4560"/>
        <w:spacing w:line="48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供应商名称（公章）：</w:t>
      </w:r>
      <w:r>
        <w:rPr>
          <w:rFonts w:hint="eastAsia" w:cs="宋体" w:asciiTheme="minorEastAsia" w:hAnsiTheme="minorEastAsia" w:eastAsiaTheme="minorEastAsia"/>
          <w:b/>
          <w:i/>
          <w:iCs/>
          <w:sz w:val="24"/>
          <w:u w:val="single"/>
        </w:rPr>
        <w:t xml:space="preserve">（加盖CA电子公章）</w:t>
      </w:r>
      <w:r/>
    </w:p>
    <w:p>
      <w:pPr>
        <w:spacing w:line="4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w:t>
      </w:r>
      <w:r>
        <w:rPr>
          <w:rFonts w:hint="eastAsia" w:cs="宋体" w:asciiTheme="minorEastAsia" w:hAnsiTheme="minorEastAsia" w:eastAsiaTheme="minorEastAsia"/>
          <w:sz w:val="24"/>
        </w:rPr>
        <w:t xml:space="preserve">法定代表人或授权代表（签字或盖章）：</w:t>
      </w:r>
      <w:r/>
    </w:p>
    <w:p>
      <w:pPr>
        <w:jc w:val="left"/>
        <w:widowControl/>
        <w:rPr>
          <w:rFonts w:cs="宋体" w:asciiTheme="minorEastAsia" w:hAnsiTheme="minorEastAsia" w:eastAsiaTheme="minorEastAsia"/>
          <w:b/>
          <w:iCs/>
          <w:sz w:val="28"/>
          <w:szCs w:val="28"/>
          <w:u w:val="single"/>
        </w:rPr>
      </w:pPr>
      <w:r>
        <w:rPr>
          <w:rFonts w:hint="eastAsia" w:asciiTheme="minorEastAsia" w:hAnsiTheme="minorEastAsia" w:eastAsiaTheme="minorEastAsia"/>
          <w:bCs/>
        </w:rPr>
        <w:t xml:space="preserve">                                      日期：</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年</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月</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日</w:t>
      </w:r>
      <w:r>
        <w:rPr>
          <w:rFonts w:asciiTheme="minorEastAsia" w:hAnsiTheme="minorEastAsia" w:eastAsiaTheme="minorEastAsia"/>
          <w:b/>
          <w:iCs/>
          <w:sz w:val="28"/>
          <w:szCs w:val="28"/>
          <w:u w:val="single"/>
        </w:rPr>
        <w:br w:type="page" w:clear="all"/>
      </w:r>
      <w:r/>
    </w:p>
    <w:p>
      <w:pPr>
        <w:pStyle w:val="912"/>
        <w:jc w:val="center"/>
        <w:spacing w:before="0" w:beforeAutospacing="0" w:after="0" w:afterAutospacing="0" w:line="360" w:lineRule="auto"/>
        <w:widowControl w:val="off"/>
        <w:rPr>
          <w:rFonts w:asciiTheme="minorEastAsia" w:hAnsiTheme="minorEastAsia" w:eastAsiaTheme="minorEastAsia"/>
          <w:b/>
          <w:bCs/>
          <w:iCs/>
          <w:sz w:val="28"/>
          <w:szCs w:val="28"/>
          <w:u w:val="single"/>
        </w:rPr>
      </w:pPr>
      <w:r>
        <w:rPr>
          <w:rFonts w:hint="eastAsia" w:asciiTheme="minorEastAsia" w:hAnsiTheme="minorEastAsia" w:eastAsiaTheme="minorEastAsia"/>
          <w:b/>
          <w:iCs/>
          <w:sz w:val="28"/>
          <w:szCs w:val="28"/>
          <w:u w:val="single"/>
        </w:rPr>
        <w:t xml:space="preserve">七</w:t>
      </w:r>
      <w:r>
        <w:rPr>
          <w:rFonts w:asciiTheme="minorEastAsia" w:hAnsiTheme="minorEastAsia" w:eastAsiaTheme="minorEastAsia"/>
          <w:b/>
          <w:iCs/>
          <w:sz w:val="28"/>
          <w:szCs w:val="28"/>
          <w:u w:val="single"/>
        </w:rPr>
        <w:t xml:space="preserve">、</w:t>
      </w:r>
      <w:r>
        <w:rPr>
          <w:rFonts w:hint="eastAsia" w:asciiTheme="minorEastAsia" w:hAnsiTheme="minorEastAsia" w:eastAsiaTheme="minorEastAsia"/>
          <w:b/>
          <w:iCs/>
          <w:sz w:val="28"/>
          <w:szCs w:val="28"/>
          <w:u w:val="single"/>
        </w:rPr>
        <w:t xml:space="preserve">法人授权书</w:t>
      </w:r>
      <w:r/>
    </w:p>
    <w:p>
      <w:pPr>
        <w:pStyle w:val="912"/>
        <w:ind w:firstLine="480"/>
        <w:jc w:val="both"/>
        <w:spacing w:before="0" w:beforeAutospacing="0" w:after="0" w:afterAutospacing="0" w:line="360" w:lineRule="auto"/>
        <w:widowControl w:val="off"/>
        <w:tabs>
          <w:tab w:val="left" w:pos="360" w:leader="none"/>
        </w:tabs>
        <w:rPr>
          <w:rFonts w:cs="Times New Roman" w:asciiTheme="minorEastAsia" w:hAnsiTheme="minorEastAsia" w:eastAsiaTheme="minorEastAsia"/>
        </w:rPr>
      </w:pPr>
      <w:r>
        <w:rPr>
          <w:rFonts w:cs="Times New Roman" w:asciiTheme="minorEastAsia" w:hAnsiTheme="minorEastAsia" w:eastAsiaTheme="minorEastAsia"/>
        </w:rPr>
      </w:r>
      <w:r/>
    </w:p>
    <w:p>
      <w:pPr>
        <w:pStyle w:val="912"/>
        <w:ind w:firstLine="480"/>
        <w:jc w:val="both"/>
        <w:spacing w:before="0" w:beforeAutospacing="0" w:after="0" w:afterAutospacing="0" w:line="480" w:lineRule="auto"/>
        <w:widowControl w:val="off"/>
        <w:tabs>
          <w:tab w:val="left" w:pos="360" w:leader="none"/>
        </w:tabs>
        <w:rPr>
          <w:rFonts w:asciiTheme="minorEastAsia" w:hAnsiTheme="minorEastAsia" w:eastAsiaTheme="minorEastAsia"/>
        </w:rPr>
      </w:pPr>
      <w:r>
        <w:rPr>
          <w:rFonts w:cs="Times New Roman" w:asciiTheme="minorEastAsia" w:hAnsiTheme="minorEastAsia" w:eastAsiaTheme="minorEastAsia"/>
        </w:rPr>
        <w:t xml:space="preserve">本授权书声明：____________（投标人名称）授权________________（被授权人的姓名）为我方就</w:t>
      </w:r>
      <w:r>
        <w:rPr>
          <w:rFonts w:hint="eastAsia" w:cs="Times New Roman" w:asciiTheme="minorEastAsia" w:hAnsiTheme="minorEastAsia" w:eastAsiaTheme="minorEastAsia"/>
          <w:u w:val="single"/>
        </w:rPr>
        <w:t xml:space="preserve">              </w:t>
      </w:r>
      <w:r>
        <w:rPr>
          <w:rFonts w:cs="Times New Roman" w:asciiTheme="minorEastAsia" w:hAnsiTheme="minorEastAsia" w:eastAsiaTheme="minorEastAsia"/>
        </w:rPr>
        <w:t xml:space="preserve">号</w:t>
      </w:r>
      <w:r>
        <w:rPr>
          <w:rFonts w:hint="eastAsia" w:cs="Times New Roman" w:asciiTheme="minorEastAsia" w:hAnsiTheme="minorEastAsia" w:eastAsiaTheme="minorEastAsia"/>
          <w:u w:val="single"/>
        </w:rPr>
        <w:t xml:space="preserve">       </w:t>
      </w:r>
      <w:r>
        <w:rPr>
          <w:rFonts w:cs="Times New Roman" w:asciiTheme="minorEastAsia" w:hAnsiTheme="minorEastAsia" w:eastAsiaTheme="minorEastAsia"/>
        </w:rPr>
        <w:t xml:space="preserve">项目采购活动的合法代理人，以本单位名义全权处理一切与该项目采购有关的事务。</w:t>
      </w:r>
      <w:r/>
    </w:p>
    <w:p>
      <w:pPr>
        <w:pStyle w:val="912"/>
        <w:ind w:firstLine="480"/>
        <w:jc w:val="both"/>
        <w:spacing w:before="0" w:beforeAutospacing="0" w:after="0" w:afterAutospacing="0" w:line="480" w:lineRule="auto"/>
        <w:widowControl w:val="off"/>
        <w:tabs>
          <w:tab w:val="left" w:pos="360" w:leader="none"/>
        </w:tabs>
        <w:rPr>
          <w:rFonts w:asciiTheme="minorEastAsia" w:hAnsiTheme="minorEastAsia" w:eastAsiaTheme="minorEastAsia"/>
        </w:rPr>
      </w:pPr>
      <w:r>
        <w:rPr>
          <w:rFonts w:cs="Times New Roman" w:asciiTheme="minorEastAsia" w:hAnsiTheme="minorEastAsia" w:eastAsiaTheme="minorEastAsia"/>
        </w:rPr>
        <w:t xml:space="preserve">本授权书于______年____月____日起生效，特此声明。</w:t>
      </w:r>
      <w:r/>
    </w:p>
    <w:p>
      <w:pPr>
        <w:pStyle w:val="912"/>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被授权人身份证号码：</w:t>
      </w:r>
      <w:r>
        <w:rPr>
          <w:rFonts w:ascii="Times New Roman" w:hAnsi="Times New Roman" w:cs="Times New Roman"/>
          <w:color w:val="000000"/>
          <w:u w:val="single"/>
        </w:rPr>
        <w:t xml:space="preserve">                              </w:t>
      </w:r>
      <w:r/>
    </w:p>
    <w:p>
      <w:pPr>
        <w:pStyle w:val="912"/>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被授权人联系电话：（手机）</w:t>
      </w:r>
      <w:r>
        <w:rPr>
          <w:rFonts w:ascii="Times New Roman" w:hAnsi="Times New Roman" w:cs="Times New Roman"/>
          <w:color w:val="000000"/>
          <w:u w:val="single"/>
        </w:rPr>
        <w:t xml:space="preserve">                          </w:t>
      </w:r>
      <w:r/>
    </w:p>
    <w:p>
      <w:pPr>
        <w:pStyle w:val="912"/>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授权单位名称：</w:t>
      </w:r>
      <w:r>
        <w:rPr>
          <w:rFonts w:ascii="Times New Roman" w:hAnsi="Times New Roman" w:cs="Times New Roman"/>
          <w:i/>
          <w:iCs/>
          <w:color w:val="000000"/>
          <w:u w:val="single"/>
        </w:rPr>
        <w:t xml:space="preserve">（加盖</w:t>
      </w:r>
      <w:r>
        <w:rPr>
          <w:rFonts w:ascii="Times New Roman" w:hAnsi="Times New Roman" w:cs="Times New Roman"/>
          <w:i/>
          <w:iCs/>
          <w:color w:val="000000"/>
          <w:u w:val="single"/>
        </w:rPr>
        <w:t xml:space="preserve">CA</w:t>
      </w:r>
      <w:r>
        <w:rPr>
          <w:rFonts w:ascii="Times New Roman" w:hAnsi="Times New Roman" w:cs="Times New Roman"/>
          <w:i/>
          <w:iCs/>
          <w:color w:val="000000"/>
          <w:u w:val="single"/>
        </w:rPr>
        <w:t xml:space="preserve">电子公章）</w:t>
      </w:r>
      <w:r/>
    </w:p>
    <w:p>
      <w:pPr>
        <w:pStyle w:val="912"/>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单位地址：</w:t>
      </w:r>
      <w:r>
        <w:rPr>
          <w:rFonts w:ascii="Times New Roman" w:hAnsi="Times New Roman" w:cs="Times New Roman"/>
          <w:color w:val="000000"/>
          <w:u w:val="single"/>
        </w:rPr>
        <w:t xml:space="preserve">                                         </w:t>
      </w:r>
      <w:r/>
    </w:p>
    <w:p>
      <w:pPr>
        <w:pStyle w:val="912"/>
        <w:ind w:right="960" w:firstLine="480"/>
        <w:spacing w:before="0" w:beforeAutospacing="0" w:after="0" w:afterAutospacing="0" w:line="480" w:lineRule="auto"/>
        <w:widowControl w:val="off"/>
        <w:tabs>
          <w:tab w:val="left" w:pos="360" w:leader="none"/>
        </w:tabs>
        <w:rPr>
          <w:rFonts w:asciiTheme="minorEastAsia" w:hAnsiTheme="minorEastAsia" w:eastAsiaTheme="minorEastAsia"/>
        </w:rPr>
      </w:pPr>
      <w:r>
        <w:rPr>
          <w:rFonts w:ascii="Times New Roman" w:hAnsi="Times New Roman" w:cs="Times New Roman"/>
          <w:color w:val="000000"/>
        </w:rPr>
        <w:t xml:space="preserve">日</w:t>
      </w:r>
      <w:r>
        <w:rPr>
          <w:rFonts w:hint="eastAsia" w:ascii="Times New Roman" w:hAnsi="Times New Roman" w:cs="Times New Roman"/>
          <w:color w:val="000000"/>
        </w:rPr>
        <w:t xml:space="preserve">    </w:t>
      </w:r>
      <w:r>
        <w:rPr>
          <w:rFonts w:ascii="Times New Roman" w:hAnsi="Times New Roman" w:cs="Times New Roman"/>
          <w:color w:val="000000"/>
        </w:rPr>
        <w:t xml:space="preserve">期：</w:t>
      </w:r>
      <w:r>
        <w:rPr>
          <w:rFonts w:ascii="Times New Roman" w:hAnsi="Times New Roman" w:cs="Times New Roman"/>
          <w:color w:val="000000"/>
          <w:u w:val="single"/>
        </w:rPr>
        <w:t xml:space="preserve">                                        </w:t>
      </w:r>
      <w:r/>
    </w:p>
    <w:p>
      <w:pPr>
        <w:pStyle w:val="912"/>
        <w:ind w:firstLine="420"/>
        <w:jc w:val="both"/>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Autospacing="0" w:afterAutospacing="0" w:line="276" w:lineRule="auto"/>
        <w:rPr>
          <w:rFonts w:asciiTheme="minorEastAsia" w:hAnsiTheme="minorEastAsia" w:eastAsiaTheme="minorEastAsia"/>
          <w:b/>
          <w:sz w:val="28"/>
          <w:szCs w:val="28"/>
        </w:rPr>
      </w:pPr>
      <w:r>
        <w:rPr>
          <w:rFonts w:hint="eastAsia" w:asciiTheme="minorEastAsia" w:hAnsiTheme="minorEastAsia" w:eastAsiaTheme="minorEastAsia"/>
          <w:b/>
        </w:rPr>
        <w:br w:type="page" w:clear="all"/>
      </w:r>
      <w:r/>
    </w:p>
    <w:p>
      <w:pPr>
        <w:pStyle w:val="912"/>
        <w:ind w:firstLine="3390"/>
        <w:jc w:val="both"/>
        <w:keepLines/>
        <w:keepNext/>
        <w:spacing w:before="260" w:beforeAutospacing="0" w:after="260" w:afterAutospacing="0" w:line="415" w:lineRule="auto"/>
        <w:widowControl w:val="off"/>
        <w:rPr>
          <w:rFonts w:asciiTheme="minorEastAsia" w:hAnsiTheme="minorEastAsia" w:eastAsiaTheme="minorEastAsia"/>
        </w:rPr>
      </w:pPr>
      <w:r>
        <w:rPr>
          <w:rFonts w:hint="eastAsia" w:asciiTheme="minorEastAsia" w:hAnsiTheme="minorEastAsia" w:eastAsiaTheme="minorEastAsia"/>
          <w:b/>
          <w:iCs/>
          <w:sz w:val="28"/>
          <w:szCs w:val="28"/>
          <w:u w:val="single"/>
        </w:rPr>
        <w:t xml:space="preserve">八</w:t>
      </w:r>
      <w:r>
        <w:rPr>
          <w:rFonts w:hint="eastAsia" w:asciiTheme="minorEastAsia" w:hAnsiTheme="minorEastAsia" w:eastAsiaTheme="minorEastAsia"/>
          <w:b/>
          <w:iCs/>
          <w:sz w:val="28"/>
          <w:szCs w:val="28"/>
          <w:u w:val="single"/>
        </w:rPr>
        <w:t xml:space="preserve">、投标函</w:t>
      </w:r>
      <w:r/>
    </w:p>
    <w:p>
      <w:pPr>
        <w:pStyle w:val="912"/>
        <w:spacing w:before="0" w:beforeAutospacing="0" w:after="0" w:afterAutospacing="0" w:line="360" w:lineRule="auto"/>
        <w:widowControl w:val="off"/>
        <w:rPr>
          <w:rFonts w:asciiTheme="minorEastAsia" w:hAnsiTheme="minorEastAsia" w:eastAsiaTheme="minorEastAsia"/>
          <w:u w:val="single"/>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    </w:t>
      </w:r>
      <w:r/>
    </w:p>
    <w:p>
      <w:pPr>
        <w:pStyle w:val="912"/>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根据贵方的</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号招标文件，正式授权下述签字人_________________(姓名)代表我方______________（投标人的名称），全权处理本次项目投标的有关事宜。</w:t>
      </w:r>
      <w:r/>
    </w:p>
    <w:p>
      <w:pPr>
        <w:pStyle w:val="912"/>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据此函，__________签字</w:t>
      </w:r>
      <w:r>
        <w:rPr>
          <w:rFonts w:hint="eastAsia" w:asciiTheme="minorEastAsia" w:hAnsiTheme="minorEastAsia" w:eastAsiaTheme="minorEastAsia"/>
        </w:rPr>
        <w:t xml:space="preserve">人兹宣布</w:t>
      </w:r>
      <w:r>
        <w:rPr>
          <w:rFonts w:hint="eastAsia" w:asciiTheme="minorEastAsia" w:hAnsiTheme="minorEastAsia" w:eastAsiaTheme="minorEastAsia"/>
        </w:rPr>
        <w:t xml:space="preserve">同意如下：</w:t>
      </w:r>
      <w:r/>
    </w:p>
    <w:p>
      <w:pPr>
        <w:pStyle w:val="912"/>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1.按招标文件规定的各项要求，向买方提供所需服务（包含与服务相关的货物）。</w:t>
      </w:r>
      <w:r/>
    </w:p>
    <w:p>
      <w:pPr>
        <w:pStyle w:val="912"/>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2.我们完全理解贵方不一定将合同授予最低报价的投标人。</w:t>
      </w:r>
      <w:r/>
    </w:p>
    <w:p>
      <w:pPr>
        <w:pStyle w:val="912"/>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3.我们已详细审核全部招标文件及其有效补充文件，我们知道必须放弃提出含糊不清或误解问题的权利。</w:t>
      </w:r>
      <w:r/>
    </w:p>
    <w:p>
      <w:pPr>
        <w:pStyle w:val="912"/>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4.我们同意从规定的开标日期起遵循本投标文件，并在规定的投标有效期期满之前均具有约束力。</w:t>
      </w:r>
      <w:r/>
    </w:p>
    <w:p>
      <w:pPr>
        <w:pStyle w:val="912"/>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5.同意向贵方提供贵方可能另外要求的与投标有关的任何证据或资料，并保证我方已提供和将要提供的文件是真实的、准确的。</w:t>
      </w:r>
      <w:r/>
    </w:p>
    <w:p>
      <w:pPr>
        <w:pStyle w:val="912"/>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6.一旦我方中标,我方将根据招标文件的规定，严格履行合同的责任和义务,并保证在招标文件规定的时间完成项目，交付买方验收、使用。</w:t>
      </w:r>
      <w:r/>
    </w:p>
    <w:p>
      <w:pPr>
        <w:pStyle w:val="912"/>
        <w:ind w:left="425"/>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7.与本投标有关的正式通讯地址为：</w:t>
      </w:r>
      <w:r/>
    </w:p>
    <w:p>
      <w:pPr>
        <w:pStyle w:val="912"/>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地          址：</w:t>
      </w:r>
      <w:r/>
    </w:p>
    <w:p>
      <w:pPr>
        <w:pStyle w:val="912"/>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邮          编：</w:t>
      </w:r>
      <w:r/>
    </w:p>
    <w:p>
      <w:pPr>
        <w:pStyle w:val="912"/>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电          话：</w:t>
      </w:r>
      <w:r/>
    </w:p>
    <w:p>
      <w:pPr>
        <w:pStyle w:val="912"/>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传          真：</w:t>
      </w:r>
      <w:r/>
    </w:p>
    <w:p>
      <w:pPr>
        <w:pStyle w:val="912"/>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投标人开户行：</w:t>
      </w:r>
      <w:r/>
    </w:p>
    <w:p>
      <w:pPr>
        <w:pStyle w:val="912"/>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账          号： </w:t>
      </w:r>
      <w:r/>
    </w:p>
    <w:p>
      <w:pPr>
        <w:pStyle w:val="912"/>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日           期：________年____月____日</w:t>
      </w:r>
      <w:r/>
    </w:p>
    <w:p>
      <w:pPr>
        <w:pStyle w:val="912"/>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12"/>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line="0" w:lineRule="atLeast"/>
        <w:widowControl w:val="off"/>
        <w:rPr>
          <w:rFonts w:asciiTheme="minorEastAsia" w:hAnsiTheme="minorEastAsia" w:eastAsiaTheme="minorEastAsia"/>
          <w:sz w:val="28"/>
          <w:szCs w:val="28"/>
        </w:rPr>
      </w:pPr>
      <w:r>
        <w:rPr>
          <w:rFonts w:asciiTheme="minorEastAsia" w:hAnsiTheme="minorEastAsia" w:eastAsiaTheme="minorEastAsia"/>
          <w:sz w:val="28"/>
          <w:szCs w:val="28"/>
        </w:rPr>
        <w:t xml:space="preserve"> </w:t>
      </w:r>
      <w:r/>
    </w:p>
    <w:p>
      <w:pPr>
        <w:jc w:val="center"/>
        <w:spacing w:line="440" w:lineRule="exact"/>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left"/>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br w:type="page" w:clear="all"/>
      </w:r>
      <w:r/>
    </w:p>
    <w:p>
      <w:pPr>
        <w:jc w:val="center"/>
        <w:spacing w:line="440" w:lineRule="exact"/>
        <w:rPr>
          <w:rFonts w:asciiTheme="minorEastAsia" w:hAnsiTheme="minorEastAsia" w:eastAsiaTheme="minorEastAsia"/>
          <w:b/>
          <w:bCs/>
          <w:sz w:val="32"/>
          <w:szCs w:val="32"/>
        </w:rPr>
      </w:pPr>
      <w:r>
        <w:rPr>
          <w:rFonts w:hint="eastAsia" w:cs="宋体" w:asciiTheme="minorEastAsia" w:hAnsiTheme="minorEastAsia" w:eastAsiaTheme="minorEastAsia"/>
          <w:b/>
          <w:sz w:val="28"/>
          <w:szCs w:val="28"/>
        </w:rPr>
        <w:t xml:space="preserve">九</w:t>
      </w:r>
      <w:r>
        <w:rPr>
          <w:rFonts w:hint="eastAsia" w:cs="宋体" w:asciiTheme="minorEastAsia" w:hAnsiTheme="minorEastAsia" w:eastAsiaTheme="minorEastAsia"/>
          <w:b/>
          <w:sz w:val="28"/>
          <w:szCs w:val="28"/>
        </w:rPr>
        <w:t xml:space="preserve">、</w:t>
      </w:r>
      <w:r>
        <w:rPr>
          <w:rFonts w:hint="eastAsia" w:asciiTheme="minorEastAsia" w:hAnsiTheme="minorEastAsia" w:eastAsiaTheme="minorEastAsia"/>
          <w:b/>
          <w:bCs/>
          <w:sz w:val="32"/>
          <w:szCs w:val="32"/>
        </w:rPr>
        <w:t xml:space="preserve">中小企业声明函（服务）</w:t>
      </w:r>
      <w:r/>
    </w:p>
    <w:p>
      <w:pPr>
        <w:spacing w:line="44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ind w:firstLine="480"/>
        <w:jc w:val="left"/>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本公司郑重声明，根据《政府采购促进中小企业发展管理办法》（财库﹝2020﹞46 号）的规定，本公司参加  </w:t>
      </w:r>
      <w:r>
        <w:rPr>
          <w:rFonts w:hint="eastAsia" w:cs="宋体" w:asciiTheme="minorEastAsia" w:hAnsiTheme="minorEastAsia" w:eastAsiaTheme="minorEastAsia"/>
          <w:sz w:val="24"/>
          <w:u w:val="single"/>
        </w:rPr>
        <w:t xml:space="preserve">（采购单位名称）  </w:t>
      </w:r>
      <w:r>
        <w:rPr>
          <w:rFonts w:hint="eastAsia" w:cs="宋体" w:asciiTheme="minorEastAsia" w:hAnsiTheme="minorEastAsia" w:eastAsiaTheme="minorEastAsia"/>
          <w:sz w:val="24"/>
        </w:rPr>
        <w:t xml:space="preserve">的  </w:t>
      </w:r>
      <w:r>
        <w:rPr>
          <w:rFonts w:hint="eastAsia" w:cs="宋体" w:asciiTheme="minorEastAsia" w:hAnsiTheme="minorEastAsia" w:eastAsiaTheme="minorEastAsia"/>
          <w:sz w:val="24"/>
          <w:u w:val="single"/>
        </w:rPr>
        <w:t xml:space="preserve">（采购项目名称）  </w:t>
      </w:r>
      <w:r>
        <w:rPr>
          <w:rFonts w:hint="eastAsia" w:cs="宋体" w:asciiTheme="minorEastAsia" w:hAnsiTheme="minorEastAsia" w:eastAsiaTheme="minorEastAsia"/>
          <w:sz w:val="24"/>
        </w:rPr>
        <w:t xml:space="preserve">采购活动，服务全部由符合政策要求的中小企业承接。相关企业的具体情况如下：</w:t>
      </w:r>
      <w:r/>
    </w:p>
    <w:p>
      <w:pPr>
        <w:ind w:firstLine="480"/>
        <w:jc w:val="left"/>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（招标文件中明确的所属行业）</w:t>
      </w:r>
      <w:r>
        <w:rPr>
          <w:rFonts w:hint="eastAsia" w:cs="宋体" w:asciiTheme="minorEastAsia" w:hAnsiTheme="minorEastAsia" w:eastAsiaTheme="minorEastAsia"/>
          <w:sz w:val="24"/>
        </w:rPr>
        <w:t xml:space="preserve">行业；承接企业为</w:t>
      </w:r>
      <w:r>
        <w:rPr>
          <w:rFonts w:hint="eastAsia" w:cs="宋体" w:asciiTheme="minorEastAsia" w:hAnsiTheme="minorEastAsia" w:eastAsiaTheme="minorEastAsia"/>
          <w:sz w:val="24"/>
          <w:u w:val="single"/>
        </w:rPr>
        <w:t xml:space="preserve">（企业名称）</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（中型企业、小型企业、微型企业）</w:t>
      </w:r>
      <w:r>
        <w:rPr>
          <w:rFonts w:hint="eastAsia" w:cs="宋体" w:asciiTheme="minorEastAsia" w:hAnsiTheme="minorEastAsia" w:eastAsiaTheme="minorEastAsia"/>
          <w:sz w:val="24"/>
        </w:rPr>
        <w:t xml:space="preserve">；</w:t>
      </w:r>
      <w:r/>
    </w:p>
    <w:p>
      <w:pPr>
        <w:numPr>
          <w:ilvl w:val="0"/>
          <w:numId w:val="5"/>
        </w:numPr>
        <w:ind w:firstLine="480"/>
        <w:jc w:val="left"/>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（招标文件中明确的所属行业）</w:t>
      </w:r>
      <w:r>
        <w:rPr>
          <w:rFonts w:hint="eastAsia" w:cs="宋体" w:asciiTheme="minorEastAsia" w:hAnsiTheme="minorEastAsia" w:eastAsiaTheme="minorEastAsia"/>
          <w:sz w:val="24"/>
        </w:rPr>
        <w:t xml:space="preserve">行业；承接企业为</w:t>
      </w:r>
      <w:r>
        <w:rPr>
          <w:rFonts w:hint="eastAsia" w:cs="宋体" w:asciiTheme="minorEastAsia" w:hAnsiTheme="minorEastAsia" w:eastAsiaTheme="minorEastAsia"/>
          <w:sz w:val="24"/>
          <w:u w:val="single"/>
        </w:rPr>
        <w:t xml:space="preserve">（企业名称）</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（中型企业、小型企业、微型企业）</w:t>
      </w:r>
      <w:r>
        <w:rPr>
          <w:rFonts w:hint="eastAsia" w:cs="宋体" w:asciiTheme="minorEastAsia" w:hAnsiTheme="minorEastAsia" w:eastAsiaTheme="minorEastAsia"/>
          <w:sz w:val="24"/>
        </w:rPr>
        <w:t xml:space="preserve">；</w:t>
      </w:r>
      <w:r/>
    </w:p>
    <w:p>
      <w:pPr>
        <w:ind w:firstLine="480"/>
        <w:jc w:val="left"/>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ind w:firstLine="480"/>
        <w:jc w:val="left"/>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ind w:firstLine="4080"/>
        <w:jc w:val="left"/>
        <w:spacing w:line="4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firstLine="4080"/>
        <w:jc w:val="left"/>
        <w:spacing w:line="4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firstLine="4080"/>
        <w:jc w:val="left"/>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企业名称（盖章）：</w:t>
      </w:r>
      <w:r/>
    </w:p>
    <w:p>
      <w:pPr>
        <w:ind w:firstLine="4080"/>
        <w:jc w:val="left"/>
        <w:spacing w:line="4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firstLine="4080"/>
        <w:jc w:val="left"/>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w:t>
      </w:r>
      <w:r/>
    </w:p>
    <w:p>
      <w:pPr>
        <w:jc w:val="center"/>
        <w:spacing w:line="44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4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left"/>
        <w:spacing w:line="42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注：1、从业人员、营业收入、资产总额填报上一年度数据，无上</w:t>
      </w:r>
      <w:r>
        <w:rPr>
          <w:rFonts w:hint="eastAsia" w:asciiTheme="minorEastAsia" w:hAnsiTheme="minorEastAsia" w:eastAsiaTheme="minorEastAsia"/>
          <w:b/>
          <w:bCs/>
          <w:sz w:val="24"/>
        </w:rPr>
        <w:t xml:space="preserve">一</w:t>
      </w:r>
      <w:r>
        <w:rPr>
          <w:rFonts w:hint="eastAsia" w:asciiTheme="minorEastAsia" w:hAnsiTheme="minorEastAsia" w:eastAsiaTheme="minorEastAsia"/>
          <w:b/>
          <w:bCs/>
          <w:sz w:val="24"/>
        </w:rPr>
        <w:t xml:space="preserve">年度数据的新成立企业可不填报。</w:t>
      </w:r>
      <w:r/>
    </w:p>
    <w:p>
      <w:pPr>
        <w:pStyle w:val="895"/>
        <w:ind w:firstLine="482"/>
        <w:spacing w:line="4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2、所属行业，投标人根据《工业和信息化部、国家统计局、国家发展和改革委员会、财政部关于印发中小企业划型标准规定的通知》（工信部联企业【2011】300号）规定的划分标准填写。</w:t>
      </w:r>
      <w:r/>
    </w:p>
    <w:p>
      <w:pPr>
        <w:ind w:firstLine="2036"/>
        <w:spacing w:line="560" w:lineRule="exact"/>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2036"/>
        <w:spacing w:line="560" w:lineRule="exact"/>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560" w:lineRule="exact"/>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cs="宋体"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pStyle w:val="912"/>
        <w:jc w:val="center"/>
        <w:spacing w:before="0" w:beforeAutospacing="0" w:after="0" w:afterAutospacing="0" w:line="0" w:lineRule="atLeast"/>
        <w:widowControl w:val="off"/>
        <w:rPr>
          <w:rFonts w:asciiTheme="minorEastAsia" w:hAnsiTheme="minorEastAsia" w:eastAsiaTheme="minorEastAsia"/>
          <w:sz w:val="28"/>
          <w:szCs w:val="28"/>
        </w:rPr>
      </w:pPr>
      <w:r>
        <w:rPr>
          <w:rFonts w:hint="eastAsia" w:asciiTheme="minorEastAsia" w:hAnsiTheme="minorEastAsia" w:eastAsiaTheme="minorEastAsia"/>
          <w:b/>
          <w:sz w:val="28"/>
          <w:szCs w:val="28"/>
        </w:rPr>
        <w:t xml:space="preserve">残疾人福利性单位声明函</w:t>
      </w:r>
      <w:r/>
    </w:p>
    <w:p>
      <w:pPr>
        <w:pStyle w:val="912"/>
        <w:ind w:firstLine="480"/>
        <w:jc w:val="both"/>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r>
      <w:r/>
    </w:p>
    <w:p>
      <w:pPr>
        <w:pStyle w:val="912"/>
        <w:ind w:firstLine="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本单位郑重声明，根据《财政部 民政部 中国残疾人联合会关于促进残疾人就业政府采购政策的通知》（财库〔2017〕 141号）的规定，本单位为符合条件的残疾人福利性单位，且本公司 </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参加</w:t>
      </w:r>
      <w:r>
        <w:rPr>
          <w:rFonts w:hint="eastAsia" w:asciiTheme="minorEastAsia" w:hAnsiTheme="minorEastAsia" w:eastAsiaTheme="minorEastAsia"/>
          <w:u w:val="single"/>
        </w:rPr>
        <w:t xml:space="preserve">（单位名称）</w:t>
      </w:r>
      <w:r>
        <w:rPr>
          <w:rFonts w:hint="eastAsia" w:asciiTheme="minorEastAsia" w:hAnsiTheme="minorEastAsia" w:eastAsiaTheme="minorEastAsia"/>
        </w:rPr>
        <w:t xml:space="preserve">的</w:t>
      </w:r>
      <w:r>
        <w:rPr>
          <w:rFonts w:hint="eastAsia" w:asciiTheme="minorEastAsia" w:hAnsiTheme="minorEastAsia" w:eastAsiaTheme="minorEastAsia"/>
          <w:u w:val="single"/>
        </w:rPr>
        <w:t xml:space="preserve">（项目名称）</w:t>
      </w:r>
      <w:r>
        <w:rPr>
          <w:rFonts w:hint="eastAsia" w:asciiTheme="minorEastAsia" w:hAnsiTheme="minorEastAsia" w:eastAsiaTheme="minorEastAsia"/>
        </w:rPr>
        <w:t xml:space="preserve">采购活动提供本单位服务。</w:t>
      </w:r>
      <w:r/>
    </w:p>
    <w:p>
      <w:pPr>
        <w:pStyle w:val="912"/>
        <w:ind w:firstLine="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本单位对上述声明的真实性负责。如有虚假，将依法承担相应责任。</w:t>
      </w:r>
      <w:r/>
    </w:p>
    <w:p>
      <w:pPr>
        <w:pStyle w:val="912"/>
        <w:ind w:firstLine="480"/>
        <w:jc w:val="both"/>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ind w:firstLine="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注：1、供应商如不提供此声明函，价格将不做相应扣除。</w:t>
      </w:r>
      <w:r/>
    </w:p>
    <w:p>
      <w:pPr>
        <w:pStyle w:val="912"/>
        <w:ind w:firstLine="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2、成交供应商为残疾人福利单位的，此</w:t>
      </w:r>
      <w:r>
        <w:rPr>
          <w:rFonts w:hint="eastAsia" w:asciiTheme="minorEastAsia" w:hAnsiTheme="minorEastAsia" w:eastAsiaTheme="minorEastAsia"/>
        </w:rPr>
        <w:t xml:space="preserve">声明函将随</w:t>
      </w:r>
      <w:r>
        <w:rPr>
          <w:rFonts w:hint="eastAsia" w:asciiTheme="minorEastAsia" w:hAnsiTheme="minorEastAsia" w:eastAsiaTheme="minorEastAsia"/>
        </w:rPr>
        <w:t xml:space="preserve">成交结果同时公告，接受社会监督）</w:t>
      </w:r>
      <w:r/>
    </w:p>
    <w:p>
      <w:pPr>
        <w:pStyle w:val="912"/>
        <w:ind w:firstLine="624"/>
        <w:jc w:val="both"/>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ind w:right="1560" w:firstLine="624"/>
        <w:jc w:val="center"/>
        <w:spacing w:before="0" w:beforeAutospacing="0" w:after="0" w:afterAutospacing="0" w:line="360" w:lineRule="auto"/>
        <w:widowControl w:val="off"/>
        <w:tabs>
          <w:tab w:val="left" w:pos="4864" w:leader="none"/>
        </w:tabs>
        <w:rPr>
          <w:rFonts w:asciiTheme="minorEastAsia" w:hAnsiTheme="minorEastAsia" w:eastAsiaTheme="minorEastAsia"/>
        </w:rPr>
      </w:pPr>
      <w:r>
        <w:rPr>
          <w:rFonts w:cs="仿宋_GB2312" w:asciiTheme="minorEastAsia" w:hAnsiTheme="minorEastAsia" w:eastAsiaTheme="minorEastAsia"/>
        </w:rPr>
        <w:t xml:space="preserve">            </w:t>
      </w:r>
      <w:r>
        <w:rPr>
          <w:rFonts w:hint="eastAsia" w:cs="仿宋_GB2312" w:asciiTheme="minorEastAsia" w:hAnsiTheme="minorEastAsia" w:eastAsiaTheme="minorEastAsia"/>
        </w:rPr>
        <w:t xml:space="preserve"> </w:t>
      </w:r>
      <w:r>
        <w:rPr>
          <w:rFonts w:hint="eastAsia" w:asciiTheme="minorEastAsia" w:hAnsiTheme="minorEastAsia" w:eastAsiaTheme="minorEastAsia"/>
        </w:rPr>
        <w:t xml:space="preserve">        供应商全称（加盖CA电子公章）：</w:t>
      </w:r>
      <w:r/>
    </w:p>
    <w:p>
      <w:pPr>
        <w:pStyle w:val="912"/>
        <w:ind w:right="1560" w:firstLine="480"/>
        <w:jc w:val="center"/>
        <w:spacing w:before="0" w:beforeAutospacing="0" w:after="0" w:afterAutospacing="0" w:line="360" w:lineRule="auto"/>
        <w:widowControl w:val="off"/>
        <w:tabs>
          <w:tab w:val="left" w:pos="4864" w:leader="none"/>
        </w:tabs>
        <w:rPr>
          <w:rFonts w:asciiTheme="minorEastAsia" w:hAnsiTheme="minorEastAsia" w:eastAsiaTheme="minorEastAsia"/>
        </w:rPr>
      </w:pPr>
      <w:r>
        <w:rPr>
          <w:rFonts w:hint="eastAsia" w:asciiTheme="minorEastAsia" w:hAnsiTheme="minorEastAsia" w:eastAsiaTheme="minorEastAsia"/>
        </w:rPr>
        <w:t xml:space="preserve">        日  期：</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line="0" w:lineRule="atLeast"/>
        <w:widowControl w:val="off"/>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912"/>
        <w:jc w:val="center"/>
        <w:spacing w:before="0" w:beforeAutospacing="0" w:after="0" w:afterAutospacing="0" w:line="0" w:lineRule="atLeast"/>
        <w:widowControl w:val="off"/>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912"/>
        <w:jc w:val="center"/>
        <w:spacing w:before="0" w:beforeAutospacing="0" w:after="0" w:afterAutospacing="0" w:line="0" w:lineRule="atLeast"/>
        <w:widowControl w:val="off"/>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b/>
          <w:sz w:val="28"/>
          <w:szCs w:val="28"/>
        </w:rPr>
        <w:br w:type="page" w:clear="all"/>
      </w:r>
      <w:r>
        <w:rPr>
          <w:rFonts w:asciiTheme="minorEastAsia" w:hAnsiTheme="minorEastAsia" w:eastAsiaTheme="minorEastAsia"/>
          <w:b/>
          <w:sz w:val="28"/>
          <w:szCs w:val="28"/>
        </w:rPr>
        <w:t xml:space="preserve">十、</w:t>
      </w:r>
      <w:r>
        <w:rPr>
          <w:rFonts w:hint="eastAsia" w:asciiTheme="minorEastAsia" w:hAnsiTheme="minorEastAsia" w:eastAsiaTheme="minorEastAsia"/>
          <w:b/>
          <w:sz w:val="28"/>
          <w:szCs w:val="28"/>
        </w:rPr>
        <w:t xml:space="preserve">投标分项报价表</w:t>
      </w:r>
      <w:r/>
    </w:p>
    <w:tbl>
      <w:tblPr>
        <w:tblW w:w="0" w:type="auto"/>
        <w:jc w:val="center"/>
        <w:tblCellSpacing w:w="0" w:type="dxa"/>
        <w:tblLook w:val="04A0" w:firstRow="1" w:lastRow="0" w:firstColumn="1" w:lastColumn="0" w:noHBand="0" w:noVBand="1"/>
      </w:tblPr>
      <w:tblGrid>
        <w:gridCol w:w="896"/>
        <w:gridCol w:w="1177"/>
        <w:gridCol w:w="1165"/>
        <w:gridCol w:w="852"/>
        <w:gridCol w:w="1093"/>
        <w:gridCol w:w="1450"/>
        <w:gridCol w:w="1605"/>
      </w:tblGrid>
      <w:tr>
        <w:trPr>
          <w:jc w:val="center"/>
          <w:tblCellSpacing w:w="0" w:type="dxa"/>
          <w:trHeight w:val="544"/>
        </w:trPr>
        <w:tc>
          <w:tcPr>
            <w:tcBorders>
              <w:top w:val="single" w:color="000000" w:sz="8" w:space="0"/>
              <w:left w:val="single" w:color="000000" w:sz="8" w:space="0"/>
              <w:bottom w:val="single" w:color="000000" w:sz="8" w:space="0"/>
              <w:right w:val="single" w:color="000000" w:sz="8" w:space="0"/>
            </w:tcBorders>
            <w:tcW w:w="896" w:type="dxa"/>
            <w:vAlign w:val="center"/>
            <w:vMerge w:val="restart"/>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r>
      <w:tr>
        <w:trPr>
          <w:jc w:val="center"/>
          <w:tblCellSpacing w:w="0" w:type="dxa"/>
          <w:trHeight w:val="294"/>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分项服务名称</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交付期</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分项单位</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分项</w:t>
            </w:r>
            <w:r/>
          </w:p>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单价</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分项</w:t>
            </w:r>
            <w:r/>
          </w:p>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总价</w:t>
            </w:r>
            <w:r/>
          </w:p>
        </w:tc>
      </w:tr>
      <w:tr>
        <w:trPr>
          <w:jc w:val="center"/>
          <w:tblCellSpacing w:w="0" w:type="dxa"/>
          <w:trHeight w:val="654"/>
        </w:trPr>
        <w:tc>
          <w:tcPr>
            <w:tcBorders>
              <w:top w:val="single" w:color="000000" w:sz="8" w:space="0"/>
              <w:left w:val="single" w:color="000000" w:sz="8" w:space="0"/>
              <w:bottom w:val="single" w:color="000000" w:sz="8" w:space="0"/>
              <w:right w:val="single" w:color="000000" w:sz="8" w:space="0"/>
            </w:tcBorders>
            <w:tcW w:w="896"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r>
      <w:tr>
        <w:trPr>
          <w:jc w:val="center"/>
          <w:tblCellSpacing w:w="0" w:type="dxa"/>
          <w:trHeight w:val="654"/>
        </w:trPr>
        <w:tc>
          <w:tcPr>
            <w:tcBorders>
              <w:top w:val="single" w:color="000000" w:sz="8" w:space="0"/>
              <w:left w:val="single" w:color="000000" w:sz="8" w:space="0"/>
              <w:bottom w:val="single" w:color="000000" w:sz="8" w:space="0"/>
              <w:right w:val="single" w:color="000000" w:sz="8" w:space="0"/>
            </w:tcBorders>
            <w:tcW w:w="896"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r>
      <w:tr>
        <w:trPr>
          <w:jc w:val="center"/>
          <w:tblCellSpacing w:w="0" w:type="dxa"/>
          <w:trHeight w:val="654"/>
        </w:trPr>
        <w:tc>
          <w:tcPr>
            <w:tcBorders>
              <w:top w:val="single" w:color="000000" w:sz="8" w:space="0"/>
              <w:left w:val="single" w:color="000000" w:sz="8" w:space="0"/>
              <w:bottom w:val="single" w:color="000000" w:sz="8" w:space="0"/>
              <w:right w:val="single" w:color="000000" w:sz="8" w:space="0"/>
            </w:tcBorders>
            <w:tcW w:w="896"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r>
      <w:tr>
        <w:trPr>
          <w:jc w:val="center"/>
          <w:tblCellSpacing w:w="0" w:type="dxa"/>
          <w:trHeight w:val="654"/>
        </w:trPr>
        <w:tc>
          <w:tcPr>
            <w:tcBorders>
              <w:top w:val="single" w:color="000000" w:sz="8" w:space="0"/>
              <w:left w:val="single" w:color="000000" w:sz="8" w:space="0"/>
              <w:bottom w:val="single" w:color="000000" w:sz="8" w:space="0"/>
              <w:right w:val="single" w:color="000000" w:sz="8" w:space="0"/>
            </w:tcBorders>
            <w:tcW w:w="896"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r>
      <w:tr>
        <w:trPr>
          <w:jc w:val="center"/>
          <w:tblCellSpacing w:w="0" w:type="dxa"/>
          <w:trHeight w:val="487"/>
        </w:trPr>
        <w:tc>
          <w:tcPr>
            <w:gridSpan w:val="6"/>
            <w:tcBorders>
              <w:top w:val="single" w:color="000000" w:sz="8" w:space="0"/>
              <w:left w:val="single" w:color="000000" w:sz="8" w:space="0"/>
              <w:bottom w:val="single" w:color="000000" w:sz="8" w:space="0"/>
              <w:right w:val="single" w:color="000000" w:sz="8" w:space="0"/>
            </w:tcBorders>
            <w:tcW w:w="6633" w:type="dxa"/>
            <w:vAlign w:val="center"/>
            <w:textDirection w:val="lrTb"/>
            <w:noWrap w:val="false"/>
          </w:tcPr>
          <w:p>
            <w:pPr>
              <w:jc w:val="center"/>
              <w:spacing w:before="240" w:after="24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投标总报价（人民币：元）</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spacing w:before="240" w:after="240"/>
              <w:widowControl/>
              <w:rPr>
                <w:rFonts w:cs="宋体" w:asciiTheme="minorEastAsia" w:hAnsiTheme="minorEastAsia" w:eastAsiaTheme="minorEastAsia"/>
                <w:sz w:val="24"/>
              </w:rPr>
            </w:pPr>
            <w:r>
              <w:rPr>
                <w:rFonts w:cs="Calibri" w:asciiTheme="minorEastAsia" w:hAnsiTheme="minorEastAsia" w:eastAsiaTheme="minorEastAsia"/>
                <w:sz w:val="24"/>
              </w:rPr>
              <w:t xml:space="preserve"> </w:t>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1.投标报价</w:t>
      </w:r>
      <w:r>
        <w:rPr>
          <w:rFonts w:hint="eastAsia" w:cs="宋体" w:asciiTheme="minorEastAsia" w:hAnsiTheme="minorEastAsia" w:eastAsiaTheme="minorEastAsia"/>
          <w:szCs w:val="21"/>
        </w:rPr>
        <w:t xml:space="preserve">采用总</w:t>
      </w:r>
      <w:r>
        <w:rPr>
          <w:rFonts w:hint="eastAsia" w:cs="宋体" w:asciiTheme="minorEastAsia" w:hAnsiTheme="minorEastAsia" w:eastAsiaTheme="minorEastAsia"/>
          <w:szCs w:val="21"/>
        </w:rPr>
        <w:t xml:space="preserve">承包方式，投标人在投标报价均包括完成该项目的所需的成本、安全措施费、风险费、保险、利润、税金等所有费用，是包括满足规程规范要求和通过验收要求的一切费用，是招标文件所确定的招标范围内全部工作内容的价格表现。投标单价为计入完成该工程项目的所需的成本、人工费、零配件及辅材费、检修报告费、安全措施费、风险费、保险、利润、税金等所有费用的</w:t>
      </w:r>
      <w:r>
        <w:rPr>
          <w:rFonts w:hint="eastAsia" w:cs="宋体" w:asciiTheme="minorEastAsia" w:hAnsiTheme="minorEastAsia" w:eastAsiaTheme="minorEastAsia"/>
          <w:szCs w:val="21"/>
        </w:rPr>
        <w:t xml:space="preserve">全费用</w:t>
      </w:r>
      <w:r>
        <w:rPr>
          <w:rFonts w:hint="eastAsia" w:cs="宋体" w:asciiTheme="minorEastAsia" w:hAnsiTheme="minorEastAsia" w:eastAsiaTheme="minorEastAsia"/>
          <w:szCs w:val="21"/>
        </w:rPr>
        <w:t xml:space="preserve">单价</w:t>
      </w:r>
      <w:r>
        <w:rPr>
          <w:rFonts w:hint="eastAsia" w:cs="宋体" w:asciiTheme="minorEastAsia" w:hAnsiTheme="minorEastAsia" w:eastAsiaTheme="minorEastAsia"/>
          <w:szCs w:val="21"/>
        </w:rPr>
        <w:t xml:space="preserve">。</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“投标分项报价表”中“投标总报价”数额应当与“开标一览表”中“投标总报价”数额一致。</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b/>
          <w:szCs w:val="21"/>
        </w:rPr>
        <w:t xml:space="preserve">搬迁补偿总费用为：</w:t>
      </w:r>
      <w:r>
        <w:rPr>
          <w:rFonts w:cs="宋体" w:asciiTheme="minorEastAsia" w:hAnsiTheme="minorEastAsia" w:eastAsiaTheme="minorEastAsia"/>
          <w:b/>
          <w:szCs w:val="21"/>
        </w:rPr>
        <w:t xml:space="preserve">46906.71</w:t>
      </w:r>
      <w:r>
        <w:rPr>
          <w:rFonts w:hint="eastAsia" w:cs="宋体" w:asciiTheme="minorEastAsia" w:hAnsiTheme="minorEastAsia" w:eastAsiaTheme="minorEastAsia"/>
          <w:b/>
          <w:szCs w:val="21"/>
        </w:rPr>
        <w:t xml:space="preserve">万元（该费用为固定价格、不可竞争费用，投标人不得改变此价格，否则按无效标处理），后期根据项目实施和拆迁补偿政策上下浮动，结算时以实际支出为准。</w:t>
      </w:r>
      <w:r/>
    </w:p>
    <w:p>
      <w:pPr>
        <w:pStyle w:val="724"/>
        <w:numPr>
          <w:ilvl w:val="0"/>
          <w:numId w:val="8"/>
        </w:numPr>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br w:type="page" w:clear="all"/>
      </w:r>
      <w:r/>
    </w:p>
    <w:p>
      <w:pPr>
        <w:pStyle w:val="912"/>
        <w:jc w:val="center"/>
        <w:spacing w:before="0" w:beforeAutospacing="0" w:after="0" w:afterAutospacing="0" w:line="0" w:lineRule="atLeast"/>
        <w:widowControl w:val="off"/>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十</w:t>
      </w:r>
      <w:r>
        <w:rPr>
          <w:rFonts w:hint="eastAsia" w:asciiTheme="minorEastAsia" w:hAnsiTheme="minorEastAsia" w:eastAsiaTheme="minorEastAsia"/>
          <w:b/>
          <w:sz w:val="28"/>
          <w:szCs w:val="28"/>
        </w:rPr>
        <w:t xml:space="preserve">一</w:t>
      </w:r>
      <w:r>
        <w:rPr>
          <w:rFonts w:hint="eastAsia" w:asciiTheme="minorEastAsia" w:hAnsiTheme="minorEastAsia" w:eastAsiaTheme="minorEastAsia"/>
          <w:b/>
          <w:sz w:val="28"/>
          <w:szCs w:val="28"/>
        </w:rPr>
        <w:t xml:space="preserve">、技术要求响应及偏离表</w:t>
      </w:r>
      <w:r/>
    </w:p>
    <w:tbl>
      <w:tblPr>
        <w:tblW w:w="9157" w:type="dxa"/>
        <w:jc w:val="center"/>
        <w:tblCellSpacing w:w="0" w:type="dxa"/>
        <w:tblLayout w:type="fixed"/>
        <w:tblLook w:val="04A0" w:firstRow="1" w:lastRow="0" w:firstColumn="1" w:lastColumn="0" w:noHBand="0" w:noVBand="1"/>
      </w:tblPr>
      <w:tblGrid>
        <w:gridCol w:w="538"/>
        <w:gridCol w:w="3026"/>
        <w:gridCol w:w="2608"/>
        <w:gridCol w:w="1247"/>
        <w:gridCol w:w="1738"/>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证明</w:t>
            </w:r>
            <w:r/>
          </w:p>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bl>
    <w:p>
      <w:pPr>
        <w:pStyle w:val="912"/>
        <w:jc w:val="both"/>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注： 行数不够，可自行添加。</w:t>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rPr>
          <w:rFonts w:asciiTheme="minorEastAsia" w:hAnsiTheme="minorEastAsia" w:eastAsiaTheme="minorEastAsia"/>
        </w:rPr>
      </w:pPr>
      <w:r>
        <w:rPr>
          <w:rFonts w:hint="eastAsia" w:asciiTheme="minorEastAsia" w:hAnsiTheme="minorEastAsia" w:eastAsiaTheme="minorEastAsia"/>
        </w:rPr>
        <w:t xml:space="preserve">投标方：（单位盖章）</w:t>
      </w:r>
      <w:r/>
    </w:p>
    <w:p>
      <w:pPr>
        <w:rPr>
          <w:rFonts w:asciiTheme="minorEastAsia" w:hAnsiTheme="minorEastAsia" w:eastAsiaTheme="minorEastAsia"/>
        </w:rPr>
      </w:pPr>
      <w:r>
        <w:rPr>
          <w:rFonts w:hint="eastAsia" w:asciiTheme="minorEastAsia" w:hAnsiTheme="minorEastAsia" w:eastAsiaTheme="minorEastAsia"/>
        </w:rPr>
        <w:t xml:space="preserve">法定代表人或授权委托人：（签字或盖章）   </w:t>
      </w:r>
      <w:r/>
    </w:p>
    <w:p>
      <w:pPr>
        <w:pStyle w:val="912"/>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日期：         年</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月</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日</w:t>
      </w:r>
      <w:r>
        <w:rPr>
          <w:rFonts w:asciiTheme="minorEastAsia" w:hAnsiTheme="minorEastAsia" w:eastAsiaTheme="minorEastAsia"/>
        </w:rPr>
        <w:t xml:space="preserve"> </w:t>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line="0" w:lineRule="atLeast"/>
        <w:widowControl w:val="off"/>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rPr>
          <w:rFonts w:hint="eastAsia" w:asciiTheme="minorEastAsia" w:hAnsiTheme="minorEastAsia" w:eastAsiaTheme="minorEastAsia"/>
          <w:b/>
          <w:sz w:val="28"/>
          <w:szCs w:val="28"/>
        </w:rPr>
        <w:t xml:space="preserve">十</w:t>
      </w:r>
      <w:r>
        <w:rPr>
          <w:rFonts w:hint="eastAsia" w:asciiTheme="minorEastAsia" w:hAnsiTheme="minorEastAsia" w:eastAsiaTheme="minorEastAsia"/>
          <w:b/>
          <w:sz w:val="28"/>
          <w:szCs w:val="28"/>
        </w:rPr>
        <w:t xml:space="preserve">二</w:t>
      </w:r>
      <w:r>
        <w:rPr>
          <w:rFonts w:hint="eastAsia" w:asciiTheme="minorEastAsia" w:hAnsiTheme="minorEastAsia" w:eastAsiaTheme="minorEastAsia"/>
          <w:b/>
          <w:sz w:val="28"/>
          <w:szCs w:val="28"/>
        </w:rPr>
        <w:t xml:space="preserve">、商务要求响应及偏离表</w:t>
      </w:r>
      <w:r/>
    </w:p>
    <w:tbl>
      <w:tblPr>
        <w:tblW w:w="8520" w:type="dxa"/>
        <w:jc w:val="center"/>
        <w:tblCellSpacing w:w="0" w:type="dxa"/>
        <w:tblLayout w:type="fixed"/>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bookmarkStart w:id="117" w:name="_Hlt26609391"/>
            <w:r/>
            <w:bookmarkStart w:id="118" w:name="_Hlt26955056"/>
            <w:r/>
            <w:bookmarkStart w:id="119" w:name="_Hlt26782999"/>
            <w:r/>
            <w:bookmarkStart w:id="120" w:name="_Hlt24879081"/>
            <w:r/>
            <w:bookmarkStart w:id="121" w:name="_Hlt26671372"/>
            <w:r/>
            <w:bookmarkStart w:id="122" w:name="_Hlt26955064"/>
            <w:r/>
            <w:bookmarkStart w:id="123" w:name="_Hlt26671343"/>
            <w:r/>
            <w:bookmarkStart w:id="124" w:name="_Hlt26580838"/>
            <w:r>
              <w:rPr>
                <w:rFonts w:hint="eastAsia" w:asciiTheme="minorEastAsia" w:hAnsiTheme="minorEastAsia" w:eastAsiaTheme="minorEastAsia"/>
              </w:rPr>
              <w:t xml:space="preserve">序号</w:t>
            </w:r>
            <w:bookmarkEnd w:id="117"/>
            <w:r/>
            <w:bookmarkEnd w:id="118"/>
            <w:r/>
            <w:bookmarkEnd w:id="119"/>
            <w:r/>
            <w:bookmarkEnd w:id="120"/>
            <w:r/>
            <w:bookmarkEnd w:id="121"/>
            <w:r/>
            <w:bookmarkEnd w:id="122"/>
            <w:r/>
            <w:bookmarkEnd w:id="123"/>
            <w:r/>
            <w:bookmarkEnd w:id="124"/>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证明</w:t>
            </w:r>
            <w:r/>
          </w:p>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bl>
    <w:p>
      <w:pPr>
        <w:pStyle w:val="912"/>
        <w:jc w:val="both"/>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注： 行数不够，可自行添加。</w:t>
      </w:r>
      <w:r/>
    </w:p>
    <w:p>
      <w:pPr>
        <w:pStyle w:val="912"/>
        <w:jc w:val="both"/>
        <w:spacing w:before="0" w:beforeAutospacing="0" w:after="0" w:afterAutospacing="0" w:line="480" w:lineRule="auto"/>
        <w:widowControl w:val="off"/>
        <w:rPr>
          <w:rFonts w:asciiTheme="minorEastAsia" w:hAnsiTheme="minorEastAsia" w:eastAsiaTheme="minorEastAsia"/>
        </w:rPr>
      </w:pPr>
      <w:r>
        <w:rPr>
          <w:rFonts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 xml:space="preserve">投标方：（单位盖章）</w:t>
      </w:r>
      <w:r/>
    </w:p>
    <w:p>
      <w:pPr>
        <w:rPr>
          <w:rFonts w:asciiTheme="minorEastAsia" w:hAnsiTheme="minorEastAsia" w:eastAsiaTheme="minorEastAsia"/>
        </w:rPr>
      </w:pPr>
      <w:r>
        <w:rPr>
          <w:rFonts w:hint="eastAsia" w:asciiTheme="minorEastAsia" w:hAnsiTheme="minorEastAsia" w:eastAsiaTheme="minorEastAsia"/>
        </w:rPr>
        <w:t xml:space="preserve">法定代表人或授权委托人：（签字或盖章）   </w:t>
      </w:r>
      <w:r/>
    </w:p>
    <w:p>
      <w:pPr>
        <w:pStyle w:val="912"/>
        <w:jc w:val="both"/>
        <w:spacing w:before="0" w:beforeAutospacing="0" w:after="0" w:afterAutospacing="0" w:line="480" w:lineRule="auto"/>
        <w:widowControl w:val="off"/>
        <w:rPr>
          <w:rFonts w:asciiTheme="minorEastAsia" w:hAnsiTheme="minorEastAsia" w:eastAsiaTheme="minorEastAsia"/>
        </w:rPr>
      </w:pPr>
      <w:r>
        <w:rPr>
          <w:rFonts w:hint="eastAsia" w:asciiTheme="minorEastAsia" w:hAnsiTheme="minorEastAsia" w:eastAsiaTheme="minorEastAsia"/>
        </w:rPr>
        <w:t xml:space="preserve">日期：         年</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月</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日</w:t>
      </w:r>
      <w:r>
        <w:rPr>
          <w:rFonts w:asciiTheme="minorEastAsia" w:hAnsiTheme="minorEastAsia" w:eastAsiaTheme="minorEastAsia"/>
        </w:rPr>
        <w:t xml:space="preserve"> </w:t>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jc w:val="center"/>
        <w:spacing w:before="0" w:beforeAutospacing="0" w:after="0" w:afterAutospacing="0" w:line="0" w:lineRule="atLeast"/>
        <w:widowControl w:val="off"/>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912"/>
        <w:jc w:val="center"/>
        <w:spacing w:before="0" w:beforeAutospacing="0" w:after="0" w:afterAutospacing="0" w:line="0" w:lineRule="atLeast"/>
        <w:widowControl w:val="off"/>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912"/>
        <w:jc w:val="center"/>
        <w:spacing w:before="0" w:beforeAutospacing="0" w:after="0" w:afterAutospacing="0" w:line="0" w:lineRule="atLeast"/>
        <w:widowControl w:val="off"/>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十</w:t>
      </w:r>
      <w:r>
        <w:rPr>
          <w:rFonts w:hint="eastAsia" w:asciiTheme="minorEastAsia" w:hAnsiTheme="minorEastAsia" w:eastAsiaTheme="minorEastAsia"/>
          <w:b/>
          <w:sz w:val="28"/>
          <w:szCs w:val="28"/>
        </w:rPr>
        <w:t xml:space="preserve">三</w:t>
      </w:r>
      <w:r>
        <w:rPr>
          <w:rFonts w:hint="eastAsia" w:asciiTheme="minorEastAsia" w:hAnsiTheme="minorEastAsia" w:eastAsiaTheme="minorEastAsia"/>
          <w:b/>
          <w:sz w:val="28"/>
          <w:szCs w:val="28"/>
        </w:rPr>
        <w:t xml:space="preserve">、开标一览表</w:t>
      </w:r>
      <w:r/>
    </w:p>
    <w:p>
      <w:pPr>
        <w:pStyle w:val="912"/>
        <w:ind w:firstLine="480"/>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ind w:firstLine="480"/>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项目编号：</w:t>
      </w:r>
      <w:r/>
    </w:p>
    <w:p>
      <w:pPr>
        <w:pStyle w:val="912"/>
        <w:ind w:firstLine="480"/>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货币单位：人民币元</w:t>
      </w:r>
      <w:r/>
    </w:p>
    <w:tbl>
      <w:tblPr>
        <w:tblW w:w="8413" w:type="dxa"/>
        <w:jc w:val="center"/>
        <w:tblCellSpacing w:w="0" w:type="dxa"/>
        <w:tblLayout w:type="fixed"/>
        <w:tblLook w:val="04A0" w:firstRow="1" w:lastRow="0" w:firstColumn="1" w:lastColumn="0" w:noHBand="0" w:noVBand="1"/>
      </w:tblPr>
      <w:tblGrid>
        <w:gridCol w:w="2804"/>
        <w:gridCol w:w="17"/>
        <w:gridCol w:w="2787"/>
        <w:gridCol w:w="2805"/>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912"/>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总价（小写）</w:t>
            </w:r>
            <w:r/>
          </w:p>
        </w:tc>
      </w:tr>
      <w:tr>
        <w:trPr>
          <w:jc w:val="center"/>
          <w:tblCellSpacing w:w="0" w:type="dxa"/>
          <w:trHeight w:val="1436"/>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912"/>
              <w:spacing w:before="0" w:beforeAutospacing="0" w:after="0" w:afterAutospacing="0" w:line="0" w:lineRule="atLeast"/>
              <w:widowControl w:val="off"/>
              <w:rPr>
                <w:rFonts w:asciiTheme="minorEastAsia" w:hAnsiTheme="minorEastAsia" w:eastAsiaTheme="minorEastAsia"/>
              </w:rPr>
            </w:pPr>
            <w:r>
              <w:rPr>
                <w:rFonts w:hint="eastAsia" w:asciiTheme="minorEastAsia" w:hAnsiTheme="minorEastAsia" w:eastAsiaTheme="minorEastAsia"/>
              </w:rPr>
              <w:t xml:space="preserve">盐城经济技术开发区新城街道2024年改善农民群众住房条件项目</w:t>
            </w:r>
            <w:r/>
          </w:p>
        </w:tc>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912"/>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912"/>
              <w:ind w:firstLine="1920"/>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元</w:t>
            </w:r>
            <w:r/>
          </w:p>
        </w:tc>
      </w:tr>
      <w:tr>
        <w:trPr>
          <w:jc w:val="cente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spacing w:line="360" w:lineRule="auto"/>
              <w:rPr>
                <w:rFonts w:asciiTheme="minorEastAsia" w:hAnsiTheme="minorEastAsia" w:eastAsiaTheme="minorEastAsia"/>
                <w:b/>
                <w:bCs/>
                <w:sz w:val="24"/>
              </w:rPr>
            </w:pPr>
            <w:r>
              <w:rPr>
                <w:rFonts w:asciiTheme="minorEastAsia" w:hAnsiTheme="minorEastAsia" w:eastAsiaTheme="minorEastAsia"/>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spacing w:line="360" w:lineRule="auto"/>
              <w:rPr>
                <w:rFonts w:asciiTheme="minorEastAsia" w:hAnsiTheme="minorEastAsia" w:eastAsiaTheme="minorEastAsia"/>
                <w:b/>
                <w:bCs/>
                <w:sz w:val="24"/>
              </w:rPr>
            </w:pPr>
            <w:r>
              <w:rPr>
                <w:rStyle w:val="959"/>
                <w:rFonts w:asciiTheme="minorEastAsia" w:hAnsiTheme="minorEastAsia" w:eastAsiaTheme="minorEastAsia"/>
              </w:rPr>
              <w:t xml:space="preserve">金额大写</w:t>
            </w:r>
            <w:r>
              <w:rPr>
                <w:rFonts w:asciiTheme="minorEastAsia" w:hAnsiTheme="minorEastAsia" w:eastAsiaTheme="minorEastAsia"/>
              </w:rPr>
              <w:t xml:space="preserve"> </w:t>
            </w:r>
            <w:r/>
          </w:p>
        </w:tc>
      </w:tr>
    </w:tbl>
    <w:p>
      <w:pPr>
        <w:pStyle w:val="912"/>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12"/>
        <w:ind w:firstLine="480"/>
        <w:jc w:val="both"/>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     </w:t>
      </w:r>
      <w:r>
        <w:rPr>
          <w:rFonts w:asciiTheme="minorEastAsia" w:hAnsiTheme="minorEastAsia" w:eastAsiaTheme="minorEastAsia"/>
        </w:rPr>
        <w:t xml:space="preserve">投标人公章：               （电子签章）</w:t>
      </w:r>
      <w:r/>
    </w:p>
    <w:p>
      <w:pPr>
        <w:pStyle w:val="912"/>
        <w:ind w:firstLine="480"/>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ind w:firstLine="480"/>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ind w:firstLine="480"/>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12"/>
        <w:ind w:firstLine="480"/>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jc w:val="left"/>
        <w:widowControl/>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br w:type="page" w:clear="all"/>
      </w:r>
      <w:r/>
    </w:p>
    <w:p>
      <w:pPr>
        <w:jc w:val="center"/>
        <w:spacing w:line="500" w:lineRule="exact"/>
        <w:widowControl/>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十</w:t>
      </w:r>
      <w:r>
        <w:rPr>
          <w:rFonts w:hint="eastAsia" w:cs="宋体" w:asciiTheme="minorEastAsia" w:hAnsiTheme="minorEastAsia" w:eastAsiaTheme="minorEastAsia"/>
          <w:b/>
          <w:bCs/>
          <w:sz w:val="28"/>
          <w:szCs w:val="28"/>
        </w:rPr>
        <w:t xml:space="preserve">四</w:t>
      </w:r>
      <w:r>
        <w:rPr>
          <w:rFonts w:hint="eastAsia" w:cs="宋体" w:asciiTheme="minorEastAsia" w:hAnsiTheme="minorEastAsia" w:eastAsiaTheme="minorEastAsia"/>
          <w:b/>
          <w:bCs/>
          <w:sz w:val="28"/>
          <w:szCs w:val="28"/>
        </w:rPr>
        <w:t xml:space="preserve">、盐城经济技术开发区政府采购事前信用承诺书</w:t>
      </w:r>
      <w:r/>
    </w:p>
    <w:p>
      <w:pPr>
        <w:ind w:firstLine="640"/>
        <w:jc w:val="left"/>
        <w:spacing w:line="500" w:lineRule="exact"/>
        <w:widowControl/>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480"/>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为营造盐城经济技术开发区公开、公平、公正、诚实守信的政府采购交易环境，树立诚信守法的投标人形象，本人代表本单位</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以下承诺：</w:t>
      </w:r>
      <w:r/>
    </w:p>
    <w:p>
      <w:pPr>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   （四）严格遵守即时信息公示规定，</w:t>
      </w:r>
      <w:r>
        <w:rPr>
          <w:rFonts w:hint="eastAsia" w:asciiTheme="minorEastAsia" w:hAnsiTheme="minorEastAsia" w:eastAsiaTheme="minorEastAsia"/>
          <w:sz w:val="24"/>
        </w:rPr>
        <w:t xml:space="preserve">及时维护</w:t>
      </w:r>
      <w:r>
        <w:rPr>
          <w:rFonts w:hint="eastAsia" w:asciiTheme="minorEastAsia" w:hAnsiTheme="minorEastAsia" w:eastAsiaTheme="minorEastAsia"/>
          <w:sz w:val="24"/>
        </w:rPr>
        <w:t xml:space="preserve">和更新盐城市政府采购网等网站中与本单位相关的信息；</w:t>
      </w:r>
      <w:r/>
    </w:p>
    <w:p>
      <w:pPr>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   （五）自我约束、自我管理，守合同、重信用，自觉维护政府采购交易的良好秩序，与参与本次政府采购活动的其他供应商不存在直接控股或管理关系，不参与</w:t>
      </w:r>
      <w:r>
        <w:rPr>
          <w:rFonts w:hint="eastAsia" w:asciiTheme="minorEastAsia" w:hAnsiTheme="minorEastAsia" w:eastAsiaTheme="minorEastAsia"/>
          <w:sz w:val="24"/>
        </w:rPr>
        <w:t xml:space="preserve">围标串标</w:t>
      </w:r>
      <w:r>
        <w:rPr>
          <w:rFonts w:hint="eastAsia" w:asciiTheme="minorEastAsia" w:hAnsiTheme="minorEastAsia" w:eastAsiaTheme="minorEastAsia"/>
          <w:sz w:val="24"/>
        </w:rPr>
        <w:t xml:space="preserve">、弄虚作假、骗取中标、干扰评标、违约毁约等行为；</w:t>
      </w:r>
      <w:r/>
    </w:p>
    <w:p>
      <w:pPr>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   （六）自觉接受政府、行业组织、社会公众、新闻舆论的监督；</w:t>
      </w:r>
      <w:r/>
    </w:p>
    <w:p>
      <w:pPr>
        <w:ind w:firstLine="480"/>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   （八）本人已认真阅读了上述承诺，并向本单位员工作了宣传教育。</w:t>
      </w:r>
      <w:r/>
    </w:p>
    <w:p>
      <w:pPr>
        <w:jc w:val="left"/>
        <w:spacing w:line="500" w:lineRule="exact"/>
        <w:widowControl/>
        <w:rPr>
          <w:rFonts w:asciiTheme="minorEastAsia" w:hAnsiTheme="minorEastAsia" w:eastAsiaTheme="minorEastAsia"/>
          <w:sz w:val="24"/>
        </w:rPr>
      </w:pPr>
      <w:r>
        <w:rPr>
          <w:rFonts w:asciiTheme="minorEastAsia" w:hAnsiTheme="minorEastAsia" w:eastAsiaTheme="minorEastAsia"/>
          <w:sz w:val="24"/>
        </w:rPr>
      </w:r>
      <w:r/>
    </w:p>
    <w:p>
      <w:pPr>
        <w:jc w:val="center"/>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                          法定代表人签名：</w:t>
      </w:r>
      <w:r/>
    </w:p>
    <w:p>
      <w:pPr>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                                              单位名称（盖章）：</w:t>
      </w:r>
      <w:r>
        <w:rPr>
          <w:rFonts w:hint="eastAsia" w:cs="宋体" w:asciiTheme="minorEastAsia" w:hAnsiTheme="minorEastAsia" w:eastAsiaTheme="minorEastAsia"/>
          <w:b/>
          <w:i/>
          <w:iCs/>
          <w:sz w:val="24"/>
          <w:u w:val="single"/>
        </w:rPr>
        <w:t xml:space="preserve">（加盖CA电子公章）</w:t>
      </w:r>
      <w:r/>
    </w:p>
    <w:p>
      <w:pPr>
        <w:jc w:val="center"/>
        <w:spacing w:line="5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                      年    月    日</w:t>
      </w:r>
      <w:r/>
    </w:p>
    <w:p>
      <w:pPr>
        <w:jc w:val="center"/>
        <w:spacing w:line="500" w:lineRule="exact"/>
        <w:widowControl/>
        <w:rPr>
          <w:rFonts w:cs="宋体" w:asciiTheme="minorEastAsia" w:hAnsiTheme="minorEastAsia" w:eastAsiaTheme="minorEastAsia"/>
          <w:b/>
          <w:bCs/>
          <w:sz w:val="28"/>
          <w:szCs w:val="28"/>
        </w:rPr>
      </w:pPr>
      <w:r>
        <w:rPr>
          <w:rFonts w:asciiTheme="minorEastAsia" w:hAnsiTheme="minorEastAsia" w:eastAsiaTheme="minorEastAsia"/>
          <w:sz w:val="24"/>
        </w:rPr>
        <w:br w:type="page" w:clear="all"/>
      </w:r>
      <w:r>
        <w:rPr>
          <w:rFonts w:hint="eastAsia" w:cs="宋体" w:asciiTheme="minorEastAsia" w:hAnsiTheme="minorEastAsia" w:eastAsiaTheme="minorEastAsia"/>
          <w:b/>
          <w:bCs/>
          <w:sz w:val="28"/>
          <w:szCs w:val="28"/>
        </w:rPr>
        <w:t xml:space="preserve">十</w:t>
      </w:r>
      <w:r>
        <w:rPr>
          <w:rFonts w:hint="eastAsia" w:cs="宋体" w:asciiTheme="minorEastAsia" w:hAnsiTheme="minorEastAsia" w:eastAsiaTheme="minorEastAsia"/>
          <w:b/>
          <w:bCs/>
          <w:sz w:val="28"/>
          <w:szCs w:val="28"/>
        </w:rPr>
        <w:t xml:space="preserve">五</w:t>
      </w:r>
      <w:r>
        <w:rPr>
          <w:rFonts w:hint="eastAsia" w:cs="宋体" w:asciiTheme="minorEastAsia" w:hAnsiTheme="minorEastAsia" w:eastAsiaTheme="minorEastAsia"/>
          <w:b/>
          <w:bCs/>
          <w:sz w:val="28"/>
          <w:szCs w:val="28"/>
        </w:rPr>
        <w:t xml:space="preserve">、投标人认为需要提供的其他材料</w:t>
      </w:r>
      <w:r/>
    </w:p>
    <w:p>
      <w:pPr>
        <w:pStyle w:val="913"/>
        <w:ind w:firstLine="240"/>
        <w:rPr>
          <w:rFonts w:asciiTheme="minorEastAsia" w:hAnsiTheme="minorEastAsia" w:eastAsiaTheme="minorEastAsia"/>
          <w:b/>
          <w:bCs/>
          <w:sz w:val="24"/>
        </w:rPr>
      </w:pPr>
      <w:r>
        <w:rPr>
          <w:rFonts w:asciiTheme="minorEastAsia" w:hAnsiTheme="minorEastAsia" w:eastAsiaTheme="minorEastAsia"/>
          <w:b/>
          <w:bCs/>
          <w:sz w:val="24"/>
        </w:rPr>
      </w:r>
      <w:r/>
    </w:p>
    <w:sectPr>
      <w:footerReference w:type="default" r:id="rId9"/>
      <w:footnotePr/>
      <w:endnotePr/>
      <w:type w:val="nextPage"/>
      <w:pgSz w:w="11906" w:h="16838" w:orient="portrait"/>
      <w:pgMar w:top="1418" w:right="885" w:bottom="1134" w:left="116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instrText xml:space="preserve">PAGE \* MERGEFORMAT</w:instrText>
    </w:r>
    <w:r>
      <w:fldChar w:fldCharType="separate"/>
    </w:r>
    <w:r>
      <w:t xml:space="preserve">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8"/>
      <w:isLgl w:val="false"/>
      <w:suff w:val="tab"/>
      <w:lvlText w:val="%1"/>
      <w:lvlJc w:val="left"/>
      <w:pPr>
        <w:ind w:left="425" w:hanging="425"/>
      </w:pPr>
      <w:rPr>
        <w:rFonts w:ascii="黑体" w:hAnsi="黑体" w:eastAsia="黑体"/>
      </w:rPr>
    </w:lvl>
    <w:lvl w:ilvl="1">
      <w:start w:val="1"/>
      <w:numFmt w:val="decimal"/>
      <w:pStyle w:val="939"/>
      <w:isLgl w:val="false"/>
      <w:suff w:val="tab"/>
      <w:lvlText w:val="%1.%2"/>
      <w:lvlJc w:val="left"/>
      <w:pPr>
        <w:ind w:left="992" w:hanging="567"/>
      </w:pPr>
    </w:lvl>
    <w:lvl w:ilvl="2">
      <w:start w:val="1"/>
      <w:numFmt w:val="decimal"/>
      <w:isLgl w:val="false"/>
      <w:suff w:val="tab"/>
      <w:lvlText w:val="%1.%2.%3"/>
      <w:lvlJc w:val="left"/>
      <w:pPr>
        <w:ind w:left="99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34"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8">
    <w:multiLevelType w:val="hybridMultilevel"/>
    <w:lvl w:ilvl="0">
      <w:start w:val="1"/>
      <w:numFmt w:val="decimal"/>
      <w:pStyle w:val="920"/>
      <w:isLgl w:val="false"/>
      <w:suff w:val="tab"/>
      <w:lvlText w:val="%1、"/>
      <w:lvlJc w:val="left"/>
      <w:pPr>
        <w:ind w:left="480" w:hanging="480"/>
        <w:tabs>
          <w:tab w:val="num" w:pos="2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num w:numId="1">
    <w:abstractNumId w:val="2"/>
  </w:num>
  <w:num w:numId="2">
    <w:abstractNumId w:val="8"/>
  </w:num>
  <w:num w:numId="3">
    <w:abstractNumId w:val="4"/>
  </w:num>
  <w:num w:numId="4">
    <w:abstractNumId w:val="3"/>
  </w:num>
  <w:num w:numId="5">
    <w:abstractNumId w:val="6"/>
  </w:num>
  <w:num w:numId="6">
    <w:abstractNumId w:val="1"/>
  </w:num>
  <w:num w:numId="7">
    <w:abstractNumId w:val="0"/>
  </w:num>
  <w:num w:numId="8">
    <w:abstractNumId w:val="9"/>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8">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7" w:default="1">
    <w:name w:val="Normal"/>
    <w:qFormat/>
    <w:pPr>
      <w:jc w:val="both"/>
      <w:widowControl w:val="off"/>
    </w:pPr>
    <w:rPr>
      <w:rFonts w:ascii="Calibri" w:hAnsi="Calibri"/>
      <w:sz w:val="21"/>
      <w:szCs w:val="24"/>
    </w:rPr>
  </w:style>
  <w:style w:type="paragraph" w:styleId="688">
    <w:name w:val="Heading 1"/>
    <w:basedOn w:val="687"/>
    <w:next w:val="687"/>
    <w:link w:val="715"/>
    <w:qFormat/>
    <w:pPr>
      <w:ind w:left="425" w:hanging="425"/>
      <w:keepLines/>
      <w:keepNext/>
      <w:spacing w:before="340" w:after="330" w:line="578" w:lineRule="auto"/>
      <w:tabs>
        <w:tab w:val="left" w:pos="432" w:leader="none"/>
      </w:tabs>
      <w:outlineLvl w:val="0"/>
    </w:pPr>
    <w:rPr>
      <w:rFonts w:eastAsia="楷体_GB2312"/>
      <w:b/>
      <w:bCs/>
      <w:sz w:val="44"/>
      <w:szCs w:val="44"/>
    </w:rPr>
  </w:style>
  <w:style w:type="paragraph" w:styleId="689">
    <w:name w:val="Heading 2"/>
    <w:basedOn w:val="687"/>
    <w:next w:val="687"/>
    <w:link w:val="716"/>
    <w:qFormat/>
    <w:pPr>
      <w:ind w:left="3686" w:hanging="567"/>
      <w:keepLines/>
      <w:keepNext/>
      <w:spacing w:before="260" w:after="260" w:line="416" w:lineRule="auto"/>
      <w:tabs>
        <w:tab w:val="left" w:pos="3686" w:leader="none"/>
      </w:tabs>
      <w:outlineLvl w:val="1"/>
    </w:pPr>
    <w:rPr>
      <w:rFonts w:ascii="Arial" w:hAnsi="Arial" w:eastAsia="黑体"/>
      <w:b/>
      <w:bCs/>
      <w:sz w:val="32"/>
      <w:szCs w:val="32"/>
    </w:rPr>
  </w:style>
  <w:style w:type="paragraph" w:styleId="690">
    <w:name w:val="Heading 3"/>
    <w:basedOn w:val="687"/>
    <w:next w:val="884"/>
    <w:link w:val="717"/>
    <w:qFormat/>
    <w:pPr>
      <w:ind w:left="2978" w:hanging="709"/>
      <w:keepLines/>
      <w:keepNext/>
      <w:spacing w:before="260" w:after="260" w:line="416" w:lineRule="auto"/>
      <w:tabs>
        <w:tab w:val="left" w:pos="2978" w:leader="none"/>
      </w:tabs>
      <w:outlineLvl w:val="2"/>
    </w:pPr>
    <w:rPr>
      <w:rFonts w:eastAsia="仿宋_GB2312"/>
      <w:b/>
      <w:bCs/>
      <w:sz w:val="32"/>
      <w:szCs w:val="32"/>
    </w:rPr>
  </w:style>
  <w:style w:type="paragraph" w:styleId="691">
    <w:name w:val="Heading 4"/>
    <w:basedOn w:val="687"/>
    <w:next w:val="687"/>
    <w:link w:val="886"/>
    <w:uiPriority w:val="99"/>
    <w:qFormat/>
    <w:pPr>
      <w:keepLines/>
      <w:keepNext/>
      <w:spacing w:before="280" w:after="290" w:line="376" w:lineRule="auto"/>
      <w:outlineLvl w:val="3"/>
    </w:pPr>
    <w:rPr>
      <w:rFonts w:ascii="Arial" w:hAnsi="Arial" w:eastAsia="黑体"/>
      <w:b/>
      <w:bCs/>
      <w:sz w:val="28"/>
      <w:szCs w:val="28"/>
    </w:rPr>
  </w:style>
  <w:style w:type="paragraph" w:styleId="692">
    <w:name w:val="Heading 5"/>
    <w:basedOn w:val="687"/>
    <w:next w:val="687"/>
    <w:link w:val="719"/>
    <w:uiPriority w:val="9"/>
    <w:unhideWhenUsed/>
    <w:qFormat/>
    <w:pPr>
      <w:keepLines/>
      <w:keepNext/>
      <w:spacing w:before="320" w:after="200"/>
      <w:outlineLvl w:val="4"/>
    </w:pPr>
    <w:rPr>
      <w:rFonts w:ascii="Arial" w:hAnsi="Arial" w:eastAsia="Arial" w:cs="Arial"/>
      <w:b/>
      <w:bCs/>
      <w:sz w:val="24"/>
    </w:rPr>
  </w:style>
  <w:style w:type="paragraph" w:styleId="693">
    <w:name w:val="Heading 6"/>
    <w:basedOn w:val="687"/>
    <w:next w:val="687"/>
    <w:link w:val="720"/>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22"/>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23"/>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style>
  <w:style w:type="table" w:styleId="698" w:default="1">
    <w:name w:val="Normal Table"/>
    <w:uiPriority w:val="99"/>
    <w:semiHidden/>
    <w:unhideWhenUsed/>
    <w:tblPr>
      <w:tblInd w:w="0" w:type="dxa"/>
      <w:tblCellMar>
        <w:left w:w="108" w:type="dxa"/>
        <w:top w:w="0" w:type="dxa"/>
        <w:right w:w="108" w:type="dxa"/>
        <w:bottom w:w="0" w:type="dxa"/>
      </w:tblCellMar>
    </w:tblPr>
  </w:style>
  <w:style w:type="numbering" w:styleId="699" w:default="1">
    <w:name w:val="No List"/>
    <w:uiPriority w:val="99"/>
    <w:semiHidden/>
    <w:unhideWhenUsed/>
  </w:style>
  <w:style w:type="character" w:styleId="700" w:customStyle="1">
    <w:name w:val="Heading 1 Char"/>
    <w:basedOn w:val="697"/>
    <w:uiPriority w:val="9"/>
    <w:rPr>
      <w:rFonts w:ascii="Arial" w:hAnsi="Arial" w:eastAsia="Arial" w:cs="Arial"/>
      <w:sz w:val="40"/>
      <w:szCs w:val="40"/>
    </w:rPr>
  </w:style>
  <w:style w:type="character" w:styleId="701" w:customStyle="1">
    <w:name w:val="Heading 2 Char"/>
    <w:basedOn w:val="697"/>
    <w:uiPriority w:val="9"/>
    <w:rPr>
      <w:rFonts w:ascii="Arial" w:hAnsi="Arial" w:eastAsia="Arial" w:cs="Arial"/>
      <w:sz w:val="34"/>
    </w:rPr>
  </w:style>
  <w:style w:type="character" w:styleId="702" w:customStyle="1">
    <w:name w:val="Heading 3 Char"/>
    <w:basedOn w:val="697"/>
    <w:uiPriority w:val="9"/>
    <w:rPr>
      <w:rFonts w:ascii="Arial" w:hAnsi="Arial" w:eastAsia="Arial" w:cs="Arial"/>
      <w:sz w:val="30"/>
      <w:szCs w:val="30"/>
    </w:rPr>
  </w:style>
  <w:style w:type="character" w:styleId="703" w:customStyle="1">
    <w:name w:val="Heading 5 Char"/>
    <w:basedOn w:val="697"/>
    <w:uiPriority w:val="9"/>
    <w:rPr>
      <w:rFonts w:ascii="Arial" w:hAnsi="Arial" w:eastAsia="Arial" w:cs="Arial"/>
      <w:b/>
      <w:bCs/>
      <w:sz w:val="24"/>
      <w:szCs w:val="24"/>
    </w:rPr>
  </w:style>
  <w:style w:type="character" w:styleId="704" w:customStyle="1">
    <w:name w:val="Heading 6 Char"/>
    <w:basedOn w:val="697"/>
    <w:uiPriority w:val="9"/>
    <w:rPr>
      <w:rFonts w:ascii="Arial" w:hAnsi="Arial" w:eastAsia="Arial" w:cs="Arial"/>
      <w:b/>
      <w:bCs/>
      <w:sz w:val="22"/>
      <w:szCs w:val="22"/>
    </w:rPr>
  </w:style>
  <w:style w:type="character" w:styleId="705" w:customStyle="1">
    <w:name w:val="Heading 7 Char"/>
    <w:basedOn w:val="697"/>
    <w:uiPriority w:val="9"/>
    <w:rPr>
      <w:rFonts w:ascii="Arial" w:hAnsi="Arial" w:eastAsia="Arial" w:cs="Arial"/>
      <w:b/>
      <w:bCs/>
      <w:i/>
      <w:iCs/>
      <w:sz w:val="22"/>
      <w:szCs w:val="22"/>
    </w:rPr>
  </w:style>
  <w:style w:type="character" w:styleId="706" w:customStyle="1">
    <w:name w:val="Heading 8 Char"/>
    <w:basedOn w:val="697"/>
    <w:uiPriority w:val="9"/>
    <w:rPr>
      <w:rFonts w:ascii="Arial" w:hAnsi="Arial" w:eastAsia="Arial" w:cs="Arial"/>
      <w:i/>
      <w:iCs/>
      <w:sz w:val="22"/>
      <w:szCs w:val="22"/>
    </w:rPr>
  </w:style>
  <w:style w:type="character" w:styleId="707" w:customStyle="1">
    <w:name w:val="Heading 9 Char"/>
    <w:basedOn w:val="697"/>
    <w:uiPriority w:val="9"/>
    <w:rPr>
      <w:rFonts w:ascii="Arial" w:hAnsi="Arial" w:eastAsia="Arial" w:cs="Arial"/>
      <w:i/>
      <w:iCs/>
      <w:sz w:val="21"/>
      <w:szCs w:val="21"/>
    </w:rPr>
  </w:style>
  <w:style w:type="character" w:styleId="708" w:customStyle="1">
    <w:name w:val="Title Char"/>
    <w:basedOn w:val="697"/>
    <w:uiPriority w:val="10"/>
    <w:rPr>
      <w:sz w:val="48"/>
      <w:szCs w:val="48"/>
    </w:rPr>
  </w:style>
  <w:style w:type="character" w:styleId="709" w:customStyle="1">
    <w:name w:val="Subtitle Char"/>
    <w:basedOn w:val="697"/>
    <w:uiPriority w:val="11"/>
    <w:rPr>
      <w:sz w:val="24"/>
      <w:szCs w:val="24"/>
    </w:rPr>
  </w:style>
  <w:style w:type="character" w:styleId="710" w:customStyle="1">
    <w:name w:val="Quote Char"/>
    <w:uiPriority w:val="29"/>
    <w:rPr>
      <w:i/>
    </w:rPr>
  </w:style>
  <w:style w:type="character" w:styleId="711" w:customStyle="1">
    <w:name w:val="Intense Quote Char"/>
    <w:uiPriority w:val="30"/>
    <w:rPr>
      <w:i/>
    </w:rPr>
  </w:style>
  <w:style w:type="character" w:styleId="712" w:customStyle="1">
    <w:name w:val="Header Char"/>
    <w:basedOn w:val="697"/>
    <w:uiPriority w:val="99"/>
  </w:style>
  <w:style w:type="character" w:styleId="713" w:customStyle="1">
    <w:name w:val="Footnote Text Char"/>
    <w:uiPriority w:val="99"/>
    <w:rPr>
      <w:sz w:val="18"/>
    </w:rPr>
  </w:style>
  <w:style w:type="character" w:styleId="714" w:customStyle="1">
    <w:name w:val="Endnote Text Char"/>
    <w:uiPriority w:val="99"/>
    <w:rPr>
      <w:sz w:val="20"/>
    </w:rPr>
  </w:style>
  <w:style w:type="character" w:styleId="715" w:customStyle="1">
    <w:name w:val="标题 1 Char"/>
    <w:link w:val="688"/>
    <w:uiPriority w:val="9"/>
    <w:rPr>
      <w:rFonts w:ascii="Arial" w:hAnsi="Arial" w:eastAsia="Arial" w:cs="Arial"/>
      <w:sz w:val="40"/>
      <w:szCs w:val="40"/>
    </w:rPr>
  </w:style>
  <w:style w:type="character" w:styleId="716" w:customStyle="1">
    <w:name w:val="标题 2 Char"/>
    <w:link w:val="689"/>
    <w:uiPriority w:val="9"/>
    <w:rPr>
      <w:rFonts w:ascii="Arial" w:hAnsi="Arial" w:eastAsia="Arial" w:cs="Arial"/>
      <w:sz w:val="34"/>
    </w:rPr>
  </w:style>
  <w:style w:type="character" w:styleId="717" w:customStyle="1">
    <w:name w:val="标题 3 Char"/>
    <w:link w:val="690"/>
    <w:uiPriority w:val="9"/>
    <w:rPr>
      <w:rFonts w:ascii="Arial" w:hAnsi="Arial" w:eastAsia="Arial" w:cs="Arial"/>
      <w:sz w:val="30"/>
      <w:szCs w:val="30"/>
    </w:rPr>
  </w:style>
  <w:style w:type="character" w:styleId="718" w:customStyle="1">
    <w:name w:val="Heading 4 Char"/>
    <w:uiPriority w:val="9"/>
    <w:rPr>
      <w:rFonts w:ascii="Arial" w:hAnsi="Arial" w:eastAsia="Arial" w:cs="Arial"/>
      <w:b/>
      <w:bCs/>
      <w:sz w:val="26"/>
      <w:szCs w:val="26"/>
    </w:rPr>
  </w:style>
  <w:style w:type="character" w:styleId="719" w:customStyle="1">
    <w:name w:val="标题 5 Char"/>
    <w:link w:val="692"/>
    <w:uiPriority w:val="9"/>
    <w:rPr>
      <w:rFonts w:ascii="Arial" w:hAnsi="Arial" w:eastAsia="Arial" w:cs="Arial"/>
      <w:b/>
      <w:bCs/>
      <w:sz w:val="24"/>
      <w:szCs w:val="24"/>
    </w:rPr>
  </w:style>
  <w:style w:type="character" w:styleId="720" w:customStyle="1">
    <w:name w:val="标题 6 Char"/>
    <w:link w:val="693"/>
    <w:uiPriority w:val="9"/>
    <w:rPr>
      <w:rFonts w:ascii="Arial" w:hAnsi="Arial" w:eastAsia="Arial" w:cs="Arial"/>
      <w:b/>
      <w:bCs/>
      <w:sz w:val="22"/>
      <w:szCs w:val="22"/>
    </w:rPr>
  </w:style>
  <w:style w:type="character" w:styleId="721" w:customStyle="1">
    <w:name w:val="标题 7 Char"/>
    <w:link w:val="694"/>
    <w:uiPriority w:val="9"/>
    <w:rPr>
      <w:rFonts w:ascii="Arial" w:hAnsi="Arial" w:eastAsia="Arial" w:cs="Arial"/>
      <w:b/>
      <w:bCs/>
      <w:i/>
      <w:iCs/>
      <w:sz w:val="22"/>
      <w:szCs w:val="22"/>
    </w:rPr>
  </w:style>
  <w:style w:type="character" w:styleId="722" w:customStyle="1">
    <w:name w:val="标题 8 Char"/>
    <w:link w:val="695"/>
    <w:uiPriority w:val="9"/>
    <w:rPr>
      <w:rFonts w:ascii="Arial" w:hAnsi="Arial" w:eastAsia="Arial" w:cs="Arial"/>
      <w:i/>
      <w:iCs/>
      <w:sz w:val="22"/>
      <w:szCs w:val="22"/>
    </w:rPr>
  </w:style>
  <w:style w:type="character" w:styleId="723" w:customStyle="1">
    <w:name w:val="标题 9 Char"/>
    <w:link w:val="696"/>
    <w:uiPriority w:val="9"/>
    <w:rPr>
      <w:rFonts w:ascii="Arial" w:hAnsi="Arial" w:eastAsia="Arial" w:cs="Arial"/>
      <w:i/>
      <w:iCs/>
      <w:sz w:val="21"/>
      <w:szCs w:val="21"/>
    </w:rPr>
  </w:style>
  <w:style w:type="paragraph" w:styleId="724">
    <w:name w:val="List Paragraph"/>
    <w:basedOn w:val="687"/>
    <w:qFormat/>
    <w:pPr>
      <w:contextualSpacing/>
      <w:ind w:left="720"/>
      <w:jc w:val="left"/>
      <w:widowControl/>
    </w:pPr>
    <w:rPr>
      <w:rFonts w:cs="宋体"/>
      <w:sz w:val="24"/>
      <w:lang w:eastAsia="en-US"/>
    </w:rPr>
  </w:style>
  <w:style w:type="paragraph" w:styleId="725">
    <w:name w:val="No Spacing"/>
    <w:uiPriority w:val="1"/>
    <w:qFormat/>
  </w:style>
  <w:style w:type="paragraph" w:styleId="726">
    <w:name w:val="Title"/>
    <w:basedOn w:val="687"/>
    <w:next w:val="687"/>
    <w:link w:val="727"/>
    <w:uiPriority w:val="10"/>
    <w:qFormat/>
    <w:pPr>
      <w:contextualSpacing/>
      <w:spacing w:before="300" w:after="200"/>
    </w:pPr>
    <w:rPr>
      <w:sz w:val="48"/>
      <w:szCs w:val="48"/>
    </w:rPr>
  </w:style>
  <w:style w:type="character" w:styleId="727" w:customStyle="1">
    <w:name w:val="标题 Char"/>
    <w:link w:val="726"/>
    <w:uiPriority w:val="10"/>
    <w:rPr>
      <w:sz w:val="48"/>
      <w:szCs w:val="48"/>
    </w:rPr>
  </w:style>
  <w:style w:type="paragraph" w:styleId="728">
    <w:name w:val="Subtitle"/>
    <w:basedOn w:val="687"/>
    <w:next w:val="687"/>
    <w:link w:val="729"/>
    <w:qFormat/>
    <w:pPr>
      <w:numPr>
        <w:numId w:val="1"/>
      </w:numPr>
      <w:jc w:val="left"/>
      <w:spacing w:before="240" w:after="60" w:line="312" w:lineRule="auto"/>
      <w:outlineLvl w:val="1"/>
    </w:pPr>
    <w:rPr>
      <w:rFonts w:ascii="黑体" w:hAnsi="黑体" w:eastAsia="黑体"/>
      <w:b/>
      <w:bCs/>
      <w:sz w:val="28"/>
      <w:szCs w:val="36"/>
    </w:rPr>
  </w:style>
  <w:style w:type="character" w:styleId="729" w:customStyle="1">
    <w:name w:val="副标题 Char"/>
    <w:link w:val="728"/>
    <w:uiPriority w:val="11"/>
    <w:rPr>
      <w:sz w:val="24"/>
      <w:szCs w:val="24"/>
    </w:rPr>
  </w:style>
  <w:style w:type="paragraph" w:styleId="730">
    <w:name w:val="Quote"/>
    <w:basedOn w:val="687"/>
    <w:next w:val="687"/>
    <w:link w:val="731"/>
    <w:uiPriority w:val="29"/>
    <w:qFormat/>
    <w:pPr>
      <w:ind w:left="720" w:right="720"/>
    </w:pPr>
    <w:rPr>
      <w:i/>
    </w:rPr>
  </w:style>
  <w:style w:type="character" w:styleId="731" w:customStyle="1">
    <w:name w:val="引用 Char"/>
    <w:link w:val="730"/>
    <w:uiPriority w:val="29"/>
    <w:rPr>
      <w:i/>
    </w:rPr>
  </w:style>
  <w:style w:type="paragraph" w:styleId="732">
    <w:name w:val="Intense Quote"/>
    <w:basedOn w:val="687"/>
    <w:next w:val="687"/>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Char"/>
    <w:link w:val="732"/>
    <w:uiPriority w:val="30"/>
    <w:rPr>
      <w:i/>
    </w:rPr>
  </w:style>
  <w:style w:type="paragraph" w:styleId="734">
    <w:name w:val="Header"/>
    <w:basedOn w:val="687"/>
    <w:link w:val="735"/>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35" w:customStyle="1">
    <w:name w:val="页眉 Char"/>
    <w:link w:val="734"/>
    <w:uiPriority w:val="99"/>
  </w:style>
  <w:style w:type="paragraph" w:styleId="736">
    <w:name w:val="Footer"/>
    <w:basedOn w:val="687"/>
    <w:link w:val="907"/>
    <w:uiPriority w:val="99"/>
    <w:pPr>
      <w:jc w:val="left"/>
      <w:tabs>
        <w:tab w:val="center" w:pos="4153" w:leader="none"/>
        <w:tab w:val="right" w:pos="8306" w:leader="none"/>
      </w:tabs>
    </w:pPr>
    <w:rPr>
      <w:sz w:val="18"/>
    </w:rPr>
  </w:style>
  <w:style w:type="character" w:styleId="737" w:customStyle="1">
    <w:name w:val="Footer Char"/>
    <w:uiPriority w:val="99"/>
  </w:style>
  <w:style w:type="paragraph" w:styleId="738">
    <w:name w:val="Caption"/>
    <w:basedOn w:val="687"/>
    <w:next w:val="687"/>
    <w:uiPriority w:val="35"/>
    <w:semiHidden/>
    <w:unhideWhenUsed/>
    <w:qFormat/>
    <w:pPr>
      <w:spacing w:line="276" w:lineRule="auto"/>
    </w:pPr>
    <w:rPr>
      <w:b/>
      <w:bCs/>
      <w:color w:val="4f81bd" w:themeColor="accent1"/>
      <w:sz w:val="18"/>
      <w:szCs w:val="18"/>
    </w:rPr>
  </w:style>
  <w:style w:type="character" w:styleId="739" w:customStyle="1">
    <w:name w:val="Caption Char"/>
    <w:uiPriority w:val="99"/>
  </w:style>
  <w:style w:type="table" w:styleId="740">
    <w:name w:val="Table Grid"/>
    <w:basedOn w:val="698"/>
    <w:qFormat/>
    <w:pPr>
      <w:jc w:val="both"/>
      <w:widowControl w:val="off"/>
    </w:pPr>
    <w:tblPr/>
  </w:style>
  <w:style w:type="table" w:styleId="741"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2"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0"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1"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2"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3"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4"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5"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6"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7"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8"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4"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6"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3"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4"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6"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7"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8"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9"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0"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1"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2"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3"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4"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5"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6"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7"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8"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7"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8"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9"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3"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4"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5"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6"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0"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2"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3"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name w:val="Hyperlink"/>
    <w:uiPriority w:val="99"/>
    <w:qFormat/>
    <w:rPr>
      <w:color w:val="555555"/>
      <w:u w:val="none"/>
    </w:rPr>
  </w:style>
  <w:style w:type="paragraph" w:styleId="867">
    <w:name w:val="footnote text"/>
    <w:basedOn w:val="687"/>
    <w:link w:val="868"/>
    <w:uiPriority w:val="99"/>
    <w:semiHidden/>
    <w:unhideWhenUsed/>
    <w:pPr>
      <w:spacing w:after="40"/>
    </w:pPr>
    <w:rPr>
      <w:sz w:val="18"/>
    </w:rPr>
  </w:style>
  <w:style w:type="character" w:styleId="868" w:customStyle="1">
    <w:name w:val="脚注文本 Char"/>
    <w:link w:val="867"/>
    <w:uiPriority w:val="99"/>
    <w:rPr>
      <w:sz w:val="18"/>
    </w:rPr>
  </w:style>
  <w:style w:type="character" w:styleId="869">
    <w:name w:val="footnote reference"/>
    <w:uiPriority w:val="99"/>
    <w:unhideWhenUsed/>
    <w:rPr>
      <w:vertAlign w:val="superscript"/>
    </w:rPr>
  </w:style>
  <w:style w:type="paragraph" w:styleId="870">
    <w:name w:val="endnote text"/>
    <w:basedOn w:val="687"/>
    <w:link w:val="871"/>
    <w:uiPriority w:val="99"/>
    <w:semiHidden/>
    <w:unhideWhenUsed/>
    <w:rPr>
      <w:sz w:val="20"/>
    </w:rPr>
  </w:style>
  <w:style w:type="character" w:styleId="871" w:customStyle="1">
    <w:name w:val="尾注文本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687"/>
    <w:next w:val="687"/>
    <w:uiPriority w:val="39"/>
    <w:unhideWhenUsed/>
    <w:pPr>
      <w:spacing w:after="57"/>
    </w:pPr>
  </w:style>
  <w:style w:type="paragraph" w:styleId="874">
    <w:name w:val="toc 2"/>
    <w:basedOn w:val="687"/>
    <w:next w:val="687"/>
    <w:uiPriority w:val="39"/>
    <w:unhideWhenUsed/>
    <w:pPr>
      <w:ind w:left="283"/>
      <w:spacing w:after="57"/>
    </w:pPr>
  </w:style>
  <w:style w:type="paragraph" w:styleId="875">
    <w:name w:val="toc 3"/>
    <w:basedOn w:val="687"/>
    <w:next w:val="687"/>
    <w:uiPriority w:val="39"/>
    <w:unhideWhenUsed/>
    <w:pPr>
      <w:ind w:left="567"/>
      <w:spacing w:after="57"/>
    </w:pPr>
  </w:style>
  <w:style w:type="paragraph" w:styleId="876">
    <w:name w:val="toc 4"/>
    <w:basedOn w:val="687"/>
    <w:next w:val="687"/>
    <w:uiPriority w:val="39"/>
    <w:unhideWhenUsed/>
    <w:pPr>
      <w:ind w:left="850"/>
      <w:spacing w:after="57"/>
    </w:pPr>
  </w:style>
  <w:style w:type="paragraph" w:styleId="877">
    <w:name w:val="toc 5"/>
    <w:basedOn w:val="687"/>
    <w:next w:val="687"/>
    <w:uiPriority w:val="39"/>
    <w:unhideWhenUsed/>
    <w:pPr>
      <w:ind w:left="1134"/>
      <w:spacing w:after="57"/>
    </w:pPr>
  </w:style>
  <w:style w:type="paragraph" w:styleId="878">
    <w:name w:val="toc 6"/>
    <w:basedOn w:val="687"/>
    <w:next w:val="687"/>
    <w:uiPriority w:val="39"/>
    <w:unhideWhenUsed/>
    <w:pPr>
      <w:ind w:left="1417"/>
      <w:spacing w:after="57"/>
    </w:pPr>
  </w:style>
  <w:style w:type="paragraph" w:styleId="879">
    <w:name w:val="toc 7"/>
    <w:basedOn w:val="687"/>
    <w:next w:val="687"/>
    <w:uiPriority w:val="39"/>
    <w:unhideWhenUsed/>
    <w:pPr>
      <w:ind w:left="1701"/>
      <w:spacing w:after="57"/>
    </w:pPr>
  </w:style>
  <w:style w:type="paragraph" w:styleId="880">
    <w:name w:val="toc 8"/>
    <w:basedOn w:val="687"/>
    <w:next w:val="687"/>
    <w:uiPriority w:val="39"/>
    <w:unhideWhenUsed/>
    <w:pPr>
      <w:ind w:left="1984"/>
      <w:spacing w:after="57"/>
    </w:pPr>
  </w:style>
  <w:style w:type="paragraph" w:styleId="881">
    <w:name w:val="toc 9"/>
    <w:basedOn w:val="687"/>
    <w:next w:val="687"/>
    <w:uiPriority w:val="39"/>
    <w:unhideWhenUsed/>
    <w:pPr>
      <w:ind w:left="2268"/>
      <w:spacing w:after="57"/>
    </w:pPr>
  </w:style>
  <w:style w:type="paragraph" w:styleId="882">
    <w:name w:val="TOC Heading"/>
    <w:uiPriority w:val="39"/>
    <w:unhideWhenUsed/>
  </w:style>
  <w:style w:type="paragraph" w:styleId="883">
    <w:name w:val="table of figures"/>
    <w:basedOn w:val="687"/>
    <w:next w:val="687"/>
    <w:uiPriority w:val="99"/>
    <w:unhideWhenUsed/>
  </w:style>
  <w:style w:type="paragraph" w:styleId="884">
    <w:name w:val="Normal Indent"/>
    <w:basedOn w:val="687"/>
    <w:next w:val="687"/>
    <w:link w:val="885"/>
    <w:qFormat/>
    <w:pPr>
      <w:ind w:firstLine="420"/>
    </w:pPr>
  </w:style>
  <w:style w:type="character" w:styleId="885" w:customStyle="1">
    <w:name w:val="正文缩进 Char"/>
    <w:link w:val="884"/>
    <w:qFormat/>
    <w:rPr>
      <w:rFonts w:ascii="Calibri" w:hAnsi="Calibri"/>
      <w:sz w:val="21"/>
      <w:szCs w:val="24"/>
    </w:rPr>
  </w:style>
  <w:style w:type="character" w:styleId="886" w:customStyle="1">
    <w:name w:val="标题 4 Char"/>
    <w:link w:val="691"/>
    <w:uiPriority w:val="99"/>
    <w:rPr>
      <w:rFonts w:ascii="Arial" w:hAnsi="Arial" w:eastAsia="黑体" w:cs="Arial"/>
      <w:b/>
      <w:bCs/>
      <w:sz w:val="28"/>
      <w:szCs w:val="28"/>
    </w:rPr>
  </w:style>
  <w:style w:type="paragraph" w:styleId="887">
    <w:name w:val="Document Map"/>
    <w:basedOn w:val="687"/>
    <w:semiHidden/>
    <w:qFormat/>
    <w:rPr>
      <w:rFonts w:ascii="Times New Roman" w:hAnsi="Times New Roman"/>
    </w:rPr>
  </w:style>
  <w:style w:type="paragraph" w:styleId="888">
    <w:name w:val="annotation text"/>
    <w:basedOn w:val="687"/>
    <w:pPr>
      <w:jc w:val="left"/>
    </w:pPr>
  </w:style>
  <w:style w:type="paragraph" w:styleId="889">
    <w:name w:val="Body Text"/>
    <w:basedOn w:val="687"/>
    <w:next w:val="891"/>
    <w:link w:val="890"/>
    <w:pPr>
      <w:spacing w:after="120"/>
    </w:pPr>
  </w:style>
  <w:style w:type="character" w:styleId="890" w:customStyle="1">
    <w:name w:val="正文文本 Char"/>
    <w:link w:val="889"/>
    <w:rPr>
      <w:rFonts w:ascii="Calibri" w:hAnsi="Calibri"/>
      <w:sz w:val="21"/>
      <w:szCs w:val="24"/>
    </w:rPr>
  </w:style>
  <w:style w:type="paragraph" w:styleId="891" w:customStyle="1">
    <w:name w:val="一级条标题"/>
    <w:basedOn w:val="892"/>
    <w:next w:val="893"/>
    <w:qFormat/>
    <w:pPr>
      <w:ind w:left="907" w:hanging="907"/>
      <w:spacing w:before="0" w:after="0"/>
      <w:tabs>
        <w:tab w:val="left" w:pos="907" w:leader="none"/>
      </w:tabs>
      <w:outlineLvl w:val="2"/>
    </w:pPr>
    <w:rPr>
      <w:rFonts w:hAnsi="宋体"/>
      <w:sz w:val="20"/>
      <w:szCs w:val="20"/>
    </w:rPr>
  </w:style>
  <w:style w:type="paragraph" w:styleId="892" w:customStyle="1">
    <w:name w:val="章标题"/>
    <w:next w:val="68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93" w:customStyle="1">
    <w:name w:val="段"/>
    <w:next w:val="894"/>
    <w:qFormat/>
    <w:pPr>
      <w:ind w:firstLine="200"/>
      <w:jc w:val="both"/>
      <w:widowControl w:val="off"/>
    </w:pPr>
    <w:rPr>
      <w:rFonts w:ascii="宋体" w:hAnsi="宋体" w:cs="宋体"/>
      <w:color w:val="000000"/>
      <w:sz w:val="21"/>
      <w:szCs w:val="21"/>
    </w:rPr>
  </w:style>
  <w:style w:type="paragraph" w:styleId="894" w:customStyle="1">
    <w:name w:val="正文 A"/>
    <w:next w:val="893"/>
    <w:qFormat/>
    <w:pPr>
      <w:jc w:val="both"/>
      <w:widowControl w:val="off"/>
    </w:pPr>
    <w:rPr>
      <w:rFonts w:ascii="Calibri" w:hAnsi="Calibri" w:eastAsia="Calibri" w:cs="Calibri"/>
      <w:color w:val="000000"/>
      <w:sz w:val="21"/>
      <w:szCs w:val="21"/>
    </w:rPr>
  </w:style>
  <w:style w:type="paragraph" w:styleId="895">
    <w:name w:val="Body Text Indent"/>
    <w:basedOn w:val="687"/>
    <w:next w:val="897"/>
    <w:link w:val="896"/>
    <w:uiPriority w:val="99"/>
    <w:qFormat/>
    <w:pPr>
      <w:ind w:firstLine="645"/>
    </w:pPr>
    <w:rPr>
      <w:rFonts w:ascii="楷体_GB2312" w:hAnsi="Times New Roman" w:eastAsia="楷体_GB2312"/>
      <w:sz w:val="32"/>
      <w:szCs w:val="32"/>
    </w:rPr>
  </w:style>
  <w:style w:type="character" w:styleId="896" w:customStyle="1">
    <w:name w:val="正文文本缩进 Char"/>
    <w:link w:val="895"/>
    <w:uiPriority w:val="99"/>
    <w:qFormat/>
    <w:rPr>
      <w:rFonts w:ascii="楷体_GB2312" w:eastAsia="楷体_GB2312"/>
      <w:sz w:val="32"/>
      <w:szCs w:val="32"/>
    </w:rPr>
  </w:style>
  <w:style w:type="paragraph" w:styleId="897">
    <w:name w:val="envelope return"/>
    <w:basedOn w:val="687"/>
    <w:qFormat/>
    <w:rPr>
      <w:rFonts w:ascii="Arial" w:hAnsi="Arial"/>
    </w:rPr>
  </w:style>
  <w:style w:type="paragraph" w:styleId="898">
    <w:name w:val="List 2"/>
    <w:basedOn w:val="687"/>
    <w:qFormat/>
    <w:pPr>
      <w:ind w:left="100" w:hanging="200"/>
      <w:spacing w:line="360" w:lineRule="auto"/>
    </w:pPr>
    <w:rPr>
      <w:rFonts w:ascii="Times New Roman" w:hAnsi="Times New Roman" w:eastAsia="仿宋_GB2312"/>
    </w:rPr>
  </w:style>
  <w:style w:type="paragraph" w:styleId="899">
    <w:name w:val="Block Text"/>
    <w:basedOn w:val="687"/>
    <w:uiPriority w:val="99"/>
    <w:qFormat/>
    <w:pPr>
      <w:ind w:left="1440" w:right="1440"/>
      <w:spacing w:after="120"/>
      <w:tabs>
        <w:tab w:val="left" w:pos="9000" w:leader="none"/>
      </w:tabs>
    </w:pPr>
  </w:style>
  <w:style w:type="paragraph" w:styleId="900">
    <w:name w:val="index 4"/>
    <w:basedOn w:val="687"/>
    <w:next w:val="687"/>
    <w:qFormat/>
    <w:pPr>
      <w:ind w:left="600"/>
    </w:pPr>
    <w:rPr>
      <w:szCs w:val="21"/>
    </w:rPr>
  </w:style>
  <w:style w:type="paragraph" w:styleId="901">
    <w:name w:val="Plain Text"/>
    <w:basedOn w:val="687"/>
    <w:link w:val="902"/>
    <w:qFormat/>
    <w:rPr>
      <w:rFonts w:ascii="宋体" w:hAnsi="Courier New" w:eastAsia="楷体_GB2312"/>
    </w:rPr>
  </w:style>
  <w:style w:type="character" w:styleId="902" w:customStyle="1">
    <w:name w:val="纯文本 Char2"/>
    <w:link w:val="901"/>
    <w:uiPriority w:val="99"/>
    <w:qFormat/>
    <w:rPr>
      <w:rFonts w:ascii="宋体" w:hAnsi="Courier New"/>
      <w:sz w:val="21"/>
      <w:szCs w:val="21"/>
    </w:rPr>
  </w:style>
  <w:style w:type="paragraph" w:styleId="903">
    <w:name w:val="Body Text Indent 2"/>
    <w:basedOn w:val="687"/>
    <w:link w:val="904"/>
    <w:pPr>
      <w:ind w:left="420"/>
      <w:spacing w:after="120" w:line="480" w:lineRule="auto"/>
    </w:pPr>
  </w:style>
  <w:style w:type="character" w:styleId="904" w:customStyle="1">
    <w:name w:val="正文文本缩进 2 Char"/>
    <w:link w:val="903"/>
    <w:rPr>
      <w:rFonts w:ascii="Calibri" w:hAnsi="Calibri"/>
      <w:sz w:val="21"/>
      <w:szCs w:val="24"/>
    </w:rPr>
  </w:style>
  <w:style w:type="paragraph" w:styleId="905">
    <w:name w:val="Balloon Text"/>
    <w:basedOn w:val="687"/>
    <w:link w:val="906"/>
    <w:rPr>
      <w:sz w:val="18"/>
      <w:szCs w:val="18"/>
    </w:rPr>
  </w:style>
  <w:style w:type="character" w:styleId="906" w:customStyle="1">
    <w:name w:val="批注框文本 Char"/>
    <w:link w:val="905"/>
    <w:rPr>
      <w:rFonts w:ascii="Calibri" w:hAnsi="Calibri"/>
      <w:sz w:val="18"/>
      <w:szCs w:val="18"/>
    </w:rPr>
  </w:style>
  <w:style w:type="character" w:styleId="907" w:customStyle="1">
    <w:name w:val="页脚 Char"/>
    <w:link w:val="736"/>
    <w:uiPriority w:val="99"/>
    <w:rPr>
      <w:rFonts w:ascii="Calibri" w:hAnsi="Calibri"/>
      <w:sz w:val="18"/>
      <w:szCs w:val="24"/>
    </w:rPr>
  </w:style>
  <w:style w:type="paragraph" w:styleId="908">
    <w:name w:val="Body Text Indent 3"/>
    <w:basedOn w:val="687"/>
    <w:link w:val="909"/>
    <w:pPr>
      <w:ind w:left="420"/>
      <w:spacing w:after="120"/>
    </w:pPr>
    <w:rPr>
      <w:rFonts w:ascii="Times New Roman" w:hAnsi="Times New Roman"/>
      <w:sz w:val="16"/>
      <w:szCs w:val="16"/>
    </w:rPr>
  </w:style>
  <w:style w:type="character" w:styleId="909" w:customStyle="1">
    <w:name w:val="正文文本缩进 3 Char"/>
    <w:link w:val="908"/>
    <w:rPr>
      <w:sz w:val="16"/>
      <w:szCs w:val="16"/>
    </w:rPr>
  </w:style>
  <w:style w:type="paragraph" w:styleId="910">
    <w:name w:val="Body Text 2"/>
    <w:basedOn w:val="687"/>
    <w:qFormat/>
    <w:pPr>
      <w:ind w:firstLine="510"/>
      <w:spacing w:after="120" w:line="360" w:lineRule="auto"/>
    </w:pPr>
    <w:rPr>
      <w:sz w:val="24"/>
    </w:rPr>
  </w:style>
  <w:style w:type="paragraph" w:styleId="911">
    <w:name w:val="Message Header"/>
    <w:basedOn w:val="68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12">
    <w:name w:val="Normal (Web)"/>
    <w:basedOn w:val="687"/>
    <w:link w:val="960"/>
    <w:uiPriority w:val="99"/>
    <w:unhideWhenUsed/>
    <w:qFormat/>
    <w:pPr>
      <w:jc w:val="left"/>
      <w:spacing w:before="100" w:beforeAutospacing="1" w:after="100" w:afterAutospacing="1"/>
      <w:widowControl/>
    </w:pPr>
    <w:rPr>
      <w:rFonts w:ascii="宋体" w:hAnsi="宋体" w:cs="宋体"/>
      <w:sz w:val="24"/>
    </w:rPr>
  </w:style>
  <w:style w:type="paragraph" w:styleId="913">
    <w:name w:val="Body Text First Indent"/>
    <w:basedOn w:val="687"/>
    <w:uiPriority w:val="99"/>
    <w:qFormat/>
    <w:pPr>
      <w:ind w:firstLine="420"/>
      <w:spacing w:after="120"/>
      <w:widowControl/>
    </w:pPr>
    <w:rPr>
      <w:rFonts w:eastAsia="仿宋_GB2312"/>
    </w:rPr>
  </w:style>
  <w:style w:type="paragraph" w:styleId="914">
    <w:name w:val="Body Text First Indent 2"/>
    <w:basedOn w:val="895"/>
    <w:qFormat/>
    <w:pPr>
      <w:ind w:left="420" w:firstLine="420"/>
      <w:spacing w:after="120"/>
    </w:pPr>
    <w:rPr>
      <w:rFonts w:ascii="Cambria" w:hAnsi="Cambria" w:eastAsia="华文细黑"/>
      <w:sz w:val="21"/>
    </w:rPr>
  </w:style>
  <w:style w:type="character" w:styleId="915">
    <w:name w:val="Strong"/>
    <w:uiPriority w:val="22"/>
    <w:qFormat/>
    <w:rPr>
      <w:b/>
      <w:bCs/>
    </w:rPr>
  </w:style>
  <w:style w:type="character" w:styleId="916">
    <w:name w:val="page number"/>
    <w:qFormat/>
  </w:style>
  <w:style w:type="character" w:styleId="917">
    <w:name w:val="FollowedHyperlink"/>
    <w:rPr>
      <w:color w:val="555555"/>
      <w:u w:val="none"/>
    </w:rPr>
  </w:style>
  <w:style w:type="character" w:styleId="918">
    <w:name w:val="annotation reference"/>
    <w:uiPriority w:val="99"/>
    <w:qFormat/>
    <w:rPr>
      <w:sz w:val="21"/>
      <w:szCs w:val="21"/>
    </w:rPr>
  </w:style>
  <w:style w:type="paragraph" w:styleId="919" w:customStyle="1">
    <w:name w:val="Default"/>
    <w:pPr>
      <w:widowControl w:val="off"/>
    </w:pPr>
    <w:rPr>
      <w:rFonts w:ascii="宋体" w:hAnsi="宋体" w:cs="宋体"/>
      <w:color w:val="000000"/>
      <w:sz w:val="24"/>
      <w:szCs w:val="24"/>
    </w:rPr>
  </w:style>
  <w:style w:type="paragraph" w:styleId="920" w:customStyle="1">
    <w:name w:val="正文1"/>
    <w:basedOn w:val="687"/>
    <w:next w:val="687"/>
    <w:pPr>
      <w:numPr>
        <w:numId w:val="2"/>
      </w:numPr>
      <w:ind w:left="359" w:hanging="359"/>
      <w:spacing w:line="500" w:lineRule="exact"/>
      <w:tabs>
        <w:tab w:val="left" w:pos="270" w:leader="none"/>
        <w:tab w:val="left" w:pos="480" w:leader="none"/>
      </w:tabs>
    </w:pPr>
    <w:rPr>
      <w:rFonts w:ascii="黑体" w:hAnsi="宋体"/>
    </w:rPr>
  </w:style>
  <w:style w:type="character" w:styleId="921" w:customStyle="1">
    <w:name w:val="font91"/>
    <w:rPr>
      <w:rFonts w:hint="eastAsia" w:ascii="宋体" w:hAnsi="宋体" w:eastAsia="宋体" w:cs="宋体"/>
      <w:i w:val="0"/>
      <w:color w:val="000000"/>
      <w:sz w:val="21"/>
      <w:szCs w:val="21"/>
      <w:u w:val="single"/>
    </w:rPr>
  </w:style>
  <w:style w:type="character" w:styleId="922" w:customStyle="1">
    <w:name w:val="font21"/>
    <w:rPr>
      <w:rFonts w:ascii="等线" w:hAnsi="等线" w:eastAsia="等线" w:cs="等线"/>
      <w:i w:val="0"/>
      <w:color w:val="ff0000"/>
      <w:sz w:val="20"/>
      <w:szCs w:val="20"/>
      <w:u w:val="none"/>
    </w:rPr>
  </w:style>
  <w:style w:type="character" w:styleId="923" w:customStyle="1">
    <w:name w:val="正文文本缩进 3 Char1"/>
    <w:rPr>
      <w:rFonts w:ascii="Calibri" w:hAnsi="Calibri"/>
      <w:sz w:val="16"/>
      <w:szCs w:val="16"/>
    </w:rPr>
  </w:style>
  <w:style w:type="character" w:styleId="924" w:customStyle="1">
    <w:name w:val="font61"/>
    <w:rPr>
      <w:rFonts w:hint="eastAsia" w:ascii="宋体" w:hAnsi="宋体" w:eastAsia="宋体" w:cs="宋体"/>
      <w:i w:val="0"/>
      <w:color w:val="000000"/>
      <w:sz w:val="21"/>
      <w:szCs w:val="21"/>
      <w:u w:val="none"/>
    </w:rPr>
  </w:style>
  <w:style w:type="character" w:styleId="925" w:customStyle="1">
    <w:name w:val="font31"/>
    <w:rPr>
      <w:rFonts w:ascii="等线" w:hAnsi="等线" w:eastAsia="等线" w:cs="等线"/>
      <w:i w:val="0"/>
      <w:color w:val="000000"/>
      <w:sz w:val="20"/>
      <w:szCs w:val="20"/>
      <w:u w:val="none"/>
    </w:rPr>
  </w:style>
  <w:style w:type="character" w:styleId="926" w:customStyle="1">
    <w:name w:val="正文2 Char"/>
    <w:link w:val="927"/>
    <w:uiPriority w:val="99"/>
    <w:qFormat/>
    <w:rPr>
      <w:sz w:val="24"/>
      <w:szCs w:val="24"/>
      <w:lang w:val="en-US" w:eastAsia="zh-CN" w:bidi="ar-SA"/>
    </w:rPr>
  </w:style>
  <w:style w:type="paragraph" w:styleId="927" w:customStyle="1">
    <w:name w:val="正文2"/>
    <w:link w:val="926"/>
    <w:uiPriority w:val="99"/>
    <w:qFormat/>
    <w:rPr>
      <w:sz w:val="24"/>
      <w:szCs w:val="24"/>
    </w:rPr>
  </w:style>
  <w:style w:type="character" w:styleId="928" w:customStyle="1">
    <w:name w:val="纯文本 Char1"/>
    <w:rPr>
      <w:rFonts w:ascii="宋体" w:hAnsi="Courier New" w:cs="Courier New"/>
      <w:sz w:val="21"/>
      <w:szCs w:val="21"/>
    </w:rPr>
  </w:style>
  <w:style w:type="character" w:styleId="929" w:customStyle="1">
    <w:name w:val="fontstyle01"/>
    <w:rPr>
      <w:rFonts w:hint="eastAsia" w:ascii="宋体" w:hAnsi="宋体" w:eastAsia="宋体"/>
      <w:color w:val="000000"/>
      <w:sz w:val="24"/>
      <w:szCs w:val="24"/>
    </w:rPr>
  </w:style>
  <w:style w:type="character" w:styleId="930" w:customStyle="1">
    <w:name w:val="font81"/>
    <w:rPr>
      <w:rFonts w:hint="eastAsia" w:ascii="宋体" w:hAnsi="宋体" w:eastAsia="宋体" w:cs="宋体"/>
      <w:i w:val="0"/>
      <w:color w:val="000000"/>
      <w:sz w:val="21"/>
      <w:szCs w:val="21"/>
      <w:u w:val="none"/>
    </w:rPr>
  </w:style>
  <w:style w:type="character" w:styleId="931" w:customStyle="1">
    <w:name w:val="font101"/>
    <w:rPr>
      <w:rFonts w:ascii="Times New Roman" w:hAnsi="Times New Roman" w:cs="Times New Roman"/>
      <w:i w:val="0"/>
      <w:color w:val="000000"/>
      <w:sz w:val="21"/>
      <w:szCs w:val="21"/>
      <w:u w:val="single"/>
    </w:rPr>
  </w:style>
  <w:style w:type="character" w:styleId="932" w:customStyle="1">
    <w:name w:val="17"/>
  </w:style>
  <w:style w:type="paragraph" w:styleId="933" w:customStyle="1">
    <w:name w:val="普通正文"/>
    <w:basedOn w:val="687"/>
    <w:qFormat/>
    <w:pPr>
      <w:ind w:firstLine="480"/>
      <w:jc w:val="left"/>
      <w:spacing w:before="120" w:after="120" w:line="360" w:lineRule="auto"/>
    </w:pPr>
    <w:rPr>
      <w:rFonts w:ascii="Arial" w:hAnsi="Arial"/>
      <w:sz w:val="24"/>
    </w:rPr>
  </w:style>
  <w:style w:type="paragraph" w:styleId="934" w:customStyle="1">
    <w:name w:val="文档标题"/>
    <w:basedOn w:val="687"/>
    <w:pPr>
      <w:jc w:val="center"/>
      <w:spacing w:line="300" w:lineRule="auto"/>
    </w:pPr>
    <w:rPr>
      <w:rFonts w:ascii="Arial" w:hAnsi="Arial" w:eastAsia="黑体" w:cs="Arial"/>
      <w:b/>
      <w:sz w:val="48"/>
      <w:szCs w:val="32"/>
    </w:rPr>
  </w:style>
  <w:style w:type="paragraph" w:styleId="935" w:customStyle="1">
    <w:name w:val="Plain Text1"/>
    <w:basedOn w:val="687"/>
    <w:qFormat/>
    <w:rPr>
      <w:rFonts w:ascii="宋体" w:hAnsi="Courier New" w:eastAsia="楷体_GB2312"/>
      <w:sz w:val="26"/>
    </w:rPr>
  </w:style>
  <w:style w:type="paragraph" w:styleId="936" w:customStyle="1">
    <w:name w:val="列出段落1"/>
    <w:basedOn w:val="687"/>
    <w:uiPriority w:val="34"/>
    <w:qFormat/>
    <w:pPr>
      <w:ind w:firstLine="420"/>
    </w:pPr>
    <w:rPr>
      <w:szCs w:val="22"/>
    </w:rPr>
  </w:style>
  <w:style w:type="paragraph" w:styleId="937" w:customStyle="1">
    <w:name w:val="首行缩进"/>
    <w:basedOn w:val="687"/>
    <w:qFormat/>
    <w:pPr>
      <w:ind w:firstLine="480"/>
      <w:jc w:val="left"/>
      <w:spacing w:line="360" w:lineRule="auto"/>
    </w:pPr>
  </w:style>
  <w:style w:type="paragraph" w:styleId="938" w:customStyle="1">
    <w:name w:val="Andy_正文"/>
    <w:basedOn w:val="687"/>
    <w:qFormat/>
    <w:pPr>
      <w:ind w:firstLine="480"/>
      <w:spacing w:line="360" w:lineRule="auto"/>
    </w:pPr>
    <w:rPr>
      <w:sz w:val="24"/>
    </w:rPr>
  </w:style>
  <w:style w:type="paragraph" w:styleId="939" w:customStyle="1">
    <w:name w:val="第二级"/>
    <w:next w:val="687"/>
    <w:qFormat/>
    <w:pPr>
      <w:numPr>
        <w:ilvl w:val="1"/>
        <w:numId w:val="1"/>
      </w:numPr>
      <w:spacing w:line="360" w:lineRule="auto"/>
      <w:outlineLvl w:val="2"/>
    </w:pPr>
    <w:rPr>
      <w:rFonts w:ascii="Arial" w:hAnsi="Arial" w:eastAsia="黑体"/>
      <w:bCs/>
      <w:sz w:val="30"/>
      <w:szCs w:val="44"/>
    </w:rPr>
  </w:style>
  <w:style w:type="character" w:styleId="940" w:customStyle="1">
    <w:name w:val="font51"/>
    <w:rPr>
      <w:rFonts w:hint="eastAsia" w:ascii="宋体" w:hAnsi="宋体" w:eastAsia="宋体" w:cs="宋体"/>
      <w:i w:val="0"/>
      <w:iCs w:val="0"/>
      <w:color w:val="000000"/>
      <w:sz w:val="20"/>
      <w:szCs w:val="20"/>
      <w:u w:val="none"/>
    </w:rPr>
  </w:style>
  <w:style w:type="character" w:styleId="941" w:customStyle="1">
    <w:name w:val="font01"/>
    <w:rPr>
      <w:rFonts w:hint="eastAsia" w:ascii="宋体" w:hAnsi="宋体" w:eastAsia="宋体" w:cs="宋体"/>
      <w:i w:val="0"/>
      <w:iCs w:val="0"/>
      <w:color w:val="000000"/>
      <w:sz w:val="20"/>
      <w:szCs w:val="20"/>
      <w:u w:val="none"/>
    </w:rPr>
  </w:style>
  <w:style w:type="character" w:styleId="942" w:customStyle="1">
    <w:name w:val="font41"/>
    <w:rPr>
      <w:rFonts w:hint="eastAsia" w:ascii="宋体" w:hAnsi="宋体" w:eastAsia="宋体" w:cs="宋体"/>
      <w:i w:val="0"/>
      <w:iCs w:val="0"/>
      <w:color w:val="000000"/>
      <w:sz w:val="20"/>
      <w:szCs w:val="20"/>
      <w:u w:val="none"/>
    </w:rPr>
  </w:style>
  <w:style w:type="character" w:styleId="943" w:customStyle="1">
    <w:name w:val="NormalCharacter1"/>
    <w:qFormat/>
    <w:rPr>
      <w:sz w:val="21"/>
      <w:szCs w:val="24"/>
      <w:lang w:val="en-US" w:eastAsia="zh-CN" w:bidi="ar-SA"/>
    </w:rPr>
  </w:style>
  <w:style w:type="character" w:styleId="944" w:customStyle="1">
    <w:name w:val="apple-converted-space"/>
    <w:qFormat/>
  </w:style>
  <w:style w:type="paragraph" w:styleId="945" w:customStyle="1">
    <w:name w:val="列出段落2"/>
    <w:basedOn w:val="687"/>
    <w:qFormat/>
    <w:pPr>
      <w:ind w:firstLine="420"/>
    </w:pPr>
    <w:rPr>
      <w:szCs w:val="22"/>
    </w:rPr>
  </w:style>
  <w:style w:type="paragraph" w:styleId="946" w:customStyle="1">
    <w:name w:val="_Style 2"/>
    <w:basedOn w:val="688"/>
    <w:next w:val="687"/>
    <w:qFormat/>
    <w:pPr>
      <w:outlineLvl w:val="9"/>
    </w:pPr>
    <w:rPr>
      <w:rFonts w:ascii="Times New Roman" w:eastAsia="宋体"/>
    </w:rPr>
  </w:style>
  <w:style w:type="paragraph" w:styleId="947" w:customStyle="1">
    <w:name w:val="无间隔1"/>
    <w:uiPriority w:val="1"/>
    <w:qFormat/>
    <w:pPr>
      <w:jc w:val="both"/>
      <w:spacing w:line="360" w:lineRule="auto"/>
      <w:widowControl w:val="off"/>
    </w:pPr>
    <w:rPr>
      <w:rFonts w:ascii="Calibri" w:hAnsi="Calibri"/>
      <w:sz w:val="24"/>
      <w:szCs w:val="22"/>
    </w:rPr>
  </w:style>
  <w:style w:type="paragraph" w:styleId="948" w:customStyle="1">
    <w:name w:val="Table Paragraph"/>
    <w:basedOn w:val="687"/>
    <w:uiPriority w:val="1"/>
    <w:qFormat/>
    <w:rPr>
      <w:rFonts w:ascii="宋体" w:hAnsi="宋体" w:cs="宋体"/>
      <w:lang w:val="zh-CN" w:bidi="zh-CN"/>
    </w:rPr>
  </w:style>
  <w:style w:type="paragraph" w:styleId="949" w:customStyle="1">
    <w:name w:val="UserStyle_20"/>
    <w:qFormat/>
    <w:pPr>
      <w:ind w:firstLine="200"/>
      <w:spacing w:before="120" w:after="120" w:line="180" w:lineRule="auto"/>
    </w:pPr>
    <w:rPr>
      <w:sz w:val="21"/>
      <w:szCs w:val="21"/>
    </w:rPr>
  </w:style>
  <w:style w:type="paragraph" w:styleId="950" w:customStyle="1">
    <w:name w:val="*正文"/>
    <w:basedOn w:val="687"/>
    <w:qFormat/>
    <w:pPr>
      <w:ind w:firstLine="480"/>
      <w:jc w:val="left"/>
      <w:spacing w:line="300" w:lineRule="auto"/>
      <w:widowControl/>
    </w:pPr>
    <w:rPr>
      <w:rFonts w:ascii="宋体" w:hAnsi="宋体"/>
      <w:sz w:val="20"/>
    </w:rPr>
  </w:style>
  <w:style w:type="paragraph" w:styleId="951" w:customStyle="1">
    <w:name w:val="文本块1"/>
    <w:basedOn w:val="687"/>
    <w:uiPriority w:val="99"/>
    <w:qFormat/>
    <w:pPr>
      <w:ind w:left="1440" w:right="1440"/>
      <w:jc w:val="left"/>
      <w:spacing w:after="120" w:line="276" w:lineRule="auto"/>
      <w:widowControl/>
      <w:tabs>
        <w:tab w:val="left" w:pos="9000" w:leader="none"/>
      </w:tabs>
    </w:pPr>
    <w:rPr>
      <w:rFonts w:ascii="Times New Roman" w:hAnsi="Times New Roman"/>
      <w:sz w:val="22"/>
      <w:szCs w:val="22"/>
      <w:lang w:eastAsia="en-US"/>
    </w:rPr>
  </w:style>
  <w:style w:type="paragraph" w:styleId="952" w:customStyle="1">
    <w:name w:val="p0"/>
    <w:basedOn w:val="687"/>
    <w:qFormat/>
    <w:pPr>
      <w:jc w:val="left"/>
      <w:spacing w:before="100" w:beforeAutospacing="1" w:after="100" w:afterAutospacing="1"/>
      <w:widowControl/>
    </w:pPr>
    <w:rPr>
      <w:rFonts w:ascii="宋体" w:hAnsi="宋体" w:cs="宋体"/>
      <w:sz w:val="24"/>
    </w:rPr>
  </w:style>
  <w:style w:type="paragraph" w:styleId="953" w:customStyle="1">
    <w:name w:val="4"/>
    <w:basedOn w:val="687"/>
    <w:next w:val="908"/>
    <w:qFormat/>
    <w:pPr>
      <w:ind w:firstLine="420"/>
      <w:spacing w:line="360" w:lineRule="auto"/>
    </w:pPr>
    <w:rPr>
      <w:color w:val="ff0000"/>
      <w:sz w:val="24"/>
    </w:rPr>
  </w:style>
  <w:style w:type="character" w:styleId="954" w:customStyle="1">
    <w:name w:val="15"/>
    <w:rPr>
      <w:rFonts w:hint="eastAsia" w:ascii="宋体" w:hAnsi="宋体" w:eastAsia="宋体" w:cs="Times New Roman"/>
      <w:b/>
      <w:bCs/>
      <w:color w:val="000000"/>
      <w:sz w:val="24"/>
      <w:szCs w:val="24"/>
    </w:rPr>
  </w:style>
  <w:style w:type="character" w:styleId="955" w:customStyle="1">
    <w:name w:val="纯文本 Char"/>
    <w:qFormat/>
    <w:rPr>
      <w:rFonts w:ascii="宋体" w:hAnsi="Courier New" w:eastAsia="等线" w:cs="Courier New"/>
    </w:rPr>
  </w:style>
  <w:style w:type="character" w:styleId="956" w:customStyle="1">
    <w:name w:val="NormalCharacter1"/>
    <w:uiPriority w:val="99"/>
    <w:qFormat/>
    <w:rPr>
      <w:rFonts w:ascii="Calibri" w:hAnsi="Calibri" w:eastAsia="宋体"/>
    </w:rPr>
  </w:style>
  <w:style w:type="character" w:styleId="957" w:customStyle="1">
    <w:name w:val="font11"/>
    <w:qFormat/>
    <w:rPr>
      <w:rFonts w:ascii="Times New Roman" w:hAnsi="Times New Roman" w:eastAsia="宋体" w:cs="Times New Roman"/>
      <w:sz w:val="21"/>
      <w:szCs w:val="21"/>
      <w:lang w:val="en-US" w:eastAsia="zh-CN" w:bidi="ar-SA"/>
    </w:rPr>
  </w:style>
  <w:style w:type="paragraph" w:styleId="958" w:customStyle="1">
    <w:name w:val="UserStyle_53"/>
    <w:basedOn w:val="895"/>
    <w:next w:val="914"/>
    <w:qFormat/>
    <w:pPr>
      <w:ind w:left="420" w:firstLine="420"/>
      <w:spacing w:after="120"/>
    </w:pPr>
    <w:rPr>
      <w:rFonts w:ascii="Cambria" w:hAnsi="Cambria" w:eastAsia="华文细黑"/>
      <w:sz w:val="21"/>
      <w:lang w:eastAsia="en-US"/>
    </w:rPr>
  </w:style>
  <w:style w:type="character" w:styleId="959" w:customStyle="1">
    <w:name w:val="custom-tag-placeholder-class"/>
  </w:style>
  <w:style w:type="character" w:styleId="960" w:customStyle="1">
    <w:name w:val="普通(网站) Char"/>
    <w:link w:val="912"/>
    <w:uiPriority w:val="99"/>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张炜</cp:lastModifiedBy>
  <cp:revision>28</cp:revision>
  <dcterms:created xsi:type="dcterms:W3CDTF">2024-10-22T08:34:00Z</dcterms:created>
  <dcterms:modified xsi:type="dcterms:W3CDTF">2024-11-25T07:57:38Z</dcterms:modified>
  <cp:version>917504</cp:version>
</cp:coreProperties>
</file>